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9342C" w14:textId="77777777" w:rsidR="00A960E9" w:rsidRPr="00E568EA" w:rsidRDefault="00ED06CB" w:rsidP="00527F65">
      <w:pPr>
        <w:pStyle w:val="Title"/>
        <w:rPr>
          <w:color w:val="FFFFFF" w:themeColor="background1"/>
        </w:rPr>
        <w:sectPr w:rsidR="00A960E9" w:rsidRPr="00E568EA">
          <w:headerReference w:type="even" r:id="rId9"/>
          <w:headerReference w:type="default" r:id="rId10"/>
          <w:footerReference w:type="even" r:id="rId11"/>
          <w:footerReference w:type="default" r:id="rId12"/>
          <w:headerReference w:type="first" r:id="rId13"/>
          <w:footerReference w:type="first" r:id="rId14"/>
          <w:pgSz w:w="11907" w:h="16840" w:code="9"/>
          <w:pgMar w:top="2381" w:right="2268" w:bottom="851" w:left="1701" w:header="851" w:footer="340" w:gutter="0"/>
          <w:cols w:space="720"/>
        </w:sectPr>
      </w:pPr>
      <w:bookmarkStart w:id="0" w:name="_GoBack"/>
      <w:bookmarkEnd w:id="0"/>
      <w:r w:rsidRPr="00E568EA">
        <w:rPr>
          <w:noProof/>
          <w:color w:val="FFFFFF" w:themeColor="background1"/>
        </w:rPr>
        <w:drawing>
          <wp:anchor distT="0" distB="0" distL="114300" distR="114300" simplePos="0" relativeHeight="251657216" behindDoc="1" locked="0" layoutInCell="1" allowOverlap="1" wp14:anchorId="15593558" wp14:editId="15593559">
            <wp:simplePos x="0" y="0"/>
            <wp:positionH relativeFrom="page">
              <wp:posOffset>0</wp:posOffset>
            </wp:positionH>
            <wp:positionV relativeFrom="page">
              <wp:posOffset>0</wp:posOffset>
            </wp:positionV>
            <wp:extent cx="7560310" cy="10694035"/>
            <wp:effectExtent l="0" t="0" r="2540" b="0"/>
            <wp:wrapNone/>
            <wp:docPr id="9" name="Picture 9" descr="AusAID_repor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AID_report_D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anchor>
        </w:drawing>
      </w:r>
      <w:r w:rsidR="005403F7" w:rsidRPr="00E568EA">
        <w:rPr>
          <w:color w:val="FFFFFF" w:themeColor="background1"/>
        </w:rPr>
        <w:t>Australia</w:t>
      </w:r>
      <w:r w:rsidR="00977F26" w:rsidRPr="00E568EA">
        <w:rPr>
          <w:color w:val="FFFFFF" w:themeColor="background1"/>
        </w:rPr>
        <w:t xml:space="preserve"> </w:t>
      </w:r>
      <w:r w:rsidR="00D20ED8" w:rsidRPr="00E568EA">
        <w:rPr>
          <w:color w:val="FFFFFF" w:themeColor="background1"/>
        </w:rPr>
        <w:t xml:space="preserve">– </w:t>
      </w:r>
      <w:r w:rsidR="00CB357D" w:rsidRPr="00E568EA">
        <w:rPr>
          <w:color w:val="FFFFFF" w:themeColor="background1"/>
        </w:rPr>
        <w:t>Myanmar</w:t>
      </w:r>
      <w:r w:rsidR="005403F7" w:rsidRPr="00E568EA">
        <w:rPr>
          <w:color w:val="FFFFFF" w:themeColor="background1"/>
        </w:rPr>
        <w:t xml:space="preserve"> Aid Program</w:t>
      </w:r>
      <w:r w:rsidR="00426626" w:rsidRPr="00E568EA">
        <w:rPr>
          <w:color w:val="FFFFFF" w:themeColor="background1"/>
        </w:rPr>
        <w:t xml:space="preserve"> Strategy</w:t>
      </w:r>
      <w:r w:rsidR="00993138" w:rsidRPr="00E568EA">
        <w:rPr>
          <w:color w:val="FFFFFF" w:themeColor="background1"/>
        </w:rPr>
        <w:t xml:space="preserve"> </w:t>
      </w:r>
      <w:r w:rsidR="00993138" w:rsidRPr="00E568EA">
        <w:rPr>
          <w:color w:val="FFFFFF" w:themeColor="background1"/>
          <w:sz w:val="24"/>
          <w:szCs w:val="24"/>
        </w:rPr>
        <w:t>(</w:t>
      </w:r>
      <w:r w:rsidR="005403F7" w:rsidRPr="00E568EA">
        <w:rPr>
          <w:color w:val="FFFFFF" w:themeColor="background1"/>
          <w:sz w:val="24"/>
          <w:szCs w:val="24"/>
        </w:rPr>
        <w:t>2012</w:t>
      </w:r>
      <w:r w:rsidR="00D20ED8" w:rsidRPr="00E568EA">
        <w:rPr>
          <w:color w:val="FFFFFF" w:themeColor="background1"/>
          <w:sz w:val="24"/>
          <w:szCs w:val="24"/>
        </w:rPr>
        <w:t>–</w:t>
      </w:r>
      <w:r w:rsidR="005403F7" w:rsidRPr="00E568EA">
        <w:rPr>
          <w:color w:val="FFFFFF" w:themeColor="background1"/>
          <w:sz w:val="24"/>
          <w:szCs w:val="24"/>
        </w:rPr>
        <w:t>14</w:t>
      </w:r>
      <w:r w:rsidR="00993138" w:rsidRPr="00E568EA">
        <w:rPr>
          <w:color w:val="FFFFFF" w:themeColor="background1"/>
          <w:sz w:val="24"/>
          <w:szCs w:val="24"/>
        </w:rPr>
        <w:t>)</w:t>
      </w:r>
    </w:p>
    <w:p w14:paraId="1559342D" w14:textId="77777777" w:rsidR="003F6C1F" w:rsidRPr="003F6C1F" w:rsidRDefault="00ED06CB" w:rsidP="00527F65">
      <w:pPr>
        <w:pStyle w:val="BoxText"/>
      </w:pPr>
      <w:r>
        <w:rPr>
          <w:noProof/>
        </w:rPr>
        <w:lastRenderedPageBreak/>
        <w:drawing>
          <wp:anchor distT="0" distB="0" distL="114300" distR="114300" simplePos="0" relativeHeight="251654144" behindDoc="1" locked="0" layoutInCell="1" allowOverlap="1" wp14:anchorId="1559355A" wp14:editId="1559355B">
            <wp:simplePos x="0" y="0"/>
            <wp:positionH relativeFrom="page">
              <wp:posOffset>-77470</wp:posOffset>
            </wp:positionH>
            <wp:positionV relativeFrom="page">
              <wp:posOffset>1169035</wp:posOffset>
            </wp:positionV>
            <wp:extent cx="7658100" cy="1585595"/>
            <wp:effectExtent l="0" t="0" r="0" b="0"/>
            <wp:wrapSquare wrapText="bothSides"/>
            <wp:docPr id="4" name="Picture 4"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report_D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58100" cy="1585595"/>
                    </a:xfrm>
                    <a:prstGeom prst="rect">
                      <a:avLst/>
                    </a:prstGeom>
                    <a:noFill/>
                  </pic:spPr>
                </pic:pic>
              </a:graphicData>
            </a:graphic>
          </wp:anchor>
        </w:drawing>
      </w:r>
      <w:r w:rsidR="003F6C1F" w:rsidRPr="003F6C1F">
        <w:t>With the exception of the Commonwealth Coat of Arms and where otherwise noted, all material presented in this document is provided under a Creative Commons Attribution 3.0 Australia (</w:t>
      </w:r>
      <w:hyperlink r:id="rId17" w:history="1">
        <w:r w:rsidR="003F6C1F" w:rsidRPr="003F6C1F">
          <w:t>http://creativecommons.org/licenses/by/3.0/au/</w:t>
        </w:r>
      </w:hyperlink>
      <w:r w:rsidR="003F6C1F" w:rsidRPr="003F6C1F">
        <w:t>) licence. The details of the relevant licence conditions are available on the Creative Commons website (accessible using the links provided) as is the full legal code for the CC BY 3.0 AU licence (</w:t>
      </w:r>
      <w:hyperlink r:id="rId18" w:history="1">
        <w:r w:rsidR="003F6C1F" w:rsidRPr="003F6C1F">
          <w:t>http://creativecommons.org/licenses/by/3.0/au/legalcode</w:t>
        </w:r>
      </w:hyperlink>
      <w:r w:rsidR="003F6C1F" w:rsidRPr="003F6C1F">
        <w:t>). The document must be attributed as AusAID (</w:t>
      </w:r>
      <w:r w:rsidR="003F75D7">
        <w:t>Australia</w:t>
      </w:r>
      <w:r w:rsidR="00CA7AF0">
        <w:t xml:space="preserve"> </w:t>
      </w:r>
      <w:r w:rsidR="003F75D7">
        <w:t>-</w:t>
      </w:r>
      <w:r w:rsidR="00CA7AF0">
        <w:t xml:space="preserve"> </w:t>
      </w:r>
      <w:r w:rsidR="003F75D7">
        <w:t xml:space="preserve">Myanmar Aid Program Strategy </w:t>
      </w:r>
      <w:r w:rsidR="008F7AE5">
        <w:t>(</w:t>
      </w:r>
      <w:r w:rsidR="003F75D7">
        <w:t>2012-14</w:t>
      </w:r>
      <w:r w:rsidR="008F7AE5">
        <w:t>)</w:t>
      </w:r>
      <w:r w:rsidR="003F6C1F" w:rsidRPr="003F6C1F">
        <w:t xml:space="preserve">, </w:t>
      </w:r>
      <w:r w:rsidR="003F75D7">
        <w:t>January 2013</w:t>
      </w:r>
      <w:r w:rsidR="003F6C1F" w:rsidRPr="003F6C1F">
        <w:t xml:space="preserve">, </w:t>
      </w:r>
      <w:r w:rsidR="00A669D4">
        <w:t>PUB18</w:t>
      </w:r>
      <w:r w:rsidR="003F6C1F" w:rsidRPr="003F6C1F">
        <w:t>).</w:t>
      </w:r>
    </w:p>
    <w:p w14:paraId="1559342E" w14:textId="77777777" w:rsidR="003F6C1F" w:rsidRPr="00737052" w:rsidRDefault="003F6C1F" w:rsidP="00527F65">
      <w:pPr>
        <w:pStyle w:val="BoxText"/>
      </w:pPr>
    </w:p>
    <w:p w14:paraId="1559342F" w14:textId="77777777" w:rsidR="00A960E9" w:rsidRPr="00CF0CE7" w:rsidRDefault="00A960E9" w:rsidP="00527F65">
      <w:pPr>
        <w:pStyle w:val="BoxText"/>
      </w:pPr>
      <w:r w:rsidRPr="00CF0CE7">
        <w:t xml:space="preserve">Published by the Australian Agency for International Development (AusAID), Canberra, </w:t>
      </w:r>
      <w:r w:rsidR="003F75D7">
        <w:t>January 2013</w:t>
      </w:r>
    </w:p>
    <w:p w14:paraId="15593430" w14:textId="77777777" w:rsidR="00A960E9" w:rsidRPr="00F0526B" w:rsidRDefault="00A960E9" w:rsidP="00527F65">
      <w:pPr>
        <w:pStyle w:val="BoxText"/>
      </w:pPr>
      <w:r w:rsidRPr="00F0526B">
        <w:t xml:space="preserve">This document is online at </w:t>
      </w:r>
      <w:hyperlink r:id="rId19" w:history="1">
        <w:r w:rsidRPr="00F0526B">
          <w:t>www.ausaid.gov.au/publications</w:t>
        </w:r>
      </w:hyperlink>
    </w:p>
    <w:p w14:paraId="15593431" w14:textId="77777777" w:rsidR="00416B28" w:rsidRDefault="00416B28" w:rsidP="00527F65">
      <w:pPr>
        <w:pStyle w:val="BoxText"/>
      </w:pPr>
    </w:p>
    <w:p w14:paraId="15593432" w14:textId="77777777" w:rsidR="00A960E9" w:rsidRPr="00F0526B" w:rsidRDefault="00A960E9" w:rsidP="00527F65">
      <w:pPr>
        <w:pStyle w:val="BoxText"/>
      </w:pPr>
      <w:r w:rsidRPr="00F0526B">
        <w:t xml:space="preserve">For </w:t>
      </w:r>
      <w:r>
        <w:t>furthe</w:t>
      </w:r>
      <w:r w:rsidRPr="00A045A2">
        <w:t xml:space="preserve">r information about the Australian Government’s international development program, </w:t>
      </w:r>
      <w:r w:rsidRPr="00F0526B">
        <w:t>contact:</w:t>
      </w:r>
    </w:p>
    <w:p w14:paraId="15593433" w14:textId="77777777" w:rsidR="00A960E9" w:rsidRPr="00F0526B" w:rsidRDefault="00A960E9" w:rsidP="00527F65">
      <w:pPr>
        <w:pStyle w:val="BoxText"/>
      </w:pPr>
      <w:r>
        <w:t>Communications Section</w:t>
      </w:r>
    </w:p>
    <w:p w14:paraId="15593434" w14:textId="77777777" w:rsidR="00A960E9" w:rsidRPr="00F0526B" w:rsidRDefault="00A960E9" w:rsidP="00527F65">
      <w:pPr>
        <w:pStyle w:val="BoxText"/>
      </w:pPr>
      <w:r w:rsidRPr="00F0526B">
        <w:t>AusAID</w:t>
      </w:r>
    </w:p>
    <w:p w14:paraId="15593435" w14:textId="77777777" w:rsidR="00A960E9" w:rsidRPr="00F0526B" w:rsidRDefault="00A960E9" w:rsidP="00527F65">
      <w:pPr>
        <w:pStyle w:val="BoxText"/>
      </w:pPr>
      <w:r w:rsidRPr="00F0526B">
        <w:t>GPO Box 887</w:t>
      </w:r>
    </w:p>
    <w:p w14:paraId="15593436" w14:textId="77777777" w:rsidR="00A960E9" w:rsidRPr="00F0526B" w:rsidRDefault="00A960E9" w:rsidP="00527F65">
      <w:pPr>
        <w:pStyle w:val="BoxText"/>
      </w:pPr>
      <w:r w:rsidRPr="00F0526B">
        <w:t>Canberra ACT 2601</w:t>
      </w:r>
    </w:p>
    <w:p w14:paraId="15593437" w14:textId="77777777" w:rsidR="00A960E9" w:rsidRPr="00F0526B" w:rsidRDefault="009575E4" w:rsidP="00527F65">
      <w:pPr>
        <w:pStyle w:val="BoxText"/>
      </w:pPr>
      <w:r w:rsidRPr="00F0526B">
        <w:t xml:space="preserve">Phone </w:t>
      </w:r>
      <w:r w:rsidR="00A960E9" w:rsidRPr="00F0526B">
        <w:rPr>
          <w:rFonts w:ascii="Arial Unicode MS" w:eastAsia="Arial Unicode MS" w:hAnsi="Arial Unicode MS" w:cs="Arial Unicode MS" w:hint="eastAsia"/>
        </w:rPr>
        <w:t> </w:t>
      </w:r>
      <w:r w:rsidR="00A960E9" w:rsidRPr="00F0526B">
        <w:t>(02) 6</w:t>
      </w:r>
      <w:r w:rsidR="003F6C1F">
        <w:t>178</w:t>
      </w:r>
      <w:r w:rsidR="00A960E9" w:rsidRPr="00F0526B">
        <w:t xml:space="preserve"> </w:t>
      </w:r>
      <w:r w:rsidR="00A960E9">
        <w:t>4000</w:t>
      </w:r>
    </w:p>
    <w:p w14:paraId="15593438" w14:textId="77777777" w:rsidR="00A960E9" w:rsidRPr="00F0526B" w:rsidRDefault="009575E4" w:rsidP="00527F65">
      <w:pPr>
        <w:pStyle w:val="BoxText"/>
      </w:pPr>
      <w:r w:rsidRPr="00F0526B">
        <w:t xml:space="preserve">Facsimile </w:t>
      </w:r>
      <w:r w:rsidR="00A960E9" w:rsidRPr="00F0526B">
        <w:rPr>
          <w:rFonts w:ascii="Arial Unicode MS" w:eastAsia="Arial Unicode MS" w:hAnsi="Arial Unicode MS" w:cs="Arial Unicode MS" w:hint="eastAsia"/>
        </w:rPr>
        <w:t> </w:t>
      </w:r>
      <w:r w:rsidR="00A960E9" w:rsidRPr="00F0526B">
        <w:t>(02) 6</w:t>
      </w:r>
      <w:r w:rsidR="003F6C1F">
        <w:t>178</w:t>
      </w:r>
      <w:r w:rsidR="00A960E9" w:rsidRPr="00F0526B">
        <w:t xml:space="preserve"> </w:t>
      </w:r>
      <w:r w:rsidR="00A960E9">
        <w:t>4880</w:t>
      </w:r>
    </w:p>
    <w:p w14:paraId="15593439" w14:textId="77777777" w:rsidR="00A960E9" w:rsidRDefault="00A960E9" w:rsidP="00527F65">
      <w:pPr>
        <w:pStyle w:val="BoxText"/>
      </w:pPr>
      <w:r w:rsidRPr="00F0526B">
        <w:t>Internet</w:t>
      </w:r>
      <w:r w:rsidRPr="00F0526B">
        <w:rPr>
          <w:rFonts w:ascii="Arial Unicode MS" w:eastAsia="Arial Unicode MS" w:hAnsi="Arial Unicode MS" w:cs="Arial Unicode MS" w:hint="eastAsia"/>
        </w:rPr>
        <w:t> </w:t>
      </w:r>
      <w:hyperlink r:id="rId20" w:history="1">
        <w:r w:rsidRPr="00F0526B">
          <w:t>www.</w:t>
        </w:r>
        <w:bookmarkStart w:id="1" w:name="_Hlt536343294"/>
        <w:r w:rsidRPr="00F0526B">
          <w:t>a</w:t>
        </w:r>
        <w:bookmarkEnd w:id="1"/>
        <w:r w:rsidRPr="00F0526B">
          <w:t>u</w:t>
        </w:r>
        <w:bookmarkStart w:id="2" w:name="_Hlt536343388"/>
        <w:r w:rsidRPr="00F0526B">
          <w:t>s</w:t>
        </w:r>
        <w:bookmarkStart w:id="3" w:name="_Hlt536343250"/>
        <w:bookmarkEnd w:id="2"/>
        <w:r w:rsidRPr="00F0526B">
          <w:t>a</w:t>
        </w:r>
        <w:bookmarkStart w:id="4" w:name="_Hlt536343212"/>
        <w:bookmarkEnd w:id="3"/>
        <w:r w:rsidRPr="00F0526B">
          <w:t>i</w:t>
        </w:r>
        <w:bookmarkStart w:id="5" w:name="_Hlt536343325"/>
        <w:bookmarkEnd w:id="4"/>
        <w:r w:rsidRPr="00F0526B">
          <w:t>d</w:t>
        </w:r>
        <w:bookmarkEnd w:id="5"/>
        <w:r w:rsidRPr="00F0526B">
          <w:t>.go</w:t>
        </w:r>
        <w:bookmarkStart w:id="6" w:name="_Hlt86200017"/>
        <w:r w:rsidRPr="00F0526B">
          <w:t>v</w:t>
        </w:r>
        <w:bookmarkEnd w:id="6"/>
        <w:r w:rsidRPr="00F0526B">
          <w:t>.au</w:t>
        </w:r>
      </w:hyperlink>
    </w:p>
    <w:p w14:paraId="1559343A" w14:textId="77777777" w:rsidR="00A960E9" w:rsidRDefault="00ED06CB" w:rsidP="00527F65">
      <w:pPr>
        <w:pStyle w:val="Contents"/>
        <w:rPr>
          <w:noProof/>
        </w:rPr>
      </w:pPr>
      <w:r>
        <w:rPr>
          <w:noProof/>
        </w:rPr>
        <w:lastRenderedPageBreak/>
        <w:drawing>
          <wp:anchor distT="0" distB="0" distL="114300" distR="114300" simplePos="0" relativeHeight="251653120" behindDoc="1" locked="0" layoutInCell="1" allowOverlap="1" wp14:anchorId="1559355C" wp14:editId="1559355D">
            <wp:simplePos x="0" y="0"/>
            <wp:positionH relativeFrom="page">
              <wp:posOffset>-29100</wp:posOffset>
            </wp:positionH>
            <wp:positionV relativeFrom="page">
              <wp:posOffset>1054735</wp:posOffset>
            </wp:positionV>
            <wp:extent cx="7658100" cy="1585595"/>
            <wp:effectExtent l="0" t="0" r="0" b="0"/>
            <wp:wrapNone/>
            <wp:docPr id="2" name="Picture 2"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report_D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58100" cy="1585595"/>
                    </a:xfrm>
                    <a:prstGeom prst="rect">
                      <a:avLst/>
                    </a:prstGeom>
                    <a:noFill/>
                  </pic:spPr>
                </pic:pic>
              </a:graphicData>
            </a:graphic>
          </wp:anchor>
        </w:drawing>
      </w:r>
      <w:r w:rsidR="00A960E9">
        <w:rPr>
          <w:noProof/>
        </w:rPr>
        <w:t>Contents</w:t>
      </w:r>
    </w:p>
    <w:p w14:paraId="1559343B" w14:textId="77777777" w:rsidR="004E7FBC" w:rsidRDefault="005A0542">
      <w:pPr>
        <w:pStyle w:val="TOC1"/>
        <w:rPr>
          <w:rFonts w:asciiTheme="minorHAnsi" w:eastAsiaTheme="minorEastAsia" w:hAnsiTheme="minorHAnsi" w:cstheme="minorBidi"/>
          <w:noProof/>
          <w:color w:val="auto"/>
          <w:sz w:val="22"/>
          <w:szCs w:val="22"/>
        </w:rPr>
      </w:pPr>
      <w:r>
        <w:fldChar w:fldCharType="begin"/>
      </w:r>
      <w:r w:rsidR="00F74FC4">
        <w:instrText xml:space="preserve"> TOC \o "1-3" </w:instrText>
      </w:r>
      <w:r>
        <w:fldChar w:fldCharType="separate"/>
      </w:r>
      <w:r w:rsidR="004E7FBC">
        <w:rPr>
          <w:noProof/>
        </w:rPr>
        <w:t>1</w:t>
      </w:r>
      <w:r w:rsidR="004E7FBC">
        <w:rPr>
          <w:rFonts w:asciiTheme="minorHAnsi" w:eastAsiaTheme="minorEastAsia" w:hAnsiTheme="minorHAnsi" w:cstheme="minorBidi"/>
          <w:noProof/>
          <w:color w:val="auto"/>
          <w:sz w:val="22"/>
          <w:szCs w:val="22"/>
        </w:rPr>
        <w:tab/>
      </w:r>
      <w:r w:rsidR="004E7FBC">
        <w:rPr>
          <w:noProof/>
        </w:rPr>
        <w:t>Summary</w:t>
      </w:r>
      <w:r w:rsidR="004E7FBC">
        <w:rPr>
          <w:noProof/>
        </w:rPr>
        <w:tab/>
      </w:r>
      <w:r w:rsidR="004E7FBC">
        <w:rPr>
          <w:noProof/>
        </w:rPr>
        <w:fldChar w:fldCharType="begin"/>
      </w:r>
      <w:r w:rsidR="004E7FBC">
        <w:rPr>
          <w:noProof/>
        </w:rPr>
        <w:instrText xml:space="preserve"> PAGEREF _Toc347220219 \h </w:instrText>
      </w:r>
      <w:r w:rsidR="004E7FBC">
        <w:rPr>
          <w:noProof/>
        </w:rPr>
      </w:r>
      <w:r w:rsidR="004E7FBC">
        <w:rPr>
          <w:noProof/>
        </w:rPr>
        <w:fldChar w:fldCharType="separate"/>
      </w:r>
      <w:r w:rsidR="004E7FBC">
        <w:rPr>
          <w:noProof/>
        </w:rPr>
        <w:t>4</w:t>
      </w:r>
      <w:r w:rsidR="004E7FBC">
        <w:rPr>
          <w:noProof/>
        </w:rPr>
        <w:fldChar w:fldCharType="end"/>
      </w:r>
    </w:p>
    <w:p w14:paraId="1559343C" w14:textId="77777777" w:rsidR="004E7FBC" w:rsidRDefault="004E7FBC">
      <w:pPr>
        <w:pStyle w:val="TOC1"/>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rPr>
        <w:t>Development partnership principles</w:t>
      </w:r>
      <w:r>
        <w:rPr>
          <w:noProof/>
        </w:rPr>
        <w:tab/>
      </w:r>
      <w:r>
        <w:rPr>
          <w:noProof/>
        </w:rPr>
        <w:fldChar w:fldCharType="begin"/>
      </w:r>
      <w:r>
        <w:rPr>
          <w:noProof/>
        </w:rPr>
        <w:instrText xml:space="preserve"> PAGEREF _Toc347220220 \h </w:instrText>
      </w:r>
      <w:r>
        <w:rPr>
          <w:noProof/>
        </w:rPr>
      </w:r>
      <w:r>
        <w:rPr>
          <w:noProof/>
        </w:rPr>
        <w:fldChar w:fldCharType="separate"/>
      </w:r>
      <w:r>
        <w:rPr>
          <w:noProof/>
        </w:rPr>
        <w:t>6</w:t>
      </w:r>
      <w:r>
        <w:rPr>
          <w:noProof/>
        </w:rPr>
        <w:fldChar w:fldCharType="end"/>
      </w:r>
    </w:p>
    <w:p w14:paraId="1559343D" w14:textId="77777777" w:rsidR="004E7FBC" w:rsidRDefault="004E7FBC">
      <w:pPr>
        <w:pStyle w:val="TOC2"/>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rPr>
        <w:t>Principles and commitments</w:t>
      </w:r>
      <w:r>
        <w:rPr>
          <w:noProof/>
        </w:rPr>
        <w:tab/>
      </w:r>
      <w:r>
        <w:rPr>
          <w:noProof/>
        </w:rPr>
        <w:fldChar w:fldCharType="begin"/>
      </w:r>
      <w:r>
        <w:rPr>
          <w:noProof/>
        </w:rPr>
        <w:instrText xml:space="preserve"> PAGEREF _Toc347220221 \h </w:instrText>
      </w:r>
      <w:r>
        <w:rPr>
          <w:noProof/>
        </w:rPr>
      </w:r>
      <w:r>
        <w:rPr>
          <w:noProof/>
        </w:rPr>
        <w:fldChar w:fldCharType="separate"/>
      </w:r>
      <w:r>
        <w:rPr>
          <w:noProof/>
        </w:rPr>
        <w:t>6</w:t>
      </w:r>
      <w:r>
        <w:rPr>
          <w:noProof/>
        </w:rPr>
        <w:fldChar w:fldCharType="end"/>
      </w:r>
    </w:p>
    <w:p w14:paraId="1559343E" w14:textId="77777777" w:rsidR="004E7FBC" w:rsidRDefault="004E7FBC">
      <w:pPr>
        <w:pStyle w:val="TOC2"/>
        <w:rPr>
          <w:rFonts w:asciiTheme="minorHAnsi" w:eastAsiaTheme="minorEastAsia" w:hAnsiTheme="minorHAnsi" w:cstheme="minorBidi"/>
          <w:noProof/>
          <w:color w:val="auto"/>
          <w:sz w:val="22"/>
          <w:szCs w:val="22"/>
        </w:rPr>
      </w:pPr>
      <w:r>
        <w:rPr>
          <w:noProof/>
        </w:rPr>
        <w:t>2.2</w:t>
      </w:r>
      <w:r>
        <w:rPr>
          <w:rFonts w:asciiTheme="minorHAnsi" w:eastAsiaTheme="minorEastAsia" w:hAnsiTheme="minorHAnsi" w:cstheme="minorBidi"/>
          <w:noProof/>
          <w:color w:val="auto"/>
          <w:sz w:val="22"/>
          <w:szCs w:val="22"/>
        </w:rPr>
        <w:tab/>
      </w:r>
      <w:r>
        <w:rPr>
          <w:noProof/>
        </w:rPr>
        <w:t>Joint focus on results</w:t>
      </w:r>
      <w:r>
        <w:rPr>
          <w:noProof/>
        </w:rPr>
        <w:tab/>
      </w:r>
      <w:r>
        <w:rPr>
          <w:noProof/>
        </w:rPr>
        <w:fldChar w:fldCharType="begin"/>
      </w:r>
      <w:r>
        <w:rPr>
          <w:noProof/>
        </w:rPr>
        <w:instrText xml:space="preserve"> PAGEREF _Toc347220222 \h </w:instrText>
      </w:r>
      <w:r>
        <w:rPr>
          <w:noProof/>
        </w:rPr>
      </w:r>
      <w:r>
        <w:rPr>
          <w:noProof/>
        </w:rPr>
        <w:fldChar w:fldCharType="separate"/>
      </w:r>
      <w:r>
        <w:rPr>
          <w:noProof/>
        </w:rPr>
        <w:t>7</w:t>
      </w:r>
      <w:r>
        <w:rPr>
          <w:noProof/>
        </w:rPr>
        <w:fldChar w:fldCharType="end"/>
      </w:r>
    </w:p>
    <w:p w14:paraId="1559343F" w14:textId="77777777" w:rsidR="004E7FBC" w:rsidRDefault="004E7FBC">
      <w:pPr>
        <w:pStyle w:val="TOC1"/>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Context and rationale for Australian aid in Myanmar</w:t>
      </w:r>
      <w:r>
        <w:rPr>
          <w:noProof/>
        </w:rPr>
        <w:tab/>
      </w:r>
      <w:r>
        <w:rPr>
          <w:noProof/>
        </w:rPr>
        <w:fldChar w:fldCharType="begin"/>
      </w:r>
      <w:r>
        <w:rPr>
          <w:noProof/>
        </w:rPr>
        <w:instrText xml:space="preserve"> PAGEREF _Toc347220223 \h </w:instrText>
      </w:r>
      <w:r>
        <w:rPr>
          <w:noProof/>
        </w:rPr>
      </w:r>
      <w:r>
        <w:rPr>
          <w:noProof/>
        </w:rPr>
        <w:fldChar w:fldCharType="separate"/>
      </w:r>
      <w:r>
        <w:rPr>
          <w:noProof/>
        </w:rPr>
        <w:t>8</w:t>
      </w:r>
      <w:r>
        <w:rPr>
          <w:noProof/>
        </w:rPr>
        <w:fldChar w:fldCharType="end"/>
      </w:r>
    </w:p>
    <w:p w14:paraId="15593440" w14:textId="77777777" w:rsidR="004E7FBC" w:rsidRDefault="004E7FBC">
      <w:pPr>
        <w:pStyle w:val="TOC2"/>
        <w:rPr>
          <w:rFonts w:asciiTheme="minorHAnsi" w:eastAsiaTheme="minorEastAsia" w:hAnsiTheme="minorHAnsi" w:cstheme="minorBidi"/>
          <w:noProof/>
          <w:color w:val="auto"/>
          <w:sz w:val="22"/>
          <w:szCs w:val="22"/>
        </w:rPr>
      </w:pPr>
      <w:r>
        <w:rPr>
          <w:noProof/>
        </w:rPr>
        <w:t>3.1</w:t>
      </w:r>
      <w:r>
        <w:rPr>
          <w:rFonts w:asciiTheme="minorHAnsi" w:eastAsiaTheme="minorEastAsia" w:hAnsiTheme="minorHAnsi" w:cstheme="minorBidi"/>
          <w:noProof/>
          <w:color w:val="auto"/>
          <w:sz w:val="22"/>
          <w:szCs w:val="22"/>
        </w:rPr>
        <w:tab/>
      </w:r>
      <w:r>
        <w:rPr>
          <w:noProof/>
        </w:rPr>
        <w:t>Poverty and need</w:t>
      </w:r>
      <w:r>
        <w:rPr>
          <w:noProof/>
        </w:rPr>
        <w:tab/>
      </w:r>
      <w:r>
        <w:rPr>
          <w:noProof/>
        </w:rPr>
        <w:fldChar w:fldCharType="begin"/>
      </w:r>
      <w:r>
        <w:rPr>
          <w:noProof/>
        </w:rPr>
        <w:instrText xml:space="preserve"> PAGEREF _Toc347220224 \h </w:instrText>
      </w:r>
      <w:r>
        <w:rPr>
          <w:noProof/>
        </w:rPr>
      </w:r>
      <w:r>
        <w:rPr>
          <w:noProof/>
        </w:rPr>
        <w:fldChar w:fldCharType="separate"/>
      </w:r>
      <w:r>
        <w:rPr>
          <w:noProof/>
        </w:rPr>
        <w:t>8</w:t>
      </w:r>
      <w:r>
        <w:rPr>
          <w:noProof/>
        </w:rPr>
        <w:fldChar w:fldCharType="end"/>
      </w:r>
    </w:p>
    <w:p w14:paraId="15593441" w14:textId="77777777" w:rsidR="004E7FBC" w:rsidRDefault="004E7FBC">
      <w:pPr>
        <w:pStyle w:val="TOC2"/>
        <w:rPr>
          <w:rFonts w:asciiTheme="minorHAnsi" w:eastAsiaTheme="minorEastAsia" w:hAnsiTheme="minorHAnsi" w:cstheme="minorBidi"/>
          <w:noProof/>
          <w:color w:val="auto"/>
          <w:sz w:val="22"/>
          <w:szCs w:val="22"/>
        </w:rPr>
      </w:pPr>
      <w:r>
        <w:rPr>
          <w:noProof/>
        </w:rPr>
        <w:t>3.2</w:t>
      </w:r>
      <w:r>
        <w:rPr>
          <w:rFonts w:asciiTheme="minorHAnsi" w:eastAsiaTheme="minorEastAsia" w:hAnsiTheme="minorHAnsi" w:cstheme="minorBidi"/>
          <w:noProof/>
          <w:color w:val="auto"/>
          <w:sz w:val="22"/>
          <w:szCs w:val="22"/>
        </w:rPr>
        <w:tab/>
      </w:r>
      <w:r>
        <w:rPr>
          <w:noProof/>
        </w:rPr>
        <w:t>Australia’s national interests</w:t>
      </w:r>
      <w:r>
        <w:rPr>
          <w:noProof/>
        </w:rPr>
        <w:tab/>
      </w:r>
      <w:r>
        <w:rPr>
          <w:noProof/>
        </w:rPr>
        <w:fldChar w:fldCharType="begin"/>
      </w:r>
      <w:r>
        <w:rPr>
          <w:noProof/>
        </w:rPr>
        <w:instrText xml:space="preserve"> PAGEREF _Toc347220225 \h </w:instrText>
      </w:r>
      <w:r>
        <w:rPr>
          <w:noProof/>
        </w:rPr>
      </w:r>
      <w:r>
        <w:rPr>
          <w:noProof/>
        </w:rPr>
        <w:fldChar w:fldCharType="separate"/>
      </w:r>
      <w:r>
        <w:rPr>
          <w:noProof/>
        </w:rPr>
        <w:t>9</w:t>
      </w:r>
      <w:r>
        <w:rPr>
          <w:noProof/>
        </w:rPr>
        <w:fldChar w:fldCharType="end"/>
      </w:r>
    </w:p>
    <w:p w14:paraId="15593442" w14:textId="77777777" w:rsidR="004E7FBC" w:rsidRDefault="004E7FBC">
      <w:pPr>
        <w:pStyle w:val="TOC2"/>
        <w:rPr>
          <w:rFonts w:asciiTheme="minorHAnsi" w:eastAsiaTheme="minorEastAsia" w:hAnsiTheme="minorHAnsi" w:cstheme="minorBidi"/>
          <w:noProof/>
          <w:color w:val="auto"/>
          <w:sz w:val="22"/>
          <w:szCs w:val="22"/>
        </w:rPr>
      </w:pPr>
      <w:r>
        <w:rPr>
          <w:noProof/>
        </w:rPr>
        <w:t>3.3</w:t>
      </w:r>
      <w:r>
        <w:rPr>
          <w:rFonts w:asciiTheme="minorHAnsi" w:eastAsiaTheme="minorEastAsia" w:hAnsiTheme="minorHAnsi" w:cstheme="minorBidi"/>
          <w:noProof/>
          <w:color w:val="auto"/>
          <w:sz w:val="22"/>
          <w:szCs w:val="22"/>
        </w:rPr>
        <w:tab/>
      </w:r>
      <w:r>
        <w:rPr>
          <w:noProof/>
        </w:rPr>
        <w:t>Capacity to make a difference</w:t>
      </w:r>
      <w:r>
        <w:rPr>
          <w:noProof/>
        </w:rPr>
        <w:tab/>
      </w:r>
      <w:r>
        <w:rPr>
          <w:noProof/>
        </w:rPr>
        <w:fldChar w:fldCharType="begin"/>
      </w:r>
      <w:r>
        <w:rPr>
          <w:noProof/>
        </w:rPr>
        <w:instrText xml:space="preserve"> PAGEREF _Toc347220226 \h </w:instrText>
      </w:r>
      <w:r>
        <w:rPr>
          <w:noProof/>
        </w:rPr>
      </w:r>
      <w:r>
        <w:rPr>
          <w:noProof/>
        </w:rPr>
        <w:fldChar w:fldCharType="separate"/>
      </w:r>
      <w:r>
        <w:rPr>
          <w:noProof/>
        </w:rPr>
        <w:t>10</w:t>
      </w:r>
      <w:r>
        <w:rPr>
          <w:noProof/>
        </w:rPr>
        <w:fldChar w:fldCharType="end"/>
      </w:r>
    </w:p>
    <w:p w14:paraId="15593443" w14:textId="77777777" w:rsidR="004E7FBC" w:rsidRDefault="004E7FBC">
      <w:pPr>
        <w:pStyle w:val="TOC2"/>
        <w:rPr>
          <w:rFonts w:asciiTheme="minorHAnsi" w:eastAsiaTheme="minorEastAsia" w:hAnsiTheme="minorHAnsi" w:cstheme="minorBidi"/>
          <w:noProof/>
          <w:color w:val="auto"/>
          <w:sz w:val="22"/>
          <w:szCs w:val="22"/>
        </w:rPr>
      </w:pPr>
      <w:r>
        <w:rPr>
          <w:noProof/>
        </w:rPr>
        <w:t>3.4</w:t>
      </w:r>
      <w:r>
        <w:rPr>
          <w:rFonts w:asciiTheme="minorHAnsi" w:eastAsiaTheme="minorEastAsia" w:hAnsiTheme="minorHAnsi" w:cstheme="minorBidi"/>
          <w:noProof/>
          <w:color w:val="auto"/>
          <w:sz w:val="22"/>
          <w:szCs w:val="22"/>
        </w:rPr>
        <w:tab/>
      </w:r>
      <w:r>
        <w:rPr>
          <w:noProof/>
        </w:rPr>
        <w:t>Scale and effectiveness</w:t>
      </w:r>
      <w:r>
        <w:rPr>
          <w:noProof/>
        </w:rPr>
        <w:tab/>
      </w:r>
      <w:r>
        <w:rPr>
          <w:noProof/>
        </w:rPr>
        <w:fldChar w:fldCharType="begin"/>
      </w:r>
      <w:r>
        <w:rPr>
          <w:noProof/>
        </w:rPr>
        <w:instrText xml:space="preserve"> PAGEREF _Toc347220227 \h </w:instrText>
      </w:r>
      <w:r>
        <w:rPr>
          <w:noProof/>
        </w:rPr>
      </w:r>
      <w:r>
        <w:rPr>
          <w:noProof/>
        </w:rPr>
        <w:fldChar w:fldCharType="separate"/>
      </w:r>
      <w:r>
        <w:rPr>
          <w:noProof/>
        </w:rPr>
        <w:t>11</w:t>
      </w:r>
      <w:r>
        <w:rPr>
          <w:noProof/>
        </w:rPr>
        <w:fldChar w:fldCharType="end"/>
      </w:r>
    </w:p>
    <w:p w14:paraId="15593444" w14:textId="77777777" w:rsidR="004E7FBC" w:rsidRDefault="004E7FBC">
      <w:pPr>
        <w:pStyle w:val="TOC1"/>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Strategic priorities for Australian aid</w:t>
      </w:r>
      <w:r>
        <w:rPr>
          <w:noProof/>
        </w:rPr>
        <w:tab/>
      </w:r>
      <w:r>
        <w:rPr>
          <w:noProof/>
        </w:rPr>
        <w:fldChar w:fldCharType="begin"/>
      </w:r>
      <w:r>
        <w:rPr>
          <w:noProof/>
        </w:rPr>
        <w:instrText xml:space="preserve"> PAGEREF _Toc347220228 \h </w:instrText>
      </w:r>
      <w:r>
        <w:rPr>
          <w:noProof/>
        </w:rPr>
      </w:r>
      <w:r>
        <w:rPr>
          <w:noProof/>
        </w:rPr>
        <w:fldChar w:fldCharType="separate"/>
      </w:r>
      <w:r>
        <w:rPr>
          <w:noProof/>
        </w:rPr>
        <w:t>13</w:t>
      </w:r>
      <w:r>
        <w:rPr>
          <w:noProof/>
        </w:rPr>
        <w:fldChar w:fldCharType="end"/>
      </w:r>
    </w:p>
    <w:p w14:paraId="15593445" w14:textId="77777777" w:rsidR="004E7FBC" w:rsidRDefault="004E7FBC">
      <w:pPr>
        <w:pStyle w:val="TOC2"/>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Proposed focus areas, expected outcomes and Australia’s contribution</w:t>
      </w:r>
      <w:r>
        <w:rPr>
          <w:noProof/>
        </w:rPr>
        <w:tab/>
      </w:r>
      <w:r>
        <w:rPr>
          <w:noProof/>
        </w:rPr>
        <w:fldChar w:fldCharType="begin"/>
      </w:r>
      <w:r>
        <w:rPr>
          <w:noProof/>
        </w:rPr>
        <w:instrText xml:space="preserve"> PAGEREF _Toc347220229 \h </w:instrText>
      </w:r>
      <w:r>
        <w:rPr>
          <w:noProof/>
        </w:rPr>
      </w:r>
      <w:r>
        <w:rPr>
          <w:noProof/>
        </w:rPr>
        <w:fldChar w:fldCharType="separate"/>
      </w:r>
      <w:r>
        <w:rPr>
          <w:noProof/>
        </w:rPr>
        <w:t>13</w:t>
      </w:r>
      <w:r>
        <w:rPr>
          <w:noProof/>
        </w:rPr>
        <w:fldChar w:fldCharType="end"/>
      </w:r>
    </w:p>
    <w:p w14:paraId="15593446" w14:textId="77777777" w:rsidR="004E7FBC" w:rsidRDefault="004E7FBC">
      <w:pPr>
        <w:pStyle w:val="TOC2"/>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Program approaches and ways of working</w:t>
      </w:r>
      <w:r>
        <w:rPr>
          <w:noProof/>
        </w:rPr>
        <w:tab/>
      </w:r>
      <w:r>
        <w:rPr>
          <w:noProof/>
        </w:rPr>
        <w:fldChar w:fldCharType="begin"/>
      </w:r>
      <w:r>
        <w:rPr>
          <w:noProof/>
        </w:rPr>
        <w:instrText xml:space="preserve"> PAGEREF _Toc347220230 \h </w:instrText>
      </w:r>
      <w:r>
        <w:rPr>
          <w:noProof/>
        </w:rPr>
      </w:r>
      <w:r>
        <w:rPr>
          <w:noProof/>
        </w:rPr>
        <w:fldChar w:fldCharType="separate"/>
      </w:r>
      <w:r>
        <w:rPr>
          <w:noProof/>
        </w:rPr>
        <w:t>16</w:t>
      </w:r>
      <w:r>
        <w:rPr>
          <w:noProof/>
        </w:rPr>
        <w:fldChar w:fldCharType="end"/>
      </w:r>
    </w:p>
    <w:p w14:paraId="15593447" w14:textId="77777777" w:rsidR="004E7FBC" w:rsidRDefault="004E7FBC">
      <w:pPr>
        <w:pStyle w:val="TOC1"/>
        <w:rPr>
          <w:rFonts w:asciiTheme="minorHAnsi" w:eastAsiaTheme="minorEastAsia" w:hAnsiTheme="minorHAnsi" w:cstheme="minorBidi"/>
          <w:noProof/>
          <w:color w:val="auto"/>
          <w:sz w:val="22"/>
          <w:szCs w:val="22"/>
        </w:rPr>
      </w:pPr>
      <w:r>
        <w:rPr>
          <w:noProof/>
        </w:rPr>
        <w:t>5</w:t>
      </w:r>
      <w:r>
        <w:rPr>
          <w:rFonts w:asciiTheme="minorHAnsi" w:eastAsiaTheme="minorEastAsia" w:hAnsiTheme="minorHAnsi" w:cstheme="minorBidi"/>
          <w:noProof/>
          <w:color w:val="auto"/>
          <w:sz w:val="22"/>
          <w:szCs w:val="22"/>
        </w:rPr>
        <w:tab/>
      </w:r>
      <w:r>
        <w:rPr>
          <w:noProof/>
        </w:rPr>
        <w:t>Program performance and risk management</w:t>
      </w:r>
      <w:r>
        <w:rPr>
          <w:noProof/>
        </w:rPr>
        <w:tab/>
      </w:r>
      <w:r>
        <w:rPr>
          <w:noProof/>
        </w:rPr>
        <w:fldChar w:fldCharType="begin"/>
      </w:r>
      <w:r>
        <w:rPr>
          <w:noProof/>
        </w:rPr>
        <w:instrText xml:space="preserve"> PAGEREF _Toc347220231 \h </w:instrText>
      </w:r>
      <w:r>
        <w:rPr>
          <w:noProof/>
        </w:rPr>
      </w:r>
      <w:r>
        <w:rPr>
          <w:noProof/>
        </w:rPr>
        <w:fldChar w:fldCharType="separate"/>
      </w:r>
      <w:r>
        <w:rPr>
          <w:noProof/>
        </w:rPr>
        <w:t>18</w:t>
      </w:r>
      <w:r>
        <w:rPr>
          <w:noProof/>
        </w:rPr>
        <w:fldChar w:fldCharType="end"/>
      </w:r>
    </w:p>
    <w:p w14:paraId="15593448" w14:textId="77777777" w:rsidR="004E7FBC" w:rsidRDefault="004E7FBC">
      <w:pPr>
        <w:pStyle w:val="TOC2"/>
        <w:rPr>
          <w:rFonts w:asciiTheme="minorHAnsi" w:eastAsiaTheme="minorEastAsia" w:hAnsiTheme="minorHAnsi" w:cstheme="minorBidi"/>
          <w:noProof/>
          <w:color w:val="auto"/>
          <w:sz w:val="22"/>
          <w:szCs w:val="22"/>
        </w:rPr>
      </w:pPr>
      <w:r>
        <w:rPr>
          <w:noProof/>
        </w:rPr>
        <w:t>5.1</w:t>
      </w:r>
      <w:r>
        <w:rPr>
          <w:rFonts w:asciiTheme="minorHAnsi" w:eastAsiaTheme="minorEastAsia" w:hAnsiTheme="minorHAnsi" w:cstheme="minorBidi"/>
          <w:noProof/>
          <w:color w:val="auto"/>
          <w:sz w:val="22"/>
          <w:szCs w:val="22"/>
        </w:rPr>
        <w:tab/>
      </w:r>
      <w:r>
        <w:rPr>
          <w:noProof/>
        </w:rPr>
        <w:t>What success will look like at the end of the strategy</w:t>
      </w:r>
      <w:r>
        <w:rPr>
          <w:noProof/>
        </w:rPr>
        <w:tab/>
      </w:r>
      <w:r>
        <w:rPr>
          <w:noProof/>
        </w:rPr>
        <w:fldChar w:fldCharType="begin"/>
      </w:r>
      <w:r>
        <w:rPr>
          <w:noProof/>
        </w:rPr>
        <w:instrText xml:space="preserve"> PAGEREF _Toc347220232 \h </w:instrText>
      </w:r>
      <w:r>
        <w:rPr>
          <w:noProof/>
        </w:rPr>
      </w:r>
      <w:r>
        <w:rPr>
          <w:noProof/>
        </w:rPr>
        <w:fldChar w:fldCharType="separate"/>
      </w:r>
      <w:r>
        <w:rPr>
          <w:noProof/>
        </w:rPr>
        <w:t>18</w:t>
      </w:r>
      <w:r>
        <w:rPr>
          <w:noProof/>
        </w:rPr>
        <w:fldChar w:fldCharType="end"/>
      </w:r>
    </w:p>
    <w:p w14:paraId="15593449" w14:textId="77777777" w:rsidR="004E7FBC" w:rsidRDefault="004E7FBC">
      <w:pPr>
        <w:pStyle w:val="TOC2"/>
        <w:rPr>
          <w:rFonts w:asciiTheme="minorHAnsi" w:eastAsiaTheme="minorEastAsia" w:hAnsiTheme="minorHAnsi" w:cstheme="minorBidi"/>
          <w:noProof/>
          <w:color w:val="auto"/>
          <w:sz w:val="22"/>
          <w:szCs w:val="22"/>
        </w:rPr>
      </w:pPr>
      <w:r>
        <w:rPr>
          <w:noProof/>
        </w:rPr>
        <w:t>5.2</w:t>
      </w:r>
      <w:r>
        <w:rPr>
          <w:rFonts w:asciiTheme="minorHAnsi" w:eastAsiaTheme="minorEastAsia" w:hAnsiTheme="minorHAnsi" w:cstheme="minorBidi"/>
          <w:noProof/>
          <w:color w:val="auto"/>
          <w:sz w:val="22"/>
          <w:szCs w:val="22"/>
        </w:rPr>
        <w:tab/>
      </w:r>
      <w:r>
        <w:rPr>
          <w:noProof/>
        </w:rPr>
        <w:t>Performance assessment framework</w:t>
      </w:r>
      <w:r>
        <w:rPr>
          <w:noProof/>
        </w:rPr>
        <w:tab/>
      </w:r>
      <w:r>
        <w:rPr>
          <w:noProof/>
        </w:rPr>
        <w:fldChar w:fldCharType="begin"/>
      </w:r>
      <w:r>
        <w:rPr>
          <w:noProof/>
        </w:rPr>
        <w:instrText xml:space="preserve"> PAGEREF _Toc347220233 \h </w:instrText>
      </w:r>
      <w:r>
        <w:rPr>
          <w:noProof/>
        </w:rPr>
      </w:r>
      <w:r>
        <w:rPr>
          <w:noProof/>
        </w:rPr>
        <w:fldChar w:fldCharType="separate"/>
      </w:r>
      <w:r>
        <w:rPr>
          <w:noProof/>
        </w:rPr>
        <w:t>18</w:t>
      </w:r>
      <w:r>
        <w:rPr>
          <w:noProof/>
        </w:rPr>
        <w:fldChar w:fldCharType="end"/>
      </w:r>
    </w:p>
    <w:p w14:paraId="1559344A" w14:textId="77777777" w:rsidR="004E7FBC" w:rsidRDefault="004E7FBC">
      <w:pPr>
        <w:pStyle w:val="TOC2"/>
        <w:rPr>
          <w:rFonts w:asciiTheme="minorHAnsi" w:eastAsiaTheme="minorEastAsia" w:hAnsiTheme="minorHAnsi" w:cstheme="minorBidi"/>
          <w:noProof/>
          <w:color w:val="auto"/>
          <w:sz w:val="22"/>
          <w:szCs w:val="22"/>
        </w:rPr>
      </w:pPr>
      <w:r>
        <w:rPr>
          <w:noProof/>
        </w:rPr>
        <w:t>5.3</w:t>
      </w:r>
      <w:r>
        <w:rPr>
          <w:rFonts w:asciiTheme="minorHAnsi" w:eastAsiaTheme="minorEastAsia" w:hAnsiTheme="minorHAnsi" w:cstheme="minorBidi"/>
          <w:noProof/>
          <w:color w:val="auto"/>
          <w:sz w:val="22"/>
          <w:szCs w:val="22"/>
        </w:rPr>
        <w:tab/>
      </w:r>
      <w:r>
        <w:rPr>
          <w:noProof/>
        </w:rPr>
        <w:t>Risk management</w:t>
      </w:r>
      <w:r>
        <w:rPr>
          <w:noProof/>
        </w:rPr>
        <w:tab/>
      </w:r>
      <w:r>
        <w:rPr>
          <w:noProof/>
        </w:rPr>
        <w:fldChar w:fldCharType="begin"/>
      </w:r>
      <w:r>
        <w:rPr>
          <w:noProof/>
        </w:rPr>
        <w:instrText xml:space="preserve"> PAGEREF _Toc347220234 \h </w:instrText>
      </w:r>
      <w:r>
        <w:rPr>
          <w:noProof/>
        </w:rPr>
      </w:r>
      <w:r>
        <w:rPr>
          <w:noProof/>
        </w:rPr>
        <w:fldChar w:fldCharType="separate"/>
      </w:r>
      <w:r>
        <w:rPr>
          <w:noProof/>
        </w:rPr>
        <w:t>21</w:t>
      </w:r>
      <w:r>
        <w:rPr>
          <w:noProof/>
        </w:rPr>
        <w:fldChar w:fldCharType="end"/>
      </w:r>
    </w:p>
    <w:p w14:paraId="1559344B" w14:textId="77777777" w:rsidR="004E7FBC" w:rsidRDefault="004E7FBC">
      <w:pPr>
        <w:pStyle w:val="TOC1"/>
        <w:rPr>
          <w:rFonts w:asciiTheme="minorHAnsi" w:eastAsiaTheme="minorEastAsia" w:hAnsiTheme="minorHAnsi" w:cstheme="minorBidi"/>
          <w:noProof/>
          <w:color w:val="auto"/>
          <w:sz w:val="22"/>
          <w:szCs w:val="22"/>
        </w:rPr>
      </w:pPr>
      <w:r>
        <w:rPr>
          <w:noProof/>
        </w:rPr>
        <w:t>6</w:t>
      </w:r>
      <w:r>
        <w:rPr>
          <w:rFonts w:asciiTheme="minorHAnsi" w:eastAsiaTheme="minorEastAsia" w:hAnsiTheme="minorHAnsi" w:cstheme="minorBidi"/>
          <w:noProof/>
          <w:color w:val="auto"/>
          <w:sz w:val="22"/>
          <w:szCs w:val="22"/>
        </w:rPr>
        <w:tab/>
      </w:r>
      <w:r>
        <w:rPr>
          <w:noProof/>
        </w:rPr>
        <w:t>References</w:t>
      </w:r>
      <w:r>
        <w:rPr>
          <w:noProof/>
        </w:rPr>
        <w:tab/>
      </w:r>
      <w:r>
        <w:rPr>
          <w:noProof/>
        </w:rPr>
        <w:fldChar w:fldCharType="begin"/>
      </w:r>
      <w:r>
        <w:rPr>
          <w:noProof/>
        </w:rPr>
        <w:instrText xml:space="preserve"> PAGEREF _Toc347220235 \h </w:instrText>
      </w:r>
      <w:r>
        <w:rPr>
          <w:noProof/>
        </w:rPr>
      </w:r>
      <w:r>
        <w:rPr>
          <w:noProof/>
        </w:rPr>
        <w:fldChar w:fldCharType="separate"/>
      </w:r>
      <w:r>
        <w:rPr>
          <w:noProof/>
        </w:rPr>
        <w:t>22</w:t>
      </w:r>
      <w:r>
        <w:rPr>
          <w:noProof/>
        </w:rPr>
        <w:fldChar w:fldCharType="end"/>
      </w:r>
    </w:p>
    <w:p w14:paraId="1559344C" w14:textId="77777777" w:rsidR="00A960E9" w:rsidRDefault="005A0542" w:rsidP="00527F65">
      <w:pPr>
        <w:pStyle w:val="TOC1"/>
      </w:pPr>
      <w:r>
        <w:fldChar w:fldCharType="end"/>
      </w:r>
    </w:p>
    <w:p w14:paraId="1559344D" w14:textId="77777777" w:rsidR="00A960E9" w:rsidRDefault="00A960E9" w:rsidP="00527F65">
      <w:pPr>
        <w:pStyle w:val="BodyText"/>
      </w:pPr>
    </w:p>
    <w:p w14:paraId="1559344E" w14:textId="77777777" w:rsidR="0060759A" w:rsidRPr="0060759A" w:rsidRDefault="00ED06CB" w:rsidP="00527F65">
      <w:pPr>
        <w:pStyle w:val="Heading1"/>
        <w:rPr>
          <w:noProof/>
        </w:rPr>
      </w:pPr>
      <w:bookmarkStart w:id="7" w:name="_Toc347220219"/>
      <w:r>
        <w:rPr>
          <w:noProof/>
        </w:rPr>
        <w:lastRenderedPageBreak/>
        <w:drawing>
          <wp:anchor distT="0" distB="0" distL="114300" distR="114300" simplePos="0" relativeHeight="251658240" behindDoc="1" locked="0" layoutInCell="1" allowOverlap="1" wp14:anchorId="1559355E" wp14:editId="1559355F">
            <wp:simplePos x="0" y="0"/>
            <wp:positionH relativeFrom="page">
              <wp:posOffset>-92710</wp:posOffset>
            </wp:positionH>
            <wp:positionV relativeFrom="page">
              <wp:posOffset>1054735</wp:posOffset>
            </wp:positionV>
            <wp:extent cx="7788910" cy="1585595"/>
            <wp:effectExtent l="0" t="0" r="2540" b="0"/>
            <wp:wrapNone/>
            <wp:docPr id="8" name="Picture 8"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AID_report_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anchor>
        </w:drawing>
      </w:r>
      <w:r w:rsidR="00993138">
        <w:rPr>
          <w:noProof/>
        </w:rPr>
        <w:t>Summary</w:t>
      </w:r>
      <w:bookmarkEnd w:id="7"/>
    </w:p>
    <w:p w14:paraId="1559344F" w14:textId="77777777" w:rsidR="004C6E1A" w:rsidRDefault="004C6E1A" w:rsidP="00527F65">
      <w:pPr>
        <w:pStyle w:val="BodyText"/>
      </w:pPr>
    </w:p>
    <w:p w14:paraId="15593450" w14:textId="77777777" w:rsidR="00735200" w:rsidRPr="00527F65" w:rsidRDefault="00DC09FD" w:rsidP="00527F65">
      <w:r w:rsidRPr="00527F65">
        <w:t xml:space="preserve">Myanmar is undergoing a </w:t>
      </w:r>
      <w:r w:rsidR="0074366A" w:rsidRPr="00527F65">
        <w:t>period of ambitious reform that is</w:t>
      </w:r>
      <w:r w:rsidRPr="00527F65">
        <w:t xml:space="preserve"> unprecedented in its recent history</w:t>
      </w:r>
      <w:r w:rsidR="0074366A" w:rsidRPr="00527F65">
        <w:t>; the p</w:t>
      </w:r>
      <w:r w:rsidR="0025236A" w:rsidRPr="00527F65">
        <w:t>otential for</w:t>
      </w:r>
      <w:r w:rsidR="0074366A" w:rsidRPr="00527F65">
        <w:t xml:space="preserve"> a prosperous </w:t>
      </w:r>
      <w:r w:rsidR="00204464" w:rsidRPr="00527F65">
        <w:t>country</w:t>
      </w:r>
      <w:r w:rsidR="0074366A" w:rsidRPr="00527F65">
        <w:t xml:space="preserve"> is greater </w:t>
      </w:r>
      <w:r w:rsidRPr="00527F65">
        <w:t>now than at any time in the last 50 years</w:t>
      </w:r>
      <w:r w:rsidR="00BB75AB" w:rsidRPr="00527F65">
        <w:t xml:space="preserve">. </w:t>
      </w:r>
      <w:r w:rsidR="00735200" w:rsidRPr="00527F65">
        <w:t xml:space="preserve">The </w:t>
      </w:r>
      <w:r w:rsidR="0074366A" w:rsidRPr="00527F65">
        <w:t>scope and scale</w:t>
      </w:r>
      <w:r w:rsidR="004A65A9" w:rsidRPr="00527F65">
        <w:t xml:space="preserve"> of the</w:t>
      </w:r>
      <w:r w:rsidR="005D0D74" w:rsidRPr="00527F65">
        <w:t>se</w:t>
      </w:r>
      <w:r w:rsidR="004A65A9" w:rsidRPr="00527F65">
        <w:t xml:space="preserve"> </w:t>
      </w:r>
      <w:r w:rsidR="00735200" w:rsidRPr="00527F65">
        <w:t>reform</w:t>
      </w:r>
      <w:r w:rsidR="00724EAA" w:rsidRPr="00527F65">
        <w:t>s</w:t>
      </w:r>
      <w:r w:rsidR="00735200" w:rsidRPr="00527F65">
        <w:t xml:space="preserve"> present</w:t>
      </w:r>
      <w:r w:rsidR="000F6EFA" w:rsidRPr="00527F65">
        <w:t>s</w:t>
      </w:r>
      <w:r w:rsidR="00735200" w:rsidRPr="00527F65">
        <w:t xml:space="preserve"> </w:t>
      </w:r>
      <w:r w:rsidR="005D0D74" w:rsidRPr="00527F65">
        <w:t>a</w:t>
      </w:r>
      <w:r w:rsidR="00735200" w:rsidRPr="00527F65">
        <w:t xml:space="preserve"> </w:t>
      </w:r>
      <w:r w:rsidR="005D0D74" w:rsidRPr="00527F65">
        <w:t xml:space="preserve">unique </w:t>
      </w:r>
      <w:r w:rsidR="00735200" w:rsidRPr="00527F65">
        <w:t xml:space="preserve">opportunity for Australia to support </w:t>
      </w:r>
      <w:r w:rsidR="00204464" w:rsidRPr="00527F65">
        <w:t>Myanmar’s</w:t>
      </w:r>
      <w:r w:rsidR="00BB75AB" w:rsidRPr="00527F65">
        <w:t xml:space="preserve"> </w:t>
      </w:r>
      <w:r w:rsidR="00735200" w:rsidRPr="00527F65">
        <w:t>transition to democracy</w:t>
      </w:r>
      <w:r w:rsidR="00946A58" w:rsidRPr="00527F65">
        <w:t xml:space="preserve"> </w:t>
      </w:r>
      <w:r w:rsidR="00735200" w:rsidRPr="00527F65">
        <w:t>and secure sustainable improvements in the lives of its people.</w:t>
      </w:r>
    </w:p>
    <w:p w14:paraId="15593451" w14:textId="77777777" w:rsidR="00735200" w:rsidRDefault="0074366A" w:rsidP="00527F65">
      <w:r>
        <w:t>Reconnecting Myanmar to</w:t>
      </w:r>
      <w:r w:rsidR="00735200" w:rsidRPr="00245594">
        <w:t xml:space="preserve"> the international community and </w:t>
      </w:r>
      <w:r>
        <w:t xml:space="preserve">supporting it </w:t>
      </w:r>
      <w:r w:rsidR="00735200" w:rsidRPr="00245594">
        <w:t>t</w:t>
      </w:r>
      <w:r>
        <w:t>o</w:t>
      </w:r>
      <w:r w:rsidR="00735200" w:rsidRPr="00245594">
        <w:t xml:space="preserve"> </w:t>
      </w:r>
      <w:r w:rsidR="005D0D74">
        <w:t>become</w:t>
      </w:r>
      <w:r>
        <w:t xml:space="preserve"> </w:t>
      </w:r>
      <w:r w:rsidR="00735200" w:rsidRPr="00245594">
        <w:t xml:space="preserve">a democratic, peaceful and </w:t>
      </w:r>
      <w:r>
        <w:t xml:space="preserve">thriving </w:t>
      </w:r>
      <w:r w:rsidR="0025236A">
        <w:t>country</w:t>
      </w:r>
      <w:r w:rsidR="0025236A" w:rsidRPr="00245594">
        <w:t xml:space="preserve"> </w:t>
      </w:r>
      <w:r w:rsidR="00735200" w:rsidRPr="00245594">
        <w:t xml:space="preserve">are in Australia’s national interest. </w:t>
      </w:r>
      <w:r w:rsidR="000F6EFA">
        <w:t xml:space="preserve">While there have been many positive developments, </w:t>
      </w:r>
      <w:r w:rsidR="004A65A9">
        <w:t xml:space="preserve">Myanmar remains </w:t>
      </w:r>
      <w:r w:rsidR="004A65A9" w:rsidRPr="00245594">
        <w:t xml:space="preserve">one of the poorest countries in South East Asia and has </w:t>
      </w:r>
      <w:r w:rsidR="0025236A">
        <w:t>some of</w:t>
      </w:r>
      <w:r w:rsidR="0025236A" w:rsidRPr="00245594">
        <w:t xml:space="preserve"> </w:t>
      </w:r>
      <w:r w:rsidR="004A65A9" w:rsidRPr="00245594">
        <w:t>the lowest social development indicators in the region</w:t>
      </w:r>
      <w:r w:rsidR="00BB75AB">
        <w:t xml:space="preserve">. </w:t>
      </w:r>
      <w:r w:rsidR="004A65A9">
        <w:t xml:space="preserve">In recent years, however, </w:t>
      </w:r>
      <w:r w:rsidR="004A65A9" w:rsidRPr="00245594">
        <w:t>Myanmar</w:t>
      </w:r>
      <w:r w:rsidR="004A65A9">
        <w:t xml:space="preserve"> </w:t>
      </w:r>
      <w:r w:rsidR="004A65A9" w:rsidRPr="00245594">
        <w:t>has received less aid per person than any of the other 50 p</w:t>
      </w:r>
      <w:r w:rsidR="004A65A9">
        <w:t>oorest countries in the world</w:t>
      </w:r>
      <w:r w:rsidR="00204464">
        <w:t>,</w:t>
      </w:r>
      <w:r w:rsidR="004A65A9">
        <w:t xml:space="preserve"> due to its diplomatic isolation.</w:t>
      </w:r>
    </w:p>
    <w:p w14:paraId="15593452" w14:textId="77777777" w:rsidR="00D54863" w:rsidRDefault="00D54863" w:rsidP="00527F65">
      <w:r>
        <w:t xml:space="preserve">In recognition of the pace of </w:t>
      </w:r>
      <w:r w:rsidR="0025236A">
        <w:t>change</w:t>
      </w:r>
      <w:r w:rsidR="006260C4">
        <w:t>,</w:t>
      </w:r>
      <w:r w:rsidR="0025236A">
        <w:t xml:space="preserve"> </w:t>
      </w:r>
      <w:r>
        <w:t xml:space="preserve">Australia’s aid program </w:t>
      </w:r>
      <w:r w:rsidR="006770F5">
        <w:t>will</w:t>
      </w:r>
      <w:r>
        <w:t xml:space="preserve"> </w:t>
      </w:r>
      <w:r w:rsidR="00253D47">
        <w:t xml:space="preserve">remain </w:t>
      </w:r>
      <w:r>
        <w:t>flexible and responsive to emerging opportunities to support the</w:t>
      </w:r>
      <w:r w:rsidR="009D6DB9">
        <w:t xml:space="preserve"> country’s</w:t>
      </w:r>
      <w:r>
        <w:t xml:space="preserve"> reform agenda. </w:t>
      </w:r>
      <w:r w:rsidR="00D07921">
        <w:t>Australia will support Myanmar to grow its economy, strengthen the rule of law and develop effective democratic institutions</w:t>
      </w:r>
      <w:r w:rsidR="00BB75AB">
        <w:t xml:space="preserve">. </w:t>
      </w:r>
      <w:r>
        <w:t xml:space="preserve">Australia will also support the ongoing peace process and look for ways to extend the reach of our assistance to communities in Myanmar </w:t>
      </w:r>
      <w:r w:rsidR="001545F5">
        <w:t>which</w:t>
      </w:r>
      <w:r>
        <w:t xml:space="preserve"> have been isolated from essential services</w:t>
      </w:r>
      <w:r w:rsidR="009D6DB9">
        <w:t>,</w:t>
      </w:r>
      <w:r>
        <w:t xml:space="preserve"> </w:t>
      </w:r>
      <w:r w:rsidR="006260C4">
        <w:t xml:space="preserve">to </w:t>
      </w:r>
      <w:r>
        <w:t xml:space="preserve">help them </w:t>
      </w:r>
      <w:r w:rsidR="001545F5">
        <w:t>enjoy</w:t>
      </w:r>
      <w:r>
        <w:t xml:space="preserve"> the benefits of peace. We will maintain our support for the thousands of refugees living in Thailand and ensure it is appropriate for those who wish to return to Myanmar as the peace process allows.</w:t>
      </w:r>
    </w:p>
    <w:p w14:paraId="15593453" w14:textId="77777777" w:rsidR="001545F5" w:rsidRDefault="00C93BD8" w:rsidP="00527F65">
      <w:r w:rsidRPr="00C93BD8">
        <w:t>The purpose of Australian aid</w:t>
      </w:r>
      <w:r w:rsidR="00E21174">
        <w:t xml:space="preserve"> to Myanmar</w:t>
      </w:r>
      <w:r w:rsidRPr="00C93BD8">
        <w:t xml:space="preserve"> is to help people overcome poverty</w:t>
      </w:r>
      <w:r w:rsidR="00E21174">
        <w:t xml:space="preserve"> by </w:t>
      </w:r>
      <w:r w:rsidR="00735200">
        <w:t>focu</w:t>
      </w:r>
      <w:r w:rsidR="00E21174">
        <w:t>sing</w:t>
      </w:r>
      <w:r w:rsidR="00735200">
        <w:t xml:space="preserve"> on four objectives:</w:t>
      </w:r>
    </w:p>
    <w:p w14:paraId="15593454" w14:textId="77777777" w:rsidR="001545F5" w:rsidRDefault="00735200" w:rsidP="00527F65">
      <w:pPr>
        <w:pStyle w:val="ListParagraph"/>
        <w:numPr>
          <w:ilvl w:val="0"/>
          <w:numId w:val="44"/>
        </w:numPr>
      </w:pPr>
      <w:r>
        <w:t xml:space="preserve">improving the delivery of basic </w:t>
      </w:r>
      <w:r w:rsidR="00F771FD">
        <w:t xml:space="preserve">education and health </w:t>
      </w:r>
      <w:r>
        <w:t>services to the poor</w:t>
      </w:r>
    </w:p>
    <w:p w14:paraId="15593455" w14:textId="77777777" w:rsidR="001545F5" w:rsidRDefault="00735200" w:rsidP="00527F65">
      <w:pPr>
        <w:pStyle w:val="ListParagraph"/>
        <w:numPr>
          <w:ilvl w:val="0"/>
          <w:numId w:val="44"/>
        </w:numPr>
      </w:pPr>
      <w:r>
        <w:t>improvi</w:t>
      </w:r>
      <w:r w:rsidR="001545F5">
        <w:t>ng the livelihoods of the</w:t>
      </w:r>
      <w:r w:rsidR="00F771FD">
        <w:t xml:space="preserve"> rural</w:t>
      </w:r>
      <w:r w:rsidR="001545F5">
        <w:t xml:space="preserve"> poor</w:t>
      </w:r>
    </w:p>
    <w:p w14:paraId="15593456" w14:textId="77777777" w:rsidR="001545F5" w:rsidRDefault="00735200" w:rsidP="00527F65">
      <w:pPr>
        <w:pStyle w:val="ListParagraph"/>
        <w:numPr>
          <w:ilvl w:val="0"/>
          <w:numId w:val="44"/>
        </w:numPr>
      </w:pPr>
      <w:r>
        <w:t>addressing the needs of conflict an</w:t>
      </w:r>
      <w:r w:rsidR="001545F5">
        <w:t>d disaster</w:t>
      </w:r>
      <w:r w:rsidR="003B5879">
        <w:t>-</w:t>
      </w:r>
      <w:r w:rsidR="001545F5">
        <w:t>affected people</w:t>
      </w:r>
    </w:p>
    <w:p w14:paraId="15593457" w14:textId="77777777" w:rsidR="001545F5" w:rsidRDefault="00735200" w:rsidP="00527F65">
      <w:pPr>
        <w:pStyle w:val="ListParagraph"/>
        <w:numPr>
          <w:ilvl w:val="0"/>
          <w:numId w:val="44"/>
        </w:numPr>
      </w:pPr>
      <w:r>
        <w:t xml:space="preserve">supporting reform and </w:t>
      </w:r>
      <w:r w:rsidR="00301E17">
        <w:t>improved governance</w:t>
      </w:r>
      <w:r>
        <w:t>.</w:t>
      </w:r>
    </w:p>
    <w:p w14:paraId="15593458" w14:textId="77777777" w:rsidR="00735200" w:rsidRDefault="00D54863" w:rsidP="00527F65">
      <w:r>
        <w:t>Over the two</w:t>
      </w:r>
      <w:r w:rsidR="008759AE">
        <w:t>-</w:t>
      </w:r>
      <w:r>
        <w:t xml:space="preserve">year </w:t>
      </w:r>
      <w:r w:rsidR="001D1BA3">
        <w:t xml:space="preserve">period of this </w:t>
      </w:r>
      <w:r w:rsidR="00A60D31">
        <w:t xml:space="preserve">interim </w:t>
      </w:r>
      <w:r w:rsidR="001D1BA3" w:rsidRPr="004F4BED">
        <w:rPr>
          <w:i/>
        </w:rPr>
        <w:t xml:space="preserve">Australia – </w:t>
      </w:r>
      <w:r w:rsidR="001D1BA3">
        <w:rPr>
          <w:i/>
        </w:rPr>
        <w:t>Myanmar</w:t>
      </w:r>
      <w:r w:rsidR="001D1BA3" w:rsidRPr="004F4BED">
        <w:rPr>
          <w:i/>
        </w:rPr>
        <w:t xml:space="preserve"> </w:t>
      </w:r>
      <w:r w:rsidR="001D1BA3">
        <w:rPr>
          <w:i/>
        </w:rPr>
        <w:t xml:space="preserve">Aid </w:t>
      </w:r>
      <w:r w:rsidR="001D1BA3" w:rsidRPr="004F4BED">
        <w:rPr>
          <w:i/>
        </w:rPr>
        <w:t>Program Strategy</w:t>
      </w:r>
      <w:r w:rsidR="001D1BA3">
        <w:rPr>
          <w:i/>
        </w:rPr>
        <w:t xml:space="preserve"> (</w:t>
      </w:r>
      <w:r w:rsidR="001D1BA3" w:rsidRPr="008759AE">
        <w:rPr>
          <w:i/>
        </w:rPr>
        <w:t>201</w:t>
      </w:r>
      <w:r w:rsidR="001D1BA3">
        <w:rPr>
          <w:i/>
        </w:rPr>
        <w:t>2</w:t>
      </w:r>
      <w:r w:rsidR="001D1BA3" w:rsidRPr="008759AE">
        <w:rPr>
          <w:i/>
        </w:rPr>
        <w:t>–1</w:t>
      </w:r>
      <w:r w:rsidR="001D1BA3">
        <w:rPr>
          <w:i/>
        </w:rPr>
        <w:t>4)</w:t>
      </w:r>
      <w:r w:rsidR="001D1BA3">
        <w:t>,</w:t>
      </w:r>
      <w:r>
        <w:t xml:space="preserve"> Australia will review these objectives, our programs and those of other development partners to ensure our assistance is </w:t>
      </w:r>
      <w:r w:rsidR="00946A58">
        <w:t>provided</w:t>
      </w:r>
      <w:r>
        <w:t xml:space="preserve"> where it will be most effective.</w:t>
      </w:r>
      <w:r w:rsidR="00C93BD8">
        <w:t xml:space="preserve"> </w:t>
      </w:r>
      <w:r w:rsidR="00C93BD8" w:rsidRPr="00C93BD8">
        <w:t xml:space="preserve">As more donors arrive in Myanmar and existing donors </w:t>
      </w:r>
      <w:r w:rsidR="00DB24E2">
        <w:t>grow</w:t>
      </w:r>
      <w:r w:rsidR="00C93BD8" w:rsidRPr="00C93BD8">
        <w:t xml:space="preserve"> their programs, </w:t>
      </w:r>
      <w:r w:rsidR="00DB24E2">
        <w:t>we will actively manage the increased risk</w:t>
      </w:r>
      <w:r w:rsidR="00C93BD8" w:rsidRPr="00C93BD8">
        <w:t>s of duplication of effort, program fragmentation and wasted funding.</w:t>
      </w:r>
    </w:p>
    <w:p w14:paraId="15593459" w14:textId="77777777" w:rsidR="00735200" w:rsidRDefault="005D0D74" w:rsidP="00527F65">
      <w:r>
        <w:t>The</w:t>
      </w:r>
      <w:r w:rsidR="00735200">
        <w:t xml:space="preserve"> aid program will </w:t>
      </w:r>
      <w:r>
        <w:t>continue to provide</w:t>
      </w:r>
      <w:r w:rsidR="00735200">
        <w:t xml:space="preserve"> basic education</w:t>
      </w:r>
      <w:r>
        <w:t xml:space="preserve"> and</w:t>
      </w:r>
      <w:r w:rsidR="00735200">
        <w:t xml:space="preserve"> health </w:t>
      </w:r>
      <w:r>
        <w:t xml:space="preserve">services, </w:t>
      </w:r>
      <w:r w:rsidR="00735200">
        <w:t xml:space="preserve">and </w:t>
      </w:r>
      <w:r>
        <w:t xml:space="preserve">improve </w:t>
      </w:r>
      <w:r w:rsidR="00735200">
        <w:t>livelihoods</w:t>
      </w:r>
      <w:r w:rsidR="00BF5907">
        <w:t>,</w:t>
      </w:r>
      <w:r>
        <w:t xml:space="preserve"> but this will increasingly be done in cooperation</w:t>
      </w:r>
      <w:r w:rsidR="00735200">
        <w:t xml:space="preserve"> with local institutions. By </w:t>
      </w:r>
      <w:r w:rsidR="00D07921">
        <w:t xml:space="preserve">working more closely with </w:t>
      </w:r>
      <w:r w:rsidR="00C13174">
        <w:t xml:space="preserve">Myanmar </w:t>
      </w:r>
      <w:r w:rsidR="003667D4">
        <w:t>G</w:t>
      </w:r>
      <w:r w:rsidR="00735200">
        <w:t xml:space="preserve">overnment agencies to </w:t>
      </w:r>
      <w:r w:rsidR="00D07921">
        <w:t xml:space="preserve">embed reforms in their </w:t>
      </w:r>
      <w:r>
        <w:t>work</w:t>
      </w:r>
      <w:r w:rsidR="008759AE">
        <w:t>,</w:t>
      </w:r>
      <w:r>
        <w:t xml:space="preserve"> Australia</w:t>
      </w:r>
      <w:r w:rsidR="00735200">
        <w:t xml:space="preserve"> will ensure the benefits of our aid are sustainable and reinforce the principles of democratic and responsible government.</w:t>
      </w:r>
    </w:p>
    <w:p w14:paraId="1559345A" w14:textId="77777777" w:rsidR="00735200" w:rsidRDefault="00135200" w:rsidP="00527F65">
      <w:r w:rsidRPr="008759AE">
        <w:t xml:space="preserve">Consistent with </w:t>
      </w:r>
      <w:r w:rsidR="00A80E9D">
        <w:t>the</w:t>
      </w:r>
      <w:r w:rsidR="00BF5907" w:rsidRPr="008759AE">
        <w:t xml:space="preserve"> </w:t>
      </w:r>
      <w:r w:rsidR="00735200" w:rsidRPr="008759AE">
        <w:rPr>
          <w:i/>
        </w:rPr>
        <w:t>Comprehensive Aid Policy Framework to 2015</w:t>
      </w:r>
      <w:r w:rsidR="008759AE" w:rsidRPr="008759AE">
        <w:rPr>
          <w:i/>
        </w:rPr>
        <w:t>–</w:t>
      </w:r>
      <w:r w:rsidR="00735200" w:rsidRPr="008759AE">
        <w:rPr>
          <w:i/>
        </w:rPr>
        <w:t>16</w:t>
      </w:r>
      <w:r w:rsidR="008759AE">
        <w:t>,</w:t>
      </w:r>
      <w:r w:rsidR="00735200" w:rsidRPr="008759AE">
        <w:t xml:space="preserve"> </w:t>
      </w:r>
      <w:r w:rsidR="00BF5907">
        <w:t xml:space="preserve">Australia’s </w:t>
      </w:r>
      <w:r w:rsidR="00955708">
        <w:t xml:space="preserve">aid to Myanmar </w:t>
      </w:r>
      <w:r w:rsidR="00625997" w:rsidRPr="008759AE">
        <w:t>is expected to grow significantly over the coming years</w:t>
      </w:r>
      <w:r w:rsidR="00735200" w:rsidRPr="008759AE">
        <w:t>. Our existing programs, delivered in partnership with other donors and multilateral organisations, provide a strong foundation for this growth.</w:t>
      </w:r>
      <w:r w:rsidR="005D0D74">
        <w:br/>
      </w:r>
      <w:r w:rsidR="005D0D74">
        <w:br/>
      </w:r>
    </w:p>
    <w:p w14:paraId="1559345B" w14:textId="77777777" w:rsidR="00B07B77" w:rsidRDefault="00735200" w:rsidP="00527F65">
      <w:r>
        <w:lastRenderedPageBreak/>
        <w:t xml:space="preserve">In accordance with the principle of mutual accountability for the effectiveness of our programs, Australia and Myanmar </w:t>
      </w:r>
      <w:r w:rsidR="00B45137">
        <w:t xml:space="preserve">will </w:t>
      </w:r>
      <w:r w:rsidR="005D0D74">
        <w:t>sign</w:t>
      </w:r>
      <w:r w:rsidR="00B45137">
        <w:t xml:space="preserve"> </w:t>
      </w:r>
      <w:r>
        <w:t xml:space="preserve">a Memorandum of Understanding on </w:t>
      </w:r>
      <w:r w:rsidR="00CA5C6B">
        <w:t>D</w:t>
      </w:r>
      <w:r>
        <w:t xml:space="preserve">evelopment </w:t>
      </w:r>
      <w:r w:rsidR="00CA5C6B">
        <w:t>Cooperation</w:t>
      </w:r>
      <w:r w:rsidR="005D0D74">
        <w:t xml:space="preserve"> in 201</w:t>
      </w:r>
      <w:r w:rsidR="00B45137">
        <w:t>3</w:t>
      </w:r>
      <w:r>
        <w:t xml:space="preserve">. </w:t>
      </w:r>
      <w:r w:rsidR="00946A58">
        <w:t xml:space="preserve">The </w:t>
      </w:r>
      <w:r w:rsidR="008759AE" w:rsidRPr="00A60D31">
        <w:t>m</w:t>
      </w:r>
      <w:r w:rsidR="00946A58" w:rsidRPr="00A60D31">
        <w:t xml:space="preserve">emorandum </w:t>
      </w:r>
      <w:r w:rsidR="00B45137" w:rsidRPr="00A60D31">
        <w:t>will</w:t>
      </w:r>
      <w:r w:rsidRPr="00A60D31">
        <w:t xml:space="preserve"> outline</w:t>
      </w:r>
      <w:r>
        <w:t xml:space="preserve"> the responsibilities of the respective </w:t>
      </w:r>
      <w:r w:rsidR="00CA5C6B">
        <w:t>g</w:t>
      </w:r>
      <w:r>
        <w:t xml:space="preserve">overnments for delivery of the aid program and allow for discussions between senior officials on </w:t>
      </w:r>
      <w:r w:rsidR="0025236A">
        <w:t xml:space="preserve">development results </w:t>
      </w:r>
      <w:r>
        <w:t>and strategic direction. If the path of reform is maintained</w:t>
      </w:r>
      <w:r w:rsidR="00946A58">
        <w:t>,</w:t>
      </w:r>
      <w:r>
        <w:t xml:space="preserve"> it is anticipated that the next Australia – Myanmar Aid Program Strategy will closely align with the </w:t>
      </w:r>
      <w:r w:rsidR="00DA176A">
        <w:t>Myanmar Government’s</w:t>
      </w:r>
      <w:r>
        <w:t xml:space="preserve"> own national development plans</w:t>
      </w:r>
      <w:r w:rsidR="008759AE">
        <w:t>, which</w:t>
      </w:r>
      <w:r w:rsidR="0025236A">
        <w:t xml:space="preserve"> are currently being finalised</w:t>
      </w:r>
      <w:r>
        <w:t>.</w:t>
      </w:r>
    </w:p>
    <w:p w14:paraId="1559345C" w14:textId="77777777" w:rsidR="00A960E9" w:rsidRDefault="00ED06CB" w:rsidP="00527F65">
      <w:pPr>
        <w:pStyle w:val="Heading1"/>
        <w:rPr>
          <w:noProof/>
        </w:rPr>
      </w:pPr>
      <w:bookmarkStart w:id="8" w:name="_Toc347220220"/>
      <w:r>
        <w:rPr>
          <w:noProof/>
        </w:rPr>
        <w:lastRenderedPageBreak/>
        <w:drawing>
          <wp:anchor distT="0" distB="0" distL="114300" distR="114300" simplePos="0" relativeHeight="251655168" behindDoc="1" locked="0" layoutInCell="1" allowOverlap="1" wp14:anchorId="15593560" wp14:editId="15593561">
            <wp:simplePos x="0" y="0"/>
            <wp:positionH relativeFrom="page">
              <wp:posOffset>-92710</wp:posOffset>
            </wp:positionH>
            <wp:positionV relativeFrom="page">
              <wp:posOffset>1054735</wp:posOffset>
            </wp:positionV>
            <wp:extent cx="7674610" cy="1585595"/>
            <wp:effectExtent l="0" t="0" r="2540" b="0"/>
            <wp:wrapNone/>
            <wp:docPr id="6" name="Picture 6"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AID_report_D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74610" cy="1585595"/>
                    </a:xfrm>
                    <a:prstGeom prst="rect">
                      <a:avLst/>
                    </a:prstGeom>
                    <a:noFill/>
                  </pic:spPr>
                </pic:pic>
              </a:graphicData>
            </a:graphic>
          </wp:anchor>
        </w:drawing>
      </w:r>
      <w:r w:rsidR="00993138">
        <w:t xml:space="preserve">Development </w:t>
      </w:r>
      <w:r w:rsidR="00CA5C6B">
        <w:t>p</w:t>
      </w:r>
      <w:r w:rsidR="00993138">
        <w:t xml:space="preserve">artnership </w:t>
      </w:r>
      <w:r w:rsidR="00CA5C6B">
        <w:t>p</w:t>
      </w:r>
      <w:r w:rsidR="00993138">
        <w:t>rinciples</w:t>
      </w:r>
      <w:bookmarkEnd w:id="8"/>
    </w:p>
    <w:p w14:paraId="1559345D" w14:textId="77777777" w:rsidR="00A960E9" w:rsidRPr="00342AF8" w:rsidRDefault="00993138" w:rsidP="00527F65">
      <w:pPr>
        <w:pStyle w:val="Heading2"/>
      </w:pPr>
      <w:bookmarkStart w:id="9" w:name="_Toc347220221"/>
      <w:r w:rsidRPr="00342AF8">
        <w:t>Principles and commitments</w:t>
      </w:r>
      <w:bookmarkEnd w:id="9"/>
      <w:r w:rsidR="00A960E9" w:rsidRPr="00342AF8">
        <w:t xml:space="preserve"> </w:t>
      </w:r>
    </w:p>
    <w:p w14:paraId="1559345E" w14:textId="77777777" w:rsidR="00C661C0" w:rsidRDefault="00C661C0" w:rsidP="00527F65">
      <w:r w:rsidRPr="00342AF8">
        <w:t>The purpose of Australian aid is to</w:t>
      </w:r>
      <w:r w:rsidR="00977F26" w:rsidRPr="00342AF8">
        <w:t xml:space="preserve"> help people overcome poverty. </w:t>
      </w:r>
      <w:r w:rsidR="00786439" w:rsidRPr="00342AF8">
        <w:t>This also serves Australia’s national interests by promoting stability and security</w:t>
      </w:r>
      <w:r w:rsidR="00BF5907">
        <w:t>,</w:t>
      </w:r>
      <w:r w:rsidR="00786439" w:rsidRPr="00342AF8">
        <w:t xml:space="preserve"> both</w:t>
      </w:r>
      <w:r w:rsidR="00786439">
        <w:t xml:space="preserve"> in our region and beyond. </w:t>
      </w:r>
      <w:r w:rsidR="001545F5">
        <w:t>Globally, o</w:t>
      </w:r>
      <w:r>
        <w:t xml:space="preserve">ur aid program is guided by five strategic goals: to save lives, promote opportunities for all, build sustainable economic development, build and support effective governance, and respond effectively to humanitarian crises and natural disasters. We focus our efforts in areas where Australia can make a difference and where our resources can most effectively and efficiently be deployed. </w:t>
      </w:r>
      <w:r w:rsidR="00977F26">
        <w:t xml:space="preserve">Australia’s </w:t>
      </w:r>
      <w:r w:rsidR="001057CB">
        <w:t>aid p</w:t>
      </w:r>
      <w:r>
        <w:t xml:space="preserve">rogram </w:t>
      </w:r>
      <w:r w:rsidR="001057CB">
        <w:t xml:space="preserve">in </w:t>
      </w:r>
      <w:r w:rsidR="00CB357D">
        <w:t>Myanmar</w:t>
      </w:r>
      <w:r w:rsidR="001057CB">
        <w:t xml:space="preserve"> reali</w:t>
      </w:r>
      <w:r w:rsidR="005319FE">
        <w:t>s</w:t>
      </w:r>
      <w:r w:rsidR="001057CB">
        <w:t>es</w:t>
      </w:r>
      <w:r>
        <w:t xml:space="preserve"> this </w:t>
      </w:r>
      <w:r w:rsidR="00DA1184">
        <w:t>by supporting reform</w:t>
      </w:r>
      <w:r w:rsidR="00CA5C6B">
        <w:t xml:space="preserve">, </w:t>
      </w:r>
      <w:r w:rsidR="00DA1184">
        <w:t xml:space="preserve">delivering </w:t>
      </w:r>
      <w:r w:rsidR="00CA5C6B">
        <w:t>essential</w:t>
      </w:r>
      <w:r>
        <w:t xml:space="preserve"> </w:t>
      </w:r>
      <w:r w:rsidR="00D61CAA">
        <w:t>education</w:t>
      </w:r>
      <w:r w:rsidR="00DA1184">
        <w:t xml:space="preserve"> and</w:t>
      </w:r>
      <w:r w:rsidR="00D61CAA">
        <w:t xml:space="preserve"> health</w:t>
      </w:r>
      <w:r w:rsidR="00DA1184">
        <w:t xml:space="preserve"> services,</w:t>
      </w:r>
      <w:r w:rsidR="00D61CAA">
        <w:t xml:space="preserve"> and </w:t>
      </w:r>
      <w:r w:rsidR="00DA1184">
        <w:t>improving</w:t>
      </w:r>
      <w:r w:rsidR="008759AE">
        <w:t xml:space="preserve"> the</w:t>
      </w:r>
      <w:r w:rsidR="00DA1184">
        <w:t xml:space="preserve"> </w:t>
      </w:r>
      <w:r w:rsidR="00D61CAA">
        <w:t>livelihoods</w:t>
      </w:r>
      <w:r w:rsidR="00DA1184">
        <w:t xml:space="preserve"> </w:t>
      </w:r>
      <w:r w:rsidR="00CA5C6B">
        <w:t>of</w:t>
      </w:r>
      <w:r w:rsidR="00DA1184">
        <w:t xml:space="preserve"> those</w:t>
      </w:r>
      <w:r w:rsidR="00D04C6C">
        <w:t xml:space="preserve"> most in need.</w:t>
      </w:r>
    </w:p>
    <w:p w14:paraId="1559345F" w14:textId="77777777" w:rsidR="0030329D" w:rsidRDefault="00CB357D" w:rsidP="00527F65">
      <w:r>
        <w:t>Myanmar</w:t>
      </w:r>
      <w:r w:rsidR="0030329D" w:rsidRPr="0008139A">
        <w:t xml:space="preserve"> is undergoing a </w:t>
      </w:r>
      <w:r w:rsidR="00D04C6C">
        <w:t>transformation</w:t>
      </w:r>
      <w:r w:rsidR="0030329D" w:rsidRPr="0008139A">
        <w:t xml:space="preserve"> unpr</w:t>
      </w:r>
      <w:r w:rsidR="0030329D">
        <w:t xml:space="preserve">ecedented in its recent history, with </w:t>
      </w:r>
      <w:r w:rsidR="00FB6AC2">
        <w:t>greater reform gains being made</w:t>
      </w:r>
      <w:r w:rsidR="0030329D" w:rsidRPr="0008139A">
        <w:t xml:space="preserve"> now than at any time in the last 50 years</w:t>
      </w:r>
      <w:r w:rsidR="00BB75AB">
        <w:t xml:space="preserve">. </w:t>
      </w:r>
      <w:r w:rsidR="00856426">
        <w:t>This</w:t>
      </w:r>
      <w:r w:rsidR="009C443E">
        <w:t xml:space="preserve"> </w:t>
      </w:r>
      <w:r w:rsidR="0030329D" w:rsidRPr="004F4BED">
        <w:rPr>
          <w:i/>
        </w:rPr>
        <w:t xml:space="preserve">Australia – </w:t>
      </w:r>
      <w:r>
        <w:rPr>
          <w:i/>
        </w:rPr>
        <w:t>Myanmar</w:t>
      </w:r>
      <w:r w:rsidR="0030329D" w:rsidRPr="004F4BED">
        <w:rPr>
          <w:i/>
        </w:rPr>
        <w:t xml:space="preserve"> </w:t>
      </w:r>
      <w:r w:rsidR="00CA5C6B">
        <w:rPr>
          <w:i/>
        </w:rPr>
        <w:t xml:space="preserve">Aid </w:t>
      </w:r>
      <w:r w:rsidR="0030329D" w:rsidRPr="004F4BED">
        <w:rPr>
          <w:i/>
        </w:rPr>
        <w:t>Program Strategy</w:t>
      </w:r>
      <w:r w:rsidR="008759AE">
        <w:rPr>
          <w:i/>
        </w:rPr>
        <w:t xml:space="preserve"> (</w:t>
      </w:r>
      <w:r w:rsidR="008759AE" w:rsidRPr="008759AE">
        <w:rPr>
          <w:i/>
        </w:rPr>
        <w:t>201</w:t>
      </w:r>
      <w:r w:rsidR="008759AE">
        <w:rPr>
          <w:i/>
        </w:rPr>
        <w:t>2</w:t>
      </w:r>
      <w:r w:rsidR="008759AE" w:rsidRPr="008759AE">
        <w:rPr>
          <w:i/>
        </w:rPr>
        <w:t>–1</w:t>
      </w:r>
      <w:r w:rsidR="008759AE">
        <w:rPr>
          <w:i/>
        </w:rPr>
        <w:t>4)</w:t>
      </w:r>
      <w:r w:rsidR="009C443E">
        <w:t xml:space="preserve"> reflects</w:t>
      </w:r>
      <w:r w:rsidR="00D04C6C">
        <w:t xml:space="preserve"> the pace of change</w:t>
      </w:r>
      <w:r w:rsidR="00856426">
        <w:t xml:space="preserve"> </w:t>
      </w:r>
      <w:r w:rsidR="00A53238">
        <w:t xml:space="preserve">in </w:t>
      </w:r>
      <w:r>
        <w:t>Myanmar</w:t>
      </w:r>
      <w:r w:rsidR="0027067F">
        <w:t>.</w:t>
      </w:r>
      <w:r w:rsidR="00A53238">
        <w:t xml:space="preserve"> </w:t>
      </w:r>
      <w:r w:rsidR="009C443E">
        <w:t xml:space="preserve">Its two-year timeframe </w:t>
      </w:r>
      <w:r w:rsidR="0027067F">
        <w:t>will allow time for Australia to</w:t>
      </w:r>
      <w:r w:rsidR="0030329D">
        <w:t xml:space="preserve"> assess the </w:t>
      </w:r>
      <w:r w:rsidR="00DA1184">
        <w:t xml:space="preserve">impacts </w:t>
      </w:r>
      <w:r w:rsidR="0030329D">
        <w:t>of reform</w:t>
      </w:r>
      <w:r w:rsidR="0027067F">
        <w:t xml:space="preserve"> and the work of other development partners, </w:t>
      </w:r>
      <w:r w:rsidR="0030329D">
        <w:t xml:space="preserve">and </w:t>
      </w:r>
      <w:r w:rsidR="0027067F">
        <w:t xml:space="preserve">to </w:t>
      </w:r>
      <w:r w:rsidR="0030329D">
        <w:t xml:space="preserve">reshape our </w:t>
      </w:r>
      <w:r w:rsidR="001057CB">
        <w:t xml:space="preserve">aid </w:t>
      </w:r>
      <w:r w:rsidR="0030329D">
        <w:t xml:space="preserve">program accordingly. The strategy maintains our support for </w:t>
      </w:r>
      <w:r w:rsidR="001057CB">
        <w:t xml:space="preserve">the </w:t>
      </w:r>
      <w:r w:rsidR="0030329D">
        <w:t>criti</w:t>
      </w:r>
      <w:r w:rsidR="00A53238">
        <w:t xml:space="preserve">cal needs of </w:t>
      </w:r>
      <w:r>
        <w:t>Myanmar</w:t>
      </w:r>
      <w:r w:rsidR="00955708">
        <w:t>’s</w:t>
      </w:r>
      <w:r w:rsidR="009C443E">
        <w:t xml:space="preserve"> </w:t>
      </w:r>
      <w:r w:rsidR="00A53238">
        <w:t>people</w:t>
      </w:r>
      <w:r w:rsidR="0030329D">
        <w:t xml:space="preserve">, while </w:t>
      </w:r>
      <w:r w:rsidR="00A53238">
        <w:t>giving</w:t>
      </w:r>
      <w:r w:rsidR="0030329D">
        <w:t xml:space="preserve"> </w:t>
      </w:r>
      <w:r w:rsidR="001057CB">
        <w:t>scope</w:t>
      </w:r>
      <w:r w:rsidR="0030329D">
        <w:t xml:space="preserve"> to work </w:t>
      </w:r>
      <w:r w:rsidR="00DA1184">
        <w:t>increasingly with</w:t>
      </w:r>
      <w:r w:rsidR="000D3A80">
        <w:t xml:space="preserve"> </w:t>
      </w:r>
      <w:r w:rsidR="00C13174">
        <w:t xml:space="preserve">Myanmar </w:t>
      </w:r>
      <w:r w:rsidR="007F2ECB">
        <w:t>G</w:t>
      </w:r>
      <w:r w:rsidR="0030329D">
        <w:t>overnment agencies</w:t>
      </w:r>
      <w:r w:rsidR="00DA1184">
        <w:t xml:space="preserve"> to support their capacity</w:t>
      </w:r>
      <w:r w:rsidR="0030329D">
        <w:t>.</w:t>
      </w:r>
    </w:p>
    <w:p w14:paraId="15593460" w14:textId="77777777" w:rsidR="00FB6AC2" w:rsidRDefault="00383B77" w:rsidP="00527F65">
      <w:pPr>
        <w:pStyle w:val="Heading4"/>
      </w:pPr>
      <w:r>
        <w:t>Ownership of the development agenda</w:t>
      </w:r>
    </w:p>
    <w:p w14:paraId="15593461" w14:textId="77777777" w:rsidR="00C661C0" w:rsidRDefault="00C661C0" w:rsidP="00527F65">
      <w:r>
        <w:t xml:space="preserve">Aid programs are more sustainable when owned and driven by partner </w:t>
      </w:r>
      <w:r w:rsidR="008F2264">
        <w:t>countries</w:t>
      </w:r>
      <w:r w:rsidR="00BB75AB">
        <w:t xml:space="preserve">. </w:t>
      </w:r>
      <w:r>
        <w:t>Australia is committed to aligning with the priorities and polici</w:t>
      </w:r>
      <w:r w:rsidR="00977F26">
        <w:t>es of our partner governments and</w:t>
      </w:r>
      <w:r>
        <w:t xml:space="preserve"> to providing assistance through the</w:t>
      </w:r>
      <w:r w:rsidR="00977F26">
        <w:t>ir</w:t>
      </w:r>
      <w:r>
        <w:t xml:space="preserve"> systems where we </w:t>
      </w:r>
      <w:r w:rsidR="003644FC">
        <w:t>consider them</w:t>
      </w:r>
      <w:r w:rsidR="009C443E">
        <w:t xml:space="preserve"> to be</w:t>
      </w:r>
      <w:r w:rsidR="003644FC">
        <w:t xml:space="preserve"> suitable</w:t>
      </w:r>
      <w:r w:rsidR="00BB75AB">
        <w:t xml:space="preserve">. </w:t>
      </w:r>
      <w:r>
        <w:t xml:space="preserve">Where they are not, we work with partner governments to strengthen them and with civil society </w:t>
      </w:r>
      <w:r w:rsidR="005319FE">
        <w:t xml:space="preserve">and multilateral </w:t>
      </w:r>
      <w:r w:rsidR="00131734">
        <w:t xml:space="preserve">organisations </w:t>
      </w:r>
      <w:r>
        <w:t xml:space="preserve">to ensure </w:t>
      </w:r>
      <w:r w:rsidR="00131734">
        <w:t>strong</w:t>
      </w:r>
      <w:r>
        <w:t xml:space="preserve"> country partnership</w:t>
      </w:r>
      <w:r w:rsidR="00A53238">
        <w:t>s</w:t>
      </w:r>
      <w:r>
        <w:t>. This is particula</w:t>
      </w:r>
      <w:r w:rsidR="003644FC">
        <w:t xml:space="preserve">rly important in </w:t>
      </w:r>
      <w:r>
        <w:t>conflict</w:t>
      </w:r>
      <w:r w:rsidR="009C443E">
        <w:t>-</w:t>
      </w:r>
      <w:r>
        <w:t>affected countries</w:t>
      </w:r>
      <w:r w:rsidR="00D04C6C">
        <w:t xml:space="preserve"> such as </w:t>
      </w:r>
      <w:r w:rsidR="00CB357D">
        <w:t>Myanmar</w:t>
      </w:r>
      <w:r>
        <w:t xml:space="preserve">. </w:t>
      </w:r>
      <w:r w:rsidR="00131734">
        <w:t>D</w:t>
      </w:r>
      <w:r>
        <w:t>elivering an</w:t>
      </w:r>
      <w:r w:rsidR="00131734">
        <w:t xml:space="preserve"> </w:t>
      </w:r>
      <w:r w:rsidR="003644FC">
        <w:t>effective aid</w:t>
      </w:r>
      <w:r>
        <w:t xml:space="preserve"> program </w:t>
      </w:r>
      <w:r w:rsidR="00131734">
        <w:t xml:space="preserve">requires donors to take </w:t>
      </w:r>
      <w:r w:rsidR="007F619C">
        <w:t xml:space="preserve">calculated </w:t>
      </w:r>
      <w:r w:rsidR="00131734">
        <w:t>risks</w:t>
      </w:r>
      <w:r>
        <w:t>. We take a sensible approach to risk management to guard against</w:t>
      </w:r>
      <w:r w:rsidR="009C443E">
        <w:t xml:space="preserve"> issues such as</w:t>
      </w:r>
      <w:r>
        <w:t xml:space="preserve"> fraud</w:t>
      </w:r>
      <w:r w:rsidR="003644FC">
        <w:t>,</w:t>
      </w:r>
      <w:r>
        <w:t xml:space="preserve"> while delivering assistance to those who</w:t>
      </w:r>
      <w:r w:rsidR="003644FC">
        <w:t xml:space="preserve"> most</w:t>
      </w:r>
      <w:r>
        <w:t xml:space="preserve"> need it. </w:t>
      </w:r>
    </w:p>
    <w:p w14:paraId="15593462" w14:textId="77777777" w:rsidR="0008139A" w:rsidRDefault="00977F26" w:rsidP="00527F65">
      <w:r>
        <w:t xml:space="preserve">In the immediate future </w:t>
      </w:r>
      <w:r w:rsidR="0008139A" w:rsidRPr="0008139A">
        <w:t>Australia will continue to deliver assistance</w:t>
      </w:r>
      <w:r w:rsidR="0030329D">
        <w:t xml:space="preserve"> to </w:t>
      </w:r>
      <w:r w:rsidR="00CB357D">
        <w:t>Myanmar</w:t>
      </w:r>
      <w:r w:rsidR="003644FC">
        <w:t xml:space="preserve"> through multilateral </w:t>
      </w:r>
      <w:r w:rsidR="009C443E">
        <w:t>organisations</w:t>
      </w:r>
      <w:r w:rsidR="003644FC">
        <w:t xml:space="preserve">, </w:t>
      </w:r>
      <w:r w:rsidR="0008139A" w:rsidRPr="0008139A">
        <w:t xml:space="preserve">international </w:t>
      </w:r>
      <w:r w:rsidR="0030329D">
        <w:t>non-government organisations</w:t>
      </w:r>
      <w:r w:rsidR="0008139A" w:rsidRPr="0008139A">
        <w:t xml:space="preserve"> and local partners</w:t>
      </w:r>
      <w:r>
        <w:t xml:space="preserve">. </w:t>
      </w:r>
      <w:r w:rsidR="003644FC">
        <w:t xml:space="preserve">Changes in </w:t>
      </w:r>
      <w:r w:rsidR="00CB357D">
        <w:t>Myanmar</w:t>
      </w:r>
      <w:r w:rsidR="00D04C6C">
        <w:t xml:space="preserve"> are</w:t>
      </w:r>
      <w:r w:rsidR="003644FC">
        <w:t xml:space="preserve">, however, </w:t>
      </w:r>
      <w:r w:rsidR="0030329D">
        <w:t>providing</w:t>
      </w:r>
      <w:r w:rsidR="0008139A" w:rsidRPr="0008139A">
        <w:t xml:space="preserve"> opportunities</w:t>
      </w:r>
      <w:r w:rsidR="00D04C6C">
        <w:t xml:space="preserve"> for donors</w:t>
      </w:r>
      <w:r w:rsidR="0008139A" w:rsidRPr="0008139A">
        <w:t xml:space="preserve"> </w:t>
      </w:r>
      <w:r w:rsidR="003644FC">
        <w:t>to work more closely</w:t>
      </w:r>
      <w:r w:rsidR="0008139A" w:rsidRPr="0008139A">
        <w:t xml:space="preserve"> with </w:t>
      </w:r>
      <w:r w:rsidR="00C13174">
        <w:t xml:space="preserve">the </w:t>
      </w:r>
      <w:r w:rsidR="0008139A" w:rsidRPr="0008139A">
        <w:t>gov</w:t>
      </w:r>
      <w:r w:rsidR="003644FC">
        <w:t>ernment. In recognition of this</w:t>
      </w:r>
      <w:r w:rsidR="00DA4BB4">
        <w:t>,</w:t>
      </w:r>
      <w:r w:rsidR="0008139A" w:rsidRPr="0008139A">
        <w:t xml:space="preserve"> </w:t>
      </w:r>
      <w:r w:rsidR="009C443E">
        <w:t xml:space="preserve">the </w:t>
      </w:r>
      <w:r w:rsidR="0008139A" w:rsidRPr="0008139A">
        <w:t>Australia</w:t>
      </w:r>
      <w:r w:rsidR="009C443E">
        <w:t>n Government</w:t>
      </w:r>
      <w:r w:rsidR="0008139A" w:rsidRPr="0008139A">
        <w:t xml:space="preserve"> </w:t>
      </w:r>
      <w:r>
        <w:t>and</w:t>
      </w:r>
      <w:r w:rsidR="0008139A" w:rsidRPr="0008139A">
        <w:t xml:space="preserve"> the </w:t>
      </w:r>
      <w:r w:rsidR="00CB357D">
        <w:t>Myanmar</w:t>
      </w:r>
      <w:r w:rsidR="0008139A" w:rsidRPr="0008139A">
        <w:t xml:space="preserve"> Government </w:t>
      </w:r>
      <w:r w:rsidR="00B45137">
        <w:t xml:space="preserve">will </w:t>
      </w:r>
      <w:r w:rsidR="00F27285">
        <w:t>sign</w:t>
      </w:r>
      <w:r w:rsidR="00B45137">
        <w:t xml:space="preserve"> </w:t>
      </w:r>
      <w:r w:rsidR="0008139A" w:rsidRPr="0008139A">
        <w:t xml:space="preserve">a Memorandum of Understanding on </w:t>
      </w:r>
      <w:r w:rsidR="007F619C">
        <w:t>D</w:t>
      </w:r>
      <w:r w:rsidR="0008139A" w:rsidRPr="0008139A">
        <w:t xml:space="preserve">evelopment </w:t>
      </w:r>
      <w:r w:rsidR="007F619C">
        <w:t xml:space="preserve">Cooperation </w:t>
      </w:r>
      <w:r w:rsidR="00F27285">
        <w:t>in 201</w:t>
      </w:r>
      <w:r w:rsidR="00B45137">
        <w:t>3</w:t>
      </w:r>
      <w:r w:rsidR="0008139A" w:rsidRPr="0008139A">
        <w:t xml:space="preserve">. This </w:t>
      </w:r>
      <w:r w:rsidR="009C443E">
        <w:t>will be</w:t>
      </w:r>
      <w:r w:rsidR="009C443E" w:rsidRPr="0008139A">
        <w:t xml:space="preserve"> </w:t>
      </w:r>
      <w:r w:rsidR="0008139A" w:rsidRPr="0008139A">
        <w:t xml:space="preserve">an important first step in supporting a greater level of </w:t>
      </w:r>
      <w:r w:rsidR="00CB357D">
        <w:t>Myanmar</w:t>
      </w:r>
      <w:r w:rsidR="0008139A" w:rsidRPr="0008139A">
        <w:t xml:space="preserve"> ownership of the development</w:t>
      </w:r>
      <w:r w:rsidR="0030329D">
        <w:t xml:space="preserve"> agenda. </w:t>
      </w:r>
      <w:r w:rsidR="0008139A" w:rsidRPr="0008139A">
        <w:t xml:space="preserve">Australia will </w:t>
      </w:r>
      <w:r w:rsidR="004265BD">
        <w:t>seek to increase</w:t>
      </w:r>
      <w:r w:rsidR="0008139A" w:rsidRPr="0008139A">
        <w:t xml:space="preserve"> the level of </w:t>
      </w:r>
      <w:r w:rsidR="00CB357D">
        <w:t>Myanmar</w:t>
      </w:r>
      <w:r w:rsidR="00D04C6C">
        <w:t xml:space="preserve"> G</w:t>
      </w:r>
      <w:r w:rsidR="0008139A" w:rsidRPr="0008139A">
        <w:t xml:space="preserve">overnment involvement in policy development and, over time, our support for government </w:t>
      </w:r>
      <w:r w:rsidR="00C77D82">
        <w:t xml:space="preserve">agencies </w:t>
      </w:r>
      <w:r w:rsidR="0008139A" w:rsidRPr="0008139A">
        <w:t>to deliver services</w:t>
      </w:r>
      <w:r w:rsidR="0030329D">
        <w:t xml:space="preserve"> directly</w:t>
      </w:r>
      <w:r w:rsidR="0008139A" w:rsidRPr="0008139A">
        <w:t>.</w:t>
      </w:r>
    </w:p>
    <w:p w14:paraId="15593463" w14:textId="77777777" w:rsidR="00961084" w:rsidRDefault="00961084" w:rsidP="00527F65">
      <w:pPr>
        <w:pStyle w:val="Heading4"/>
      </w:pPr>
      <w:r>
        <w:t>Aid effectiveness</w:t>
      </w:r>
    </w:p>
    <w:p w14:paraId="15593464" w14:textId="77777777" w:rsidR="005319FE" w:rsidRDefault="005319FE" w:rsidP="00527F65">
      <w:r>
        <w:t xml:space="preserve">This program strategy is guided by the Australian Government’s aid policy, </w:t>
      </w:r>
      <w:r w:rsidRPr="004F4BED">
        <w:rPr>
          <w:i/>
        </w:rPr>
        <w:t>An Effective Aid Program for Australia: Making a real difference</w:t>
      </w:r>
      <w:r w:rsidR="008D01C7">
        <w:rPr>
          <w:i/>
        </w:rPr>
        <w:t>—</w:t>
      </w:r>
      <w:r w:rsidRPr="004F4BED">
        <w:rPr>
          <w:i/>
        </w:rPr>
        <w:t>Delivering</w:t>
      </w:r>
      <w:r w:rsidR="00EF7D8E">
        <w:rPr>
          <w:i/>
        </w:rPr>
        <w:t xml:space="preserve"> </w:t>
      </w:r>
      <w:r w:rsidRPr="004F4BED">
        <w:rPr>
          <w:i/>
        </w:rPr>
        <w:t>real results</w:t>
      </w:r>
      <w:r>
        <w:t xml:space="preserve">, which sets the strategic direction of </w:t>
      </w:r>
      <w:r w:rsidR="00144858">
        <w:t xml:space="preserve">our </w:t>
      </w:r>
      <w:r>
        <w:t>aid program through to 2015</w:t>
      </w:r>
      <w:r w:rsidR="008D01C7">
        <w:t>–</w:t>
      </w:r>
      <w:r>
        <w:t xml:space="preserve">16. To give effect to this policy the </w:t>
      </w:r>
      <w:r w:rsidR="00C13174">
        <w:t xml:space="preserve">Australian </w:t>
      </w:r>
      <w:r>
        <w:t xml:space="preserve">Government prepared a </w:t>
      </w:r>
      <w:r w:rsidRPr="00955708">
        <w:t>Comprehensive Aid Policy Framework</w:t>
      </w:r>
      <w:r>
        <w:t xml:space="preserve"> outlin</w:t>
      </w:r>
      <w:r w:rsidR="00144858">
        <w:t>ing</w:t>
      </w:r>
      <w:r>
        <w:t xml:space="preserve"> the resources and headline results to be delivered by </w:t>
      </w:r>
      <w:r w:rsidRPr="008D01C7">
        <w:lastRenderedPageBreak/>
        <w:t>2015</w:t>
      </w:r>
      <w:r w:rsidR="008D01C7" w:rsidRPr="008D01C7">
        <w:t>–</w:t>
      </w:r>
      <w:r w:rsidR="00EF7D8E">
        <w:t>1</w:t>
      </w:r>
      <w:r w:rsidRPr="008D01C7">
        <w:t>6</w:t>
      </w:r>
      <w:r>
        <w:t xml:space="preserve"> and set</w:t>
      </w:r>
      <w:r w:rsidR="00BF5907">
        <w:t>ting</w:t>
      </w:r>
      <w:r>
        <w:t xml:space="preserve"> new standards for the efficient and effective delivery of Australian aid</w:t>
      </w:r>
      <w:r w:rsidR="00BB75AB">
        <w:t xml:space="preserve">. </w:t>
      </w:r>
      <w:r>
        <w:t xml:space="preserve">We are committed to </w:t>
      </w:r>
      <w:r w:rsidR="007F619C">
        <w:t xml:space="preserve">ensuring strong </w:t>
      </w:r>
      <w:r>
        <w:t xml:space="preserve">performance and results of Australian aid to Myanmar, as part of the overall effectiveness and impact of </w:t>
      </w:r>
      <w:r w:rsidR="00144858">
        <w:t xml:space="preserve">our </w:t>
      </w:r>
      <w:r>
        <w:t>aid program.</w:t>
      </w:r>
    </w:p>
    <w:p w14:paraId="15593465" w14:textId="77777777" w:rsidR="00FB6AC2" w:rsidRDefault="00FB6AC2" w:rsidP="00527F65">
      <w:pPr>
        <w:pStyle w:val="Heading4"/>
      </w:pPr>
      <w:r>
        <w:t>Accountability</w:t>
      </w:r>
    </w:p>
    <w:p w14:paraId="15593466" w14:textId="77777777" w:rsidR="00C661C0" w:rsidRDefault="00977F26" w:rsidP="00527F65">
      <w:r>
        <w:t>To deliver our program w</w:t>
      </w:r>
      <w:r w:rsidR="00C661C0">
        <w:t>e work through partnerships built on accountability to</w:t>
      </w:r>
      <w:r w:rsidR="005319FE">
        <w:t xml:space="preserve"> </w:t>
      </w:r>
      <w:r w:rsidR="00C661C0">
        <w:t>our respective citizens, organisations and constituents. Our partnerships are inclusive of women and men</w:t>
      </w:r>
      <w:r w:rsidR="002A5E87">
        <w:t>, vulnerable populations and people with disabilit</w:t>
      </w:r>
      <w:r w:rsidR="00144858">
        <w:t>y</w:t>
      </w:r>
      <w:r w:rsidR="00C661C0">
        <w:t xml:space="preserve">. </w:t>
      </w:r>
      <w:r w:rsidR="00144858">
        <w:t>We are</w:t>
      </w:r>
      <w:r w:rsidR="00C661C0">
        <w:t xml:space="preserve"> </w:t>
      </w:r>
      <w:r w:rsidR="005319FE">
        <w:t>committed</w:t>
      </w:r>
      <w:r w:rsidR="00C661C0">
        <w:t xml:space="preserve"> to be</w:t>
      </w:r>
      <w:r w:rsidR="00BF5907">
        <w:t>ing</w:t>
      </w:r>
      <w:r w:rsidR="00C661C0">
        <w:t xml:space="preserve"> more transparent about financial and operational information, results and performance</w:t>
      </w:r>
      <w:r w:rsidR="00BB75AB">
        <w:t xml:space="preserve">. </w:t>
      </w:r>
      <w:r w:rsidR="00144858">
        <w:t xml:space="preserve">We </w:t>
      </w:r>
      <w:r w:rsidR="005319FE">
        <w:t>advocate for</w:t>
      </w:r>
      <w:r w:rsidR="00C661C0">
        <w:t xml:space="preserve"> greater transparency of all development partners to better measure and report on the impact of development efforts, foster accountability and</w:t>
      </w:r>
      <w:r w:rsidR="005319FE">
        <w:t xml:space="preserve"> promote</w:t>
      </w:r>
      <w:r>
        <w:t xml:space="preserve"> greater coordination.</w:t>
      </w:r>
    </w:p>
    <w:p w14:paraId="15593467" w14:textId="77777777" w:rsidR="00A960E9" w:rsidRDefault="00993138" w:rsidP="00527F65">
      <w:pPr>
        <w:pStyle w:val="Heading2"/>
      </w:pPr>
      <w:bookmarkStart w:id="10" w:name="_Toc347220222"/>
      <w:r>
        <w:t>Joint focus on results</w:t>
      </w:r>
      <w:bookmarkEnd w:id="10"/>
    </w:p>
    <w:p w14:paraId="15593468" w14:textId="77777777" w:rsidR="00A960E9" w:rsidRDefault="00B45137" w:rsidP="00527F65">
      <w:r>
        <w:t>A</w:t>
      </w:r>
      <w:r w:rsidR="00EF2CCA">
        <w:t xml:space="preserve"> Memorandum of Understanding between Australia and </w:t>
      </w:r>
      <w:r w:rsidR="00CB357D">
        <w:t>Myanmar</w:t>
      </w:r>
      <w:r w:rsidR="00EF2CCA">
        <w:t xml:space="preserve"> on </w:t>
      </w:r>
      <w:r w:rsidR="00144858">
        <w:t>d</w:t>
      </w:r>
      <w:r w:rsidR="00EF2CCA">
        <w:t xml:space="preserve">evelopment </w:t>
      </w:r>
      <w:r w:rsidR="00144858">
        <w:t>c</w:t>
      </w:r>
      <w:r w:rsidR="00E65C9D">
        <w:t>ooperation</w:t>
      </w:r>
      <w:r w:rsidR="00EF2CCA">
        <w:t xml:space="preserve"> will not only provide </w:t>
      </w:r>
      <w:r w:rsidR="00CC3EFA">
        <w:t>us</w:t>
      </w:r>
      <w:r w:rsidR="00EF2CCA">
        <w:t xml:space="preserve"> with better access to key policy makers, it will </w:t>
      </w:r>
      <w:r w:rsidR="00B9775E">
        <w:t xml:space="preserve">aim to </w:t>
      </w:r>
      <w:r w:rsidR="00EF2CCA">
        <w:t>introduce a new level of shared accountability for development results. This will be an important contribution to the principle of responsible government in a nascent democracy.</w:t>
      </w:r>
    </w:p>
    <w:p w14:paraId="15593469" w14:textId="77777777" w:rsidR="00DE3940" w:rsidRDefault="00DA4BB4" w:rsidP="00527F65">
      <w:r>
        <w:t xml:space="preserve">Under </w:t>
      </w:r>
      <w:r w:rsidR="00144858">
        <w:t>the m</w:t>
      </w:r>
      <w:r>
        <w:t xml:space="preserve">emorandum, </w:t>
      </w:r>
      <w:r w:rsidR="00DE3940">
        <w:t>Australia</w:t>
      </w:r>
      <w:r w:rsidR="0027067F">
        <w:t xml:space="preserve">n and </w:t>
      </w:r>
      <w:r w:rsidR="00DE3940">
        <w:t xml:space="preserve">Myanmar senior officials </w:t>
      </w:r>
      <w:r>
        <w:t>will periodically review</w:t>
      </w:r>
      <w:r w:rsidR="00DE3940">
        <w:t xml:space="preserve"> the results of this program strategy. The program will be subject to </w:t>
      </w:r>
      <w:r w:rsidR="00E80898">
        <w:t>A</w:t>
      </w:r>
      <w:r w:rsidR="00DE3940">
        <w:t xml:space="preserve">nnual </w:t>
      </w:r>
      <w:r w:rsidR="00E80898">
        <w:t>P</w:t>
      </w:r>
      <w:r w:rsidR="00DE3940">
        <w:t xml:space="preserve">rogram </w:t>
      </w:r>
      <w:r w:rsidR="00E80898">
        <w:t>P</w:t>
      </w:r>
      <w:r w:rsidR="00DE3940">
        <w:t xml:space="preserve">erformance </w:t>
      </w:r>
      <w:r w:rsidR="00E80898">
        <w:t>Reviews</w:t>
      </w:r>
      <w:r w:rsidR="00DE3940">
        <w:t xml:space="preserve">, guided by </w:t>
      </w:r>
      <w:r w:rsidR="00BF5907">
        <w:t xml:space="preserve">an </w:t>
      </w:r>
      <w:r w:rsidR="001D1BA3">
        <w:t xml:space="preserve">abridged </w:t>
      </w:r>
      <w:r w:rsidR="00BF5907">
        <w:t>p</w:t>
      </w:r>
      <w:r w:rsidR="00DE3940">
        <w:t xml:space="preserve">erformance </w:t>
      </w:r>
      <w:r w:rsidR="00BF5907">
        <w:t>a</w:t>
      </w:r>
      <w:r w:rsidR="00DE3940">
        <w:t xml:space="preserve">ssessment </w:t>
      </w:r>
      <w:r w:rsidR="00BF5907">
        <w:t>f</w:t>
      </w:r>
      <w:r w:rsidR="00DE3940">
        <w:t>ramework</w:t>
      </w:r>
      <w:r>
        <w:t xml:space="preserve"> (see 5.2)</w:t>
      </w:r>
      <w:r w:rsidR="00DE3940">
        <w:t xml:space="preserve">, which will be shared with the </w:t>
      </w:r>
      <w:r w:rsidR="00DA176A">
        <w:t>Myanmar Government</w:t>
      </w:r>
      <w:r w:rsidR="00C13174">
        <w:t xml:space="preserve"> </w:t>
      </w:r>
      <w:r w:rsidR="00DE3940">
        <w:t xml:space="preserve">and published on </w:t>
      </w:r>
      <w:r w:rsidR="009C443E">
        <w:t>the Australian Agency for International Development’s (</w:t>
      </w:r>
      <w:r w:rsidR="00DE3940">
        <w:t>AusAID</w:t>
      </w:r>
      <w:r w:rsidR="009C443E">
        <w:t>)</w:t>
      </w:r>
      <w:r w:rsidR="00DE3940">
        <w:t xml:space="preserve"> website.</w:t>
      </w:r>
    </w:p>
    <w:p w14:paraId="1559346A" w14:textId="77777777" w:rsidR="00EF2CCA" w:rsidRDefault="00EF2CCA" w:rsidP="00527F65">
      <w:r>
        <w:t xml:space="preserve">The focus on shared results </w:t>
      </w:r>
      <w:r w:rsidRPr="00F81B31">
        <w:t xml:space="preserve">will be most apparent in our </w:t>
      </w:r>
      <w:r w:rsidR="00F81B31" w:rsidRPr="00F81B31">
        <w:t>education and health programs</w:t>
      </w:r>
      <w:r w:rsidRPr="00F81B31">
        <w:t>,</w:t>
      </w:r>
      <w:r>
        <w:t xml:space="preserve"> </w:t>
      </w:r>
      <w:r w:rsidR="00CE7CD0">
        <w:t>through cooperation with the</w:t>
      </w:r>
      <w:r>
        <w:t xml:space="preserve"> ministries responsible for service delivery</w:t>
      </w:r>
      <w:r w:rsidR="00CE7CD0">
        <w:t xml:space="preserve"> that</w:t>
      </w:r>
      <w:r>
        <w:t xml:space="preserve"> have the </w:t>
      </w:r>
      <w:r w:rsidR="00DE3940">
        <w:t>best</w:t>
      </w:r>
      <w:r>
        <w:t xml:space="preserve"> capacity and have made the most progress in planning. </w:t>
      </w:r>
      <w:r w:rsidR="00820E27">
        <w:t xml:space="preserve">In </w:t>
      </w:r>
      <w:r w:rsidR="00CC3EFA">
        <w:t>education</w:t>
      </w:r>
      <w:r w:rsidR="00820E27">
        <w:t xml:space="preserve">, for example, Australia </w:t>
      </w:r>
      <w:r w:rsidR="00CC3EFA">
        <w:t>will work</w:t>
      </w:r>
      <w:r w:rsidR="00820E27">
        <w:t xml:space="preserve"> with </w:t>
      </w:r>
      <w:r w:rsidR="00CC3EFA">
        <w:t xml:space="preserve">the Ministry of Education and other donors to undertake a comprehensive assessment of the sector. The resulting sector-wide </w:t>
      </w:r>
      <w:r w:rsidR="00E65C9D">
        <w:t xml:space="preserve">national </w:t>
      </w:r>
      <w:r w:rsidR="00CC3EFA">
        <w:t xml:space="preserve">education plan will guide the activities of all </w:t>
      </w:r>
      <w:r w:rsidR="00DA4BB4">
        <w:t>donors and implementing agencies,</w:t>
      </w:r>
      <w:r w:rsidR="00CC3EFA">
        <w:t xml:space="preserve"> and ensure they </w:t>
      </w:r>
      <w:r w:rsidR="00CE7CD0">
        <w:t>work</w:t>
      </w:r>
      <w:r w:rsidR="00CC3EFA">
        <w:t xml:space="preserve"> towards common objectives.</w:t>
      </w:r>
    </w:p>
    <w:p w14:paraId="1559346B" w14:textId="77777777" w:rsidR="00EC3274" w:rsidRDefault="00EC3274" w:rsidP="00527F65">
      <w:r>
        <w:t xml:space="preserve">A stronger partnership </w:t>
      </w:r>
      <w:r w:rsidR="00B9775E">
        <w:t>is intended to</w:t>
      </w:r>
      <w:r>
        <w:t xml:space="preserve"> enable Myanmar and Australia to jointly determine development priorities, ensuring that our support is embedded in</w:t>
      </w:r>
      <w:r w:rsidR="003A1801">
        <w:t>to the reform plans</w:t>
      </w:r>
      <w:r>
        <w:t xml:space="preserve"> of</w:t>
      </w:r>
      <w:r w:rsidR="00DA4BB4">
        <w:t xml:space="preserve"> </w:t>
      </w:r>
      <w:r w:rsidR="00C13174">
        <w:t xml:space="preserve">Myanmar </w:t>
      </w:r>
      <w:r w:rsidR="007F2ECB">
        <w:t>G</w:t>
      </w:r>
      <w:r w:rsidR="00DA4BB4">
        <w:t>overnment</w:t>
      </w:r>
      <w:r>
        <w:t xml:space="preserve"> agencies. Ideally this</w:t>
      </w:r>
      <w:r w:rsidR="003A1801">
        <w:t xml:space="preserve"> process will include other </w:t>
      </w:r>
      <w:r w:rsidR="00DA4BB4">
        <w:t>donors and multilateral organisations</w:t>
      </w:r>
      <w:r w:rsidR="003A1801">
        <w:t>, similar to the approach</w:t>
      </w:r>
      <w:r w:rsidR="00BF5907">
        <w:t xml:space="preserve"> to be adopted</w:t>
      </w:r>
      <w:r w:rsidR="003A1801">
        <w:t xml:space="preserve"> in education. Where other partners are not included, Australia will apply principles of good donor coordination to ensure our assistance does not duplicate or conflict with other programs.</w:t>
      </w:r>
    </w:p>
    <w:p w14:paraId="1559346C" w14:textId="77777777" w:rsidR="00CE7CD0" w:rsidRDefault="00CE7CD0" w:rsidP="00527F65">
      <w:r>
        <w:t xml:space="preserve">If reform in </w:t>
      </w:r>
      <w:r w:rsidR="00CB357D">
        <w:t>Myanmar</w:t>
      </w:r>
      <w:r>
        <w:t xml:space="preserve"> continues on the current path, Australia will be in a good position to further strengthen our partnership with the </w:t>
      </w:r>
      <w:r w:rsidR="00DA176A">
        <w:t>Myanmar Government</w:t>
      </w:r>
      <w:r w:rsidR="00C13174">
        <w:t xml:space="preserve"> </w:t>
      </w:r>
      <w:r>
        <w:t>beyond 2014. This could include elements such as a joint Australia</w:t>
      </w:r>
      <w:r w:rsidR="00144858">
        <w:t xml:space="preserve"> </w:t>
      </w:r>
      <w:r w:rsidR="00144858" w:rsidRPr="004F4BED">
        <w:rPr>
          <w:i/>
        </w:rPr>
        <w:t>–</w:t>
      </w:r>
      <w:r w:rsidR="00144858">
        <w:t xml:space="preserve"> </w:t>
      </w:r>
      <w:r w:rsidR="00CB357D">
        <w:t>Myanmar</w:t>
      </w:r>
      <w:r>
        <w:t xml:space="preserve"> </w:t>
      </w:r>
      <w:r w:rsidR="004F4BED">
        <w:t>program</w:t>
      </w:r>
      <w:r>
        <w:t xml:space="preserve"> strategy and a shared performance assessment framework.</w:t>
      </w:r>
      <w:r w:rsidR="003A1801">
        <w:t xml:space="preserve"> Any setbacks to the reform process will be responded to according to their </w:t>
      </w:r>
      <w:r w:rsidR="005E3350">
        <w:t>significance</w:t>
      </w:r>
      <w:r w:rsidR="003A1801">
        <w:t xml:space="preserve"> and the risk they present to the effectiveness of </w:t>
      </w:r>
      <w:r w:rsidR="00EF7D8E">
        <w:t xml:space="preserve">our </w:t>
      </w:r>
      <w:r w:rsidR="003A1801">
        <w:t>aid.</w:t>
      </w:r>
    </w:p>
    <w:p w14:paraId="1559346D" w14:textId="77777777" w:rsidR="00A960E9" w:rsidRDefault="00ED06CB" w:rsidP="00527F65">
      <w:pPr>
        <w:pStyle w:val="Heading1"/>
        <w:rPr>
          <w:noProof/>
        </w:rPr>
      </w:pPr>
      <w:bookmarkStart w:id="11" w:name="_Toc347220223"/>
      <w:r>
        <w:rPr>
          <w:noProof/>
        </w:rPr>
        <w:lastRenderedPageBreak/>
        <w:drawing>
          <wp:anchor distT="0" distB="0" distL="114300" distR="114300" simplePos="0" relativeHeight="251656192" behindDoc="1" locked="0" layoutInCell="1" allowOverlap="1" wp14:anchorId="15593562" wp14:editId="15593563">
            <wp:simplePos x="0" y="0"/>
            <wp:positionH relativeFrom="page">
              <wp:posOffset>-92710</wp:posOffset>
            </wp:positionH>
            <wp:positionV relativeFrom="page">
              <wp:posOffset>1169035</wp:posOffset>
            </wp:positionV>
            <wp:extent cx="7903210" cy="1585595"/>
            <wp:effectExtent l="0" t="0" r="2540" b="0"/>
            <wp:wrapNone/>
            <wp:docPr id="7" name="Picture 7"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AID_report_D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03210" cy="1585595"/>
                    </a:xfrm>
                    <a:prstGeom prst="rect">
                      <a:avLst/>
                    </a:prstGeom>
                    <a:noFill/>
                  </pic:spPr>
                </pic:pic>
              </a:graphicData>
            </a:graphic>
          </wp:anchor>
        </w:drawing>
      </w:r>
      <w:r w:rsidR="00993138">
        <w:t xml:space="preserve">Context and rationale for Australian aid in </w:t>
      </w:r>
      <w:r w:rsidR="00CB357D">
        <w:t>Myanmar</w:t>
      </w:r>
      <w:bookmarkEnd w:id="11"/>
    </w:p>
    <w:p w14:paraId="1559346E" w14:textId="77777777" w:rsidR="00A960E9" w:rsidRDefault="00993138" w:rsidP="00527F65">
      <w:pPr>
        <w:pStyle w:val="Heading2"/>
      </w:pPr>
      <w:bookmarkStart w:id="12" w:name="_Toc347220224"/>
      <w:r>
        <w:t>Poverty and need</w:t>
      </w:r>
      <w:bookmarkEnd w:id="12"/>
    </w:p>
    <w:p w14:paraId="1559346F" w14:textId="77777777" w:rsidR="00993138" w:rsidRDefault="00CB357D" w:rsidP="00527F65">
      <w:r>
        <w:t>Myanmar</w:t>
      </w:r>
      <w:r w:rsidR="0026168A" w:rsidRPr="0026168A">
        <w:t xml:space="preserve"> is</w:t>
      </w:r>
      <w:r w:rsidR="003A1801">
        <w:t xml:space="preserve"> one of</w:t>
      </w:r>
      <w:r w:rsidR="0026168A" w:rsidRPr="0026168A">
        <w:t xml:space="preserve"> the poorest countr</w:t>
      </w:r>
      <w:r w:rsidR="003A1801">
        <w:t>ies</w:t>
      </w:r>
      <w:r w:rsidR="0026168A" w:rsidRPr="0026168A">
        <w:t xml:space="preserve"> in South East Asia </w:t>
      </w:r>
      <w:r w:rsidR="008F64A1">
        <w:t>and has</w:t>
      </w:r>
      <w:r w:rsidR="0026168A" w:rsidRPr="0026168A">
        <w:t xml:space="preserve"> </w:t>
      </w:r>
      <w:r w:rsidR="003A1801">
        <w:t xml:space="preserve">among </w:t>
      </w:r>
      <w:r w:rsidR="0026168A" w:rsidRPr="0026168A">
        <w:t>the lowest social development indicators in the region</w:t>
      </w:r>
      <w:r w:rsidR="00BB75AB">
        <w:t xml:space="preserve">. </w:t>
      </w:r>
      <w:r w:rsidR="00E96517">
        <w:t>T</w:t>
      </w:r>
      <w:r w:rsidR="00215C43">
        <w:t>hough b</w:t>
      </w:r>
      <w:r w:rsidR="00215C43" w:rsidRPr="0026168A">
        <w:t xml:space="preserve">asic economic and social data is often </w:t>
      </w:r>
      <w:r w:rsidR="00112AD7" w:rsidRPr="0026168A">
        <w:t>unavailable</w:t>
      </w:r>
      <w:r w:rsidR="00112AD7">
        <w:t xml:space="preserve"> </w:t>
      </w:r>
      <w:r w:rsidR="00215C43" w:rsidRPr="0026168A">
        <w:t xml:space="preserve">or </w:t>
      </w:r>
      <w:r w:rsidR="00112AD7" w:rsidRPr="0026168A">
        <w:t>unreliable</w:t>
      </w:r>
      <w:r w:rsidR="00215C43">
        <w:t xml:space="preserve">, </w:t>
      </w:r>
      <w:r w:rsidR="00AA4F7C">
        <w:t>around</w:t>
      </w:r>
      <w:r w:rsidR="0026168A" w:rsidRPr="0026168A">
        <w:t xml:space="preserve"> one</w:t>
      </w:r>
      <w:r w:rsidR="00144858">
        <w:t>-</w:t>
      </w:r>
      <w:r w:rsidR="0026168A" w:rsidRPr="0026168A">
        <w:t xml:space="preserve">quarter of </w:t>
      </w:r>
      <w:r>
        <w:t>Myanmar</w:t>
      </w:r>
      <w:r w:rsidR="001E76F3">
        <w:t>’s</w:t>
      </w:r>
      <w:r w:rsidR="0026168A" w:rsidRPr="0026168A">
        <w:t xml:space="preserve"> </w:t>
      </w:r>
      <w:r w:rsidR="00AA4F7C">
        <w:t xml:space="preserve">estimated </w:t>
      </w:r>
      <w:r w:rsidR="003103DB">
        <w:t>62</w:t>
      </w:r>
      <w:r w:rsidR="0026168A" w:rsidRPr="0026168A">
        <w:t xml:space="preserve"> million people live in poverty, with this figure rising to 73</w:t>
      </w:r>
      <w:r w:rsidR="00144858">
        <w:t> </w:t>
      </w:r>
      <w:r w:rsidR="0026168A" w:rsidRPr="0026168A">
        <w:t>per cent in some minority ethnic areas</w:t>
      </w:r>
      <w:r w:rsidR="00005455">
        <w:t>.</w:t>
      </w:r>
      <w:r w:rsidR="008F64A1">
        <w:rPr>
          <w:rStyle w:val="FootnoteReference"/>
        </w:rPr>
        <w:footnoteReference w:id="1"/>
      </w:r>
      <w:r w:rsidR="008F64A1">
        <w:t xml:space="preserve"> </w:t>
      </w:r>
      <w:r>
        <w:t>Myanmar</w:t>
      </w:r>
      <w:r w:rsidR="0026168A" w:rsidRPr="0026168A">
        <w:t xml:space="preserve"> ranks 149 out of 18</w:t>
      </w:r>
      <w:r w:rsidR="00AA4F7C">
        <w:t>7</w:t>
      </w:r>
      <w:r w:rsidR="0026168A" w:rsidRPr="0026168A">
        <w:t xml:space="preserve"> countries on the </w:t>
      </w:r>
      <w:r w:rsidR="00112AD7">
        <w:t xml:space="preserve">United Nations’ </w:t>
      </w:r>
      <w:r w:rsidR="0026168A" w:rsidRPr="0026168A">
        <w:t xml:space="preserve">Human Development Index and </w:t>
      </w:r>
      <w:r w:rsidR="00DA1184" w:rsidRPr="0026168A">
        <w:t>will not meet key</w:t>
      </w:r>
      <w:r w:rsidR="00DA1184">
        <w:t xml:space="preserve"> Millennium Development Goals</w:t>
      </w:r>
      <w:r w:rsidR="008F64A1">
        <w:t xml:space="preserve">. </w:t>
      </w:r>
      <w:r w:rsidR="0026168A" w:rsidRPr="0026168A">
        <w:t xml:space="preserve">Gross </w:t>
      </w:r>
      <w:r w:rsidR="008F64A1">
        <w:t>d</w:t>
      </w:r>
      <w:r w:rsidR="0026168A" w:rsidRPr="0026168A">
        <w:t xml:space="preserve">omestic </w:t>
      </w:r>
      <w:r w:rsidR="008F64A1">
        <w:t>product</w:t>
      </w:r>
      <w:r w:rsidR="00215C43">
        <w:t xml:space="preserve"> per capita</w:t>
      </w:r>
      <w:r w:rsidR="008F64A1">
        <w:t xml:space="preserve"> is </w:t>
      </w:r>
      <w:r w:rsidR="00E65C9D">
        <w:t xml:space="preserve">estimated </w:t>
      </w:r>
      <w:r w:rsidR="00E65C9D" w:rsidRPr="00EF7D8E">
        <w:t xml:space="preserve">at </w:t>
      </w:r>
      <w:r w:rsidR="008F64A1" w:rsidRPr="00D57233">
        <w:t>US</w:t>
      </w:r>
      <w:r w:rsidR="0066688F" w:rsidRPr="00D57233">
        <w:t>$</w:t>
      </w:r>
      <w:r w:rsidR="00215C43" w:rsidRPr="00D57233">
        <w:t>1</w:t>
      </w:r>
      <w:r w:rsidR="00EF7D8E" w:rsidRPr="00D57233">
        <w:t xml:space="preserve"> </w:t>
      </w:r>
      <w:r w:rsidR="009965CD" w:rsidRPr="00D57233">
        <w:t>535</w:t>
      </w:r>
      <w:r w:rsidR="00EF7D8E">
        <w:t>,</w:t>
      </w:r>
      <w:r w:rsidR="0026168A" w:rsidRPr="00EF7D8E">
        <w:t xml:space="preserve"> </w:t>
      </w:r>
      <w:r w:rsidR="009965CD" w:rsidRPr="00EF7D8E">
        <w:t>around</w:t>
      </w:r>
      <w:r w:rsidR="0026168A" w:rsidRPr="00342AF8">
        <w:t xml:space="preserve"> ha</w:t>
      </w:r>
      <w:r w:rsidR="008F64A1" w:rsidRPr="00342AF8">
        <w:t>lf</w:t>
      </w:r>
      <w:r w:rsidR="008F64A1">
        <w:t xml:space="preserve"> that of </w:t>
      </w:r>
      <w:r w:rsidR="009965CD">
        <w:t>Timor</w:t>
      </w:r>
      <w:r w:rsidR="007F2ECB">
        <w:t>-</w:t>
      </w:r>
      <w:r w:rsidR="009965CD">
        <w:t>Leste</w:t>
      </w:r>
      <w:r w:rsidR="0026168A" w:rsidRPr="0026168A">
        <w:t>.</w:t>
      </w:r>
      <w:r w:rsidR="009965CD">
        <w:rPr>
          <w:rStyle w:val="FootnoteReference"/>
        </w:rPr>
        <w:footnoteReference w:id="2"/>
      </w:r>
      <w:r w:rsidR="009965CD">
        <w:t xml:space="preserve"> </w:t>
      </w:r>
      <w:r w:rsidR="0026168A" w:rsidRPr="0026168A">
        <w:t xml:space="preserve"> </w:t>
      </w:r>
    </w:p>
    <w:p w14:paraId="15593470" w14:textId="77777777" w:rsidR="00112AD7" w:rsidRDefault="00112AD7" w:rsidP="00527F65">
      <w:r w:rsidRPr="00112AD7">
        <w:t xml:space="preserve">About </w:t>
      </w:r>
      <w:r w:rsidR="00E66DFB">
        <w:t>10</w:t>
      </w:r>
      <w:r w:rsidR="00E66DFB" w:rsidRPr="00112AD7">
        <w:t xml:space="preserve"> </w:t>
      </w:r>
      <w:r w:rsidRPr="00112AD7">
        <w:t xml:space="preserve">per cent of </w:t>
      </w:r>
      <w:r w:rsidR="00CB357D">
        <w:t>Myanmar</w:t>
      </w:r>
      <w:r w:rsidRPr="00112AD7">
        <w:t>’s population does not have regular access to enough food to meet dietary needs</w:t>
      </w:r>
      <w:r w:rsidR="00005455">
        <w:t>.</w:t>
      </w:r>
      <w:r w:rsidR="000D431B">
        <w:rPr>
          <w:rStyle w:val="FootnoteReference"/>
        </w:rPr>
        <w:footnoteReference w:id="3"/>
      </w:r>
      <w:r w:rsidRPr="00112AD7">
        <w:t xml:space="preserve"> Almost 70 per cent are subsistence</w:t>
      </w:r>
      <w:r w:rsidR="00E66DFB">
        <w:t>-</w:t>
      </w:r>
      <w:r w:rsidRPr="00112AD7">
        <w:t>level farmers and agriculture accounts for 50</w:t>
      </w:r>
      <w:r w:rsidR="000D431B">
        <w:t> </w:t>
      </w:r>
      <w:r w:rsidRPr="00112AD7">
        <w:t xml:space="preserve">per cent of </w:t>
      </w:r>
      <w:r w:rsidR="0066688F">
        <w:t>gross domestic product</w:t>
      </w:r>
      <w:r w:rsidRPr="00112AD7">
        <w:t xml:space="preserve">. Conditions for most of </w:t>
      </w:r>
      <w:r w:rsidR="00CB357D">
        <w:t>Myanmar</w:t>
      </w:r>
      <w:r w:rsidRPr="00112AD7">
        <w:t>'s city dwellers also remain dire</w:t>
      </w:r>
      <w:r w:rsidR="00F16588">
        <w:t>,</w:t>
      </w:r>
      <w:r w:rsidRPr="00112AD7">
        <w:t xml:space="preserve"> with most spending close to 70 per cent of their income on food</w:t>
      </w:r>
      <w:r w:rsidR="00005455">
        <w:t>.</w:t>
      </w:r>
      <w:r w:rsidR="000D431B">
        <w:rPr>
          <w:rStyle w:val="FootnoteReference"/>
        </w:rPr>
        <w:footnoteReference w:id="4"/>
      </w:r>
      <w:r w:rsidRPr="00112AD7">
        <w:t xml:space="preserve"> Due to entrenched inequalities, women are </w:t>
      </w:r>
      <w:r w:rsidR="00EB615A">
        <w:t>less</w:t>
      </w:r>
      <w:r w:rsidRPr="00112AD7">
        <w:t xml:space="preserve"> likely to </w:t>
      </w:r>
      <w:r w:rsidR="00EB615A">
        <w:t>have access to sufficient food</w:t>
      </w:r>
      <w:r w:rsidRPr="00112AD7">
        <w:t xml:space="preserve"> than men</w:t>
      </w:r>
      <w:r w:rsidR="00BB75AB">
        <w:t xml:space="preserve">. </w:t>
      </w:r>
      <w:r w:rsidRPr="00112AD7">
        <w:t xml:space="preserve">Vulnerability to climate change and extreme weather events exacerbate </w:t>
      </w:r>
      <w:r w:rsidR="009965CD">
        <w:t>Myanmar’s</w:t>
      </w:r>
      <w:r w:rsidR="009965CD" w:rsidRPr="00112AD7">
        <w:t xml:space="preserve"> </w:t>
      </w:r>
      <w:r w:rsidR="00E96517">
        <w:t xml:space="preserve">development </w:t>
      </w:r>
      <w:r w:rsidRPr="00112AD7">
        <w:t>challenges.</w:t>
      </w:r>
    </w:p>
    <w:p w14:paraId="15593471" w14:textId="77777777" w:rsidR="008F64A1" w:rsidRDefault="00215C43" w:rsidP="00527F65">
      <w:pPr>
        <w:pStyle w:val="Heading4"/>
      </w:pPr>
      <w:r>
        <w:t>Low investment in</w:t>
      </w:r>
      <w:r w:rsidR="008F64A1">
        <w:t xml:space="preserve"> basic services</w:t>
      </w:r>
    </w:p>
    <w:p w14:paraId="15593472" w14:textId="77777777" w:rsidR="00993138" w:rsidRDefault="0026168A" w:rsidP="00527F65">
      <w:r w:rsidRPr="0026168A">
        <w:t>In 2011</w:t>
      </w:r>
      <w:r w:rsidR="00E66DFB">
        <w:t>,</w:t>
      </w:r>
      <w:r w:rsidR="001545F5">
        <w:t xml:space="preserve"> </w:t>
      </w:r>
      <w:r w:rsidRPr="0026168A">
        <w:t>public investment in health and education</w:t>
      </w:r>
      <w:r w:rsidR="00112AD7">
        <w:t xml:space="preserve"> in </w:t>
      </w:r>
      <w:r w:rsidR="00CB357D">
        <w:t>Myanmar</w:t>
      </w:r>
      <w:r w:rsidRPr="0026168A">
        <w:t xml:space="preserve"> was the lowest in the world, a</w:t>
      </w:r>
      <w:r w:rsidR="00215C43">
        <w:t xml:space="preserve">t less than </w:t>
      </w:r>
      <w:r w:rsidR="00EF7D8E">
        <w:br/>
      </w:r>
      <w:r w:rsidR="008A49D2">
        <w:t xml:space="preserve">1 </w:t>
      </w:r>
      <w:r w:rsidR="00215C43">
        <w:t>per cent of gross domestic product</w:t>
      </w:r>
      <w:r w:rsidR="00005455">
        <w:t>.</w:t>
      </w:r>
      <w:r w:rsidR="00215C43">
        <w:rPr>
          <w:rStyle w:val="FootnoteReference"/>
        </w:rPr>
        <w:footnoteReference w:id="5"/>
      </w:r>
      <w:r w:rsidR="00215C43">
        <w:t xml:space="preserve"> </w:t>
      </w:r>
      <w:r w:rsidRPr="0026168A">
        <w:t>Health outcomes are</w:t>
      </w:r>
      <w:r w:rsidR="00112AD7">
        <w:t xml:space="preserve"> among the worst in the region with l</w:t>
      </w:r>
      <w:r w:rsidRPr="0026168A">
        <w:t>arge numbers of people dying from easily preventable illness and disease. Women and children bear the brunt of poor health services</w:t>
      </w:r>
      <w:r w:rsidR="00BB75AB">
        <w:t xml:space="preserve">. </w:t>
      </w:r>
      <w:r w:rsidRPr="0026168A">
        <w:t xml:space="preserve">Around one in </w:t>
      </w:r>
      <w:r w:rsidR="008004E1">
        <w:t>14</w:t>
      </w:r>
      <w:r w:rsidR="008004E1" w:rsidRPr="0026168A">
        <w:t xml:space="preserve"> </w:t>
      </w:r>
      <w:r w:rsidRPr="0026168A">
        <w:t>children dies before the age of five</w:t>
      </w:r>
      <w:r w:rsidR="00112AD7">
        <w:t xml:space="preserve"> and t</w:t>
      </w:r>
      <w:r w:rsidR="00215C43" w:rsidRPr="0026168A">
        <w:t>he U</w:t>
      </w:r>
      <w:r w:rsidR="00144858">
        <w:t xml:space="preserve">nited </w:t>
      </w:r>
      <w:r w:rsidR="00215C43" w:rsidRPr="0026168A">
        <w:t>N</w:t>
      </w:r>
      <w:r w:rsidR="00144858">
        <w:t>ations</w:t>
      </w:r>
      <w:r w:rsidR="00215C43" w:rsidRPr="0026168A">
        <w:t xml:space="preserve"> estimates that 2400 pregnant women die annually of largely preventable causes</w:t>
      </w:r>
      <w:r w:rsidR="00005455">
        <w:t>.</w:t>
      </w:r>
      <w:r w:rsidR="00112AD7">
        <w:rPr>
          <w:rStyle w:val="FootnoteReference"/>
        </w:rPr>
        <w:footnoteReference w:id="6"/>
      </w:r>
      <w:r w:rsidR="00215C43" w:rsidRPr="0026168A">
        <w:t xml:space="preserve"> </w:t>
      </w:r>
      <w:r w:rsidR="008F2264" w:rsidRPr="0026168A">
        <w:t>Health systems are ill</w:t>
      </w:r>
      <w:r w:rsidR="008F2264" w:rsidRPr="0026168A">
        <w:noBreakHyphen/>
        <w:t>equipped and unde</w:t>
      </w:r>
      <w:r w:rsidR="008F2264">
        <w:t>rfunded to address the public health emergencies aris</w:t>
      </w:r>
      <w:r w:rsidR="00E21D9B">
        <w:t>ing</w:t>
      </w:r>
      <w:r w:rsidRPr="0026168A">
        <w:t xml:space="preserve"> from major communicable diseases such as HIV/</w:t>
      </w:r>
      <w:r w:rsidR="00215C43">
        <w:t>AIDS, malaria and tuberculosis.</w:t>
      </w:r>
    </w:p>
    <w:p w14:paraId="15593473" w14:textId="77777777" w:rsidR="0026168A" w:rsidRDefault="00D633F7" w:rsidP="00527F65">
      <w:r>
        <w:t>L</w:t>
      </w:r>
      <w:r w:rsidR="0026168A">
        <w:t>ow public investment has denied a quality basic education to most</w:t>
      </w:r>
      <w:r w:rsidR="008F64A1">
        <w:t xml:space="preserve"> of </w:t>
      </w:r>
      <w:r w:rsidR="00CB357D">
        <w:t>Myanmar</w:t>
      </w:r>
      <w:r w:rsidR="008F64A1">
        <w:t>’s 18 million children</w:t>
      </w:r>
      <w:r w:rsidR="00BB75AB">
        <w:t xml:space="preserve">. </w:t>
      </w:r>
      <w:r w:rsidR="001545F5">
        <w:t>As a result, t</w:t>
      </w:r>
      <w:r w:rsidR="008F64A1">
        <w:t>he current</w:t>
      </w:r>
      <w:r w:rsidR="0026168A">
        <w:t xml:space="preserve"> generation of children will be less well educated than </w:t>
      </w:r>
      <w:r w:rsidR="00746E48">
        <w:t xml:space="preserve">their </w:t>
      </w:r>
      <w:r w:rsidR="00945615">
        <w:t>parents</w:t>
      </w:r>
      <w:r w:rsidR="00BB75AB">
        <w:t xml:space="preserve">. </w:t>
      </w:r>
      <w:r w:rsidR="0026168A">
        <w:t>Underfunding translates into inadequate infrastructure, low wages, poor training and lack of equipment</w:t>
      </w:r>
      <w:r w:rsidR="00BB75AB">
        <w:t xml:space="preserve">. </w:t>
      </w:r>
      <w:r w:rsidR="0026168A">
        <w:t>While enrolment rates are reportedly high, student retention rates are low</w:t>
      </w:r>
      <w:r w:rsidR="00BB75AB">
        <w:t xml:space="preserve">. </w:t>
      </w:r>
      <w:r w:rsidR="0026168A">
        <w:t xml:space="preserve">Only 54 per cent of children in </w:t>
      </w:r>
      <w:r w:rsidR="00CB357D">
        <w:t>Myanmar</w:t>
      </w:r>
      <w:r w:rsidR="0026168A">
        <w:t xml:space="preserve"> complete primary school</w:t>
      </w:r>
      <w:r w:rsidR="008F64A1">
        <w:t xml:space="preserve">, </w:t>
      </w:r>
      <w:r w:rsidR="00A911EB">
        <w:t>which</w:t>
      </w:r>
      <w:r w:rsidR="0026168A">
        <w:t xml:space="preserve"> is rarely </w:t>
      </w:r>
      <w:r w:rsidR="00A911EB">
        <w:t>adequate</w:t>
      </w:r>
      <w:r w:rsidR="0026168A">
        <w:t xml:space="preserve"> to </w:t>
      </w:r>
      <w:r w:rsidR="00E13BA6">
        <w:t>impart</w:t>
      </w:r>
      <w:r w:rsidR="0026168A">
        <w:t xml:space="preserve"> basic literacy and numeracy skills</w:t>
      </w:r>
      <w:r w:rsidR="00A911EB">
        <w:t>, and o</w:t>
      </w:r>
      <w:r w:rsidR="0026168A">
        <w:t>nly 57 per cent of teachers are properly qualified</w:t>
      </w:r>
      <w:r w:rsidR="00005455">
        <w:t>.</w:t>
      </w:r>
      <w:r w:rsidR="00A911EB">
        <w:rPr>
          <w:rStyle w:val="FootnoteReference"/>
        </w:rPr>
        <w:footnoteReference w:id="7"/>
      </w:r>
      <w:r w:rsidR="0026168A">
        <w:t xml:space="preserve"> </w:t>
      </w:r>
      <w:r w:rsidR="006674BE">
        <w:t xml:space="preserve">Myanmar is unlikely to meet Millennium </w:t>
      </w:r>
      <w:r w:rsidR="006674BE">
        <w:lastRenderedPageBreak/>
        <w:t xml:space="preserve">Development Goal 2, </w:t>
      </w:r>
      <w:r w:rsidR="00D656E1">
        <w:t xml:space="preserve">achieving </w:t>
      </w:r>
      <w:r w:rsidR="006674BE">
        <w:t xml:space="preserve">universal primary education. </w:t>
      </w:r>
      <w:r w:rsidR="0026168A">
        <w:t xml:space="preserve">Civil conflict and </w:t>
      </w:r>
      <w:r w:rsidR="0066688F">
        <w:t xml:space="preserve">associated </w:t>
      </w:r>
      <w:r w:rsidR="0026168A">
        <w:t xml:space="preserve">sensitivities around </w:t>
      </w:r>
      <w:r w:rsidR="0066688F">
        <w:t xml:space="preserve">the </w:t>
      </w:r>
      <w:r w:rsidR="0026168A">
        <w:t>language of instruction</w:t>
      </w:r>
      <w:r w:rsidR="003644FC">
        <w:t xml:space="preserve"> also</w:t>
      </w:r>
      <w:r w:rsidR="0026168A">
        <w:t xml:space="preserve"> impede access to schools for </w:t>
      </w:r>
      <w:r w:rsidR="00112AD7">
        <w:t>many ethnic minority children.</w:t>
      </w:r>
    </w:p>
    <w:p w14:paraId="15593474" w14:textId="77777777" w:rsidR="00F27285" w:rsidRDefault="00F27285" w:rsidP="00527F65">
      <w:pPr>
        <w:pStyle w:val="Heading4"/>
      </w:pPr>
      <w:r>
        <w:t>Governance</w:t>
      </w:r>
    </w:p>
    <w:p w14:paraId="15593475" w14:textId="77777777" w:rsidR="00F27285" w:rsidRDefault="00431F08" w:rsidP="00527F65">
      <w:r>
        <w:t xml:space="preserve">Continued political and economic reform provides strong justification for Australia to work more closely with the Myanmar Government in pursuit of shared development goals. These changes highlight the importance of building the capacity of the </w:t>
      </w:r>
      <w:r w:rsidR="00A80E9D">
        <w:t>g</w:t>
      </w:r>
      <w:r>
        <w:t xml:space="preserve">overnment to help it deliver on its commitments and address the needs of </w:t>
      </w:r>
      <w:r w:rsidR="00C974E5">
        <w:t xml:space="preserve">its </w:t>
      </w:r>
      <w:r>
        <w:t xml:space="preserve">people. </w:t>
      </w:r>
      <w:r w:rsidR="00F27285">
        <w:t>Myanmar ranks 180 out of 182 countries</w:t>
      </w:r>
      <w:r w:rsidR="00F27285" w:rsidRPr="00746E48">
        <w:t xml:space="preserve"> on the Transparency International 2011 Corruption Perceptions Index. Officially, the </w:t>
      </w:r>
      <w:r w:rsidR="00F27285">
        <w:t>Myanmar Government</w:t>
      </w:r>
      <w:r w:rsidR="00F27285" w:rsidRPr="00746E48">
        <w:t xml:space="preserve"> raises revenue of around</w:t>
      </w:r>
      <w:r w:rsidR="008A49D2">
        <w:t xml:space="preserve"> 6</w:t>
      </w:r>
      <w:r w:rsidR="00F27285" w:rsidRPr="00746E48">
        <w:t xml:space="preserve"> per cent of gross domestic product, the lowest level in the world. </w:t>
      </w:r>
      <w:r w:rsidR="00F27285">
        <w:t>International sanctions have long limited trade and investment in Myanmar</w:t>
      </w:r>
      <w:r w:rsidR="00F16588">
        <w:t>,</w:t>
      </w:r>
      <w:r w:rsidR="00F27285">
        <w:t xml:space="preserve"> and the current influx has the potential to overwhelm the government’s economic management and regulatory systems. </w:t>
      </w:r>
      <w:r w:rsidR="00F27285" w:rsidRPr="00746E48">
        <w:t>Myanmar is, however, taking its first steps towards reforming its opaque financial management systems</w:t>
      </w:r>
      <w:r w:rsidR="00BB75AB">
        <w:t xml:space="preserve">. </w:t>
      </w:r>
      <w:r w:rsidR="00F27285" w:rsidRPr="00746E48">
        <w:t xml:space="preserve">In 2012, for the first time, the </w:t>
      </w:r>
      <w:r w:rsidR="00F27285">
        <w:t>P</w:t>
      </w:r>
      <w:r w:rsidR="00F27285" w:rsidRPr="00746E48">
        <w:t xml:space="preserve">arliament </w:t>
      </w:r>
      <w:r w:rsidR="00F27285">
        <w:t xml:space="preserve">of Myanmar </w:t>
      </w:r>
      <w:r w:rsidR="00F27285" w:rsidRPr="00746E48">
        <w:t xml:space="preserve">debated the government budget </w:t>
      </w:r>
      <w:r w:rsidR="00F27285" w:rsidRPr="00D26AB8">
        <w:t xml:space="preserve">for </w:t>
      </w:r>
      <w:r w:rsidR="00F27285" w:rsidRPr="00821566">
        <w:t>2012</w:t>
      </w:r>
      <w:r w:rsidR="00D26AB8" w:rsidRPr="00D26AB8">
        <w:t>–</w:t>
      </w:r>
      <w:r w:rsidR="00F27285" w:rsidRPr="00821566">
        <w:t>13</w:t>
      </w:r>
      <w:r w:rsidR="00EF7D8E">
        <w:t xml:space="preserve">, </w:t>
      </w:r>
      <w:r w:rsidR="00F27285" w:rsidRPr="00821566">
        <w:t>an</w:t>
      </w:r>
      <w:r w:rsidR="00F27285" w:rsidRPr="00D26AB8">
        <w:t xml:space="preserve"> important</w:t>
      </w:r>
      <w:r w:rsidR="00F27285" w:rsidRPr="00746E48">
        <w:t xml:space="preserve"> step towards transparent public spending</w:t>
      </w:r>
      <w:r w:rsidR="00F27285">
        <w:t xml:space="preserve"> and more robust democratic processes</w:t>
      </w:r>
      <w:r w:rsidR="00BB75AB">
        <w:t xml:space="preserve">. </w:t>
      </w:r>
    </w:p>
    <w:p w14:paraId="15593476" w14:textId="77777777" w:rsidR="00112AD7" w:rsidRDefault="00112AD7" w:rsidP="00527F65">
      <w:pPr>
        <w:pStyle w:val="Heading4"/>
      </w:pPr>
      <w:r>
        <w:t>Civil conflict</w:t>
      </w:r>
    </w:p>
    <w:p w14:paraId="15593477" w14:textId="77777777" w:rsidR="0026168A" w:rsidRDefault="0026168A" w:rsidP="00527F65">
      <w:r>
        <w:t>Ethnically-driven civil conflict has been ongoing for 60 years, severely undermining development</w:t>
      </w:r>
      <w:r w:rsidR="00BB75AB">
        <w:t xml:space="preserve">. </w:t>
      </w:r>
      <w:r w:rsidR="00E21174">
        <w:t xml:space="preserve">Sustained effort and investment will be required for </w:t>
      </w:r>
      <w:r w:rsidR="00C974E5">
        <w:t>Myanmar</w:t>
      </w:r>
      <w:r w:rsidR="00E13BA6">
        <w:t xml:space="preserve"> </w:t>
      </w:r>
      <w:r w:rsidR="00E21174">
        <w:t>to develop the</w:t>
      </w:r>
      <w:r w:rsidR="00E13BA6">
        <w:t xml:space="preserve"> institutional capacity to effectively implement policies nationwide. Ethnic minorities make up </w:t>
      </w:r>
      <w:r w:rsidR="0011268B">
        <w:t xml:space="preserve">an estimated </w:t>
      </w:r>
      <w:r w:rsidR="00E13BA6">
        <w:t xml:space="preserve">32 per cent of the population and face unequal access to </w:t>
      </w:r>
      <w:r w:rsidR="004F6223">
        <w:t xml:space="preserve">basic </w:t>
      </w:r>
      <w:r w:rsidR="00E13BA6">
        <w:t xml:space="preserve">services. </w:t>
      </w:r>
      <w:r w:rsidR="0066688F">
        <w:t xml:space="preserve">While the </w:t>
      </w:r>
      <w:r w:rsidR="00DA176A">
        <w:t>Myanmar Government</w:t>
      </w:r>
      <w:r w:rsidR="0066688F">
        <w:t xml:space="preserve"> has negotiated several </w:t>
      </w:r>
      <w:r w:rsidR="00E65C9D">
        <w:t xml:space="preserve">ceasefire </w:t>
      </w:r>
      <w:r w:rsidR="0066688F">
        <w:t>agreements</w:t>
      </w:r>
      <w:r w:rsidR="00E13BA6">
        <w:t>,</w:t>
      </w:r>
      <w:r w:rsidR="0066688F">
        <w:t xml:space="preserve"> a</w:t>
      </w:r>
      <w:r>
        <w:t xml:space="preserve"> comprehensive peace process is </w:t>
      </w:r>
      <w:r w:rsidR="00BB0F51">
        <w:t>only just emerging</w:t>
      </w:r>
      <w:r>
        <w:t xml:space="preserve">. </w:t>
      </w:r>
    </w:p>
    <w:p w14:paraId="15593478" w14:textId="77777777" w:rsidR="0026168A" w:rsidRDefault="0026168A" w:rsidP="00527F65">
      <w:r>
        <w:t xml:space="preserve">Civil conflict </w:t>
      </w:r>
      <w:r w:rsidR="00E21174">
        <w:t>has also</w:t>
      </w:r>
      <w:r>
        <w:t xml:space="preserve"> led to widespread d</w:t>
      </w:r>
      <w:r w:rsidR="003644FC">
        <w:t xml:space="preserve">isplacement and statelessness. </w:t>
      </w:r>
      <w:r>
        <w:t>Approximately 140</w:t>
      </w:r>
      <w:r w:rsidR="00C974E5">
        <w:t xml:space="preserve"> </w:t>
      </w:r>
      <w:r>
        <w:t xml:space="preserve">000 </w:t>
      </w:r>
      <w:r w:rsidR="001545F5">
        <w:t>Myanma</w:t>
      </w:r>
      <w:r w:rsidR="008533E4">
        <w:t>r</w:t>
      </w:r>
      <w:r>
        <w:t xml:space="preserve"> refugees are in Thailand</w:t>
      </w:r>
      <w:r w:rsidR="00A911EB">
        <w:t>, more</w:t>
      </w:r>
      <w:r>
        <w:t xml:space="preserve"> than 200</w:t>
      </w:r>
      <w:r w:rsidR="00C974E5">
        <w:t xml:space="preserve"> </w:t>
      </w:r>
      <w:r>
        <w:t>000 in Bangladesh and more than 80</w:t>
      </w:r>
      <w:r w:rsidR="00C974E5">
        <w:t xml:space="preserve"> </w:t>
      </w:r>
      <w:r>
        <w:t>000 in Malaysia</w:t>
      </w:r>
      <w:r w:rsidR="00C974E5">
        <w:t xml:space="preserve">. </w:t>
      </w:r>
      <w:r w:rsidR="00F16588">
        <w:t>M</w:t>
      </w:r>
      <w:r>
        <w:t>ore than 500</w:t>
      </w:r>
      <w:r w:rsidR="00C974E5">
        <w:t xml:space="preserve"> </w:t>
      </w:r>
      <w:r>
        <w:t>000 internally displaced persons</w:t>
      </w:r>
      <w:r w:rsidR="00F16588">
        <w:t xml:space="preserve"> live</w:t>
      </w:r>
      <w:r>
        <w:t xml:space="preserve"> in </w:t>
      </w:r>
      <w:r w:rsidR="00CB357D">
        <w:t>Myanmar</w:t>
      </w:r>
      <w:r w:rsidR="00C974E5">
        <w:t xml:space="preserve">. </w:t>
      </w:r>
      <w:r>
        <w:t xml:space="preserve">The </w:t>
      </w:r>
      <w:r w:rsidR="009965CD">
        <w:t xml:space="preserve">majority of the </w:t>
      </w:r>
      <w:r>
        <w:t>Muslim Rohingya ethnic minority are not citizens, excluding them from basic services and leaving ar</w:t>
      </w:r>
      <w:r w:rsidR="0066688F">
        <w:t xml:space="preserve">ound </w:t>
      </w:r>
      <w:r w:rsidR="00F16588">
        <w:br/>
      </w:r>
      <w:r w:rsidR="009965CD">
        <w:t>80</w:t>
      </w:r>
      <w:r w:rsidR="0066688F">
        <w:t>0</w:t>
      </w:r>
      <w:r w:rsidR="00C974E5">
        <w:t xml:space="preserve"> </w:t>
      </w:r>
      <w:r w:rsidR="0066688F">
        <w:t>000 people stateless.</w:t>
      </w:r>
    </w:p>
    <w:p w14:paraId="15593479" w14:textId="77777777" w:rsidR="0066688F" w:rsidRDefault="0066688F" w:rsidP="00527F65">
      <w:pPr>
        <w:pStyle w:val="Heading4"/>
      </w:pPr>
      <w:r>
        <w:t>Vulnerability to natural disasters</w:t>
      </w:r>
    </w:p>
    <w:p w14:paraId="1559347A" w14:textId="77777777" w:rsidR="0026168A" w:rsidRDefault="00CB357D" w:rsidP="00527F65">
      <w:pPr>
        <w:pStyle w:val="BodyText"/>
      </w:pPr>
      <w:r w:rsidRPr="00527F65">
        <w:t>Myanmar</w:t>
      </w:r>
      <w:r w:rsidR="0026168A" w:rsidRPr="00527F65">
        <w:t xml:space="preserve"> is prone to natural di</w:t>
      </w:r>
      <w:r w:rsidR="003644FC" w:rsidRPr="00527F65">
        <w:t>sasters</w:t>
      </w:r>
      <w:r w:rsidR="00BB75AB" w:rsidRPr="00527F65">
        <w:t xml:space="preserve">. </w:t>
      </w:r>
      <w:r w:rsidR="003644FC" w:rsidRPr="00527F65">
        <w:t>Between 1980 and 2009</w:t>
      </w:r>
      <w:r w:rsidR="0026168A" w:rsidRPr="00527F65">
        <w:t xml:space="preserve"> </w:t>
      </w:r>
      <w:r w:rsidR="00F16588" w:rsidRPr="00527F65">
        <w:t xml:space="preserve">the country </w:t>
      </w:r>
      <w:r w:rsidR="0026168A" w:rsidRPr="00527F65">
        <w:t>had one of the highest death tolls due to natural disasters in the region</w:t>
      </w:r>
      <w:r w:rsidR="00C974E5" w:rsidRPr="00527F65">
        <w:t xml:space="preserve">. </w:t>
      </w:r>
      <w:r w:rsidR="00E13BA6" w:rsidRPr="00527F65">
        <w:t xml:space="preserve">On average, disasters affected </w:t>
      </w:r>
      <w:r w:rsidR="00C974E5" w:rsidRPr="00527F65">
        <w:t xml:space="preserve">more than </w:t>
      </w:r>
      <w:r w:rsidR="00E13BA6" w:rsidRPr="00527F65">
        <w:t>125</w:t>
      </w:r>
      <w:r w:rsidR="00C974E5" w:rsidRPr="00527F65">
        <w:t xml:space="preserve"> </w:t>
      </w:r>
      <w:r w:rsidR="00E13BA6" w:rsidRPr="00527F65">
        <w:t xml:space="preserve">000 people and cost around US$140 million per year in </w:t>
      </w:r>
      <w:r w:rsidRPr="00527F65">
        <w:t>Myanmar</w:t>
      </w:r>
      <w:r w:rsidR="00E13BA6" w:rsidRPr="00527F65">
        <w:t xml:space="preserve"> between 1980 and 2010</w:t>
      </w:r>
      <w:r w:rsidR="00C974E5" w:rsidRPr="00527F65">
        <w:t xml:space="preserve">. </w:t>
      </w:r>
      <w:r w:rsidR="0026168A" w:rsidRPr="00527F65">
        <w:t>More than 140</w:t>
      </w:r>
      <w:r w:rsidR="00C974E5" w:rsidRPr="00527F65">
        <w:t xml:space="preserve"> </w:t>
      </w:r>
      <w:r w:rsidR="0026168A" w:rsidRPr="00527F65">
        <w:t>000 people died and 2.4 million people were severely affected by Cyclone Nargis in 2008</w:t>
      </w:r>
      <w:r w:rsidR="00BB75AB" w:rsidRPr="00527F65">
        <w:t xml:space="preserve">. </w:t>
      </w:r>
      <w:r w:rsidR="0026168A" w:rsidRPr="00527F65">
        <w:t xml:space="preserve">Women were disproportionately affected by the devastation of Nargis, with more women than men dying </w:t>
      </w:r>
      <w:r w:rsidR="00D55454" w:rsidRPr="00527F65">
        <w:t xml:space="preserve">as a result of </w:t>
      </w:r>
      <w:r w:rsidR="0026168A" w:rsidRPr="00527F65">
        <w:t xml:space="preserve">the </w:t>
      </w:r>
      <w:r w:rsidR="003644FC" w:rsidRPr="00527F65">
        <w:t>cyclone</w:t>
      </w:r>
      <w:r w:rsidR="0026168A">
        <w:t>.</w:t>
      </w:r>
    </w:p>
    <w:p w14:paraId="1559347B" w14:textId="77777777" w:rsidR="00BB0F51" w:rsidRDefault="00BB0F51" w:rsidP="00527F65">
      <w:pPr>
        <w:pStyle w:val="Heading4"/>
      </w:pPr>
      <w:r>
        <w:t>Isolation</w:t>
      </w:r>
    </w:p>
    <w:p w14:paraId="1559347C" w14:textId="77777777" w:rsidR="00BB0F51" w:rsidRDefault="00BB0F51" w:rsidP="00527F65">
      <w:r>
        <w:t>Despite the needs of its people, i</w:t>
      </w:r>
      <w:r w:rsidRPr="00BB0F51">
        <w:t>n recent years Myanmar has received less aid per person than any of the other 50 poorest countries in the world</w:t>
      </w:r>
      <w:r>
        <w:t xml:space="preserve"> </w:t>
      </w:r>
      <w:r w:rsidRPr="00BB0F51">
        <w:t>due to its political isolation</w:t>
      </w:r>
      <w:r w:rsidR="00BB75AB">
        <w:t xml:space="preserve">. </w:t>
      </w:r>
      <w:r w:rsidRPr="00BB0F51">
        <w:t xml:space="preserve">In 2011, the Organisation for Economic Cooperation and Development reported that Myanmar received around US$8 in international development assistance per capita, compared with US$68 for Laos, US$49 for Cambodia and US$39 for Vietnam. </w:t>
      </w:r>
    </w:p>
    <w:p w14:paraId="1559347D" w14:textId="77777777" w:rsidR="00993138" w:rsidRDefault="00993138" w:rsidP="00527F65">
      <w:pPr>
        <w:pStyle w:val="Heading2"/>
      </w:pPr>
      <w:bookmarkStart w:id="13" w:name="_Toc347220225"/>
      <w:r>
        <w:t>Australia’s national interests</w:t>
      </w:r>
      <w:bookmarkEnd w:id="13"/>
    </w:p>
    <w:p w14:paraId="1559347E" w14:textId="77777777" w:rsidR="005E4364" w:rsidRDefault="0066688F" w:rsidP="00527F65">
      <w:r>
        <w:t xml:space="preserve">The end of </w:t>
      </w:r>
      <w:r w:rsidR="00CB357D">
        <w:t>Myanmar</w:t>
      </w:r>
      <w:r>
        <w:t>’s isolation</w:t>
      </w:r>
      <w:r w:rsidR="005E4364">
        <w:t xml:space="preserve"> from the international community</w:t>
      </w:r>
      <w:r>
        <w:t xml:space="preserve"> and the </w:t>
      </w:r>
      <w:r w:rsidR="00D55454">
        <w:t xml:space="preserve">realisation </w:t>
      </w:r>
      <w:r>
        <w:t xml:space="preserve">of </w:t>
      </w:r>
      <w:r w:rsidR="002953CC">
        <w:t xml:space="preserve">a democratic, </w:t>
      </w:r>
      <w:r>
        <w:t>peace</w:t>
      </w:r>
      <w:r w:rsidR="002953CC">
        <w:t>ful</w:t>
      </w:r>
      <w:r>
        <w:t xml:space="preserve"> and prosper</w:t>
      </w:r>
      <w:r w:rsidR="002953CC">
        <w:t>ous</w:t>
      </w:r>
      <w:r>
        <w:t xml:space="preserve"> </w:t>
      </w:r>
      <w:r w:rsidR="002953CC">
        <w:t>state are</w:t>
      </w:r>
      <w:r>
        <w:t xml:space="preserve"> in Austr</w:t>
      </w:r>
      <w:r w:rsidR="002953CC">
        <w:t xml:space="preserve">alia’s national interest. </w:t>
      </w:r>
      <w:r w:rsidR="005E4364">
        <w:t xml:space="preserve">Although </w:t>
      </w:r>
      <w:r w:rsidR="00CB357D">
        <w:t>Myanmar</w:t>
      </w:r>
      <w:r w:rsidR="005E4364">
        <w:t xml:space="preserve">’s potential for economic </w:t>
      </w:r>
      <w:r w:rsidR="0055109A">
        <w:t>development</w:t>
      </w:r>
      <w:r w:rsidR="005E4364">
        <w:t xml:space="preserve"> is high, it will take a long time for the country to recover from decades of </w:t>
      </w:r>
      <w:r w:rsidR="009E74A8">
        <w:lastRenderedPageBreak/>
        <w:t>stagnation</w:t>
      </w:r>
      <w:r w:rsidR="00BB75AB">
        <w:t xml:space="preserve">. </w:t>
      </w:r>
      <w:r w:rsidR="00E96517">
        <w:t>With appropriate economic reform</w:t>
      </w:r>
      <w:r w:rsidR="003644FC">
        <w:t>s</w:t>
      </w:r>
      <w:r w:rsidR="009E74A8">
        <w:t>,</w:t>
      </w:r>
      <w:r w:rsidR="00E96517">
        <w:t xml:space="preserve"> i</w:t>
      </w:r>
      <w:r w:rsidR="005E4364">
        <w:t>ts resource wealth and young labour force should yield medium to high growth rates</w:t>
      </w:r>
      <w:r w:rsidR="00BB75AB">
        <w:t xml:space="preserve">. </w:t>
      </w:r>
      <w:r w:rsidR="005E4364">
        <w:t xml:space="preserve">Its geographic location could allow </w:t>
      </w:r>
      <w:r w:rsidR="00CB357D">
        <w:t>Myanmar</w:t>
      </w:r>
      <w:r w:rsidR="005E4364">
        <w:t xml:space="preserve"> </w:t>
      </w:r>
      <w:r w:rsidR="00EB615A">
        <w:t xml:space="preserve">to </w:t>
      </w:r>
      <w:r w:rsidR="005E4364">
        <w:t>play a central role in regional connectivity between South Asia and South East Asia</w:t>
      </w:r>
      <w:r w:rsidR="00BB75AB">
        <w:t xml:space="preserve">. </w:t>
      </w:r>
      <w:r w:rsidR="005E4364">
        <w:t xml:space="preserve">Better integrating </w:t>
      </w:r>
      <w:r w:rsidR="00CB357D">
        <w:t>Myanmar</w:t>
      </w:r>
      <w:r w:rsidR="005E4364">
        <w:t xml:space="preserve"> into the global economy will open previously untapped trade and economic opportunities </w:t>
      </w:r>
      <w:r w:rsidR="00C34BD5">
        <w:t>as well as</w:t>
      </w:r>
      <w:r w:rsidR="005E4364">
        <w:t xml:space="preserve"> partnerships with Australia and others. </w:t>
      </w:r>
    </w:p>
    <w:p w14:paraId="1559347F" w14:textId="77777777" w:rsidR="00A911EB" w:rsidRDefault="00CB357D" w:rsidP="00527F65">
      <w:r>
        <w:t>Myanmar</w:t>
      </w:r>
      <w:r w:rsidR="00A911EB">
        <w:t xml:space="preserve">’s membership </w:t>
      </w:r>
      <w:r w:rsidR="009F2C94">
        <w:t xml:space="preserve">in </w:t>
      </w:r>
      <w:r w:rsidR="00A911EB">
        <w:t>the Association of South</w:t>
      </w:r>
      <w:r w:rsidR="00C34BD5">
        <w:t xml:space="preserve"> </w:t>
      </w:r>
      <w:r w:rsidR="00A911EB">
        <w:t xml:space="preserve">East Asian Nations (ASEAN) </w:t>
      </w:r>
      <w:r w:rsidR="00341456">
        <w:t xml:space="preserve">and its </w:t>
      </w:r>
      <w:r w:rsidR="00A911EB">
        <w:t xml:space="preserve">chairmanship of ASEAN in 2014 provides an opportunity </w:t>
      </w:r>
      <w:r w:rsidR="007213C0">
        <w:t xml:space="preserve">for </w:t>
      </w:r>
      <w:r w:rsidR="009F2C94">
        <w:t xml:space="preserve">the country </w:t>
      </w:r>
      <w:r w:rsidR="00A911EB">
        <w:t xml:space="preserve">to </w:t>
      </w:r>
      <w:r w:rsidR="00EB615A">
        <w:t>participate</w:t>
      </w:r>
      <w:r w:rsidR="00A911EB">
        <w:t xml:space="preserve"> more f</w:t>
      </w:r>
      <w:r w:rsidR="00EB615A">
        <w:t>ully in</w:t>
      </w:r>
      <w:r w:rsidR="007213C0">
        <w:t xml:space="preserve"> </w:t>
      </w:r>
      <w:r w:rsidR="00C34BD5">
        <w:t xml:space="preserve">the </w:t>
      </w:r>
      <w:r w:rsidR="007213C0">
        <w:t>regional architecture</w:t>
      </w:r>
      <w:r w:rsidR="00A911EB">
        <w:t>.</w:t>
      </w:r>
      <w:r w:rsidR="005E4364">
        <w:t xml:space="preserve"> </w:t>
      </w:r>
      <w:r w:rsidR="00A911EB">
        <w:t xml:space="preserve">Australia has a regional program of assistance to ASEAN members, including </w:t>
      </w:r>
      <w:r>
        <w:t>Myanmar</w:t>
      </w:r>
      <w:r w:rsidR="00A911EB">
        <w:t>, to address trans-boundary development issues like HIV/AIDS</w:t>
      </w:r>
      <w:r w:rsidR="00945615">
        <w:t xml:space="preserve"> and</w:t>
      </w:r>
      <w:r w:rsidR="00A911EB">
        <w:t xml:space="preserve"> people trafficking</w:t>
      </w:r>
      <w:r w:rsidR="00BB75AB">
        <w:t xml:space="preserve">. </w:t>
      </w:r>
      <w:r w:rsidR="007213C0">
        <w:t xml:space="preserve">Australia </w:t>
      </w:r>
      <w:r w:rsidR="00A911EB">
        <w:t xml:space="preserve">has a limited program of cooperation with the </w:t>
      </w:r>
      <w:r>
        <w:t>Myanmar</w:t>
      </w:r>
      <w:r w:rsidR="00A911EB">
        <w:t xml:space="preserve"> police</w:t>
      </w:r>
      <w:r w:rsidR="00A60D15">
        <w:t>, which is</w:t>
      </w:r>
      <w:r w:rsidR="00A911EB">
        <w:t xml:space="preserve"> focused on counter-narcotics, as well as countering child-sex tourism and trafficking in persons</w:t>
      </w:r>
      <w:r w:rsidR="00BB75AB">
        <w:t xml:space="preserve">. </w:t>
      </w:r>
    </w:p>
    <w:p w14:paraId="15593480" w14:textId="77777777" w:rsidR="00A911EB" w:rsidRDefault="00A911EB" w:rsidP="00527F65">
      <w:r>
        <w:t>The low</w:t>
      </w:r>
      <w:r w:rsidR="0055109A">
        <w:t xml:space="preserve"> standard</w:t>
      </w:r>
      <w:r>
        <w:t xml:space="preserve"> of</w:t>
      </w:r>
      <w:r w:rsidR="005E4364">
        <w:t xml:space="preserve"> living of most </w:t>
      </w:r>
      <w:r w:rsidR="00CB357D">
        <w:t>Myanmar</w:t>
      </w:r>
      <w:r w:rsidR="005E4364">
        <w:t xml:space="preserve"> people, particularly </w:t>
      </w:r>
      <w:r>
        <w:t>those in eth</w:t>
      </w:r>
      <w:r w:rsidR="005E4364">
        <w:t xml:space="preserve">nic areas subject to conflict, </w:t>
      </w:r>
      <w:r>
        <w:t xml:space="preserve">makes </w:t>
      </w:r>
      <w:r w:rsidR="009F2C94">
        <w:t xml:space="preserve">the country </w:t>
      </w:r>
      <w:r>
        <w:t>more susceptible to instability</w:t>
      </w:r>
      <w:r w:rsidR="00BB75AB">
        <w:t xml:space="preserve">. </w:t>
      </w:r>
      <w:r>
        <w:t xml:space="preserve">As a major source of refugees and illegal migration, </w:t>
      </w:r>
      <w:r w:rsidR="00CB357D">
        <w:t>Myanmar</w:t>
      </w:r>
      <w:r>
        <w:t xml:space="preserve"> is </w:t>
      </w:r>
      <w:r w:rsidR="00F771FD">
        <w:t>important</w:t>
      </w:r>
      <w:r>
        <w:t xml:space="preserve"> to Australia’s regional efforts to reduce people smuggling and irregular </w:t>
      </w:r>
      <w:r w:rsidR="00C34BD5">
        <w:t xml:space="preserve">people </w:t>
      </w:r>
      <w:r>
        <w:t>movement</w:t>
      </w:r>
      <w:r w:rsidR="00C974E5">
        <w:t xml:space="preserve">. </w:t>
      </w:r>
      <w:r w:rsidR="009F2C94">
        <w:t xml:space="preserve">It </w:t>
      </w:r>
      <w:r>
        <w:t xml:space="preserve">is engaged in the Bali Process on People Smuggling, Trafficking in Persons and Related Transnational Crime, and it is in Australia’s interest to continue to develop </w:t>
      </w:r>
      <w:r w:rsidR="00CB357D">
        <w:t>Myanmar</w:t>
      </w:r>
      <w:r>
        <w:t>’s active participation in t</w:t>
      </w:r>
      <w:r w:rsidR="00E13BA6">
        <w:t>his and related regional fora</w:t>
      </w:r>
      <w:r w:rsidR="00BB75AB">
        <w:t xml:space="preserve">. </w:t>
      </w:r>
    </w:p>
    <w:p w14:paraId="15593481" w14:textId="77777777" w:rsidR="00252C6B" w:rsidRDefault="00252C6B" w:rsidP="00527F65">
      <w:r>
        <w:t xml:space="preserve">Australia’s aid to Myanmar supports our national interests by </w:t>
      </w:r>
      <w:r w:rsidR="00A8067F">
        <w:t>creating</w:t>
      </w:r>
      <w:r>
        <w:t xml:space="preserve"> the building blocks of a prosperous and open </w:t>
      </w:r>
      <w:r w:rsidR="00F168F6">
        <w:t>country</w:t>
      </w:r>
      <w:r>
        <w:t xml:space="preserve">. Our </w:t>
      </w:r>
      <w:r w:rsidR="00A8067F">
        <w:t xml:space="preserve">aid </w:t>
      </w:r>
      <w:r w:rsidR="00F168F6">
        <w:t xml:space="preserve">reduces the burden of disease, creates jobs and gives people the education needed </w:t>
      </w:r>
      <w:r w:rsidR="00A8067F">
        <w:t xml:space="preserve">to </w:t>
      </w:r>
      <w:r w:rsidR="006520D9">
        <w:t>make the most of these opportunities</w:t>
      </w:r>
      <w:r w:rsidR="00F168F6">
        <w:t>. Our support aim</w:t>
      </w:r>
      <w:r w:rsidR="00341456">
        <w:t>s</w:t>
      </w:r>
      <w:r w:rsidR="00F168F6">
        <w:t xml:space="preserve"> to create a more democratic and inclusive </w:t>
      </w:r>
      <w:r w:rsidR="00341456">
        <w:t>society</w:t>
      </w:r>
      <w:r w:rsidR="00F168F6">
        <w:t xml:space="preserve"> and reduce instability in Myanmar</w:t>
      </w:r>
      <w:r w:rsidR="00341456">
        <w:t>, incr</w:t>
      </w:r>
      <w:r w:rsidR="00D07921">
        <w:t>easing the effectiveness of our aid</w:t>
      </w:r>
      <w:r w:rsidR="00BB75AB">
        <w:t xml:space="preserve">. </w:t>
      </w:r>
    </w:p>
    <w:p w14:paraId="15593482" w14:textId="77777777" w:rsidR="00993138" w:rsidRDefault="00993138" w:rsidP="00527F65">
      <w:pPr>
        <w:pStyle w:val="Heading2"/>
      </w:pPr>
      <w:bookmarkStart w:id="14" w:name="_Toc347220226"/>
      <w:r>
        <w:t>Capacity to make a difference</w:t>
      </w:r>
      <w:bookmarkEnd w:id="14"/>
    </w:p>
    <w:p w14:paraId="15593483" w14:textId="77777777" w:rsidR="0055109A" w:rsidRDefault="0055109A" w:rsidP="00527F65">
      <w:r>
        <w:t xml:space="preserve">A sustained decline in </w:t>
      </w:r>
      <w:r w:rsidR="00E96517">
        <w:t>capacity</w:t>
      </w:r>
      <w:r>
        <w:t xml:space="preserve">, restrictive local and international policies, </w:t>
      </w:r>
      <w:r w:rsidR="001E76F3">
        <w:t>and ongoing civil conflict mean</w:t>
      </w:r>
      <w:r>
        <w:t xml:space="preserve"> operating in </w:t>
      </w:r>
      <w:r w:rsidR="00CB357D">
        <w:t>Myanmar</w:t>
      </w:r>
      <w:r>
        <w:t xml:space="preserve"> </w:t>
      </w:r>
      <w:r w:rsidR="007213C0">
        <w:t xml:space="preserve">has </w:t>
      </w:r>
      <w:r w:rsidR="00EB615A">
        <w:t xml:space="preserve">historically </w:t>
      </w:r>
      <w:r w:rsidR="007213C0">
        <w:t>been</w:t>
      </w:r>
      <w:r>
        <w:t xml:space="preserve"> difficult</w:t>
      </w:r>
      <w:r w:rsidR="00BB75AB">
        <w:t xml:space="preserve">. </w:t>
      </w:r>
      <w:r w:rsidR="00B87963">
        <w:t xml:space="preserve">Although </w:t>
      </w:r>
      <w:r w:rsidR="00BB0F51">
        <w:t>the</w:t>
      </w:r>
      <w:r>
        <w:t xml:space="preserve"> capacity </w:t>
      </w:r>
      <w:r w:rsidR="00BB0F51">
        <w:t xml:space="preserve">of donors </w:t>
      </w:r>
      <w:r>
        <w:t xml:space="preserve">to make a difference in </w:t>
      </w:r>
      <w:r w:rsidR="00B87963">
        <w:t>this environment</w:t>
      </w:r>
      <w:r>
        <w:t xml:space="preserve"> has</w:t>
      </w:r>
      <w:r w:rsidR="001E76F3">
        <w:t xml:space="preserve"> </w:t>
      </w:r>
      <w:r>
        <w:t>been low, the country is</w:t>
      </w:r>
      <w:r w:rsidR="001E76F3">
        <w:t xml:space="preserve"> now</w:t>
      </w:r>
      <w:r>
        <w:t xml:space="preserve"> undergoing</w:t>
      </w:r>
      <w:r w:rsidR="007213C0">
        <w:t xml:space="preserve"> a period of historic change</w:t>
      </w:r>
      <w:r w:rsidR="00BB75AB">
        <w:t xml:space="preserve">. </w:t>
      </w:r>
    </w:p>
    <w:p w14:paraId="15593484" w14:textId="77777777" w:rsidR="0055109A" w:rsidRDefault="0055109A" w:rsidP="00527F65">
      <w:r>
        <w:t xml:space="preserve">The </w:t>
      </w:r>
      <w:r w:rsidR="00DA176A">
        <w:t>Myanmar Government</w:t>
      </w:r>
      <w:r>
        <w:t xml:space="preserve"> has moved quickly to make progress on many refor</w:t>
      </w:r>
      <w:r w:rsidR="007213C0">
        <w:t xml:space="preserve">m benchmarks established by the </w:t>
      </w:r>
      <w:r>
        <w:t>international community</w:t>
      </w:r>
      <w:r w:rsidR="008F2264">
        <w:t>,</w:t>
      </w:r>
      <w:r>
        <w:t xml:space="preserve"> including the</w:t>
      </w:r>
      <w:r w:rsidR="007213C0">
        <w:t xml:space="preserve"> release of political prisoners, free elections</w:t>
      </w:r>
      <w:r>
        <w:t xml:space="preserve"> and </w:t>
      </w:r>
      <w:r w:rsidR="00C34BD5">
        <w:t>ceasefire agreement to end</w:t>
      </w:r>
      <w:r>
        <w:t xml:space="preserve"> ethnic conflicts</w:t>
      </w:r>
      <w:r w:rsidR="00BB75AB">
        <w:t xml:space="preserve">. </w:t>
      </w:r>
      <w:r>
        <w:t>Positive steps include allowing the National League for Democracy to contest by-elections in April 2012</w:t>
      </w:r>
      <w:r w:rsidR="008F2264">
        <w:t xml:space="preserve"> and take up </w:t>
      </w:r>
      <w:r w:rsidR="00EB615A">
        <w:t>4</w:t>
      </w:r>
      <w:r w:rsidR="008F2264">
        <w:t xml:space="preserve">3 seats in </w:t>
      </w:r>
      <w:r w:rsidR="00CB357D">
        <w:t>Myanmar</w:t>
      </w:r>
      <w:r w:rsidR="008F2264">
        <w:t xml:space="preserve">’s </w:t>
      </w:r>
      <w:r w:rsidR="009F2C94">
        <w:t>P</w:t>
      </w:r>
      <w:r w:rsidR="008F2264">
        <w:t>arliament,</w:t>
      </w:r>
      <w:r>
        <w:t xml:space="preserve"> and the release of</w:t>
      </w:r>
      <w:r w:rsidR="00CD3EDC">
        <w:t xml:space="preserve"> </w:t>
      </w:r>
      <w:r w:rsidR="009F2C94">
        <w:t xml:space="preserve">more than </w:t>
      </w:r>
      <w:r w:rsidR="005F2194">
        <w:t>740</w:t>
      </w:r>
      <w:r>
        <w:t xml:space="preserve"> political prisoners</w:t>
      </w:r>
      <w:r w:rsidR="00C974E5">
        <w:t>.</w:t>
      </w:r>
      <w:r w:rsidR="00945615">
        <w:rPr>
          <w:rStyle w:val="FootnoteReference"/>
        </w:rPr>
        <w:footnoteReference w:id="8"/>
      </w:r>
      <w:r w:rsidR="00BB75AB">
        <w:t xml:space="preserve"> </w:t>
      </w:r>
      <w:r>
        <w:t xml:space="preserve">The </w:t>
      </w:r>
      <w:r w:rsidR="00DA176A">
        <w:t>Myanmar Government</w:t>
      </w:r>
      <w:r w:rsidR="00C13174">
        <w:t xml:space="preserve"> </w:t>
      </w:r>
      <w:r w:rsidR="00A53238">
        <w:t xml:space="preserve">has </w:t>
      </w:r>
      <w:r>
        <w:t xml:space="preserve">also signed a number of ceasefire agreements, including </w:t>
      </w:r>
      <w:r w:rsidR="007213C0">
        <w:t xml:space="preserve">one </w:t>
      </w:r>
      <w:r w:rsidR="00F771FD">
        <w:t>suspending</w:t>
      </w:r>
      <w:r>
        <w:t xml:space="preserve"> the 63</w:t>
      </w:r>
      <w:r w:rsidR="00C974E5">
        <w:t>-</w:t>
      </w:r>
      <w:r>
        <w:t xml:space="preserve">year conflict with the Karen National Union. </w:t>
      </w:r>
      <w:r w:rsidR="008C7683">
        <w:t xml:space="preserve">Australia can play an important role in helping the Myanmar Government to build on and deepen these </w:t>
      </w:r>
      <w:r w:rsidR="00F12282">
        <w:t>reforms</w:t>
      </w:r>
      <w:r w:rsidR="008C7683">
        <w:t xml:space="preserve">. </w:t>
      </w:r>
    </w:p>
    <w:p w14:paraId="15593485" w14:textId="77777777" w:rsidR="0055109A" w:rsidRDefault="0055109A" w:rsidP="00527F65">
      <w:r>
        <w:t xml:space="preserve">The </w:t>
      </w:r>
      <w:r w:rsidR="00CB357D">
        <w:t>Myanmar</w:t>
      </w:r>
      <w:r>
        <w:t xml:space="preserve"> Government has demonstrated a new openness to international dialogue, hosting a number of diplomatic visits to </w:t>
      </w:r>
      <w:r w:rsidR="009F2C94">
        <w:t>the country</w:t>
      </w:r>
      <w:r w:rsidR="00BB75AB">
        <w:t xml:space="preserve">. </w:t>
      </w:r>
      <w:r>
        <w:t>Australia</w:t>
      </w:r>
      <w:r w:rsidR="008533E4">
        <w:t>’s</w:t>
      </w:r>
      <w:r w:rsidR="001E76F3">
        <w:t xml:space="preserve"> </w:t>
      </w:r>
      <w:r>
        <w:t>Minister for Foreign Affairs</w:t>
      </w:r>
      <w:r w:rsidR="008533E4">
        <w:t xml:space="preserve"> was the first</w:t>
      </w:r>
      <w:r>
        <w:t xml:space="preserve"> </w:t>
      </w:r>
      <w:r w:rsidR="00C34BD5">
        <w:t>W</w:t>
      </w:r>
      <w:r w:rsidR="004F6223">
        <w:t xml:space="preserve">estern Foreign Minister </w:t>
      </w:r>
      <w:r>
        <w:t xml:space="preserve">to </w:t>
      </w:r>
      <w:r w:rsidR="008533E4">
        <w:t xml:space="preserve">visit </w:t>
      </w:r>
      <w:r w:rsidR="00CB357D">
        <w:t>Myanmar</w:t>
      </w:r>
      <w:r>
        <w:t xml:space="preserve"> after the </w:t>
      </w:r>
      <w:r w:rsidR="001E76F3">
        <w:t>2010 elections</w:t>
      </w:r>
      <w:r w:rsidR="007213C0">
        <w:t>,</w:t>
      </w:r>
      <w:r>
        <w:t xml:space="preserve"> </w:t>
      </w:r>
      <w:r w:rsidR="00CD3EDC">
        <w:t xml:space="preserve">and </w:t>
      </w:r>
      <w:r w:rsidR="008533E4">
        <w:t>a</w:t>
      </w:r>
      <w:r w:rsidR="009F2C94">
        <w:t>nother</w:t>
      </w:r>
      <w:r w:rsidR="008533E4">
        <w:t xml:space="preserve"> visit was undertaken</w:t>
      </w:r>
      <w:r w:rsidR="00CD3EDC">
        <w:t xml:space="preserve"> in June 2012. </w:t>
      </w:r>
      <w:r w:rsidR="00A60D15">
        <w:br/>
      </w:r>
      <w:r w:rsidR="00CD3EDC">
        <w:t>In August 2012</w:t>
      </w:r>
      <w:r w:rsidR="00945615">
        <w:t>,</w:t>
      </w:r>
      <w:r w:rsidR="00CD3EDC">
        <w:t xml:space="preserve"> the </w:t>
      </w:r>
      <w:r w:rsidR="00DA176A">
        <w:t>Myanmar Government</w:t>
      </w:r>
      <w:r w:rsidR="00CD3EDC">
        <w:t xml:space="preserve"> removed 2082 names from its travel ‘blacklist’, </w:t>
      </w:r>
      <w:r w:rsidR="00B47D3A">
        <w:t>increasing the</w:t>
      </w:r>
      <w:r w:rsidR="008533E4">
        <w:t xml:space="preserve"> </w:t>
      </w:r>
      <w:r w:rsidR="00B47D3A">
        <w:t>freedom of movement</w:t>
      </w:r>
      <w:r w:rsidR="008533E4">
        <w:t xml:space="preserve"> for</w:t>
      </w:r>
      <w:r w:rsidR="00CD3EDC" w:rsidRPr="00CD3EDC">
        <w:t xml:space="preserve"> </w:t>
      </w:r>
      <w:r w:rsidR="00CD3EDC">
        <w:t>around</w:t>
      </w:r>
      <w:r w:rsidR="00CD3EDC" w:rsidRPr="00CD3EDC">
        <w:t xml:space="preserve"> </w:t>
      </w:r>
      <w:r w:rsidR="009F2C94">
        <w:t>one-</w:t>
      </w:r>
      <w:r w:rsidR="00CD3EDC" w:rsidRPr="00CD3EDC">
        <w:t xml:space="preserve">third of the people officially barred from entering or leaving </w:t>
      </w:r>
      <w:r w:rsidR="00A60D15">
        <w:br/>
      </w:r>
      <w:r w:rsidR="00CD3EDC" w:rsidRPr="00CD3EDC">
        <w:t>the country</w:t>
      </w:r>
      <w:r w:rsidR="00CD3EDC">
        <w:t>.</w:t>
      </w:r>
      <w:r w:rsidR="009965CD">
        <w:t xml:space="preserve"> </w:t>
      </w:r>
    </w:p>
    <w:p w14:paraId="15593486" w14:textId="77777777" w:rsidR="00D022D7" w:rsidRDefault="00D022D7" w:rsidP="00527F65">
      <w:pPr>
        <w:pStyle w:val="Heading4"/>
      </w:pPr>
      <w:r>
        <w:lastRenderedPageBreak/>
        <w:t>Donor environment</w:t>
      </w:r>
    </w:p>
    <w:p w14:paraId="15593487" w14:textId="77777777" w:rsidR="00A84AC9" w:rsidRDefault="00DC5611" w:rsidP="00527F65">
      <w:r>
        <w:t>Until recently</w:t>
      </w:r>
      <w:r w:rsidR="00A53238">
        <w:t>,</w:t>
      </w:r>
      <w:r>
        <w:t xml:space="preserve"> k</w:t>
      </w:r>
      <w:r w:rsidR="00A84AC9">
        <w:t xml:space="preserve">ey development institutions have been absent from </w:t>
      </w:r>
      <w:r w:rsidR="00CB357D">
        <w:t>Myanmar</w:t>
      </w:r>
      <w:r w:rsidR="00BB75AB">
        <w:t xml:space="preserve">. </w:t>
      </w:r>
      <w:r w:rsidR="00A84AC9">
        <w:t xml:space="preserve">Few </w:t>
      </w:r>
      <w:r w:rsidR="00C34BD5">
        <w:t>W</w:t>
      </w:r>
      <w:r w:rsidR="008533E4">
        <w:t>estern countries</w:t>
      </w:r>
      <w:r w:rsidR="00A84AC9">
        <w:t xml:space="preserve"> have been </w:t>
      </w:r>
      <w:r w:rsidR="0055109A">
        <w:t>donors</w:t>
      </w:r>
      <w:r w:rsidR="000C617F">
        <w:t>,</w:t>
      </w:r>
      <w:r w:rsidR="0055109A">
        <w:t xml:space="preserve"> and many </w:t>
      </w:r>
      <w:r w:rsidR="00A60D15">
        <w:t xml:space="preserve">have been </w:t>
      </w:r>
      <w:r w:rsidR="0055109A">
        <w:t>restricted in their interventions by do</w:t>
      </w:r>
      <w:r w:rsidR="00A84AC9">
        <w:t xml:space="preserve">mestic policy and legislation. </w:t>
      </w:r>
      <w:r>
        <w:t>T</w:t>
      </w:r>
      <w:r w:rsidR="0055109A">
        <w:t>h</w:t>
      </w:r>
      <w:r w:rsidR="009A4BBE">
        <w:t>is</w:t>
      </w:r>
      <w:r w:rsidR="0055109A">
        <w:t xml:space="preserve"> situation is</w:t>
      </w:r>
      <w:r w:rsidR="009A4BBE">
        <w:t xml:space="preserve"> </w:t>
      </w:r>
      <w:r w:rsidR="0055109A">
        <w:t>changing and lead</w:t>
      </w:r>
      <w:r w:rsidR="008533E4">
        <w:t>ing</w:t>
      </w:r>
      <w:r w:rsidR="0055109A">
        <w:t xml:space="preserve"> to an increase in the availability of partners, technical expertise and overal</w:t>
      </w:r>
      <w:r>
        <w:t xml:space="preserve">l levels of aid funding to </w:t>
      </w:r>
      <w:r w:rsidR="00CB357D">
        <w:t>Myanmar</w:t>
      </w:r>
      <w:r>
        <w:t>.</w:t>
      </w:r>
    </w:p>
    <w:p w14:paraId="15593488" w14:textId="77777777" w:rsidR="00503CC7" w:rsidRDefault="008533E4" w:rsidP="00527F65">
      <w:r>
        <w:t xml:space="preserve">In the past, the </w:t>
      </w:r>
      <w:r w:rsidR="00F771FD">
        <w:t xml:space="preserve">limited number of donors in Myanmar </w:t>
      </w:r>
      <w:r>
        <w:t>made for</w:t>
      </w:r>
      <w:r w:rsidR="00F771FD">
        <w:t xml:space="preserve"> relatively good aid coordination, particularly through the use of pooled funding mechanisms. </w:t>
      </w:r>
      <w:r w:rsidR="00503CC7">
        <w:t>However, the</w:t>
      </w:r>
      <w:r w:rsidR="008A3CFD">
        <w:t xml:space="preserve"> crowding of donor space c</w:t>
      </w:r>
      <w:r w:rsidR="0003115B">
        <w:t>ould</w:t>
      </w:r>
      <w:r w:rsidR="008A3CFD">
        <w:t xml:space="preserve"> threaten the sustainability and effectiveness of aid. </w:t>
      </w:r>
      <w:r w:rsidR="00F771FD">
        <w:t xml:space="preserve">As </w:t>
      </w:r>
      <w:r w:rsidR="008A3CFD">
        <w:t xml:space="preserve">more donors arrive and </w:t>
      </w:r>
      <w:r w:rsidR="00F771FD">
        <w:t>existing donors increase the sc</w:t>
      </w:r>
      <w:r w:rsidR="008A3CFD">
        <w:t>ope and scale of their programs</w:t>
      </w:r>
      <w:r w:rsidR="00F771FD">
        <w:t>,</w:t>
      </w:r>
      <w:r w:rsidR="00503CC7">
        <w:t xml:space="preserve"> factors such as</w:t>
      </w:r>
      <w:r w:rsidR="008A3CFD">
        <w:t xml:space="preserve"> </w:t>
      </w:r>
      <w:r w:rsidR="0003115B">
        <w:t>poor</w:t>
      </w:r>
      <w:r w:rsidR="008A3CFD">
        <w:t xml:space="preserve"> </w:t>
      </w:r>
      <w:r w:rsidR="00503CC7">
        <w:t>communication of priorities</w:t>
      </w:r>
      <w:r w:rsidR="008D115A">
        <w:t>,</w:t>
      </w:r>
      <w:r w:rsidR="00503CC7">
        <w:t xml:space="preserve"> or </w:t>
      </w:r>
      <w:r w:rsidR="00EB5B22">
        <w:t>a</w:t>
      </w:r>
      <w:r w:rsidR="00503CC7">
        <w:t xml:space="preserve"> desire to respon</w:t>
      </w:r>
      <w:r w:rsidR="00BF1AF5">
        <w:t>d</w:t>
      </w:r>
      <w:r w:rsidR="008A3CFD">
        <w:t xml:space="preserve"> </w:t>
      </w:r>
      <w:r w:rsidR="00503CC7">
        <w:t xml:space="preserve">to </w:t>
      </w:r>
      <w:r w:rsidR="000C044C">
        <w:t xml:space="preserve">the Myanmar </w:t>
      </w:r>
      <w:r w:rsidR="00EB5B22">
        <w:t>Government</w:t>
      </w:r>
      <w:r w:rsidR="000C044C">
        <w:t>’s</w:t>
      </w:r>
      <w:r w:rsidR="00EB5B22">
        <w:t xml:space="preserve"> </w:t>
      </w:r>
      <w:r w:rsidR="00503CC7">
        <w:t>requests for support</w:t>
      </w:r>
      <w:r w:rsidR="00EB5B22">
        <w:t xml:space="preserve"> outside core programs</w:t>
      </w:r>
      <w:r w:rsidR="00DE3AB1">
        <w:t>,</w:t>
      </w:r>
      <w:r w:rsidR="00503CC7">
        <w:t xml:space="preserve"> </w:t>
      </w:r>
      <w:r w:rsidR="00B826FE">
        <w:t>increase the risks of</w:t>
      </w:r>
      <w:r w:rsidR="008A3CFD">
        <w:t xml:space="preserve"> duplication of </w:t>
      </w:r>
      <w:r w:rsidR="0003115B">
        <w:t xml:space="preserve">effort, </w:t>
      </w:r>
      <w:r w:rsidR="00503CC7">
        <w:t xml:space="preserve">program </w:t>
      </w:r>
      <w:r w:rsidR="0003115B">
        <w:t xml:space="preserve">fragmentation and </w:t>
      </w:r>
      <w:r w:rsidR="008A3CFD">
        <w:t>wasted funding.</w:t>
      </w:r>
    </w:p>
    <w:p w14:paraId="15593489" w14:textId="77777777" w:rsidR="00F771FD" w:rsidRDefault="00DE3AB1" w:rsidP="00527F65">
      <w:r>
        <w:t xml:space="preserve">The leadership of the </w:t>
      </w:r>
      <w:r w:rsidR="00DA176A">
        <w:t>Myanmar Government</w:t>
      </w:r>
      <w:r w:rsidR="00AD1A63">
        <w:t xml:space="preserve"> </w:t>
      </w:r>
      <w:r w:rsidR="00BF1AF5">
        <w:t>will be</w:t>
      </w:r>
      <w:r w:rsidR="00AD1A63">
        <w:t xml:space="preserve"> essential</w:t>
      </w:r>
      <w:r w:rsidR="00BF1AF5">
        <w:t xml:space="preserve"> to good donor coordination, but </w:t>
      </w:r>
      <w:r>
        <w:t>its limited</w:t>
      </w:r>
      <w:r w:rsidR="00654AF5">
        <w:t xml:space="preserve"> </w:t>
      </w:r>
      <w:r w:rsidR="008A3CFD">
        <w:t>experience in</w:t>
      </w:r>
      <w:r w:rsidR="00F771FD">
        <w:t xml:space="preserve"> </w:t>
      </w:r>
      <w:r w:rsidR="00BF1AF5">
        <w:t>managing aid</w:t>
      </w:r>
      <w:r w:rsidR="008A3CFD">
        <w:t xml:space="preserve"> </w:t>
      </w:r>
      <w:r w:rsidR="00BF1AF5">
        <w:t>and the</w:t>
      </w:r>
      <w:r w:rsidR="00AB750A">
        <w:t xml:space="preserve"> current</w:t>
      </w:r>
      <w:r w:rsidR="00BF1AF5">
        <w:t xml:space="preserve"> absence of </w:t>
      </w:r>
      <w:r>
        <w:t xml:space="preserve">clear </w:t>
      </w:r>
      <w:r w:rsidR="00BF1AF5">
        <w:t xml:space="preserve">development plans </w:t>
      </w:r>
      <w:r w:rsidR="00AB750A">
        <w:t>compromise its ability to fulfil this role</w:t>
      </w:r>
      <w:r w:rsidR="00F771FD">
        <w:t>.</w:t>
      </w:r>
      <w:r w:rsidR="00BF1AF5">
        <w:t xml:space="preserve"> The </w:t>
      </w:r>
      <w:r w:rsidR="00DA176A">
        <w:t>Myanmar Government</w:t>
      </w:r>
      <w:r w:rsidR="00BF1AF5">
        <w:t xml:space="preserve"> is undertaking a comprehensive development planning process</w:t>
      </w:r>
      <w:r w:rsidR="009F2C94">
        <w:t>, expected to be completed in 2013</w:t>
      </w:r>
      <w:r w:rsidR="00BF1AF5">
        <w:t xml:space="preserve">, </w:t>
      </w:r>
      <w:r w:rsidR="009F2C94">
        <w:t xml:space="preserve">which </w:t>
      </w:r>
      <w:r w:rsidR="00BF1AF5">
        <w:t>includ</w:t>
      </w:r>
      <w:r w:rsidR="009F2C94">
        <w:t>es</w:t>
      </w:r>
      <w:r w:rsidR="00BF1AF5">
        <w:t xml:space="preserve"> plans for the education and health sectors</w:t>
      </w:r>
      <w:r w:rsidR="00654AF5">
        <w:t xml:space="preserve">. Once </w:t>
      </w:r>
      <w:r w:rsidR="00B826FE">
        <w:t>plans</w:t>
      </w:r>
      <w:r w:rsidR="00AB750A">
        <w:t xml:space="preserve"> are finalised</w:t>
      </w:r>
      <w:r w:rsidR="00654AF5">
        <w:t xml:space="preserve"> donors </w:t>
      </w:r>
      <w:r w:rsidR="00AB750A">
        <w:t xml:space="preserve">should, mindful of prior funding commitments, </w:t>
      </w:r>
      <w:r w:rsidR="00654AF5">
        <w:t xml:space="preserve">prepare to align their </w:t>
      </w:r>
      <w:r w:rsidR="00AB750A">
        <w:t>support</w:t>
      </w:r>
      <w:r w:rsidR="00654AF5">
        <w:t xml:space="preserve"> to </w:t>
      </w:r>
      <w:r w:rsidR="000C044C">
        <w:t xml:space="preserve">the </w:t>
      </w:r>
      <w:r w:rsidR="00DA176A">
        <w:t>Myanmar Government</w:t>
      </w:r>
      <w:r w:rsidR="000C044C">
        <w:t>’s</w:t>
      </w:r>
      <w:r w:rsidR="00654AF5">
        <w:t xml:space="preserve"> priorities. </w:t>
      </w:r>
      <w:r w:rsidR="00BF1AF5">
        <w:t xml:space="preserve">Australia and other development partners are supporting the </w:t>
      </w:r>
      <w:r w:rsidR="00DA176A">
        <w:t>Myanmar Government</w:t>
      </w:r>
      <w:r w:rsidR="00BF1AF5">
        <w:t xml:space="preserve"> to </w:t>
      </w:r>
      <w:r w:rsidR="00B826FE">
        <w:t>share</w:t>
      </w:r>
      <w:r w:rsidR="00BF1AF5">
        <w:t xml:space="preserve"> the lessons learn</w:t>
      </w:r>
      <w:r w:rsidR="009F2C94">
        <w:t>ed</w:t>
      </w:r>
      <w:r w:rsidR="00BF1AF5">
        <w:t xml:space="preserve"> on aid coordination </w:t>
      </w:r>
      <w:r>
        <w:t>from</w:t>
      </w:r>
      <w:r w:rsidR="00BF1AF5">
        <w:t xml:space="preserve"> other countries in the region.</w:t>
      </w:r>
    </w:p>
    <w:p w14:paraId="1559348A" w14:textId="77777777" w:rsidR="0055109A" w:rsidRDefault="0055109A" w:rsidP="00527F65">
      <w:r>
        <w:t>The Worl</w:t>
      </w:r>
      <w:r w:rsidR="00A84AC9">
        <w:t>d Bank</w:t>
      </w:r>
      <w:r w:rsidR="00945615">
        <w:t xml:space="preserve"> and </w:t>
      </w:r>
      <w:r w:rsidR="00A84AC9">
        <w:t>Asian Development Bank</w:t>
      </w:r>
      <w:r>
        <w:t xml:space="preserve"> do not</w:t>
      </w:r>
      <w:r w:rsidR="00DC5611">
        <w:t xml:space="preserve"> currently</w:t>
      </w:r>
      <w:r>
        <w:t xml:space="preserve"> provide loans to </w:t>
      </w:r>
      <w:r w:rsidR="00CB357D">
        <w:t>Myanmar</w:t>
      </w:r>
      <w:r w:rsidR="00BB75AB">
        <w:t xml:space="preserve">. </w:t>
      </w:r>
      <w:r w:rsidR="007F2ECB">
        <w:t>They are</w:t>
      </w:r>
      <w:r w:rsidR="00DF4D45">
        <w:t xml:space="preserve"> finalising plans to enable </w:t>
      </w:r>
      <w:r w:rsidR="00CB357D">
        <w:t>Myanmar</w:t>
      </w:r>
      <w:r w:rsidR="00DF4D45">
        <w:t xml:space="preserve"> to clear its</w:t>
      </w:r>
      <w:r w:rsidR="00A84AC9">
        <w:t xml:space="preserve"> </w:t>
      </w:r>
      <w:r w:rsidR="00BF5F72">
        <w:t>outstanding debt arrears</w:t>
      </w:r>
      <w:r w:rsidR="00DF4D45">
        <w:t xml:space="preserve">, </w:t>
      </w:r>
      <w:r w:rsidR="00CC7D9E">
        <w:t>so</w:t>
      </w:r>
      <w:r w:rsidR="008D115A">
        <w:t xml:space="preserve"> </w:t>
      </w:r>
      <w:r w:rsidR="00DF4D45">
        <w:t xml:space="preserve">the country </w:t>
      </w:r>
      <w:r w:rsidR="008D115A">
        <w:t xml:space="preserve">can </w:t>
      </w:r>
      <w:r w:rsidR="00A84AC9">
        <w:t>access mu</w:t>
      </w:r>
      <w:r w:rsidR="00CD3EDC">
        <w:t>ch</w:t>
      </w:r>
      <w:r w:rsidR="008D115A">
        <w:t>-</w:t>
      </w:r>
      <w:r w:rsidR="00A84AC9">
        <w:t>needed dev</w:t>
      </w:r>
      <w:r w:rsidR="00DF4D45">
        <w:t>elopment financing</w:t>
      </w:r>
      <w:r w:rsidR="00A84AC9">
        <w:t>.</w:t>
      </w:r>
      <w:r w:rsidR="00786439">
        <w:t xml:space="preserve"> In advance of this, the development banks are offering grants to address immediate needs as well as providing technical assistance, research and </w:t>
      </w:r>
      <w:r w:rsidR="007F2ECB">
        <w:t>analysis to</w:t>
      </w:r>
      <w:r w:rsidR="00786439">
        <w:t xml:space="preserve"> inform the reform efforts of the </w:t>
      </w:r>
      <w:r w:rsidR="00DA176A">
        <w:t>Myanmar Government</w:t>
      </w:r>
      <w:r w:rsidR="00786439">
        <w:t xml:space="preserve"> and its development partners. </w:t>
      </w:r>
    </w:p>
    <w:p w14:paraId="1559348B" w14:textId="77777777" w:rsidR="00DD5F85" w:rsidRDefault="00993138" w:rsidP="00527F65">
      <w:pPr>
        <w:pStyle w:val="Heading2"/>
      </w:pPr>
      <w:bookmarkStart w:id="15" w:name="_Toc347220227"/>
      <w:r>
        <w:t>Scale and effectiveness</w:t>
      </w:r>
      <w:bookmarkEnd w:id="15"/>
    </w:p>
    <w:p w14:paraId="1559348C" w14:textId="77777777" w:rsidR="00DD5F85" w:rsidRPr="00D26AB8" w:rsidRDefault="000C617F" w:rsidP="00527F65">
      <w:r>
        <w:t xml:space="preserve">Australia is currently the </w:t>
      </w:r>
      <w:r w:rsidR="00DB32C5">
        <w:t xml:space="preserve">fourth </w:t>
      </w:r>
      <w:r>
        <w:t xml:space="preserve">largest bilateral donor to </w:t>
      </w:r>
      <w:r w:rsidR="00CB357D">
        <w:t>Myanmar</w:t>
      </w:r>
      <w:r w:rsidR="00DC5611" w:rsidRPr="00DC5611">
        <w:t xml:space="preserve">. In </w:t>
      </w:r>
      <w:r w:rsidR="00DC5611" w:rsidRPr="00D26AB8">
        <w:t>2011</w:t>
      </w:r>
      <w:r w:rsidR="00D26AB8" w:rsidRPr="00D26AB8">
        <w:t>–</w:t>
      </w:r>
      <w:r w:rsidR="00DC5611" w:rsidRPr="00821566">
        <w:t>1</w:t>
      </w:r>
      <w:r w:rsidR="00DC5611" w:rsidRPr="00D26AB8">
        <w:t xml:space="preserve">2, </w:t>
      </w:r>
      <w:r w:rsidR="00CB357D" w:rsidRPr="00D26AB8">
        <w:t>Myanmar</w:t>
      </w:r>
      <w:r w:rsidR="00DC5611" w:rsidRPr="00D26AB8">
        <w:t xml:space="preserve"> </w:t>
      </w:r>
      <w:r w:rsidR="00B87963" w:rsidRPr="00D26AB8">
        <w:t xml:space="preserve">received </w:t>
      </w:r>
      <w:r w:rsidR="00DC5611" w:rsidRPr="00D26AB8">
        <w:t xml:space="preserve">$0.94 per person in Australian </w:t>
      </w:r>
      <w:r w:rsidR="00B87963" w:rsidRPr="00D26AB8">
        <w:t>aid</w:t>
      </w:r>
      <w:r w:rsidR="00DC5611" w:rsidRPr="00D26AB8">
        <w:t>, compared with $6.58 for Laos, $5.13 for Cambodia and $1.55 for Vietnam</w:t>
      </w:r>
      <w:r w:rsidR="00BB75AB" w:rsidRPr="00D26AB8">
        <w:t xml:space="preserve">. </w:t>
      </w:r>
      <w:r w:rsidR="00DC5611" w:rsidRPr="00D26AB8">
        <w:t>Australian aid has achieved results over the past decade in the areas of health, education, livelihood</w:t>
      </w:r>
      <w:r w:rsidR="00E96517" w:rsidRPr="00D26AB8">
        <w:t>s and humanitarian assistance.</w:t>
      </w:r>
    </w:p>
    <w:p w14:paraId="1559348D" w14:textId="77777777" w:rsidR="00A960E9" w:rsidRPr="00D26AB8" w:rsidRDefault="00B87963" w:rsidP="00527F65">
      <w:r w:rsidRPr="00D26AB8">
        <w:t xml:space="preserve">The </w:t>
      </w:r>
      <w:r w:rsidR="000C617F" w:rsidRPr="00D26AB8">
        <w:t>second</w:t>
      </w:r>
      <w:r w:rsidRPr="00D26AB8">
        <w:t xml:space="preserve"> </w:t>
      </w:r>
      <w:r w:rsidR="00CB357D" w:rsidRPr="0009728E">
        <w:rPr>
          <w:i/>
        </w:rPr>
        <w:t>Myanmar</w:t>
      </w:r>
      <w:r w:rsidRPr="0009728E">
        <w:rPr>
          <w:i/>
        </w:rPr>
        <w:t xml:space="preserve"> Annual Program Performance Review</w:t>
      </w:r>
      <w:r w:rsidRPr="00D26AB8">
        <w:t xml:space="preserve"> was completed in 201</w:t>
      </w:r>
      <w:r w:rsidR="000C617F" w:rsidRPr="00D26AB8">
        <w:t>2 with p</w:t>
      </w:r>
      <w:r w:rsidRPr="00D26AB8">
        <w:t xml:space="preserve">rogram objectives </w:t>
      </w:r>
      <w:r w:rsidR="000C617F" w:rsidRPr="00D26AB8">
        <w:t xml:space="preserve">rated as partially achieved, in part reflecting </w:t>
      </w:r>
      <w:r w:rsidRPr="00D26AB8">
        <w:t>the difficul</w:t>
      </w:r>
      <w:r w:rsidR="000C617F" w:rsidRPr="00D26AB8">
        <w:t>t working environment</w:t>
      </w:r>
      <w:r w:rsidR="008D115A">
        <w:t xml:space="preserve"> in-country</w:t>
      </w:r>
      <w:r w:rsidR="00F50126">
        <w:t>.</w:t>
      </w:r>
      <w:r w:rsidR="000C617F" w:rsidRPr="00D26AB8">
        <w:t xml:space="preserve"> </w:t>
      </w:r>
      <w:r w:rsidR="00465FC4" w:rsidRPr="00D26AB8">
        <w:t>R</w:t>
      </w:r>
      <w:r w:rsidR="000C617F" w:rsidRPr="00D26AB8">
        <w:t xml:space="preserve">atings for gender equality were </w:t>
      </w:r>
      <w:r w:rsidR="00EF387E" w:rsidRPr="00D26AB8">
        <w:t xml:space="preserve">mixed and </w:t>
      </w:r>
      <w:r w:rsidRPr="00D26AB8">
        <w:t xml:space="preserve">concerted effort is </w:t>
      </w:r>
      <w:r w:rsidR="000C617F" w:rsidRPr="00D26AB8">
        <w:t>being made</w:t>
      </w:r>
      <w:r w:rsidRPr="00D26AB8">
        <w:t xml:space="preserve"> to ensure the benefits of Australian aid are felt equitably</w:t>
      </w:r>
      <w:r w:rsidR="00172ABC">
        <w:t xml:space="preserve">. To inform this AusAID undertook </w:t>
      </w:r>
      <w:r w:rsidR="00172ABC" w:rsidRPr="00D26AB8">
        <w:t>a</w:t>
      </w:r>
      <w:r w:rsidRPr="00D26AB8">
        <w:t xml:space="preserve"> g</w:t>
      </w:r>
      <w:r w:rsidR="000C617F" w:rsidRPr="00D26AB8">
        <w:t>ender stocktake of the program in early 2012</w:t>
      </w:r>
      <w:r w:rsidRPr="00D26AB8">
        <w:t>.</w:t>
      </w:r>
    </w:p>
    <w:p w14:paraId="1559348E" w14:textId="77777777" w:rsidR="00402E9F" w:rsidRDefault="00696673" w:rsidP="00527F65">
      <w:r w:rsidRPr="00D26AB8">
        <w:rPr>
          <w:i/>
        </w:rPr>
        <w:t xml:space="preserve">Australia’s </w:t>
      </w:r>
      <w:r w:rsidR="002735B6" w:rsidRPr="00D26AB8">
        <w:rPr>
          <w:i/>
        </w:rPr>
        <w:t xml:space="preserve">Comprehensive Aid Policy Framework </w:t>
      </w:r>
      <w:r w:rsidRPr="00D26AB8">
        <w:rPr>
          <w:i/>
        </w:rPr>
        <w:t xml:space="preserve">to </w:t>
      </w:r>
      <w:r w:rsidRPr="00821566">
        <w:rPr>
          <w:i/>
        </w:rPr>
        <w:t>2015</w:t>
      </w:r>
      <w:r w:rsidR="00D26AB8" w:rsidRPr="00D26AB8">
        <w:rPr>
          <w:i/>
        </w:rPr>
        <w:t>–</w:t>
      </w:r>
      <w:r w:rsidRPr="00D26AB8">
        <w:rPr>
          <w:i/>
        </w:rPr>
        <w:t>16</w:t>
      </w:r>
      <w:r w:rsidRPr="00D26AB8">
        <w:t xml:space="preserve"> notes that </w:t>
      </w:r>
      <w:r w:rsidR="00CB357D" w:rsidRPr="00D26AB8">
        <w:t>Myanmar</w:t>
      </w:r>
      <w:r w:rsidRPr="00D26AB8">
        <w:t xml:space="preserve"> would benefit from a substantial increase in aid given </w:t>
      </w:r>
      <w:r w:rsidR="0001227F" w:rsidRPr="00D26AB8">
        <w:t xml:space="preserve">its </w:t>
      </w:r>
      <w:r w:rsidRPr="00D26AB8">
        <w:t>high levels of poverty, low volume</w:t>
      </w:r>
      <w:r>
        <w:t xml:space="preserve"> of aid and recent reform efforts.</w:t>
      </w:r>
      <w:r w:rsidR="00405A6C">
        <w:t xml:space="preserve"> Accordingly, the program </w:t>
      </w:r>
      <w:r w:rsidR="00625997" w:rsidRPr="00625997">
        <w:t xml:space="preserve">is expected to grow significantly </w:t>
      </w:r>
      <w:r w:rsidR="00625997">
        <w:t>over</w:t>
      </w:r>
      <w:r w:rsidR="00625997" w:rsidRPr="00625997">
        <w:t xml:space="preserve"> the coming years</w:t>
      </w:r>
      <w:r w:rsidR="00405A6C">
        <w:t>. Our existing programs, delivered in partnership with other donors</w:t>
      </w:r>
      <w:r w:rsidR="00412300">
        <w:t xml:space="preserve"> and multilateral organisations</w:t>
      </w:r>
      <w:r w:rsidR="00405A6C">
        <w:t>, provide a strong foundation for this growth.</w:t>
      </w:r>
    </w:p>
    <w:p w14:paraId="1559348F" w14:textId="77777777" w:rsidR="002735B6" w:rsidRDefault="00402E9F" w:rsidP="00527F65">
      <w:r>
        <w:t>The knowledge, experience</w:t>
      </w:r>
      <w:r w:rsidRPr="00F81B31">
        <w:t xml:space="preserve">, relationships and credibility </w:t>
      </w:r>
      <w:r w:rsidR="0009728E" w:rsidRPr="00F81B31">
        <w:t xml:space="preserve">Australia has </w:t>
      </w:r>
      <w:r w:rsidRPr="00F81B31">
        <w:t xml:space="preserve">developed </w:t>
      </w:r>
      <w:r w:rsidR="00595B8F" w:rsidRPr="00F81B31">
        <w:t xml:space="preserve">in Myanmar </w:t>
      </w:r>
      <w:r w:rsidRPr="00F81B31">
        <w:t xml:space="preserve">give </w:t>
      </w:r>
      <w:r w:rsidR="0009728E" w:rsidRPr="00F81B31">
        <w:t xml:space="preserve">us </w:t>
      </w:r>
      <w:r w:rsidRPr="00F81B31">
        <w:t>a comparative advantage i</w:t>
      </w:r>
      <w:r w:rsidR="00595B8F" w:rsidRPr="00F81B31">
        <w:t>n growing our</w:t>
      </w:r>
      <w:r w:rsidR="009B03F9">
        <w:t xml:space="preserve"> aid</w:t>
      </w:r>
      <w:r w:rsidR="00595B8F" w:rsidRPr="00F81B31">
        <w:t xml:space="preserve"> program</w:t>
      </w:r>
      <w:r w:rsidRPr="00F81B31">
        <w:t>. Likewise</w:t>
      </w:r>
      <w:r>
        <w:t>, other development partners have their own sectors of comparative advantage, for example the World Bank in economic reform and the United Nations Development Program</w:t>
      </w:r>
      <w:r w:rsidR="0001227F">
        <w:t>me</w:t>
      </w:r>
      <w:r>
        <w:t xml:space="preserve"> in democratic governance. Australia </w:t>
      </w:r>
      <w:r w:rsidR="0009728E">
        <w:t xml:space="preserve">will </w:t>
      </w:r>
      <w:r>
        <w:t xml:space="preserve">support these partners in their engagement and exercise good donor discipline to </w:t>
      </w:r>
      <w:r w:rsidR="00595B8F">
        <w:t>reduce program fragmentation, a</w:t>
      </w:r>
      <w:r w:rsidR="0001227F">
        <w:t>s well as</w:t>
      </w:r>
      <w:r w:rsidR="00595B8F">
        <w:t xml:space="preserve"> minimise program administration costs and the burden on the </w:t>
      </w:r>
      <w:r w:rsidR="00DA176A">
        <w:t>Myanmar Government</w:t>
      </w:r>
      <w:r w:rsidR="00595B8F">
        <w:t xml:space="preserve"> and other partners. Similarly </w:t>
      </w:r>
      <w:r w:rsidR="00595B8F">
        <w:lastRenderedPageBreak/>
        <w:t xml:space="preserve">we will encourage new entrants to development cooperation in Myanmar to </w:t>
      </w:r>
      <w:r w:rsidR="0001227F">
        <w:t xml:space="preserve">use </w:t>
      </w:r>
      <w:r w:rsidR="00595B8F">
        <w:t xml:space="preserve">existing delivery mechanisms, </w:t>
      </w:r>
      <w:r w:rsidR="00945615">
        <w:t xml:space="preserve">for example multi-donor trust funds </w:t>
      </w:r>
      <w:r w:rsidR="00595B8F">
        <w:t>or established fora for aid coordination, to reduce the risk of duplication of effort.</w:t>
      </w:r>
    </w:p>
    <w:p w14:paraId="15593490" w14:textId="77777777" w:rsidR="002735B6" w:rsidRDefault="0087299E" w:rsidP="00527F65">
      <w:r>
        <w:t xml:space="preserve">As reform in Myanmar progresses and opportunities for new initiatives are identified, including through direct requests for support from </w:t>
      </w:r>
      <w:r w:rsidR="00595B8F">
        <w:t>reformers</w:t>
      </w:r>
      <w:r>
        <w:t xml:space="preserve">, tensions </w:t>
      </w:r>
      <w:r w:rsidR="00595B8F">
        <w:t xml:space="preserve">will arise </w:t>
      </w:r>
      <w:r>
        <w:t>between maintaining the focus of our program</w:t>
      </w:r>
      <w:r w:rsidR="00595B8F">
        <w:t xml:space="preserve"> and </w:t>
      </w:r>
      <w:r>
        <w:t>r</w:t>
      </w:r>
      <w:r w:rsidR="00595B8F">
        <w:t xml:space="preserve">esponding to new needs and the work of other </w:t>
      </w:r>
      <w:r w:rsidR="00D109C4">
        <w:t xml:space="preserve">development </w:t>
      </w:r>
      <w:r w:rsidR="00595B8F">
        <w:t>partners</w:t>
      </w:r>
      <w:r>
        <w:t xml:space="preserve">. </w:t>
      </w:r>
      <w:r w:rsidR="003255C2">
        <w:t>T</w:t>
      </w:r>
      <w:r w:rsidR="00595B8F">
        <w:t xml:space="preserve">his </w:t>
      </w:r>
      <w:r w:rsidR="00D109C4">
        <w:t>interim</w:t>
      </w:r>
      <w:r w:rsidR="0001227F">
        <w:t xml:space="preserve"> aid program</w:t>
      </w:r>
      <w:r w:rsidR="00D109C4">
        <w:t xml:space="preserve"> </w:t>
      </w:r>
      <w:r w:rsidR="00595B8F">
        <w:t xml:space="preserve">strategy </w:t>
      </w:r>
      <w:r w:rsidR="003255C2">
        <w:t xml:space="preserve">is for two years, allowing </w:t>
      </w:r>
      <w:r>
        <w:t xml:space="preserve">Australia </w:t>
      </w:r>
      <w:r w:rsidR="003255C2">
        <w:t xml:space="preserve">to </w:t>
      </w:r>
      <w:r w:rsidR="00595B8F">
        <w:t>critically review its program and the development context in Myanmar</w:t>
      </w:r>
      <w:r w:rsidR="00D34089">
        <w:t>,</w:t>
      </w:r>
      <w:r w:rsidR="00595B8F">
        <w:t xml:space="preserve"> and </w:t>
      </w:r>
      <w:r w:rsidR="00D109C4">
        <w:t xml:space="preserve">prepare to shift our support or the way it is </w:t>
      </w:r>
      <w:r w:rsidR="006D7823">
        <w:t>delivered under a subsequent, longer</w:t>
      </w:r>
      <w:r w:rsidR="0001227F">
        <w:t>-</w:t>
      </w:r>
      <w:r w:rsidR="006D7823">
        <w:t>term strategy.</w:t>
      </w:r>
    </w:p>
    <w:p w14:paraId="15593491" w14:textId="77777777" w:rsidR="00D81143" w:rsidRPr="00D81143" w:rsidRDefault="00ED06CB" w:rsidP="00527F65">
      <w:pPr>
        <w:pStyle w:val="Heading1"/>
        <w:rPr>
          <w:noProof/>
        </w:rPr>
      </w:pPr>
      <w:bookmarkStart w:id="16" w:name="_Toc347220228"/>
      <w:r>
        <w:rPr>
          <w:noProof/>
        </w:rPr>
        <w:lastRenderedPageBreak/>
        <w:drawing>
          <wp:anchor distT="0" distB="0" distL="114300" distR="114300" simplePos="0" relativeHeight="251659264" behindDoc="1" locked="0" layoutInCell="1" allowOverlap="1" wp14:anchorId="15593564" wp14:editId="15593565">
            <wp:simplePos x="0" y="0"/>
            <wp:positionH relativeFrom="page">
              <wp:posOffset>-92710</wp:posOffset>
            </wp:positionH>
            <wp:positionV relativeFrom="page">
              <wp:posOffset>1054735</wp:posOffset>
            </wp:positionV>
            <wp:extent cx="7788910" cy="1585595"/>
            <wp:effectExtent l="0" t="0" r="2540" b="0"/>
            <wp:wrapNone/>
            <wp:docPr id="10" name="Picture 10"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AID_report_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anchor>
        </w:drawing>
      </w:r>
      <w:r w:rsidR="00993138">
        <w:rPr>
          <w:noProof/>
        </w:rPr>
        <w:t>Strategic priorities for Australian aid</w:t>
      </w:r>
      <w:bookmarkEnd w:id="16"/>
    </w:p>
    <w:p w14:paraId="15593492" w14:textId="77777777" w:rsidR="00993138" w:rsidRDefault="00993138" w:rsidP="00527F65">
      <w:pPr>
        <w:pStyle w:val="Heading2"/>
      </w:pPr>
      <w:bookmarkStart w:id="17" w:name="_Toc347220229"/>
      <w:r>
        <w:t>Proposed focus areas</w:t>
      </w:r>
      <w:r w:rsidR="006146D5">
        <w:t>,</w:t>
      </w:r>
      <w:r>
        <w:t xml:space="preserve"> expected outcomes</w:t>
      </w:r>
      <w:r w:rsidR="006146D5">
        <w:t xml:space="preserve"> and Australia’s contribution</w:t>
      </w:r>
      <w:bookmarkEnd w:id="17"/>
    </w:p>
    <w:p w14:paraId="15593493" w14:textId="77777777" w:rsidR="00141552" w:rsidRDefault="00141552" w:rsidP="00527F65">
      <w:r>
        <w:t xml:space="preserve">From 2012 to 2014 </w:t>
      </w:r>
      <w:r w:rsidR="00824B54">
        <w:t xml:space="preserve">Australia’s aid program </w:t>
      </w:r>
      <w:r w:rsidR="005E399D">
        <w:t>in</w:t>
      </w:r>
      <w:r w:rsidR="00824B54">
        <w:t xml:space="preserve"> </w:t>
      </w:r>
      <w:r w:rsidR="00CB357D">
        <w:t>Myanmar</w:t>
      </w:r>
      <w:r w:rsidR="00824B54">
        <w:t xml:space="preserve"> </w:t>
      </w:r>
      <w:r>
        <w:t xml:space="preserve">will focus on </w:t>
      </w:r>
      <w:r w:rsidR="0074490A">
        <w:t>four</w:t>
      </w:r>
      <w:r>
        <w:t xml:space="preserve"> objectives:</w:t>
      </w:r>
    </w:p>
    <w:p w14:paraId="15593494" w14:textId="77777777" w:rsidR="00F81B31" w:rsidRDefault="00F81B31" w:rsidP="00527F65">
      <w:pPr>
        <w:pStyle w:val="ListParagraph"/>
        <w:numPr>
          <w:ilvl w:val="0"/>
          <w:numId w:val="45"/>
        </w:numPr>
      </w:pPr>
      <w:r>
        <w:t xml:space="preserve">supporting reform and improved governance </w:t>
      </w:r>
    </w:p>
    <w:p w14:paraId="15593495" w14:textId="77777777" w:rsidR="00141552" w:rsidRDefault="00141552" w:rsidP="00527F65">
      <w:pPr>
        <w:pStyle w:val="ListParagraph"/>
        <w:numPr>
          <w:ilvl w:val="0"/>
          <w:numId w:val="45"/>
        </w:numPr>
      </w:pPr>
      <w:r>
        <w:t xml:space="preserve">improving the delivery of basic </w:t>
      </w:r>
      <w:r w:rsidR="00F771FD">
        <w:t xml:space="preserve">education and health </w:t>
      </w:r>
      <w:r>
        <w:t>services to the poor</w:t>
      </w:r>
    </w:p>
    <w:p w14:paraId="15593496" w14:textId="77777777" w:rsidR="00F81B31" w:rsidRDefault="00F81B31" w:rsidP="00527F65">
      <w:pPr>
        <w:pStyle w:val="ListParagraph"/>
        <w:numPr>
          <w:ilvl w:val="0"/>
          <w:numId w:val="45"/>
        </w:numPr>
      </w:pPr>
      <w:r>
        <w:t>addressing the needs of conflict and disaster-affected people</w:t>
      </w:r>
    </w:p>
    <w:p w14:paraId="15593497" w14:textId="77777777" w:rsidR="00141552" w:rsidRDefault="00E3731A" w:rsidP="00527F65">
      <w:pPr>
        <w:pStyle w:val="ListParagraph"/>
        <w:numPr>
          <w:ilvl w:val="0"/>
          <w:numId w:val="45"/>
        </w:numPr>
      </w:pPr>
      <w:r>
        <w:t>improving the live</w:t>
      </w:r>
      <w:r w:rsidR="00582CFB">
        <w:t>lihoods</w:t>
      </w:r>
      <w:r>
        <w:t xml:space="preserve"> of </w:t>
      </w:r>
      <w:r w:rsidR="00582CFB">
        <w:t>the</w:t>
      </w:r>
      <w:r w:rsidR="00F771FD">
        <w:t xml:space="preserve"> rural</w:t>
      </w:r>
      <w:r w:rsidR="00582CFB">
        <w:t xml:space="preserve"> </w:t>
      </w:r>
      <w:r>
        <w:t>poor</w:t>
      </w:r>
      <w:r w:rsidR="00141552">
        <w:t>.</w:t>
      </w:r>
    </w:p>
    <w:p w14:paraId="15593498" w14:textId="77777777" w:rsidR="001A6D13" w:rsidRDefault="001A6D13" w:rsidP="00527F65">
      <w:r>
        <w:t xml:space="preserve">These objectives have been chosen because they address the most pressing needs of the people of Myanmar, build on established </w:t>
      </w:r>
      <w:r w:rsidR="00F771FD">
        <w:t xml:space="preserve">Australian </w:t>
      </w:r>
      <w:r>
        <w:t xml:space="preserve">programs and relationships, and support the reform efforts of the </w:t>
      </w:r>
      <w:r w:rsidR="00DA176A">
        <w:t>Myanmar Government</w:t>
      </w:r>
      <w:r>
        <w:t>.</w:t>
      </w:r>
    </w:p>
    <w:p w14:paraId="15593499" w14:textId="77777777" w:rsidR="003D6AD2" w:rsidRDefault="00141552" w:rsidP="00527F65">
      <w:r>
        <w:t xml:space="preserve">Improvements in service delivery will </w:t>
      </w:r>
      <w:r w:rsidR="00E13BA6">
        <w:t>entail</w:t>
      </w:r>
      <w:r>
        <w:t xml:space="preserve"> </w:t>
      </w:r>
      <w:r w:rsidR="00E13BA6">
        <w:t>expanding</w:t>
      </w:r>
      <w:r>
        <w:t xml:space="preserve"> the reach of our existing </w:t>
      </w:r>
      <w:r w:rsidR="00746E48">
        <w:t xml:space="preserve">education and health </w:t>
      </w:r>
      <w:r>
        <w:t>programs and the quality of services.</w:t>
      </w:r>
      <w:r w:rsidR="003E4944">
        <w:t xml:space="preserve"> </w:t>
      </w:r>
      <w:r w:rsidR="007B07FA">
        <w:t xml:space="preserve">Australia will support livelihoods by improving income opportunities and agricultural productivity, the </w:t>
      </w:r>
      <w:r w:rsidR="007B07FA" w:rsidRPr="00582CFB">
        <w:t xml:space="preserve">means </w:t>
      </w:r>
      <w:r w:rsidR="007B07FA">
        <w:t xml:space="preserve">by which most poor </w:t>
      </w:r>
      <w:r w:rsidR="001A6D13">
        <w:t xml:space="preserve">people in </w:t>
      </w:r>
      <w:r w:rsidR="007B07FA">
        <w:t xml:space="preserve">Myanmar </w:t>
      </w:r>
      <w:r w:rsidR="007B07FA" w:rsidRPr="00582CFB">
        <w:t>secure</w:t>
      </w:r>
      <w:r w:rsidR="007B07FA">
        <w:t xml:space="preserve"> </w:t>
      </w:r>
      <w:r w:rsidR="007B07FA" w:rsidRPr="00582CFB">
        <w:t>the necessities of life</w:t>
      </w:r>
      <w:r w:rsidR="007B07FA">
        <w:t>.</w:t>
      </w:r>
      <w:r w:rsidR="001A6D13">
        <w:t xml:space="preserve"> Conflict and disaster</w:t>
      </w:r>
      <w:r w:rsidR="0001227F">
        <w:t>-</w:t>
      </w:r>
      <w:r w:rsidR="001A6D13">
        <w:t>affected people include those</w:t>
      </w:r>
      <w:r w:rsidR="0001227F">
        <w:t xml:space="preserve"> who are</w:t>
      </w:r>
      <w:r w:rsidR="001A6D13">
        <w:t xml:space="preserve"> beyond the reach of programs deliver</w:t>
      </w:r>
      <w:r w:rsidR="0001227F">
        <w:t>ing</w:t>
      </w:r>
      <w:r w:rsidR="001A6D13">
        <w:t xml:space="preserve"> basic services, including refugees outside Myanmar</w:t>
      </w:r>
      <w:r w:rsidR="0001227F">
        <w:t>’s</w:t>
      </w:r>
      <w:r w:rsidR="001A6D13">
        <w:t xml:space="preserve"> borders. </w:t>
      </w:r>
    </w:p>
    <w:p w14:paraId="1559349A" w14:textId="77777777" w:rsidR="00F56D59" w:rsidRDefault="00F56D59" w:rsidP="00527F65">
      <w:pPr>
        <w:pStyle w:val="Heading4"/>
      </w:pPr>
      <w:r>
        <w:t>Support</w:t>
      </w:r>
      <w:r w:rsidR="0001227F">
        <w:t>ing</w:t>
      </w:r>
      <w:r>
        <w:t xml:space="preserve"> reform</w:t>
      </w:r>
      <w:r w:rsidR="00301E17">
        <w:t xml:space="preserve"> and improved governance</w:t>
      </w:r>
    </w:p>
    <w:p w14:paraId="1559349B" w14:textId="77777777" w:rsidR="00515715" w:rsidRDefault="00515715" w:rsidP="00527F65">
      <w:r>
        <w:t xml:space="preserve">The ongoing reforms in Myanmar represent an unprecedented opportunity to </w:t>
      </w:r>
      <w:r w:rsidR="00193B96">
        <w:t>secure a lasting peace</w:t>
      </w:r>
      <w:r>
        <w:t xml:space="preserve"> and </w:t>
      </w:r>
      <w:r w:rsidR="00A25F17">
        <w:t>improve the lives of</w:t>
      </w:r>
      <w:r>
        <w:t xml:space="preserve"> millions of people. The fast pace of change requires</w:t>
      </w:r>
      <w:r w:rsidR="00A25F17">
        <w:t xml:space="preserve"> that</w:t>
      </w:r>
      <w:r>
        <w:t xml:space="preserve"> this interim aid program strategy be flexible enough to respond to new opportunities, while </w:t>
      </w:r>
      <w:r w:rsidR="00A25F17">
        <w:t>working to extend</w:t>
      </w:r>
      <w:r>
        <w:t xml:space="preserve"> the reach and quality of essential services. </w:t>
      </w:r>
    </w:p>
    <w:p w14:paraId="1559349C" w14:textId="77777777" w:rsidR="00F56D59" w:rsidRDefault="00F56D59" w:rsidP="00527F65">
      <w:r>
        <w:t>Support for reform will entail increased focus on building the capacity of Myanmar institutions to develop policies and deliver services</w:t>
      </w:r>
      <w:r w:rsidR="00193B96">
        <w:t>,</w:t>
      </w:r>
      <w:r>
        <w:t xml:space="preserve"> to ensure that improvements are sustainable and reforms are </w:t>
      </w:r>
      <w:r w:rsidR="003255C2">
        <w:t>embedded</w:t>
      </w:r>
      <w:r>
        <w:t>. It will also include initiatives that help maintain a positive reform path in Myanmar, including activities that strengthen the peace process, democratisation and good governance.</w:t>
      </w:r>
    </w:p>
    <w:p w14:paraId="1559349D" w14:textId="77777777" w:rsidR="00172ABC" w:rsidRDefault="00F56D59" w:rsidP="00527F65">
      <w:r>
        <w:t>As Myanmar’s reforms progress there is likely to be increased opportunity and demand for development partners to support improvements in democratic and economic governance. Although</w:t>
      </w:r>
      <w:r w:rsidR="00172ABC">
        <w:t xml:space="preserve"> Australia will not have a</w:t>
      </w:r>
      <w:r w:rsidR="00460C1B">
        <w:t xml:space="preserve"> large program focused on strengthening governance in Myanmar, we will </w:t>
      </w:r>
      <w:r w:rsidR="003C46F7">
        <w:t>pursue opportunities</w:t>
      </w:r>
      <w:r w:rsidR="00460C1B">
        <w:t xml:space="preserve"> that </w:t>
      </w:r>
      <w:r>
        <w:t>make a valuable contribution to the reform agenda</w:t>
      </w:r>
      <w:r w:rsidR="001A6D13">
        <w:t xml:space="preserve">. </w:t>
      </w:r>
      <w:r w:rsidR="00460C1B">
        <w:t>W</w:t>
      </w:r>
      <w:r>
        <w:t xml:space="preserve">e </w:t>
      </w:r>
      <w:r w:rsidR="00460C1B">
        <w:t xml:space="preserve">will </w:t>
      </w:r>
      <w:r>
        <w:t>support efficient and high</w:t>
      </w:r>
      <w:r w:rsidR="000C4AF4">
        <w:t>-</w:t>
      </w:r>
      <w:r>
        <w:t>impact activities that</w:t>
      </w:r>
      <w:r w:rsidR="003C46F7">
        <w:t xml:space="preserve"> help sustain the momentum of reform, ensuring they </w:t>
      </w:r>
      <w:r w:rsidR="001A6D13">
        <w:t xml:space="preserve">align with </w:t>
      </w:r>
      <w:r w:rsidR="00460C1B">
        <w:t xml:space="preserve">the programs of our </w:t>
      </w:r>
      <w:r w:rsidR="00DD478F">
        <w:br/>
      </w:r>
      <w:r w:rsidR="00460C1B">
        <w:t>development partners</w:t>
      </w:r>
      <w:r>
        <w:t xml:space="preserve">. </w:t>
      </w:r>
    </w:p>
    <w:p w14:paraId="1559349E" w14:textId="77777777" w:rsidR="00F56D59" w:rsidRDefault="00F56D59" w:rsidP="00527F65">
      <w:r>
        <w:t>Through our core programs we will continue to improve governance within the education, health and livelihoods sectors</w:t>
      </w:r>
      <w:r w:rsidR="00BB75AB">
        <w:t xml:space="preserve">. </w:t>
      </w:r>
      <w:r>
        <w:t>Support for delivering better services is a key priority of</w:t>
      </w:r>
      <w:r w:rsidR="00C34BD5">
        <w:t xml:space="preserve"> the</w:t>
      </w:r>
      <w:r>
        <w:t xml:space="preserve"> Australian aid</w:t>
      </w:r>
      <w:r w:rsidR="00C34BD5">
        <w:t xml:space="preserve"> program’s</w:t>
      </w:r>
      <w:r>
        <w:t xml:space="preserve"> global governance strategy</w:t>
      </w:r>
      <w:r w:rsidR="00BB75AB">
        <w:t xml:space="preserve">. </w:t>
      </w:r>
      <w:r>
        <w:t xml:space="preserve">Crucial to building the </w:t>
      </w:r>
      <w:r w:rsidR="00DA176A">
        <w:t>Myanmar Government</w:t>
      </w:r>
      <w:r w:rsidR="000C4AF4">
        <w:t>’s capacity</w:t>
      </w:r>
      <w:r>
        <w:t xml:space="preserve"> to take a greater role in service delivery will be improving its internal financial management systems</w:t>
      </w:r>
      <w:r w:rsidR="00BB75AB">
        <w:t xml:space="preserve">. </w:t>
      </w:r>
      <w:r>
        <w:t>Australia’s support for joint analytical programs, including a</w:t>
      </w:r>
      <w:r w:rsidR="00945615">
        <w:t xml:space="preserve"> World Bank</w:t>
      </w:r>
      <w:r w:rsidR="000C4AF4">
        <w:t>-</w:t>
      </w:r>
      <w:r w:rsidR="00945615">
        <w:t>led</w:t>
      </w:r>
      <w:r>
        <w:t xml:space="preserve"> public expenditure review, will complement our advocacy </w:t>
      </w:r>
      <w:r w:rsidR="00945615">
        <w:t>for</w:t>
      </w:r>
      <w:r>
        <w:t xml:space="preserve"> increase</w:t>
      </w:r>
      <w:r w:rsidR="00945615">
        <w:t>d</w:t>
      </w:r>
      <w:r>
        <w:t xml:space="preserve"> government spending in service delivery. </w:t>
      </w:r>
      <w:r w:rsidR="00DB32C5">
        <w:t xml:space="preserve">It is important </w:t>
      </w:r>
      <w:r w:rsidR="00FE6708">
        <w:t xml:space="preserve">that increased trade, </w:t>
      </w:r>
      <w:r w:rsidR="00FE6708">
        <w:lastRenderedPageBreak/>
        <w:t xml:space="preserve">investment and economic growth deliver improved opportunities for </w:t>
      </w:r>
      <w:r w:rsidR="00DB32C5">
        <w:t>the</w:t>
      </w:r>
      <w:r w:rsidR="00FE6708">
        <w:t xml:space="preserve"> people </w:t>
      </w:r>
      <w:r w:rsidR="00DB32C5">
        <w:t xml:space="preserve">of Myanmar </w:t>
      </w:r>
      <w:r w:rsidR="00FE6708">
        <w:t xml:space="preserve">and </w:t>
      </w:r>
      <w:r w:rsidR="00DB32C5">
        <w:t>complement</w:t>
      </w:r>
      <w:r w:rsidR="00FE6708">
        <w:t xml:space="preserve"> our aid </w:t>
      </w:r>
      <w:r w:rsidR="00DB32C5">
        <w:t xml:space="preserve">to ensure it </w:t>
      </w:r>
      <w:r w:rsidR="00FE6708">
        <w:t>ha</w:t>
      </w:r>
      <w:r w:rsidR="00F12282">
        <w:t>s</w:t>
      </w:r>
      <w:r w:rsidR="00FE6708">
        <w:t xml:space="preserve"> a lasting impact</w:t>
      </w:r>
      <w:r w:rsidR="00C974E5">
        <w:t xml:space="preserve">. </w:t>
      </w:r>
    </w:p>
    <w:p w14:paraId="1559349F" w14:textId="77777777" w:rsidR="00F56D59" w:rsidRDefault="00BB7D69" w:rsidP="00527F65">
      <w:r>
        <w:t xml:space="preserve">Through our global programs, </w:t>
      </w:r>
      <w:r w:rsidR="00F56D59">
        <w:t xml:space="preserve">Australia </w:t>
      </w:r>
      <w:r>
        <w:t xml:space="preserve">partners with </w:t>
      </w:r>
      <w:r w:rsidRPr="00BB7D69">
        <w:t xml:space="preserve">non-government organisations, research </w:t>
      </w:r>
      <w:r w:rsidRPr="00F81B31">
        <w:t xml:space="preserve">institutions and multilateral </w:t>
      </w:r>
      <w:r w:rsidR="000C4AF4" w:rsidRPr="00F81B31">
        <w:t xml:space="preserve">organisations </w:t>
      </w:r>
      <w:r w:rsidR="00F56D59" w:rsidRPr="00F81B31">
        <w:t xml:space="preserve">to strengthen </w:t>
      </w:r>
      <w:r w:rsidRPr="00F81B31">
        <w:t xml:space="preserve">democratic institutions and </w:t>
      </w:r>
      <w:r w:rsidR="00FE6708" w:rsidRPr="00F81B31">
        <w:t xml:space="preserve">electoral </w:t>
      </w:r>
      <w:r w:rsidRPr="00F81B31">
        <w:t>processes</w:t>
      </w:r>
      <w:r w:rsidR="00F56D59" w:rsidRPr="00F81B31">
        <w:t xml:space="preserve">, </w:t>
      </w:r>
      <w:r w:rsidR="00DD478F">
        <w:t xml:space="preserve">strengthen </w:t>
      </w:r>
      <w:r w:rsidRPr="00F81B31">
        <w:t xml:space="preserve">the voice of civil society and promote human rights. We will include Myanmar in these programs, </w:t>
      </w:r>
      <w:r w:rsidR="00F56D59" w:rsidRPr="00F81B31">
        <w:t xml:space="preserve">improving access to international expertise to develop and strengthen functional democratic systems. We will </w:t>
      </w:r>
      <w:r w:rsidR="00556DCF" w:rsidRPr="00F81B31">
        <w:t>also support</w:t>
      </w:r>
      <w:r w:rsidR="00F56D59" w:rsidRPr="00F81B31">
        <w:t xml:space="preserve"> civil society strengthening in</w:t>
      </w:r>
      <w:r w:rsidR="000C4AF4" w:rsidRPr="00F81B31">
        <w:t>-</w:t>
      </w:r>
      <w:r w:rsidR="000C4AF4">
        <w:t>country</w:t>
      </w:r>
      <w:r w:rsidR="00F56D59">
        <w:t xml:space="preserve">, to help ensure engagement with the </w:t>
      </w:r>
      <w:r w:rsidR="00DD478F">
        <w:t>Myanmar G</w:t>
      </w:r>
      <w:r w:rsidR="00F56D59">
        <w:t xml:space="preserve">overnment is balanced by strengthening the capacity of people to hold </w:t>
      </w:r>
      <w:r w:rsidR="000C4AF4">
        <w:t>it</w:t>
      </w:r>
      <w:r w:rsidR="00F56D59">
        <w:t xml:space="preserve"> to account.</w:t>
      </w:r>
    </w:p>
    <w:p w14:paraId="155934A0" w14:textId="77777777" w:rsidR="00F81B31" w:rsidRDefault="00F81B31" w:rsidP="00527F65">
      <w:pPr>
        <w:pStyle w:val="Heading4"/>
      </w:pPr>
      <w:r>
        <w:t>I</w:t>
      </w:r>
      <w:r w:rsidRPr="00F81B31">
        <w:t>mproving the delivery of basic education and health services to the poor</w:t>
      </w:r>
      <w:r w:rsidRPr="00F81B31" w:rsidDel="00F81B31">
        <w:t xml:space="preserve"> </w:t>
      </w:r>
    </w:p>
    <w:p w14:paraId="155934A1" w14:textId="77777777" w:rsidR="00824B54" w:rsidRDefault="003E4944" w:rsidP="00527F65">
      <w:r>
        <w:t xml:space="preserve">Australia’s </w:t>
      </w:r>
      <w:r w:rsidR="00A25F17">
        <w:t>aid</w:t>
      </w:r>
      <w:r w:rsidR="001A71F6">
        <w:t xml:space="preserve"> </w:t>
      </w:r>
      <w:r w:rsidR="00A25F17">
        <w:t xml:space="preserve">program in </w:t>
      </w:r>
      <w:r w:rsidR="00CB357D">
        <w:t>Myanmar</w:t>
      </w:r>
      <w:r>
        <w:t xml:space="preserve"> will maintain its </w:t>
      </w:r>
      <w:r w:rsidR="006D2805">
        <w:t xml:space="preserve">focus on </w:t>
      </w:r>
      <w:r w:rsidR="00824B54">
        <w:t>education</w:t>
      </w:r>
      <w:r w:rsidR="00F81B31">
        <w:t xml:space="preserve"> and</w:t>
      </w:r>
      <w:r w:rsidR="00824B54">
        <w:t xml:space="preserve"> health</w:t>
      </w:r>
      <w:r w:rsidR="00431F08">
        <w:t>,</w:t>
      </w:r>
      <w:r w:rsidR="006D2805">
        <w:t xml:space="preserve"> where</w:t>
      </w:r>
      <w:r w:rsidR="00824B54">
        <w:t xml:space="preserve"> needs are </w:t>
      </w:r>
      <w:r w:rsidR="0037499A">
        <w:t xml:space="preserve">most </w:t>
      </w:r>
      <w:r w:rsidR="00824B54">
        <w:t>critical</w:t>
      </w:r>
      <w:r w:rsidR="00BB75AB">
        <w:t xml:space="preserve">. </w:t>
      </w:r>
      <w:r w:rsidR="00824B54">
        <w:t xml:space="preserve">Over the next two years, </w:t>
      </w:r>
      <w:r w:rsidR="000C4AF4">
        <w:t xml:space="preserve">we </w:t>
      </w:r>
      <w:r w:rsidR="00C77D82">
        <w:t xml:space="preserve">will </w:t>
      </w:r>
      <w:r>
        <w:t>provide</w:t>
      </w:r>
      <w:r w:rsidR="00824B54">
        <w:t xml:space="preserve"> immediate and tangible support to the peo</w:t>
      </w:r>
      <w:r w:rsidR="00BF6694">
        <w:t xml:space="preserve">ple of </w:t>
      </w:r>
      <w:r w:rsidR="00CB357D">
        <w:t>Myanmar</w:t>
      </w:r>
      <w:r w:rsidR="00BF6694">
        <w:t xml:space="preserve"> in these sectors, to help sustain</w:t>
      </w:r>
      <w:r w:rsidR="00824B54">
        <w:t xml:space="preserve"> </w:t>
      </w:r>
      <w:r w:rsidR="006D2805">
        <w:t xml:space="preserve">the </w:t>
      </w:r>
      <w:r w:rsidR="00824B54">
        <w:t xml:space="preserve">momentum </w:t>
      </w:r>
      <w:r w:rsidR="006D2805">
        <w:t>of reform</w:t>
      </w:r>
      <w:r w:rsidR="00824B54">
        <w:t xml:space="preserve"> and </w:t>
      </w:r>
      <w:r w:rsidR="00C34BD5">
        <w:t>ensure</w:t>
      </w:r>
      <w:r w:rsidR="00824B54">
        <w:t xml:space="preserve"> it benefits th</w:t>
      </w:r>
      <w:r w:rsidR="00273DC5">
        <w:t>ose in need</w:t>
      </w:r>
      <w:r w:rsidR="001A71F6">
        <w:t xml:space="preserve">. </w:t>
      </w:r>
    </w:p>
    <w:p w14:paraId="155934A2" w14:textId="77777777" w:rsidR="0037499A" w:rsidRDefault="0037499A" w:rsidP="00527F65">
      <w:r>
        <w:t xml:space="preserve">These priority sectors reflect </w:t>
      </w:r>
      <w:r w:rsidR="00172ABC">
        <w:t xml:space="preserve">two </w:t>
      </w:r>
      <w:r>
        <w:t xml:space="preserve">of the five strategic goals of </w:t>
      </w:r>
      <w:r w:rsidR="0060399C" w:rsidRPr="0060399C">
        <w:t>Helping the World’s Poor through Effective Aid: Australia’s Comprehensive Aid Policy Framework to 2015</w:t>
      </w:r>
      <w:r w:rsidR="00D26AB8">
        <w:t>–</w:t>
      </w:r>
      <w:r w:rsidR="0060399C" w:rsidRPr="0060399C">
        <w:t>16</w:t>
      </w:r>
      <w:r>
        <w:t>:</w:t>
      </w:r>
    </w:p>
    <w:p w14:paraId="155934A3" w14:textId="77777777" w:rsidR="0037499A" w:rsidRDefault="0037499A" w:rsidP="00527F65">
      <w:pPr>
        <w:pStyle w:val="ListParagraph"/>
        <w:numPr>
          <w:ilvl w:val="0"/>
          <w:numId w:val="47"/>
        </w:numPr>
      </w:pPr>
      <w:r>
        <w:t>promoting opportunities for all</w:t>
      </w:r>
      <w:r w:rsidR="00D26AB8">
        <w:t>—</w:t>
      </w:r>
      <w:r w:rsidR="00417B0C">
        <w:t>by giving more children access to quality basic education</w:t>
      </w:r>
    </w:p>
    <w:p w14:paraId="155934A4" w14:textId="77777777" w:rsidR="0037499A" w:rsidRDefault="00417B0C" w:rsidP="00527F65">
      <w:pPr>
        <w:pStyle w:val="ListParagraph"/>
        <w:numPr>
          <w:ilvl w:val="0"/>
          <w:numId w:val="47"/>
        </w:numPr>
      </w:pPr>
      <w:r>
        <w:t>s</w:t>
      </w:r>
      <w:r w:rsidR="0037499A" w:rsidRPr="0037499A">
        <w:t xml:space="preserve">aving </w:t>
      </w:r>
      <w:r>
        <w:t>l</w:t>
      </w:r>
      <w:r w:rsidR="0037499A" w:rsidRPr="0037499A">
        <w:t>ives</w:t>
      </w:r>
      <w:r w:rsidR="00D26AB8">
        <w:t>—</w:t>
      </w:r>
      <w:r>
        <w:t xml:space="preserve">by improving maternal and </w:t>
      </w:r>
      <w:r w:rsidR="00C34BD5">
        <w:t>child health</w:t>
      </w:r>
      <w:r>
        <w:t xml:space="preserve"> and combatting communicable diseases.</w:t>
      </w:r>
    </w:p>
    <w:p w14:paraId="155934A5" w14:textId="77777777" w:rsidR="00B90F1C" w:rsidRDefault="00417B0C" w:rsidP="00527F65">
      <w:r>
        <w:t>E</w:t>
      </w:r>
      <w:r w:rsidR="001A6703">
        <w:t xml:space="preserve">ducation </w:t>
      </w:r>
      <w:r w:rsidR="00C34BD5">
        <w:t>is</w:t>
      </w:r>
      <w:r w:rsidR="001A6703">
        <w:t xml:space="preserve"> the flagship of Aus</w:t>
      </w:r>
      <w:r w:rsidR="002735B6">
        <w:t xml:space="preserve">tralia’s aid program to </w:t>
      </w:r>
      <w:r w:rsidR="00CB357D">
        <w:t>Myanmar</w:t>
      </w:r>
      <w:r w:rsidR="002735B6">
        <w:t xml:space="preserve">, </w:t>
      </w:r>
      <w:r w:rsidR="001A6703">
        <w:t>recognis</w:t>
      </w:r>
      <w:r w:rsidR="002735B6">
        <w:t>ing</w:t>
      </w:r>
      <w:r w:rsidR="001A6703">
        <w:t xml:space="preserve"> the importance of the sector </w:t>
      </w:r>
      <w:r w:rsidR="00D83AB1">
        <w:t xml:space="preserve">in </w:t>
      </w:r>
      <w:r w:rsidR="001A6703">
        <w:t xml:space="preserve">improving </w:t>
      </w:r>
      <w:r w:rsidR="002735B6">
        <w:t>human capital</w:t>
      </w:r>
      <w:r w:rsidR="001A6703">
        <w:t xml:space="preserve"> i</w:t>
      </w:r>
      <w:r w:rsidR="002735B6">
        <w:t>n</w:t>
      </w:r>
      <w:r w:rsidR="00D83AB1">
        <w:t>-country,</w:t>
      </w:r>
      <w:r w:rsidR="001A6703">
        <w:t xml:space="preserve"> a</w:t>
      </w:r>
      <w:r w:rsidR="00D83AB1">
        <w:t>s well as</w:t>
      </w:r>
      <w:r w:rsidR="001A6703">
        <w:t xml:space="preserve"> Australia’s technical expertise and experience in delivering basic education programs i</w:t>
      </w:r>
      <w:r w:rsidR="002735B6">
        <w:t xml:space="preserve">n </w:t>
      </w:r>
      <w:r w:rsidR="00CB357D">
        <w:t>Myanmar</w:t>
      </w:r>
      <w:r w:rsidR="003B0DD1">
        <w:t xml:space="preserve"> and </w:t>
      </w:r>
      <w:r w:rsidR="001A6D13">
        <w:t>in South East Asia</w:t>
      </w:r>
      <w:r>
        <w:t>.</w:t>
      </w:r>
      <w:r w:rsidR="0027064B">
        <w:t xml:space="preserve"> </w:t>
      </w:r>
      <w:r w:rsidR="00D83AB1">
        <w:t xml:space="preserve">Our </w:t>
      </w:r>
      <w:r w:rsidR="00B90F1C">
        <w:t xml:space="preserve">support for primary education in Myanmar </w:t>
      </w:r>
      <w:r w:rsidR="006674BE">
        <w:t xml:space="preserve">contributes to </w:t>
      </w:r>
      <w:r w:rsidR="00B90F1C">
        <w:t>Millennium Development Goal 2, to a</w:t>
      </w:r>
      <w:r w:rsidR="00B90F1C" w:rsidRPr="00B90F1C">
        <w:t>chieve universal primary education</w:t>
      </w:r>
      <w:r w:rsidR="00B90F1C">
        <w:t xml:space="preserve"> by 2015.</w:t>
      </w:r>
    </w:p>
    <w:p w14:paraId="155934A6" w14:textId="77777777" w:rsidR="001A6703" w:rsidRDefault="0027064B" w:rsidP="00527F65">
      <w:r>
        <w:t xml:space="preserve">Consistent with the level of our investment in education, Australia </w:t>
      </w:r>
      <w:r w:rsidR="00C34BD5">
        <w:t>has</w:t>
      </w:r>
      <w:r>
        <w:t xml:space="preserve"> position</w:t>
      </w:r>
      <w:r w:rsidR="00C34BD5">
        <w:t>ed</w:t>
      </w:r>
      <w:r>
        <w:t xml:space="preserve"> itself to undertake a donor coordination role in this sector, to ensure the efforts of all donors and the </w:t>
      </w:r>
      <w:r w:rsidR="00DA176A">
        <w:t>Myanmar Government</w:t>
      </w:r>
      <w:r>
        <w:t xml:space="preserve"> are aligned towards shared objectives.</w:t>
      </w:r>
      <w:r w:rsidR="00F7236E">
        <w:t xml:space="preserve"> The support of Australia and other development partners for the </w:t>
      </w:r>
      <w:r w:rsidR="00DA176A">
        <w:t>Myanmar Government</w:t>
      </w:r>
      <w:r w:rsidR="00F7236E">
        <w:t xml:space="preserve">’s comprehensive review of </w:t>
      </w:r>
      <w:r w:rsidR="00D83AB1">
        <w:t xml:space="preserve">its </w:t>
      </w:r>
      <w:r w:rsidR="00F7236E">
        <w:t>education sector provides the foundation for this collaborative approach.</w:t>
      </w:r>
    </w:p>
    <w:p w14:paraId="155934A7" w14:textId="77777777" w:rsidR="00417B0C" w:rsidRDefault="001A6703" w:rsidP="00527F65">
      <w:r>
        <w:t xml:space="preserve">Australia will work in the formal education sector to improve </w:t>
      </w:r>
      <w:r w:rsidR="00D83AB1">
        <w:t xml:space="preserve">the </w:t>
      </w:r>
      <w:r>
        <w:t>access to and quality of primary education</w:t>
      </w:r>
      <w:r w:rsidR="00BB75AB">
        <w:t xml:space="preserve">. </w:t>
      </w:r>
      <w:r w:rsidR="00BF6694">
        <w:t xml:space="preserve">We participate in a </w:t>
      </w:r>
      <w:r w:rsidR="002735B6">
        <w:t>m</w:t>
      </w:r>
      <w:r>
        <w:t>ulti-</w:t>
      </w:r>
      <w:r w:rsidR="002735B6">
        <w:t>donor e</w:t>
      </w:r>
      <w:r>
        <w:t xml:space="preserve">ducation </w:t>
      </w:r>
      <w:r w:rsidR="002735B6">
        <w:t xml:space="preserve">program </w:t>
      </w:r>
      <w:r w:rsidR="00DD478F">
        <w:t xml:space="preserve">that </w:t>
      </w:r>
      <w:r w:rsidR="002735B6">
        <w:t>will</w:t>
      </w:r>
      <w:r>
        <w:t xml:space="preserve"> increase the number of children accessing and completing </w:t>
      </w:r>
      <w:r w:rsidR="00C81EA8">
        <w:t>formal</w:t>
      </w:r>
      <w:r>
        <w:t xml:space="preserve"> pr</w:t>
      </w:r>
      <w:r w:rsidR="00417B0C">
        <w:t>e-primary and primary education</w:t>
      </w:r>
      <w:r w:rsidR="00BB75AB">
        <w:t xml:space="preserve">. </w:t>
      </w:r>
      <w:r w:rsidR="006317A5">
        <w:t>T</w:t>
      </w:r>
      <w:r>
        <w:t>h</w:t>
      </w:r>
      <w:r w:rsidR="00273DC5">
        <w:t>is</w:t>
      </w:r>
      <w:r>
        <w:t xml:space="preserve"> program </w:t>
      </w:r>
      <w:r w:rsidR="002735B6">
        <w:t xml:space="preserve">also </w:t>
      </w:r>
      <w:r>
        <w:t xml:space="preserve">includes a capacity-building plan for </w:t>
      </w:r>
      <w:r w:rsidR="00C34BD5">
        <w:t>teachers and local education administrators</w:t>
      </w:r>
      <w:r w:rsidR="00DD478F">
        <w:t>, which</w:t>
      </w:r>
      <w:r w:rsidR="00B47D3A">
        <w:t xml:space="preserve"> </w:t>
      </w:r>
      <w:r w:rsidR="00D83AB1">
        <w:t>is</w:t>
      </w:r>
      <w:r w:rsidR="006317A5">
        <w:t xml:space="preserve"> </w:t>
      </w:r>
      <w:r w:rsidR="00C21535">
        <w:t xml:space="preserve">necessary </w:t>
      </w:r>
      <w:r w:rsidR="00D83AB1">
        <w:t xml:space="preserve">for sustainable </w:t>
      </w:r>
      <w:r w:rsidR="006317A5">
        <w:t>improvements</w:t>
      </w:r>
      <w:r w:rsidR="00BB75AB">
        <w:t xml:space="preserve">. </w:t>
      </w:r>
      <w:r w:rsidR="00417B0C">
        <w:t xml:space="preserve">To improve the reach and quality of education in </w:t>
      </w:r>
      <w:r w:rsidR="00CB357D">
        <w:t>Myanmar</w:t>
      </w:r>
      <w:r w:rsidR="006317A5">
        <w:t xml:space="preserve"> </w:t>
      </w:r>
      <w:r w:rsidR="008E53CB">
        <w:t xml:space="preserve">the program will also </w:t>
      </w:r>
      <w:r w:rsidR="00417B0C">
        <w:t>s</w:t>
      </w:r>
      <w:r>
        <w:t xml:space="preserve">upport monastic </w:t>
      </w:r>
      <w:r w:rsidR="008E53CB">
        <w:t xml:space="preserve">and ethnic </w:t>
      </w:r>
      <w:r>
        <w:t>school system</w:t>
      </w:r>
      <w:r w:rsidR="008E53CB">
        <w:t>s</w:t>
      </w:r>
      <w:r>
        <w:t xml:space="preserve"> and </w:t>
      </w:r>
      <w:r w:rsidR="008E53CB">
        <w:t>local education organisations, through</w:t>
      </w:r>
      <w:r>
        <w:t xml:space="preserve"> a consortium of Australian </w:t>
      </w:r>
      <w:r w:rsidR="00417B0C">
        <w:t>non-government organisations.</w:t>
      </w:r>
    </w:p>
    <w:p w14:paraId="155934A8" w14:textId="77777777" w:rsidR="00417B0C" w:rsidRDefault="00903E87" w:rsidP="00527F65">
      <w:r>
        <w:t xml:space="preserve">Australia </w:t>
      </w:r>
      <w:r w:rsidR="001A6703">
        <w:t xml:space="preserve">will </w:t>
      </w:r>
      <w:r w:rsidR="006317A5">
        <w:t>ensure its support reaches</w:t>
      </w:r>
      <w:r w:rsidR="001A6703">
        <w:t xml:space="preserve"> the most marginalised children in </w:t>
      </w:r>
      <w:r w:rsidR="00CB357D">
        <w:t>Myanmar</w:t>
      </w:r>
      <w:r w:rsidR="006317A5">
        <w:t>,</w:t>
      </w:r>
      <w:r w:rsidR="001A6703">
        <w:t xml:space="preserve"> including ethnic minorities, people with disabilit</w:t>
      </w:r>
      <w:r w:rsidR="00D83AB1">
        <w:t>y</w:t>
      </w:r>
      <w:r w:rsidR="001A6703">
        <w:t xml:space="preserve"> and those outside the formal</w:t>
      </w:r>
      <w:r w:rsidR="00417B0C">
        <w:t xml:space="preserve"> system</w:t>
      </w:r>
      <w:r w:rsidR="002735B6">
        <w:t>. We</w:t>
      </w:r>
      <w:r w:rsidR="001A6703">
        <w:t xml:space="preserve"> will also support a major </w:t>
      </w:r>
      <w:r w:rsidR="00DD478F">
        <w:br/>
      </w:r>
      <w:r w:rsidR="001A6703">
        <w:t>school feeding program</w:t>
      </w:r>
      <w:r w:rsidR="00D83AB1">
        <w:t>,</w:t>
      </w:r>
      <w:r w:rsidR="001A6703">
        <w:t xml:space="preserve"> implemented through the World Food Programme</w:t>
      </w:r>
      <w:r w:rsidR="00D83AB1">
        <w:t>,</w:t>
      </w:r>
      <w:r w:rsidR="001A6703">
        <w:t xml:space="preserve"> to improve n</w:t>
      </w:r>
      <w:r w:rsidR="00417B0C">
        <w:t>utrition and attendance rates.</w:t>
      </w:r>
    </w:p>
    <w:p w14:paraId="155934A9" w14:textId="77777777" w:rsidR="001A6703" w:rsidRDefault="001A6703" w:rsidP="00527F65">
      <w:r>
        <w:t xml:space="preserve">Australia will continue to expand the </w:t>
      </w:r>
      <w:r w:rsidR="006317A5">
        <w:t>Australia Awards</w:t>
      </w:r>
      <w:r>
        <w:t xml:space="preserve"> </w:t>
      </w:r>
      <w:r w:rsidR="006317A5">
        <w:t>program</w:t>
      </w:r>
      <w:r w:rsidR="00D83AB1">
        <w:t>,</w:t>
      </w:r>
      <w:r w:rsidR="006317A5">
        <w:t xml:space="preserve"> </w:t>
      </w:r>
      <w:r>
        <w:t xml:space="preserve">from 10 scholarships in 2011 to </w:t>
      </w:r>
      <w:r w:rsidR="00D83AB1">
        <w:br/>
      </w:r>
      <w:r>
        <w:t>50 scholarships by 2015</w:t>
      </w:r>
      <w:r w:rsidR="00BB75AB">
        <w:t xml:space="preserve">. </w:t>
      </w:r>
      <w:r>
        <w:t xml:space="preserve">We will encourage </w:t>
      </w:r>
      <w:r w:rsidR="00D83AB1">
        <w:t xml:space="preserve">the </w:t>
      </w:r>
      <w:r>
        <w:t xml:space="preserve">participation of </w:t>
      </w:r>
      <w:r w:rsidR="00556DCF">
        <w:t xml:space="preserve">government </w:t>
      </w:r>
      <w:r>
        <w:t xml:space="preserve">institutions and ministries </w:t>
      </w:r>
      <w:r w:rsidR="00DD478F">
        <w:br/>
      </w:r>
      <w:r>
        <w:t xml:space="preserve">key to </w:t>
      </w:r>
      <w:r w:rsidR="00D83AB1">
        <w:t xml:space="preserve">our </w:t>
      </w:r>
      <w:r>
        <w:t>development program</w:t>
      </w:r>
      <w:r w:rsidR="00D83AB1">
        <w:t>,</w:t>
      </w:r>
      <w:r>
        <w:t xml:space="preserve"> including</w:t>
      </w:r>
      <w:r w:rsidR="00DD478F">
        <w:t xml:space="preserve"> those in</w:t>
      </w:r>
      <w:r>
        <w:t xml:space="preserve"> education, health, agriculture,</w:t>
      </w:r>
      <w:r w:rsidR="006317A5">
        <w:t xml:space="preserve"> social welfare </w:t>
      </w:r>
      <w:r w:rsidR="00DD478F">
        <w:br/>
      </w:r>
      <w:r w:rsidR="006317A5">
        <w:t>and planning</w:t>
      </w:r>
      <w:r w:rsidR="00BB75AB">
        <w:t xml:space="preserve">. </w:t>
      </w:r>
    </w:p>
    <w:p w14:paraId="155934AA" w14:textId="77777777" w:rsidR="001A6703" w:rsidRDefault="001A6703" w:rsidP="00527F65">
      <w:r w:rsidRPr="00DE3940">
        <w:t xml:space="preserve">Results in </w:t>
      </w:r>
      <w:r w:rsidRPr="00821566">
        <w:t>2012</w:t>
      </w:r>
      <w:r w:rsidR="00D26AB8" w:rsidRPr="00D26AB8">
        <w:t>–</w:t>
      </w:r>
      <w:r w:rsidR="00DE3940">
        <w:t>14</w:t>
      </w:r>
      <w:r w:rsidRPr="00DE3940">
        <w:t xml:space="preserve"> will include</w:t>
      </w:r>
      <w:r w:rsidR="00D83AB1">
        <w:t>:</w:t>
      </w:r>
      <w:r w:rsidRPr="00DE3940">
        <w:t xml:space="preserve"> providing </w:t>
      </w:r>
      <w:r w:rsidR="008E53CB">
        <w:t>172</w:t>
      </w:r>
      <w:r w:rsidR="00D83AB1">
        <w:t xml:space="preserve"> </w:t>
      </w:r>
      <w:r w:rsidRPr="00DE3940">
        <w:t xml:space="preserve">000 children access to early childhood education; training </w:t>
      </w:r>
      <w:r w:rsidR="00DE3940">
        <w:t>1</w:t>
      </w:r>
      <w:r w:rsidR="008E53CB">
        <w:t>9</w:t>
      </w:r>
      <w:r w:rsidR="00D83AB1">
        <w:t xml:space="preserve"> </w:t>
      </w:r>
      <w:r w:rsidR="00DE3940">
        <w:t>5</w:t>
      </w:r>
      <w:r w:rsidRPr="00DE3940">
        <w:t xml:space="preserve">00 teachers in child-centred learning techniques; providing essential school supplies to </w:t>
      </w:r>
      <w:r w:rsidR="006C0E00">
        <w:br/>
      </w:r>
      <w:r w:rsidR="0010451A" w:rsidRPr="00DE3940">
        <w:lastRenderedPageBreak/>
        <w:t>6</w:t>
      </w:r>
      <w:r w:rsidR="0010451A">
        <w:t>32</w:t>
      </w:r>
      <w:r w:rsidR="00D83AB1">
        <w:t xml:space="preserve"> </w:t>
      </w:r>
      <w:r w:rsidRPr="00DE3940">
        <w:t xml:space="preserve">000 children; and feeding </w:t>
      </w:r>
      <w:r w:rsidR="008E53CB">
        <w:t xml:space="preserve">more than </w:t>
      </w:r>
      <w:r w:rsidRPr="00DE3940">
        <w:t>500</w:t>
      </w:r>
      <w:r w:rsidR="00D83AB1">
        <w:t xml:space="preserve"> </w:t>
      </w:r>
      <w:r w:rsidRPr="00DE3940">
        <w:t xml:space="preserve">000 children from poor and remote areas as an incentive </w:t>
      </w:r>
      <w:r w:rsidR="006C0E00">
        <w:br/>
      </w:r>
      <w:r w:rsidRPr="00DE3940">
        <w:t>to attend school.</w:t>
      </w:r>
    </w:p>
    <w:p w14:paraId="155934AB" w14:textId="77777777" w:rsidR="00B90F1C" w:rsidRDefault="00DC29FF" w:rsidP="00527F65">
      <w:r w:rsidRPr="00665AAE">
        <w:t xml:space="preserve">Health is a priority for Australia’s aid program to Myanmar and </w:t>
      </w:r>
      <w:r w:rsidR="00D83AB1">
        <w:t>we are</w:t>
      </w:r>
      <w:r w:rsidRPr="00665AAE">
        <w:t xml:space="preserve"> one of the largest and most influential donors to the sector in terms of aid investments, donor coordination and policy dialogue. </w:t>
      </w:r>
      <w:r w:rsidR="000072EB">
        <w:br/>
      </w:r>
      <w:r w:rsidR="00D83AB1">
        <w:t xml:space="preserve">Our </w:t>
      </w:r>
      <w:r w:rsidR="00B90F1C">
        <w:t>support to Myanmar’s health sector will address Millennium Development Goals 4, 5 and 6, aimed at: r</w:t>
      </w:r>
      <w:r w:rsidR="00B90F1C" w:rsidRPr="00B90F1C">
        <w:t>educ</w:t>
      </w:r>
      <w:r w:rsidR="00B90F1C">
        <w:t>ing child mortality; improving maternal health; and c</w:t>
      </w:r>
      <w:r w:rsidR="00B90F1C" w:rsidRPr="00B90F1C">
        <w:t>ombat</w:t>
      </w:r>
      <w:r w:rsidR="00B90F1C">
        <w:t>ting</w:t>
      </w:r>
      <w:r w:rsidR="00B90F1C" w:rsidRPr="00B90F1C">
        <w:t xml:space="preserve"> HIV/AIDS, malaria and other </w:t>
      </w:r>
      <w:r w:rsidR="000072EB">
        <w:br/>
      </w:r>
      <w:r w:rsidR="00B90F1C">
        <w:t xml:space="preserve">major </w:t>
      </w:r>
      <w:r w:rsidR="00B90F1C" w:rsidRPr="00B90F1C">
        <w:t>diseases</w:t>
      </w:r>
      <w:r w:rsidR="00B90F1C">
        <w:t>.</w:t>
      </w:r>
    </w:p>
    <w:p w14:paraId="155934AC" w14:textId="77777777" w:rsidR="00DC29FF" w:rsidRDefault="00DC29FF" w:rsidP="00527F65">
      <w:r w:rsidRPr="00665AAE">
        <w:t xml:space="preserve">In recognition of high rates of maternal and child mortality, Australia will </w:t>
      </w:r>
      <w:r>
        <w:t>save lives b</w:t>
      </w:r>
      <w:r w:rsidRPr="003B5879">
        <w:t xml:space="preserve">y focusing </w:t>
      </w:r>
      <w:r w:rsidR="00D83AB1">
        <w:t xml:space="preserve">our </w:t>
      </w:r>
      <w:r w:rsidRPr="00665AAE">
        <w:t xml:space="preserve">support </w:t>
      </w:r>
      <w:r>
        <w:t xml:space="preserve">on </w:t>
      </w:r>
      <w:r w:rsidR="00D83AB1">
        <w:t>delivering</w:t>
      </w:r>
      <w:r w:rsidRPr="00665AAE">
        <w:t xml:space="preserve"> essential maternal, newborn and child health services and strengthen</w:t>
      </w:r>
      <w:r>
        <w:t>ing</w:t>
      </w:r>
      <w:r w:rsidRPr="00665AAE">
        <w:t xml:space="preserve"> national capacity in health service delivery.</w:t>
      </w:r>
    </w:p>
    <w:p w14:paraId="155934AD" w14:textId="77777777" w:rsidR="00DC29FF" w:rsidRDefault="00DC29FF" w:rsidP="00527F65">
      <w:r w:rsidRPr="00665AAE">
        <w:t>Australia</w:t>
      </w:r>
      <w:r>
        <w:t>’s support to the health sector will</w:t>
      </w:r>
      <w:r w:rsidRPr="00665AAE">
        <w:t xml:space="preserve"> </w:t>
      </w:r>
      <w:r>
        <w:t>also continue to</w:t>
      </w:r>
      <w:r w:rsidRPr="00665AAE">
        <w:t xml:space="preserve"> provide support to address </w:t>
      </w:r>
      <w:r>
        <w:t xml:space="preserve">HIV/AIDS, tuberculosis, malaria and </w:t>
      </w:r>
      <w:r w:rsidRPr="00665AAE">
        <w:t>trans</w:t>
      </w:r>
      <w:r w:rsidR="00384113">
        <w:t>-</w:t>
      </w:r>
      <w:r w:rsidRPr="00665AAE">
        <w:t xml:space="preserve">boundary issues </w:t>
      </w:r>
      <w:r>
        <w:t>such as</w:t>
      </w:r>
      <w:r w:rsidRPr="00665AAE">
        <w:t xml:space="preserve"> emerging drug resistant malaria</w:t>
      </w:r>
      <w:r w:rsidR="00BB75AB">
        <w:t xml:space="preserve">. </w:t>
      </w:r>
      <w:r w:rsidRPr="00665AAE">
        <w:t>Myanmar accounts fo</w:t>
      </w:r>
      <w:r>
        <w:t>r 75</w:t>
      </w:r>
      <w:r w:rsidRPr="00665AAE">
        <w:t xml:space="preserve"> per cent of malaria cases and deaths in </w:t>
      </w:r>
      <w:r w:rsidR="00384113">
        <w:t xml:space="preserve">the Mekong </w:t>
      </w:r>
      <w:r w:rsidR="00D83AB1">
        <w:t>Region</w:t>
      </w:r>
      <w:r w:rsidR="00D83AB1" w:rsidRPr="00665AAE">
        <w:t xml:space="preserve"> </w:t>
      </w:r>
      <w:r>
        <w:t>and is recognised as</w:t>
      </w:r>
      <w:r w:rsidRPr="00E969A6">
        <w:t xml:space="preserve"> the </w:t>
      </w:r>
      <w:r w:rsidR="00384113">
        <w:t>highest</w:t>
      </w:r>
      <w:r w:rsidRPr="00E969A6">
        <w:t xml:space="preserve"> priority country </w:t>
      </w:r>
      <w:r>
        <w:t xml:space="preserve">in the region </w:t>
      </w:r>
      <w:r w:rsidRPr="00E969A6">
        <w:t xml:space="preserve">for </w:t>
      </w:r>
      <w:r w:rsidR="00384113">
        <w:t xml:space="preserve">the containment of </w:t>
      </w:r>
      <w:r w:rsidRPr="00E969A6">
        <w:t>drug</w:t>
      </w:r>
      <w:r w:rsidR="000072EB">
        <w:t>-</w:t>
      </w:r>
      <w:r w:rsidRPr="00E969A6">
        <w:t>resistan</w:t>
      </w:r>
      <w:r w:rsidR="00384113">
        <w:t>t malaria</w:t>
      </w:r>
      <w:r w:rsidR="00F7236E">
        <w:t>.</w:t>
      </w:r>
    </w:p>
    <w:p w14:paraId="155934AE" w14:textId="77777777" w:rsidR="00384113" w:rsidRDefault="00384113" w:rsidP="00527F65">
      <w:r>
        <w:t xml:space="preserve">Myanmar’s </w:t>
      </w:r>
      <w:r w:rsidR="001A6703">
        <w:t xml:space="preserve">Ministry of Health has traditionally been one of the </w:t>
      </w:r>
      <w:r w:rsidR="00173856">
        <w:t xml:space="preserve">government agencies </w:t>
      </w:r>
      <w:r w:rsidR="001A6703">
        <w:t xml:space="preserve">most </w:t>
      </w:r>
      <w:r w:rsidR="00173856">
        <w:t>open</w:t>
      </w:r>
      <w:r w:rsidR="001A6703">
        <w:t xml:space="preserve"> to reform</w:t>
      </w:r>
      <w:r w:rsidR="00C974E5">
        <w:t xml:space="preserve">. </w:t>
      </w:r>
      <w:r w:rsidR="00E94A63">
        <w:t>Australia will support complementary health system strengthening at central and decentralised levels to help develop a more effective and responsive health system</w:t>
      </w:r>
      <w:r w:rsidR="00BB75AB">
        <w:t xml:space="preserve">. </w:t>
      </w:r>
      <w:r w:rsidR="001A6703">
        <w:t xml:space="preserve">Capacity building and </w:t>
      </w:r>
      <w:r w:rsidR="00173856">
        <w:t xml:space="preserve">joint </w:t>
      </w:r>
      <w:r w:rsidR="001A6703">
        <w:t xml:space="preserve">policy </w:t>
      </w:r>
      <w:r w:rsidR="00173856">
        <w:t xml:space="preserve">development </w:t>
      </w:r>
      <w:r w:rsidR="001A6703">
        <w:t xml:space="preserve">will </w:t>
      </w:r>
      <w:r w:rsidR="00C21535">
        <w:t xml:space="preserve">help establish </w:t>
      </w:r>
      <w:r w:rsidR="001A6703">
        <w:t xml:space="preserve">the </w:t>
      </w:r>
      <w:r w:rsidR="00C21535">
        <w:t xml:space="preserve">plans necessary </w:t>
      </w:r>
      <w:r w:rsidR="001A6703">
        <w:t>to sustai</w:t>
      </w:r>
      <w:r>
        <w:t xml:space="preserve">nably improve health outcomes. </w:t>
      </w:r>
    </w:p>
    <w:p w14:paraId="155934AF" w14:textId="77777777" w:rsidR="00E94A63" w:rsidRDefault="003A5790" w:rsidP="00527F65">
      <w:r>
        <w:t xml:space="preserve">The </w:t>
      </w:r>
      <w:r w:rsidRPr="002A22FA">
        <w:t>support</w:t>
      </w:r>
      <w:r>
        <w:t xml:space="preserve"> of</w:t>
      </w:r>
      <w:r w:rsidRPr="002A22FA">
        <w:t xml:space="preserve"> </w:t>
      </w:r>
      <w:r w:rsidR="00E94A63" w:rsidRPr="002A22FA">
        <w:t>Australia</w:t>
      </w:r>
      <w:r>
        <w:t xml:space="preserve"> and other donors</w:t>
      </w:r>
      <w:r w:rsidR="00E94A63" w:rsidRPr="002A22FA">
        <w:t xml:space="preserve"> to the health sector in Myanmar</w:t>
      </w:r>
      <w:r w:rsidR="00F232C3">
        <w:t xml:space="preserve"> over the next four years</w:t>
      </w:r>
      <w:r w:rsidR="00E94A63" w:rsidRPr="002A22FA">
        <w:t xml:space="preserve"> </w:t>
      </w:r>
      <w:r w:rsidR="003B5879">
        <w:t xml:space="preserve">is </w:t>
      </w:r>
      <w:r>
        <w:t>expected to</w:t>
      </w:r>
      <w:r w:rsidRPr="002A22FA">
        <w:t xml:space="preserve"> </w:t>
      </w:r>
      <w:r>
        <w:t>save</w:t>
      </w:r>
      <w:r w:rsidR="00E94A63" w:rsidRPr="002A22FA">
        <w:t xml:space="preserve"> the lives of approximately 25</w:t>
      </w:r>
      <w:r w:rsidR="003B5879">
        <w:t xml:space="preserve"> </w:t>
      </w:r>
      <w:r w:rsidR="00E94A63" w:rsidRPr="002A22FA">
        <w:t>000 children and 3000 mothers</w:t>
      </w:r>
      <w:r w:rsidR="00BB75AB">
        <w:t xml:space="preserve">. </w:t>
      </w:r>
      <w:r w:rsidR="00E94A63" w:rsidRPr="002A22FA">
        <w:t>Other anticipated results</w:t>
      </w:r>
      <w:r w:rsidR="00346F2D">
        <w:t xml:space="preserve"> </w:t>
      </w:r>
      <w:r>
        <w:t>over this period</w:t>
      </w:r>
      <w:r w:rsidR="00E94A63" w:rsidRPr="002A22FA">
        <w:t xml:space="preserve"> include: </w:t>
      </w:r>
      <w:r w:rsidR="002A22FA">
        <w:t>a</w:t>
      </w:r>
      <w:r w:rsidR="00E94A63">
        <w:t>n additional 46</w:t>
      </w:r>
      <w:r w:rsidR="003B5879">
        <w:t xml:space="preserve"> </w:t>
      </w:r>
      <w:r w:rsidR="00E94A63">
        <w:t>000 births attended by a skilled health professional</w:t>
      </w:r>
      <w:r w:rsidR="002A22FA">
        <w:t xml:space="preserve">; </w:t>
      </w:r>
      <w:r w:rsidR="00C825EB">
        <w:br/>
      </w:r>
      <w:r w:rsidR="00E94A63">
        <w:t>30</w:t>
      </w:r>
      <w:r w:rsidR="003B5879">
        <w:t xml:space="preserve"> </w:t>
      </w:r>
      <w:r w:rsidR="00E94A63">
        <w:t>000 women receiving full antenatal care</w:t>
      </w:r>
      <w:r w:rsidR="002A22FA">
        <w:t xml:space="preserve">; </w:t>
      </w:r>
      <w:r w:rsidR="00E94A63">
        <w:t>95</w:t>
      </w:r>
      <w:r w:rsidR="003B5879">
        <w:t xml:space="preserve"> </w:t>
      </w:r>
      <w:r w:rsidR="00E94A63">
        <w:t>000 children receivin</w:t>
      </w:r>
      <w:r w:rsidR="002A22FA">
        <w:t xml:space="preserve">g vital immunisations; and </w:t>
      </w:r>
      <w:r w:rsidR="00C825EB">
        <w:br/>
      </w:r>
      <w:r w:rsidR="00E94A63">
        <w:t>34</w:t>
      </w:r>
      <w:r w:rsidR="003B5879">
        <w:t xml:space="preserve"> </w:t>
      </w:r>
      <w:r w:rsidR="00E94A63">
        <w:t>000 infants being exclusively breastfed, a proven way to increase child survival rates in the first six months of life.</w:t>
      </w:r>
      <w:r w:rsidR="00BB7778">
        <w:t xml:space="preserve"> </w:t>
      </w:r>
      <w:r>
        <w:t>Interim targets</w:t>
      </w:r>
      <w:r w:rsidR="00BB7778">
        <w:t xml:space="preserve"> for the period</w:t>
      </w:r>
      <w:r>
        <w:t xml:space="preserve"> of this</w:t>
      </w:r>
      <w:r w:rsidR="00BB7778">
        <w:t xml:space="preserve"> strategy will be developed in</w:t>
      </w:r>
      <w:r>
        <w:t xml:space="preserve"> early</w:t>
      </w:r>
      <w:r w:rsidR="00BB7778">
        <w:t xml:space="preserve"> 2013.</w:t>
      </w:r>
    </w:p>
    <w:p w14:paraId="155934B0" w14:textId="77777777" w:rsidR="00F81B31" w:rsidRDefault="00F81B31" w:rsidP="00527F65">
      <w:pPr>
        <w:pStyle w:val="Heading4"/>
      </w:pPr>
      <w:r>
        <w:t>Addressing the needs of conflict and disaster-affected people</w:t>
      </w:r>
    </w:p>
    <w:p w14:paraId="155934B1" w14:textId="77777777" w:rsidR="00F81B31" w:rsidRDefault="00F81B31" w:rsidP="00527F65">
      <w:r>
        <w:t>In recognition of ongoing conflict and displacement, as well as the country’s vulnerability to natural hazards such as cyclones and earthquakes, humanitarian assistance will continue to be an important part of Australia’s aid program to Myanmar. We are well-placed to provide humanitarian assistance given our substantial experience working in-country, as well as in other fragile and conflict-affected states.</w:t>
      </w:r>
    </w:p>
    <w:p w14:paraId="155934B2" w14:textId="77777777" w:rsidR="00F81B31" w:rsidRDefault="00F81B31" w:rsidP="00527F65">
      <w:r>
        <w:t xml:space="preserve">Australia will continue to support refugees from Myanmar in camps on the Thailand – </w:t>
      </w:r>
      <w:r w:rsidRPr="00821566">
        <w:t>Myanmar</w:t>
      </w:r>
      <w:r w:rsidRPr="00D26AB8">
        <w:t xml:space="preserve"> border but with increase</w:t>
      </w:r>
      <w:r>
        <w:t>d</w:t>
      </w:r>
      <w:r w:rsidRPr="00D26AB8">
        <w:t xml:space="preserve"> focus on supporting these communities to prepare for eventual return. If ceasefire agreements in Myanmar prove durable, we will support the safe return of displaced people through the aid program. Progress on ethnic issues could lead to a substantial influx of people into currently under-serviced areas outside the reach of Myanmar Government agencies.</w:t>
      </w:r>
    </w:p>
    <w:p w14:paraId="155934B3" w14:textId="77777777" w:rsidR="00F81B31" w:rsidRDefault="00F81B31" w:rsidP="00527F65">
      <w:r>
        <w:t>Humanitarian support in ethnic areas will also help to ensure Australia’s aid program is conflict sensitive and that future development gains are felt across the country. Until reconciliation is achieved, and there is an agreed means of managing power in contested areas, humanitarian assistance will continue to be needed in these areas. It will be critical to support early development gains in ethnic areas to build momentum for stable and lasting peace.</w:t>
      </w:r>
    </w:p>
    <w:p w14:paraId="155934B4" w14:textId="77777777" w:rsidR="00172ABC" w:rsidRDefault="00172ABC" w:rsidP="00527F65">
      <w:pPr>
        <w:pStyle w:val="Heading4"/>
      </w:pPr>
      <w:r>
        <w:t>I</w:t>
      </w:r>
      <w:r w:rsidRPr="00172ABC">
        <w:t>mproving the livelihoods of the rural poor</w:t>
      </w:r>
    </w:p>
    <w:p w14:paraId="155934B5" w14:textId="77777777" w:rsidR="001A6703" w:rsidRDefault="001A6703" w:rsidP="00527F65">
      <w:r>
        <w:t xml:space="preserve">Given the </w:t>
      </w:r>
      <w:r w:rsidR="00173856">
        <w:t>importance</w:t>
      </w:r>
      <w:r>
        <w:t xml:space="preserve"> of agriculture to the </w:t>
      </w:r>
      <w:r w:rsidR="00CB357D">
        <w:t>Myanmar</w:t>
      </w:r>
      <w:r>
        <w:t xml:space="preserve"> economy, Australia will continue to support agricultural development and livelihoods programs</w:t>
      </w:r>
      <w:r w:rsidR="00BB75AB">
        <w:t xml:space="preserve">. </w:t>
      </w:r>
      <w:r>
        <w:t>These activities will yield improved nutrition and food security outcomes, while assisting broader sustainable economic development by increasing employment, raising incomes and helping households bui</w:t>
      </w:r>
      <w:r w:rsidR="00173856">
        <w:t>ld a buffer to external shocks, including natural disasters</w:t>
      </w:r>
      <w:r w:rsidR="00BB75AB">
        <w:t xml:space="preserve">. </w:t>
      </w:r>
      <w:r>
        <w:lastRenderedPageBreak/>
        <w:t xml:space="preserve">Livelihoods </w:t>
      </w:r>
      <w:r w:rsidR="00D32F32">
        <w:t>is</w:t>
      </w:r>
      <w:r>
        <w:t xml:space="preserve"> a priority for the </w:t>
      </w:r>
      <w:r w:rsidR="00CB357D">
        <w:t>Myanmar</w:t>
      </w:r>
      <w:r>
        <w:t xml:space="preserve"> Government, opposition parties and ethnic groups and is an area where tangible benefits can quickly flow t</w:t>
      </w:r>
      <w:r w:rsidR="007F45DE">
        <w:t>o the poor.</w:t>
      </w:r>
      <w:r w:rsidR="001030AA">
        <w:t xml:space="preserve"> Support for livelihoods and agriculture will address Millennium Development Goal 1</w:t>
      </w:r>
      <w:r w:rsidR="003B5879">
        <w:t>,</w:t>
      </w:r>
      <w:r w:rsidR="001030AA">
        <w:t xml:space="preserve"> to e</w:t>
      </w:r>
      <w:r w:rsidR="001030AA" w:rsidRPr="001030AA">
        <w:t>radicate extreme hunger and poverty</w:t>
      </w:r>
      <w:r w:rsidR="001030AA">
        <w:t>.</w:t>
      </w:r>
    </w:p>
    <w:p w14:paraId="155934B6" w14:textId="77777777" w:rsidR="001A6703" w:rsidRDefault="001A6703" w:rsidP="00527F65">
      <w:r>
        <w:t xml:space="preserve">Australia will continue to support programs </w:t>
      </w:r>
      <w:r w:rsidR="0069559E">
        <w:t xml:space="preserve">that </w:t>
      </w:r>
      <w:r>
        <w:t>help to increase food availability, income</w:t>
      </w:r>
      <w:r w:rsidR="0069559E">
        <w:t>-</w:t>
      </w:r>
      <w:r>
        <w:t>generation opportunities and fo</w:t>
      </w:r>
      <w:r w:rsidR="00903E87">
        <w:t xml:space="preserve">od use for the </w:t>
      </w:r>
      <w:r w:rsidR="00CB357D">
        <w:t>Myanmar</w:t>
      </w:r>
      <w:r w:rsidR="00903E87">
        <w:t xml:space="preserve"> people through, f</w:t>
      </w:r>
      <w:r>
        <w:t xml:space="preserve">or example, </w:t>
      </w:r>
      <w:r w:rsidR="00903E87">
        <w:t>providing training</w:t>
      </w:r>
      <w:r>
        <w:t xml:space="preserve"> </w:t>
      </w:r>
      <w:r w:rsidR="00903E87">
        <w:t>and agricultural inputs to farmers</w:t>
      </w:r>
      <w:r w:rsidR="00BB75AB">
        <w:t xml:space="preserve">. </w:t>
      </w:r>
      <w:r>
        <w:t xml:space="preserve">Further, microfinance activities focused on women </w:t>
      </w:r>
      <w:r w:rsidR="00903E87">
        <w:t xml:space="preserve">will </w:t>
      </w:r>
      <w:r>
        <w:t>provide access to credit for more poor and vulnerable households</w:t>
      </w:r>
      <w:r w:rsidR="00BB75AB">
        <w:t xml:space="preserve">. </w:t>
      </w:r>
      <w:r w:rsidR="003B5879">
        <w:t xml:space="preserve">We </w:t>
      </w:r>
      <w:r>
        <w:t xml:space="preserve">will continue to work with </w:t>
      </w:r>
      <w:r w:rsidR="00173856">
        <w:t>partners</w:t>
      </w:r>
      <w:r>
        <w:t xml:space="preserve"> to encourage the adoption of new agricultural technologies and build the technical capac</w:t>
      </w:r>
      <w:r w:rsidR="00903E87">
        <w:t xml:space="preserve">ity of the </w:t>
      </w:r>
      <w:r w:rsidR="00CB357D">
        <w:t>Myanmar</w:t>
      </w:r>
      <w:r w:rsidR="00903E87">
        <w:t xml:space="preserve"> Government.</w:t>
      </w:r>
    </w:p>
    <w:p w14:paraId="155934B7" w14:textId="77777777" w:rsidR="007F45DE" w:rsidRPr="007F45DE" w:rsidRDefault="007F45DE" w:rsidP="00527F65">
      <w:r w:rsidRPr="007F45DE">
        <w:t xml:space="preserve">Results </w:t>
      </w:r>
      <w:r w:rsidRPr="00D26AB8">
        <w:t xml:space="preserve">in </w:t>
      </w:r>
      <w:r w:rsidRPr="00821566">
        <w:t>2012</w:t>
      </w:r>
      <w:r w:rsidR="00D26AB8" w:rsidRPr="00D26AB8">
        <w:t>–</w:t>
      </w:r>
      <w:r w:rsidRPr="00821566">
        <w:t>14</w:t>
      </w:r>
      <w:r w:rsidRPr="00D26AB8">
        <w:t xml:space="preserve"> will include</w:t>
      </w:r>
      <w:r>
        <w:t>:</w:t>
      </w:r>
      <w:r w:rsidRPr="007F45DE">
        <w:t xml:space="preserve"> supporting 33</w:t>
      </w:r>
      <w:r w:rsidR="003B5879">
        <w:t xml:space="preserve"> </w:t>
      </w:r>
      <w:r w:rsidRPr="007F45DE">
        <w:t xml:space="preserve">000 households to access capital to improve their income; providing 6000 households access to microfinances services; providing training to </w:t>
      </w:r>
      <w:r w:rsidR="003B5879">
        <w:br/>
      </w:r>
      <w:r w:rsidRPr="007F45DE">
        <w:t>390 community-based organisations to undertake livelihoods activities</w:t>
      </w:r>
      <w:r>
        <w:t xml:space="preserve">; and </w:t>
      </w:r>
      <w:r w:rsidRPr="007F45DE">
        <w:t xml:space="preserve">increasing </w:t>
      </w:r>
      <w:r>
        <w:t xml:space="preserve">the </w:t>
      </w:r>
      <w:r w:rsidRPr="007F45DE">
        <w:t xml:space="preserve">food production and incomes </w:t>
      </w:r>
      <w:r>
        <w:t xml:space="preserve">of </w:t>
      </w:r>
      <w:r w:rsidRPr="007F45DE">
        <w:t xml:space="preserve">farmers and rural households in the </w:t>
      </w:r>
      <w:r>
        <w:t>c</w:t>
      </w:r>
      <w:r w:rsidRPr="007F45DE">
        <w:t xml:space="preserve">entral </w:t>
      </w:r>
      <w:r>
        <w:t>d</w:t>
      </w:r>
      <w:r w:rsidRPr="007F45DE">
        <w:t xml:space="preserve">ry </w:t>
      </w:r>
      <w:r>
        <w:t>z</w:t>
      </w:r>
      <w:r w:rsidRPr="007F45DE">
        <w:t>one and Irrawaddy Delta</w:t>
      </w:r>
      <w:r>
        <w:t xml:space="preserve"> by up to 50 per cent.</w:t>
      </w:r>
    </w:p>
    <w:p w14:paraId="155934B8" w14:textId="77777777" w:rsidR="00993138" w:rsidRDefault="00993138" w:rsidP="00527F65">
      <w:pPr>
        <w:pStyle w:val="Heading2"/>
      </w:pPr>
      <w:bookmarkStart w:id="18" w:name="_Toc347220230"/>
      <w:r>
        <w:t>Program approaches and ways of working</w:t>
      </w:r>
      <w:bookmarkEnd w:id="18"/>
    </w:p>
    <w:p w14:paraId="155934B9" w14:textId="77777777" w:rsidR="001A6703" w:rsidRDefault="00405A6C" w:rsidP="00527F65">
      <w:r>
        <w:t xml:space="preserve">While Australia’s existing aid program to </w:t>
      </w:r>
      <w:r w:rsidR="00CB357D">
        <w:t>Myanmar</w:t>
      </w:r>
      <w:r>
        <w:t xml:space="preserve"> provides a strong foundation for the future, it is likely the pace of reform will open new opportunities to work more closely with the</w:t>
      </w:r>
      <w:r w:rsidR="003B5879">
        <w:t xml:space="preserve"> </w:t>
      </w:r>
      <w:r w:rsidR="00A81B63">
        <w:t>g</w:t>
      </w:r>
      <w:r>
        <w:t>overnment and will require new program</w:t>
      </w:r>
      <w:r w:rsidR="00AC638C">
        <w:t xml:space="preserve">s </w:t>
      </w:r>
      <w:r w:rsidR="00414047">
        <w:t>and approaches</w:t>
      </w:r>
      <w:r>
        <w:t xml:space="preserve">. This iteration of the </w:t>
      </w:r>
      <w:r w:rsidR="003B5879" w:rsidRPr="00A81B63">
        <w:t>a</w:t>
      </w:r>
      <w:r w:rsidR="00D109C4" w:rsidRPr="00A81B63">
        <w:t xml:space="preserve">id </w:t>
      </w:r>
      <w:r w:rsidR="003B5879" w:rsidRPr="00A81B63">
        <w:t>p</w:t>
      </w:r>
      <w:r w:rsidRPr="00A81B63">
        <w:t xml:space="preserve">rogram </w:t>
      </w:r>
      <w:r w:rsidR="003B5879" w:rsidRPr="00A81B63">
        <w:t>s</w:t>
      </w:r>
      <w:r w:rsidRPr="00A81B63">
        <w:t>trategy</w:t>
      </w:r>
      <w:r w:rsidR="00342AF8">
        <w:t xml:space="preserve"> for Myanmar</w:t>
      </w:r>
      <w:r>
        <w:t xml:space="preserve"> is for a </w:t>
      </w:r>
      <w:r w:rsidR="00003814">
        <w:t xml:space="preserve">shorter </w:t>
      </w:r>
      <w:r>
        <w:t xml:space="preserve">period </w:t>
      </w:r>
      <w:r w:rsidR="00003814">
        <w:t>than usual</w:t>
      </w:r>
      <w:r>
        <w:t xml:space="preserve">, reflecting </w:t>
      </w:r>
      <w:r w:rsidR="003D6AD2">
        <w:t xml:space="preserve">the fact </w:t>
      </w:r>
      <w:r w:rsidR="00E156B6">
        <w:t>that the development context in</w:t>
      </w:r>
      <w:r w:rsidR="00342AF8">
        <w:t>-country</w:t>
      </w:r>
      <w:r w:rsidR="00E156B6">
        <w:t xml:space="preserve"> </w:t>
      </w:r>
      <w:r w:rsidR="003D6AD2">
        <w:t>may</w:t>
      </w:r>
      <w:r w:rsidR="00E156B6">
        <w:t xml:space="preserve"> be very different </w:t>
      </w:r>
      <w:r w:rsidR="0069559E">
        <w:br/>
      </w:r>
      <w:r w:rsidR="00E156B6">
        <w:t>by 2014.</w:t>
      </w:r>
    </w:p>
    <w:p w14:paraId="155934BA" w14:textId="77777777" w:rsidR="00162D26" w:rsidRDefault="001A6703" w:rsidP="00527F65">
      <w:r>
        <w:t xml:space="preserve">Australia’s level of engagement with the </w:t>
      </w:r>
      <w:r w:rsidR="00DA176A">
        <w:t>Myanmar Government</w:t>
      </w:r>
      <w:r>
        <w:t xml:space="preserve"> on </w:t>
      </w:r>
      <w:r w:rsidR="00E156B6">
        <w:t>development</w:t>
      </w:r>
      <w:r>
        <w:t xml:space="preserve"> issues will expand </w:t>
      </w:r>
      <w:r w:rsidR="009A4BBE">
        <w:t>over</w:t>
      </w:r>
      <w:r>
        <w:t xml:space="preserve"> the next two years</w:t>
      </w:r>
      <w:r w:rsidR="00BB75AB">
        <w:t xml:space="preserve">. </w:t>
      </w:r>
      <w:r>
        <w:t xml:space="preserve">Closer engagement, including through </w:t>
      </w:r>
      <w:r w:rsidR="00C34BD5">
        <w:t xml:space="preserve">the </w:t>
      </w:r>
      <w:r>
        <w:t xml:space="preserve">formalised </w:t>
      </w:r>
      <w:r w:rsidR="00A81B63">
        <w:t>Memorandum of Understanding</w:t>
      </w:r>
      <w:r>
        <w:t xml:space="preserve">, </w:t>
      </w:r>
      <w:r w:rsidR="00E156B6">
        <w:t>will</w:t>
      </w:r>
      <w:r>
        <w:t xml:space="preserve"> clarify Australia’s </w:t>
      </w:r>
      <w:r w:rsidR="00E156B6">
        <w:t xml:space="preserve">and </w:t>
      </w:r>
      <w:r w:rsidR="00CB357D">
        <w:t>Myanmar</w:t>
      </w:r>
      <w:r w:rsidR="00E156B6">
        <w:t xml:space="preserve">’s </w:t>
      </w:r>
      <w:r>
        <w:t>expectations for the</w:t>
      </w:r>
      <w:r w:rsidR="00E156B6">
        <w:t xml:space="preserve"> relationship</w:t>
      </w:r>
      <w:r w:rsidR="009A4BBE">
        <w:t>,</w:t>
      </w:r>
      <w:r w:rsidR="00E156B6">
        <w:t xml:space="preserve"> and articulate our</w:t>
      </w:r>
      <w:r>
        <w:t xml:space="preserve"> obligations</w:t>
      </w:r>
      <w:r w:rsidR="009A4BBE">
        <w:t xml:space="preserve"> to each other</w:t>
      </w:r>
      <w:r>
        <w:t>.</w:t>
      </w:r>
      <w:r w:rsidR="00E156B6">
        <w:t xml:space="preserve"> </w:t>
      </w:r>
      <w:r w:rsidR="00162D26">
        <w:t>Over time, as the development priorities</w:t>
      </w:r>
      <w:r w:rsidR="009A4BBE">
        <w:t xml:space="preserve"> and policies</w:t>
      </w:r>
      <w:r w:rsidR="00162D26">
        <w:t xml:space="preserve"> of the </w:t>
      </w:r>
      <w:r w:rsidR="00CB357D">
        <w:t>Myanmar</w:t>
      </w:r>
      <w:r w:rsidR="00162D26">
        <w:t xml:space="preserve"> Government and the focus of new donor programs become apparent, </w:t>
      </w:r>
      <w:r w:rsidR="00AD2345">
        <w:t xml:space="preserve">we </w:t>
      </w:r>
      <w:r w:rsidR="00162D26">
        <w:t xml:space="preserve">will reassess our </w:t>
      </w:r>
      <w:r w:rsidR="00AC638C">
        <w:t xml:space="preserve">key </w:t>
      </w:r>
      <w:r w:rsidR="00162D26">
        <w:t>sector</w:t>
      </w:r>
      <w:r w:rsidR="00AC638C">
        <w:t>s</w:t>
      </w:r>
      <w:r w:rsidR="00162D26">
        <w:t xml:space="preserve"> </w:t>
      </w:r>
      <w:r w:rsidR="00AC638C">
        <w:t>to ensure we are targeting the most appropriate</w:t>
      </w:r>
      <w:r w:rsidR="00E207AC">
        <w:t xml:space="preserve"> areas of need.</w:t>
      </w:r>
    </w:p>
    <w:p w14:paraId="155934BB" w14:textId="77777777" w:rsidR="00AC638C" w:rsidRDefault="00AC638C" w:rsidP="00527F65">
      <w:r w:rsidRPr="00AC638C">
        <w:t xml:space="preserve">Closer bilateral engagement </w:t>
      </w:r>
      <w:r>
        <w:t xml:space="preserve">between governments </w:t>
      </w:r>
      <w:r w:rsidRPr="00AC638C">
        <w:t xml:space="preserve">will </w:t>
      </w:r>
      <w:r>
        <w:t>facilitate</w:t>
      </w:r>
      <w:r w:rsidRPr="00AC638C">
        <w:t xml:space="preserve"> policy dialogue and advocacy</w:t>
      </w:r>
      <w:r>
        <w:t xml:space="preserve"> with senior levels in </w:t>
      </w:r>
      <w:r w:rsidR="00CB357D">
        <w:t>Myanmar</w:t>
      </w:r>
      <w:r>
        <w:t xml:space="preserve"> Government ministries. </w:t>
      </w:r>
      <w:r w:rsidR="006565DC">
        <w:t xml:space="preserve">This is essential to ensure appropriate </w:t>
      </w:r>
      <w:r w:rsidR="000C044C">
        <w:t xml:space="preserve">Myanmar </w:t>
      </w:r>
      <w:r w:rsidR="006565DC">
        <w:t xml:space="preserve">Government investments in services that meet the critical needs of </w:t>
      </w:r>
      <w:r w:rsidR="00630C2B">
        <w:t>its</w:t>
      </w:r>
      <w:r w:rsidR="006565DC">
        <w:t xml:space="preserve"> people. Unless donors are able to support </w:t>
      </w:r>
      <w:r w:rsidR="00630C2B">
        <w:t xml:space="preserve">Myanmar </w:t>
      </w:r>
      <w:r w:rsidR="00A81B63">
        <w:t>G</w:t>
      </w:r>
      <w:r w:rsidR="006565DC">
        <w:t>overnment</w:t>
      </w:r>
      <w:r w:rsidRPr="00AC638C">
        <w:t xml:space="preserve"> </w:t>
      </w:r>
      <w:r w:rsidR="006565DC">
        <w:t>policies</w:t>
      </w:r>
      <w:r w:rsidR="00E207AC">
        <w:t xml:space="preserve"> based on solid evidence</w:t>
      </w:r>
      <w:r w:rsidR="006565DC">
        <w:t xml:space="preserve">, including its own budget allocations, </w:t>
      </w:r>
      <w:r w:rsidR="00820E27">
        <w:t>the</w:t>
      </w:r>
      <w:r w:rsidR="006565DC">
        <w:t xml:space="preserve"> positive outcomes of development assistance cannot be sustained</w:t>
      </w:r>
      <w:r w:rsidRPr="00AC638C">
        <w:t xml:space="preserve">. </w:t>
      </w:r>
    </w:p>
    <w:p w14:paraId="155934BC" w14:textId="77777777" w:rsidR="00CE5CFA" w:rsidRDefault="00CE5CFA" w:rsidP="00527F65">
      <w:r>
        <w:t xml:space="preserve">Other countries in the region have been through reform processes similar to Myanmar and would be able to share relevant knowledge and experience. Australia will facilitate </w:t>
      </w:r>
      <w:r w:rsidR="003E3C75">
        <w:t>cooperation</w:t>
      </w:r>
      <w:r>
        <w:t xml:space="preserve"> between the </w:t>
      </w:r>
      <w:r w:rsidR="003E3C75">
        <w:t>institutions in</w:t>
      </w:r>
      <w:r>
        <w:t xml:space="preserve"> Myanmar and </w:t>
      </w:r>
      <w:r w:rsidR="003E3C75">
        <w:t xml:space="preserve">in </w:t>
      </w:r>
      <w:r>
        <w:t>third countries with which we have development cooperation partnerships</w:t>
      </w:r>
      <w:r w:rsidR="003E3C75">
        <w:t>, to promote the sharing of lesson</w:t>
      </w:r>
      <w:r w:rsidR="00C34BD5">
        <w:t>s</w:t>
      </w:r>
      <w:r w:rsidR="003E3C75">
        <w:t xml:space="preserve"> learn</w:t>
      </w:r>
      <w:r w:rsidR="00630C2B">
        <w:t>ed</w:t>
      </w:r>
      <w:r w:rsidR="003E3C75">
        <w:t xml:space="preserve"> and demonstrate the benefits of reform</w:t>
      </w:r>
      <w:r>
        <w:t>.</w:t>
      </w:r>
    </w:p>
    <w:p w14:paraId="155934BD" w14:textId="77777777" w:rsidR="001A6703" w:rsidRDefault="001A6703" w:rsidP="00527F65">
      <w:r>
        <w:t>Engagement by international financial institutions</w:t>
      </w:r>
      <w:r w:rsidR="00630C2B">
        <w:t>,</w:t>
      </w:r>
      <w:r>
        <w:t xml:space="preserve"> such as the World Bank and the Asian Development Bank</w:t>
      </w:r>
      <w:r w:rsidR="00630C2B">
        <w:t>,</w:t>
      </w:r>
      <w:r>
        <w:t xml:space="preserve"> will be critical if the international community </w:t>
      </w:r>
      <w:r w:rsidR="00630C2B">
        <w:t xml:space="preserve">is </w:t>
      </w:r>
      <w:r>
        <w:t>to mobilise large</w:t>
      </w:r>
      <w:r w:rsidR="00630C2B">
        <w:t>-</w:t>
      </w:r>
      <w:r>
        <w:t xml:space="preserve">scale </w:t>
      </w:r>
      <w:r w:rsidR="00E156B6">
        <w:t>financing</w:t>
      </w:r>
      <w:r>
        <w:t xml:space="preserve"> to </w:t>
      </w:r>
      <w:r w:rsidR="006565DC">
        <w:t>support</w:t>
      </w:r>
      <w:r w:rsidR="009A4BBE">
        <w:t xml:space="preserve"> </w:t>
      </w:r>
      <w:r w:rsidR="00CB357D">
        <w:t>Myanmar</w:t>
      </w:r>
      <w:r w:rsidR="009A4BBE">
        <w:t>’s development</w:t>
      </w:r>
      <w:r w:rsidR="00BB75AB">
        <w:t xml:space="preserve">. </w:t>
      </w:r>
      <w:r>
        <w:t xml:space="preserve">Australia will continue to support these institutions </w:t>
      </w:r>
      <w:r w:rsidR="00630C2B">
        <w:t xml:space="preserve">with </w:t>
      </w:r>
      <w:r>
        <w:t xml:space="preserve">their engagement </w:t>
      </w:r>
      <w:r w:rsidR="0069559E">
        <w:br/>
      </w:r>
      <w:r>
        <w:t>in</w:t>
      </w:r>
      <w:r w:rsidR="00342AF8">
        <w:t>-country</w:t>
      </w:r>
      <w:r>
        <w:t>.</w:t>
      </w:r>
    </w:p>
    <w:p w14:paraId="155934BE" w14:textId="77777777" w:rsidR="00993138" w:rsidRDefault="001E76F3" w:rsidP="00527F65">
      <w:r w:rsidRPr="001E76F3">
        <w:t>The response to Cyclone Nargis catalysed an unprecedented expansion of civil society activities into service delivery and humanitarian response</w:t>
      </w:r>
      <w:r w:rsidR="00BB75AB">
        <w:t xml:space="preserve">. </w:t>
      </w:r>
      <w:r w:rsidR="000C044C">
        <w:t xml:space="preserve">In </w:t>
      </w:r>
      <w:r w:rsidR="00313859">
        <w:t xml:space="preserve">the </w:t>
      </w:r>
      <w:r w:rsidR="009A09B9">
        <w:t>current</w:t>
      </w:r>
      <w:r w:rsidR="00313859">
        <w:t xml:space="preserve"> </w:t>
      </w:r>
      <w:r w:rsidR="000C044C">
        <w:t>context</w:t>
      </w:r>
      <w:r w:rsidRPr="001E76F3">
        <w:t xml:space="preserve">, </w:t>
      </w:r>
      <w:r w:rsidR="00CB357D">
        <w:t>Myanmar</w:t>
      </w:r>
      <w:r w:rsidRPr="001E76F3">
        <w:t xml:space="preserve"> civil society is </w:t>
      </w:r>
      <w:r w:rsidR="00313859">
        <w:t>i</w:t>
      </w:r>
      <w:r w:rsidR="00313859" w:rsidRPr="001E76F3">
        <w:t>ncreasingly</w:t>
      </w:r>
      <w:r w:rsidR="00313859">
        <w:t xml:space="preserve"> </w:t>
      </w:r>
      <w:r w:rsidRPr="001E76F3">
        <w:t xml:space="preserve">expanding its role to include advocacy and improving the accountability of the </w:t>
      </w:r>
      <w:r w:rsidR="00DA176A">
        <w:t>Myanmar Government</w:t>
      </w:r>
      <w:r w:rsidRPr="001E76F3">
        <w:t>.</w:t>
      </w:r>
    </w:p>
    <w:p w14:paraId="155934BF" w14:textId="77777777" w:rsidR="00820E27" w:rsidRDefault="00313859" w:rsidP="00527F65">
      <w:r>
        <w:t xml:space="preserve">Civil society organisations are important and long-standing partners for Australia’s aid program to </w:t>
      </w:r>
      <w:r w:rsidR="00CB357D">
        <w:t>Myanmar</w:t>
      </w:r>
      <w:r>
        <w:t xml:space="preserve">, </w:t>
      </w:r>
      <w:r w:rsidR="00820E27">
        <w:t xml:space="preserve">with around 35 per cent of </w:t>
      </w:r>
      <w:r w:rsidR="00630C2B">
        <w:t xml:space="preserve">our </w:t>
      </w:r>
      <w:r w:rsidR="00820E27">
        <w:t xml:space="preserve">assistance delivered through Australian and international </w:t>
      </w:r>
      <w:r w:rsidR="0069559E">
        <w:br/>
      </w:r>
      <w:r w:rsidR="00820E27">
        <w:t xml:space="preserve">non-government organisations and their </w:t>
      </w:r>
      <w:r w:rsidR="00CB357D">
        <w:t>Myanmar</w:t>
      </w:r>
      <w:r w:rsidR="00820E27">
        <w:t xml:space="preserve"> partners in 2011. These organisations</w:t>
      </w:r>
      <w:r>
        <w:t xml:space="preserve"> will continue to </w:t>
      </w:r>
      <w:r>
        <w:lastRenderedPageBreak/>
        <w:t>be critical to meeting development needs</w:t>
      </w:r>
      <w:r w:rsidR="00820E27">
        <w:t>, particularly those</w:t>
      </w:r>
      <w:r>
        <w:t xml:space="preserve"> beyond the reach of government services. </w:t>
      </w:r>
      <w:r w:rsidR="0069559E">
        <w:br/>
      </w:r>
      <w:r w:rsidR="00162D26">
        <w:t xml:space="preserve">The </w:t>
      </w:r>
      <w:r w:rsidR="00162D26" w:rsidRPr="000A7929">
        <w:rPr>
          <w:i/>
        </w:rPr>
        <w:t>AusAID Civil Society Engagement Framework</w:t>
      </w:r>
      <w:r w:rsidR="00162D26">
        <w:t xml:space="preserve"> </w:t>
      </w:r>
      <w:r>
        <w:t xml:space="preserve">lays out the principles </w:t>
      </w:r>
      <w:r w:rsidR="00630C2B">
        <w:t xml:space="preserve">that </w:t>
      </w:r>
      <w:r>
        <w:t xml:space="preserve">guide </w:t>
      </w:r>
      <w:r w:rsidR="00630C2B">
        <w:t xml:space="preserve">the Agency’s </w:t>
      </w:r>
      <w:r>
        <w:t>work with civil society organisation</w:t>
      </w:r>
      <w:r w:rsidR="00820E27">
        <w:t xml:space="preserve">s, in </w:t>
      </w:r>
      <w:r w:rsidR="00CB357D">
        <w:t>Myanmar</w:t>
      </w:r>
      <w:r w:rsidR="00820E27">
        <w:t xml:space="preserve"> and Australia.</w:t>
      </w:r>
    </w:p>
    <w:p w14:paraId="155934C0" w14:textId="77777777" w:rsidR="00162D26" w:rsidRDefault="00313859" w:rsidP="00527F65">
      <w:r>
        <w:t xml:space="preserve">Many multi-donor programs Australia funds in </w:t>
      </w:r>
      <w:r w:rsidR="00CB357D">
        <w:t>Myanmar</w:t>
      </w:r>
      <w:r>
        <w:t xml:space="preserve"> include grant schemes available to local organisations. Australian organisations also have access to a </w:t>
      </w:r>
      <w:r w:rsidR="000A7929">
        <w:t xml:space="preserve">wider </w:t>
      </w:r>
      <w:r>
        <w:t xml:space="preserve">range of development grant </w:t>
      </w:r>
      <w:r w:rsidR="00DB32C5">
        <w:t xml:space="preserve">schemes </w:t>
      </w:r>
      <w:r w:rsidR="00DD0CEF">
        <w:t xml:space="preserve">that </w:t>
      </w:r>
      <w:r w:rsidR="00DB32C5">
        <w:t xml:space="preserve">promote human rights and help provide </w:t>
      </w:r>
      <w:r w:rsidR="0038209E">
        <w:t>Australian</w:t>
      </w:r>
      <w:r w:rsidR="00DB32C5">
        <w:t xml:space="preserve"> expertise through </w:t>
      </w:r>
      <w:r w:rsidR="00556DCF">
        <w:t xml:space="preserve">partnerships </w:t>
      </w:r>
      <w:r w:rsidR="007F2ECB">
        <w:t xml:space="preserve">with </w:t>
      </w:r>
      <w:r w:rsidR="00DB32C5">
        <w:t>Myanmar</w:t>
      </w:r>
      <w:r w:rsidR="00556DCF">
        <w:t xml:space="preserve"> </w:t>
      </w:r>
      <w:r w:rsidR="00DB32C5">
        <w:t>G</w:t>
      </w:r>
      <w:r w:rsidR="00DD0CEF">
        <w:t xml:space="preserve">overnment </w:t>
      </w:r>
      <w:r w:rsidR="00556DCF">
        <w:t>institutions</w:t>
      </w:r>
      <w:r w:rsidR="00DD0CEF">
        <w:t xml:space="preserve"> and international seminars</w:t>
      </w:r>
      <w:r>
        <w:t>.</w:t>
      </w:r>
    </w:p>
    <w:p w14:paraId="155934C1" w14:textId="77777777" w:rsidR="00C27D1D" w:rsidRDefault="00C27D1D" w:rsidP="00527F65">
      <w:r>
        <w:t xml:space="preserve">As reforms progress in </w:t>
      </w:r>
      <w:r w:rsidR="00CB357D">
        <w:t>Myanmar</w:t>
      </w:r>
      <w:r>
        <w:t>, and particularly as ethnic groups work towards peace, Australia will look to civil society organisations that are recognised and trusted by minority groups as key partners in development.</w:t>
      </w:r>
    </w:p>
    <w:p w14:paraId="155934C2" w14:textId="77777777" w:rsidR="006565DC" w:rsidRPr="006565DC" w:rsidRDefault="006565DC" w:rsidP="00527F65">
      <w:r w:rsidRPr="006565DC">
        <w:t xml:space="preserve">Gender equality and women’s empowerment is an overarching principle of </w:t>
      </w:r>
      <w:r w:rsidR="00CD5A5F">
        <w:t>our</w:t>
      </w:r>
      <w:r w:rsidR="00CD5A5F" w:rsidRPr="006565DC">
        <w:t xml:space="preserve"> </w:t>
      </w:r>
      <w:r w:rsidRPr="006565DC">
        <w:t xml:space="preserve">aid program. </w:t>
      </w:r>
      <w:r w:rsidR="0074490A">
        <w:t>A</w:t>
      </w:r>
      <w:r w:rsidRPr="006565DC">
        <w:t xml:space="preserve"> </w:t>
      </w:r>
      <w:r w:rsidR="0074490A" w:rsidRPr="006565DC">
        <w:t xml:space="preserve">recently conducted </w:t>
      </w:r>
      <w:r w:rsidRPr="006565DC">
        <w:t>gender stocktake identif</w:t>
      </w:r>
      <w:r w:rsidR="0074490A">
        <w:t>ied</w:t>
      </w:r>
      <w:r w:rsidRPr="006565DC">
        <w:t xml:space="preserve"> areas where Australian assistance could </w:t>
      </w:r>
      <w:r>
        <w:t>better support</w:t>
      </w:r>
      <w:r w:rsidRPr="006565DC">
        <w:t xml:space="preserve"> the advancement of women in </w:t>
      </w:r>
      <w:r w:rsidR="00CB357D">
        <w:t>Myanmar</w:t>
      </w:r>
      <w:r w:rsidRPr="006565DC">
        <w:t xml:space="preserve"> as our aid program increases in size and scope. The information gathered through the </w:t>
      </w:r>
      <w:r>
        <w:t>stock</w:t>
      </w:r>
      <w:r w:rsidRPr="006565DC">
        <w:t xml:space="preserve">take </w:t>
      </w:r>
      <w:r>
        <w:t>will be</w:t>
      </w:r>
      <w:r w:rsidRPr="006565DC">
        <w:t xml:space="preserve"> used to </w:t>
      </w:r>
      <w:r>
        <w:t>ensure activities</w:t>
      </w:r>
      <w:r w:rsidRPr="006565DC">
        <w:t xml:space="preserve"> maintain a clear focus on w</w:t>
      </w:r>
      <w:r>
        <w:t xml:space="preserve">omen’s empowerment and equality. We will continue to </w:t>
      </w:r>
      <w:r w:rsidR="0074490A">
        <w:t>cooperate</w:t>
      </w:r>
      <w:r>
        <w:t xml:space="preserve"> with multilater</w:t>
      </w:r>
      <w:r w:rsidR="0074490A">
        <w:t xml:space="preserve">al and non-government partners in joint analytical activities </w:t>
      </w:r>
      <w:r w:rsidR="009A09B9">
        <w:t>to ensure our programs benefit men and women equally</w:t>
      </w:r>
      <w:r w:rsidR="0074490A">
        <w:t>.</w:t>
      </w:r>
    </w:p>
    <w:p w14:paraId="155934C3" w14:textId="77777777" w:rsidR="00993138" w:rsidRDefault="00ED06CB" w:rsidP="00527F65">
      <w:pPr>
        <w:pStyle w:val="Heading1"/>
        <w:rPr>
          <w:noProof/>
        </w:rPr>
      </w:pPr>
      <w:bookmarkStart w:id="19" w:name="_Toc347220231"/>
      <w:r>
        <w:rPr>
          <w:noProof/>
        </w:rPr>
        <w:lastRenderedPageBreak/>
        <w:drawing>
          <wp:anchor distT="0" distB="0" distL="114300" distR="114300" simplePos="0" relativeHeight="251660288" behindDoc="1" locked="0" layoutInCell="1" allowOverlap="1" wp14:anchorId="15593566" wp14:editId="15593567">
            <wp:simplePos x="0" y="0"/>
            <wp:positionH relativeFrom="page">
              <wp:posOffset>-92710</wp:posOffset>
            </wp:positionH>
            <wp:positionV relativeFrom="page">
              <wp:posOffset>1054735</wp:posOffset>
            </wp:positionV>
            <wp:extent cx="7788910" cy="1585595"/>
            <wp:effectExtent l="0" t="0" r="2540" b="0"/>
            <wp:wrapNone/>
            <wp:docPr id="11" name="Picture 11"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AID_report_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anchor>
        </w:drawing>
      </w:r>
      <w:r w:rsidR="00993138">
        <w:rPr>
          <w:noProof/>
        </w:rPr>
        <w:t>Program performance and risk management</w:t>
      </w:r>
      <w:bookmarkEnd w:id="19"/>
    </w:p>
    <w:p w14:paraId="155934C4" w14:textId="77777777" w:rsidR="00993138" w:rsidRDefault="00993138" w:rsidP="00527F65">
      <w:pPr>
        <w:pStyle w:val="Heading2"/>
      </w:pPr>
      <w:bookmarkStart w:id="20" w:name="_Toc347220232"/>
      <w:r>
        <w:t xml:space="preserve">What success </w:t>
      </w:r>
      <w:r w:rsidR="002F468E">
        <w:t xml:space="preserve">will </w:t>
      </w:r>
      <w:r>
        <w:t xml:space="preserve">look like at the end of </w:t>
      </w:r>
      <w:r w:rsidR="001A22C2">
        <w:t xml:space="preserve">the </w:t>
      </w:r>
      <w:r>
        <w:t>strategy</w:t>
      </w:r>
      <w:bookmarkEnd w:id="20"/>
    </w:p>
    <w:p w14:paraId="155934C5" w14:textId="77777777" w:rsidR="00993138" w:rsidRDefault="005E399D" w:rsidP="00527F65">
      <w:r>
        <w:t xml:space="preserve">The success of Australia’s aid program in </w:t>
      </w:r>
      <w:r w:rsidR="00CB357D">
        <w:t>Myanmar</w:t>
      </w:r>
      <w:r>
        <w:t xml:space="preserve"> in </w:t>
      </w:r>
      <w:r w:rsidR="00196AAC" w:rsidRPr="00821566">
        <w:t>2012</w:t>
      </w:r>
      <w:r w:rsidR="00196AAC" w:rsidRPr="00D26AB8">
        <w:t>–</w:t>
      </w:r>
      <w:r w:rsidR="00196AAC" w:rsidRPr="00821566">
        <w:t>14</w:t>
      </w:r>
      <w:r>
        <w:t xml:space="preserve"> will be measured by the achievements made </w:t>
      </w:r>
      <w:r w:rsidR="00C61B22">
        <w:t>against</w:t>
      </w:r>
      <w:r>
        <w:t xml:space="preserve"> the</w:t>
      </w:r>
      <w:r w:rsidR="00040B20">
        <w:t>se</w:t>
      </w:r>
      <w:r>
        <w:t xml:space="preserve"> </w:t>
      </w:r>
      <w:r w:rsidR="0074490A">
        <w:t>four</w:t>
      </w:r>
      <w:r>
        <w:t xml:space="preserve"> objectives:</w:t>
      </w:r>
    </w:p>
    <w:p w14:paraId="155934C6" w14:textId="77777777" w:rsidR="00172ABC" w:rsidRPr="00172ABC" w:rsidRDefault="00172ABC" w:rsidP="00527F65">
      <w:pPr>
        <w:pStyle w:val="ListParagraph"/>
        <w:numPr>
          <w:ilvl w:val="0"/>
          <w:numId w:val="48"/>
        </w:numPr>
      </w:pPr>
      <w:r w:rsidRPr="00527F65">
        <w:rPr>
          <w:b/>
        </w:rPr>
        <w:t>Supporting reform and improved governance:</w:t>
      </w:r>
      <w:r w:rsidRPr="00172ABC">
        <w:t xml:space="preserve"> </w:t>
      </w:r>
      <w:r w:rsidR="00040B20">
        <w:t xml:space="preserve">The </w:t>
      </w:r>
      <w:r w:rsidRPr="00172ABC">
        <w:t xml:space="preserve">Myanmar Government’s ability to develop economic and social policy and deliver services will have improved. </w:t>
      </w:r>
      <w:r w:rsidR="00040B20">
        <w:t>The e</w:t>
      </w:r>
      <w:r w:rsidRPr="00172ABC">
        <w:t>vidence base required for good policy and programs will have improved. Activities to sustain the momentum of the Myanmar Government’s reform agenda will have been delivered.</w:t>
      </w:r>
    </w:p>
    <w:p w14:paraId="155934C7" w14:textId="77777777" w:rsidR="005E399D" w:rsidRPr="00172ABC" w:rsidRDefault="005F4504" w:rsidP="00527F65">
      <w:pPr>
        <w:pStyle w:val="ListParagraph"/>
        <w:numPr>
          <w:ilvl w:val="0"/>
          <w:numId w:val="48"/>
        </w:numPr>
      </w:pPr>
      <w:r w:rsidRPr="00527F65">
        <w:rPr>
          <w:b/>
        </w:rPr>
        <w:t xml:space="preserve">Improving the delivery of basic </w:t>
      </w:r>
      <w:r w:rsidR="00F771FD" w:rsidRPr="00527F65">
        <w:rPr>
          <w:b/>
        </w:rPr>
        <w:t xml:space="preserve">education and health </w:t>
      </w:r>
      <w:r w:rsidRPr="00527F65">
        <w:rPr>
          <w:b/>
        </w:rPr>
        <w:t>services to the poor</w:t>
      </w:r>
      <w:r w:rsidR="00205EF9" w:rsidRPr="00527F65">
        <w:rPr>
          <w:b/>
        </w:rPr>
        <w:t>:</w:t>
      </w:r>
      <w:r w:rsidR="005E399D" w:rsidRPr="00172ABC">
        <w:t xml:space="preserve"> </w:t>
      </w:r>
      <w:r w:rsidR="00040B20">
        <w:t>A</w:t>
      </w:r>
      <w:r w:rsidR="00205EF9" w:rsidRPr="00172ABC">
        <w:t xml:space="preserve">ccess </w:t>
      </w:r>
      <w:r w:rsidR="00C21535" w:rsidRPr="00172ABC">
        <w:t xml:space="preserve">to </w:t>
      </w:r>
      <w:r w:rsidR="00205EF9" w:rsidRPr="00172ABC">
        <w:t>early childhood education</w:t>
      </w:r>
      <w:r w:rsidR="00F85FD5" w:rsidRPr="00172ABC">
        <w:t>; distribution of essential learning kits</w:t>
      </w:r>
      <w:r w:rsidR="008E53CB" w:rsidRPr="00172ABC">
        <w:t>, including textbooks</w:t>
      </w:r>
      <w:r w:rsidR="00F85FD5" w:rsidRPr="00172ABC">
        <w:t>;</w:t>
      </w:r>
      <w:r w:rsidR="00205EF9" w:rsidRPr="00172ABC">
        <w:t xml:space="preserve"> </w:t>
      </w:r>
      <w:r w:rsidR="00F85FD5" w:rsidRPr="00172ABC">
        <w:t>school enrolment rate and retention rate to grade five; and number of teachers trained in child-centred learning techniques all will have increased. R</w:t>
      </w:r>
      <w:r w:rsidR="00205EF9" w:rsidRPr="00172ABC">
        <w:t>eading comprehension and numeracy rates</w:t>
      </w:r>
      <w:r w:rsidR="00F85FD5" w:rsidRPr="00172ABC">
        <w:t xml:space="preserve"> will have improved.</w:t>
      </w:r>
      <w:r w:rsidRPr="00172ABC">
        <w:t xml:space="preserve"> </w:t>
      </w:r>
      <w:r w:rsidR="00E94A63" w:rsidRPr="00172ABC">
        <w:t xml:space="preserve">Accessibility, availability and </w:t>
      </w:r>
      <w:r w:rsidR="00196AAC" w:rsidRPr="00172ABC">
        <w:t xml:space="preserve">use </w:t>
      </w:r>
      <w:r w:rsidR="00E94A63" w:rsidRPr="00172ABC">
        <w:t xml:space="preserve">of essential maternal and child health services will </w:t>
      </w:r>
      <w:r w:rsidR="00196AAC" w:rsidRPr="00172ABC">
        <w:t>have</w:t>
      </w:r>
      <w:r w:rsidR="00E94A63" w:rsidRPr="00172ABC">
        <w:t xml:space="preserve"> improved</w:t>
      </w:r>
      <w:r w:rsidR="00270313" w:rsidRPr="00172ABC">
        <w:t>. I</w:t>
      </w:r>
      <w:r w:rsidR="00E94A63" w:rsidRPr="00172ABC">
        <w:t>ncidence and prevalence levels and the burden of disease</w:t>
      </w:r>
      <w:r w:rsidR="00270313" w:rsidRPr="00172ABC">
        <w:t xml:space="preserve"> will have reduced</w:t>
      </w:r>
      <w:r w:rsidR="00E94A63" w:rsidRPr="00172ABC">
        <w:t xml:space="preserve">. </w:t>
      </w:r>
      <w:r w:rsidR="00270313" w:rsidRPr="00172ABC">
        <w:t>P</w:t>
      </w:r>
      <w:r w:rsidR="00E94A63" w:rsidRPr="00172ABC">
        <w:t>ublic capacity for health service delivery to the poorest and most vulnerable populations</w:t>
      </w:r>
      <w:r w:rsidR="00270313" w:rsidRPr="00172ABC">
        <w:t xml:space="preserve"> will have improved</w:t>
      </w:r>
      <w:r w:rsidR="00E94A63" w:rsidRPr="00172ABC">
        <w:t xml:space="preserve">. </w:t>
      </w:r>
    </w:p>
    <w:p w14:paraId="155934C8" w14:textId="77777777" w:rsidR="00172ABC" w:rsidRPr="00172ABC" w:rsidRDefault="00172ABC" w:rsidP="00527F65">
      <w:pPr>
        <w:pStyle w:val="ListParagraph"/>
        <w:numPr>
          <w:ilvl w:val="0"/>
          <w:numId w:val="48"/>
        </w:numPr>
      </w:pPr>
      <w:r w:rsidRPr="00527F65">
        <w:rPr>
          <w:b/>
        </w:rPr>
        <w:t>Addressing the needs of conflict and disaster-affected people:</w:t>
      </w:r>
      <w:r w:rsidRPr="00172ABC">
        <w:t xml:space="preserve"> Myanmar people affected by conflict and natural disasters or beyond the reach of government services will have received support.</w:t>
      </w:r>
    </w:p>
    <w:p w14:paraId="155934C9" w14:textId="77777777" w:rsidR="00993138" w:rsidRPr="00172ABC" w:rsidRDefault="005F4504" w:rsidP="00527F65">
      <w:pPr>
        <w:pStyle w:val="ListParagraph"/>
        <w:numPr>
          <w:ilvl w:val="0"/>
          <w:numId w:val="48"/>
        </w:numPr>
      </w:pPr>
      <w:r w:rsidRPr="00527F65">
        <w:rPr>
          <w:b/>
        </w:rPr>
        <w:t xml:space="preserve">Improving the livelihoods of the </w:t>
      </w:r>
      <w:r w:rsidR="00F771FD" w:rsidRPr="00527F65">
        <w:rPr>
          <w:b/>
        </w:rPr>
        <w:t xml:space="preserve">rural </w:t>
      </w:r>
      <w:r w:rsidRPr="00527F65">
        <w:rPr>
          <w:b/>
        </w:rPr>
        <w:t>poor</w:t>
      </w:r>
      <w:r w:rsidR="00F7349C" w:rsidRPr="00527F65">
        <w:rPr>
          <w:b/>
        </w:rPr>
        <w:t>:</w:t>
      </w:r>
      <w:r w:rsidR="00F7349C" w:rsidRPr="00172ABC">
        <w:t xml:space="preserve"> </w:t>
      </w:r>
      <w:r w:rsidR="00040B20">
        <w:t>A</w:t>
      </w:r>
      <w:r w:rsidR="00F7349C" w:rsidRPr="00172ABC">
        <w:t>ccess</w:t>
      </w:r>
      <w:r w:rsidR="005E399D" w:rsidRPr="00172ABC">
        <w:t xml:space="preserve"> </w:t>
      </w:r>
      <w:r w:rsidR="00F7349C" w:rsidRPr="00172ABC">
        <w:t xml:space="preserve">to capital and microfinance services </w:t>
      </w:r>
      <w:r w:rsidR="00B20711" w:rsidRPr="00172ABC">
        <w:t>to increase household</w:t>
      </w:r>
      <w:r w:rsidR="00F7349C" w:rsidRPr="00172ABC">
        <w:t xml:space="preserve"> income</w:t>
      </w:r>
      <w:r w:rsidR="00B20711" w:rsidRPr="00172ABC">
        <w:t>s</w:t>
      </w:r>
      <w:r w:rsidR="00F7349C" w:rsidRPr="00172ABC">
        <w:t xml:space="preserve"> will have improved. </w:t>
      </w:r>
      <w:r w:rsidR="00196AAC" w:rsidRPr="00172ABC">
        <w:t>C</w:t>
      </w:r>
      <w:r w:rsidR="00F7349C" w:rsidRPr="00172ABC">
        <w:t xml:space="preserve">apacity of community-based organisations to </w:t>
      </w:r>
      <w:r w:rsidR="00B20711" w:rsidRPr="00172ABC">
        <w:t xml:space="preserve">undertake activities </w:t>
      </w:r>
      <w:r w:rsidR="00237334" w:rsidRPr="00172ABC">
        <w:t xml:space="preserve">that </w:t>
      </w:r>
      <w:r w:rsidR="00B20711" w:rsidRPr="00172ABC">
        <w:t xml:space="preserve">increase food production </w:t>
      </w:r>
      <w:r w:rsidR="00F7349C" w:rsidRPr="00172ABC">
        <w:t>will have improved.</w:t>
      </w:r>
    </w:p>
    <w:p w14:paraId="155934CA" w14:textId="77777777" w:rsidR="00D81143" w:rsidRPr="00993138" w:rsidRDefault="006300CC" w:rsidP="00527F65">
      <w:r>
        <w:t>Meeting th</w:t>
      </w:r>
      <w:r w:rsidR="005F4504">
        <w:t>e f</w:t>
      </w:r>
      <w:r w:rsidR="009575E4">
        <w:t>irst</w:t>
      </w:r>
      <w:r>
        <w:t xml:space="preserve"> objective</w:t>
      </w:r>
      <w:r w:rsidR="005F4504">
        <w:t xml:space="preserve"> </w:t>
      </w:r>
      <w:r>
        <w:t xml:space="preserve">will depend on </w:t>
      </w:r>
      <w:r w:rsidR="005E399D">
        <w:t xml:space="preserve">the </w:t>
      </w:r>
      <w:r w:rsidR="00CB357D">
        <w:t>Myanmar</w:t>
      </w:r>
      <w:r w:rsidR="005E399D">
        <w:t xml:space="preserve"> Government maintain</w:t>
      </w:r>
      <w:r>
        <w:t>ing</w:t>
      </w:r>
      <w:r w:rsidR="005E399D">
        <w:t xml:space="preserve"> </w:t>
      </w:r>
      <w:r>
        <w:t xml:space="preserve">its </w:t>
      </w:r>
      <w:r w:rsidR="005E399D">
        <w:t xml:space="preserve">current </w:t>
      </w:r>
      <w:r>
        <w:t>reform path</w:t>
      </w:r>
      <w:r w:rsidR="005E399D">
        <w:t xml:space="preserve"> </w:t>
      </w:r>
      <w:r>
        <w:t>and good development practice and coordination by its partners.</w:t>
      </w:r>
      <w:r w:rsidR="00205EF9">
        <w:t xml:space="preserve"> Nonetheless, given reforms to date, Australia should aim </w:t>
      </w:r>
      <w:r w:rsidR="00F85FD5">
        <w:t xml:space="preserve">by the end of the strategy period </w:t>
      </w:r>
      <w:r w:rsidR="00205EF9">
        <w:t xml:space="preserve">to include </w:t>
      </w:r>
      <w:r w:rsidR="00807051">
        <w:t xml:space="preserve">official </w:t>
      </w:r>
      <w:r w:rsidR="00205EF9">
        <w:t xml:space="preserve">representation in the </w:t>
      </w:r>
      <w:r w:rsidR="00C61B22">
        <w:t>governance</w:t>
      </w:r>
      <w:r w:rsidR="00205EF9">
        <w:t xml:space="preserve"> of our programs and </w:t>
      </w:r>
      <w:r w:rsidR="00F85FD5">
        <w:t>have</w:t>
      </w:r>
      <w:r w:rsidR="00205EF9">
        <w:t xml:space="preserve"> ongoing high-level policy dialogue with govern</w:t>
      </w:r>
      <w:r w:rsidR="00F85FD5">
        <w:t>ment agencies</w:t>
      </w:r>
      <w:r w:rsidR="00205EF9">
        <w:t>.</w:t>
      </w:r>
    </w:p>
    <w:p w14:paraId="155934CB" w14:textId="77777777" w:rsidR="00993138" w:rsidRDefault="00D81143" w:rsidP="00527F65">
      <w:pPr>
        <w:pStyle w:val="Heading2"/>
      </w:pPr>
      <w:bookmarkStart w:id="21" w:name="_Toc347220233"/>
      <w:r>
        <w:t xml:space="preserve">Performance </w:t>
      </w:r>
      <w:r w:rsidR="00BF5907">
        <w:t>a</w:t>
      </w:r>
      <w:r>
        <w:t xml:space="preserve">ssessment </w:t>
      </w:r>
      <w:r w:rsidR="00BF5907">
        <w:t>f</w:t>
      </w:r>
      <w:r>
        <w:t>ramework</w:t>
      </w:r>
      <w:bookmarkEnd w:id="21"/>
    </w:p>
    <w:p w14:paraId="155934CC" w14:textId="77777777" w:rsidR="002B7EA6" w:rsidRPr="00B93294" w:rsidRDefault="00237334" w:rsidP="00527F65">
      <w:r>
        <w:t>The Memorandum</w:t>
      </w:r>
      <w:r w:rsidR="00807051">
        <w:t xml:space="preserve"> of Understanding</w:t>
      </w:r>
      <w:r>
        <w:t xml:space="preserve"> on Development Cooperation between the </w:t>
      </w:r>
      <w:r w:rsidR="00EB13D2">
        <w:t>g</w:t>
      </w:r>
      <w:r>
        <w:t xml:space="preserve">overnments of Australia and </w:t>
      </w:r>
      <w:r w:rsidR="00CB357D">
        <w:t>Myanmar</w:t>
      </w:r>
      <w:r>
        <w:t xml:space="preserve"> commit</w:t>
      </w:r>
      <w:r w:rsidR="00197D1D">
        <w:t>s</w:t>
      </w:r>
      <w:r>
        <w:t xml:space="preserve"> both </w:t>
      </w:r>
      <w:r w:rsidR="000A7929">
        <w:t xml:space="preserve">countries to regular consultations to consider the effectiveness and impact of development assistance. </w:t>
      </w:r>
      <w:r w:rsidR="002B7EA6" w:rsidRPr="00B93294">
        <w:t xml:space="preserve">The following abridged </w:t>
      </w:r>
      <w:r w:rsidR="002B7EA6">
        <w:t>performance assessment f</w:t>
      </w:r>
      <w:r w:rsidR="002B7EA6" w:rsidRPr="00B93294">
        <w:t xml:space="preserve">ramework provides </w:t>
      </w:r>
      <w:r w:rsidR="00342AF8">
        <w:t>the objectives and associated</w:t>
      </w:r>
      <w:r w:rsidR="002B7EA6" w:rsidRPr="00B93294">
        <w:t xml:space="preserve"> key indicators</w:t>
      </w:r>
      <w:r w:rsidR="002B7EA6">
        <w:t>,</w:t>
      </w:r>
      <w:r w:rsidR="002B7EA6" w:rsidRPr="00B93294">
        <w:t xml:space="preserve"> including the </w:t>
      </w:r>
      <w:r w:rsidR="002B7EA6" w:rsidRPr="00A60D31">
        <w:t>Comprehensive Aid Program Framework</w:t>
      </w:r>
      <w:r w:rsidR="002B7EA6">
        <w:t xml:space="preserve"> i</w:t>
      </w:r>
      <w:r w:rsidR="002B7EA6" w:rsidRPr="00B93294">
        <w:t>ndicators</w:t>
      </w:r>
      <w:r w:rsidR="002B7EA6">
        <w:t>,</w:t>
      </w:r>
      <w:r w:rsidR="002B7EA6" w:rsidRPr="00B93294">
        <w:t xml:space="preserve"> which the </w:t>
      </w:r>
      <w:r w:rsidR="002B7EA6">
        <w:t xml:space="preserve">Myanmar </w:t>
      </w:r>
      <w:r w:rsidR="00A60D31">
        <w:t>P</w:t>
      </w:r>
      <w:r w:rsidR="002B7EA6" w:rsidRPr="00B93294">
        <w:t>rogram will report against.</w:t>
      </w:r>
      <w:r w:rsidR="002B7EA6">
        <w:t xml:space="preserve"> Sources for data on the targets will include multilateral </w:t>
      </w:r>
      <w:r w:rsidR="00EB13D2">
        <w:t>organisations</w:t>
      </w:r>
      <w:r w:rsidR="002B7EA6">
        <w:t xml:space="preserve">, development partners and </w:t>
      </w:r>
      <w:r w:rsidR="00DA176A">
        <w:t>Myanmar Government</w:t>
      </w:r>
      <w:r w:rsidR="002B7EA6">
        <w:t xml:space="preserve"> statistics</w:t>
      </w:r>
      <w:r w:rsidR="00EB13D2">
        <w:t>,</w:t>
      </w:r>
      <w:r w:rsidR="002B7EA6">
        <w:t xml:space="preserve"> as appropriate.</w:t>
      </w:r>
    </w:p>
    <w:p w14:paraId="155934CD" w14:textId="77777777" w:rsidR="002B7EA6" w:rsidRDefault="002B7EA6" w:rsidP="00527F65">
      <w:r>
        <w:t xml:space="preserve">The results of </w:t>
      </w:r>
      <w:r w:rsidRPr="00615225">
        <w:t>Australia</w:t>
      </w:r>
      <w:r>
        <w:t xml:space="preserve">’s </w:t>
      </w:r>
      <w:r w:rsidRPr="00615225">
        <w:t xml:space="preserve">aid program </w:t>
      </w:r>
      <w:r>
        <w:t xml:space="preserve">in Myanmar will be reviewed and </w:t>
      </w:r>
      <w:r w:rsidRPr="00615225">
        <w:t xml:space="preserve">reported </w:t>
      </w:r>
      <w:r>
        <w:t>on in</w:t>
      </w:r>
      <w:r w:rsidRPr="00615225">
        <w:t xml:space="preserve"> an </w:t>
      </w:r>
      <w:r w:rsidR="00E80898">
        <w:t>A</w:t>
      </w:r>
      <w:r w:rsidRPr="00615225">
        <w:t xml:space="preserve">nnual </w:t>
      </w:r>
      <w:r w:rsidR="00E80898">
        <w:t>P</w:t>
      </w:r>
      <w:r w:rsidRPr="00615225">
        <w:t xml:space="preserve">rogram </w:t>
      </w:r>
      <w:r w:rsidR="00E80898">
        <w:t>P</w:t>
      </w:r>
      <w:r w:rsidRPr="00615225">
        <w:t xml:space="preserve">erformance </w:t>
      </w:r>
      <w:r w:rsidR="00E80898">
        <w:t>R</w:t>
      </w:r>
      <w:r w:rsidR="00CC7D9E">
        <w:t>e</w:t>
      </w:r>
      <w:r w:rsidR="00E80898">
        <w:t>view</w:t>
      </w:r>
      <w:r>
        <w:t xml:space="preserve">. </w:t>
      </w:r>
      <w:r w:rsidRPr="00615225">
        <w:t>Th</w:t>
      </w:r>
      <w:r w:rsidR="00040B20">
        <w:t>e resulting</w:t>
      </w:r>
      <w:r w:rsidRPr="00615225">
        <w:t xml:space="preserve"> report will be drafted by Australia with </w:t>
      </w:r>
      <w:r>
        <w:t xml:space="preserve">input from development partners and made available on AusAID’s website.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552"/>
      </w:tblGrid>
      <w:tr w:rsidR="00172ABC" w:rsidRPr="002838EE" w14:paraId="155934CF" w14:textId="77777777" w:rsidTr="00DE6FD7">
        <w:trPr>
          <w:trHeight w:val="586"/>
        </w:trPr>
        <w:tc>
          <w:tcPr>
            <w:tcW w:w="8897" w:type="dxa"/>
            <w:gridSpan w:val="2"/>
            <w:shd w:val="clear" w:color="auto" w:fill="BFBFBF"/>
            <w:vAlign w:val="center"/>
          </w:tcPr>
          <w:p w14:paraId="155934CE" w14:textId="77777777" w:rsidR="00172ABC" w:rsidRPr="00527F65" w:rsidRDefault="00172ABC" w:rsidP="00527F65">
            <w:pPr>
              <w:spacing w:before="0" w:after="0" w:line="240" w:lineRule="auto"/>
              <w:rPr>
                <w:rFonts w:cs="Arial"/>
                <w:b/>
              </w:rPr>
            </w:pPr>
            <w:r w:rsidRPr="00527F65">
              <w:rPr>
                <w:rFonts w:cs="Arial"/>
                <w:b/>
              </w:rPr>
              <w:lastRenderedPageBreak/>
              <w:t>Objective: Supporting reform and improved governance</w:t>
            </w:r>
          </w:p>
        </w:tc>
      </w:tr>
      <w:tr w:rsidR="00172ABC" w:rsidRPr="002838EE" w14:paraId="155934D2" w14:textId="77777777" w:rsidTr="00DE6FD7">
        <w:trPr>
          <w:trHeight w:val="266"/>
        </w:trPr>
        <w:tc>
          <w:tcPr>
            <w:tcW w:w="6345" w:type="dxa"/>
            <w:shd w:val="clear" w:color="auto" w:fill="BFBFBF"/>
          </w:tcPr>
          <w:p w14:paraId="155934D0" w14:textId="77777777" w:rsidR="00172ABC" w:rsidRPr="00527F65" w:rsidRDefault="00172ABC" w:rsidP="00527F65">
            <w:pPr>
              <w:spacing w:before="0" w:after="0" w:line="240" w:lineRule="auto"/>
              <w:rPr>
                <w:rFonts w:cs="Arial"/>
                <w:b/>
              </w:rPr>
            </w:pPr>
            <w:r w:rsidRPr="00527F65">
              <w:rPr>
                <w:rFonts w:cs="Arial"/>
                <w:b/>
              </w:rPr>
              <w:t>Indicator</w:t>
            </w:r>
          </w:p>
        </w:tc>
        <w:tc>
          <w:tcPr>
            <w:tcW w:w="2552" w:type="dxa"/>
            <w:shd w:val="clear" w:color="auto" w:fill="BFBFBF"/>
          </w:tcPr>
          <w:p w14:paraId="155934D1" w14:textId="77777777" w:rsidR="00172ABC" w:rsidRPr="00527F65" w:rsidRDefault="00172ABC" w:rsidP="00527F65">
            <w:pPr>
              <w:spacing w:before="0" w:after="0" w:line="240" w:lineRule="auto"/>
              <w:rPr>
                <w:rFonts w:cs="Arial"/>
                <w:b/>
              </w:rPr>
            </w:pPr>
            <w:r w:rsidRPr="00527F65">
              <w:rPr>
                <w:rFonts w:cs="Arial"/>
                <w:b/>
              </w:rPr>
              <w:t>Target by 2014</w:t>
            </w:r>
          </w:p>
        </w:tc>
      </w:tr>
      <w:tr w:rsidR="00172ABC" w:rsidRPr="002838EE" w14:paraId="155934D5" w14:textId="77777777" w:rsidTr="00DE6FD7">
        <w:tc>
          <w:tcPr>
            <w:tcW w:w="6345" w:type="dxa"/>
            <w:shd w:val="clear" w:color="auto" w:fill="D9D9D9" w:themeFill="background1" w:themeFillShade="D9"/>
          </w:tcPr>
          <w:p w14:paraId="155934D3" w14:textId="77777777" w:rsidR="00172ABC" w:rsidRPr="00527F65" w:rsidRDefault="00172ABC" w:rsidP="00527F65">
            <w:pPr>
              <w:spacing w:before="0" w:after="0" w:line="240" w:lineRule="auto"/>
              <w:rPr>
                <w:rFonts w:cs="Arial"/>
              </w:rPr>
            </w:pPr>
            <w:r w:rsidRPr="00527F65">
              <w:rPr>
                <w:rFonts w:cs="Arial"/>
              </w:rPr>
              <w:t>Australia – Myanmar Memorandum of Understanding on Development Cooperation signed</w:t>
            </w:r>
          </w:p>
        </w:tc>
        <w:tc>
          <w:tcPr>
            <w:tcW w:w="2552" w:type="dxa"/>
            <w:shd w:val="clear" w:color="auto" w:fill="D9D9D9" w:themeFill="background1" w:themeFillShade="D9"/>
          </w:tcPr>
          <w:p w14:paraId="155934D4" w14:textId="77777777" w:rsidR="00172ABC" w:rsidRPr="00527F65" w:rsidRDefault="00172ABC" w:rsidP="00527F65">
            <w:pPr>
              <w:spacing w:before="0" w:after="0" w:line="240" w:lineRule="auto"/>
              <w:rPr>
                <w:rFonts w:cs="Arial"/>
              </w:rPr>
            </w:pPr>
            <w:r w:rsidRPr="00527F65">
              <w:rPr>
                <w:rFonts w:cs="Arial"/>
              </w:rPr>
              <w:t>Established by mid-2013</w:t>
            </w:r>
          </w:p>
        </w:tc>
      </w:tr>
      <w:tr w:rsidR="00172ABC" w:rsidRPr="002838EE" w14:paraId="155934D9" w14:textId="77777777" w:rsidTr="00DE6FD7">
        <w:tc>
          <w:tcPr>
            <w:tcW w:w="6345" w:type="dxa"/>
            <w:shd w:val="clear" w:color="auto" w:fill="auto"/>
          </w:tcPr>
          <w:p w14:paraId="155934D6" w14:textId="77777777" w:rsidR="00172ABC" w:rsidRPr="00527F65" w:rsidRDefault="00172ABC" w:rsidP="00527F65">
            <w:pPr>
              <w:spacing w:before="0" w:after="0" w:line="240" w:lineRule="auto"/>
              <w:rPr>
                <w:rFonts w:cs="Arial"/>
              </w:rPr>
            </w:pPr>
            <w:r w:rsidRPr="00527F65">
              <w:rPr>
                <w:rFonts w:cs="Arial"/>
              </w:rPr>
              <w:t>Australia and Myanmar senior officials discuss development planning</w:t>
            </w:r>
          </w:p>
          <w:p w14:paraId="155934D7" w14:textId="77777777" w:rsidR="00172ABC" w:rsidRPr="00527F65" w:rsidRDefault="00172ABC" w:rsidP="00527F65">
            <w:pPr>
              <w:spacing w:before="0" w:after="0" w:line="240" w:lineRule="auto"/>
              <w:rPr>
                <w:rFonts w:cs="Arial"/>
              </w:rPr>
            </w:pPr>
          </w:p>
        </w:tc>
        <w:tc>
          <w:tcPr>
            <w:tcW w:w="2552" w:type="dxa"/>
            <w:shd w:val="clear" w:color="auto" w:fill="auto"/>
          </w:tcPr>
          <w:p w14:paraId="155934D8" w14:textId="77777777" w:rsidR="00172ABC" w:rsidRPr="00527F65" w:rsidRDefault="00172ABC" w:rsidP="00527F65">
            <w:pPr>
              <w:spacing w:before="0" w:after="0" w:line="240" w:lineRule="auto"/>
              <w:rPr>
                <w:rFonts w:cs="Arial"/>
              </w:rPr>
            </w:pPr>
            <w:r w:rsidRPr="00527F65">
              <w:rPr>
                <w:rFonts w:cs="Arial"/>
              </w:rPr>
              <w:t>Established in 2013</w:t>
            </w:r>
          </w:p>
        </w:tc>
      </w:tr>
      <w:tr w:rsidR="00172ABC" w:rsidRPr="002838EE" w14:paraId="155934DD" w14:textId="77777777" w:rsidTr="00DE6FD7">
        <w:trPr>
          <w:trHeight w:val="628"/>
        </w:trPr>
        <w:tc>
          <w:tcPr>
            <w:tcW w:w="6345" w:type="dxa"/>
            <w:shd w:val="clear" w:color="auto" w:fill="D9D9D9"/>
          </w:tcPr>
          <w:p w14:paraId="155934DA" w14:textId="77777777" w:rsidR="00172ABC" w:rsidRPr="00527F65" w:rsidRDefault="00172ABC" w:rsidP="00527F65">
            <w:pPr>
              <w:spacing w:before="0" w:after="0" w:line="240" w:lineRule="auto"/>
              <w:rPr>
                <w:rFonts w:cs="Arial"/>
              </w:rPr>
            </w:pPr>
            <w:r w:rsidRPr="00527F65">
              <w:rPr>
                <w:rFonts w:cs="Arial"/>
              </w:rPr>
              <w:t xml:space="preserve">Number of Australian funded initiatives &gt;$3 million per year in value with Myanmar representation in the governance arrangements </w:t>
            </w:r>
          </w:p>
        </w:tc>
        <w:tc>
          <w:tcPr>
            <w:tcW w:w="2552" w:type="dxa"/>
            <w:shd w:val="clear" w:color="auto" w:fill="D9D9D9"/>
          </w:tcPr>
          <w:p w14:paraId="155934DB" w14:textId="77777777" w:rsidR="00172ABC" w:rsidRPr="00527F65" w:rsidRDefault="00172ABC" w:rsidP="00527F65">
            <w:pPr>
              <w:spacing w:before="0" w:after="0" w:line="240" w:lineRule="auto"/>
              <w:rPr>
                <w:rFonts w:cs="Arial"/>
              </w:rPr>
            </w:pPr>
            <w:r w:rsidRPr="00527F65">
              <w:rPr>
                <w:rFonts w:cs="Arial"/>
              </w:rPr>
              <w:t>100%</w:t>
            </w:r>
          </w:p>
          <w:p w14:paraId="155934DC" w14:textId="77777777" w:rsidR="00172ABC" w:rsidRPr="00527F65" w:rsidRDefault="00172ABC" w:rsidP="00527F65">
            <w:pPr>
              <w:spacing w:before="0" w:after="0" w:line="240" w:lineRule="auto"/>
              <w:rPr>
                <w:rFonts w:cs="Arial"/>
              </w:rPr>
            </w:pPr>
          </w:p>
        </w:tc>
      </w:tr>
      <w:tr w:rsidR="00172ABC" w:rsidRPr="002838EE" w14:paraId="155934E1" w14:textId="77777777" w:rsidTr="00DE6FD7">
        <w:tc>
          <w:tcPr>
            <w:tcW w:w="6345" w:type="dxa"/>
            <w:shd w:val="clear" w:color="auto" w:fill="auto"/>
          </w:tcPr>
          <w:p w14:paraId="155934DE" w14:textId="77777777" w:rsidR="00172ABC" w:rsidRPr="00527F65" w:rsidRDefault="00172ABC" w:rsidP="00527F65">
            <w:pPr>
              <w:spacing w:before="0" w:after="0" w:line="240" w:lineRule="auto"/>
              <w:rPr>
                <w:rFonts w:cs="Arial"/>
              </w:rPr>
            </w:pPr>
            <w:r w:rsidRPr="00527F65">
              <w:rPr>
                <w:rFonts w:cs="Arial"/>
              </w:rPr>
              <w:t>Number of activities delivered in response to request for support for  Myanmar’s reform agenda</w:t>
            </w:r>
          </w:p>
          <w:p w14:paraId="155934DF" w14:textId="77777777" w:rsidR="00172ABC" w:rsidRPr="00527F65" w:rsidRDefault="00172ABC" w:rsidP="00527F65">
            <w:pPr>
              <w:spacing w:before="0" w:after="0" w:line="240" w:lineRule="auto"/>
              <w:rPr>
                <w:rFonts w:cs="Arial"/>
              </w:rPr>
            </w:pPr>
          </w:p>
        </w:tc>
        <w:tc>
          <w:tcPr>
            <w:tcW w:w="2552" w:type="dxa"/>
            <w:shd w:val="clear" w:color="auto" w:fill="auto"/>
          </w:tcPr>
          <w:p w14:paraId="155934E0" w14:textId="77777777" w:rsidR="00172ABC" w:rsidRPr="00527F65" w:rsidRDefault="00172ABC" w:rsidP="00527F65">
            <w:pPr>
              <w:spacing w:before="0" w:after="0" w:line="240" w:lineRule="auto"/>
              <w:rPr>
                <w:rFonts w:cs="Arial"/>
              </w:rPr>
            </w:pPr>
            <w:r w:rsidRPr="00527F65">
              <w:rPr>
                <w:rFonts w:cs="Arial"/>
              </w:rPr>
              <w:t>50%</w:t>
            </w:r>
          </w:p>
        </w:tc>
      </w:tr>
    </w:tbl>
    <w:p w14:paraId="155934E2" w14:textId="77777777" w:rsidR="00172ABC" w:rsidRPr="00EF7D8E" w:rsidRDefault="00172ABC" w:rsidP="00527F65">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552"/>
      </w:tblGrid>
      <w:tr w:rsidR="002B7EA6" w:rsidRPr="002838EE" w14:paraId="155934E4" w14:textId="77777777" w:rsidTr="001556D6">
        <w:trPr>
          <w:trHeight w:val="439"/>
        </w:trPr>
        <w:tc>
          <w:tcPr>
            <w:tcW w:w="8897" w:type="dxa"/>
            <w:gridSpan w:val="2"/>
            <w:shd w:val="clear" w:color="auto" w:fill="BFBFBF"/>
            <w:vAlign w:val="center"/>
          </w:tcPr>
          <w:p w14:paraId="155934E3" w14:textId="77777777" w:rsidR="002B7EA6" w:rsidRPr="00527F65" w:rsidRDefault="00911121" w:rsidP="00527F65">
            <w:pPr>
              <w:spacing w:before="0" w:after="0" w:line="240" w:lineRule="auto"/>
              <w:rPr>
                <w:rFonts w:cs="Arial"/>
                <w:b/>
              </w:rPr>
            </w:pPr>
            <w:r w:rsidRPr="00527F65">
              <w:rPr>
                <w:rFonts w:cs="Arial"/>
                <w:b/>
              </w:rPr>
              <w:t>O</w:t>
            </w:r>
            <w:r w:rsidR="002B7EA6" w:rsidRPr="00527F65">
              <w:rPr>
                <w:rFonts w:cs="Arial"/>
                <w:b/>
              </w:rPr>
              <w:t xml:space="preserve">bjective: </w:t>
            </w:r>
            <w:r w:rsidR="001556D6" w:rsidRPr="00527F65">
              <w:rPr>
                <w:rFonts w:cs="Arial"/>
                <w:b/>
              </w:rPr>
              <w:t xml:space="preserve">Improving the delivery of basic </w:t>
            </w:r>
            <w:r w:rsidR="00F771FD" w:rsidRPr="00527F65">
              <w:rPr>
                <w:rFonts w:cs="Arial"/>
                <w:b/>
              </w:rPr>
              <w:t xml:space="preserve">education and health </w:t>
            </w:r>
            <w:r w:rsidR="001556D6" w:rsidRPr="00527F65">
              <w:rPr>
                <w:rFonts w:cs="Arial"/>
                <w:b/>
              </w:rPr>
              <w:t>services to the poor</w:t>
            </w:r>
          </w:p>
        </w:tc>
      </w:tr>
      <w:tr w:rsidR="002B7EA6" w:rsidRPr="002838EE" w14:paraId="155934E6" w14:textId="77777777" w:rsidTr="001556D6">
        <w:trPr>
          <w:trHeight w:val="417"/>
        </w:trPr>
        <w:tc>
          <w:tcPr>
            <w:tcW w:w="8897" w:type="dxa"/>
            <w:gridSpan w:val="2"/>
            <w:shd w:val="clear" w:color="auto" w:fill="BFBFBF"/>
            <w:vAlign w:val="center"/>
          </w:tcPr>
          <w:p w14:paraId="155934E5" w14:textId="77777777" w:rsidR="002B7EA6" w:rsidRPr="00527F65" w:rsidRDefault="002B7EA6" w:rsidP="00527F65">
            <w:pPr>
              <w:spacing w:before="0" w:after="0" w:line="240" w:lineRule="auto"/>
              <w:rPr>
                <w:rFonts w:cs="Arial"/>
                <w:b/>
                <w:i/>
              </w:rPr>
            </w:pPr>
            <w:r w:rsidRPr="00527F65">
              <w:rPr>
                <w:rFonts w:cs="Arial"/>
                <w:b/>
                <w:i/>
              </w:rPr>
              <w:t xml:space="preserve">Improved </w:t>
            </w:r>
            <w:r w:rsidR="00911121" w:rsidRPr="00527F65">
              <w:rPr>
                <w:rFonts w:cs="Arial"/>
                <w:b/>
                <w:i/>
              </w:rPr>
              <w:t xml:space="preserve">basic </w:t>
            </w:r>
            <w:r w:rsidRPr="00527F65">
              <w:rPr>
                <w:rFonts w:cs="Arial"/>
                <w:b/>
                <w:i/>
              </w:rPr>
              <w:t>education</w:t>
            </w:r>
          </w:p>
        </w:tc>
      </w:tr>
      <w:tr w:rsidR="002B7EA6" w:rsidRPr="002838EE" w14:paraId="155934E9" w14:textId="77777777" w:rsidTr="00135200">
        <w:trPr>
          <w:trHeight w:val="266"/>
        </w:trPr>
        <w:tc>
          <w:tcPr>
            <w:tcW w:w="6345" w:type="dxa"/>
            <w:shd w:val="clear" w:color="auto" w:fill="BFBFBF"/>
          </w:tcPr>
          <w:p w14:paraId="155934E7" w14:textId="77777777" w:rsidR="002B7EA6" w:rsidRPr="00527F65" w:rsidRDefault="002B7EA6" w:rsidP="00527F65">
            <w:pPr>
              <w:spacing w:before="0" w:after="0" w:line="240" w:lineRule="auto"/>
              <w:rPr>
                <w:rFonts w:cs="Arial"/>
                <w:b/>
              </w:rPr>
            </w:pPr>
            <w:r w:rsidRPr="00527F65">
              <w:rPr>
                <w:rFonts w:cs="Arial"/>
                <w:b/>
              </w:rPr>
              <w:t>Indicator</w:t>
            </w:r>
          </w:p>
        </w:tc>
        <w:tc>
          <w:tcPr>
            <w:tcW w:w="2552" w:type="dxa"/>
            <w:shd w:val="clear" w:color="auto" w:fill="BFBFBF"/>
          </w:tcPr>
          <w:p w14:paraId="155934E8" w14:textId="77777777" w:rsidR="002B7EA6" w:rsidRPr="00527F65" w:rsidRDefault="002B7EA6" w:rsidP="00527F65">
            <w:pPr>
              <w:spacing w:before="0" w:after="0" w:line="240" w:lineRule="auto"/>
              <w:rPr>
                <w:rFonts w:cs="Arial"/>
                <w:b/>
              </w:rPr>
            </w:pPr>
            <w:r w:rsidRPr="00527F65">
              <w:rPr>
                <w:rFonts w:cs="Arial"/>
                <w:b/>
              </w:rPr>
              <w:t>Target by 201</w:t>
            </w:r>
            <w:r w:rsidR="00911121" w:rsidRPr="00527F65">
              <w:rPr>
                <w:rFonts w:cs="Arial"/>
                <w:b/>
              </w:rPr>
              <w:t>4</w:t>
            </w:r>
          </w:p>
        </w:tc>
      </w:tr>
      <w:tr w:rsidR="002B7EA6" w:rsidRPr="002838EE" w14:paraId="155934ED" w14:textId="77777777" w:rsidTr="00135200">
        <w:tc>
          <w:tcPr>
            <w:tcW w:w="6345" w:type="dxa"/>
            <w:shd w:val="clear" w:color="auto" w:fill="auto"/>
          </w:tcPr>
          <w:p w14:paraId="155934EA" w14:textId="77777777" w:rsidR="002B7EA6" w:rsidRPr="00527F65" w:rsidRDefault="00AD6A90" w:rsidP="00527F65">
            <w:pPr>
              <w:spacing w:before="0" w:after="0" w:line="240" w:lineRule="auto"/>
              <w:rPr>
                <w:rFonts w:cs="Arial"/>
              </w:rPr>
            </w:pPr>
            <w:r w:rsidRPr="00527F65">
              <w:rPr>
                <w:rFonts w:cs="Arial"/>
              </w:rPr>
              <w:t>Additional n</w:t>
            </w:r>
            <w:r w:rsidR="002B7EA6" w:rsidRPr="00527F65">
              <w:rPr>
                <w:rFonts w:cs="Arial"/>
              </w:rPr>
              <w:t xml:space="preserve">umber of children </w:t>
            </w:r>
            <w:r w:rsidRPr="00527F65">
              <w:rPr>
                <w:rFonts w:cs="Arial"/>
              </w:rPr>
              <w:t>receiving early childhood education</w:t>
            </w:r>
            <w:r w:rsidR="002C3AC4" w:rsidRPr="00527F65">
              <w:rPr>
                <w:rFonts w:cs="Arial"/>
              </w:rPr>
              <w:t>*</w:t>
            </w:r>
          </w:p>
          <w:p w14:paraId="155934EB" w14:textId="77777777" w:rsidR="00AD6A90" w:rsidRPr="00527F65" w:rsidRDefault="00AD6A90" w:rsidP="00527F65">
            <w:pPr>
              <w:spacing w:before="0" w:after="0" w:line="240" w:lineRule="auto"/>
              <w:rPr>
                <w:rFonts w:cs="Arial"/>
              </w:rPr>
            </w:pPr>
          </w:p>
        </w:tc>
        <w:tc>
          <w:tcPr>
            <w:tcW w:w="2552" w:type="dxa"/>
            <w:shd w:val="clear" w:color="auto" w:fill="auto"/>
          </w:tcPr>
          <w:p w14:paraId="155934EC" w14:textId="77777777" w:rsidR="002B7EA6" w:rsidRPr="00527F65" w:rsidRDefault="00AD6A90" w:rsidP="00527F65">
            <w:pPr>
              <w:spacing w:before="0" w:after="0" w:line="240" w:lineRule="auto"/>
              <w:rPr>
                <w:rFonts w:cs="Arial"/>
              </w:rPr>
            </w:pPr>
            <w:r w:rsidRPr="00527F65">
              <w:rPr>
                <w:rFonts w:cs="Arial"/>
              </w:rPr>
              <w:t>172</w:t>
            </w:r>
            <w:r w:rsidR="00D26AB8" w:rsidRPr="00527F65">
              <w:rPr>
                <w:rFonts w:cs="Arial"/>
              </w:rPr>
              <w:t xml:space="preserve"> </w:t>
            </w:r>
            <w:r w:rsidRPr="00527F65">
              <w:rPr>
                <w:rFonts w:cs="Arial"/>
              </w:rPr>
              <w:t>000</w:t>
            </w:r>
          </w:p>
        </w:tc>
      </w:tr>
      <w:tr w:rsidR="002B7EA6" w:rsidRPr="002838EE" w14:paraId="155934F1" w14:textId="77777777" w:rsidTr="00135200">
        <w:tc>
          <w:tcPr>
            <w:tcW w:w="6345" w:type="dxa"/>
            <w:shd w:val="clear" w:color="auto" w:fill="D9D9D9"/>
          </w:tcPr>
          <w:p w14:paraId="155934EE" w14:textId="77777777" w:rsidR="002B7EA6" w:rsidRPr="00527F65" w:rsidRDefault="00AD6A90" w:rsidP="00527F65">
            <w:pPr>
              <w:spacing w:before="0" w:after="0" w:line="240" w:lineRule="auto"/>
              <w:rPr>
                <w:rFonts w:cs="Arial"/>
              </w:rPr>
            </w:pPr>
            <w:r w:rsidRPr="00527F65">
              <w:rPr>
                <w:rFonts w:cs="Arial"/>
              </w:rPr>
              <w:t>Additional n</w:t>
            </w:r>
            <w:r w:rsidR="002B7EA6" w:rsidRPr="00527F65">
              <w:rPr>
                <w:rFonts w:cs="Arial"/>
              </w:rPr>
              <w:t xml:space="preserve">umber of </w:t>
            </w:r>
            <w:r w:rsidRPr="00527F65">
              <w:rPr>
                <w:rFonts w:cs="Arial"/>
              </w:rPr>
              <w:t>teachers trained in child-centred learning techniques</w:t>
            </w:r>
            <w:r w:rsidR="002C3AC4" w:rsidRPr="00527F65">
              <w:rPr>
                <w:rFonts w:cs="Arial"/>
              </w:rPr>
              <w:t>*</w:t>
            </w:r>
          </w:p>
          <w:p w14:paraId="155934EF" w14:textId="77777777" w:rsidR="002B7EA6" w:rsidRPr="00527F65" w:rsidRDefault="002B7EA6" w:rsidP="00527F65">
            <w:pPr>
              <w:spacing w:before="0" w:after="0" w:line="240" w:lineRule="auto"/>
              <w:rPr>
                <w:rFonts w:cs="Arial"/>
              </w:rPr>
            </w:pPr>
          </w:p>
        </w:tc>
        <w:tc>
          <w:tcPr>
            <w:tcW w:w="2552" w:type="dxa"/>
            <w:shd w:val="clear" w:color="auto" w:fill="D9D9D9"/>
          </w:tcPr>
          <w:p w14:paraId="155934F0" w14:textId="77777777" w:rsidR="002B7EA6" w:rsidRPr="00527F65" w:rsidRDefault="00AD6A90" w:rsidP="00527F65">
            <w:pPr>
              <w:spacing w:before="0" w:after="0" w:line="240" w:lineRule="auto"/>
              <w:rPr>
                <w:rFonts w:cs="Arial"/>
              </w:rPr>
            </w:pPr>
            <w:r w:rsidRPr="00527F65">
              <w:rPr>
                <w:rFonts w:cs="Arial"/>
              </w:rPr>
              <w:t>19</w:t>
            </w:r>
            <w:r w:rsidR="00D26AB8" w:rsidRPr="00527F65">
              <w:rPr>
                <w:rFonts w:cs="Arial"/>
              </w:rPr>
              <w:t xml:space="preserve"> </w:t>
            </w:r>
            <w:r w:rsidRPr="00527F65">
              <w:rPr>
                <w:rFonts w:cs="Arial"/>
              </w:rPr>
              <w:t>500</w:t>
            </w:r>
          </w:p>
        </w:tc>
      </w:tr>
      <w:tr w:rsidR="002B7EA6" w:rsidRPr="002838EE" w14:paraId="155934F6" w14:textId="77777777" w:rsidTr="00527F65">
        <w:trPr>
          <w:trHeight w:val="60"/>
        </w:trPr>
        <w:tc>
          <w:tcPr>
            <w:tcW w:w="6345" w:type="dxa"/>
            <w:shd w:val="clear" w:color="auto" w:fill="auto"/>
          </w:tcPr>
          <w:p w14:paraId="155934F2" w14:textId="77777777" w:rsidR="002B7EA6" w:rsidRPr="00527F65" w:rsidRDefault="00AD6A90" w:rsidP="00527F65">
            <w:pPr>
              <w:spacing w:before="0" w:after="0" w:line="240" w:lineRule="auto"/>
              <w:rPr>
                <w:rFonts w:cs="Arial"/>
              </w:rPr>
            </w:pPr>
            <w:r w:rsidRPr="00527F65">
              <w:rPr>
                <w:rFonts w:cs="Arial"/>
              </w:rPr>
              <w:t>Additional n</w:t>
            </w:r>
            <w:r w:rsidR="002B7EA6" w:rsidRPr="00527F65">
              <w:rPr>
                <w:rFonts w:cs="Arial"/>
              </w:rPr>
              <w:t xml:space="preserve">umber of </w:t>
            </w:r>
            <w:r w:rsidRPr="00527F65">
              <w:rPr>
                <w:rFonts w:cs="Arial"/>
              </w:rPr>
              <w:t>kits containing essential school supplies distributed</w:t>
            </w:r>
            <w:r w:rsidR="002C3AC4" w:rsidRPr="00527F65">
              <w:rPr>
                <w:rFonts w:cs="Arial"/>
              </w:rPr>
              <w:t>*</w:t>
            </w:r>
          </w:p>
          <w:p w14:paraId="155934F3" w14:textId="77777777" w:rsidR="00AD6A90" w:rsidRPr="00527F65" w:rsidRDefault="00AD6A90" w:rsidP="00527F65">
            <w:pPr>
              <w:spacing w:before="0" w:after="0" w:line="240" w:lineRule="auto"/>
              <w:rPr>
                <w:rFonts w:cs="Arial"/>
              </w:rPr>
            </w:pPr>
          </w:p>
        </w:tc>
        <w:tc>
          <w:tcPr>
            <w:tcW w:w="2552" w:type="dxa"/>
            <w:shd w:val="clear" w:color="auto" w:fill="auto"/>
          </w:tcPr>
          <w:p w14:paraId="155934F4" w14:textId="77777777" w:rsidR="002B7EA6" w:rsidRPr="00527F65" w:rsidRDefault="00AF116A" w:rsidP="00527F65">
            <w:pPr>
              <w:spacing w:before="0" w:after="0" w:line="240" w:lineRule="auto"/>
              <w:rPr>
                <w:rFonts w:cs="Arial"/>
              </w:rPr>
            </w:pPr>
            <w:r w:rsidRPr="00527F65">
              <w:rPr>
                <w:rFonts w:cs="Arial"/>
              </w:rPr>
              <w:t>846</w:t>
            </w:r>
            <w:r w:rsidR="00D26AB8" w:rsidRPr="00527F65">
              <w:rPr>
                <w:rFonts w:cs="Arial"/>
              </w:rPr>
              <w:t xml:space="preserve"> </w:t>
            </w:r>
            <w:r w:rsidR="00AD6A90" w:rsidRPr="00527F65">
              <w:rPr>
                <w:rFonts w:cs="Arial"/>
              </w:rPr>
              <w:t>000</w:t>
            </w:r>
          </w:p>
          <w:p w14:paraId="155934F5" w14:textId="77777777" w:rsidR="002B7EA6" w:rsidRPr="00527F65" w:rsidRDefault="002B7EA6" w:rsidP="00527F65">
            <w:pPr>
              <w:spacing w:before="0" w:after="0" w:line="240" w:lineRule="auto"/>
              <w:rPr>
                <w:rFonts w:cs="Arial"/>
              </w:rPr>
            </w:pPr>
          </w:p>
        </w:tc>
      </w:tr>
      <w:tr w:rsidR="002B7EA6" w:rsidRPr="002838EE" w14:paraId="155934FA" w14:textId="77777777" w:rsidTr="00135200">
        <w:tc>
          <w:tcPr>
            <w:tcW w:w="6345" w:type="dxa"/>
            <w:shd w:val="clear" w:color="auto" w:fill="D9D9D9"/>
          </w:tcPr>
          <w:p w14:paraId="155934F7" w14:textId="77777777" w:rsidR="002B7EA6" w:rsidRPr="00527F65" w:rsidRDefault="00AD6A90" w:rsidP="00527F65">
            <w:pPr>
              <w:spacing w:before="0" w:after="0" w:line="240" w:lineRule="auto"/>
              <w:rPr>
                <w:rFonts w:cs="Arial"/>
              </w:rPr>
            </w:pPr>
            <w:r w:rsidRPr="00527F65">
              <w:rPr>
                <w:rFonts w:cs="Arial"/>
              </w:rPr>
              <w:t>Additional number of children receiving school feeding</w:t>
            </w:r>
          </w:p>
          <w:p w14:paraId="155934F8" w14:textId="77777777" w:rsidR="00AD6A90" w:rsidRPr="00527F65" w:rsidRDefault="00AD6A90" w:rsidP="00527F65">
            <w:pPr>
              <w:spacing w:before="0" w:after="0" w:line="240" w:lineRule="auto"/>
              <w:rPr>
                <w:rFonts w:cs="Arial"/>
              </w:rPr>
            </w:pPr>
          </w:p>
        </w:tc>
        <w:tc>
          <w:tcPr>
            <w:tcW w:w="2552" w:type="dxa"/>
            <w:shd w:val="clear" w:color="auto" w:fill="D9D9D9"/>
          </w:tcPr>
          <w:p w14:paraId="155934F9" w14:textId="77777777" w:rsidR="002B7EA6" w:rsidRPr="00527F65" w:rsidRDefault="00AD6A90" w:rsidP="00527F65">
            <w:pPr>
              <w:spacing w:before="0" w:after="0" w:line="240" w:lineRule="auto"/>
              <w:rPr>
                <w:rFonts w:cs="Arial"/>
              </w:rPr>
            </w:pPr>
            <w:r w:rsidRPr="00527F65">
              <w:rPr>
                <w:rFonts w:cs="Arial"/>
              </w:rPr>
              <w:t>&gt;500</w:t>
            </w:r>
            <w:r w:rsidR="00D26AB8" w:rsidRPr="00527F65">
              <w:rPr>
                <w:rFonts w:cs="Arial"/>
              </w:rPr>
              <w:t xml:space="preserve"> </w:t>
            </w:r>
            <w:r w:rsidRPr="00527F65">
              <w:rPr>
                <w:rFonts w:cs="Arial"/>
              </w:rPr>
              <w:t>000</w:t>
            </w:r>
          </w:p>
        </w:tc>
      </w:tr>
      <w:tr w:rsidR="002B7EA6" w:rsidRPr="002838EE" w14:paraId="155934FC" w14:textId="77777777" w:rsidTr="001556D6">
        <w:trPr>
          <w:trHeight w:val="371"/>
        </w:trPr>
        <w:tc>
          <w:tcPr>
            <w:tcW w:w="8897" w:type="dxa"/>
            <w:gridSpan w:val="2"/>
            <w:shd w:val="clear" w:color="auto" w:fill="BFBFBF"/>
            <w:vAlign w:val="center"/>
          </w:tcPr>
          <w:p w14:paraId="155934FB" w14:textId="77777777" w:rsidR="002B7EA6" w:rsidRPr="00527F65" w:rsidRDefault="002B7EA6" w:rsidP="00527F65">
            <w:pPr>
              <w:spacing w:before="0" w:after="0" w:line="240" w:lineRule="auto"/>
              <w:rPr>
                <w:rFonts w:cs="Arial"/>
                <w:b/>
                <w:i/>
              </w:rPr>
            </w:pPr>
            <w:r w:rsidRPr="00527F65">
              <w:rPr>
                <w:rFonts w:cs="Arial"/>
                <w:b/>
                <w:i/>
              </w:rPr>
              <w:t xml:space="preserve">Improved </w:t>
            </w:r>
            <w:r w:rsidR="00911121" w:rsidRPr="00527F65">
              <w:rPr>
                <w:rFonts w:cs="Arial"/>
                <w:b/>
                <w:i/>
              </w:rPr>
              <w:t>health</w:t>
            </w:r>
          </w:p>
        </w:tc>
      </w:tr>
      <w:tr w:rsidR="002B7EA6" w:rsidRPr="002838EE" w14:paraId="155934FF" w14:textId="77777777" w:rsidTr="00135200">
        <w:trPr>
          <w:trHeight w:val="266"/>
        </w:trPr>
        <w:tc>
          <w:tcPr>
            <w:tcW w:w="6345" w:type="dxa"/>
            <w:shd w:val="clear" w:color="auto" w:fill="BFBFBF"/>
          </w:tcPr>
          <w:p w14:paraId="155934FD" w14:textId="77777777" w:rsidR="002B7EA6" w:rsidRPr="00527F65" w:rsidRDefault="002B7EA6" w:rsidP="00527F65">
            <w:pPr>
              <w:spacing w:before="0" w:after="0" w:line="240" w:lineRule="auto"/>
              <w:rPr>
                <w:rFonts w:cs="Arial"/>
                <w:b/>
              </w:rPr>
            </w:pPr>
            <w:r w:rsidRPr="00527F65">
              <w:rPr>
                <w:rFonts w:cs="Arial"/>
                <w:b/>
              </w:rPr>
              <w:t>Indicator</w:t>
            </w:r>
          </w:p>
        </w:tc>
        <w:tc>
          <w:tcPr>
            <w:tcW w:w="2552" w:type="dxa"/>
            <w:shd w:val="clear" w:color="auto" w:fill="BFBFBF"/>
          </w:tcPr>
          <w:p w14:paraId="155934FE" w14:textId="77777777" w:rsidR="002B7EA6" w:rsidRPr="00527F65" w:rsidRDefault="002B7EA6" w:rsidP="00527F65">
            <w:pPr>
              <w:spacing w:before="0" w:after="0" w:line="240" w:lineRule="auto"/>
              <w:rPr>
                <w:rFonts w:cs="Arial"/>
                <w:b/>
              </w:rPr>
            </w:pPr>
            <w:r w:rsidRPr="00527F65">
              <w:rPr>
                <w:rFonts w:cs="Arial"/>
                <w:b/>
              </w:rPr>
              <w:t>Target by 201</w:t>
            </w:r>
            <w:r w:rsidR="00911121" w:rsidRPr="00527F65">
              <w:rPr>
                <w:rFonts w:cs="Arial"/>
                <w:b/>
              </w:rPr>
              <w:t>4</w:t>
            </w:r>
            <w:r w:rsidR="003A5790" w:rsidRPr="00527F65">
              <w:rPr>
                <w:rFonts w:cs="Arial"/>
                <w:b/>
              </w:rPr>
              <w:t>†</w:t>
            </w:r>
          </w:p>
        </w:tc>
      </w:tr>
      <w:tr w:rsidR="002B7EA6" w:rsidRPr="002838EE" w14:paraId="15593503" w14:textId="77777777" w:rsidTr="00135200">
        <w:tc>
          <w:tcPr>
            <w:tcW w:w="6345" w:type="dxa"/>
            <w:shd w:val="clear" w:color="auto" w:fill="auto"/>
          </w:tcPr>
          <w:p w14:paraId="15593500" w14:textId="77777777" w:rsidR="00346F2D" w:rsidRPr="00527F65" w:rsidRDefault="00346F2D" w:rsidP="00527F65">
            <w:pPr>
              <w:spacing w:before="0" w:after="0" w:line="240" w:lineRule="auto"/>
              <w:rPr>
                <w:rFonts w:cs="Arial"/>
              </w:rPr>
            </w:pPr>
            <w:r w:rsidRPr="00527F65">
              <w:rPr>
                <w:rFonts w:cs="Arial"/>
              </w:rPr>
              <w:t>Additional number of children receiving vital immunisations*</w:t>
            </w:r>
          </w:p>
          <w:p w14:paraId="15593501" w14:textId="77777777" w:rsidR="002B7EA6" w:rsidRPr="00527F65" w:rsidRDefault="002B7EA6" w:rsidP="00527F65">
            <w:pPr>
              <w:spacing w:before="0" w:after="0" w:line="240" w:lineRule="auto"/>
              <w:rPr>
                <w:rFonts w:cs="Arial"/>
              </w:rPr>
            </w:pPr>
          </w:p>
        </w:tc>
        <w:tc>
          <w:tcPr>
            <w:tcW w:w="2552" w:type="dxa"/>
            <w:shd w:val="clear" w:color="auto" w:fill="auto"/>
          </w:tcPr>
          <w:p w14:paraId="15593502" w14:textId="77777777" w:rsidR="002B7EA6" w:rsidRPr="00527F65" w:rsidRDefault="003A5790" w:rsidP="00527F65">
            <w:pPr>
              <w:spacing w:before="0" w:after="0" w:line="240" w:lineRule="auto"/>
              <w:rPr>
                <w:rFonts w:cs="Arial"/>
              </w:rPr>
            </w:pPr>
            <w:r w:rsidRPr="00527F65">
              <w:rPr>
                <w:rFonts w:cs="Arial"/>
              </w:rPr>
              <w:t>To be determined</w:t>
            </w:r>
          </w:p>
        </w:tc>
      </w:tr>
      <w:tr w:rsidR="002B7EA6" w:rsidRPr="002838EE" w14:paraId="15593507" w14:textId="77777777" w:rsidTr="00135200">
        <w:tc>
          <w:tcPr>
            <w:tcW w:w="6345" w:type="dxa"/>
            <w:tcBorders>
              <w:bottom w:val="single" w:sz="4" w:space="0" w:color="auto"/>
            </w:tcBorders>
            <w:shd w:val="clear" w:color="auto" w:fill="D9D9D9"/>
          </w:tcPr>
          <w:p w14:paraId="15593504" w14:textId="77777777" w:rsidR="00346F2D" w:rsidRPr="00527F65" w:rsidRDefault="00346F2D" w:rsidP="00527F65">
            <w:pPr>
              <w:spacing w:before="0" w:after="0" w:line="240" w:lineRule="auto"/>
              <w:rPr>
                <w:rFonts w:cs="Arial"/>
              </w:rPr>
            </w:pPr>
            <w:r w:rsidRPr="00527F65">
              <w:rPr>
                <w:rFonts w:cs="Arial"/>
              </w:rPr>
              <w:t>Additional number of births attended by a skilled health professional*</w:t>
            </w:r>
          </w:p>
          <w:p w14:paraId="15593505" w14:textId="77777777" w:rsidR="002B7EA6" w:rsidRPr="00527F65" w:rsidRDefault="002B7EA6" w:rsidP="00527F65">
            <w:pPr>
              <w:spacing w:before="0" w:after="0" w:line="240" w:lineRule="auto"/>
              <w:rPr>
                <w:rFonts w:cs="Arial"/>
              </w:rPr>
            </w:pPr>
          </w:p>
        </w:tc>
        <w:tc>
          <w:tcPr>
            <w:tcW w:w="2552" w:type="dxa"/>
            <w:tcBorders>
              <w:bottom w:val="single" w:sz="4" w:space="0" w:color="auto"/>
            </w:tcBorders>
            <w:shd w:val="clear" w:color="auto" w:fill="D9D9D9"/>
          </w:tcPr>
          <w:p w14:paraId="15593506" w14:textId="77777777" w:rsidR="002B7EA6" w:rsidRPr="00527F65" w:rsidRDefault="003A5790" w:rsidP="00527F65">
            <w:pPr>
              <w:spacing w:before="0" w:after="0" w:line="240" w:lineRule="auto"/>
              <w:rPr>
                <w:rFonts w:cs="Arial"/>
              </w:rPr>
            </w:pPr>
            <w:r w:rsidRPr="00527F65">
              <w:rPr>
                <w:rFonts w:cs="Arial"/>
              </w:rPr>
              <w:t>To be determined</w:t>
            </w:r>
          </w:p>
        </w:tc>
      </w:tr>
      <w:tr w:rsidR="002B7EA6" w:rsidRPr="002838EE" w14:paraId="1559350B" w14:textId="77777777" w:rsidTr="00135200">
        <w:tc>
          <w:tcPr>
            <w:tcW w:w="6345" w:type="dxa"/>
            <w:shd w:val="clear" w:color="auto" w:fill="FFFFFF"/>
          </w:tcPr>
          <w:p w14:paraId="15593508" w14:textId="77777777" w:rsidR="00346F2D" w:rsidRPr="00527F65" w:rsidRDefault="00346F2D" w:rsidP="00527F65">
            <w:pPr>
              <w:spacing w:before="0" w:after="0" w:line="240" w:lineRule="auto"/>
              <w:rPr>
                <w:rFonts w:cs="Arial"/>
              </w:rPr>
            </w:pPr>
            <w:r w:rsidRPr="00527F65">
              <w:rPr>
                <w:rFonts w:cs="Arial"/>
              </w:rPr>
              <w:t>Additional number of people with increased knowledge of hygiene practices*</w:t>
            </w:r>
          </w:p>
          <w:p w14:paraId="15593509" w14:textId="77777777" w:rsidR="002B7EA6" w:rsidRPr="00527F65" w:rsidRDefault="002B7EA6" w:rsidP="00527F65">
            <w:pPr>
              <w:spacing w:before="0" w:after="0" w:line="240" w:lineRule="auto"/>
              <w:rPr>
                <w:rFonts w:cs="Arial"/>
              </w:rPr>
            </w:pPr>
          </w:p>
        </w:tc>
        <w:tc>
          <w:tcPr>
            <w:tcW w:w="2552" w:type="dxa"/>
            <w:shd w:val="clear" w:color="auto" w:fill="FFFFFF"/>
          </w:tcPr>
          <w:p w14:paraId="1559350A" w14:textId="77777777" w:rsidR="002B7EA6" w:rsidRPr="00527F65" w:rsidRDefault="003A5790" w:rsidP="00527F65">
            <w:pPr>
              <w:pStyle w:val="ListParagraph"/>
              <w:spacing w:before="0" w:after="0" w:line="240" w:lineRule="auto"/>
              <w:rPr>
                <w:rFonts w:cs="Arial"/>
              </w:rPr>
            </w:pPr>
            <w:r w:rsidRPr="00527F65">
              <w:rPr>
                <w:rFonts w:cs="Arial"/>
              </w:rPr>
              <w:t>To be determined</w:t>
            </w:r>
          </w:p>
        </w:tc>
      </w:tr>
      <w:tr w:rsidR="002B7EA6" w:rsidRPr="002838EE" w14:paraId="1559350F" w14:textId="77777777" w:rsidTr="00135200">
        <w:tc>
          <w:tcPr>
            <w:tcW w:w="6345" w:type="dxa"/>
            <w:shd w:val="clear" w:color="auto" w:fill="D9D9D9"/>
          </w:tcPr>
          <w:p w14:paraId="1559350C" w14:textId="77777777" w:rsidR="00346F2D" w:rsidRPr="00527F65" w:rsidRDefault="00346F2D" w:rsidP="00527F65">
            <w:pPr>
              <w:spacing w:before="0" w:after="0" w:line="240" w:lineRule="auto"/>
              <w:rPr>
                <w:rFonts w:cs="Arial"/>
              </w:rPr>
            </w:pPr>
            <w:r w:rsidRPr="00527F65">
              <w:rPr>
                <w:rFonts w:cs="Arial"/>
              </w:rPr>
              <w:t>Additional number of public servants trained*</w:t>
            </w:r>
          </w:p>
          <w:p w14:paraId="1559350D" w14:textId="77777777" w:rsidR="002B7EA6" w:rsidRPr="00527F65" w:rsidRDefault="002B7EA6" w:rsidP="00527F65">
            <w:pPr>
              <w:spacing w:before="0" w:after="0" w:line="240" w:lineRule="auto"/>
              <w:rPr>
                <w:rFonts w:cs="Arial"/>
              </w:rPr>
            </w:pPr>
          </w:p>
        </w:tc>
        <w:tc>
          <w:tcPr>
            <w:tcW w:w="2552" w:type="dxa"/>
            <w:shd w:val="clear" w:color="auto" w:fill="D9D9D9"/>
          </w:tcPr>
          <w:p w14:paraId="1559350E" w14:textId="77777777" w:rsidR="002B7EA6" w:rsidRPr="00527F65" w:rsidRDefault="003A5790" w:rsidP="00527F65">
            <w:pPr>
              <w:pStyle w:val="ListParagraph"/>
              <w:spacing w:before="0" w:after="0" w:line="240" w:lineRule="auto"/>
              <w:rPr>
                <w:rFonts w:cs="Arial"/>
              </w:rPr>
            </w:pPr>
            <w:r w:rsidRPr="00527F65">
              <w:rPr>
                <w:rFonts w:cs="Arial"/>
              </w:rPr>
              <w:t>To be determined</w:t>
            </w:r>
          </w:p>
        </w:tc>
      </w:tr>
      <w:tr w:rsidR="0019524E" w:rsidRPr="002838EE" w14:paraId="15593513" w14:textId="77777777" w:rsidTr="007A7F28">
        <w:tc>
          <w:tcPr>
            <w:tcW w:w="6345" w:type="dxa"/>
            <w:shd w:val="clear" w:color="auto" w:fill="auto"/>
          </w:tcPr>
          <w:p w14:paraId="15593510" w14:textId="77777777" w:rsidR="0019524E" w:rsidRPr="00527F65" w:rsidRDefault="00346F2D" w:rsidP="00527F65">
            <w:pPr>
              <w:spacing w:before="0" w:after="0" w:line="240" w:lineRule="auto"/>
              <w:rPr>
                <w:rFonts w:cs="Arial"/>
              </w:rPr>
            </w:pPr>
            <w:r w:rsidRPr="00527F65">
              <w:rPr>
                <w:rFonts w:cs="Arial"/>
              </w:rPr>
              <w:t>Additional number of civil society organisations supported to track service provision*</w:t>
            </w:r>
          </w:p>
          <w:p w14:paraId="15593511" w14:textId="77777777" w:rsidR="000B7713" w:rsidRPr="00527F65" w:rsidRDefault="000B7713" w:rsidP="00527F65">
            <w:pPr>
              <w:spacing w:before="0" w:after="0" w:line="240" w:lineRule="auto"/>
              <w:rPr>
                <w:rFonts w:cs="Arial"/>
              </w:rPr>
            </w:pPr>
          </w:p>
        </w:tc>
        <w:tc>
          <w:tcPr>
            <w:tcW w:w="2552" w:type="dxa"/>
            <w:shd w:val="clear" w:color="auto" w:fill="auto"/>
          </w:tcPr>
          <w:p w14:paraId="15593512" w14:textId="77777777" w:rsidR="0019524E" w:rsidRPr="00527F65" w:rsidRDefault="003A5790" w:rsidP="00527F65">
            <w:pPr>
              <w:pStyle w:val="ListParagraph"/>
              <w:spacing w:before="0" w:after="0" w:line="240" w:lineRule="auto"/>
              <w:rPr>
                <w:rFonts w:cs="Arial"/>
              </w:rPr>
            </w:pPr>
            <w:r w:rsidRPr="00527F65">
              <w:rPr>
                <w:rFonts w:cs="Arial"/>
              </w:rPr>
              <w:t>To be determined</w:t>
            </w:r>
          </w:p>
        </w:tc>
      </w:tr>
    </w:tbl>
    <w:p w14:paraId="15593514" w14:textId="77777777" w:rsidR="0023110B" w:rsidRPr="00527F65" w:rsidRDefault="00581CF5" w:rsidP="00527F65">
      <w:pPr>
        <w:spacing w:before="0" w:after="0" w:line="240" w:lineRule="auto"/>
        <w:rPr>
          <w:sz w:val="15"/>
          <w:szCs w:val="15"/>
        </w:rPr>
      </w:pPr>
      <w:r w:rsidRPr="00527F65">
        <w:rPr>
          <w:sz w:val="15"/>
          <w:szCs w:val="15"/>
        </w:rPr>
        <w:t>†Health-related targets for the period of the strategy will be developed in 2013.</w:t>
      </w:r>
    </w:p>
    <w:p w14:paraId="15593515" w14:textId="77777777" w:rsidR="00172ABC" w:rsidRDefault="00172ABC" w:rsidP="00527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552"/>
      </w:tblGrid>
      <w:tr w:rsidR="00172ABC" w:rsidRPr="00527F65" w14:paraId="15593517" w14:textId="77777777" w:rsidTr="00DE6FD7">
        <w:trPr>
          <w:trHeight w:val="420"/>
        </w:trPr>
        <w:tc>
          <w:tcPr>
            <w:tcW w:w="8897" w:type="dxa"/>
            <w:gridSpan w:val="2"/>
            <w:shd w:val="clear" w:color="auto" w:fill="BFBFBF"/>
            <w:vAlign w:val="center"/>
          </w:tcPr>
          <w:p w14:paraId="15593516" w14:textId="77777777" w:rsidR="00172ABC" w:rsidRPr="00527F65" w:rsidRDefault="00172ABC" w:rsidP="00527F65">
            <w:pPr>
              <w:spacing w:before="0" w:after="0" w:line="240" w:lineRule="auto"/>
              <w:rPr>
                <w:rFonts w:cs="Arial"/>
                <w:b/>
              </w:rPr>
            </w:pPr>
            <w:r w:rsidRPr="00527F65">
              <w:rPr>
                <w:rFonts w:cs="Arial"/>
                <w:b/>
              </w:rPr>
              <w:t>Objective: Addressing the needs of conflict and disaster-affected people</w:t>
            </w:r>
          </w:p>
        </w:tc>
      </w:tr>
      <w:tr w:rsidR="00172ABC" w:rsidRPr="00527F65" w14:paraId="1559351A" w14:textId="77777777" w:rsidTr="00DE6FD7">
        <w:trPr>
          <w:trHeight w:val="266"/>
        </w:trPr>
        <w:tc>
          <w:tcPr>
            <w:tcW w:w="6345" w:type="dxa"/>
            <w:shd w:val="clear" w:color="auto" w:fill="BFBFBF"/>
          </w:tcPr>
          <w:p w14:paraId="15593518" w14:textId="77777777" w:rsidR="00172ABC" w:rsidRPr="00527F65" w:rsidRDefault="00172ABC" w:rsidP="00527F65">
            <w:pPr>
              <w:spacing w:before="0" w:after="0" w:line="240" w:lineRule="auto"/>
              <w:rPr>
                <w:rFonts w:cs="Arial"/>
                <w:b/>
              </w:rPr>
            </w:pPr>
            <w:r w:rsidRPr="00527F65">
              <w:rPr>
                <w:rFonts w:cs="Arial"/>
                <w:b/>
              </w:rPr>
              <w:t>Indicator</w:t>
            </w:r>
          </w:p>
        </w:tc>
        <w:tc>
          <w:tcPr>
            <w:tcW w:w="2552" w:type="dxa"/>
            <w:shd w:val="clear" w:color="auto" w:fill="BFBFBF"/>
          </w:tcPr>
          <w:p w14:paraId="15593519" w14:textId="77777777" w:rsidR="00172ABC" w:rsidRPr="00527F65" w:rsidRDefault="00172ABC" w:rsidP="00527F65">
            <w:pPr>
              <w:spacing w:before="0" w:after="0" w:line="240" w:lineRule="auto"/>
              <w:rPr>
                <w:rFonts w:cs="Arial"/>
                <w:b/>
              </w:rPr>
            </w:pPr>
            <w:r w:rsidRPr="00527F65">
              <w:rPr>
                <w:rFonts w:cs="Arial"/>
                <w:b/>
              </w:rPr>
              <w:t>Target by 2014</w:t>
            </w:r>
          </w:p>
        </w:tc>
      </w:tr>
      <w:tr w:rsidR="00172ABC" w:rsidRPr="00527F65" w14:paraId="1559351E" w14:textId="77777777" w:rsidTr="00DE6FD7">
        <w:tc>
          <w:tcPr>
            <w:tcW w:w="6345" w:type="dxa"/>
            <w:shd w:val="clear" w:color="auto" w:fill="D9D9D9"/>
          </w:tcPr>
          <w:p w14:paraId="1559351B" w14:textId="77777777" w:rsidR="00172ABC" w:rsidRPr="00527F65" w:rsidRDefault="00172ABC" w:rsidP="00527F65">
            <w:pPr>
              <w:spacing w:before="0" w:after="0" w:line="240" w:lineRule="auto"/>
              <w:rPr>
                <w:rFonts w:cs="Arial"/>
              </w:rPr>
            </w:pPr>
            <w:r w:rsidRPr="00527F65">
              <w:rPr>
                <w:rFonts w:cs="Arial"/>
              </w:rPr>
              <w:t>Number of activities delivered in support of the peace process</w:t>
            </w:r>
          </w:p>
          <w:p w14:paraId="1559351C" w14:textId="77777777" w:rsidR="00172ABC" w:rsidRPr="00527F65" w:rsidRDefault="00172ABC" w:rsidP="00527F65">
            <w:pPr>
              <w:spacing w:before="0" w:after="0" w:line="240" w:lineRule="auto"/>
              <w:rPr>
                <w:rFonts w:cs="Arial"/>
              </w:rPr>
            </w:pPr>
          </w:p>
        </w:tc>
        <w:tc>
          <w:tcPr>
            <w:tcW w:w="2552" w:type="dxa"/>
            <w:shd w:val="clear" w:color="auto" w:fill="D9D9D9"/>
          </w:tcPr>
          <w:p w14:paraId="1559351D" w14:textId="77777777" w:rsidR="00172ABC" w:rsidRPr="00527F65" w:rsidRDefault="00172ABC" w:rsidP="00527F65">
            <w:pPr>
              <w:spacing w:before="0" w:after="0" w:line="240" w:lineRule="auto"/>
              <w:rPr>
                <w:rFonts w:cs="Arial"/>
              </w:rPr>
            </w:pPr>
            <w:r w:rsidRPr="00527F65">
              <w:rPr>
                <w:rFonts w:cs="Arial"/>
              </w:rPr>
              <w:t>To be determined</w:t>
            </w:r>
          </w:p>
        </w:tc>
      </w:tr>
      <w:tr w:rsidR="00172ABC" w:rsidRPr="00527F65" w14:paraId="15593522" w14:textId="77777777" w:rsidTr="00DE6FD7">
        <w:tc>
          <w:tcPr>
            <w:tcW w:w="6345" w:type="dxa"/>
            <w:shd w:val="clear" w:color="auto" w:fill="auto"/>
          </w:tcPr>
          <w:p w14:paraId="1559351F" w14:textId="77777777" w:rsidR="00172ABC" w:rsidRPr="00527F65" w:rsidRDefault="00172ABC" w:rsidP="00527F65">
            <w:pPr>
              <w:spacing w:before="0" w:after="0" w:line="240" w:lineRule="auto"/>
              <w:rPr>
                <w:rFonts w:cs="Arial"/>
              </w:rPr>
            </w:pPr>
            <w:r w:rsidRPr="00527F65">
              <w:rPr>
                <w:rFonts w:cs="Arial"/>
              </w:rPr>
              <w:t>Number of conflict or disaster-affected people in Myanmar receiving services</w:t>
            </w:r>
          </w:p>
          <w:p w14:paraId="15593520" w14:textId="77777777" w:rsidR="00172ABC" w:rsidRPr="00527F65" w:rsidRDefault="00172ABC" w:rsidP="00527F65">
            <w:pPr>
              <w:spacing w:before="0" w:after="0" w:line="240" w:lineRule="auto"/>
              <w:rPr>
                <w:rFonts w:cs="Arial"/>
              </w:rPr>
            </w:pPr>
          </w:p>
        </w:tc>
        <w:tc>
          <w:tcPr>
            <w:tcW w:w="2552" w:type="dxa"/>
            <w:shd w:val="clear" w:color="auto" w:fill="auto"/>
          </w:tcPr>
          <w:p w14:paraId="15593521" w14:textId="77777777" w:rsidR="00172ABC" w:rsidRPr="00527F65" w:rsidRDefault="00172ABC" w:rsidP="00527F65">
            <w:pPr>
              <w:spacing w:before="0" w:after="0" w:line="240" w:lineRule="auto"/>
              <w:rPr>
                <w:rFonts w:cs="Arial"/>
              </w:rPr>
            </w:pPr>
            <w:r w:rsidRPr="00527F65">
              <w:rPr>
                <w:rFonts w:cs="Arial"/>
              </w:rPr>
              <w:t>To be determined</w:t>
            </w:r>
          </w:p>
        </w:tc>
      </w:tr>
      <w:tr w:rsidR="00172ABC" w:rsidRPr="00527F65" w14:paraId="15593526" w14:textId="77777777" w:rsidTr="00DE6FD7">
        <w:tc>
          <w:tcPr>
            <w:tcW w:w="6345" w:type="dxa"/>
            <w:shd w:val="clear" w:color="auto" w:fill="D9D9D9"/>
          </w:tcPr>
          <w:p w14:paraId="15593523" w14:textId="77777777" w:rsidR="00172ABC" w:rsidRPr="00527F65" w:rsidRDefault="00172ABC" w:rsidP="00527F65">
            <w:pPr>
              <w:spacing w:before="0" w:after="0" w:line="240" w:lineRule="auto"/>
              <w:rPr>
                <w:rFonts w:cs="Arial"/>
              </w:rPr>
            </w:pPr>
            <w:r w:rsidRPr="00527F65">
              <w:rPr>
                <w:rFonts w:cs="Arial"/>
              </w:rPr>
              <w:t>Number of refugees in Thailand receiving assistance*</w:t>
            </w:r>
          </w:p>
          <w:p w14:paraId="15593524" w14:textId="77777777" w:rsidR="00172ABC" w:rsidRPr="00527F65" w:rsidRDefault="00172ABC" w:rsidP="00527F65">
            <w:pPr>
              <w:spacing w:before="0" w:after="0" w:line="240" w:lineRule="auto"/>
              <w:rPr>
                <w:rFonts w:cs="Arial"/>
              </w:rPr>
            </w:pPr>
          </w:p>
        </w:tc>
        <w:tc>
          <w:tcPr>
            <w:tcW w:w="2552" w:type="dxa"/>
            <w:shd w:val="clear" w:color="auto" w:fill="D9D9D9"/>
          </w:tcPr>
          <w:p w14:paraId="15593525" w14:textId="77777777" w:rsidR="00172ABC" w:rsidRPr="00527F65" w:rsidRDefault="00172ABC" w:rsidP="00527F65">
            <w:pPr>
              <w:spacing w:before="0" w:after="0" w:line="240" w:lineRule="auto"/>
              <w:rPr>
                <w:rFonts w:cs="Arial"/>
              </w:rPr>
            </w:pPr>
            <w:r w:rsidRPr="00527F65">
              <w:rPr>
                <w:rFonts w:cs="Arial"/>
              </w:rPr>
              <w:t>To be determined</w:t>
            </w:r>
          </w:p>
        </w:tc>
      </w:tr>
      <w:tr w:rsidR="00172ABC" w:rsidRPr="00527F65" w14:paraId="15593529" w14:textId="77777777" w:rsidTr="00DE6FD7">
        <w:tc>
          <w:tcPr>
            <w:tcW w:w="6345" w:type="dxa"/>
            <w:shd w:val="clear" w:color="auto" w:fill="auto"/>
          </w:tcPr>
          <w:p w14:paraId="15593527" w14:textId="77777777" w:rsidR="00172ABC" w:rsidRPr="00527F65" w:rsidRDefault="00172ABC" w:rsidP="00527F65">
            <w:pPr>
              <w:spacing w:before="0" w:after="0" w:line="240" w:lineRule="auto"/>
              <w:rPr>
                <w:rFonts w:cs="Arial"/>
              </w:rPr>
            </w:pPr>
            <w:r w:rsidRPr="00527F65">
              <w:rPr>
                <w:rFonts w:cs="Arial"/>
              </w:rPr>
              <w:t>Number of responses to requests for humanitarian assistance from the Myanmar Government within 48 hours</w:t>
            </w:r>
          </w:p>
        </w:tc>
        <w:tc>
          <w:tcPr>
            <w:tcW w:w="2552" w:type="dxa"/>
            <w:shd w:val="clear" w:color="auto" w:fill="auto"/>
          </w:tcPr>
          <w:p w14:paraId="15593528" w14:textId="77777777" w:rsidR="00172ABC" w:rsidRPr="00527F65" w:rsidRDefault="00172ABC" w:rsidP="00527F65">
            <w:pPr>
              <w:spacing w:before="0" w:after="0" w:line="240" w:lineRule="auto"/>
              <w:rPr>
                <w:rFonts w:cs="Arial"/>
              </w:rPr>
            </w:pPr>
            <w:r w:rsidRPr="00527F65">
              <w:rPr>
                <w:rFonts w:cs="Arial"/>
              </w:rPr>
              <w:t>100%</w:t>
            </w:r>
          </w:p>
        </w:tc>
      </w:tr>
    </w:tbl>
    <w:p w14:paraId="1559352A" w14:textId="77777777" w:rsidR="00581CF5" w:rsidRPr="00527F65" w:rsidRDefault="00581CF5" w:rsidP="00527F65">
      <w:pPr>
        <w:spacing w:before="0" w:after="0" w:line="240" w:lineRule="auto"/>
        <w:rPr>
          <w:rFonts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552"/>
      </w:tblGrid>
      <w:tr w:rsidR="002B7EA6" w:rsidRPr="00527F65" w14:paraId="1559352C" w14:textId="77777777" w:rsidTr="001556D6">
        <w:trPr>
          <w:trHeight w:val="425"/>
        </w:trPr>
        <w:tc>
          <w:tcPr>
            <w:tcW w:w="8897" w:type="dxa"/>
            <w:gridSpan w:val="2"/>
            <w:shd w:val="clear" w:color="auto" w:fill="BFBFBF"/>
            <w:vAlign w:val="center"/>
          </w:tcPr>
          <w:p w14:paraId="1559352B" w14:textId="77777777" w:rsidR="002B7EA6" w:rsidRPr="00527F65" w:rsidRDefault="00911121" w:rsidP="00527F65">
            <w:pPr>
              <w:spacing w:before="0" w:after="0" w:line="240" w:lineRule="auto"/>
              <w:rPr>
                <w:rFonts w:cs="Arial"/>
                <w:b/>
              </w:rPr>
            </w:pPr>
            <w:r w:rsidRPr="00527F65">
              <w:rPr>
                <w:rFonts w:cs="Arial"/>
                <w:b/>
              </w:rPr>
              <w:t>O</w:t>
            </w:r>
            <w:r w:rsidR="002B7EA6" w:rsidRPr="00527F65">
              <w:rPr>
                <w:rFonts w:cs="Arial"/>
                <w:b/>
              </w:rPr>
              <w:t xml:space="preserve">bjective: </w:t>
            </w:r>
            <w:r w:rsidR="001556D6" w:rsidRPr="00527F65">
              <w:rPr>
                <w:rFonts w:cs="Arial"/>
                <w:b/>
              </w:rPr>
              <w:t xml:space="preserve">Improving the livelihoods of the </w:t>
            </w:r>
            <w:r w:rsidR="00F771FD" w:rsidRPr="00527F65">
              <w:rPr>
                <w:rFonts w:cs="Arial"/>
                <w:b/>
              </w:rPr>
              <w:t xml:space="preserve">rural </w:t>
            </w:r>
            <w:r w:rsidR="001556D6" w:rsidRPr="00527F65">
              <w:rPr>
                <w:rFonts w:cs="Arial"/>
                <w:b/>
              </w:rPr>
              <w:t>poor</w:t>
            </w:r>
          </w:p>
        </w:tc>
      </w:tr>
      <w:tr w:rsidR="002B7EA6" w:rsidRPr="00527F65" w14:paraId="1559352F" w14:textId="77777777" w:rsidTr="00135200">
        <w:trPr>
          <w:trHeight w:val="267"/>
        </w:trPr>
        <w:tc>
          <w:tcPr>
            <w:tcW w:w="6345" w:type="dxa"/>
            <w:shd w:val="clear" w:color="auto" w:fill="BFBFBF"/>
          </w:tcPr>
          <w:p w14:paraId="1559352D" w14:textId="77777777" w:rsidR="002B7EA6" w:rsidRPr="00527F65" w:rsidRDefault="002B7EA6" w:rsidP="00527F65">
            <w:pPr>
              <w:spacing w:before="0" w:after="0" w:line="240" w:lineRule="auto"/>
              <w:rPr>
                <w:rFonts w:cs="Arial"/>
                <w:b/>
              </w:rPr>
            </w:pPr>
            <w:r w:rsidRPr="00527F65">
              <w:rPr>
                <w:rFonts w:cs="Arial"/>
                <w:b/>
              </w:rPr>
              <w:t>Indicator</w:t>
            </w:r>
          </w:p>
        </w:tc>
        <w:tc>
          <w:tcPr>
            <w:tcW w:w="2552" w:type="dxa"/>
            <w:shd w:val="clear" w:color="auto" w:fill="BFBFBF"/>
          </w:tcPr>
          <w:p w14:paraId="1559352E" w14:textId="77777777" w:rsidR="002B7EA6" w:rsidRPr="00527F65" w:rsidRDefault="002B7EA6" w:rsidP="00527F65">
            <w:pPr>
              <w:spacing w:before="0" w:after="0" w:line="240" w:lineRule="auto"/>
              <w:rPr>
                <w:rFonts w:cs="Arial"/>
                <w:b/>
              </w:rPr>
            </w:pPr>
            <w:r w:rsidRPr="00527F65">
              <w:rPr>
                <w:rFonts w:cs="Arial"/>
                <w:b/>
              </w:rPr>
              <w:t>Target by 201</w:t>
            </w:r>
            <w:r w:rsidR="00911121" w:rsidRPr="00527F65">
              <w:rPr>
                <w:rFonts w:cs="Arial"/>
                <w:b/>
              </w:rPr>
              <w:t>4</w:t>
            </w:r>
          </w:p>
        </w:tc>
      </w:tr>
      <w:tr w:rsidR="002B7EA6" w:rsidRPr="00527F65" w14:paraId="15593533" w14:textId="77777777" w:rsidTr="00135200">
        <w:tc>
          <w:tcPr>
            <w:tcW w:w="6345" w:type="dxa"/>
            <w:shd w:val="clear" w:color="auto" w:fill="D9D9D9"/>
          </w:tcPr>
          <w:p w14:paraId="15593530" w14:textId="77777777" w:rsidR="002B7EA6" w:rsidRPr="00527F65" w:rsidRDefault="00AD6A90" w:rsidP="00527F65">
            <w:pPr>
              <w:spacing w:before="0" w:after="0" w:line="240" w:lineRule="auto"/>
              <w:rPr>
                <w:rFonts w:cs="Arial"/>
              </w:rPr>
            </w:pPr>
            <w:r w:rsidRPr="00527F65">
              <w:rPr>
                <w:rFonts w:cs="Arial"/>
              </w:rPr>
              <w:t>Additional number of households with access to capital</w:t>
            </w:r>
            <w:r w:rsidR="002C3AC4" w:rsidRPr="00527F65">
              <w:rPr>
                <w:rFonts w:cs="Arial"/>
              </w:rPr>
              <w:t>*</w:t>
            </w:r>
          </w:p>
          <w:p w14:paraId="15593531" w14:textId="77777777" w:rsidR="002B7EA6" w:rsidRPr="00527F65" w:rsidRDefault="002B7EA6" w:rsidP="00527F65">
            <w:pPr>
              <w:spacing w:before="0" w:after="0" w:line="240" w:lineRule="auto"/>
              <w:rPr>
                <w:rFonts w:cs="Arial"/>
              </w:rPr>
            </w:pPr>
          </w:p>
        </w:tc>
        <w:tc>
          <w:tcPr>
            <w:tcW w:w="2552" w:type="dxa"/>
            <w:shd w:val="clear" w:color="auto" w:fill="D9D9D9"/>
          </w:tcPr>
          <w:p w14:paraId="15593532" w14:textId="77777777" w:rsidR="002B7EA6" w:rsidRPr="00527F65" w:rsidRDefault="0023110B" w:rsidP="00527F65">
            <w:pPr>
              <w:spacing w:before="0" w:after="0" w:line="240" w:lineRule="auto"/>
              <w:rPr>
                <w:rFonts w:cs="Arial"/>
              </w:rPr>
            </w:pPr>
            <w:r w:rsidRPr="00527F65">
              <w:rPr>
                <w:rFonts w:cs="Arial"/>
              </w:rPr>
              <w:t>33</w:t>
            </w:r>
            <w:r w:rsidR="00D26AB8" w:rsidRPr="00527F65">
              <w:rPr>
                <w:rFonts w:cs="Arial"/>
              </w:rPr>
              <w:t xml:space="preserve"> 000</w:t>
            </w:r>
          </w:p>
        </w:tc>
      </w:tr>
      <w:tr w:rsidR="002B7EA6" w:rsidRPr="00527F65" w14:paraId="15593537" w14:textId="77777777" w:rsidTr="00135200">
        <w:trPr>
          <w:trHeight w:val="454"/>
        </w:trPr>
        <w:tc>
          <w:tcPr>
            <w:tcW w:w="6345" w:type="dxa"/>
            <w:shd w:val="clear" w:color="auto" w:fill="auto"/>
          </w:tcPr>
          <w:p w14:paraId="15593534" w14:textId="77777777" w:rsidR="002B7EA6" w:rsidRPr="00527F65" w:rsidRDefault="0023110B" w:rsidP="00527F65">
            <w:pPr>
              <w:spacing w:before="0" w:after="0" w:line="240" w:lineRule="auto"/>
              <w:rPr>
                <w:rFonts w:cs="Arial"/>
              </w:rPr>
            </w:pPr>
            <w:r w:rsidRPr="00527F65">
              <w:rPr>
                <w:rFonts w:cs="Arial"/>
              </w:rPr>
              <w:t>Additional number of household with access to microfinance services</w:t>
            </w:r>
            <w:r w:rsidR="002C3AC4" w:rsidRPr="00527F65">
              <w:rPr>
                <w:rFonts w:cs="Arial"/>
              </w:rPr>
              <w:t>*</w:t>
            </w:r>
          </w:p>
          <w:p w14:paraId="15593535" w14:textId="77777777" w:rsidR="0023110B" w:rsidRPr="00527F65" w:rsidRDefault="0023110B" w:rsidP="00527F65">
            <w:pPr>
              <w:spacing w:before="0" w:after="0" w:line="240" w:lineRule="auto"/>
              <w:rPr>
                <w:rFonts w:cs="Arial"/>
              </w:rPr>
            </w:pPr>
          </w:p>
        </w:tc>
        <w:tc>
          <w:tcPr>
            <w:tcW w:w="2552" w:type="dxa"/>
            <w:shd w:val="clear" w:color="auto" w:fill="auto"/>
          </w:tcPr>
          <w:p w14:paraId="15593536" w14:textId="77777777" w:rsidR="002B7EA6" w:rsidRPr="00527F65" w:rsidRDefault="0023110B" w:rsidP="00527F65">
            <w:pPr>
              <w:spacing w:before="0" w:after="0" w:line="240" w:lineRule="auto"/>
              <w:rPr>
                <w:rFonts w:cs="Arial"/>
              </w:rPr>
            </w:pPr>
            <w:r w:rsidRPr="00527F65">
              <w:rPr>
                <w:rFonts w:cs="Arial"/>
              </w:rPr>
              <w:t>6000</w:t>
            </w:r>
          </w:p>
        </w:tc>
      </w:tr>
      <w:tr w:rsidR="002B7EA6" w:rsidRPr="00527F65" w14:paraId="1559353B" w14:textId="77777777" w:rsidTr="00135200">
        <w:tc>
          <w:tcPr>
            <w:tcW w:w="6345" w:type="dxa"/>
            <w:shd w:val="clear" w:color="auto" w:fill="D9D9D9"/>
          </w:tcPr>
          <w:p w14:paraId="15593538" w14:textId="77777777" w:rsidR="002B7EA6" w:rsidRPr="00527F65" w:rsidRDefault="0023110B" w:rsidP="00527F65">
            <w:pPr>
              <w:spacing w:before="0" w:after="0" w:line="240" w:lineRule="auto"/>
              <w:rPr>
                <w:rFonts w:cs="Arial"/>
              </w:rPr>
            </w:pPr>
            <w:r w:rsidRPr="00527F65">
              <w:rPr>
                <w:rFonts w:cs="Arial"/>
              </w:rPr>
              <w:t>Additional number of community based organisations trained in livelihoods activities</w:t>
            </w:r>
          </w:p>
          <w:p w14:paraId="15593539" w14:textId="77777777" w:rsidR="0023110B" w:rsidRPr="00527F65" w:rsidRDefault="0023110B" w:rsidP="00527F65">
            <w:pPr>
              <w:spacing w:before="0" w:after="0" w:line="240" w:lineRule="auto"/>
              <w:rPr>
                <w:rFonts w:cs="Arial"/>
              </w:rPr>
            </w:pPr>
          </w:p>
        </w:tc>
        <w:tc>
          <w:tcPr>
            <w:tcW w:w="2552" w:type="dxa"/>
            <w:shd w:val="clear" w:color="auto" w:fill="D9D9D9"/>
          </w:tcPr>
          <w:p w14:paraId="1559353A" w14:textId="77777777" w:rsidR="002B7EA6" w:rsidRPr="00527F65" w:rsidRDefault="0023110B" w:rsidP="00527F65">
            <w:pPr>
              <w:spacing w:before="0" w:after="0" w:line="240" w:lineRule="auto"/>
              <w:rPr>
                <w:rFonts w:cs="Arial"/>
              </w:rPr>
            </w:pPr>
            <w:r w:rsidRPr="00527F65">
              <w:rPr>
                <w:rFonts w:cs="Arial"/>
              </w:rPr>
              <w:t>390</w:t>
            </w:r>
          </w:p>
        </w:tc>
      </w:tr>
      <w:tr w:rsidR="002B7EA6" w:rsidRPr="00527F65" w14:paraId="1559353F" w14:textId="77777777" w:rsidTr="00135200">
        <w:tc>
          <w:tcPr>
            <w:tcW w:w="6345" w:type="dxa"/>
            <w:shd w:val="clear" w:color="auto" w:fill="auto"/>
          </w:tcPr>
          <w:p w14:paraId="1559353C" w14:textId="77777777" w:rsidR="002B7EA6" w:rsidRPr="00527F65" w:rsidRDefault="0023110B" w:rsidP="00527F65">
            <w:pPr>
              <w:spacing w:before="0" w:after="0" w:line="240" w:lineRule="auto"/>
              <w:rPr>
                <w:rFonts w:cs="Arial"/>
              </w:rPr>
            </w:pPr>
            <w:r w:rsidRPr="00527F65">
              <w:rPr>
                <w:rFonts w:cs="Arial"/>
              </w:rPr>
              <w:t>Increase in food production and incomes of farmers and rural households in the central dry zone and Irrawaddy Delta</w:t>
            </w:r>
            <w:r w:rsidR="002C3AC4" w:rsidRPr="00527F65">
              <w:rPr>
                <w:rFonts w:cs="Arial"/>
              </w:rPr>
              <w:t>*</w:t>
            </w:r>
          </w:p>
          <w:p w14:paraId="1559353D" w14:textId="77777777" w:rsidR="0023110B" w:rsidRPr="00527F65" w:rsidRDefault="0023110B" w:rsidP="00527F65">
            <w:pPr>
              <w:spacing w:before="0" w:after="0" w:line="240" w:lineRule="auto"/>
              <w:rPr>
                <w:rFonts w:cs="Arial"/>
              </w:rPr>
            </w:pPr>
          </w:p>
        </w:tc>
        <w:tc>
          <w:tcPr>
            <w:tcW w:w="2552" w:type="dxa"/>
            <w:shd w:val="clear" w:color="auto" w:fill="auto"/>
          </w:tcPr>
          <w:p w14:paraId="1559353E" w14:textId="77777777" w:rsidR="002B7EA6" w:rsidRPr="00527F65" w:rsidRDefault="0023110B" w:rsidP="00527F65">
            <w:pPr>
              <w:spacing w:before="0" w:after="0" w:line="240" w:lineRule="auto"/>
              <w:rPr>
                <w:rFonts w:cs="Arial"/>
              </w:rPr>
            </w:pPr>
            <w:r w:rsidRPr="00527F65">
              <w:rPr>
                <w:rFonts w:cs="Arial"/>
              </w:rPr>
              <w:t>50%</w:t>
            </w:r>
          </w:p>
        </w:tc>
      </w:tr>
    </w:tbl>
    <w:p w14:paraId="15593540" w14:textId="77777777" w:rsidR="000A7929" w:rsidRDefault="00674565" w:rsidP="00527F65">
      <w:pPr>
        <w:spacing w:before="0" w:after="0" w:line="240" w:lineRule="auto"/>
      </w:pPr>
      <w:r w:rsidRPr="00527F65">
        <w:rPr>
          <w:sz w:val="15"/>
          <w:szCs w:val="15"/>
        </w:rPr>
        <w:t xml:space="preserve">*Indicators that directly contribute to </w:t>
      </w:r>
      <w:r w:rsidR="00EB13D2" w:rsidRPr="00527F65">
        <w:rPr>
          <w:sz w:val="15"/>
          <w:szCs w:val="15"/>
        </w:rPr>
        <w:t xml:space="preserve">the </w:t>
      </w:r>
      <w:r w:rsidRPr="00527F65">
        <w:rPr>
          <w:sz w:val="15"/>
          <w:szCs w:val="15"/>
        </w:rPr>
        <w:t xml:space="preserve">Tier 2 Results outlined in the Results Framework of Australia’s Comprehensive Aid </w:t>
      </w:r>
      <w:r w:rsidR="00040B20" w:rsidRPr="00527F65">
        <w:rPr>
          <w:sz w:val="15"/>
          <w:szCs w:val="15"/>
        </w:rPr>
        <w:br/>
      </w:r>
      <w:r w:rsidRPr="00527F65">
        <w:rPr>
          <w:sz w:val="15"/>
          <w:szCs w:val="15"/>
        </w:rPr>
        <w:t>Policy Framework</w:t>
      </w:r>
      <w:r w:rsidR="00EB13D2" w:rsidRPr="00527F65">
        <w:rPr>
          <w:sz w:val="15"/>
          <w:szCs w:val="15"/>
        </w:rPr>
        <w:t>.</w:t>
      </w:r>
      <w:r w:rsidR="002B7EA6">
        <w:br w:type="page"/>
      </w:r>
    </w:p>
    <w:p w14:paraId="15593541" w14:textId="77777777" w:rsidR="0089582F" w:rsidRDefault="0023110B" w:rsidP="00527F65">
      <w:pPr>
        <w:pStyle w:val="Heading2"/>
      </w:pPr>
      <w:bookmarkStart w:id="22" w:name="_Toc347220234"/>
      <w:r>
        <w:lastRenderedPageBreak/>
        <w:t>R</w:t>
      </w:r>
      <w:r w:rsidR="00D81143">
        <w:t>isk management</w:t>
      </w:r>
      <w:bookmarkEnd w:id="22"/>
    </w:p>
    <w:p w14:paraId="15593542" w14:textId="77777777" w:rsidR="000A7929" w:rsidRDefault="00C67D0D" w:rsidP="00527F65">
      <w:r>
        <w:t>T</w:t>
      </w:r>
      <w:r w:rsidR="000A7929" w:rsidRPr="000A7929">
        <w:t xml:space="preserve">here are </w:t>
      </w:r>
      <w:r w:rsidR="00897639">
        <w:t xml:space="preserve">five </w:t>
      </w:r>
      <w:r>
        <w:t xml:space="preserve">main </w:t>
      </w:r>
      <w:r w:rsidR="000A7929" w:rsidRPr="000A7929">
        <w:t xml:space="preserve">risks to the Australian aid program in </w:t>
      </w:r>
      <w:r w:rsidR="00CB357D">
        <w:t>Myanmar</w:t>
      </w:r>
      <w:r w:rsidR="000A7929" w:rsidRPr="000A7929">
        <w:t xml:space="preserve"> over the next two years. </w:t>
      </w:r>
    </w:p>
    <w:p w14:paraId="15593543" w14:textId="77777777" w:rsidR="005D0D74" w:rsidRDefault="005D0D74" w:rsidP="00527F65">
      <w:pPr>
        <w:pStyle w:val="Heading4"/>
      </w:pPr>
      <w:r>
        <w:t xml:space="preserve">The influx of donors, along with increased money and programs, undermines coordination and the effectiveness of our aid </w:t>
      </w:r>
    </w:p>
    <w:p w14:paraId="15593544" w14:textId="77777777" w:rsidR="005D0D74" w:rsidRDefault="005D0D74" w:rsidP="00527F65">
      <w:r>
        <w:t>As an experienced and significant donor to Myanmar, Australia</w:t>
      </w:r>
      <w:r w:rsidR="00D20ED8">
        <w:t>—</w:t>
      </w:r>
      <w:r>
        <w:t>in partnership with other major donors</w:t>
      </w:r>
      <w:r w:rsidR="00D20ED8">
        <w:t>—</w:t>
      </w:r>
      <w:r>
        <w:t>will play a lead role in aid coordination to ensure the Myanmar Government is not overwhelmed by the expected influx of donors to the country</w:t>
      </w:r>
      <w:r w:rsidR="00BB75AB">
        <w:t xml:space="preserve">. </w:t>
      </w:r>
      <w:r>
        <w:t xml:space="preserve">We will build on established relationships and mechanisms for donor coordination, and will advocate for Myanmar leadership on aid coordination where possible. We will advocate for the collaborative development of Myanmar Government plans to ensure that appropriate priorities are widely shared. We will focus our assistance on areas where we have a comparative advantage and encourage development partners to do </w:t>
      </w:r>
      <w:r w:rsidR="00197D1D">
        <w:t>the same</w:t>
      </w:r>
      <w:r>
        <w:t>.</w:t>
      </w:r>
    </w:p>
    <w:p w14:paraId="15593545" w14:textId="77777777" w:rsidR="005D0D74" w:rsidRDefault="005D0D74" w:rsidP="00527F65">
      <w:pPr>
        <w:pStyle w:val="Heading4"/>
      </w:pPr>
      <w:r>
        <w:t>The growth in Australia’s aid program imposes excessive administrative costs</w:t>
      </w:r>
    </w:p>
    <w:p w14:paraId="15593546" w14:textId="77777777" w:rsidR="005D0D74" w:rsidRDefault="005D0D74" w:rsidP="00527F65">
      <w:r>
        <w:t>Managing the growth in Australia’s aid program to Myanmar will require not only appropriate staffing and infrastructure, but a disciplined approach to program management</w:t>
      </w:r>
      <w:r w:rsidR="00BB75AB">
        <w:t xml:space="preserve">. </w:t>
      </w:r>
      <w:r>
        <w:t xml:space="preserve">Supporting fewer, larger programs in our key sectors will be central to containing the administrative costs of our aid program to Myanmar, and ensuring the maximum amount of assistance is delivered to those who most need it. While there will be opportunities for new and useful development activities, these must be prioritised to ensure Australia meets its commitments to the people of Myanmar and development partners, and the objectives of the </w:t>
      </w:r>
      <w:r w:rsidR="00040B20">
        <w:br/>
      </w:r>
      <w:r>
        <w:t>aid program.</w:t>
      </w:r>
    </w:p>
    <w:p w14:paraId="15593547" w14:textId="77777777" w:rsidR="00DA1184" w:rsidRDefault="00781DED" w:rsidP="00527F65">
      <w:pPr>
        <w:pStyle w:val="Heading4"/>
      </w:pPr>
      <w:r>
        <w:t>Donor support overwhelms local systems</w:t>
      </w:r>
    </w:p>
    <w:p w14:paraId="15593548" w14:textId="77777777" w:rsidR="00781DED" w:rsidRDefault="00781DED" w:rsidP="00527F65">
      <w:r w:rsidRPr="00781DED">
        <w:t>Australia will work to ensure that building the capacity of Myanmar institutions is central to its aid interventions</w:t>
      </w:r>
      <w:r w:rsidR="00BB75AB">
        <w:t xml:space="preserve">. </w:t>
      </w:r>
      <w:r w:rsidRPr="00781DED">
        <w:t xml:space="preserve">The Myanmar Government has not been directly involved in the administration of </w:t>
      </w:r>
      <w:r w:rsidR="00040B20">
        <w:br/>
      </w:r>
      <w:r w:rsidRPr="00781DED">
        <w:t>multi-donor development programs</w:t>
      </w:r>
      <w:r>
        <w:t xml:space="preserve"> to date</w:t>
      </w:r>
      <w:r w:rsidR="00BB75AB">
        <w:t xml:space="preserve">. </w:t>
      </w:r>
      <w:r w:rsidRPr="00781DED">
        <w:t xml:space="preserve">However, without Myanmar ownership of the development agenda, benefits from donor programs are likely to be unsustainable. Support for democratisation in Myanmar must include support for </w:t>
      </w:r>
      <w:r w:rsidR="00197D1D">
        <w:t>g</w:t>
      </w:r>
      <w:r w:rsidRPr="00781DED">
        <w:t>overnment institutions to deliver better services to the people.</w:t>
      </w:r>
      <w:r>
        <w:t xml:space="preserve"> </w:t>
      </w:r>
    </w:p>
    <w:p w14:paraId="15593549" w14:textId="77777777" w:rsidR="0025236A" w:rsidRDefault="0025236A" w:rsidP="00527F65">
      <w:pPr>
        <w:pStyle w:val="Heading4"/>
      </w:pPr>
      <w:r>
        <w:t>Australian aid is diverted due to corruption</w:t>
      </w:r>
    </w:p>
    <w:p w14:paraId="1559354A" w14:textId="77777777" w:rsidR="0025236A" w:rsidRDefault="0025236A" w:rsidP="00527F65">
      <w:r>
        <w:t xml:space="preserve">Corruption remains a concern due to the lack of </w:t>
      </w:r>
      <w:r w:rsidR="00F27285">
        <w:t xml:space="preserve">capacity for </w:t>
      </w:r>
      <w:r>
        <w:t>transparent and accountable financial management in Myanmar. These issues are not unc</w:t>
      </w:r>
      <w:r w:rsidRPr="00897639">
        <w:t>ommon</w:t>
      </w:r>
      <w:r>
        <w:t xml:space="preserve"> </w:t>
      </w:r>
      <w:r w:rsidRPr="00897639">
        <w:t xml:space="preserve">in many of the countries in which </w:t>
      </w:r>
      <w:r w:rsidR="00197D1D" w:rsidRPr="00897639">
        <w:t>Aus</w:t>
      </w:r>
      <w:r w:rsidR="00197D1D">
        <w:t>tralia</w:t>
      </w:r>
      <w:r w:rsidR="00197D1D" w:rsidRPr="00897639">
        <w:t xml:space="preserve"> </w:t>
      </w:r>
      <w:r w:rsidRPr="00897639">
        <w:t>delivers aid. AusAID has a zero tolerance approach to fraud</w:t>
      </w:r>
      <w:r>
        <w:t xml:space="preserve"> and corruption </w:t>
      </w:r>
      <w:r w:rsidRPr="00897639">
        <w:t xml:space="preserve">in </w:t>
      </w:r>
      <w:r>
        <w:t>the</w:t>
      </w:r>
      <w:r w:rsidRPr="00897639">
        <w:t xml:space="preserve"> aid program</w:t>
      </w:r>
      <w:r>
        <w:t xml:space="preserve"> and</w:t>
      </w:r>
      <w:r w:rsidRPr="00897639">
        <w:t xml:space="preserve"> takes all possible steps to ensure Australian taxpayer funds</w:t>
      </w:r>
      <w:r>
        <w:t xml:space="preserve"> are not misused.</w:t>
      </w:r>
      <w:r w:rsidRPr="00897639">
        <w:t xml:space="preserve"> </w:t>
      </w:r>
      <w:r>
        <w:t xml:space="preserve">It is not envisaged that any funds will be provided through Myanmar Government systems in the near term. Any consideration of future support will be informed by the World Bank review of public financial management that Australia </w:t>
      </w:r>
      <w:r w:rsidR="00040B20">
        <w:br/>
      </w:r>
      <w:r>
        <w:t>is supporting.</w:t>
      </w:r>
    </w:p>
    <w:p w14:paraId="1559354B" w14:textId="77777777" w:rsidR="000A7929" w:rsidRDefault="000A7929" w:rsidP="00527F65">
      <w:pPr>
        <w:pStyle w:val="Heading4"/>
      </w:pPr>
      <w:r>
        <w:t>The reform agenda stalls or regresses</w:t>
      </w:r>
    </w:p>
    <w:p w14:paraId="1559354C" w14:textId="77777777" w:rsidR="000A7929" w:rsidRPr="000A7929" w:rsidRDefault="00C67D0D" w:rsidP="00527F65">
      <w:r>
        <w:t xml:space="preserve">Australia </w:t>
      </w:r>
      <w:r w:rsidR="00781DED">
        <w:t>could</w:t>
      </w:r>
      <w:r>
        <w:t xml:space="preserve"> </w:t>
      </w:r>
      <w:r w:rsidR="001D1BA3">
        <w:t xml:space="preserve">use </w:t>
      </w:r>
      <w:r w:rsidR="00F27285">
        <w:t>partnerships with the U</w:t>
      </w:r>
      <w:r w:rsidR="00144858">
        <w:t xml:space="preserve">nited </w:t>
      </w:r>
      <w:r w:rsidR="00F27285">
        <w:t>N</w:t>
      </w:r>
      <w:r w:rsidR="00144858">
        <w:t>ations</w:t>
      </w:r>
      <w:r w:rsidR="00F27285">
        <w:t xml:space="preserve"> and </w:t>
      </w:r>
      <w:r w:rsidR="00144858">
        <w:t>non-government organisation</w:t>
      </w:r>
      <w:r w:rsidR="00F27285">
        <w:t xml:space="preserve"> partners to </w:t>
      </w:r>
      <w:r w:rsidR="002D392A">
        <w:t>return</w:t>
      </w:r>
      <w:r>
        <w:t xml:space="preserve"> to the model of delivering assistance that has </w:t>
      </w:r>
      <w:r w:rsidR="002D392A">
        <w:t>worked</w:t>
      </w:r>
      <w:r>
        <w:t xml:space="preserve"> in the past</w:t>
      </w:r>
      <w:r w:rsidR="001D1BA3">
        <w:t>,</w:t>
      </w:r>
      <w:r w:rsidR="00DA1184">
        <w:t xml:space="preserve"> should the reform process stall or regress</w:t>
      </w:r>
      <w:r w:rsidR="00BB75AB">
        <w:t xml:space="preserve">. </w:t>
      </w:r>
      <w:r w:rsidR="001D1BA3">
        <w:t>A</w:t>
      </w:r>
      <w:r w:rsidR="00F27285">
        <w:t xml:space="preserve"> return to this model </w:t>
      </w:r>
      <w:r w:rsidR="00DA1184">
        <w:t>could</w:t>
      </w:r>
      <w:r w:rsidR="001D1BA3">
        <w:t xml:space="preserve"> equally</w:t>
      </w:r>
      <w:r w:rsidR="00DA1184">
        <w:t xml:space="preserve"> be </w:t>
      </w:r>
      <w:r w:rsidR="00F27285">
        <w:t>considered should there be resumption</w:t>
      </w:r>
      <w:r w:rsidR="002F2A27">
        <w:t xml:space="preserve"> </w:t>
      </w:r>
      <w:r w:rsidR="00F27285">
        <w:t>or escalation</w:t>
      </w:r>
      <w:r w:rsidR="002F2A27">
        <w:t xml:space="preserve"> </w:t>
      </w:r>
      <w:r w:rsidR="00F27285">
        <w:t xml:space="preserve">of </w:t>
      </w:r>
      <w:r w:rsidR="002F2A27">
        <w:t xml:space="preserve">conflict </w:t>
      </w:r>
      <w:r w:rsidR="004B3089">
        <w:t xml:space="preserve">and any resulting displacement. </w:t>
      </w:r>
      <w:r>
        <w:t xml:space="preserve">We </w:t>
      </w:r>
      <w:r w:rsidR="002D392A">
        <w:t>c</w:t>
      </w:r>
      <w:r>
        <w:t xml:space="preserve">ould </w:t>
      </w:r>
      <w:r w:rsidR="002D392A">
        <w:t>deliver</w:t>
      </w:r>
      <w:r>
        <w:t xml:space="preserve"> </w:t>
      </w:r>
      <w:r w:rsidR="002D392A">
        <w:t xml:space="preserve">services </w:t>
      </w:r>
      <w:r>
        <w:t xml:space="preserve">in education, health and agriculture </w:t>
      </w:r>
      <w:r w:rsidR="002D392A">
        <w:t xml:space="preserve">while </w:t>
      </w:r>
      <w:r>
        <w:t xml:space="preserve">still supporting capacity building </w:t>
      </w:r>
      <w:r w:rsidR="00781DED">
        <w:t xml:space="preserve">of Myanmar Government systems </w:t>
      </w:r>
      <w:r>
        <w:t>where possible</w:t>
      </w:r>
      <w:r w:rsidR="00BB75AB">
        <w:t xml:space="preserve">. </w:t>
      </w:r>
      <w:r w:rsidR="00D32F32">
        <w:t>Australia has shown we can deliver essential services b</w:t>
      </w:r>
      <w:r>
        <w:t xml:space="preserve">y working </w:t>
      </w:r>
      <w:r w:rsidR="00D32F32">
        <w:t>with U</w:t>
      </w:r>
      <w:r w:rsidR="00144858">
        <w:t xml:space="preserve">nited </w:t>
      </w:r>
      <w:r w:rsidR="00D32F32">
        <w:t>N</w:t>
      </w:r>
      <w:r w:rsidR="00144858">
        <w:t>ations</w:t>
      </w:r>
      <w:r w:rsidR="00D32F32">
        <w:t xml:space="preserve"> and </w:t>
      </w:r>
      <w:r w:rsidR="00144858">
        <w:t>non-government organisation</w:t>
      </w:r>
      <w:r w:rsidR="00D32F32">
        <w:t xml:space="preserve"> partners</w:t>
      </w:r>
      <w:r w:rsidR="004B3089">
        <w:t xml:space="preserve"> with access to those most in need</w:t>
      </w:r>
      <w:r w:rsidR="00572143">
        <w:t xml:space="preserve">. </w:t>
      </w:r>
    </w:p>
    <w:p w14:paraId="1559354D" w14:textId="77777777" w:rsidR="00D81143" w:rsidRPr="00D81143" w:rsidRDefault="00ED06CB" w:rsidP="00527F65">
      <w:pPr>
        <w:pStyle w:val="Heading1"/>
      </w:pPr>
      <w:bookmarkStart w:id="23" w:name="_Toc347220235"/>
      <w:r>
        <w:rPr>
          <w:noProof/>
        </w:rPr>
        <w:lastRenderedPageBreak/>
        <w:drawing>
          <wp:anchor distT="0" distB="0" distL="114300" distR="114300" simplePos="0" relativeHeight="251661312" behindDoc="1" locked="0" layoutInCell="1" allowOverlap="1" wp14:anchorId="15593568" wp14:editId="15593569">
            <wp:simplePos x="0" y="0"/>
            <wp:positionH relativeFrom="page">
              <wp:posOffset>-92710</wp:posOffset>
            </wp:positionH>
            <wp:positionV relativeFrom="page">
              <wp:posOffset>1054735</wp:posOffset>
            </wp:positionV>
            <wp:extent cx="7788910" cy="1585595"/>
            <wp:effectExtent l="0" t="0" r="2540" b="0"/>
            <wp:wrapNone/>
            <wp:docPr id="12" name="Picture 12"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AID_report_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anchor>
        </w:drawing>
      </w:r>
      <w:r w:rsidR="00D81143">
        <w:rPr>
          <w:noProof/>
        </w:rPr>
        <w:t>References</w:t>
      </w:r>
      <w:bookmarkEnd w:id="23"/>
    </w:p>
    <w:p w14:paraId="1559354E" w14:textId="77777777" w:rsidR="00993138" w:rsidRPr="00993138" w:rsidRDefault="00993138" w:rsidP="00527F65">
      <w:pPr>
        <w:pStyle w:val="BodyText"/>
      </w:pPr>
    </w:p>
    <w:p w14:paraId="1559354F" w14:textId="77777777" w:rsidR="00993138" w:rsidRDefault="006B1BAD" w:rsidP="00527F65">
      <w:pPr>
        <w:pStyle w:val="BodyText"/>
      </w:pPr>
      <w:r>
        <w:t>AusAID, Burma</w:t>
      </w:r>
      <w:r w:rsidRPr="00550F28">
        <w:t xml:space="preserve"> Annual Program Performance Re</w:t>
      </w:r>
      <w:r w:rsidR="00E80898">
        <w:t>view</w:t>
      </w:r>
      <w:r w:rsidRPr="00550F28">
        <w:t xml:space="preserve"> 2011</w:t>
      </w:r>
      <w:r>
        <w:t>, July 2012</w:t>
      </w:r>
    </w:p>
    <w:p w14:paraId="15593550" w14:textId="77777777" w:rsidR="004F2395" w:rsidRPr="00A60D31" w:rsidRDefault="00EB13D2" w:rsidP="00527F65">
      <w:pPr>
        <w:pStyle w:val="BodyText"/>
      </w:pPr>
      <w:r>
        <w:t xml:space="preserve">AusAID, </w:t>
      </w:r>
      <w:r w:rsidR="004F2395" w:rsidRPr="00A60D31">
        <w:t>Helping the World’s Poor through Effective Aid: Australia’s Comprehensive Aid Policy Framework to 2015–16</w:t>
      </w:r>
    </w:p>
    <w:p w14:paraId="15593551" w14:textId="77777777" w:rsidR="00DD3372" w:rsidRDefault="00DD3372" w:rsidP="00527F65">
      <w:pPr>
        <w:pStyle w:val="BodyText"/>
      </w:pPr>
      <w:r>
        <w:t xml:space="preserve">Livelihoods and Food Security Trust Fund, </w:t>
      </w:r>
      <w:r w:rsidRPr="00DD3372">
        <w:rPr>
          <w:i/>
        </w:rPr>
        <w:t>Mid-Term Review</w:t>
      </w:r>
      <w:r>
        <w:t>, 2009</w:t>
      </w:r>
    </w:p>
    <w:p w14:paraId="15593552" w14:textId="77777777" w:rsidR="00DD3372" w:rsidRDefault="00DD3372" w:rsidP="00527F65">
      <w:pPr>
        <w:pStyle w:val="BodyText"/>
      </w:pPr>
      <w:r>
        <w:t>United Nations Development Program</w:t>
      </w:r>
      <w:r w:rsidR="00EB13D2">
        <w:t>me</w:t>
      </w:r>
      <w:r>
        <w:t xml:space="preserve">, </w:t>
      </w:r>
      <w:r w:rsidRPr="00DD3372">
        <w:rPr>
          <w:i/>
        </w:rPr>
        <w:t xml:space="preserve">Human Development </w:t>
      </w:r>
      <w:r w:rsidR="00431F08" w:rsidRPr="00DD3372">
        <w:rPr>
          <w:i/>
        </w:rPr>
        <w:t>Report</w:t>
      </w:r>
      <w:r w:rsidR="00431F08">
        <w:t>,</w:t>
      </w:r>
      <w:r>
        <w:t xml:space="preserve"> 2011</w:t>
      </w:r>
    </w:p>
    <w:p w14:paraId="15593553" w14:textId="77777777" w:rsidR="004F2395" w:rsidRDefault="004F2395" w:rsidP="00527F65">
      <w:pPr>
        <w:pStyle w:val="BodyText"/>
      </w:pPr>
      <w:r w:rsidRPr="00DD3372">
        <w:t>United Nations Development Program</w:t>
      </w:r>
      <w:r w:rsidR="00EB13D2">
        <w:t>me</w:t>
      </w:r>
      <w:r>
        <w:t xml:space="preserve"> and Government of Myanmar, </w:t>
      </w:r>
      <w:r w:rsidRPr="00DD3372">
        <w:rPr>
          <w:i/>
        </w:rPr>
        <w:t>Independent Household Living Conditions Assessment</w:t>
      </w:r>
      <w:r>
        <w:t>, 2010</w:t>
      </w:r>
    </w:p>
    <w:p w14:paraId="15593554" w14:textId="77777777" w:rsidR="00DD3372" w:rsidRDefault="00DD3372" w:rsidP="00527F65">
      <w:pPr>
        <w:pStyle w:val="BodyText"/>
      </w:pPr>
      <w:r>
        <w:t xml:space="preserve">UNICEF, </w:t>
      </w:r>
      <w:r w:rsidRPr="00DD3372">
        <w:t>Country Profile: Myanmar</w:t>
      </w:r>
      <w:r w:rsidR="00EB13D2">
        <w:t>—</w:t>
      </w:r>
      <w:r w:rsidRPr="00DD3372">
        <w:t>Maternal, Newborn and Child Survival</w:t>
      </w:r>
      <w:r>
        <w:t>, 2010</w:t>
      </w:r>
    </w:p>
    <w:p w14:paraId="15593555" w14:textId="77777777" w:rsidR="00D81143" w:rsidRDefault="00DD3372" w:rsidP="00527F65">
      <w:pPr>
        <w:pStyle w:val="BodyText"/>
      </w:pPr>
      <w:r>
        <w:t xml:space="preserve">UNICEF, </w:t>
      </w:r>
      <w:r w:rsidRPr="00A60D31">
        <w:t>Myanmar Multiple Indicator Cluster Survey Data 2009</w:t>
      </w:r>
      <w:r w:rsidR="006C0E00" w:rsidRPr="00A60D31">
        <w:t>–</w:t>
      </w:r>
      <w:r w:rsidRPr="00A60D31">
        <w:t>10</w:t>
      </w:r>
      <w:r>
        <w:t>, 2010</w:t>
      </w:r>
    </w:p>
    <w:p w14:paraId="15593556" w14:textId="77777777" w:rsidR="004F2395" w:rsidRDefault="004F2395" w:rsidP="00527F65">
      <w:pPr>
        <w:pStyle w:val="BodyText"/>
      </w:pPr>
      <w:r>
        <w:t xml:space="preserve">World </w:t>
      </w:r>
      <w:r w:rsidRPr="00EB13D2">
        <w:t xml:space="preserve">Food </w:t>
      </w:r>
      <w:r w:rsidRPr="00A60D31">
        <w:t>Program</w:t>
      </w:r>
      <w:r w:rsidR="00EB13D2" w:rsidRPr="00A60D31">
        <w:t>me</w:t>
      </w:r>
      <w:r w:rsidRPr="00A60D31">
        <w:t>/Food and Agriculture</w:t>
      </w:r>
      <w:r w:rsidRPr="00EB13D2">
        <w:t xml:space="preserve"> Organi</w:t>
      </w:r>
      <w:r w:rsidR="00EB13D2" w:rsidRPr="000817F5">
        <w:t>z</w:t>
      </w:r>
      <w:r w:rsidRPr="00215892">
        <w:t xml:space="preserve">ation, </w:t>
      </w:r>
      <w:r w:rsidRPr="00215892">
        <w:rPr>
          <w:i/>
        </w:rPr>
        <w:t>Crop and Food Security Assessment Mission</w:t>
      </w:r>
      <w:r w:rsidRPr="001D1BA3">
        <w:t>, 200</w:t>
      </w:r>
      <w:r w:rsidRPr="00EF7D8E">
        <w:t>9</w:t>
      </w:r>
    </w:p>
    <w:p w14:paraId="15593557" w14:textId="77777777" w:rsidR="004F2395" w:rsidRPr="00D81143" w:rsidRDefault="004F2395" w:rsidP="00527F65">
      <w:pPr>
        <w:pStyle w:val="BodyText"/>
      </w:pPr>
    </w:p>
    <w:sectPr w:rsidR="004F2395" w:rsidRPr="00D81143" w:rsidSect="00A960E9">
      <w:headerReference w:type="even" r:id="rId24"/>
      <w:footerReference w:type="even" r:id="rId25"/>
      <w:footerReference w:type="default" r:id="rId26"/>
      <w:pgSz w:w="11907" w:h="16840" w:code="9"/>
      <w:pgMar w:top="2381" w:right="1474" w:bottom="851" w:left="147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9356C" w14:textId="77777777" w:rsidR="00DE6FD7" w:rsidRDefault="00DE6FD7" w:rsidP="00527F65">
      <w:r>
        <w:separator/>
      </w:r>
    </w:p>
  </w:endnote>
  <w:endnote w:type="continuationSeparator" w:id="0">
    <w:p w14:paraId="1559356D" w14:textId="77777777" w:rsidR="00DE6FD7" w:rsidRDefault="00DE6FD7" w:rsidP="0052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5D53" w14:textId="77777777" w:rsidR="00FE61C1" w:rsidRDefault="00FE6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44B4" w14:textId="77777777" w:rsidR="00FE61C1" w:rsidRDefault="00FE61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05D14" w14:textId="77777777" w:rsidR="00FE61C1" w:rsidRDefault="00FE61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3570" w14:textId="77777777" w:rsidR="00DE6FD7" w:rsidRPr="00AD612A" w:rsidRDefault="00DE6FD7" w:rsidP="00527F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sidRPr="007C1ECE">
      <w:tab/>
    </w:r>
    <w:r w:rsidRPr="00592A83">
      <w:fldChar w:fldCharType="begin"/>
    </w:r>
    <w:r w:rsidRPr="00592A83">
      <w:instrText xml:space="preserve"> STYLEREF Title \* MERGEFORMAT </w:instrText>
    </w:r>
    <w:r w:rsidRPr="00592A83">
      <w:fldChar w:fldCharType="end"/>
    </w:r>
    <w:r>
      <w:tab/>
    </w:r>
    <w:r w:rsidRPr="007A2D4A">
      <w:rPr>
        <w:color w:val="99988B"/>
      </w:rPr>
      <w:t>www.ausaid.gov.au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3571" w14:textId="77777777" w:rsidR="00DE6FD7" w:rsidRPr="001260C2" w:rsidRDefault="00DE6FD7" w:rsidP="00527F65">
    <w:pPr>
      <w:pStyle w:val="Footer"/>
    </w:pPr>
    <w:r>
      <w:tab/>
    </w:r>
    <w:r w:rsidRPr="007A2D4A">
      <w:rPr>
        <w:color w:val="99988B"/>
      </w:rPr>
      <w:t>www.ausaid.gov.au</w:t>
    </w:r>
    <w:r>
      <w:tab/>
    </w:r>
    <w:r w:rsidR="00FE61C1">
      <w:fldChar w:fldCharType="begin"/>
    </w:r>
    <w:r w:rsidR="00FE61C1">
      <w:instrText xml:space="preserve"> STYLEREF Title \* MERGEFORMAT </w:instrText>
    </w:r>
    <w:r w:rsidR="00FE61C1">
      <w:fldChar w:fldCharType="separate"/>
    </w:r>
    <w:r w:rsidR="00FE61C1">
      <w:rPr>
        <w:noProof/>
      </w:rPr>
      <w:t>Australia – Myanmar Aid Program Strategy (2012–14)</w:t>
    </w:r>
    <w:r w:rsidR="00FE61C1">
      <w:rPr>
        <w:noProof/>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FE61C1">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9356A" w14:textId="77777777" w:rsidR="00DE6FD7" w:rsidRDefault="00DE6FD7" w:rsidP="00527F65">
      <w:r>
        <w:separator/>
      </w:r>
    </w:p>
  </w:footnote>
  <w:footnote w:type="continuationSeparator" w:id="0">
    <w:p w14:paraId="1559356B" w14:textId="77777777" w:rsidR="00DE6FD7" w:rsidRDefault="00DE6FD7" w:rsidP="00527F65">
      <w:r>
        <w:continuationSeparator/>
      </w:r>
    </w:p>
  </w:footnote>
  <w:footnote w:id="1">
    <w:p w14:paraId="15593572" w14:textId="77777777" w:rsidR="00DE6FD7" w:rsidRPr="00E568EA" w:rsidRDefault="00DE6FD7" w:rsidP="00527F65">
      <w:pPr>
        <w:pStyle w:val="FootnoteText"/>
        <w:spacing w:before="0" w:after="0"/>
        <w:rPr>
          <w:rStyle w:val="FootnoteReference"/>
          <w:rFonts w:ascii="Franklin Gothic Book" w:hAnsi="Franklin Gothic Book"/>
          <w:position w:val="6"/>
          <w:sz w:val="14"/>
          <w:szCs w:val="12"/>
          <w:vertAlign w:val="baseline"/>
        </w:rPr>
      </w:pPr>
      <w:r w:rsidRPr="00E568EA">
        <w:rPr>
          <w:rStyle w:val="FootnoteReference"/>
          <w:rFonts w:ascii="Franklin Gothic Book" w:hAnsi="Franklin Gothic Book"/>
          <w:position w:val="6"/>
          <w:sz w:val="14"/>
          <w:szCs w:val="12"/>
          <w:vertAlign w:val="baseline"/>
        </w:rPr>
        <w:footnoteRef/>
      </w:r>
      <w:r w:rsidRPr="00E568EA">
        <w:rPr>
          <w:rStyle w:val="FootnoteReference"/>
          <w:rFonts w:ascii="Franklin Gothic Book" w:hAnsi="Franklin Gothic Book"/>
          <w:position w:val="6"/>
          <w:sz w:val="14"/>
          <w:szCs w:val="12"/>
          <w:vertAlign w:val="baseline"/>
        </w:rPr>
        <w:t xml:space="preserve"> United Nations Development Programme (UNDP) and Myanmar Government, Integrated Household Living Conditions Assessment, 2010 (poverty figures are based on consumption expenditure, adjusted for factors such as differences in family composition and regional variations in food prices).</w:t>
      </w:r>
    </w:p>
  </w:footnote>
  <w:footnote w:id="2">
    <w:p w14:paraId="15593573" w14:textId="77777777" w:rsidR="00DE6FD7" w:rsidRPr="00E568EA" w:rsidRDefault="00DE6FD7" w:rsidP="00527F65">
      <w:pPr>
        <w:pStyle w:val="FootnoteText"/>
        <w:spacing w:before="0" w:after="0"/>
        <w:rPr>
          <w:rStyle w:val="FootnoteReference"/>
          <w:rFonts w:ascii="Franklin Gothic Book" w:hAnsi="Franklin Gothic Book"/>
          <w:position w:val="6"/>
          <w:sz w:val="14"/>
          <w:szCs w:val="12"/>
          <w:vertAlign w:val="baseline"/>
        </w:rPr>
      </w:pPr>
      <w:r w:rsidRPr="00E568EA">
        <w:rPr>
          <w:rStyle w:val="FootnoteReference"/>
          <w:rFonts w:ascii="Franklin Gothic Book" w:hAnsi="Franklin Gothic Book"/>
          <w:position w:val="6"/>
          <w:sz w:val="14"/>
          <w:szCs w:val="12"/>
          <w:vertAlign w:val="baseline"/>
        </w:rPr>
        <w:footnoteRef/>
      </w:r>
      <w:r w:rsidRPr="00E568EA">
        <w:rPr>
          <w:rStyle w:val="FootnoteReference"/>
          <w:rFonts w:ascii="Franklin Gothic Book" w:hAnsi="Franklin Gothic Book"/>
          <w:position w:val="6"/>
          <w:sz w:val="14"/>
          <w:szCs w:val="12"/>
          <w:vertAlign w:val="baseline"/>
        </w:rPr>
        <w:t xml:space="preserve"> UNDP, Human Development Report , 2011.</w:t>
      </w:r>
    </w:p>
  </w:footnote>
  <w:footnote w:id="3">
    <w:p w14:paraId="15593574" w14:textId="77777777" w:rsidR="00DE6FD7" w:rsidRPr="00E568EA" w:rsidRDefault="00DE6FD7" w:rsidP="00527F65">
      <w:pPr>
        <w:pStyle w:val="FootnoteText"/>
        <w:spacing w:before="0" w:after="0"/>
        <w:rPr>
          <w:rStyle w:val="FootnoteReference"/>
          <w:rFonts w:ascii="Franklin Gothic Book" w:hAnsi="Franklin Gothic Book"/>
          <w:position w:val="6"/>
          <w:sz w:val="14"/>
          <w:szCs w:val="12"/>
          <w:vertAlign w:val="baseline"/>
        </w:rPr>
      </w:pPr>
      <w:r w:rsidRPr="00E568EA">
        <w:rPr>
          <w:rStyle w:val="FootnoteReference"/>
          <w:rFonts w:ascii="Franklin Gothic Book" w:hAnsi="Franklin Gothic Book"/>
          <w:position w:val="6"/>
          <w:sz w:val="14"/>
          <w:szCs w:val="12"/>
          <w:vertAlign w:val="baseline"/>
        </w:rPr>
        <w:footnoteRef/>
      </w:r>
      <w:r w:rsidRPr="00E568EA">
        <w:rPr>
          <w:rStyle w:val="FootnoteReference"/>
          <w:rFonts w:ascii="Franklin Gothic Book" w:hAnsi="Franklin Gothic Book"/>
          <w:position w:val="6"/>
          <w:sz w:val="14"/>
          <w:szCs w:val="12"/>
          <w:vertAlign w:val="baseline"/>
        </w:rPr>
        <w:t xml:space="preserve"> World Food Programme and Food and Agriculture Organization, Crop and Food Security Assessment Mission, 2009.</w:t>
      </w:r>
    </w:p>
  </w:footnote>
  <w:footnote w:id="4">
    <w:p w14:paraId="15593575" w14:textId="77777777" w:rsidR="00DE6FD7" w:rsidRPr="00E568EA" w:rsidRDefault="00DE6FD7" w:rsidP="00527F65">
      <w:pPr>
        <w:pStyle w:val="FootnoteText"/>
        <w:spacing w:before="0" w:after="0"/>
        <w:rPr>
          <w:rStyle w:val="FootnoteReference"/>
          <w:rFonts w:ascii="Franklin Gothic Book" w:hAnsi="Franklin Gothic Book"/>
          <w:position w:val="6"/>
          <w:sz w:val="14"/>
          <w:szCs w:val="12"/>
          <w:vertAlign w:val="baseline"/>
        </w:rPr>
      </w:pPr>
      <w:r w:rsidRPr="00E568EA">
        <w:rPr>
          <w:rStyle w:val="FootnoteReference"/>
          <w:rFonts w:ascii="Franklin Gothic Book" w:hAnsi="Franklin Gothic Book"/>
          <w:position w:val="6"/>
          <w:sz w:val="14"/>
          <w:szCs w:val="12"/>
          <w:vertAlign w:val="baseline"/>
        </w:rPr>
        <w:footnoteRef/>
      </w:r>
      <w:r w:rsidRPr="00E568EA">
        <w:rPr>
          <w:rStyle w:val="FootnoteReference"/>
          <w:rFonts w:ascii="Franklin Gothic Book" w:hAnsi="Franklin Gothic Book"/>
          <w:position w:val="6"/>
          <w:sz w:val="14"/>
          <w:szCs w:val="12"/>
          <w:vertAlign w:val="baseline"/>
        </w:rPr>
        <w:t xml:space="preserve"> Livelihoods and Food Security Trust Fund, Mid-Term Review, 2009.</w:t>
      </w:r>
    </w:p>
  </w:footnote>
  <w:footnote w:id="5">
    <w:p w14:paraId="15593576" w14:textId="77777777" w:rsidR="00DE6FD7" w:rsidRPr="00E568EA" w:rsidRDefault="00DE6FD7" w:rsidP="00527F65">
      <w:pPr>
        <w:pStyle w:val="FootnoteText"/>
        <w:spacing w:before="0" w:after="0"/>
        <w:rPr>
          <w:rStyle w:val="FootnoteReference"/>
          <w:rFonts w:ascii="Franklin Gothic Book" w:hAnsi="Franklin Gothic Book"/>
          <w:position w:val="6"/>
          <w:sz w:val="14"/>
          <w:szCs w:val="12"/>
          <w:vertAlign w:val="baseline"/>
        </w:rPr>
      </w:pPr>
      <w:r w:rsidRPr="00E568EA">
        <w:rPr>
          <w:rStyle w:val="FootnoteReference"/>
          <w:rFonts w:ascii="Franklin Gothic Book" w:hAnsi="Franklin Gothic Book"/>
          <w:position w:val="6"/>
          <w:sz w:val="14"/>
          <w:szCs w:val="12"/>
          <w:vertAlign w:val="baseline"/>
        </w:rPr>
        <w:footnoteRef/>
      </w:r>
      <w:r w:rsidRPr="00E568EA">
        <w:rPr>
          <w:rStyle w:val="FootnoteReference"/>
          <w:rFonts w:ascii="Franklin Gothic Book" w:hAnsi="Franklin Gothic Book"/>
          <w:position w:val="6"/>
          <w:sz w:val="14"/>
          <w:szCs w:val="12"/>
          <w:vertAlign w:val="baseline"/>
        </w:rPr>
        <w:t xml:space="preserve"> UNDP, Human Development Report , 2011.</w:t>
      </w:r>
    </w:p>
  </w:footnote>
  <w:footnote w:id="6">
    <w:p w14:paraId="15593577" w14:textId="77777777" w:rsidR="00DE6FD7" w:rsidRPr="00E568EA" w:rsidRDefault="00DE6FD7" w:rsidP="00527F65">
      <w:pPr>
        <w:pStyle w:val="FootnoteText"/>
        <w:spacing w:before="0" w:after="0"/>
        <w:rPr>
          <w:rStyle w:val="FootnoteReference"/>
          <w:rFonts w:ascii="Franklin Gothic Book" w:hAnsi="Franklin Gothic Book"/>
          <w:sz w:val="16"/>
          <w:szCs w:val="14"/>
          <w:vertAlign w:val="baseline"/>
        </w:rPr>
      </w:pPr>
      <w:r w:rsidRPr="00E568EA">
        <w:rPr>
          <w:rStyle w:val="FootnoteReference"/>
          <w:rFonts w:ascii="Franklin Gothic Book" w:hAnsi="Franklin Gothic Book"/>
          <w:position w:val="6"/>
          <w:sz w:val="14"/>
          <w:szCs w:val="12"/>
          <w:vertAlign w:val="baseline"/>
        </w:rPr>
        <w:footnoteRef/>
      </w:r>
      <w:r w:rsidRPr="00E568EA">
        <w:rPr>
          <w:rStyle w:val="FootnoteReference"/>
          <w:rFonts w:ascii="Franklin Gothic Book" w:hAnsi="Franklin Gothic Book"/>
          <w:position w:val="6"/>
          <w:sz w:val="14"/>
          <w:szCs w:val="12"/>
          <w:vertAlign w:val="baseline"/>
        </w:rPr>
        <w:t xml:space="preserve"> United National Children’s Fund (UNICEF), Country Profile: Myanmar — Maternal, Newborn and Child Survival, 2010.</w:t>
      </w:r>
    </w:p>
  </w:footnote>
  <w:footnote w:id="7">
    <w:p w14:paraId="15593578" w14:textId="77777777" w:rsidR="00DE6FD7" w:rsidRPr="00CF3738" w:rsidRDefault="00DE6FD7" w:rsidP="00527F65">
      <w:pPr>
        <w:pStyle w:val="FootnoteText"/>
        <w:spacing w:before="0" w:after="0"/>
        <w:rPr>
          <w:rStyle w:val="FootnoteReference"/>
          <w:rFonts w:ascii="Franklin Gothic Book" w:hAnsi="Franklin Gothic Book"/>
          <w:sz w:val="14"/>
          <w:szCs w:val="14"/>
          <w:vertAlign w:val="baseline"/>
        </w:rPr>
      </w:pPr>
      <w:r w:rsidRPr="00E568EA">
        <w:rPr>
          <w:rStyle w:val="FootnoteReference"/>
          <w:rFonts w:ascii="Franklin Gothic Book" w:hAnsi="Franklin Gothic Book"/>
          <w:position w:val="6"/>
          <w:sz w:val="14"/>
          <w:szCs w:val="12"/>
          <w:vertAlign w:val="baseline"/>
        </w:rPr>
        <w:footnoteRef/>
      </w:r>
      <w:r w:rsidRPr="00E568EA">
        <w:rPr>
          <w:rStyle w:val="FootnoteReference"/>
          <w:rFonts w:ascii="Franklin Gothic Book" w:hAnsi="Franklin Gothic Book"/>
          <w:position w:val="6"/>
          <w:sz w:val="14"/>
          <w:szCs w:val="12"/>
          <w:vertAlign w:val="baseline"/>
        </w:rPr>
        <w:t xml:space="preserve"> UNICEF, Myanmar Multiple Indicator Cluster Survey Data 2009–10, 2010.</w:t>
      </w:r>
    </w:p>
  </w:footnote>
  <w:footnote w:id="8">
    <w:p w14:paraId="15593579" w14:textId="77777777" w:rsidR="00DE6FD7" w:rsidRPr="00CF3738" w:rsidRDefault="00DE6FD7" w:rsidP="00527F65">
      <w:pPr>
        <w:pStyle w:val="FootnoteText"/>
        <w:rPr>
          <w:rStyle w:val="FootnoteReference"/>
          <w:rFonts w:ascii="Franklin Gothic Book" w:hAnsi="Franklin Gothic Book"/>
          <w:sz w:val="14"/>
          <w:szCs w:val="14"/>
          <w:vertAlign w:val="baseline"/>
        </w:rPr>
      </w:pPr>
      <w:r w:rsidRPr="00CF3738">
        <w:rPr>
          <w:rStyle w:val="FootnoteReference"/>
          <w:rFonts w:ascii="Franklin Gothic Book" w:hAnsi="Franklin Gothic Book"/>
          <w:position w:val="6"/>
          <w:sz w:val="12"/>
          <w:szCs w:val="12"/>
          <w:vertAlign w:val="baseline"/>
        </w:rPr>
        <w:footnoteRef/>
      </w:r>
      <w:r>
        <w:t xml:space="preserve"> </w:t>
      </w:r>
      <w:r w:rsidRPr="00CF3738">
        <w:rPr>
          <w:rStyle w:val="FootnoteReference"/>
          <w:rFonts w:ascii="Franklin Gothic Book" w:hAnsi="Franklin Gothic Book"/>
          <w:sz w:val="14"/>
          <w:szCs w:val="14"/>
          <w:vertAlign w:val="baseline"/>
        </w:rPr>
        <w:t>Human Rights Watch, September 2012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356E" w14:textId="77777777" w:rsidR="00DE6FD7" w:rsidRDefault="00DE6FD7" w:rsidP="00527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32D59" w14:textId="77777777" w:rsidR="00FE61C1" w:rsidRDefault="00FE61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FB218" w14:textId="77777777" w:rsidR="00FE61C1" w:rsidRDefault="00FE61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356F" w14:textId="77777777" w:rsidR="00DE6FD7" w:rsidRDefault="00DE6FD7" w:rsidP="00527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180"/>
    <w:multiLevelType w:val="hybridMultilevel"/>
    <w:tmpl w:val="294C9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C97A03"/>
    <w:multiLevelType w:val="hybridMultilevel"/>
    <w:tmpl w:val="4AF4E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AE6989"/>
    <w:multiLevelType w:val="hybridMultilevel"/>
    <w:tmpl w:val="038453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CE4A68"/>
    <w:multiLevelType w:val="hybridMultilevel"/>
    <w:tmpl w:val="87FA1DD8"/>
    <w:lvl w:ilvl="0" w:tplc="8A9887B4">
      <w:start w:val="1"/>
      <w:numFmt w:val="bullet"/>
      <w:lvlText w:val=""/>
      <w:lvlJc w:val="left"/>
      <w:pPr>
        <w:tabs>
          <w:tab w:val="num" w:pos="360"/>
        </w:tabs>
        <w:ind w:left="360" w:hanging="360"/>
      </w:pPr>
      <w:rPr>
        <w:rFonts w:ascii="Symbol" w:hAnsi="Symbol"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004B33"/>
    <w:multiLevelType w:val="hybridMultilevel"/>
    <w:tmpl w:val="5DF26E1E"/>
    <w:lvl w:ilvl="0" w:tplc="1CE2623E">
      <w:numFmt w:val="bullet"/>
      <w:lvlText w:val="•"/>
      <w:lvlJc w:val="left"/>
      <w:pPr>
        <w:ind w:left="717" w:hanging="360"/>
      </w:pPr>
      <w:rPr>
        <w:rFonts w:ascii="Georgia" w:eastAsia="Times New Roman" w:hAnsi="Georgi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nsid w:val="26122755"/>
    <w:multiLevelType w:val="hybridMultilevel"/>
    <w:tmpl w:val="538226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7940B8A"/>
    <w:multiLevelType w:val="hybridMultilevel"/>
    <w:tmpl w:val="DD6647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8">
    <w:nsid w:val="353D2400"/>
    <w:multiLevelType w:val="hybridMultilevel"/>
    <w:tmpl w:val="8CB22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CB1E71"/>
    <w:multiLevelType w:val="multilevel"/>
    <w:tmpl w:val="0FCA36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bullet"/>
      <w:lvlText w:val="-"/>
      <w:lvlJc w:val="left"/>
      <w:pPr>
        <w:tabs>
          <w:tab w:val="num" w:pos="1080"/>
        </w:tabs>
        <w:ind w:left="1080" w:hanging="360"/>
      </w:pPr>
      <w:rPr>
        <w:rFonts w:ascii="Arial" w:eastAsia="Times New Roman" w:hAnsi="Arial" w:hint="default"/>
        <w:color w:val="auto"/>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A452F69"/>
    <w:multiLevelType w:val="hybridMultilevel"/>
    <w:tmpl w:val="34CCB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B4D3771"/>
    <w:multiLevelType w:val="hybridMultilevel"/>
    <w:tmpl w:val="62E20F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04D0184"/>
    <w:multiLevelType w:val="hybridMultilevel"/>
    <w:tmpl w:val="836E95D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4B105E08"/>
    <w:multiLevelType w:val="hybridMultilevel"/>
    <w:tmpl w:val="5DA27432"/>
    <w:lvl w:ilvl="0" w:tplc="6046EDC6">
      <w:start w:val="1"/>
      <w:numFmt w:val="bullet"/>
      <w:lvlText w:val=""/>
      <w:lvlJc w:val="left"/>
      <w:pPr>
        <w:tabs>
          <w:tab w:val="num" w:pos="360"/>
        </w:tabs>
        <w:ind w:left="360" w:hanging="360"/>
      </w:pPr>
      <w:rPr>
        <w:rFonts w:ascii="Symbol" w:hAnsi="Symbol" w:hint="default"/>
        <w:color w:val="auto"/>
      </w:rPr>
    </w:lvl>
    <w:lvl w:ilvl="1" w:tplc="5BAEA29A">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331572C"/>
    <w:multiLevelType w:val="hybridMultilevel"/>
    <w:tmpl w:val="DCDC6E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0E507D2"/>
    <w:multiLevelType w:val="hybridMultilevel"/>
    <w:tmpl w:val="52DE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85569B"/>
    <w:multiLevelType w:val="hybridMultilevel"/>
    <w:tmpl w:val="8AFA3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0970C2"/>
    <w:multiLevelType w:val="hybridMultilevel"/>
    <w:tmpl w:val="0B60CB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4F264CF"/>
    <w:multiLevelType w:val="multilevel"/>
    <w:tmpl w:val="5504FDB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9">
    <w:nsid w:val="66866241"/>
    <w:multiLevelType w:val="hybridMultilevel"/>
    <w:tmpl w:val="9BC43ED0"/>
    <w:lvl w:ilvl="0" w:tplc="6046EDC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3517F2"/>
    <w:multiLevelType w:val="hybridMultilevel"/>
    <w:tmpl w:val="C1FC6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CE6FDF"/>
    <w:multiLevelType w:val="multilevel"/>
    <w:tmpl w:val="04EC0BE6"/>
    <w:lvl w:ilvl="0">
      <w:start w:val="1"/>
      <w:numFmt w:val="decimal"/>
      <w:lvlText w:val="%1."/>
      <w:lvlJc w:val="left"/>
      <w:pPr>
        <w:tabs>
          <w:tab w:val="num" w:pos="360"/>
        </w:tabs>
        <w:ind w:left="360" w:hanging="360"/>
      </w:pPr>
      <w:rPr>
        <w:sz w:val="20"/>
        <w:szCs w:val="20"/>
      </w:rPr>
    </w:lvl>
    <w:lvl w:ilvl="1">
      <w:start w:val="1"/>
      <w:numFmt w:val="decimal"/>
      <w:pStyle w:val="TOC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3531AF6"/>
    <w:multiLevelType w:val="hybridMultilevel"/>
    <w:tmpl w:val="FBF696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3E8527D"/>
    <w:multiLevelType w:val="hybridMultilevel"/>
    <w:tmpl w:val="7BB2B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3269CB"/>
    <w:multiLevelType w:val="hybridMultilevel"/>
    <w:tmpl w:val="72D02408"/>
    <w:lvl w:ilvl="0" w:tplc="6046EDC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1"/>
  </w:num>
  <w:num w:numId="2">
    <w:abstractNumId w:val="19"/>
  </w:num>
  <w:num w:numId="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5"/>
  </w:num>
  <w:num w:numId="7">
    <w:abstractNumId w:val="18"/>
  </w:num>
  <w:num w:numId="8">
    <w:abstractNumId w:val="18"/>
  </w:num>
  <w:num w:numId="9">
    <w:abstractNumId w:val="18"/>
  </w:num>
  <w:num w:numId="10">
    <w:abstractNumId w:val="18"/>
  </w:num>
  <w:num w:numId="11">
    <w:abstractNumId w:val="18"/>
  </w:num>
  <w:num w:numId="12">
    <w:abstractNumId w:val="12"/>
  </w:num>
  <w:num w:numId="13">
    <w:abstractNumId w:val="21"/>
  </w:num>
  <w:num w:numId="14">
    <w:abstractNumId w:val="9"/>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5"/>
  </w:num>
  <w:num w:numId="20">
    <w:abstractNumId w:val="18"/>
  </w:num>
  <w:num w:numId="21">
    <w:abstractNumId w:val="1"/>
  </w:num>
  <w:num w:numId="22">
    <w:abstractNumId w:val="18"/>
  </w:num>
  <w:num w:numId="23">
    <w:abstractNumId w:val="18"/>
  </w:num>
  <w:num w:numId="24">
    <w:abstractNumId w:val="23"/>
  </w:num>
  <w:num w:numId="25">
    <w:abstractNumId w:val="8"/>
  </w:num>
  <w:num w:numId="26">
    <w:abstractNumId w:val="16"/>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20"/>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0"/>
  </w:num>
  <w:num w:numId="43">
    <w:abstractNumId w:val="4"/>
  </w:num>
  <w:num w:numId="44">
    <w:abstractNumId w:val="14"/>
  </w:num>
  <w:num w:numId="45">
    <w:abstractNumId w:val="2"/>
  </w:num>
  <w:num w:numId="46">
    <w:abstractNumId w:val="6"/>
  </w:num>
  <w:num w:numId="47">
    <w:abstractNumId w:val="1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A"/>
    <w:rsid w:val="00003814"/>
    <w:rsid w:val="00005455"/>
    <w:rsid w:val="000072EB"/>
    <w:rsid w:val="000079A6"/>
    <w:rsid w:val="0001227F"/>
    <w:rsid w:val="00014118"/>
    <w:rsid w:val="00021E4F"/>
    <w:rsid w:val="00023A86"/>
    <w:rsid w:val="0003115B"/>
    <w:rsid w:val="00033E3A"/>
    <w:rsid w:val="00037675"/>
    <w:rsid w:val="00040B20"/>
    <w:rsid w:val="00042A45"/>
    <w:rsid w:val="00066D8A"/>
    <w:rsid w:val="0008139A"/>
    <w:rsid w:val="000817F5"/>
    <w:rsid w:val="00091024"/>
    <w:rsid w:val="000940C5"/>
    <w:rsid w:val="0009728E"/>
    <w:rsid w:val="000A05C1"/>
    <w:rsid w:val="000A18D9"/>
    <w:rsid w:val="000A4272"/>
    <w:rsid w:val="000A7929"/>
    <w:rsid w:val="000B1A05"/>
    <w:rsid w:val="000B7713"/>
    <w:rsid w:val="000C044C"/>
    <w:rsid w:val="000C487C"/>
    <w:rsid w:val="000C4AF4"/>
    <w:rsid w:val="000C617F"/>
    <w:rsid w:val="000D3A80"/>
    <w:rsid w:val="000D431B"/>
    <w:rsid w:val="000E410D"/>
    <w:rsid w:val="000F1095"/>
    <w:rsid w:val="000F1715"/>
    <w:rsid w:val="000F5C79"/>
    <w:rsid w:val="000F6EFA"/>
    <w:rsid w:val="001030AA"/>
    <w:rsid w:val="0010451A"/>
    <w:rsid w:val="001057CB"/>
    <w:rsid w:val="001114AF"/>
    <w:rsid w:val="0011268B"/>
    <w:rsid w:val="00112AD7"/>
    <w:rsid w:val="001136CB"/>
    <w:rsid w:val="00131734"/>
    <w:rsid w:val="00135200"/>
    <w:rsid w:val="00141552"/>
    <w:rsid w:val="00141A69"/>
    <w:rsid w:val="00142F08"/>
    <w:rsid w:val="0014419C"/>
    <w:rsid w:val="00144858"/>
    <w:rsid w:val="00151D76"/>
    <w:rsid w:val="001545F5"/>
    <w:rsid w:val="001556D6"/>
    <w:rsid w:val="00156FAF"/>
    <w:rsid w:val="0016112D"/>
    <w:rsid w:val="00162D26"/>
    <w:rsid w:val="00172ABC"/>
    <w:rsid w:val="00173856"/>
    <w:rsid w:val="0017687D"/>
    <w:rsid w:val="00182B54"/>
    <w:rsid w:val="00193B96"/>
    <w:rsid w:val="0019524E"/>
    <w:rsid w:val="00196AAC"/>
    <w:rsid w:val="001974E2"/>
    <w:rsid w:val="00197D1D"/>
    <w:rsid w:val="001A22C2"/>
    <w:rsid w:val="001A6703"/>
    <w:rsid w:val="001A6D13"/>
    <w:rsid w:val="001A71F6"/>
    <w:rsid w:val="001C0DD8"/>
    <w:rsid w:val="001C3645"/>
    <w:rsid w:val="001C44BF"/>
    <w:rsid w:val="001D1BA3"/>
    <w:rsid w:val="001E459B"/>
    <w:rsid w:val="001E52E8"/>
    <w:rsid w:val="001E76F3"/>
    <w:rsid w:val="001F518C"/>
    <w:rsid w:val="00201470"/>
    <w:rsid w:val="00204464"/>
    <w:rsid w:val="00205EF9"/>
    <w:rsid w:val="00206FB4"/>
    <w:rsid w:val="00215892"/>
    <w:rsid w:val="00215C43"/>
    <w:rsid w:val="00225506"/>
    <w:rsid w:val="0023110B"/>
    <w:rsid w:val="00232E05"/>
    <w:rsid w:val="00237334"/>
    <w:rsid w:val="00242144"/>
    <w:rsid w:val="0024515D"/>
    <w:rsid w:val="00245A49"/>
    <w:rsid w:val="0025236A"/>
    <w:rsid w:val="00252C6B"/>
    <w:rsid w:val="00253D47"/>
    <w:rsid w:val="0025490A"/>
    <w:rsid w:val="0026003E"/>
    <w:rsid w:val="0026168A"/>
    <w:rsid w:val="00270313"/>
    <w:rsid w:val="0027064B"/>
    <w:rsid w:val="0027067F"/>
    <w:rsid w:val="0027323F"/>
    <w:rsid w:val="002735B6"/>
    <w:rsid w:val="00273DC5"/>
    <w:rsid w:val="00274F68"/>
    <w:rsid w:val="00277EBF"/>
    <w:rsid w:val="0028576F"/>
    <w:rsid w:val="0029267F"/>
    <w:rsid w:val="0029320E"/>
    <w:rsid w:val="002950B9"/>
    <w:rsid w:val="002953CC"/>
    <w:rsid w:val="002A22FA"/>
    <w:rsid w:val="002A5E87"/>
    <w:rsid w:val="002B4BB6"/>
    <w:rsid w:val="002B7CCD"/>
    <w:rsid w:val="002B7EA6"/>
    <w:rsid w:val="002C3A8F"/>
    <w:rsid w:val="002C3AC4"/>
    <w:rsid w:val="002D38AF"/>
    <w:rsid w:val="002D392A"/>
    <w:rsid w:val="002F1283"/>
    <w:rsid w:val="002F2A27"/>
    <w:rsid w:val="002F468E"/>
    <w:rsid w:val="002F6D9E"/>
    <w:rsid w:val="002F700B"/>
    <w:rsid w:val="00301E17"/>
    <w:rsid w:val="0030329D"/>
    <w:rsid w:val="003103DB"/>
    <w:rsid w:val="00313859"/>
    <w:rsid w:val="00323C42"/>
    <w:rsid w:val="003255C2"/>
    <w:rsid w:val="003323ED"/>
    <w:rsid w:val="003324DC"/>
    <w:rsid w:val="003338EC"/>
    <w:rsid w:val="00340850"/>
    <w:rsid w:val="00341456"/>
    <w:rsid w:val="00342AF8"/>
    <w:rsid w:val="003455F9"/>
    <w:rsid w:val="00346F2D"/>
    <w:rsid w:val="00354557"/>
    <w:rsid w:val="00363137"/>
    <w:rsid w:val="003644FC"/>
    <w:rsid w:val="003667D4"/>
    <w:rsid w:val="0037200A"/>
    <w:rsid w:val="0037499A"/>
    <w:rsid w:val="00377CCD"/>
    <w:rsid w:val="00380C14"/>
    <w:rsid w:val="0038209E"/>
    <w:rsid w:val="00382D47"/>
    <w:rsid w:val="00383B77"/>
    <w:rsid w:val="00384113"/>
    <w:rsid w:val="00384CAC"/>
    <w:rsid w:val="00386979"/>
    <w:rsid w:val="003A0670"/>
    <w:rsid w:val="003A0C24"/>
    <w:rsid w:val="003A1801"/>
    <w:rsid w:val="003A5790"/>
    <w:rsid w:val="003B0DD1"/>
    <w:rsid w:val="003B1450"/>
    <w:rsid w:val="003B5879"/>
    <w:rsid w:val="003B58F8"/>
    <w:rsid w:val="003B5B54"/>
    <w:rsid w:val="003C0304"/>
    <w:rsid w:val="003C1B0F"/>
    <w:rsid w:val="003C46F7"/>
    <w:rsid w:val="003D0F4D"/>
    <w:rsid w:val="003D6AD2"/>
    <w:rsid w:val="003E3101"/>
    <w:rsid w:val="003E3C75"/>
    <w:rsid w:val="003E4944"/>
    <w:rsid w:val="003F6C1F"/>
    <w:rsid w:val="003F75D7"/>
    <w:rsid w:val="003F79E9"/>
    <w:rsid w:val="00402E9F"/>
    <w:rsid w:val="004055E1"/>
    <w:rsid w:val="00405A6C"/>
    <w:rsid w:val="00407E40"/>
    <w:rsid w:val="0041070C"/>
    <w:rsid w:val="00412300"/>
    <w:rsid w:val="00414047"/>
    <w:rsid w:val="004141AC"/>
    <w:rsid w:val="004141DB"/>
    <w:rsid w:val="00416B28"/>
    <w:rsid w:val="00417B0C"/>
    <w:rsid w:val="004234C1"/>
    <w:rsid w:val="00423C37"/>
    <w:rsid w:val="004258E3"/>
    <w:rsid w:val="004265BD"/>
    <w:rsid w:val="00426626"/>
    <w:rsid w:val="00431978"/>
    <w:rsid w:val="00431F08"/>
    <w:rsid w:val="00440438"/>
    <w:rsid w:val="00440713"/>
    <w:rsid w:val="00451A07"/>
    <w:rsid w:val="00452FC2"/>
    <w:rsid w:val="00460C1B"/>
    <w:rsid w:val="00465FC4"/>
    <w:rsid w:val="00472000"/>
    <w:rsid w:val="00482C7E"/>
    <w:rsid w:val="004853D6"/>
    <w:rsid w:val="00485B39"/>
    <w:rsid w:val="00485C8F"/>
    <w:rsid w:val="004A65A9"/>
    <w:rsid w:val="004A7715"/>
    <w:rsid w:val="004B3089"/>
    <w:rsid w:val="004B36AB"/>
    <w:rsid w:val="004B4FF9"/>
    <w:rsid w:val="004B54A4"/>
    <w:rsid w:val="004B6569"/>
    <w:rsid w:val="004C6E1A"/>
    <w:rsid w:val="004D1D53"/>
    <w:rsid w:val="004E606B"/>
    <w:rsid w:val="004E7FBC"/>
    <w:rsid w:val="004F2395"/>
    <w:rsid w:val="004F4BED"/>
    <w:rsid w:val="004F6223"/>
    <w:rsid w:val="004F7B2E"/>
    <w:rsid w:val="00501182"/>
    <w:rsid w:val="00503CC7"/>
    <w:rsid w:val="0051363A"/>
    <w:rsid w:val="00514B1C"/>
    <w:rsid w:val="00515342"/>
    <w:rsid w:val="00515715"/>
    <w:rsid w:val="005212AE"/>
    <w:rsid w:val="00526E35"/>
    <w:rsid w:val="00527F65"/>
    <w:rsid w:val="00531930"/>
    <w:rsid w:val="005319FE"/>
    <w:rsid w:val="005370C8"/>
    <w:rsid w:val="005403F7"/>
    <w:rsid w:val="0054594C"/>
    <w:rsid w:val="0055109A"/>
    <w:rsid w:val="00556DCF"/>
    <w:rsid w:val="00567BD5"/>
    <w:rsid w:val="005707B8"/>
    <w:rsid w:val="00572143"/>
    <w:rsid w:val="00581CF5"/>
    <w:rsid w:val="00582CFB"/>
    <w:rsid w:val="00595B8F"/>
    <w:rsid w:val="005A0542"/>
    <w:rsid w:val="005B1385"/>
    <w:rsid w:val="005D0850"/>
    <w:rsid w:val="005D0D74"/>
    <w:rsid w:val="005E3350"/>
    <w:rsid w:val="005E399D"/>
    <w:rsid w:val="005E4364"/>
    <w:rsid w:val="005F0BCE"/>
    <w:rsid w:val="005F2194"/>
    <w:rsid w:val="005F2ADA"/>
    <w:rsid w:val="005F34AF"/>
    <w:rsid w:val="005F4504"/>
    <w:rsid w:val="0060086A"/>
    <w:rsid w:val="0060399C"/>
    <w:rsid w:val="00603DB4"/>
    <w:rsid w:val="00604B94"/>
    <w:rsid w:val="0060759A"/>
    <w:rsid w:val="006101B7"/>
    <w:rsid w:val="006119CF"/>
    <w:rsid w:val="006146D5"/>
    <w:rsid w:val="00614ABA"/>
    <w:rsid w:val="00616803"/>
    <w:rsid w:val="00625997"/>
    <w:rsid w:val="006260C4"/>
    <w:rsid w:val="00627237"/>
    <w:rsid w:val="006300CC"/>
    <w:rsid w:val="006302BE"/>
    <w:rsid w:val="00630C2B"/>
    <w:rsid w:val="006317A5"/>
    <w:rsid w:val="00642B71"/>
    <w:rsid w:val="006520D9"/>
    <w:rsid w:val="00654AF5"/>
    <w:rsid w:val="006562F1"/>
    <w:rsid w:val="006565DC"/>
    <w:rsid w:val="00657FFD"/>
    <w:rsid w:val="00661BAD"/>
    <w:rsid w:val="00664623"/>
    <w:rsid w:val="0066688F"/>
    <w:rsid w:val="006674BE"/>
    <w:rsid w:val="006726C9"/>
    <w:rsid w:val="00672AE2"/>
    <w:rsid w:val="00674565"/>
    <w:rsid w:val="00675416"/>
    <w:rsid w:val="006770F5"/>
    <w:rsid w:val="006838A3"/>
    <w:rsid w:val="00691683"/>
    <w:rsid w:val="00691BE7"/>
    <w:rsid w:val="0069313F"/>
    <w:rsid w:val="0069559E"/>
    <w:rsid w:val="00696673"/>
    <w:rsid w:val="006A1439"/>
    <w:rsid w:val="006B1BAD"/>
    <w:rsid w:val="006B4E7D"/>
    <w:rsid w:val="006B77C1"/>
    <w:rsid w:val="006C0E00"/>
    <w:rsid w:val="006D2805"/>
    <w:rsid w:val="006D6477"/>
    <w:rsid w:val="006D7823"/>
    <w:rsid w:val="006E46CC"/>
    <w:rsid w:val="006F65BF"/>
    <w:rsid w:val="00704DF2"/>
    <w:rsid w:val="007112C4"/>
    <w:rsid w:val="007175DB"/>
    <w:rsid w:val="007213C0"/>
    <w:rsid w:val="00724EAA"/>
    <w:rsid w:val="007264E3"/>
    <w:rsid w:val="00735200"/>
    <w:rsid w:val="00735987"/>
    <w:rsid w:val="0074150D"/>
    <w:rsid w:val="0074366A"/>
    <w:rsid w:val="00744751"/>
    <w:rsid w:val="0074490A"/>
    <w:rsid w:val="007453D7"/>
    <w:rsid w:val="007468DC"/>
    <w:rsid w:val="00746E48"/>
    <w:rsid w:val="00753F7F"/>
    <w:rsid w:val="00754BAF"/>
    <w:rsid w:val="007621AF"/>
    <w:rsid w:val="007652C0"/>
    <w:rsid w:val="00765BF4"/>
    <w:rsid w:val="007744EB"/>
    <w:rsid w:val="00781DED"/>
    <w:rsid w:val="00786439"/>
    <w:rsid w:val="007908F0"/>
    <w:rsid w:val="00792D06"/>
    <w:rsid w:val="007A0CDB"/>
    <w:rsid w:val="007A2204"/>
    <w:rsid w:val="007A4982"/>
    <w:rsid w:val="007A7F28"/>
    <w:rsid w:val="007B07FA"/>
    <w:rsid w:val="007B16E5"/>
    <w:rsid w:val="007D465A"/>
    <w:rsid w:val="007F1BDE"/>
    <w:rsid w:val="007F2ECB"/>
    <w:rsid w:val="007F45DE"/>
    <w:rsid w:val="007F619C"/>
    <w:rsid w:val="008004E1"/>
    <w:rsid w:val="00802587"/>
    <w:rsid w:val="00807051"/>
    <w:rsid w:val="00812C2A"/>
    <w:rsid w:val="00816167"/>
    <w:rsid w:val="00820E27"/>
    <w:rsid w:val="00821566"/>
    <w:rsid w:val="00824B54"/>
    <w:rsid w:val="00825EA8"/>
    <w:rsid w:val="008310CF"/>
    <w:rsid w:val="00831B8F"/>
    <w:rsid w:val="008456A3"/>
    <w:rsid w:val="008533E4"/>
    <w:rsid w:val="00853775"/>
    <w:rsid w:val="00855A61"/>
    <w:rsid w:val="0085604F"/>
    <w:rsid w:val="00856426"/>
    <w:rsid w:val="0087299E"/>
    <w:rsid w:val="00872E8D"/>
    <w:rsid w:val="008759AE"/>
    <w:rsid w:val="00894361"/>
    <w:rsid w:val="00895628"/>
    <w:rsid w:val="0089582F"/>
    <w:rsid w:val="00897639"/>
    <w:rsid w:val="008A11A0"/>
    <w:rsid w:val="008A2FFD"/>
    <w:rsid w:val="008A3CFD"/>
    <w:rsid w:val="008A49D2"/>
    <w:rsid w:val="008C7683"/>
    <w:rsid w:val="008D01C7"/>
    <w:rsid w:val="008D115A"/>
    <w:rsid w:val="008D6F7F"/>
    <w:rsid w:val="008D7C9A"/>
    <w:rsid w:val="008E53CB"/>
    <w:rsid w:val="008F2264"/>
    <w:rsid w:val="008F5008"/>
    <w:rsid w:val="008F64A1"/>
    <w:rsid w:val="008F7AE5"/>
    <w:rsid w:val="00902246"/>
    <w:rsid w:val="00903E87"/>
    <w:rsid w:val="00905718"/>
    <w:rsid w:val="00911121"/>
    <w:rsid w:val="009126F9"/>
    <w:rsid w:val="009155B7"/>
    <w:rsid w:val="00921E4C"/>
    <w:rsid w:val="00926A16"/>
    <w:rsid w:val="00937718"/>
    <w:rsid w:val="00945615"/>
    <w:rsid w:val="00946A58"/>
    <w:rsid w:val="00955708"/>
    <w:rsid w:val="009575E4"/>
    <w:rsid w:val="00961084"/>
    <w:rsid w:val="0096310C"/>
    <w:rsid w:val="00964F65"/>
    <w:rsid w:val="00977F26"/>
    <w:rsid w:val="00990AAD"/>
    <w:rsid w:val="00993138"/>
    <w:rsid w:val="009965CD"/>
    <w:rsid w:val="009A09B9"/>
    <w:rsid w:val="009A0F51"/>
    <w:rsid w:val="009A4BBE"/>
    <w:rsid w:val="009B03F9"/>
    <w:rsid w:val="009B39F9"/>
    <w:rsid w:val="009C443E"/>
    <w:rsid w:val="009C5819"/>
    <w:rsid w:val="009C5EDE"/>
    <w:rsid w:val="009D102F"/>
    <w:rsid w:val="009D3DC4"/>
    <w:rsid w:val="009D6DB9"/>
    <w:rsid w:val="009E20CE"/>
    <w:rsid w:val="009E73BB"/>
    <w:rsid w:val="009E74A8"/>
    <w:rsid w:val="009F2C94"/>
    <w:rsid w:val="009F43DE"/>
    <w:rsid w:val="009F7CDA"/>
    <w:rsid w:val="00A177BD"/>
    <w:rsid w:val="00A22171"/>
    <w:rsid w:val="00A22EE9"/>
    <w:rsid w:val="00A25F17"/>
    <w:rsid w:val="00A2678C"/>
    <w:rsid w:val="00A26B5F"/>
    <w:rsid w:val="00A31E2B"/>
    <w:rsid w:val="00A36749"/>
    <w:rsid w:val="00A40097"/>
    <w:rsid w:val="00A44301"/>
    <w:rsid w:val="00A4448F"/>
    <w:rsid w:val="00A44749"/>
    <w:rsid w:val="00A5097B"/>
    <w:rsid w:val="00A53238"/>
    <w:rsid w:val="00A5396D"/>
    <w:rsid w:val="00A60D15"/>
    <w:rsid w:val="00A60D31"/>
    <w:rsid w:val="00A669D4"/>
    <w:rsid w:val="00A734C1"/>
    <w:rsid w:val="00A73983"/>
    <w:rsid w:val="00A75657"/>
    <w:rsid w:val="00A764E8"/>
    <w:rsid w:val="00A8067F"/>
    <w:rsid w:val="00A80E9D"/>
    <w:rsid w:val="00A81220"/>
    <w:rsid w:val="00A81B63"/>
    <w:rsid w:val="00A84AC9"/>
    <w:rsid w:val="00A859F3"/>
    <w:rsid w:val="00A90552"/>
    <w:rsid w:val="00A911EB"/>
    <w:rsid w:val="00A95A1E"/>
    <w:rsid w:val="00A960E9"/>
    <w:rsid w:val="00AA2AD6"/>
    <w:rsid w:val="00AA4F7C"/>
    <w:rsid w:val="00AA716F"/>
    <w:rsid w:val="00AB31DF"/>
    <w:rsid w:val="00AB750A"/>
    <w:rsid w:val="00AC23E8"/>
    <w:rsid w:val="00AC3874"/>
    <w:rsid w:val="00AC4F67"/>
    <w:rsid w:val="00AC5303"/>
    <w:rsid w:val="00AC638C"/>
    <w:rsid w:val="00AC6ADB"/>
    <w:rsid w:val="00AD1A63"/>
    <w:rsid w:val="00AD2345"/>
    <w:rsid w:val="00AD6A90"/>
    <w:rsid w:val="00AD77CF"/>
    <w:rsid w:val="00AD7CFB"/>
    <w:rsid w:val="00AF116A"/>
    <w:rsid w:val="00AF46D7"/>
    <w:rsid w:val="00B02888"/>
    <w:rsid w:val="00B07B77"/>
    <w:rsid w:val="00B150A4"/>
    <w:rsid w:val="00B16961"/>
    <w:rsid w:val="00B20711"/>
    <w:rsid w:val="00B25A64"/>
    <w:rsid w:val="00B37060"/>
    <w:rsid w:val="00B40CD9"/>
    <w:rsid w:val="00B42482"/>
    <w:rsid w:val="00B44FF6"/>
    <w:rsid w:val="00B45137"/>
    <w:rsid w:val="00B47D3A"/>
    <w:rsid w:val="00B53C24"/>
    <w:rsid w:val="00B53DF6"/>
    <w:rsid w:val="00B70701"/>
    <w:rsid w:val="00B72754"/>
    <w:rsid w:val="00B755F2"/>
    <w:rsid w:val="00B761FA"/>
    <w:rsid w:val="00B76F45"/>
    <w:rsid w:val="00B826FE"/>
    <w:rsid w:val="00B87963"/>
    <w:rsid w:val="00B90F1C"/>
    <w:rsid w:val="00B91B59"/>
    <w:rsid w:val="00B92A16"/>
    <w:rsid w:val="00B93EA6"/>
    <w:rsid w:val="00B9775E"/>
    <w:rsid w:val="00BB0F51"/>
    <w:rsid w:val="00BB2901"/>
    <w:rsid w:val="00BB5945"/>
    <w:rsid w:val="00BB75AB"/>
    <w:rsid w:val="00BB7778"/>
    <w:rsid w:val="00BB7D69"/>
    <w:rsid w:val="00BC6F68"/>
    <w:rsid w:val="00BD0E87"/>
    <w:rsid w:val="00BD3B06"/>
    <w:rsid w:val="00BD3F81"/>
    <w:rsid w:val="00BD5A27"/>
    <w:rsid w:val="00BD6989"/>
    <w:rsid w:val="00BE3B00"/>
    <w:rsid w:val="00BF1AF5"/>
    <w:rsid w:val="00BF202E"/>
    <w:rsid w:val="00BF4265"/>
    <w:rsid w:val="00BF4B30"/>
    <w:rsid w:val="00BF5907"/>
    <w:rsid w:val="00BF5B70"/>
    <w:rsid w:val="00BF5F72"/>
    <w:rsid w:val="00BF6694"/>
    <w:rsid w:val="00C13174"/>
    <w:rsid w:val="00C21535"/>
    <w:rsid w:val="00C27D1D"/>
    <w:rsid w:val="00C3183B"/>
    <w:rsid w:val="00C321E8"/>
    <w:rsid w:val="00C34BD5"/>
    <w:rsid w:val="00C37B80"/>
    <w:rsid w:val="00C401C7"/>
    <w:rsid w:val="00C40C00"/>
    <w:rsid w:val="00C450F2"/>
    <w:rsid w:val="00C47354"/>
    <w:rsid w:val="00C53032"/>
    <w:rsid w:val="00C53837"/>
    <w:rsid w:val="00C61B22"/>
    <w:rsid w:val="00C661C0"/>
    <w:rsid w:val="00C67D0D"/>
    <w:rsid w:val="00C70758"/>
    <w:rsid w:val="00C721FC"/>
    <w:rsid w:val="00C732A9"/>
    <w:rsid w:val="00C77D82"/>
    <w:rsid w:val="00C81EA8"/>
    <w:rsid w:val="00C825EB"/>
    <w:rsid w:val="00C93BD8"/>
    <w:rsid w:val="00C9524E"/>
    <w:rsid w:val="00C974E5"/>
    <w:rsid w:val="00C97E22"/>
    <w:rsid w:val="00CA0635"/>
    <w:rsid w:val="00CA15D9"/>
    <w:rsid w:val="00CA1F6F"/>
    <w:rsid w:val="00CA2B00"/>
    <w:rsid w:val="00CA5C6B"/>
    <w:rsid w:val="00CA7AF0"/>
    <w:rsid w:val="00CB1236"/>
    <w:rsid w:val="00CB357D"/>
    <w:rsid w:val="00CB7139"/>
    <w:rsid w:val="00CC159E"/>
    <w:rsid w:val="00CC2809"/>
    <w:rsid w:val="00CC3EFA"/>
    <w:rsid w:val="00CC5FA7"/>
    <w:rsid w:val="00CC7D9E"/>
    <w:rsid w:val="00CD279D"/>
    <w:rsid w:val="00CD2DD8"/>
    <w:rsid w:val="00CD3EDC"/>
    <w:rsid w:val="00CD5A5F"/>
    <w:rsid w:val="00CE3A80"/>
    <w:rsid w:val="00CE5CFA"/>
    <w:rsid w:val="00CE5F34"/>
    <w:rsid w:val="00CE7CD0"/>
    <w:rsid w:val="00CF3738"/>
    <w:rsid w:val="00CF405E"/>
    <w:rsid w:val="00CF40F2"/>
    <w:rsid w:val="00CF5DF2"/>
    <w:rsid w:val="00D022D7"/>
    <w:rsid w:val="00D04C6C"/>
    <w:rsid w:val="00D07921"/>
    <w:rsid w:val="00D109C4"/>
    <w:rsid w:val="00D1323E"/>
    <w:rsid w:val="00D20ED8"/>
    <w:rsid w:val="00D20FE9"/>
    <w:rsid w:val="00D2169E"/>
    <w:rsid w:val="00D26AB8"/>
    <w:rsid w:val="00D32F32"/>
    <w:rsid w:val="00D3324B"/>
    <w:rsid w:val="00D34089"/>
    <w:rsid w:val="00D440A5"/>
    <w:rsid w:val="00D5081A"/>
    <w:rsid w:val="00D54863"/>
    <w:rsid w:val="00D55454"/>
    <w:rsid w:val="00D55B5F"/>
    <w:rsid w:val="00D57233"/>
    <w:rsid w:val="00D57DEB"/>
    <w:rsid w:val="00D60890"/>
    <w:rsid w:val="00D61CAA"/>
    <w:rsid w:val="00D633F7"/>
    <w:rsid w:val="00D656E1"/>
    <w:rsid w:val="00D81143"/>
    <w:rsid w:val="00D836CE"/>
    <w:rsid w:val="00D83AB1"/>
    <w:rsid w:val="00D870E4"/>
    <w:rsid w:val="00D936A3"/>
    <w:rsid w:val="00D965E2"/>
    <w:rsid w:val="00DA05C8"/>
    <w:rsid w:val="00DA1184"/>
    <w:rsid w:val="00DA176A"/>
    <w:rsid w:val="00DA4BB4"/>
    <w:rsid w:val="00DA599C"/>
    <w:rsid w:val="00DA78B5"/>
    <w:rsid w:val="00DB1E61"/>
    <w:rsid w:val="00DB2244"/>
    <w:rsid w:val="00DB24E2"/>
    <w:rsid w:val="00DB32C5"/>
    <w:rsid w:val="00DB532F"/>
    <w:rsid w:val="00DB6A18"/>
    <w:rsid w:val="00DC09FD"/>
    <w:rsid w:val="00DC29FF"/>
    <w:rsid w:val="00DC4D60"/>
    <w:rsid w:val="00DC5611"/>
    <w:rsid w:val="00DC745B"/>
    <w:rsid w:val="00DD0CEF"/>
    <w:rsid w:val="00DD202C"/>
    <w:rsid w:val="00DD3372"/>
    <w:rsid w:val="00DD478F"/>
    <w:rsid w:val="00DD5F85"/>
    <w:rsid w:val="00DE1C63"/>
    <w:rsid w:val="00DE3940"/>
    <w:rsid w:val="00DE3AB1"/>
    <w:rsid w:val="00DE6FD7"/>
    <w:rsid w:val="00DF4D45"/>
    <w:rsid w:val="00E04D7F"/>
    <w:rsid w:val="00E12A83"/>
    <w:rsid w:val="00E13BA6"/>
    <w:rsid w:val="00E15672"/>
    <w:rsid w:val="00E156B6"/>
    <w:rsid w:val="00E207AC"/>
    <w:rsid w:val="00E21174"/>
    <w:rsid w:val="00E21D9B"/>
    <w:rsid w:val="00E22E65"/>
    <w:rsid w:val="00E233F3"/>
    <w:rsid w:val="00E30062"/>
    <w:rsid w:val="00E326D0"/>
    <w:rsid w:val="00E3731A"/>
    <w:rsid w:val="00E42D33"/>
    <w:rsid w:val="00E4645C"/>
    <w:rsid w:val="00E535EE"/>
    <w:rsid w:val="00E568EA"/>
    <w:rsid w:val="00E57A99"/>
    <w:rsid w:val="00E65C9D"/>
    <w:rsid w:val="00E66DFB"/>
    <w:rsid w:val="00E80898"/>
    <w:rsid w:val="00E9490C"/>
    <w:rsid w:val="00E94A63"/>
    <w:rsid w:val="00E96517"/>
    <w:rsid w:val="00E97FD7"/>
    <w:rsid w:val="00EA3422"/>
    <w:rsid w:val="00EA3A0C"/>
    <w:rsid w:val="00EB13D2"/>
    <w:rsid w:val="00EB5B22"/>
    <w:rsid w:val="00EB615A"/>
    <w:rsid w:val="00EC3274"/>
    <w:rsid w:val="00EC7B82"/>
    <w:rsid w:val="00EC7EE1"/>
    <w:rsid w:val="00ED06CB"/>
    <w:rsid w:val="00EE1FD4"/>
    <w:rsid w:val="00EE594B"/>
    <w:rsid w:val="00EF1091"/>
    <w:rsid w:val="00EF12A4"/>
    <w:rsid w:val="00EF1E88"/>
    <w:rsid w:val="00EF2CCA"/>
    <w:rsid w:val="00EF387E"/>
    <w:rsid w:val="00EF3AA8"/>
    <w:rsid w:val="00EF7D8E"/>
    <w:rsid w:val="00F01E29"/>
    <w:rsid w:val="00F12282"/>
    <w:rsid w:val="00F161ED"/>
    <w:rsid w:val="00F16588"/>
    <w:rsid w:val="00F168F6"/>
    <w:rsid w:val="00F21D6D"/>
    <w:rsid w:val="00F232C3"/>
    <w:rsid w:val="00F245BE"/>
    <w:rsid w:val="00F27285"/>
    <w:rsid w:val="00F27397"/>
    <w:rsid w:val="00F50126"/>
    <w:rsid w:val="00F56D59"/>
    <w:rsid w:val="00F616C5"/>
    <w:rsid w:val="00F63B16"/>
    <w:rsid w:val="00F7236E"/>
    <w:rsid w:val="00F7349C"/>
    <w:rsid w:val="00F74BB8"/>
    <w:rsid w:val="00F74FC4"/>
    <w:rsid w:val="00F771FD"/>
    <w:rsid w:val="00F81B31"/>
    <w:rsid w:val="00F85FD5"/>
    <w:rsid w:val="00F90947"/>
    <w:rsid w:val="00F94F03"/>
    <w:rsid w:val="00F967EF"/>
    <w:rsid w:val="00FA67C4"/>
    <w:rsid w:val="00FA6A8C"/>
    <w:rsid w:val="00FB6AC2"/>
    <w:rsid w:val="00FC1C7A"/>
    <w:rsid w:val="00FC44ED"/>
    <w:rsid w:val="00FC7229"/>
    <w:rsid w:val="00FD0242"/>
    <w:rsid w:val="00FD4726"/>
    <w:rsid w:val="00FE32EA"/>
    <w:rsid w:val="00FE61C1"/>
    <w:rsid w:val="00FE6312"/>
    <w:rsid w:val="00FE6708"/>
    <w:rsid w:val="00FF5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559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F65"/>
    <w:pPr>
      <w:spacing w:before="80" w:after="80" w:line="280" w:lineRule="atLeast"/>
    </w:pPr>
    <w:rPr>
      <w:rFonts w:ascii="Georgia" w:hAnsi="Georgia"/>
      <w:sz w:val="19"/>
      <w:szCs w:val="19"/>
    </w:rPr>
  </w:style>
  <w:style w:type="paragraph" w:styleId="Heading1">
    <w:name w:val="heading 1"/>
    <w:basedOn w:val="Normal"/>
    <w:next w:val="BodyText"/>
    <w:qFormat/>
    <w:rsid w:val="00A960E9"/>
    <w:pPr>
      <w:keepNext/>
      <w:pageBreakBefore/>
      <w:numPr>
        <w:numId w:val="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link w:val="Heading4Char"/>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A960E9"/>
    <w:pPr>
      <w:keepNext/>
      <w:numPr>
        <w:ilvl w:val="4"/>
        <w:numId w:val="5"/>
      </w:numPr>
      <w:tabs>
        <w:tab w:val="num" w:pos="360"/>
      </w:tabs>
      <w:spacing w:before="320" w:after="0"/>
      <w:outlineLvl w:val="4"/>
    </w:pPr>
    <w:rPr>
      <w:b/>
      <w:color w:val="54534A"/>
    </w:rPr>
  </w:style>
  <w:style w:type="paragraph" w:styleId="Heading6">
    <w:name w:val="heading 6"/>
    <w:basedOn w:val="Heading1"/>
    <w:next w:val="BodyText"/>
    <w:qFormat/>
    <w:rsid w:val="00A960E9"/>
    <w:pPr>
      <w:numPr>
        <w:ilvl w:val="5"/>
      </w:numPr>
      <w:outlineLvl w:val="5"/>
    </w:pPr>
    <w:rPr>
      <w:bCs/>
    </w:rPr>
  </w:style>
  <w:style w:type="paragraph" w:styleId="Heading7">
    <w:name w:val="heading 7"/>
    <w:basedOn w:val="Heading2"/>
    <w:next w:val="BodyText"/>
    <w:qFormat/>
    <w:rsid w:val="00A960E9"/>
    <w:pPr>
      <w:numPr>
        <w:ilvl w:val="6"/>
      </w:numPr>
      <w:outlineLvl w:val="6"/>
    </w:pPr>
  </w:style>
  <w:style w:type="paragraph" w:styleId="Heading8">
    <w:name w:val="heading 8"/>
    <w:basedOn w:val="Heading3"/>
    <w:next w:val="BodyText"/>
    <w:qFormat/>
    <w:rsid w:val="00A960E9"/>
    <w:pPr>
      <w:numPr>
        <w:ilvl w:val="7"/>
      </w:numPr>
      <w:outlineLvl w:val="7"/>
    </w:pPr>
  </w:style>
  <w:style w:type="paragraph" w:styleId="Heading9">
    <w:name w:val="heading 9"/>
    <w:basedOn w:val="Heading4"/>
    <w:next w:val="BodyText"/>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66D8A"/>
    <w:rPr>
      <w:sz w:val="16"/>
      <w:szCs w:val="16"/>
    </w:rPr>
  </w:style>
  <w:style w:type="paragraph" w:styleId="CommentText">
    <w:name w:val="annotation text"/>
    <w:basedOn w:val="Normal"/>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link w:val="CommentSubjectChar"/>
    <w:rsid w:val="00BD3B06"/>
    <w:rPr>
      <w:rFonts w:ascii="Calibri" w:hAnsi="Calibri"/>
      <w:b/>
      <w:bCs/>
    </w:rPr>
  </w:style>
  <w:style w:type="character" w:styleId="Hyperlink">
    <w:name w:val="Hyperlink"/>
    <w:basedOn w:val="DefaultParagraphFont"/>
    <w:uiPriority w:val="99"/>
    <w:rsid w:val="00825EA8"/>
    <w:rPr>
      <w:color w:val="0000FF"/>
      <w:u w:val="single"/>
    </w:rPr>
  </w:style>
  <w:style w:type="paragraph" w:styleId="BodyText">
    <w:name w:val="Body Text"/>
    <w:basedOn w:val="Normal"/>
    <w:link w:val="BodyTextChar"/>
    <w:uiPriority w:val="99"/>
    <w:rsid w:val="00A960E9"/>
  </w:style>
  <w:style w:type="character" w:customStyle="1" w:styleId="BodyTextChar">
    <w:name w:val="Body Text Char"/>
    <w:basedOn w:val="DefaultParagraphFont"/>
    <w:link w:val="BodyText"/>
    <w:uiPriority w:val="99"/>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link w:val="FooterChar"/>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basedOn w:val="DefaultParagraphFont"/>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basedOn w:val="DefaultParagraphFont"/>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TOC3">
    <w:name w:val="toc 3"/>
    <w:basedOn w:val="Normal"/>
    <w:next w:val="Normal"/>
    <w:autoRedefine/>
    <w:rsid w:val="0089582F"/>
    <w:pPr>
      <w:numPr>
        <w:ilvl w:val="1"/>
        <w:numId w:val="13"/>
      </w:numPr>
    </w:pPr>
    <w:rPr>
      <w:rFonts w:ascii="Franklin Gothic Demi" w:hAnsi="Franklin Gothic Demi"/>
      <w:color w:val="5A9A98"/>
      <w:sz w:val="20"/>
      <w:szCs w:val="20"/>
    </w:rPr>
  </w:style>
  <w:style w:type="character" w:customStyle="1" w:styleId="CommentSubjectChar">
    <w:name w:val="Comment Subject Char"/>
    <w:link w:val="CommentSubject"/>
    <w:rsid w:val="0089582F"/>
    <w:rPr>
      <w:rFonts w:ascii="Calibri" w:hAnsi="Calibri"/>
      <w:b/>
      <w:bCs/>
    </w:rPr>
  </w:style>
  <w:style w:type="table" w:styleId="TableGrid">
    <w:name w:val="Table Grid"/>
    <w:basedOn w:val="TableNormal"/>
    <w:uiPriority w:val="59"/>
    <w:rsid w:val="008958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semiHidden/>
    <w:rsid w:val="00802587"/>
    <w:pPr>
      <w:spacing w:before="60" w:after="60" w:line="240" w:lineRule="atLeast"/>
    </w:pPr>
    <w:rPr>
      <w:rFonts w:ascii="Calibri" w:hAnsi="Calibri"/>
      <w:color w:val="0000FF"/>
      <w:sz w:val="20"/>
      <w:szCs w:val="20"/>
    </w:rPr>
  </w:style>
  <w:style w:type="character" w:customStyle="1" w:styleId="FooterChar">
    <w:name w:val="Footer Char"/>
    <w:basedOn w:val="DefaultParagraphFont"/>
    <w:link w:val="Footer"/>
    <w:rsid w:val="0026168A"/>
    <w:rPr>
      <w:rFonts w:ascii="Franklin Gothic Medium" w:hAnsi="Franklin Gothic Medium"/>
      <w:color w:val="5A9A98"/>
      <w:sz w:val="14"/>
      <w:szCs w:val="14"/>
    </w:rPr>
  </w:style>
  <w:style w:type="paragraph" w:styleId="EndnoteText">
    <w:name w:val="endnote text"/>
    <w:basedOn w:val="Normal"/>
    <w:link w:val="EndnoteTextChar"/>
    <w:uiPriority w:val="99"/>
    <w:unhideWhenUsed/>
    <w:rsid w:val="0026168A"/>
    <w:rPr>
      <w:sz w:val="20"/>
      <w:szCs w:val="20"/>
    </w:rPr>
  </w:style>
  <w:style w:type="character" w:customStyle="1" w:styleId="EndnoteTextChar">
    <w:name w:val="Endnote Text Char"/>
    <w:basedOn w:val="DefaultParagraphFont"/>
    <w:link w:val="EndnoteText"/>
    <w:uiPriority w:val="99"/>
    <w:rsid w:val="0026168A"/>
    <w:rPr>
      <w:rFonts w:ascii="Calibri" w:hAnsi="Calibri"/>
    </w:rPr>
  </w:style>
  <w:style w:type="character" w:styleId="EndnoteReference">
    <w:name w:val="endnote reference"/>
    <w:basedOn w:val="DefaultParagraphFont"/>
    <w:uiPriority w:val="99"/>
    <w:unhideWhenUsed/>
    <w:rsid w:val="0026168A"/>
    <w:rPr>
      <w:vertAlign w:val="superscript"/>
    </w:rPr>
  </w:style>
  <w:style w:type="paragraph" w:styleId="FootnoteText">
    <w:name w:val="footnote text"/>
    <w:basedOn w:val="Normal"/>
    <w:link w:val="FootnoteTextChar"/>
    <w:rsid w:val="008F64A1"/>
    <w:rPr>
      <w:sz w:val="20"/>
      <w:szCs w:val="20"/>
    </w:rPr>
  </w:style>
  <w:style w:type="character" w:customStyle="1" w:styleId="FootnoteTextChar">
    <w:name w:val="Footnote Text Char"/>
    <w:basedOn w:val="DefaultParagraphFont"/>
    <w:link w:val="FootnoteText"/>
    <w:rsid w:val="008F64A1"/>
    <w:rPr>
      <w:rFonts w:ascii="Calibri" w:hAnsi="Calibri"/>
    </w:rPr>
  </w:style>
  <w:style w:type="character" w:styleId="FootnoteReference">
    <w:name w:val="footnote reference"/>
    <w:basedOn w:val="DefaultParagraphFont"/>
    <w:rsid w:val="008F64A1"/>
    <w:rPr>
      <w:vertAlign w:val="superscript"/>
    </w:rPr>
  </w:style>
  <w:style w:type="character" w:customStyle="1" w:styleId="Heading4Char">
    <w:name w:val="Heading 4 Char"/>
    <w:basedOn w:val="DefaultParagraphFont"/>
    <w:link w:val="Heading4"/>
    <w:rsid w:val="00112AD7"/>
    <w:rPr>
      <w:rFonts w:ascii="Franklin Gothic Medium" w:hAnsi="Franklin Gothic Medium"/>
      <w:color w:val="5A9A98"/>
      <w:kern w:val="28"/>
      <w:sz w:val="22"/>
      <w:szCs w:val="22"/>
    </w:rPr>
  </w:style>
  <w:style w:type="paragraph" w:styleId="ListParagraph">
    <w:name w:val="List Paragraph"/>
    <w:basedOn w:val="Normal"/>
    <w:uiPriority w:val="34"/>
    <w:qFormat/>
    <w:rsid w:val="002B7EA6"/>
    <w:pPr>
      <w:ind w:left="720"/>
    </w:pPr>
  </w:style>
  <w:style w:type="character" w:customStyle="1" w:styleId="italic">
    <w:name w:val="italic"/>
    <w:rsid w:val="006B1BAD"/>
  </w:style>
  <w:style w:type="paragraph" w:styleId="Revision">
    <w:name w:val="Revision"/>
    <w:hidden/>
    <w:uiPriority w:val="99"/>
    <w:semiHidden/>
    <w:rsid w:val="00821566"/>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F65"/>
    <w:pPr>
      <w:spacing w:before="80" w:after="80" w:line="280" w:lineRule="atLeast"/>
    </w:pPr>
    <w:rPr>
      <w:rFonts w:ascii="Georgia" w:hAnsi="Georgia"/>
      <w:sz w:val="19"/>
      <w:szCs w:val="19"/>
    </w:rPr>
  </w:style>
  <w:style w:type="paragraph" w:styleId="Heading1">
    <w:name w:val="heading 1"/>
    <w:basedOn w:val="Normal"/>
    <w:next w:val="BodyText"/>
    <w:qFormat/>
    <w:rsid w:val="00A960E9"/>
    <w:pPr>
      <w:keepNext/>
      <w:pageBreakBefore/>
      <w:numPr>
        <w:numId w:val="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link w:val="Heading4Char"/>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A960E9"/>
    <w:pPr>
      <w:keepNext/>
      <w:numPr>
        <w:ilvl w:val="4"/>
        <w:numId w:val="5"/>
      </w:numPr>
      <w:tabs>
        <w:tab w:val="num" w:pos="360"/>
      </w:tabs>
      <w:spacing w:before="320" w:after="0"/>
      <w:outlineLvl w:val="4"/>
    </w:pPr>
    <w:rPr>
      <w:b/>
      <w:color w:val="54534A"/>
    </w:rPr>
  </w:style>
  <w:style w:type="paragraph" w:styleId="Heading6">
    <w:name w:val="heading 6"/>
    <w:basedOn w:val="Heading1"/>
    <w:next w:val="BodyText"/>
    <w:qFormat/>
    <w:rsid w:val="00A960E9"/>
    <w:pPr>
      <w:numPr>
        <w:ilvl w:val="5"/>
      </w:numPr>
      <w:outlineLvl w:val="5"/>
    </w:pPr>
    <w:rPr>
      <w:bCs/>
    </w:rPr>
  </w:style>
  <w:style w:type="paragraph" w:styleId="Heading7">
    <w:name w:val="heading 7"/>
    <w:basedOn w:val="Heading2"/>
    <w:next w:val="BodyText"/>
    <w:qFormat/>
    <w:rsid w:val="00A960E9"/>
    <w:pPr>
      <w:numPr>
        <w:ilvl w:val="6"/>
      </w:numPr>
      <w:outlineLvl w:val="6"/>
    </w:pPr>
  </w:style>
  <w:style w:type="paragraph" w:styleId="Heading8">
    <w:name w:val="heading 8"/>
    <w:basedOn w:val="Heading3"/>
    <w:next w:val="BodyText"/>
    <w:qFormat/>
    <w:rsid w:val="00A960E9"/>
    <w:pPr>
      <w:numPr>
        <w:ilvl w:val="7"/>
      </w:numPr>
      <w:outlineLvl w:val="7"/>
    </w:pPr>
  </w:style>
  <w:style w:type="paragraph" w:styleId="Heading9">
    <w:name w:val="heading 9"/>
    <w:basedOn w:val="Heading4"/>
    <w:next w:val="BodyText"/>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66D8A"/>
    <w:rPr>
      <w:sz w:val="16"/>
      <w:szCs w:val="16"/>
    </w:rPr>
  </w:style>
  <w:style w:type="paragraph" w:styleId="CommentText">
    <w:name w:val="annotation text"/>
    <w:basedOn w:val="Normal"/>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link w:val="CommentSubjectChar"/>
    <w:rsid w:val="00BD3B06"/>
    <w:rPr>
      <w:rFonts w:ascii="Calibri" w:hAnsi="Calibri"/>
      <w:b/>
      <w:bCs/>
    </w:rPr>
  </w:style>
  <w:style w:type="character" w:styleId="Hyperlink">
    <w:name w:val="Hyperlink"/>
    <w:basedOn w:val="DefaultParagraphFont"/>
    <w:uiPriority w:val="99"/>
    <w:rsid w:val="00825EA8"/>
    <w:rPr>
      <w:color w:val="0000FF"/>
      <w:u w:val="single"/>
    </w:rPr>
  </w:style>
  <w:style w:type="paragraph" w:styleId="BodyText">
    <w:name w:val="Body Text"/>
    <w:basedOn w:val="Normal"/>
    <w:link w:val="BodyTextChar"/>
    <w:uiPriority w:val="99"/>
    <w:rsid w:val="00A960E9"/>
  </w:style>
  <w:style w:type="character" w:customStyle="1" w:styleId="BodyTextChar">
    <w:name w:val="Body Text Char"/>
    <w:basedOn w:val="DefaultParagraphFont"/>
    <w:link w:val="BodyText"/>
    <w:uiPriority w:val="99"/>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link w:val="FooterChar"/>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basedOn w:val="DefaultParagraphFont"/>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basedOn w:val="DefaultParagraphFont"/>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TOC3">
    <w:name w:val="toc 3"/>
    <w:basedOn w:val="Normal"/>
    <w:next w:val="Normal"/>
    <w:autoRedefine/>
    <w:rsid w:val="0089582F"/>
    <w:pPr>
      <w:numPr>
        <w:ilvl w:val="1"/>
        <w:numId w:val="13"/>
      </w:numPr>
    </w:pPr>
    <w:rPr>
      <w:rFonts w:ascii="Franklin Gothic Demi" w:hAnsi="Franklin Gothic Demi"/>
      <w:color w:val="5A9A98"/>
      <w:sz w:val="20"/>
      <w:szCs w:val="20"/>
    </w:rPr>
  </w:style>
  <w:style w:type="character" w:customStyle="1" w:styleId="CommentSubjectChar">
    <w:name w:val="Comment Subject Char"/>
    <w:link w:val="CommentSubject"/>
    <w:rsid w:val="0089582F"/>
    <w:rPr>
      <w:rFonts w:ascii="Calibri" w:hAnsi="Calibri"/>
      <w:b/>
      <w:bCs/>
    </w:rPr>
  </w:style>
  <w:style w:type="table" w:styleId="TableGrid">
    <w:name w:val="Table Grid"/>
    <w:basedOn w:val="TableNormal"/>
    <w:uiPriority w:val="59"/>
    <w:rsid w:val="008958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semiHidden/>
    <w:rsid w:val="00802587"/>
    <w:pPr>
      <w:spacing w:before="60" w:after="60" w:line="240" w:lineRule="atLeast"/>
    </w:pPr>
    <w:rPr>
      <w:rFonts w:ascii="Calibri" w:hAnsi="Calibri"/>
      <w:color w:val="0000FF"/>
      <w:sz w:val="20"/>
      <w:szCs w:val="20"/>
    </w:rPr>
  </w:style>
  <w:style w:type="character" w:customStyle="1" w:styleId="FooterChar">
    <w:name w:val="Footer Char"/>
    <w:basedOn w:val="DefaultParagraphFont"/>
    <w:link w:val="Footer"/>
    <w:rsid w:val="0026168A"/>
    <w:rPr>
      <w:rFonts w:ascii="Franklin Gothic Medium" w:hAnsi="Franklin Gothic Medium"/>
      <w:color w:val="5A9A98"/>
      <w:sz w:val="14"/>
      <w:szCs w:val="14"/>
    </w:rPr>
  </w:style>
  <w:style w:type="paragraph" w:styleId="EndnoteText">
    <w:name w:val="endnote text"/>
    <w:basedOn w:val="Normal"/>
    <w:link w:val="EndnoteTextChar"/>
    <w:uiPriority w:val="99"/>
    <w:unhideWhenUsed/>
    <w:rsid w:val="0026168A"/>
    <w:rPr>
      <w:sz w:val="20"/>
      <w:szCs w:val="20"/>
    </w:rPr>
  </w:style>
  <w:style w:type="character" w:customStyle="1" w:styleId="EndnoteTextChar">
    <w:name w:val="Endnote Text Char"/>
    <w:basedOn w:val="DefaultParagraphFont"/>
    <w:link w:val="EndnoteText"/>
    <w:uiPriority w:val="99"/>
    <w:rsid w:val="0026168A"/>
    <w:rPr>
      <w:rFonts w:ascii="Calibri" w:hAnsi="Calibri"/>
    </w:rPr>
  </w:style>
  <w:style w:type="character" w:styleId="EndnoteReference">
    <w:name w:val="endnote reference"/>
    <w:basedOn w:val="DefaultParagraphFont"/>
    <w:uiPriority w:val="99"/>
    <w:unhideWhenUsed/>
    <w:rsid w:val="0026168A"/>
    <w:rPr>
      <w:vertAlign w:val="superscript"/>
    </w:rPr>
  </w:style>
  <w:style w:type="paragraph" w:styleId="FootnoteText">
    <w:name w:val="footnote text"/>
    <w:basedOn w:val="Normal"/>
    <w:link w:val="FootnoteTextChar"/>
    <w:rsid w:val="008F64A1"/>
    <w:rPr>
      <w:sz w:val="20"/>
      <w:szCs w:val="20"/>
    </w:rPr>
  </w:style>
  <w:style w:type="character" w:customStyle="1" w:styleId="FootnoteTextChar">
    <w:name w:val="Footnote Text Char"/>
    <w:basedOn w:val="DefaultParagraphFont"/>
    <w:link w:val="FootnoteText"/>
    <w:rsid w:val="008F64A1"/>
    <w:rPr>
      <w:rFonts w:ascii="Calibri" w:hAnsi="Calibri"/>
    </w:rPr>
  </w:style>
  <w:style w:type="character" w:styleId="FootnoteReference">
    <w:name w:val="footnote reference"/>
    <w:basedOn w:val="DefaultParagraphFont"/>
    <w:rsid w:val="008F64A1"/>
    <w:rPr>
      <w:vertAlign w:val="superscript"/>
    </w:rPr>
  </w:style>
  <w:style w:type="character" w:customStyle="1" w:styleId="Heading4Char">
    <w:name w:val="Heading 4 Char"/>
    <w:basedOn w:val="DefaultParagraphFont"/>
    <w:link w:val="Heading4"/>
    <w:rsid w:val="00112AD7"/>
    <w:rPr>
      <w:rFonts w:ascii="Franklin Gothic Medium" w:hAnsi="Franklin Gothic Medium"/>
      <w:color w:val="5A9A98"/>
      <w:kern w:val="28"/>
      <w:sz w:val="22"/>
      <w:szCs w:val="22"/>
    </w:rPr>
  </w:style>
  <w:style w:type="paragraph" w:styleId="ListParagraph">
    <w:name w:val="List Paragraph"/>
    <w:basedOn w:val="Normal"/>
    <w:uiPriority w:val="34"/>
    <w:qFormat/>
    <w:rsid w:val="002B7EA6"/>
    <w:pPr>
      <w:ind w:left="720"/>
    </w:pPr>
  </w:style>
  <w:style w:type="character" w:customStyle="1" w:styleId="italic">
    <w:name w:val="italic"/>
    <w:rsid w:val="006B1BAD"/>
  </w:style>
  <w:style w:type="paragraph" w:styleId="Revision">
    <w:name w:val="Revision"/>
    <w:hidden/>
    <w:uiPriority w:val="99"/>
    <w:semiHidden/>
    <w:rsid w:val="00821566"/>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4592">
      <w:bodyDiv w:val="1"/>
      <w:marLeft w:val="0"/>
      <w:marRight w:val="0"/>
      <w:marTop w:val="0"/>
      <w:marBottom w:val="0"/>
      <w:divBdr>
        <w:top w:val="none" w:sz="0" w:space="0" w:color="auto"/>
        <w:left w:val="none" w:sz="0" w:space="0" w:color="auto"/>
        <w:bottom w:val="none" w:sz="0" w:space="0" w:color="auto"/>
        <w:right w:val="none" w:sz="0" w:space="0" w:color="auto"/>
      </w:divBdr>
    </w:div>
    <w:div w:id="1744253343">
      <w:bodyDiv w:val="1"/>
      <w:marLeft w:val="0"/>
      <w:marRight w:val="0"/>
      <w:marTop w:val="0"/>
      <w:marBottom w:val="0"/>
      <w:divBdr>
        <w:top w:val="none" w:sz="0" w:space="0" w:color="auto"/>
        <w:left w:val="none" w:sz="0" w:space="0" w:color="auto"/>
        <w:bottom w:val="none" w:sz="0" w:space="0" w:color="auto"/>
        <w:right w:val="none" w:sz="0" w:space="0" w:color="auto"/>
      </w:divBdr>
    </w:div>
    <w:div w:id="20257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reativecommons.org/licenses/by/3.0/au/legalcode"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3.0/a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ausaid.gov.a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usaid.gov.au/publications"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1FFD0-071D-4228-9EB3-CD331C597D62}"/>
</file>

<file path=customXml/itemProps2.xml><?xml version="1.0" encoding="utf-8"?>
<ds:datastoreItem xmlns:ds="http://schemas.openxmlformats.org/officeDocument/2006/customXml" ds:itemID="{BAD108CC-8C79-423C-9810-703545350A4C}"/>
</file>

<file path=customXml/itemProps3.xml><?xml version="1.0" encoding="utf-8"?>
<ds:datastoreItem xmlns:ds="http://schemas.openxmlformats.org/officeDocument/2006/customXml" ds:itemID="{B2687E87-493C-4F1C-90D2-10BB69E76B8C}"/>
</file>

<file path=customXml/itemProps4.xml><?xml version="1.0" encoding="utf-8"?>
<ds:datastoreItem xmlns:ds="http://schemas.openxmlformats.org/officeDocument/2006/customXml" ds:itemID="{C8B9A0BF-756D-4CF9-A381-640731FBB1ED}"/>
</file>

<file path=docProps/app.xml><?xml version="1.0" encoding="utf-8"?>
<Properties xmlns="http://schemas.openxmlformats.org/officeDocument/2006/extended-properties" xmlns:vt="http://schemas.openxmlformats.org/officeDocument/2006/docPropsVTypes">
  <Template>Normal.dotm</Template>
  <TotalTime>0</TotalTime>
  <Pages>22</Pages>
  <Words>7679</Words>
  <Characters>45073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52647</CharactersWithSpaces>
  <SharedDoc>false</SharedDoc>
  <HLinks>
    <vt:vector size="18" baseType="variant">
      <vt:variant>
        <vt:i4>4849744</vt:i4>
      </vt:variant>
      <vt:variant>
        <vt:i4>14</vt:i4>
      </vt:variant>
      <vt:variant>
        <vt:i4>0</vt:i4>
      </vt:variant>
      <vt:variant>
        <vt:i4>5</vt:i4>
      </vt:variant>
      <vt:variant>
        <vt:lpwstr>http://www.ausaid.gov.au/</vt:lpwstr>
      </vt:variant>
      <vt:variant>
        <vt:lpwstr/>
      </vt:variant>
      <vt:variant>
        <vt:i4>5701662</vt:i4>
      </vt:variant>
      <vt:variant>
        <vt:i4>9</vt:i4>
      </vt:variant>
      <vt:variant>
        <vt:i4>0</vt:i4>
      </vt:variant>
      <vt:variant>
        <vt:i4>5</vt:i4>
      </vt:variant>
      <vt:variant>
        <vt:lpwstr>http://www.ausaid.gov.au/publications</vt:lpwstr>
      </vt:variant>
      <vt:variant>
        <vt:lpwstr/>
      </vt:variant>
      <vt:variant>
        <vt:i4>5373963</vt:i4>
      </vt:variant>
      <vt:variant>
        <vt:i4>2</vt:i4>
      </vt:variant>
      <vt:variant>
        <vt:i4>0</vt:i4>
      </vt:variant>
      <vt:variant>
        <vt:i4>5</vt:i4>
      </vt:variant>
      <vt:variant>
        <vt:lpwstr>http://www.ag.gov.au/cca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2013-01-30T01:13:00Z</dcterms:created>
  <dcterms:modified xsi:type="dcterms:W3CDTF">2013-01-30T01:13:00Z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