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28B9E" w14:textId="77777777" w:rsidR="0059146A" w:rsidRDefault="0059146A" w:rsidP="005B5769">
      <w:pPr>
        <w:pStyle w:val="ListBullet"/>
        <w:tabs>
          <w:tab w:val="clear" w:pos="284"/>
        </w:tabs>
      </w:pPr>
    </w:p>
    <w:p w14:paraId="3D32F587" w14:textId="77777777" w:rsidR="0059146A" w:rsidRPr="0059146A" w:rsidRDefault="0059146A" w:rsidP="005B5769">
      <w:pPr>
        <w:pStyle w:val="ListBullet"/>
        <w:tabs>
          <w:tab w:val="clear" w:pos="284"/>
        </w:tabs>
      </w:pPr>
    </w:p>
    <w:p w14:paraId="670220AB" w14:textId="77777777" w:rsidR="00A56F14" w:rsidRPr="0059146A" w:rsidRDefault="00A56F14" w:rsidP="0059146A">
      <w:pPr>
        <w:pStyle w:val="ListBullet"/>
        <w:tabs>
          <w:tab w:val="clear" w:pos="284"/>
        </w:tabs>
      </w:pPr>
    </w:p>
    <w:p w14:paraId="57AC3E26" w14:textId="77777777" w:rsidR="00A56F14" w:rsidRDefault="00A56F14" w:rsidP="00A56F14">
      <w:pPr>
        <w:spacing w:after="200" w:line="276" w:lineRule="auto"/>
        <w:rPr>
          <w:b/>
        </w:rPr>
      </w:pPr>
    </w:p>
    <w:p w14:paraId="05D92594" w14:textId="77777777" w:rsidR="00A56F14" w:rsidRDefault="00A56F14" w:rsidP="00A56F14">
      <w:pPr>
        <w:spacing w:after="200" w:line="276" w:lineRule="auto"/>
        <w:rPr>
          <w:b/>
        </w:rPr>
      </w:pPr>
    </w:p>
    <w:p w14:paraId="76835636" w14:textId="77777777" w:rsidR="00C6626C" w:rsidRDefault="00C6626C" w:rsidP="00A56F14"/>
    <w:p w14:paraId="278F3F58" w14:textId="77777777" w:rsidR="00C6626C" w:rsidRDefault="00C6626C" w:rsidP="00A56F14"/>
    <w:p w14:paraId="3D7DD1D6" w14:textId="77777777" w:rsidR="00C6626C" w:rsidRDefault="00C6626C" w:rsidP="00A56F14"/>
    <w:p w14:paraId="1EE7C16E" w14:textId="77777777" w:rsidR="00C6626C" w:rsidRDefault="00C6626C" w:rsidP="00A56F14"/>
    <w:p w14:paraId="3BF465C3" w14:textId="77777777" w:rsidR="00C6626C" w:rsidRDefault="00C6626C" w:rsidP="00A56F14"/>
    <w:p w14:paraId="29F0CAA6" w14:textId="77777777" w:rsidR="00C6626C" w:rsidRDefault="00C6626C" w:rsidP="00A56F14"/>
    <w:p w14:paraId="159B0FDC" w14:textId="77777777" w:rsidR="00C6626C" w:rsidRDefault="00C6626C" w:rsidP="00A56F14"/>
    <w:p w14:paraId="78BC1E52" w14:textId="77777777" w:rsidR="00C6626C" w:rsidRDefault="00C6626C" w:rsidP="00A56F14"/>
    <w:p w14:paraId="63E420DB" w14:textId="77777777" w:rsidR="00C6626C" w:rsidRDefault="00C6626C" w:rsidP="00A56F14"/>
    <w:p w14:paraId="41CD4F25" w14:textId="77777777" w:rsidR="00C6626C" w:rsidRDefault="00C6626C" w:rsidP="00A56F14"/>
    <w:p w14:paraId="7C621342" w14:textId="77777777" w:rsidR="00C6626C" w:rsidRDefault="00C6626C" w:rsidP="00A56F14"/>
    <w:p w14:paraId="5989BC7E" w14:textId="77777777" w:rsidR="00C6626C" w:rsidRDefault="00C6626C" w:rsidP="00A56F14"/>
    <w:p w14:paraId="14110ECF" w14:textId="77777777" w:rsidR="00C6626C" w:rsidRDefault="00C6626C" w:rsidP="00A56F14"/>
    <w:p w14:paraId="6D71D74A" w14:textId="77777777" w:rsidR="00C6626C" w:rsidRDefault="00C6626C" w:rsidP="00A56F14"/>
    <w:p w14:paraId="435D25A6" w14:textId="77777777" w:rsidR="00C6626C" w:rsidRDefault="00C6626C" w:rsidP="00A56F14"/>
    <w:p w14:paraId="677A1D34" w14:textId="77777777" w:rsidR="00C6626C" w:rsidRDefault="00C6626C" w:rsidP="00A56F14"/>
    <w:p w14:paraId="52BF542B" w14:textId="77777777" w:rsidR="00C6626C" w:rsidRDefault="00C6626C" w:rsidP="00A56F14"/>
    <w:p w14:paraId="110CCE44" w14:textId="77777777" w:rsidR="00C6626C" w:rsidRDefault="00C6626C" w:rsidP="00A56F14"/>
    <w:p w14:paraId="3351B59C" w14:textId="77777777" w:rsidR="00C6626C" w:rsidRDefault="00C6626C" w:rsidP="00A56F14"/>
    <w:p w14:paraId="60B0F045" w14:textId="77777777" w:rsidR="00C6626C" w:rsidRDefault="00C6626C" w:rsidP="00A56F14"/>
    <w:p w14:paraId="7EFE75A8" w14:textId="77777777" w:rsidR="00C6626C" w:rsidRDefault="00C6626C" w:rsidP="00A56F14"/>
    <w:p w14:paraId="02F4B222" w14:textId="77777777"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136E71B1" wp14:editId="0F0C5FE1">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68C706A3" wp14:editId="36569B7E">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9B29F8">
        <w:rPr>
          <w:spacing w:val="-20"/>
          <w:sz w:val="60"/>
        </w:rPr>
        <w:t>Aid Program</w:t>
      </w:r>
      <w:r w:rsidR="00C6626C" w:rsidRPr="002A51CA">
        <w:rPr>
          <w:spacing w:val="-20"/>
          <w:sz w:val="60"/>
        </w:rPr>
        <w:t xml:space="preserve"> Performance </w:t>
      </w:r>
    </w:p>
    <w:p w14:paraId="00627ED3" w14:textId="77777777" w:rsidR="00C6626C" w:rsidRPr="002A51CA" w:rsidRDefault="00C6626C" w:rsidP="002A51CA">
      <w:pPr>
        <w:pStyle w:val="Title"/>
        <w:spacing w:after="120" w:line="600" w:lineRule="exact"/>
        <w:rPr>
          <w:spacing w:val="-20"/>
          <w:sz w:val="60"/>
        </w:rPr>
      </w:pPr>
      <w:r w:rsidRPr="002A51CA">
        <w:rPr>
          <w:spacing w:val="-20"/>
          <w:sz w:val="60"/>
        </w:rPr>
        <w:t>Report 2015-16</w:t>
      </w:r>
    </w:p>
    <w:p w14:paraId="5DA8082B" w14:textId="77777777" w:rsidR="00C6626C" w:rsidRDefault="00D0128F" w:rsidP="00A56F14">
      <w:r>
        <w:rPr>
          <w:sz w:val="40"/>
        </w:rPr>
        <w:t>Myanmar</w:t>
      </w:r>
    </w:p>
    <w:p w14:paraId="124E4E35" w14:textId="77777777" w:rsidR="00C6626C" w:rsidRPr="002A51CA" w:rsidRDefault="00C6626C" w:rsidP="00A56F14">
      <w:pPr>
        <w:rPr>
          <w:sz w:val="24"/>
        </w:rPr>
      </w:pPr>
      <w:r w:rsidRPr="002A51CA">
        <w:rPr>
          <w:sz w:val="24"/>
        </w:rPr>
        <w:t>September 2016</w:t>
      </w:r>
    </w:p>
    <w:p w14:paraId="611B02BF" w14:textId="77777777" w:rsidR="00C6626C" w:rsidRDefault="00C6626C" w:rsidP="00A56F14">
      <w:pPr>
        <w:sectPr w:rsidR="00C6626C" w:rsidSect="00C6626C">
          <w:headerReference w:type="default" r:id="rId10"/>
          <w:pgSz w:w="11906" w:h="16838" w:code="9"/>
          <w:pgMar w:top="1952" w:right="1134" w:bottom="851" w:left="1134" w:header="1814" w:footer="567" w:gutter="0"/>
          <w:cols w:space="397"/>
          <w:docGrid w:linePitch="360"/>
        </w:sectPr>
      </w:pPr>
    </w:p>
    <w:p w14:paraId="64453BC4" w14:textId="77777777" w:rsidR="00C6626C" w:rsidRPr="00C61187" w:rsidRDefault="00C6626C" w:rsidP="00947C1E">
      <w:pPr>
        <w:pStyle w:val="ListBullet"/>
        <w:tabs>
          <w:tab w:val="clear" w:pos="284"/>
        </w:tabs>
        <w:spacing w:before="120"/>
        <w:rPr>
          <w:kern w:val="28"/>
        </w:rPr>
      </w:pPr>
      <w:r w:rsidRPr="002A51CA">
        <w:rPr>
          <w:rFonts w:asciiTheme="majorHAnsi" w:eastAsiaTheme="majorEastAsia" w:hAnsiTheme="majorHAnsi" w:cstheme="majorBidi"/>
          <w:caps/>
          <w:color w:val="495965" w:themeColor="text2"/>
          <w:sz w:val="38"/>
          <w:szCs w:val="26"/>
          <w:lang w:val="en-GB" w:eastAsia="en-US"/>
        </w:rPr>
        <w:lastRenderedPageBreak/>
        <w:t>Key Messages</w:t>
      </w:r>
      <w:r w:rsidRPr="00C61187">
        <w:rPr>
          <w:rFonts w:ascii="Helvetica" w:hAnsi="Helvetica" w:cs="Arial"/>
          <w:color w:val="007FAD"/>
          <w:kern w:val="28"/>
          <w:sz w:val="28"/>
          <w:szCs w:val="28"/>
        </w:rPr>
        <w:tab/>
      </w:r>
      <w:r w:rsidRPr="00C61187">
        <w:rPr>
          <w:rFonts w:ascii="Helvetica" w:hAnsi="Helvetica" w:cs="Arial"/>
          <w:color w:val="007FAD"/>
          <w:kern w:val="28"/>
          <w:sz w:val="24"/>
          <w:szCs w:val="28"/>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r w:rsidRPr="00C61187">
        <w:rPr>
          <w:rFonts w:ascii="Helvetica" w:hAnsi="Helvetica" w:cs="Arial"/>
          <w:color w:val="007FAD"/>
          <w:kern w:val="28"/>
          <w:sz w:val="32"/>
          <w:szCs w:val="32"/>
        </w:rPr>
        <w:tab/>
      </w:r>
    </w:p>
    <w:p w14:paraId="4F12BB00" w14:textId="77777777" w:rsidR="00C6626C" w:rsidRDefault="00A738EA" w:rsidP="002A51CA">
      <w:r>
        <w:t>This report outlines the progress of Australia’s aid program in Myanmar from July 2015 to June 2016. The program was implemented in line with Australia’s Myanmar Aid Investment Plan 2015-2020 and reflects the priorities of the Australian and Myanmar Governments.</w:t>
      </w:r>
    </w:p>
    <w:p w14:paraId="1C9CBEF3" w14:textId="77777777" w:rsidR="002F3F9A" w:rsidRDefault="00D74B9E" w:rsidP="002A51CA">
      <w:r>
        <w:t>In 2015-16</w:t>
      </w:r>
      <w:r w:rsidR="00566328">
        <w:t>,</w:t>
      </w:r>
      <w:r>
        <w:t xml:space="preserve"> Australia </w:t>
      </w:r>
      <w:r w:rsidR="002F3F9A">
        <w:t>provided $</w:t>
      </w:r>
      <w:r w:rsidR="00CA5CC5">
        <w:t>75.4</w:t>
      </w:r>
      <w:r w:rsidR="002F3F9A">
        <w:t xml:space="preserve"> million in development assistance to Myanmar through multilateral organisations, government and non-government organisations. </w:t>
      </w:r>
      <w:r w:rsidR="002F3F9A" w:rsidRPr="00A12C6F">
        <w:t>Australia’s aid program made good progress in 2015-16 against our objectives: enhancing human development through education; promoting peace and stability; and promoting inclusive economic growth and government management.</w:t>
      </w:r>
      <w:r w:rsidR="001A3ABA">
        <w:t xml:space="preserve"> Some key achievements attributable to Australian aid include:</w:t>
      </w:r>
    </w:p>
    <w:p w14:paraId="445642D9" w14:textId="77777777" w:rsidR="00886627" w:rsidRDefault="00886627" w:rsidP="001A3ABA">
      <w:pPr>
        <w:pStyle w:val="ListParagraph"/>
        <w:numPr>
          <w:ilvl w:val="0"/>
          <w:numId w:val="37"/>
        </w:numPr>
      </w:pPr>
      <w:r>
        <w:t xml:space="preserve">providing school grants to 43,000 government schools and 1,521 monastic schools, reaching </w:t>
      </w:r>
      <w:r w:rsidR="00566328">
        <w:t xml:space="preserve">         </w:t>
      </w:r>
      <w:r>
        <w:t>9.3 million students</w:t>
      </w:r>
    </w:p>
    <w:p w14:paraId="3C4F5F1E" w14:textId="77777777" w:rsidR="00A12C6F" w:rsidRDefault="009B29F8" w:rsidP="001A3ABA">
      <w:pPr>
        <w:pStyle w:val="ListParagraph"/>
        <w:numPr>
          <w:ilvl w:val="0"/>
          <w:numId w:val="37"/>
        </w:numPr>
      </w:pPr>
      <w:r>
        <w:t xml:space="preserve">providing </w:t>
      </w:r>
      <w:r w:rsidR="00A12C6F">
        <w:t xml:space="preserve">120,000 disadvantaged students </w:t>
      </w:r>
      <w:r>
        <w:t>with</w:t>
      </w:r>
      <w:r w:rsidR="00A12C6F">
        <w:t xml:space="preserve"> stipends to enable them to continue their education</w:t>
      </w:r>
    </w:p>
    <w:p w14:paraId="4C00C509" w14:textId="77777777" w:rsidR="000C0122" w:rsidRDefault="00886627" w:rsidP="000C0122">
      <w:pPr>
        <w:pStyle w:val="ListParagraph"/>
        <w:numPr>
          <w:ilvl w:val="0"/>
          <w:numId w:val="37"/>
        </w:numPr>
      </w:pPr>
      <w:r>
        <w:t>delivering life-saving humanitarian assistance to</w:t>
      </w:r>
      <w:r w:rsidR="009B29F8">
        <w:t xml:space="preserve"> </w:t>
      </w:r>
      <w:r w:rsidR="000C0122" w:rsidRPr="00A12C6F">
        <w:t>372,000 vulnerable women, men, girls and boys in conflict-affected and displaced communities, including in Rakhine State</w:t>
      </w:r>
      <w:r w:rsidR="000C0122">
        <w:t xml:space="preserve"> and on the Thai-Myanmar border</w:t>
      </w:r>
    </w:p>
    <w:p w14:paraId="5493BA84" w14:textId="77777777" w:rsidR="00FC4402" w:rsidRPr="000C0122" w:rsidRDefault="00A12C6F" w:rsidP="0025052E">
      <w:pPr>
        <w:pStyle w:val="ListParagraph"/>
        <w:numPr>
          <w:ilvl w:val="0"/>
          <w:numId w:val="37"/>
        </w:numPr>
      </w:pPr>
      <w:r>
        <w:t xml:space="preserve">supporting credible, transparent and inclusive elections in Myanmar, </w:t>
      </w:r>
      <w:r w:rsidR="00047464">
        <w:t>including enabling</w:t>
      </w:r>
      <w:r>
        <w:t xml:space="preserve"> greater participation by women and people with disability</w:t>
      </w:r>
    </w:p>
    <w:p w14:paraId="42674866" w14:textId="77777777" w:rsidR="000C0122" w:rsidRPr="00FC4402" w:rsidRDefault="002E0F57" w:rsidP="002E0F57">
      <w:pPr>
        <w:pStyle w:val="ListParagraph"/>
        <w:numPr>
          <w:ilvl w:val="0"/>
          <w:numId w:val="37"/>
        </w:numPr>
      </w:pPr>
      <w:r>
        <w:rPr>
          <w:rFonts w:eastAsia="MS Mincho"/>
        </w:rPr>
        <w:t>increasing</w:t>
      </w:r>
      <w:r w:rsidR="00FF698F">
        <w:rPr>
          <w:rFonts w:eastAsia="MS Mincho"/>
        </w:rPr>
        <w:t xml:space="preserve"> incomes for 26,18</w:t>
      </w:r>
      <w:r w:rsidRPr="002E0F57">
        <w:rPr>
          <w:rFonts w:eastAsia="MS Mincho"/>
        </w:rPr>
        <w:t xml:space="preserve">0 Myanmar households. </w:t>
      </w:r>
    </w:p>
    <w:p w14:paraId="0F5140DB" w14:textId="77777777" w:rsidR="00C6626C" w:rsidRPr="00C61187" w:rsidRDefault="00C6626C" w:rsidP="00947C1E">
      <w:pPr>
        <w:pStyle w:val="ListBullet"/>
        <w:tabs>
          <w:tab w:val="clear" w:pos="284"/>
        </w:tabs>
        <w:spacing w:before="240"/>
        <w:rPr>
          <w:kern w:val="28"/>
        </w:rPr>
      </w:pPr>
      <w:r w:rsidRPr="002A51CA">
        <w:rPr>
          <w:rFonts w:asciiTheme="majorHAnsi" w:eastAsiaTheme="majorEastAsia" w:hAnsiTheme="majorHAnsi" w:cstheme="majorBidi"/>
          <w:caps/>
          <w:color w:val="495965" w:themeColor="text2"/>
          <w:sz w:val="38"/>
          <w:szCs w:val="26"/>
          <w:lang w:val="en-GB" w:eastAsia="en-US"/>
        </w:rPr>
        <w:t xml:space="preserve">Context </w:t>
      </w:r>
      <w:r w:rsidRPr="002A51CA">
        <w:rPr>
          <w:rFonts w:asciiTheme="majorHAnsi" w:eastAsiaTheme="majorEastAsia" w:hAnsiTheme="majorHAnsi" w:cstheme="majorBidi"/>
          <w:caps/>
          <w:color w:val="495965" w:themeColor="text2"/>
          <w:sz w:val="38"/>
          <w:szCs w:val="26"/>
          <w:lang w:val="en-GB" w:eastAsia="en-US"/>
        </w:rPr>
        <w:tab/>
      </w:r>
      <w:r w:rsidRPr="00C61187">
        <w:rPr>
          <w:rFonts w:ascii="Helvetica" w:hAnsi="Helvetica" w:cs="Arial"/>
          <w:color w:val="007FAD"/>
          <w:kern w:val="28"/>
          <w:sz w:val="32"/>
          <w:szCs w:val="32"/>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p>
    <w:p w14:paraId="3B31D632" w14:textId="77777777" w:rsidR="005D4C1D" w:rsidRPr="005D4C1D" w:rsidRDefault="005D4C1D" w:rsidP="005D4C1D">
      <w:r w:rsidRPr="005D4C1D">
        <w:t xml:space="preserve">Myanmar’s transformation has been underway since 2010, when the then-military government initiated a series of major political and economic reforms and began to pursue a nationwide peace process. This transition entered a new phase in 2015-16, with the partial signing of a Nationwide Ceasefire Agreement in October 2015 and the conduct of fully contested democratic elections in November 2015. Aung San Suu Kyi’s National League for Democracy (NLD) </w:t>
      </w:r>
      <w:r w:rsidR="009B29F8">
        <w:t>won a landslide victory, with a new civilian-led government taking</w:t>
      </w:r>
      <w:r w:rsidRPr="005D4C1D">
        <w:t xml:space="preserve"> office in April 2016 after an orderly handover of power.  The lack of major political turmoil during this transition was </w:t>
      </w:r>
      <w:r w:rsidR="00047464">
        <w:t>a</w:t>
      </w:r>
      <w:r w:rsidRPr="005D4C1D">
        <w:t xml:space="preserve"> </w:t>
      </w:r>
      <w:r w:rsidR="000C7357">
        <w:t>tribute to the former Thein Sein Government, the</w:t>
      </w:r>
      <w:r w:rsidR="00047464">
        <w:t xml:space="preserve"> </w:t>
      </w:r>
      <w:r w:rsidRPr="005D4C1D">
        <w:t xml:space="preserve">new </w:t>
      </w:r>
      <w:r w:rsidR="000C7357">
        <w:t>NLD G</w:t>
      </w:r>
      <w:r w:rsidRPr="005D4C1D">
        <w:t>overnment and the military.</w:t>
      </w:r>
      <w:r w:rsidR="00556523">
        <w:t xml:space="preserve"> However, the long, constitutionally-mandated handover of power resulted in a slowing down of government decision-making and approvals throughout much of 2015-16.</w:t>
      </w:r>
    </w:p>
    <w:p w14:paraId="01F2FE54" w14:textId="77777777" w:rsidR="005D4C1D" w:rsidRPr="005D4C1D" w:rsidRDefault="005D4C1D" w:rsidP="005D4C1D">
      <w:r w:rsidRPr="005D4C1D">
        <w:t xml:space="preserve">The </w:t>
      </w:r>
      <w:r w:rsidR="00015116">
        <w:t>Myanmar G</w:t>
      </w:r>
      <w:r w:rsidR="009B29F8">
        <w:t>overnment</w:t>
      </w:r>
      <w:r w:rsidRPr="005D4C1D">
        <w:t xml:space="preserve"> </w:t>
      </w:r>
      <w:r w:rsidR="009B29F8">
        <w:t xml:space="preserve">took </w:t>
      </w:r>
      <w:r w:rsidRPr="005D4C1D">
        <w:t>early positive steps to release some of the remaining political detainees and repeal or amend laws</w:t>
      </w:r>
      <w:r w:rsidR="00551F4A">
        <w:t xml:space="preserve"> that restricted freedoms</w:t>
      </w:r>
      <w:r w:rsidRPr="005D4C1D">
        <w:t xml:space="preserve">. The government has prioritised peace and </w:t>
      </w:r>
      <w:r w:rsidR="00551F4A">
        <w:t>reconciliation</w:t>
      </w:r>
      <w:r w:rsidRPr="005D4C1D">
        <w:t xml:space="preserve"> by advancing the peace process and establishing mechanisms to tackle the complex challenges in Rakhine State. It has also demonstrated a focus on transparent and inclusive government, including through increased transparency around financial management</w:t>
      </w:r>
      <w:r w:rsidR="001E21C2">
        <w:t xml:space="preserve"> and a focus on providing a quality educ</w:t>
      </w:r>
      <w:r w:rsidR="00566328">
        <w:t>ation to disadvantaged and hard-to-</w:t>
      </w:r>
      <w:r w:rsidR="001E21C2">
        <w:t>reach children</w:t>
      </w:r>
      <w:r w:rsidRPr="005D4C1D">
        <w:t xml:space="preserve">. </w:t>
      </w:r>
    </w:p>
    <w:p w14:paraId="62139EE6" w14:textId="77777777" w:rsidR="005D4C1D" w:rsidRPr="005D4C1D" w:rsidRDefault="005D4C1D" w:rsidP="005D4C1D">
      <w:r w:rsidRPr="005D4C1D">
        <w:t xml:space="preserve">While </w:t>
      </w:r>
      <w:r w:rsidR="00551F4A">
        <w:t xml:space="preserve">we would expect the government’s reforms to yield positive results, the </w:t>
      </w:r>
      <w:r w:rsidRPr="005D4C1D">
        <w:t>complex challenges</w:t>
      </w:r>
      <w:r w:rsidR="00551F4A">
        <w:t xml:space="preserve"> in Myanmar mean that progress may be slow.</w:t>
      </w:r>
      <w:r w:rsidRPr="005D4C1D">
        <w:t xml:space="preserve"> </w:t>
      </w:r>
      <w:r w:rsidR="00551F4A">
        <w:t xml:space="preserve">Areas that suffer from conflict, displacement and lack of economic opportunity will be difficult to transform, and there will be a lag between good policy and substantial change on the ground. </w:t>
      </w:r>
      <w:r w:rsidRPr="005D4C1D">
        <w:t>While Myanmar’s new government has taken steps to address the many challenges</w:t>
      </w:r>
      <w:r w:rsidR="00A13878">
        <w:t xml:space="preserve"> it faces, its capacity constraints impact on its ability to meet the very high – and to some degree, unrealistic – expectations that are held for it</w:t>
      </w:r>
      <w:r w:rsidR="00551F4A">
        <w:t xml:space="preserve"> by elements of Myanmar’s population.</w:t>
      </w:r>
    </w:p>
    <w:p w14:paraId="25C3DB37" w14:textId="77777777" w:rsidR="005D4C1D" w:rsidRPr="005D4C1D" w:rsidRDefault="005D4C1D" w:rsidP="005D4C1D">
      <w:r w:rsidRPr="005D4C1D">
        <w:t>Continued reform has enabled Myanmar to continue its strong economic growth trajectory, recording 7 per cent growth in 2015-16. This represented a decline on the previous year’s figure of 8.5 per cent,</w:t>
      </w:r>
      <w:r w:rsidRPr="005D4C1D">
        <w:rPr>
          <w:lang w:eastAsia="en-AU"/>
        </w:rPr>
        <w:t xml:space="preserve"> largely due to the August 2015 floods reducing agricultural output, a slowdown in foreign investment flows due to the election and long transition, a weakening Kyat, and falling gas prices reducing export revenue.  </w:t>
      </w:r>
      <w:r w:rsidR="00886627">
        <w:rPr>
          <w:lang w:eastAsia="en-AU"/>
        </w:rPr>
        <w:t>I</w:t>
      </w:r>
      <w:r w:rsidRPr="005D4C1D">
        <w:rPr>
          <w:lang w:eastAsia="en-AU"/>
        </w:rPr>
        <w:t xml:space="preserve">nvestors have generally remained upbeat following the elections, and many predict economic growth </w:t>
      </w:r>
      <w:r w:rsidR="00886627">
        <w:rPr>
          <w:lang w:eastAsia="en-AU"/>
        </w:rPr>
        <w:t>may accelerate again in 2016-17.</w:t>
      </w:r>
      <w:r w:rsidRPr="005D4C1D">
        <w:rPr>
          <w:lang w:eastAsia="en-AU"/>
        </w:rPr>
        <w:t xml:space="preserve"> </w:t>
      </w:r>
    </w:p>
    <w:p w14:paraId="65BD888C" w14:textId="77777777" w:rsidR="006D4AEE" w:rsidRDefault="006D4AEE" w:rsidP="005D4C1D"/>
    <w:p w14:paraId="332C4C36" w14:textId="77777777" w:rsidR="005D4C1D" w:rsidRPr="005D4C1D" w:rsidRDefault="00886627" w:rsidP="005D4C1D">
      <w:r>
        <w:lastRenderedPageBreak/>
        <w:t xml:space="preserve">The positive economic growth trends are building from a very low base. </w:t>
      </w:r>
      <w:r w:rsidR="005D4C1D" w:rsidRPr="005D4C1D">
        <w:t>Myanmar remains one of the poorest countries in South</w:t>
      </w:r>
      <w:r w:rsidR="00F36885">
        <w:t>-E</w:t>
      </w:r>
      <w:r w:rsidR="005D4C1D" w:rsidRPr="005D4C1D">
        <w:t>ast Asia, despite some recent improvements in poverty rates. The World Bank calculates that 37.5 per cent of Myanmar’s population are living in poverty; that rate reaches more than 70 per cent in some rural areas. At 64 years, Myanmar’s average life expectancy is the lowest among its ASEAN peers. Approximately 10 per cent of Myanmar’s population does not have access to enough food.</w:t>
      </w:r>
    </w:p>
    <w:p w14:paraId="457475EE" w14:textId="77777777" w:rsidR="005D4C1D" w:rsidRPr="005D4C1D" w:rsidRDefault="00A13878" w:rsidP="005D4C1D">
      <w:r>
        <w:t xml:space="preserve">Development indicators lag behind neighbouring countries. </w:t>
      </w:r>
      <w:r w:rsidR="005D4C1D" w:rsidRPr="005D4C1D">
        <w:t>Education standards remain low</w:t>
      </w:r>
      <w:r>
        <w:t>, with o</w:t>
      </w:r>
      <w:r w:rsidR="005D4C1D" w:rsidRPr="005D4C1D">
        <w:t>nly half o</w:t>
      </w:r>
      <w:r>
        <w:t>f all enrolled children completing</w:t>
      </w:r>
      <w:r w:rsidR="005D4C1D" w:rsidRPr="005D4C1D">
        <w:t xml:space="preserve"> pri</w:t>
      </w:r>
      <w:r>
        <w:t>mary school. A</w:t>
      </w:r>
      <w:r w:rsidR="005D4C1D" w:rsidRPr="005D4C1D">
        <w:t xml:space="preserve">pproximately 10 per cent of school aged children do not receive any basic education. Myanmar performed somewhat better on the 2015 Gender Inequality Index, ranking 85 out of 155 countries and above its </w:t>
      </w:r>
      <w:r w:rsidR="000C7357">
        <w:t>South Asia</w:t>
      </w:r>
      <w:r w:rsidR="005D4C1D" w:rsidRPr="005D4C1D">
        <w:t xml:space="preserve"> peers. People affected by ongoing conflict and displacement are some of the most vulnerable in Myanmar. In 2016, the UN estimates over one million people</w:t>
      </w:r>
      <w:r w:rsidR="00D74B9E">
        <w:rPr>
          <w:rStyle w:val="EndnoteReference"/>
        </w:rPr>
        <w:endnoteReference w:id="1"/>
      </w:r>
      <w:r w:rsidR="005D4C1D" w:rsidRPr="005D4C1D">
        <w:t xml:space="preserve"> are in need of humanitarian assistance, including 240,000 internally displaced people and 106,000 Myanmar refugees living in Thailand. </w:t>
      </w:r>
    </w:p>
    <w:p w14:paraId="1FDCFBC9" w14:textId="77777777" w:rsidR="00015116" w:rsidRDefault="000C0122" w:rsidP="005D4C1D">
      <w:r>
        <w:t>Australia has sought to engage closely wi</w:t>
      </w:r>
      <w:r w:rsidR="00551F4A">
        <w:t>th the new Myanmar G</w:t>
      </w:r>
      <w:r>
        <w:t>overnment early in its term to support the substantial reform agenda, including through the aid program. Australian</w:t>
      </w:r>
      <w:r w:rsidR="005D4C1D" w:rsidRPr="005D4C1D">
        <w:t xml:space="preserve"> aid is guided by the Aid Investment Plan 2015-2020 (AIP), which </w:t>
      </w:r>
      <w:r w:rsidR="00566328">
        <w:t>identifies the overarching goal of Australia’s aid program as being to support</w:t>
      </w:r>
      <w:r w:rsidR="005D4C1D" w:rsidRPr="005D4C1D">
        <w:t xml:space="preserve"> Myanmar’s process of political, social and economic reform. Australian aid </w:t>
      </w:r>
      <w:r w:rsidR="00566328">
        <w:t>helps</w:t>
      </w:r>
      <w:r w:rsidR="005D4C1D" w:rsidRPr="005D4C1D">
        <w:t xml:space="preserve"> create an environment conducive to inclusive economic growth and increased trade by strengthening government capacity, promoting peace and stability, and supporting the development of an educated and competitive workforce. </w:t>
      </w:r>
      <w:r w:rsidR="00566328">
        <w:t xml:space="preserve">These activities complement and reinforce other elements of our bilateral relationship, including our growing trade and investment ties, expanding defence relationship, support for human rights and people-to-people links. For example, </w:t>
      </w:r>
      <w:r w:rsidR="00F36885">
        <w:t>improvements to the business regulatory environment assist Australian and international business engagement in Myanmar, and</w:t>
      </w:r>
      <w:r w:rsidR="00F36885" w:rsidRPr="005D4C1D">
        <w:t xml:space="preserve"> </w:t>
      </w:r>
      <w:r w:rsidR="00566328">
        <w:t xml:space="preserve">our </w:t>
      </w:r>
      <w:r w:rsidR="00F36885">
        <w:t>Australia Awards scholarships and New Colombo Plan placements foster people-to-people links in the education sector.</w:t>
      </w:r>
    </w:p>
    <w:p w14:paraId="7BB41D11" w14:textId="77777777" w:rsidR="005D4C1D" w:rsidRPr="005D4C1D" w:rsidRDefault="005D4C1D" w:rsidP="005D4C1D">
      <w:r w:rsidRPr="005D4C1D">
        <w:t>The AIP sets Australia’s strategic priorities, but also recognises the importance of being flexible and responsive to the Myanma</w:t>
      </w:r>
      <w:r w:rsidR="00947C1E">
        <w:t>r Government</w:t>
      </w:r>
      <w:r w:rsidR="00551F4A">
        <w:t xml:space="preserve">’s policy </w:t>
      </w:r>
      <w:r w:rsidR="006E1C9B">
        <w:t>priorities</w:t>
      </w:r>
      <w:r w:rsidRPr="005D4C1D">
        <w:t>.</w:t>
      </w:r>
      <w:r w:rsidR="00551F4A">
        <w:t xml:space="preserve"> </w:t>
      </w:r>
      <w:r w:rsidR="00D15576">
        <w:t xml:space="preserve">This approach led Australia to delay two major education investment designs through the government transition, to ensure the investments are supported by the Myanmar Government and align with its priorities. </w:t>
      </w:r>
      <w:r w:rsidR="000F07FB">
        <w:t>The establishment of the Joint Peace Fund (JPF) in January 2016 is another example of Australia’s investment in flexible and responsive mechanisms that support the government’s highest priorities.</w:t>
      </w:r>
    </w:p>
    <w:p w14:paraId="47CC0737" w14:textId="77777777" w:rsidR="005D4C1D" w:rsidRDefault="005D4C1D" w:rsidP="005D4C1D">
      <w:r w:rsidRPr="005D4C1D">
        <w:t xml:space="preserve">In 2015-16 Australia provided </w:t>
      </w:r>
      <w:r w:rsidR="00CA5CC5" w:rsidRPr="00CA5CC5">
        <w:t>$75.4</w:t>
      </w:r>
      <w:r w:rsidRPr="00CA5CC5">
        <w:t xml:space="preserve"> million</w:t>
      </w:r>
      <w:r w:rsidRPr="005D4C1D">
        <w:t xml:space="preserve"> in official development assistance (ODA) to Myanmar, a reduction of </w:t>
      </w:r>
      <w:r w:rsidR="00CA5CC5">
        <w:t>24</w:t>
      </w:r>
      <w:r w:rsidRPr="005D4C1D">
        <w:t xml:space="preserve"> per cent</w:t>
      </w:r>
      <w:r w:rsidR="00CA5CC5">
        <w:rPr>
          <w:rStyle w:val="EndnoteReference"/>
        </w:rPr>
        <w:endnoteReference w:id="2"/>
      </w:r>
      <w:r w:rsidRPr="005D4C1D">
        <w:t xml:space="preserve"> from $99.1 million in 2014-15. This aid was delivered largely through multi-donor trust funds, although Australia has been working</w:t>
      </w:r>
      <w:r w:rsidR="00551F4A">
        <w:t xml:space="preserve"> more closely with the Myanmar G</w:t>
      </w:r>
      <w:r w:rsidRPr="005D4C1D">
        <w:t xml:space="preserve">overnment – both </w:t>
      </w:r>
      <w:r>
        <w:t>directly and through our membership of these trust funds. Australia’s ODA to Myanmar equated to approximately</w:t>
      </w:r>
      <w:r w:rsidR="00EB5D43">
        <w:t xml:space="preserve"> 4.2 per cent of total ODA to Myanmar and</w:t>
      </w:r>
      <w:r>
        <w:t xml:space="preserve"> 0.07 per cent of Myanmar’s estimated 2015 gross domestic product</w:t>
      </w:r>
      <w:r>
        <w:rPr>
          <w:rStyle w:val="EndnoteReference"/>
        </w:rPr>
        <w:endnoteReference w:id="3"/>
      </w:r>
      <w:r>
        <w:t>.</w:t>
      </w:r>
    </w:p>
    <w:p w14:paraId="793DB480" w14:textId="77777777" w:rsidR="00643884" w:rsidRPr="00C61187" w:rsidRDefault="005D4C1D" w:rsidP="002A51CA">
      <w:r>
        <w:t>The reduction in Australian aid in 2015-16 ran counter to the significant increase in aid to Myanmar from other donors. The transition following the 2015 elections was perceived by many international partners as a rare opportunity to invest in Myanmar’s transformation. While official figures are difficult to confirm, we estimate Australia has moved from sixth to eighth in bilateral donor rankings. However, Australia’s aid to Myanmar is entirel</w:t>
      </w:r>
      <w:r w:rsidR="00D74B9E">
        <w:t xml:space="preserve">y grant funding, whereas </w:t>
      </w:r>
      <w:r w:rsidR="00D15576">
        <w:t>some other</w:t>
      </w:r>
      <w:r>
        <w:t xml:space="preserve"> donor</w:t>
      </w:r>
      <w:r w:rsidR="00D15576">
        <w:t>s provide a significant proportion of their</w:t>
      </w:r>
      <w:r>
        <w:t xml:space="preserve"> ODA as concessional lending. Australia’s technical expertise, enduring engagement with government, and reputation as a constructive and pragmatic partner has enabled us to remain involved in key policy discussions with government and donors in areas of strategic interest.  </w:t>
      </w:r>
    </w:p>
    <w:p w14:paraId="4F428570" w14:textId="77777777" w:rsidR="006D4AEE" w:rsidRDefault="006D4AEE" w:rsidP="00947C1E">
      <w:pPr>
        <w:pStyle w:val="ListBullet"/>
        <w:tabs>
          <w:tab w:val="clear" w:pos="284"/>
        </w:tabs>
        <w:spacing w:before="240"/>
        <w:rPr>
          <w:rFonts w:asciiTheme="majorHAnsi" w:eastAsiaTheme="majorEastAsia" w:hAnsiTheme="majorHAnsi" w:cstheme="majorBidi"/>
          <w:caps/>
          <w:color w:val="495965" w:themeColor="text2"/>
          <w:sz w:val="38"/>
          <w:szCs w:val="26"/>
          <w:lang w:val="en-GB" w:eastAsia="en-US"/>
        </w:rPr>
      </w:pPr>
    </w:p>
    <w:p w14:paraId="46060C1A" w14:textId="77777777" w:rsidR="006D4AEE" w:rsidRDefault="006D4AEE" w:rsidP="00947C1E">
      <w:pPr>
        <w:pStyle w:val="ListBullet"/>
        <w:tabs>
          <w:tab w:val="clear" w:pos="284"/>
        </w:tabs>
        <w:spacing w:before="240"/>
        <w:rPr>
          <w:rFonts w:asciiTheme="majorHAnsi" w:eastAsiaTheme="majorEastAsia" w:hAnsiTheme="majorHAnsi" w:cstheme="majorBidi"/>
          <w:caps/>
          <w:color w:val="495965" w:themeColor="text2"/>
          <w:sz w:val="38"/>
          <w:szCs w:val="26"/>
          <w:lang w:val="en-GB" w:eastAsia="en-US"/>
        </w:rPr>
      </w:pPr>
    </w:p>
    <w:p w14:paraId="710B294B" w14:textId="77777777" w:rsidR="006D4AEE" w:rsidRDefault="006D4AEE" w:rsidP="00947C1E">
      <w:pPr>
        <w:pStyle w:val="ListBullet"/>
        <w:tabs>
          <w:tab w:val="clear" w:pos="284"/>
        </w:tabs>
        <w:spacing w:before="240"/>
        <w:rPr>
          <w:rFonts w:asciiTheme="majorHAnsi" w:eastAsiaTheme="majorEastAsia" w:hAnsiTheme="majorHAnsi" w:cstheme="majorBidi"/>
          <w:caps/>
          <w:color w:val="495965" w:themeColor="text2"/>
          <w:sz w:val="38"/>
          <w:szCs w:val="26"/>
          <w:lang w:val="en-GB" w:eastAsia="en-US"/>
        </w:rPr>
      </w:pPr>
    </w:p>
    <w:p w14:paraId="543C1902" w14:textId="77777777" w:rsidR="006D4AEE" w:rsidRDefault="006D4AEE" w:rsidP="00947C1E">
      <w:pPr>
        <w:pStyle w:val="ListBullet"/>
        <w:tabs>
          <w:tab w:val="clear" w:pos="284"/>
        </w:tabs>
        <w:spacing w:before="240"/>
        <w:rPr>
          <w:rFonts w:asciiTheme="majorHAnsi" w:eastAsiaTheme="majorEastAsia" w:hAnsiTheme="majorHAnsi" w:cstheme="majorBidi"/>
          <w:caps/>
          <w:color w:val="495965" w:themeColor="text2"/>
          <w:sz w:val="38"/>
          <w:szCs w:val="26"/>
          <w:lang w:val="en-GB" w:eastAsia="en-US"/>
        </w:rPr>
      </w:pPr>
    </w:p>
    <w:p w14:paraId="209837D2" w14:textId="77777777" w:rsidR="006D4AEE" w:rsidRDefault="006D4AEE" w:rsidP="00947C1E">
      <w:pPr>
        <w:pStyle w:val="ListBullet"/>
        <w:tabs>
          <w:tab w:val="clear" w:pos="284"/>
        </w:tabs>
        <w:spacing w:before="240"/>
        <w:rPr>
          <w:rFonts w:asciiTheme="majorHAnsi" w:eastAsiaTheme="majorEastAsia" w:hAnsiTheme="majorHAnsi" w:cstheme="majorBidi"/>
          <w:caps/>
          <w:color w:val="495965" w:themeColor="text2"/>
          <w:sz w:val="16"/>
          <w:szCs w:val="16"/>
          <w:lang w:val="en-GB" w:eastAsia="en-US"/>
        </w:rPr>
      </w:pPr>
    </w:p>
    <w:p w14:paraId="0AA241D1" w14:textId="77777777" w:rsidR="00C6626C" w:rsidRPr="002A51CA" w:rsidRDefault="00C6626C" w:rsidP="00947C1E">
      <w:pPr>
        <w:pStyle w:val="ListBullet"/>
        <w:tabs>
          <w:tab w:val="clear" w:pos="284"/>
        </w:tabs>
        <w:spacing w:before="24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p>
    <w:p w14:paraId="0DC3B031" w14:textId="1C42CC68"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3B7AAE">
        <w:rPr>
          <w:b/>
          <w:noProof/>
          <w:sz w:val="24"/>
        </w:rPr>
        <w:t>1</w:t>
      </w:r>
      <w:r w:rsidRPr="008C2F58">
        <w:rPr>
          <w:b/>
          <w:noProof/>
          <w:sz w:val="24"/>
        </w:rPr>
        <w:fldChar w:fldCharType="end"/>
      </w:r>
      <w:r w:rsidRPr="008C2F58">
        <w:rPr>
          <w:b/>
          <w:sz w:val="24"/>
        </w:rPr>
        <w:t xml:space="preserve"> Total ODA Expenditure in FY 2015-16</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92"/>
        <w:gridCol w:w="1525"/>
      </w:tblGrid>
      <w:tr w:rsidR="002A51CA" w:rsidRPr="003B0793" w14:paraId="7F5E21AE" w14:textId="77777777" w:rsidTr="00D15A00">
        <w:tc>
          <w:tcPr>
            <w:tcW w:w="6204" w:type="dxa"/>
          </w:tcPr>
          <w:p w14:paraId="274B034C" w14:textId="77777777" w:rsidR="002A51CA" w:rsidRPr="003B0793" w:rsidRDefault="002A51CA" w:rsidP="00947C1E">
            <w:pPr>
              <w:keepNext/>
              <w:spacing w:before="60" w:after="0" w:line="240" w:lineRule="auto"/>
              <w:rPr>
                <w:rFonts w:eastAsia="Times New Roman"/>
                <w:b/>
                <w:sz w:val="17"/>
                <w:szCs w:val="17"/>
              </w:rPr>
            </w:pPr>
            <w:r w:rsidRPr="003B0793">
              <w:rPr>
                <w:rFonts w:eastAsia="Times New Roman"/>
                <w:b/>
                <w:sz w:val="17"/>
                <w:szCs w:val="17"/>
              </w:rPr>
              <w:t>Objective</w:t>
            </w:r>
          </w:p>
        </w:tc>
        <w:tc>
          <w:tcPr>
            <w:tcW w:w="992" w:type="dxa"/>
          </w:tcPr>
          <w:p w14:paraId="03CA36A2" w14:textId="77777777" w:rsidR="002A51CA" w:rsidRPr="003B0793" w:rsidRDefault="002A51CA" w:rsidP="00947C1E">
            <w:pPr>
              <w:keepNext/>
              <w:spacing w:before="60" w:after="0" w:line="240" w:lineRule="auto"/>
              <w:rPr>
                <w:rFonts w:eastAsia="Times New Roman"/>
                <w:sz w:val="17"/>
                <w:szCs w:val="17"/>
              </w:rPr>
            </w:pPr>
            <w:r w:rsidRPr="003B0793">
              <w:rPr>
                <w:rFonts w:eastAsia="Times New Roman"/>
                <w:b/>
                <w:sz w:val="17"/>
                <w:szCs w:val="17"/>
              </w:rPr>
              <w:t>A$ million</w:t>
            </w:r>
          </w:p>
        </w:tc>
        <w:tc>
          <w:tcPr>
            <w:tcW w:w="1525" w:type="dxa"/>
          </w:tcPr>
          <w:p w14:paraId="7F9E84EB" w14:textId="77777777" w:rsidR="002A51CA" w:rsidRPr="003B0793" w:rsidRDefault="002A51CA" w:rsidP="00947C1E">
            <w:pPr>
              <w:keepNext/>
              <w:spacing w:before="60" w:after="0" w:line="240" w:lineRule="auto"/>
              <w:rPr>
                <w:rFonts w:eastAsia="Times New Roman"/>
                <w:sz w:val="17"/>
                <w:szCs w:val="17"/>
              </w:rPr>
            </w:pPr>
            <w:r w:rsidRPr="003B0793">
              <w:rPr>
                <w:rFonts w:eastAsia="Times New Roman"/>
                <w:b/>
                <w:sz w:val="17"/>
                <w:szCs w:val="17"/>
              </w:rPr>
              <w:t>% of total ODA</w:t>
            </w:r>
          </w:p>
        </w:tc>
      </w:tr>
      <w:tr w:rsidR="002A51CA" w:rsidRPr="003B0793" w14:paraId="0A41B419" w14:textId="77777777" w:rsidTr="00D15A00">
        <w:tc>
          <w:tcPr>
            <w:tcW w:w="6204" w:type="dxa"/>
          </w:tcPr>
          <w:p w14:paraId="593F0938" w14:textId="77777777" w:rsidR="002A51CA" w:rsidRPr="003B0793" w:rsidRDefault="002A51CA" w:rsidP="00947C1E">
            <w:pPr>
              <w:keepNext/>
              <w:spacing w:before="60" w:after="0" w:line="240" w:lineRule="auto"/>
              <w:rPr>
                <w:rFonts w:eastAsia="Times New Roman"/>
                <w:b/>
                <w:i/>
                <w:sz w:val="17"/>
                <w:szCs w:val="17"/>
              </w:rPr>
            </w:pPr>
            <w:r w:rsidRPr="003B0793">
              <w:rPr>
                <w:rFonts w:eastAsia="Times New Roman"/>
                <w:b/>
                <w:i/>
                <w:sz w:val="17"/>
                <w:szCs w:val="17"/>
              </w:rPr>
              <w:t xml:space="preserve">Bilateral </w:t>
            </w:r>
          </w:p>
        </w:tc>
        <w:tc>
          <w:tcPr>
            <w:tcW w:w="992" w:type="dxa"/>
          </w:tcPr>
          <w:p w14:paraId="625190AB" w14:textId="77777777" w:rsidR="002A51CA" w:rsidRPr="003B0793" w:rsidRDefault="002A51CA" w:rsidP="00947C1E">
            <w:pPr>
              <w:keepNext/>
              <w:spacing w:before="60" w:after="0" w:line="240" w:lineRule="auto"/>
              <w:rPr>
                <w:rFonts w:eastAsia="Times New Roman"/>
                <w:b/>
                <w:sz w:val="17"/>
                <w:szCs w:val="17"/>
              </w:rPr>
            </w:pPr>
          </w:p>
        </w:tc>
        <w:tc>
          <w:tcPr>
            <w:tcW w:w="1525" w:type="dxa"/>
          </w:tcPr>
          <w:p w14:paraId="6E27DC77" w14:textId="77777777" w:rsidR="002A51CA" w:rsidRPr="003B0793" w:rsidRDefault="002A51CA" w:rsidP="00947C1E">
            <w:pPr>
              <w:keepNext/>
              <w:spacing w:before="60" w:after="0" w:line="240" w:lineRule="auto"/>
              <w:rPr>
                <w:rFonts w:eastAsia="Times New Roman"/>
                <w:b/>
                <w:sz w:val="17"/>
                <w:szCs w:val="17"/>
              </w:rPr>
            </w:pPr>
          </w:p>
        </w:tc>
      </w:tr>
      <w:tr w:rsidR="002A51CA" w:rsidRPr="003B0793" w14:paraId="29AD73D8" w14:textId="77777777" w:rsidTr="00D15A00">
        <w:tc>
          <w:tcPr>
            <w:tcW w:w="6204" w:type="dxa"/>
          </w:tcPr>
          <w:p w14:paraId="15A6E818" w14:textId="77777777" w:rsidR="002A51CA" w:rsidRPr="00CA5CC5" w:rsidRDefault="002A51CA" w:rsidP="00947C1E">
            <w:pPr>
              <w:keepNext/>
              <w:spacing w:before="60" w:after="0" w:line="240" w:lineRule="auto"/>
              <w:rPr>
                <w:rFonts w:eastAsia="Times New Roman"/>
                <w:sz w:val="17"/>
                <w:szCs w:val="17"/>
              </w:rPr>
            </w:pPr>
            <w:r w:rsidRPr="00CA5CC5">
              <w:rPr>
                <w:rFonts w:eastAsia="Times New Roman"/>
                <w:sz w:val="17"/>
                <w:szCs w:val="17"/>
              </w:rPr>
              <w:t>Objective 1</w:t>
            </w:r>
            <w:r w:rsidR="00CA5CC5" w:rsidRPr="00CA5CC5">
              <w:rPr>
                <w:rFonts w:eastAsia="Times New Roman"/>
                <w:sz w:val="17"/>
                <w:szCs w:val="17"/>
              </w:rPr>
              <w:t xml:space="preserve"> - </w:t>
            </w:r>
            <w:r w:rsidR="00F64A61">
              <w:rPr>
                <w:rFonts w:eastAsia="Times New Roman"/>
                <w:iCs/>
                <w:sz w:val="17"/>
                <w:szCs w:val="17"/>
              </w:rPr>
              <w:t>Enhancing</w:t>
            </w:r>
            <w:r w:rsidR="00CA5CC5" w:rsidRPr="00CA5CC5">
              <w:rPr>
                <w:rFonts w:eastAsia="Times New Roman"/>
                <w:iCs/>
                <w:sz w:val="17"/>
                <w:szCs w:val="17"/>
              </w:rPr>
              <w:t xml:space="preserve"> human development</w:t>
            </w:r>
          </w:p>
        </w:tc>
        <w:tc>
          <w:tcPr>
            <w:tcW w:w="992" w:type="dxa"/>
          </w:tcPr>
          <w:p w14:paraId="3F229F5C" w14:textId="77777777" w:rsidR="002A51CA" w:rsidRPr="003B0793" w:rsidRDefault="0025052E" w:rsidP="00947C1E">
            <w:pPr>
              <w:keepNext/>
              <w:spacing w:before="60" w:after="0" w:line="240" w:lineRule="auto"/>
              <w:rPr>
                <w:rFonts w:eastAsia="Times New Roman"/>
                <w:sz w:val="17"/>
                <w:szCs w:val="17"/>
              </w:rPr>
            </w:pPr>
            <w:r>
              <w:rPr>
                <w:rFonts w:eastAsia="Times New Roman"/>
                <w:sz w:val="17"/>
                <w:szCs w:val="17"/>
              </w:rPr>
              <w:t>20.6</w:t>
            </w:r>
          </w:p>
        </w:tc>
        <w:tc>
          <w:tcPr>
            <w:tcW w:w="1525" w:type="dxa"/>
          </w:tcPr>
          <w:p w14:paraId="2E486091" w14:textId="77777777" w:rsidR="002A51CA" w:rsidRPr="003B0793" w:rsidRDefault="0025052E" w:rsidP="00947C1E">
            <w:pPr>
              <w:keepNext/>
              <w:spacing w:before="60" w:after="0" w:line="240" w:lineRule="auto"/>
              <w:rPr>
                <w:rFonts w:eastAsia="Times New Roman"/>
                <w:sz w:val="17"/>
                <w:szCs w:val="17"/>
              </w:rPr>
            </w:pPr>
            <w:r>
              <w:rPr>
                <w:rFonts w:eastAsia="Times New Roman"/>
                <w:sz w:val="17"/>
                <w:szCs w:val="17"/>
              </w:rPr>
              <w:t xml:space="preserve">  27</w:t>
            </w:r>
          </w:p>
        </w:tc>
      </w:tr>
      <w:tr w:rsidR="002A51CA" w:rsidRPr="003B0793" w14:paraId="67A9F824" w14:textId="77777777" w:rsidTr="00D15A00">
        <w:tc>
          <w:tcPr>
            <w:tcW w:w="6204" w:type="dxa"/>
          </w:tcPr>
          <w:p w14:paraId="7E41DEC9" w14:textId="77777777" w:rsidR="002A51CA" w:rsidRPr="00CA5CC5" w:rsidRDefault="002A51CA" w:rsidP="00947C1E">
            <w:pPr>
              <w:keepNext/>
              <w:spacing w:before="60" w:after="0" w:line="240" w:lineRule="auto"/>
              <w:rPr>
                <w:rFonts w:eastAsia="Times New Roman"/>
                <w:sz w:val="17"/>
                <w:szCs w:val="17"/>
              </w:rPr>
            </w:pPr>
            <w:r w:rsidRPr="00CA5CC5">
              <w:rPr>
                <w:rFonts w:eastAsia="Times New Roman"/>
                <w:sz w:val="17"/>
                <w:szCs w:val="17"/>
              </w:rPr>
              <w:t>Objective 2</w:t>
            </w:r>
            <w:r w:rsidR="00CA5CC5" w:rsidRPr="00CA5CC5">
              <w:rPr>
                <w:rFonts w:eastAsia="Times New Roman"/>
                <w:sz w:val="17"/>
                <w:szCs w:val="17"/>
              </w:rPr>
              <w:t xml:space="preserve"> - </w:t>
            </w:r>
            <w:r w:rsidR="00CA5CC5" w:rsidRPr="00CA5CC5">
              <w:rPr>
                <w:rFonts w:eastAsia="Times New Roman"/>
                <w:iCs/>
                <w:sz w:val="17"/>
                <w:szCs w:val="17"/>
              </w:rPr>
              <w:t>Promote peace and stability</w:t>
            </w:r>
          </w:p>
        </w:tc>
        <w:tc>
          <w:tcPr>
            <w:tcW w:w="992" w:type="dxa"/>
          </w:tcPr>
          <w:p w14:paraId="400CC380" w14:textId="77777777" w:rsidR="002A51CA" w:rsidRPr="003B0793" w:rsidRDefault="0025052E" w:rsidP="00947C1E">
            <w:pPr>
              <w:keepNext/>
              <w:spacing w:before="60" w:after="0" w:line="240" w:lineRule="auto"/>
              <w:rPr>
                <w:rFonts w:eastAsia="Times New Roman"/>
                <w:sz w:val="17"/>
                <w:szCs w:val="17"/>
              </w:rPr>
            </w:pPr>
            <w:r>
              <w:rPr>
                <w:rFonts w:eastAsia="Times New Roman"/>
                <w:sz w:val="17"/>
                <w:szCs w:val="17"/>
              </w:rPr>
              <w:t>21.9</w:t>
            </w:r>
          </w:p>
        </w:tc>
        <w:tc>
          <w:tcPr>
            <w:tcW w:w="1525" w:type="dxa"/>
          </w:tcPr>
          <w:p w14:paraId="44B4D05A" w14:textId="77777777" w:rsidR="002A51CA" w:rsidRPr="003B0793" w:rsidRDefault="0025052E" w:rsidP="00947C1E">
            <w:pPr>
              <w:keepNext/>
              <w:spacing w:before="60" w:after="0" w:line="240" w:lineRule="auto"/>
              <w:rPr>
                <w:rFonts w:eastAsia="Times New Roman"/>
                <w:sz w:val="17"/>
                <w:szCs w:val="17"/>
              </w:rPr>
            </w:pPr>
            <w:r>
              <w:rPr>
                <w:rFonts w:eastAsia="Times New Roman"/>
                <w:sz w:val="17"/>
                <w:szCs w:val="17"/>
              </w:rPr>
              <w:t xml:space="preserve">  29</w:t>
            </w:r>
          </w:p>
        </w:tc>
      </w:tr>
      <w:tr w:rsidR="002A51CA" w:rsidRPr="003B0793" w14:paraId="21105743" w14:textId="77777777" w:rsidTr="00D15A00">
        <w:tc>
          <w:tcPr>
            <w:tcW w:w="6204" w:type="dxa"/>
          </w:tcPr>
          <w:p w14:paraId="7EA1690C" w14:textId="77777777" w:rsidR="002A51CA" w:rsidRPr="00CA5CC5" w:rsidRDefault="002A51CA" w:rsidP="00947C1E">
            <w:pPr>
              <w:keepNext/>
              <w:spacing w:before="60" w:after="0" w:line="240" w:lineRule="auto"/>
              <w:rPr>
                <w:rFonts w:eastAsia="Times New Roman"/>
                <w:sz w:val="17"/>
                <w:szCs w:val="17"/>
              </w:rPr>
            </w:pPr>
            <w:r w:rsidRPr="00CA5CC5">
              <w:rPr>
                <w:rFonts w:eastAsia="Times New Roman"/>
                <w:sz w:val="17"/>
                <w:szCs w:val="17"/>
              </w:rPr>
              <w:t>Objective 3</w:t>
            </w:r>
            <w:r w:rsidR="00CA5CC5" w:rsidRPr="00CA5CC5">
              <w:rPr>
                <w:rFonts w:eastAsia="Times New Roman"/>
                <w:sz w:val="17"/>
                <w:szCs w:val="17"/>
              </w:rPr>
              <w:t xml:space="preserve"> - </w:t>
            </w:r>
            <w:r w:rsidR="00F64A61">
              <w:rPr>
                <w:rFonts w:eastAsia="Times New Roman"/>
                <w:iCs/>
                <w:sz w:val="17"/>
                <w:szCs w:val="17"/>
              </w:rPr>
              <w:t>Promoting</w:t>
            </w:r>
            <w:r w:rsidR="00CA5CC5" w:rsidRPr="00CA5CC5">
              <w:rPr>
                <w:rFonts w:eastAsia="Times New Roman"/>
                <w:iCs/>
                <w:sz w:val="17"/>
                <w:szCs w:val="17"/>
              </w:rPr>
              <w:t xml:space="preserve"> inclusive economic growth and government management</w:t>
            </w:r>
          </w:p>
        </w:tc>
        <w:tc>
          <w:tcPr>
            <w:tcW w:w="992" w:type="dxa"/>
          </w:tcPr>
          <w:p w14:paraId="1147E7C0" w14:textId="77777777" w:rsidR="002A51CA" w:rsidRPr="003B0793" w:rsidRDefault="0025052E" w:rsidP="00947C1E">
            <w:pPr>
              <w:keepNext/>
              <w:spacing w:before="60" w:after="0" w:line="240" w:lineRule="auto"/>
              <w:rPr>
                <w:rFonts w:eastAsia="Times New Roman"/>
                <w:sz w:val="17"/>
                <w:szCs w:val="17"/>
              </w:rPr>
            </w:pPr>
            <w:r>
              <w:rPr>
                <w:rFonts w:eastAsia="Times New Roman"/>
                <w:sz w:val="17"/>
                <w:szCs w:val="17"/>
              </w:rPr>
              <w:t>11.2</w:t>
            </w:r>
          </w:p>
        </w:tc>
        <w:tc>
          <w:tcPr>
            <w:tcW w:w="1525" w:type="dxa"/>
          </w:tcPr>
          <w:p w14:paraId="0E9263EE" w14:textId="77777777" w:rsidR="002A51CA" w:rsidRPr="003B0793" w:rsidRDefault="0025052E" w:rsidP="00947C1E">
            <w:pPr>
              <w:keepNext/>
              <w:spacing w:before="60" w:after="0" w:line="240" w:lineRule="auto"/>
              <w:rPr>
                <w:rFonts w:eastAsia="Times New Roman"/>
                <w:sz w:val="17"/>
                <w:szCs w:val="17"/>
              </w:rPr>
            </w:pPr>
            <w:r>
              <w:rPr>
                <w:rFonts w:eastAsia="Times New Roman"/>
                <w:sz w:val="17"/>
                <w:szCs w:val="17"/>
              </w:rPr>
              <w:t xml:space="preserve">  15</w:t>
            </w:r>
          </w:p>
        </w:tc>
      </w:tr>
      <w:tr w:rsidR="002A51CA" w:rsidRPr="003B0793" w14:paraId="14504B14" w14:textId="77777777" w:rsidTr="00D15A00">
        <w:tc>
          <w:tcPr>
            <w:tcW w:w="6204" w:type="dxa"/>
          </w:tcPr>
          <w:p w14:paraId="0AF068DB" w14:textId="77777777" w:rsidR="002A51CA" w:rsidRPr="003B0793" w:rsidRDefault="002A51CA" w:rsidP="00947C1E">
            <w:pPr>
              <w:keepNext/>
              <w:spacing w:before="60" w:after="0" w:line="240" w:lineRule="auto"/>
              <w:rPr>
                <w:rFonts w:eastAsia="Times New Roman"/>
                <w:b/>
                <w:sz w:val="17"/>
                <w:szCs w:val="17"/>
              </w:rPr>
            </w:pPr>
            <w:r w:rsidRPr="003B0793">
              <w:rPr>
                <w:rFonts w:eastAsia="Times New Roman"/>
                <w:b/>
                <w:sz w:val="17"/>
                <w:szCs w:val="17"/>
              </w:rPr>
              <w:t>Sub-Total Bilateral</w:t>
            </w:r>
          </w:p>
        </w:tc>
        <w:tc>
          <w:tcPr>
            <w:tcW w:w="992" w:type="dxa"/>
          </w:tcPr>
          <w:p w14:paraId="43F33FEC" w14:textId="77777777" w:rsidR="002A51CA" w:rsidRPr="003B0793" w:rsidRDefault="00BD46E0" w:rsidP="00947C1E">
            <w:pPr>
              <w:keepNext/>
              <w:spacing w:before="60" w:after="0" w:line="240" w:lineRule="auto"/>
              <w:rPr>
                <w:rFonts w:eastAsia="Times New Roman"/>
                <w:sz w:val="17"/>
                <w:szCs w:val="17"/>
              </w:rPr>
            </w:pPr>
            <w:r>
              <w:rPr>
                <w:rFonts w:eastAsia="Times New Roman"/>
                <w:sz w:val="17"/>
                <w:szCs w:val="17"/>
              </w:rPr>
              <w:t>53.7</w:t>
            </w:r>
          </w:p>
        </w:tc>
        <w:tc>
          <w:tcPr>
            <w:tcW w:w="1525" w:type="dxa"/>
          </w:tcPr>
          <w:p w14:paraId="65E81A92" w14:textId="77777777" w:rsidR="002A51CA" w:rsidRPr="003B0793" w:rsidRDefault="00BD46E0" w:rsidP="00947C1E">
            <w:pPr>
              <w:keepNext/>
              <w:spacing w:before="60" w:after="0" w:line="240" w:lineRule="auto"/>
              <w:rPr>
                <w:rFonts w:eastAsia="Times New Roman"/>
                <w:sz w:val="17"/>
                <w:szCs w:val="17"/>
              </w:rPr>
            </w:pPr>
            <w:r>
              <w:rPr>
                <w:rFonts w:eastAsia="Times New Roman"/>
                <w:sz w:val="17"/>
                <w:szCs w:val="17"/>
              </w:rPr>
              <w:t xml:space="preserve">  71</w:t>
            </w:r>
          </w:p>
        </w:tc>
      </w:tr>
      <w:tr w:rsidR="002A51CA" w:rsidRPr="003B0793" w14:paraId="0BAA832C" w14:textId="77777777" w:rsidTr="00D15A00">
        <w:tc>
          <w:tcPr>
            <w:tcW w:w="6204" w:type="dxa"/>
          </w:tcPr>
          <w:p w14:paraId="675CF14A" w14:textId="77777777" w:rsidR="002A51CA" w:rsidRPr="003B0793" w:rsidRDefault="002A51CA" w:rsidP="00947C1E">
            <w:pPr>
              <w:keepNext/>
              <w:spacing w:before="60" w:after="0" w:line="240" w:lineRule="auto"/>
              <w:rPr>
                <w:rFonts w:eastAsia="Times New Roman"/>
                <w:sz w:val="17"/>
                <w:szCs w:val="17"/>
              </w:rPr>
            </w:pPr>
            <w:r w:rsidRPr="003B0793">
              <w:rPr>
                <w:rFonts w:eastAsia="Times New Roman"/>
                <w:sz w:val="17"/>
                <w:szCs w:val="17"/>
              </w:rPr>
              <w:t>Regional and Global</w:t>
            </w:r>
          </w:p>
        </w:tc>
        <w:tc>
          <w:tcPr>
            <w:tcW w:w="992" w:type="dxa"/>
          </w:tcPr>
          <w:p w14:paraId="73A19878" w14:textId="77777777" w:rsidR="002A51CA" w:rsidRPr="003B0793" w:rsidRDefault="00BD46E0" w:rsidP="00947C1E">
            <w:pPr>
              <w:keepNext/>
              <w:spacing w:before="60" w:after="0" w:line="240" w:lineRule="auto"/>
              <w:rPr>
                <w:rFonts w:eastAsia="Times New Roman"/>
                <w:sz w:val="17"/>
                <w:szCs w:val="17"/>
              </w:rPr>
            </w:pPr>
            <w:r>
              <w:rPr>
                <w:rFonts w:eastAsia="Times New Roman"/>
                <w:sz w:val="17"/>
                <w:szCs w:val="17"/>
              </w:rPr>
              <w:t>21.5</w:t>
            </w:r>
          </w:p>
        </w:tc>
        <w:tc>
          <w:tcPr>
            <w:tcW w:w="1525" w:type="dxa"/>
          </w:tcPr>
          <w:p w14:paraId="196325B6" w14:textId="77777777" w:rsidR="002A51CA" w:rsidRPr="003B0793" w:rsidRDefault="00BD46E0" w:rsidP="00947C1E">
            <w:pPr>
              <w:keepNext/>
              <w:spacing w:before="60" w:after="0" w:line="240" w:lineRule="auto"/>
              <w:rPr>
                <w:rFonts w:eastAsia="Times New Roman"/>
                <w:sz w:val="17"/>
                <w:szCs w:val="17"/>
              </w:rPr>
            </w:pPr>
            <w:r>
              <w:rPr>
                <w:rFonts w:eastAsia="Times New Roman"/>
                <w:sz w:val="17"/>
                <w:szCs w:val="17"/>
              </w:rPr>
              <w:t xml:space="preserve">  29</w:t>
            </w:r>
          </w:p>
        </w:tc>
      </w:tr>
      <w:tr w:rsidR="002A51CA" w:rsidRPr="003B0793" w14:paraId="146C6DD3" w14:textId="77777777" w:rsidTr="00D15A00">
        <w:tc>
          <w:tcPr>
            <w:tcW w:w="6204" w:type="dxa"/>
          </w:tcPr>
          <w:p w14:paraId="2776F079" w14:textId="77777777" w:rsidR="002A51CA" w:rsidRPr="003B0793" w:rsidRDefault="002A51CA" w:rsidP="00947C1E">
            <w:pPr>
              <w:keepNext/>
              <w:spacing w:before="60" w:after="0" w:line="240" w:lineRule="auto"/>
              <w:rPr>
                <w:rFonts w:eastAsia="Times New Roman"/>
                <w:sz w:val="17"/>
                <w:szCs w:val="17"/>
              </w:rPr>
            </w:pPr>
            <w:r w:rsidRPr="003B0793">
              <w:rPr>
                <w:rFonts w:eastAsia="Times New Roman"/>
                <w:sz w:val="17"/>
                <w:szCs w:val="17"/>
              </w:rPr>
              <w:t>Other Government Departments</w:t>
            </w:r>
          </w:p>
        </w:tc>
        <w:tc>
          <w:tcPr>
            <w:tcW w:w="992" w:type="dxa"/>
          </w:tcPr>
          <w:p w14:paraId="18F4225C" w14:textId="77777777" w:rsidR="002A51CA" w:rsidRPr="003B0793" w:rsidRDefault="00BD46E0" w:rsidP="00947C1E">
            <w:pPr>
              <w:keepNext/>
              <w:spacing w:before="60" w:after="0" w:line="240" w:lineRule="auto"/>
              <w:rPr>
                <w:rFonts w:eastAsia="Times New Roman"/>
                <w:sz w:val="17"/>
                <w:szCs w:val="17"/>
              </w:rPr>
            </w:pPr>
            <w:r>
              <w:rPr>
                <w:rFonts w:eastAsia="Times New Roman"/>
                <w:sz w:val="17"/>
                <w:szCs w:val="17"/>
              </w:rPr>
              <w:t xml:space="preserve">  0.2</w:t>
            </w:r>
          </w:p>
        </w:tc>
        <w:tc>
          <w:tcPr>
            <w:tcW w:w="1525" w:type="dxa"/>
          </w:tcPr>
          <w:p w14:paraId="68D6D313" w14:textId="77777777" w:rsidR="002A51CA" w:rsidRPr="003B0793" w:rsidRDefault="00BD46E0" w:rsidP="00947C1E">
            <w:pPr>
              <w:keepNext/>
              <w:spacing w:before="60" w:after="0" w:line="240" w:lineRule="auto"/>
              <w:rPr>
                <w:rFonts w:eastAsia="Times New Roman"/>
                <w:sz w:val="17"/>
                <w:szCs w:val="17"/>
              </w:rPr>
            </w:pPr>
            <w:r>
              <w:rPr>
                <w:rFonts w:eastAsia="Times New Roman"/>
                <w:sz w:val="17"/>
                <w:szCs w:val="17"/>
              </w:rPr>
              <w:t xml:space="preserve">    0</w:t>
            </w:r>
          </w:p>
        </w:tc>
      </w:tr>
      <w:tr w:rsidR="002A51CA" w:rsidRPr="003B0793" w14:paraId="3C067BB5" w14:textId="77777777" w:rsidTr="00D15A00">
        <w:tc>
          <w:tcPr>
            <w:tcW w:w="6204" w:type="dxa"/>
          </w:tcPr>
          <w:p w14:paraId="1EBDFD0A" w14:textId="77777777" w:rsidR="002A51CA" w:rsidRPr="003B0793" w:rsidRDefault="002A51CA" w:rsidP="00947C1E">
            <w:pPr>
              <w:keepNext/>
              <w:spacing w:before="60" w:after="0" w:line="240" w:lineRule="auto"/>
              <w:rPr>
                <w:rFonts w:eastAsia="Times New Roman"/>
                <w:b/>
                <w:sz w:val="17"/>
                <w:szCs w:val="17"/>
              </w:rPr>
            </w:pPr>
            <w:r w:rsidRPr="003B0793">
              <w:rPr>
                <w:rFonts w:eastAsia="Times New Roman"/>
                <w:b/>
                <w:sz w:val="17"/>
                <w:szCs w:val="17"/>
              </w:rPr>
              <w:t>Total ODA Expenditure</w:t>
            </w:r>
          </w:p>
        </w:tc>
        <w:tc>
          <w:tcPr>
            <w:tcW w:w="992" w:type="dxa"/>
          </w:tcPr>
          <w:p w14:paraId="79A123BF" w14:textId="77777777" w:rsidR="002A51CA" w:rsidRPr="003B0793" w:rsidRDefault="00BD46E0" w:rsidP="00947C1E">
            <w:pPr>
              <w:keepNext/>
              <w:spacing w:before="60" w:after="0" w:line="240" w:lineRule="auto"/>
              <w:rPr>
                <w:rFonts w:eastAsia="Times New Roman"/>
                <w:sz w:val="17"/>
                <w:szCs w:val="17"/>
              </w:rPr>
            </w:pPr>
            <w:r>
              <w:rPr>
                <w:rFonts w:eastAsia="Times New Roman"/>
                <w:sz w:val="17"/>
                <w:szCs w:val="17"/>
              </w:rPr>
              <w:t>75.4</w:t>
            </w:r>
          </w:p>
        </w:tc>
        <w:tc>
          <w:tcPr>
            <w:tcW w:w="1525" w:type="dxa"/>
          </w:tcPr>
          <w:p w14:paraId="35E562A7" w14:textId="77777777" w:rsidR="002A51CA" w:rsidRPr="003B0793" w:rsidRDefault="00BD46E0" w:rsidP="00947C1E">
            <w:pPr>
              <w:keepNext/>
              <w:spacing w:before="60" w:after="0" w:line="240" w:lineRule="auto"/>
              <w:rPr>
                <w:rFonts w:eastAsia="Times New Roman"/>
                <w:sz w:val="17"/>
                <w:szCs w:val="17"/>
              </w:rPr>
            </w:pPr>
            <w:r>
              <w:rPr>
                <w:rFonts w:eastAsia="Times New Roman"/>
                <w:sz w:val="17"/>
                <w:szCs w:val="17"/>
              </w:rPr>
              <w:t>100</w:t>
            </w:r>
          </w:p>
        </w:tc>
      </w:tr>
    </w:tbl>
    <w:p w14:paraId="5FC49CD4" w14:textId="77777777" w:rsidR="002A51CA" w:rsidRPr="002A51CA"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Progress towards Objectives</w:t>
      </w:r>
      <w:r w:rsidRPr="002A51CA">
        <w:rPr>
          <w:rFonts w:asciiTheme="majorHAnsi" w:eastAsiaTheme="majorEastAsia" w:hAnsiTheme="majorHAnsi" w:cstheme="majorBidi"/>
          <w:caps/>
          <w:color w:val="495965" w:themeColor="text2"/>
          <w:sz w:val="38"/>
          <w:szCs w:val="26"/>
          <w:lang w:val="en-GB" w:eastAsia="en-US"/>
        </w:rPr>
        <w:tab/>
      </w:r>
    </w:p>
    <w:p w14:paraId="14C15533" w14:textId="77777777" w:rsidR="00564FEA" w:rsidRPr="00A12C6F" w:rsidRDefault="00857DAA" w:rsidP="00A12C6F">
      <w:r>
        <w:t xml:space="preserve">The performance of Australia’s aid program is measured against the performance benchmarks and performance assessment framework detailed in the Myanmar </w:t>
      </w:r>
      <w:r w:rsidR="00886627">
        <w:t>AIP</w:t>
      </w:r>
      <w:r>
        <w:t>. The ratin</w:t>
      </w:r>
      <w:r w:rsidR="00566328">
        <w:t>gs for each objective remain</w:t>
      </w:r>
      <w:r>
        <w:t xml:space="preserve"> </w:t>
      </w:r>
      <w:r w:rsidR="00886627">
        <w:t>green in 2015-16.</w:t>
      </w:r>
      <w:r>
        <w:t xml:space="preserve"> The consistent green ratings against each objective reflect that Australia set realistic performance targets in a complex and challenging operating environment. It also reflects Myanmar’s positive development trajectory and strong engagement by government.</w:t>
      </w:r>
      <w:r w:rsidR="00A12C6F">
        <w:t xml:space="preserve"> While the extended government transition in Myanmar has slowed progress in some areas, </w:t>
      </w:r>
      <w:r w:rsidR="00564FEA">
        <w:t xml:space="preserve">there remains a strong sense that Myanmar will ‘catch up’ </w:t>
      </w:r>
      <w:r w:rsidR="000F07FB">
        <w:t>in the year ahead. We assess that no restorative action is required to meet the three aid objectives over the life of the AIP.</w:t>
      </w:r>
    </w:p>
    <w:p w14:paraId="57EE3362" w14:textId="279B223E"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3B7AAE">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5000" w:type="pct"/>
        <w:tblLook w:val="0000" w:firstRow="0" w:lastRow="0" w:firstColumn="0" w:lastColumn="0" w:noHBand="0" w:noVBand="0"/>
      </w:tblPr>
      <w:tblGrid>
        <w:gridCol w:w="6851"/>
        <w:gridCol w:w="1126"/>
        <w:gridCol w:w="466"/>
        <w:gridCol w:w="1195"/>
      </w:tblGrid>
      <w:tr w:rsidR="002A51CA" w:rsidRPr="003B0793" w14:paraId="007EBCD2" w14:textId="77777777" w:rsidTr="00D15A00">
        <w:trPr>
          <w:cnfStyle w:val="000000010000" w:firstRow="0" w:lastRow="0" w:firstColumn="0" w:lastColumn="0" w:oddVBand="0" w:evenVBand="0" w:oddHBand="0" w:evenHBand="1" w:firstRowFirstColumn="0" w:firstRowLastColumn="0" w:lastRowFirstColumn="0" w:lastRowLastColumn="0"/>
          <w:trHeight w:val="651"/>
        </w:trPr>
        <w:tc>
          <w:tcPr>
            <w:tcW w:w="6029" w:type="dxa"/>
          </w:tcPr>
          <w:p w14:paraId="683616BC" w14:textId="77777777"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eastAsia="Times New Roman"/>
                <w:b/>
                <w:iCs/>
                <w:noProof/>
                <w:szCs w:val="17"/>
                <w:lang w:val="en-AU"/>
              </w:rPr>
              <w:drawing>
                <wp:anchor distT="0" distB="0" distL="114300" distR="114300" simplePos="0" relativeHeight="251674624" behindDoc="0" locked="0" layoutInCell="1" allowOverlap="1" wp14:anchorId="3398096A" wp14:editId="6AADFCC6">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eastAsia="Times New Roman" w:hAnsiTheme="minorHAnsi"/>
                <w:b/>
                <w:iCs/>
                <w:szCs w:val="17"/>
                <w:lang w:eastAsia="en-US"/>
              </w:rPr>
              <w:t>Objective</w:t>
            </w:r>
          </w:p>
        </w:tc>
        <w:tc>
          <w:tcPr>
            <w:tcW w:w="972" w:type="dxa"/>
          </w:tcPr>
          <w:p w14:paraId="7E1305DB" w14:textId="77777777" w:rsidR="002A51CA" w:rsidRPr="003B0793" w:rsidRDefault="002A51CA" w:rsidP="003B0793">
            <w:pPr>
              <w:keepLines/>
              <w:spacing w:before="80" w:after="80" w:line="200" w:lineRule="atLeast"/>
              <w:jc w:val="center"/>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Previous Rating</w:t>
            </w:r>
          </w:p>
        </w:tc>
        <w:tc>
          <w:tcPr>
            <w:tcW w:w="388" w:type="dxa"/>
          </w:tcPr>
          <w:p w14:paraId="3AD4A16A" w14:textId="77777777" w:rsidR="002A51CA" w:rsidRPr="003B0793" w:rsidRDefault="002A51CA" w:rsidP="003B0793">
            <w:pPr>
              <w:keepLines/>
              <w:spacing w:before="80" w:after="80" w:line="200" w:lineRule="atLeast"/>
              <w:jc w:val="center"/>
              <w:rPr>
                <w:rFonts w:asciiTheme="minorHAnsi" w:eastAsia="Times New Roman" w:hAnsiTheme="minorHAnsi"/>
                <w:b/>
                <w:iCs/>
                <w:szCs w:val="17"/>
                <w:lang w:eastAsia="en-US"/>
              </w:rPr>
            </w:pPr>
          </w:p>
        </w:tc>
        <w:tc>
          <w:tcPr>
            <w:tcW w:w="1021" w:type="dxa"/>
          </w:tcPr>
          <w:p w14:paraId="0A4126EB" w14:textId="77777777" w:rsidR="002A51CA" w:rsidRPr="003B0793" w:rsidRDefault="002A51CA" w:rsidP="003B0793">
            <w:pPr>
              <w:keepLines/>
              <w:spacing w:before="80" w:after="80" w:line="200" w:lineRule="atLeast"/>
              <w:jc w:val="center"/>
              <w:rPr>
                <w:rFonts w:asciiTheme="minorHAnsi" w:eastAsia="Times New Roman" w:hAnsiTheme="minorHAnsi"/>
                <w:b/>
                <w:iCs/>
                <w:szCs w:val="17"/>
                <w:lang w:eastAsia="en-US"/>
              </w:rPr>
            </w:pPr>
            <w:r w:rsidRPr="00857DAA">
              <w:rPr>
                <w:rFonts w:asciiTheme="minorHAnsi" w:eastAsia="Times New Roman" w:hAnsiTheme="minorHAnsi"/>
                <w:b/>
                <w:iCs/>
                <w:szCs w:val="17"/>
                <w:lang w:eastAsia="en-US"/>
              </w:rPr>
              <w:t>Current Rating</w:t>
            </w:r>
          </w:p>
        </w:tc>
      </w:tr>
      <w:tr w:rsidR="002A51CA" w:rsidRPr="003B0793" w14:paraId="3B503A18" w14:textId="77777777" w:rsidTr="00E05ABB">
        <w:trPr>
          <w:cnfStyle w:val="000000010000" w:firstRow="0" w:lastRow="0" w:firstColumn="0" w:lastColumn="0" w:oddVBand="0" w:evenVBand="0" w:oddHBand="0" w:evenHBand="1" w:firstRowFirstColumn="0" w:firstRowLastColumn="0" w:lastRowFirstColumn="0" w:lastRowLastColumn="0"/>
        </w:trPr>
        <w:tc>
          <w:tcPr>
            <w:tcW w:w="6029" w:type="dxa"/>
          </w:tcPr>
          <w:p w14:paraId="191E87A7" w14:textId="77777777" w:rsidR="002A51CA" w:rsidRPr="003B0793" w:rsidRDefault="00F64A61"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Objective 1: Enhancing</w:t>
            </w:r>
            <w:r w:rsidR="00E05ABB">
              <w:rPr>
                <w:rFonts w:asciiTheme="minorHAnsi" w:eastAsia="Times New Roman" w:hAnsiTheme="minorHAnsi"/>
                <w:iCs/>
                <w:szCs w:val="17"/>
                <w:lang w:eastAsia="en-US"/>
              </w:rPr>
              <w:t xml:space="preserve"> human development</w:t>
            </w:r>
          </w:p>
        </w:tc>
        <w:tc>
          <w:tcPr>
            <w:tcW w:w="972" w:type="dxa"/>
            <w:shd w:val="clear" w:color="auto" w:fill="7FB64D" w:themeFill="accent3" w:themeFillShade="BF"/>
            <w:noWrap/>
          </w:tcPr>
          <w:p w14:paraId="4346D076" w14:textId="77777777" w:rsidR="002A51CA" w:rsidRPr="003B0793" w:rsidRDefault="002A51CA"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Green</w:t>
            </w:r>
          </w:p>
        </w:tc>
        <w:tc>
          <w:tcPr>
            <w:tcW w:w="388" w:type="dxa"/>
          </w:tcPr>
          <w:p w14:paraId="0EB80617" w14:textId="77777777" w:rsidR="002A51CA" w:rsidRPr="003B0793" w:rsidRDefault="002A51CA" w:rsidP="00D15A00">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1021" w:type="dxa"/>
            <w:shd w:val="clear" w:color="auto" w:fill="7FB64D" w:themeFill="accent3" w:themeFillShade="BF"/>
            <w:noWrap/>
          </w:tcPr>
          <w:p w14:paraId="44CE599A" w14:textId="77777777" w:rsidR="002A51CA" w:rsidRPr="003B0793" w:rsidRDefault="00E05ABB"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Green</w:t>
            </w:r>
          </w:p>
        </w:tc>
      </w:tr>
      <w:tr w:rsidR="002A51CA" w:rsidRPr="003B0793" w14:paraId="56FD13F0" w14:textId="77777777" w:rsidTr="00E05ABB">
        <w:trPr>
          <w:cnfStyle w:val="000000010000" w:firstRow="0" w:lastRow="0" w:firstColumn="0" w:lastColumn="0" w:oddVBand="0" w:evenVBand="0" w:oddHBand="0" w:evenHBand="1" w:firstRowFirstColumn="0" w:firstRowLastColumn="0" w:lastRowFirstColumn="0" w:lastRowLastColumn="0"/>
        </w:trPr>
        <w:tc>
          <w:tcPr>
            <w:tcW w:w="6029" w:type="dxa"/>
          </w:tcPr>
          <w:p w14:paraId="0FD179B2" w14:textId="77777777" w:rsidR="002A51CA" w:rsidRPr="003B0793" w:rsidRDefault="002A51CA" w:rsidP="00D15A00">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Objective 2</w:t>
            </w:r>
            <w:r w:rsidR="00F64A61">
              <w:rPr>
                <w:rFonts w:asciiTheme="minorHAnsi" w:eastAsia="Times New Roman" w:hAnsiTheme="minorHAnsi"/>
                <w:iCs/>
                <w:szCs w:val="17"/>
                <w:lang w:eastAsia="en-US"/>
              </w:rPr>
              <w:t>: Promoting</w:t>
            </w:r>
            <w:r w:rsidR="00E05ABB">
              <w:rPr>
                <w:rFonts w:asciiTheme="minorHAnsi" w:eastAsia="Times New Roman" w:hAnsiTheme="minorHAnsi"/>
                <w:iCs/>
                <w:szCs w:val="17"/>
                <w:lang w:eastAsia="en-US"/>
              </w:rPr>
              <w:t xml:space="preserve"> peace and stability</w:t>
            </w:r>
          </w:p>
        </w:tc>
        <w:tc>
          <w:tcPr>
            <w:tcW w:w="972" w:type="dxa"/>
            <w:shd w:val="clear" w:color="auto" w:fill="7FB64D" w:themeFill="accent3" w:themeFillShade="BF"/>
            <w:noWrap/>
          </w:tcPr>
          <w:p w14:paraId="7236665F" w14:textId="77777777" w:rsidR="002A51CA" w:rsidRPr="003B0793" w:rsidRDefault="00E05ABB"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Green</w:t>
            </w:r>
          </w:p>
        </w:tc>
        <w:tc>
          <w:tcPr>
            <w:tcW w:w="388" w:type="dxa"/>
          </w:tcPr>
          <w:p w14:paraId="2C023A02" w14:textId="77777777" w:rsidR="002A51CA" w:rsidRPr="003B0793" w:rsidRDefault="002A51CA" w:rsidP="00D15A00">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1021" w:type="dxa"/>
            <w:shd w:val="clear" w:color="auto" w:fill="72AF2F"/>
            <w:noWrap/>
          </w:tcPr>
          <w:p w14:paraId="6C781CFD" w14:textId="77777777" w:rsidR="002A51CA" w:rsidRPr="003B0793" w:rsidRDefault="00857DAA"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Green</w:t>
            </w:r>
          </w:p>
        </w:tc>
      </w:tr>
      <w:tr w:rsidR="002A51CA" w:rsidRPr="003B0793" w14:paraId="0048D44F" w14:textId="77777777" w:rsidTr="00521A43">
        <w:trPr>
          <w:cnfStyle w:val="000000010000" w:firstRow="0" w:lastRow="0" w:firstColumn="0" w:lastColumn="0" w:oddVBand="0" w:evenVBand="0" w:oddHBand="0" w:evenHBand="1" w:firstRowFirstColumn="0" w:firstRowLastColumn="0" w:lastRowFirstColumn="0" w:lastRowLastColumn="0"/>
        </w:trPr>
        <w:tc>
          <w:tcPr>
            <w:tcW w:w="6029" w:type="dxa"/>
          </w:tcPr>
          <w:p w14:paraId="45F2CC1B" w14:textId="77777777" w:rsidR="002A51CA" w:rsidRPr="003B0793" w:rsidRDefault="002A51CA" w:rsidP="00D15A00">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Objective 3</w:t>
            </w:r>
            <w:r w:rsidR="00F64A61">
              <w:rPr>
                <w:rFonts w:asciiTheme="minorHAnsi" w:eastAsia="Times New Roman" w:hAnsiTheme="minorHAnsi"/>
                <w:iCs/>
                <w:szCs w:val="17"/>
                <w:lang w:eastAsia="en-US"/>
              </w:rPr>
              <w:t>: Promoting</w:t>
            </w:r>
            <w:r w:rsidR="00E05ABB">
              <w:rPr>
                <w:rFonts w:asciiTheme="minorHAnsi" w:eastAsia="Times New Roman" w:hAnsiTheme="minorHAnsi"/>
                <w:iCs/>
                <w:szCs w:val="17"/>
                <w:lang w:eastAsia="en-US"/>
              </w:rPr>
              <w:t xml:space="preserve"> inclusive economic growth and government management</w:t>
            </w:r>
          </w:p>
        </w:tc>
        <w:tc>
          <w:tcPr>
            <w:tcW w:w="972" w:type="dxa"/>
            <w:shd w:val="clear" w:color="auto" w:fill="7FB64D" w:themeFill="accent3" w:themeFillShade="BF"/>
            <w:noWrap/>
          </w:tcPr>
          <w:p w14:paraId="0E8D138F" w14:textId="77777777" w:rsidR="002A51CA" w:rsidRPr="003B0793" w:rsidRDefault="00E05ABB"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E05ABB">
              <w:rPr>
                <w:rFonts w:asciiTheme="minorHAnsi" w:eastAsia="Times New Roman" w:hAnsiTheme="minorHAnsi"/>
                <w:iCs/>
                <w:color w:val="FFFFFF" w:themeColor="background1"/>
                <w:szCs w:val="17"/>
                <w:lang w:eastAsia="en-US"/>
              </w:rPr>
              <w:t>Green</w:t>
            </w:r>
          </w:p>
        </w:tc>
        <w:tc>
          <w:tcPr>
            <w:tcW w:w="388" w:type="dxa"/>
          </w:tcPr>
          <w:p w14:paraId="55341011" w14:textId="77777777" w:rsidR="002A51CA" w:rsidRPr="003B0793" w:rsidRDefault="002A51CA" w:rsidP="00D15A00">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1021" w:type="dxa"/>
            <w:shd w:val="clear" w:color="auto" w:fill="92D050"/>
            <w:noWrap/>
          </w:tcPr>
          <w:p w14:paraId="49594214" w14:textId="77777777" w:rsidR="002A51CA" w:rsidRPr="003B0793" w:rsidRDefault="00521A43"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Green</w:t>
            </w:r>
          </w:p>
        </w:tc>
      </w:tr>
    </w:tbl>
    <w:p w14:paraId="0505826A" w14:textId="77777777" w:rsidR="002A51CA" w:rsidRPr="003B0793" w:rsidRDefault="002A51CA" w:rsidP="002A51CA">
      <w:pPr>
        <w:spacing w:before="20" w:after="20" w:line="180" w:lineRule="atLeast"/>
        <w:jc w:val="both"/>
        <w:rPr>
          <w:rFonts w:eastAsia="Times New Roman"/>
          <w:b/>
          <w:sz w:val="16"/>
          <w:szCs w:val="14"/>
        </w:rPr>
      </w:pPr>
      <w:r w:rsidRPr="003B0793">
        <w:rPr>
          <w:rFonts w:eastAsia="Times New Roman"/>
          <w:b/>
          <w:sz w:val="16"/>
          <w:szCs w:val="14"/>
        </w:rPr>
        <w:t xml:space="preserve">Note: </w:t>
      </w:r>
    </w:p>
    <w:p w14:paraId="3F68DA53" w14:textId="77777777" w:rsidR="002A51CA" w:rsidRPr="003B0793" w:rsidRDefault="002A51CA" w:rsidP="002A51CA">
      <w:pPr>
        <w:spacing w:before="20" w:after="2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w:t>
      </w:r>
      <w:r w:rsidRPr="003B0793">
        <w:rPr>
          <w:rFonts w:eastAsia="Times New Roman"/>
          <w:b/>
          <w:sz w:val="16"/>
          <w:szCs w:val="14"/>
        </w:rPr>
        <w:t xml:space="preserve"> Green. Progress is as expected at this stage of implementation and it is likely that the objective will be achieved. Standard program management practices are sufficient.</w:t>
      </w:r>
    </w:p>
    <w:p w14:paraId="348C84BF" w14:textId="77777777" w:rsidR="002A51CA" w:rsidRPr="003B0793" w:rsidRDefault="002A51CA" w:rsidP="002A51CA">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sz w:val="16"/>
          <w:szCs w:val="14"/>
        </w:rPr>
        <w:t> </w:t>
      </w:r>
      <w:r w:rsidRPr="003B0793">
        <w:rPr>
          <w:rFonts w:eastAsia="Times New Roman"/>
          <w:b/>
          <w:sz w:val="16"/>
          <w:szCs w:val="14"/>
        </w:rPr>
        <w:t xml:space="preserve"> Amber. Progress is somewhat less than expected at this stage of implementation and restorative action will be necessary if the objective is to be achieved. Close performance monitoring is recommended.</w:t>
      </w:r>
    </w:p>
    <w:p w14:paraId="0DCD57E0" w14:textId="77777777" w:rsidR="007C114F" w:rsidRPr="00047464" w:rsidRDefault="002A51CA" w:rsidP="00E05ABB">
      <w:pPr>
        <w:spacing w:before="20" w:after="20" w:line="180" w:lineRule="atLeast"/>
        <w:jc w:val="both"/>
        <w:rPr>
          <w:rFonts w:eastAsia="Times New Roman"/>
          <w:b/>
          <w:sz w:val="16"/>
          <w:szCs w:val="14"/>
        </w:rPr>
      </w:pPr>
      <w:r w:rsidRPr="003B0793">
        <w:rPr>
          <w:rFonts w:eastAsia="Times New Roman"/>
          <w:b/>
          <w:color w:val="FF0000"/>
          <w:sz w:val="16"/>
          <w:szCs w:val="14"/>
        </w:rPr>
        <w:sym w:font="Webdings" w:char="F067"/>
      </w:r>
      <w:r w:rsidRPr="003B0793">
        <w:rPr>
          <w:rFonts w:eastAsia="Times New Roman"/>
          <w:b/>
          <w:sz w:val="16"/>
          <w:szCs w:val="14"/>
        </w:rPr>
        <w:t> </w:t>
      </w:r>
      <w:r w:rsidRPr="003B0793">
        <w:rPr>
          <w:rFonts w:eastAsia="Times New Roman"/>
          <w:b/>
          <w:sz w:val="16"/>
          <w:szCs w:val="14"/>
        </w:rPr>
        <w:t xml:space="preserve"> Red. Progress is significantly less than expected at this stage of implementation and the objective is not likely to be met given available resources and priorities. Recasting the objective may be required.</w:t>
      </w:r>
    </w:p>
    <w:p w14:paraId="19B0E09A" w14:textId="77777777" w:rsidR="002A51CA" w:rsidRPr="002A51CA" w:rsidRDefault="0051444C"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Objective 1: Enhancing human development</w:t>
      </w:r>
    </w:p>
    <w:p w14:paraId="31A53E93" w14:textId="77777777" w:rsidR="0091110B" w:rsidRDefault="0091110B" w:rsidP="0051444C">
      <w:pPr>
        <w:rPr>
          <w:b/>
        </w:rPr>
      </w:pPr>
      <w:r w:rsidRPr="0091110B">
        <w:rPr>
          <w:b/>
        </w:rPr>
        <w:t>Education</w:t>
      </w:r>
    </w:p>
    <w:p w14:paraId="2B5E63F2" w14:textId="77777777" w:rsidR="004C4C92" w:rsidRPr="00EF1CD0" w:rsidRDefault="004C4C92" w:rsidP="0051444C">
      <w:r w:rsidRPr="00D028F8">
        <w:t>The</w:t>
      </w:r>
      <w:r>
        <w:t xml:space="preserve"> enhancing</w:t>
      </w:r>
      <w:r w:rsidRPr="00D028F8">
        <w:t xml:space="preserve"> human development objective was rated green in 2015-16. Although two </w:t>
      </w:r>
      <w:r>
        <w:t xml:space="preserve">major </w:t>
      </w:r>
      <w:r w:rsidRPr="00D028F8">
        <w:t>investment designs are yet to be approved due to the extended government transition in Myanmar, we assess that</w:t>
      </w:r>
      <w:r>
        <w:t xml:space="preserve"> a green rating is still warranted due to: the Ministry of Education’s</w:t>
      </w:r>
      <w:r w:rsidR="00D15576">
        <w:t xml:space="preserve"> (MoE)</w:t>
      </w:r>
      <w:r w:rsidRPr="00D028F8">
        <w:t xml:space="preserve"> support for </w:t>
      </w:r>
      <w:r>
        <w:t xml:space="preserve">and deep engagement on </w:t>
      </w:r>
      <w:r w:rsidRPr="00D028F8">
        <w:t>these investments</w:t>
      </w:r>
      <w:r>
        <w:t>; strong performance of</w:t>
      </w:r>
      <w:r w:rsidRPr="00D028F8">
        <w:t xml:space="preserve"> existing investments</w:t>
      </w:r>
      <w:r>
        <w:t>;</w:t>
      </w:r>
      <w:r w:rsidRPr="00D028F8">
        <w:t xml:space="preserve"> and Australia’s </w:t>
      </w:r>
      <w:r>
        <w:t>leading</w:t>
      </w:r>
      <w:r w:rsidRPr="00D028F8">
        <w:t xml:space="preserve"> role in shaping education policy</w:t>
      </w:r>
      <w:r>
        <w:t xml:space="preserve"> in Myanmar</w:t>
      </w:r>
      <w:r w:rsidR="00EF1CD0">
        <w:t xml:space="preserve">. </w:t>
      </w:r>
    </w:p>
    <w:p w14:paraId="5F2D0CE2" w14:textId="77777777" w:rsidR="006D4AEE" w:rsidRDefault="002E0F57" w:rsidP="0051444C">
      <w:r>
        <w:t xml:space="preserve">The previous Myanmar Government oversaw significant reforms to the education sector, including the formal recognition of the monastic school system in 2015. </w:t>
      </w:r>
      <w:r w:rsidR="00E476EC">
        <w:t>T</w:t>
      </w:r>
      <w:r w:rsidR="00FE4CEB">
        <w:t>he change in government presented</w:t>
      </w:r>
      <w:r w:rsidR="00471B62">
        <w:t xml:space="preserve"> an opportunity to advance further reforms in</w:t>
      </w:r>
      <w:r w:rsidR="0051444C" w:rsidRPr="00D028F8">
        <w:t xml:space="preserve"> Myanmar’s education system. </w:t>
      </w:r>
      <w:r w:rsidR="00471B62">
        <w:t>Educati</w:t>
      </w:r>
      <w:r w:rsidR="00D15576">
        <w:t>on is a priority for the new Myanmar G</w:t>
      </w:r>
      <w:r w:rsidR="00471B62">
        <w:t xml:space="preserve">overnment. </w:t>
      </w:r>
      <w:r w:rsidR="0051444C" w:rsidRPr="00D028F8">
        <w:t>There has been high level engagement</w:t>
      </w:r>
      <w:r w:rsidR="00471B62">
        <w:t xml:space="preserve"> -</w:t>
      </w:r>
      <w:r w:rsidR="0051444C" w:rsidRPr="00D028F8">
        <w:t xml:space="preserve"> including </w:t>
      </w:r>
      <w:r w:rsidR="00F64A61">
        <w:t>from</w:t>
      </w:r>
      <w:r w:rsidR="00471B62">
        <w:t xml:space="preserve"> Aung San Suu Kyi - in framing</w:t>
      </w:r>
    </w:p>
    <w:p w14:paraId="5E542F5D" w14:textId="77777777" w:rsidR="0051444C" w:rsidRPr="00D028F8" w:rsidRDefault="00471B62" w:rsidP="0051444C">
      <w:r>
        <w:lastRenderedPageBreak/>
        <w:t>education priorities for the new government. This included convening a series of seminars with senior Ministry officials, development partners and other key stakeholders</w:t>
      </w:r>
      <w:r w:rsidR="0051444C" w:rsidRPr="00D028F8">
        <w:t xml:space="preserve">. </w:t>
      </w:r>
      <w:r>
        <w:t>Prioritie</w:t>
      </w:r>
      <w:r w:rsidR="0089417B">
        <w:t xml:space="preserve">s include: improving education </w:t>
      </w:r>
      <w:r>
        <w:t xml:space="preserve">access and quality, especially for the disadvantaged; strengthening teacher education and management; and </w:t>
      </w:r>
      <w:r w:rsidR="0051444C" w:rsidRPr="00D028F8">
        <w:t>building a system for</w:t>
      </w:r>
      <w:r w:rsidR="0089417B">
        <w:t xml:space="preserve"> evidence-based decision making</w:t>
      </w:r>
      <w:r w:rsidR="0051444C" w:rsidRPr="00D028F8">
        <w:t>.</w:t>
      </w:r>
      <w:r w:rsidR="0089417B">
        <w:t xml:space="preserve"> The new government has committed to at least maintaining current education expenditure (</w:t>
      </w:r>
      <w:r w:rsidR="00D74B9E">
        <w:t>approximately $1.9</w:t>
      </w:r>
      <w:r w:rsidR="0089417B" w:rsidRPr="00D74B9E">
        <w:t xml:space="preserve"> billion</w:t>
      </w:r>
      <w:r w:rsidR="0089417B">
        <w:t xml:space="preserve">, or </w:t>
      </w:r>
      <w:r w:rsidR="00D74B9E">
        <w:t>2.3</w:t>
      </w:r>
      <w:r w:rsidR="0089417B">
        <w:t xml:space="preserve"> per cent of GDP), with some indications of possi</w:t>
      </w:r>
      <w:r w:rsidR="00D15576">
        <w:t>ble increases. For example, the government</w:t>
      </w:r>
      <w:r w:rsidR="0089417B">
        <w:t xml:space="preserve"> recently allocated approximately </w:t>
      </w:r>
      <w:r w:rsidR="00D74B9E">
        <w:t>$9.7 million</w:t>
      </w:r>
      <w:r w:rsidR="0089417B">
        <w:t xml:space="preserve"> from a telecommunications tax to education.</w:t>
      </w:r>
    </w:p>
    <w:p w14:paraId="5EA9E6E3" w14:textId="77777777" w:rsidR="0051444C" w:rsidRPr="00D028F8" w:rsidRDefault="0051444C" w:rsidP="0051444C">
      <w:r w:rsidRPr="00D028F8">
        <w:t xml:space="preserve">The draft National Education Sector Plan (NESP), which will guide education reforms over next five years, is close to being finalised. With the transition to the </w:t>
      </w:r>
      <w:r w:rsidR="0041704E">
        <w:t>new</w:t>
      </w:r>
      <w:r w:rsidRPr="00D028F8">
        <w:t xml:space="preserve"> government, the NESP is being revised to incorporate a greater focus on inclusive education</w:t>
      </w:r>
      <w:r w:rsidR="0089417B">
        <w:t xml:space="preserve"> and strengthening education systems.</w:t>
      </w:r>
      <w:r w:rsidRPr="00D028F8">
        <w:t xml:space="preserve"> The government is also </w:t>
      </w:r>
      <w:r w:rsidR="0089417B">
        <w:t xml:space="preserve">focused on improving </w:t>
      </w:r>
      <w:r w:rsidRPr="00D028F8">
        <w:t>aid coordination mechanisms</w:t>
      </w:r>
      <w:r w:rsidR="004C4C92">
        <w:t xml:space="preserve"> and</w:t>
      </w:r>
      <w:r w:rsidRPr="00D028F8">
        <w:t xml:space="preserve"> </w:t>
      </w:r>
      <w:r w:rsidR="0089417B">
        <w:t xml:space="preserve">increasing transparency around education </w:t>
      </w:r>
      <w:r w:rsidRPr="00D028F8">
        <w:t xml:space="preserve">planning and budgeting. This </w:t>
      </w:r>
      <w:r w:rsidR="004C4C92">
        <w:t>significant step forward</w:t>
      </w:r>
      <w:r w:rsidRPr="00D028F8">
        <w:t xml:space="preserve"> demonstrates the government’s strong leadership in education and</w:t>
      </w:r>
      <w:r w:rsidR="004C4C92">
        <w:t xml:space="preserve"> its</w:t>
      </w:r>
      <w:r w:rsidRPr="00D028F8">
        <w:t xml:space="preserve"> commitment to accountability.</w:t>
      </w:r>
    </w:p>
    <w:p w14:paraId="370B8614" w14:textId="77777777" w:rsidR="0051444C" w:rsidRDefault="0051444C" w:rsidP="0051444C">
      <w:r w:rsidRPr="00D028F8">
        <w:t>Education continues to be the flagship of Australia’s aid program to Myanmar. Enhancing human development through education contributes directly to poverty reduction,</w:t>
      </w:r>
      <w:r w:rsidR="004E1F5A">
        <w:t xml:space="preserve"> economic growth and stability. </w:t>
      </w:r>
      <w:r w:rsidR="007806C6">
        <w:t>Australia was</w:t>
      </w:r>
      <w:r w:rsidRPr="00D028F8">
        <w:t xml:space="preserve"> the largest donor to the educatio</w:t>
      </w:r>
      <w:r w:rsidR="007806C6">
        <w:t>n sector in Myanmar in 2015-16</w:t>
      </w:r>
      <w:r w:rsidR="004E1F5A">
        <w:t xml:space="preserve">, providing around </w:t>
      </w:r>
      <w:r w:rsidR="00566328">
        <w:t xml:space="preserve">              </w:t>
      </w:r>
      <w:r w:rsidR="004E1F5A">
        <w:t>$20 million. Australia</w:t>
      </w:r>
      <w:r w:rsidRPr="00D028F8">
        <w:t xml:space="preserve"> is particularly well placed to respond to the new government’s education priorities. We took a calculated risk</w:t>
      </w:r>
      <w:r w:rsidR="004E1F5A">
        <w:t xml:space="preserve"> in putting in place a new Education Sector Investment Plan 2015-2020 and progressing investment designs in obvious areas of need</w:t>
      </w:r>
      <w:r w:rsidRPr="00D028F8">
        <w:t xml:space="preserve"> through the government transition, where many other donors chose to wait. </w:t>
      </w:r>
      <w:r w:rsidR="004E1F5A">
        <w:t xml:space="preserve">The focus on access, teachers and quality systems mirrors the new government’s agenda and positions Australia to respond to the government’s priorities early.  In doing so, </w:t>
      </w:r>
      <w:r w:rsidRPr="00D028F8">
        <w:t xml:space="preserve">we have retained our position </w:t>
      </w:r>
      <w:r w:rsidR="004E1F5A">
        <w:t xml:space="preserve">and credibility </w:t>
      </w:r>
      <w:r w:rsidRPr="00D028F8">
        <w:t xml:space="preserve">as a leader in the education sector </w:t>
      </w:r>
      <w:r w:rsidR="004E1F5A">
        <w:t xml:space="preserve">and further strengthened our partnership and relationship with the </w:t>
      </w:r>
      <w:r w:rsidR="0041704E">
        <w:t>MoE</w:t>
      </w:r>
      <w:r w:rsidR="004E1F5A">
        <w:t xml:space="preserve"> and the new government.</w:t>
      </w:r>
    </w:p>
    <w:p w14:paraId="50239185" w14:textId="77777777" w:rsidR="0026078B" w:rsidRDefault="00FE4CEB" w:rsidP="0051444C">
      <w:r>
        <w:t xml:space="preserve">In 2015-16, Australia dedicated significant staffing resources to the design of two new education investments. The first is a </w:t>
      </w:r>
      <w:r w:rsidR="0026078B">
        <w:t>new teacher mentoring investment</w:t>
      </w:r>
      <w:r>
        <w:t>, which</w:t>
      </w:r>
      <w:r w:rsidR="0026078B">
        <w:t xml:space="preserve"> focuses on supporting the 40 per cent of primary school teachers in Myanmar who have less than three years teaching experience. In particular, it will support them to avoid rote learning techniques that are currently the status quo, and help foster new approaches to teaching and learning that promote critical thinking skills. This will help lift the standard of primary education being delivered in the classroom.</w:t>
      </w:r>
    </w:p>
    <w:p w14:paraId="7F927680" w14:textId="77777777" w:rsidR="0026078B" w:rsidRPr="00D028F8" w:rsidRDefault="00FE4CEB" w:rsidP="0051444C">
      <w:r>
        <w:t>The second is t</w:t>
      </w:r>
      <w:r w:rsidR="0026078B">
        <w:t>he Myanmar Education Qual</w:t>
      </w:r>
      <w:r w:rsidR="00F64A61">
        <w:t>ity Improvement Program</w:t>
      </w:r>
      <w:r>
        <w:t>, which</w:t>
      </w:r>
      <w:r w:rsidR="0026078B">
        <w:t xml:space="preserve"> aims to improve education policy, planning, management and teaching by strengthening the collection and use of timely and relevant information at all levels of the education system. Building a system that values and uses data to improve learning outcomes at the beginning of the reform process will deliver better returns for investments in the sector. A visit by Myanmar education officials to Australia in March 2016 highlighted the importance</w:t>
      </w:r>
      <w:r w:rsidR="00566328">
        <w:t xml:space="preserve"> of</w:t>
      </w:r>
      <w:r w:rsidR="0026078B">
        <w:t xml:space="preserve"> empowering managers and teachers to use information to create positive change in classrooms.</w:t>
      </w:r>
    </w:p>
    <w:p w14:paraId="30D90EE0" w14:textId="77777777" w:rsidR="0051444C" w:rsidRPr="00D028F8" w:rsidRDefault="0051444C" w:rsidP="0051444C">
      <w:r w:rsidRPr="00D028F8">
        <w:t>In 2015-16, Australia’s</w:t>
      </w:r>
      <w:r w:rsidR="0026078B">
        <w:t xml:space="preserve"> largest</w:t>
      </w:r>
      <w:r w:rsidRPr="00D028F8">
        <w:t xml:space="preserve"> education </w:t>
      </w:r>
      <w:r w:rsidR="0026078B">
        <w:t xml:space="preserve">partnership with the </w:t>
      </w:r>
      <w:r w:rsidR="0041704E">
        <w:t>MoE</w:t>
      </w:r>
      <w:r w:rsidRPr="00D028F8">
        <w:t xml:space="preserve"> and the World Bank</w:t>
      </w:r>
      <w:r w:rsidR="0026078B">
        <w:t>, the Decentralising Funding to Schools Project</w:t>
      </w:r>
      <w:r w:rsidR="0074650E">
        <w:t xml:space="preserve"> ($11.5 million in 2015-16)</w:t>
      </w:r>
      <w:r w:rsidR="0026078B">
        <w:t>,</w:t>
      </w:r>
      <w:r w:rsidRPr="00D028F8">
        <w:t xml:space="preserve"> continued to perform beyond expectations. The MoE delivered school grants and stipends on time and on budget for the first time, by far exceeding its target: school grants were paid on time to 95 per cent of schools in 288 of Myanmar’s 330 townships (the </w:t>
      </w:r>
      <w:r w:rsidR="000F07FB">
        <w:t>performance benchmark</w:t>
      </w:r>
      <w:r w:rsidRPr="00D028F8">
        <w:t xml:space="preserve"> was 80 per cent of schools in 100 townships). This covered 43,000 government schools and </w:t>
      </w:r>
      <w:r w:rsidR="00FE79C2">
        <w:t>9.3 million</w:t>
      </w:r>
      <w:r w:rsidRPr="00947C1E">
        <w:t xml:space="preserve"> stud</w:t>
      </w:r>
      <w:r w:rsidR="00FE79C2">
        <w:t xml:space="preserve">ents, compared to a target of 7.8 million. </w:t>
      </w:r>
      <w:r w:rsidR="0026078B">
        <w:t xml:space="preserve">Australia successfully negotiated the inclusion of </w:t>
      </w:r>
      <w:r w:rsidRPr="00D028F8">
        <w:t xml:space="preserve">3,052 </w:t>
      </w:r>
      <w:r w:rsidR="0097624B">
        <w:t xml:space="preserve">registered monastic schools in the </w:t>
      </w:r>
      <w:r w:rsidRPr="00D028F8">
        <w:t xml:space="preserve">school grants </w:t>
      </w:r>
      <w:r w:rsidR="0097624B">
        <w:t xml:space="preserve">program </w:t>
      </w:r>
      <w:r w:rsidRPr="00D028F8">
        <w:t xml:space="preserve">for the first time, signalling a more inclusive approach to education by the Myanmar Government. </w:t>
      </w:r>
    </w:p>
    <w:p w14:paraId="121C8351" w14:textId="77777777" w:rsidR="0051444C" w:rsidRPr="00D028F8" w:rsidRDefault="0051444C" w:rsidP="0051444C">
      <w:r w:rsidRPr="00D028F8">
        <w:t>Australian support enabled the MoE to provide stipends to over 120,000 di</w:t>
      </w:r>
      <w:r w:rsidR="000F07FB">
        <w:t>sadvantaged students (the performance benchmark</w:t>
      </w:r>
      <w:r w:rsidRPr="00D028F8">
        <w:t xml:space="preserve"> was 18,000 students) to reduce school dropout rates. </w:t>
      </w:r>
      <w:r w:rsidR="00760412">
        <w:t xml:space="preserve">Of these, 47 per cent of recipients were girls – just short of the 50 per cent target. </w:t>
      </w:r>
      <w:r w:rsidR="00C769A0">
        <w:t>The program’s monitoring system found that</w:t>
      </w:r>
      <w:r w:rsidRPr="00D028F8">
        <w:t xml:space="preserve"> parents are contributing less money to support school operational costs and </w:t>
      </w:r>
      <w:r w:rsidR="0097624B">
        <w:t>97 per cent</w:t>
      </w:r>
      <w:r w:rsidR="00D15576">
        <w:t xml:space="preserve"> of</w:t>
      </w:r>
      <w:r w:rsidR="0097624B">
        <w:t xml:space="preserve"> </w:t>
      </w:r>
      <w:r w:rsidRPr="00D028F8">
        <w:t xml:space="preserve">children receiving stipends are staying in school. </w:t>
      </w:r>
    </w:p>
    <w:p w14:paraId="6AE66907" w14:textId="77777777" w:rsidR="006D4AEE" w:rsidRDefault="006D4AEE" w:rsidP="0051444C"/>
    <w:p w14:paraId="245830FF" w14:textId="77777777" w:rsidR="0051444C" w:rsidRPr="00D028F8" w:rsidRDefault="0051444C" w:rsidP="0051444C">
      <w:r w:rsidRPr="00D028F8">
        <w:lastRenderedPageBreak/>
        <w:t xml:space="preserve">The targets were considered achievable and realistic when they were set in 2014. The </w:t>
      </w:r>
      <w:r w:rsidR="0097624B">
        <w:t>strong</w:t>
      </w:r>
      <w:r w:rsidRPr="00D028F8">
        <w:t xml:space="preserve"> performance is</w:t>
      </w:r>
      <w:r w:rsidR="0097624B">
        <w:t xml:space="preserve"> largely </w:t>
      </w:r>
      <w:r w:rsidRPr="00D028F8">
        <w:t>due to the M</w:t>
      </w:r>
      <w:r w:rsidR="0097624B">
        <w:t>inistry’s</w:t>
      </w:r>
      <w:r w:rsidRPr="00D028F8">
        <w:t xml:space="preserve"> strong leadership</w:t>
      </w:r>
      <w:r w:rsidR="0097624B">
        <w:t xml:space="preserve"> of and commitment to the project, as reflected in the human and financial resourcing provided: the Mi</w:t>
      </w:r>
      <w:r w:rsidR="00F64A61">
        <w:t>nistry contributed US$</w:t>
      </w:r>
      <w:r w:rsidR="0097624B">
        <w:t>180 million</w:t>
      </w:r>
      <w:r w:rsidR="003E2243">
        <w:rPr>
          <w:rStyle w:val="EndnoteReference"/>
        </w:rPr>
        <w:endnoteReference w:id="4"/>
      </w:r>
      <w:r w:rsidR="003E2243">
        <w:t xml:space="preserve"> (</w:t>
      </w:r>
      <w:r w:rsidR="003E2243" w:rsidRPr="00D74B9E">
        <w:t xml:space="preserve">approximately </w:t>
      </w:r>
      <w:r w:rsidR="00D74B9E">
        <w:t>$</w:t>
      </w:r>
      <w:r w:rsidR="00D74B9E" w:rsidRPr="00D74B9E">
        <w:t>234</w:t>
      </w:r>
      <w:r w:rsidR="00D74B9E">
        <w:t xml:space="preserve"> million</w:t>
      </w:r>
      <w:r w:rsidR="003E2243">
        <w:t>)</w:t>
      </w:r>
      <w:r w:rsidR="0097624B">
        <w:t xml:space="preserve"> to Australia’s </w:t>
      </w:r>
      <w:r w:rsidR="00D74B9E">
        <w:t>$</w:t>
      </w:r>
      <w:r w:rsidR="003E2243">
        <w:t xml:space="preserve">25 million. </w:t>
      </w:r>
      <w:r w:rsidR="007806C6" w:rsidRPr="003E2243">
        <w:t>This reflects the shared objectives and mutual obligations that exist between Australia and Myanmar in the education sector.</w:t>
      </w:r>
      <w:r w:rsidR="003E2243">
        <w:t xml:space="preserve"> </w:t>
      </w:r>
      <w:r w:rsidRPr="00D028F8">
        <w:t>Recognising the success of the program, Australia has been working with the MoE and the World Bank to make the targets more ambitious and sophisticated, for example, by moving the focus from access (i.e. increasing the number of girls and boys attending schools) to quality (i.e. increasing the focus on teaching and learning outcomes in schools).</w:t>
      </w:r>
    </w:p>
    <w:p w14:paraId="665C7F6D" w14:textId="77777777" w:rsidR="0051444C" w:rsidRPr="00D028F8" w:rsidRDefault="0051444C" w:rsidP="0051444C">
      <w:r w:rsidRPr="00D028F8">
        <w:t>Australia</w:t>
      </w:r>
      <w:r w:rsidR="0074650E">
        <w:t>’s other main education investment</w:t>
      </w:r>
      <w:r w:rsidRPr="00D028F8">
        <w:t xml:space="preserve"> is the Mya</w:t>
      </w:r>
      <w:r w:rsidR="0074650E">
        <w:t>nmar Education Consortium (MEC, $4.5 million in 2015-16), to which we are the main donor. MEC</w:t>
      </w:r>
      <w:r w:rsidRPr="00D028F8">
        <w:t xml:space="preserve"> provides education to the hardest-t</w:t>
      </w:r>
      <w:r w:rsidR="0078484D">
        <w:t>o-reach communities</w:t>
      </w:r>
      <w:r w:rsidR="00E25601">
        <w:t xml:space="preserve"> in Myanmar. </w:t>
      </w:r>
      <w:r w:rsidRPr="00D028F8">
        <w:t>Following a</w:t>
      </w:r>
      <w:r w:rsidR="00C769A0">
        <w:t>n independent</w:t>
      </w:r>
      <w:r w:rsidRPr="00D028F8">
        <w:t xml:space="preserve"> review in 2015, MEC shifted its focus in </w:t>
      </w:r>
      <w:r w:rsidR="003E2243">
        <w:t>2016</w:t>
      </w:r>
      <w:r w:rsidRPr="00D028F8">
        <w:t xml:space="preserve"> to strengthening ethnic</w:t>
      </w:r>
      <w:r w:rsidR="003E2243">
        <w:t xml:space="preserve"> and monastic education systems. </w:t>
      </w:r>
      <w:r w:rsidRPr="00D028F8">
        <w:t>MEC has worked with government and non-government partners to address policy barriers to improving education quality in ethnic and monastic schools, with a view to supporting eventual convergence</w:t>
      </w:r>
      <w:r w:rsidRPr="0051444C">
        <w:rPr>
          <w:rFonts w:ascii="Franklin Gothic Book" w:hAnsi="Franklin Gothic Book"/>
          <w:sz w:val="21"/>
          <w:szCs w:val="21"/>
        </w:rPr>
        <w:t xml:space="preserve"> </w:t>
      </w:r>
      <w:r w:rsidRPr="00D028F8">
        <w:t>between government, ethnic and monastic education systems.</w:t>
      </w:r>
      <w:r w:rsidR="00E25601">
        <w:t xml:space="preserve"> This complements Australia’s support to the peace process, and </w:t>
      </w:r>
      <w:r w:rsidR="006E1C9B">
        <w:t>reaffirms Australia’s support to improve access to quality education for all children across Myanmar</w:t>
      </w:r>
      <w:r w:rsidR="00E25601">
        <w:t>.</w:t>
      </w:r>
    </w:p>
    <w:p w14:paraId="05915BCE" w14:textId="77777777" w:rsidR="0051444C" w:rsidRPr="00D028F8" w:rsidRDefault="0051444C" w:rsidP="0051444C">
      <w:r w:rsidRPr="00D028F8">
        <w:t xml:space="preserve">MEC has continued to fill a vital gap in Myanmar’s education system. It is the only </w:t>
      </w:r>
      <w:r w:rsidR="003E2243">
        <w:t>multi-donor</w:t>
      </w:r>
      <w:r w:rsidRPr="00D028F8">
        <w:t xml:space="preserve"> mechanism that funds ethnic education service providers across multiple systems, and is viewed as a credible partner by government and ethnic education providers alike. In 2015-16, Australia’s support to </w:t>
      </w:r>
      <w:r w:rsidR="00E70653">
        <w:t>MEC has helped train 12,115</w:t>
      </w:r>
      <w:r w:rsidRPr="00D028F8">
        <w:t xml:space="preserve"> teachers </w:t>
      </w:r>
      <w:r w:rsidR="00F64A61">
        <w:t xml:space="preserve">(target: </w:t>
      </w:r>
      <w:r w:rsidR="00E70653">
        <w:t xml:space="preserve">10,756) </w:t>
      </w:r>
      <w:r w:rsidRPr="00D028F8">
        <w:t>and 1</w:t>
      </w:r>
      <w:r w:rsidR="0041704E">
        <w:t>,</w:t>
      </w:r>
      <w:r w:rsidR="00E70653">
        <w:t>116</w:t>
      </w:r>
      <w:r w:rsidRPr="00D028F8">
        <w:t xml:space="preserve"> early childhood caregivers</w:t>
      </w:r>
      <w:r w:rsidR="00E70653">
        <w:t xml:space="preserve"> (target: 1,048)</w:t>
      </w:r>
      <w:r w:rsidRPr="00D028F8">
        <w:t xml:space="preserve"> in remote community schools, benefitting an estimated 224,000 children. MEC helped to improve the quality and consistency of the monastic education system, which resulted in the </w:t>
      </w:r>
      <w:r w:rsidR="000F07FB">
        <w:t>previous Myanmar G</w:t>
      </w:r>
      <w:r w:rsidRPr="00D028F8">
        <w:t>overnment recognising monastic schools as a legitimate part of the national education system. This was essential to enabling monastic schools to access government school grants through Australia’s education partnership with the MoE. MEC also facilitated discussions between disability orga</w:t>
      </w:r>
      <w:r w:rsidR="003E2243">
        <w:t xml:space="preserve">nisations and parliamentarians, contributing to </w:t>
      </w:r>
      <w:r w:rsidRPr="00D028F8">
        <w:t>the amended Education Law better cater</w:t>
      </w:r>
      <w:r w:rsidR="003E2243">
        <w:t>ing</w:t>
      </w:r>
      <w:r w:rsidRPr="00D028F8">
        <w:t xml:space="preserve"> for children with disability. </w:t>
      </w:r>
    </w:p>
    <w:p w14:paraId="347BB432" w14:textId="77777777" w:rsidR="0051444C" w:rsidRPr="00D028F8" w:rsidRDefault="0051444C" w:rsidP="0051444C">
      <w:r w:rsidRPr="00D028F8">
        <w:t xml:space="preserve">Australia continued to engage closely on education policy in our role as co-chair of the donor coordination group for Myanmar’s education sector. </w:t>
      </w:r>
      <w:r w:rsidR="003E2243">
        <w:t>Over the last year w</w:t>
      </w:r>
      <w:r w:rsidRPr="00D028F8">
        <w:t>e manage</w:t>
      </w:r>
      <w:r w:rsidR="003E2243">
        <w:t>d</w:t>
      </w:r>
      <w:r w:rsidRPr="00D028F8">
        <w:t xml:space="preserve"> donor engagement with </w:t>
      </w:r>
      <w:r w:rsidR="003E2243">
        <w:t xml:space="preserve">the previous </w:t>
      </w:r>
      <w:r w:rsidRPr="00D028F8">
        <w:t xml:space="preserve">government on the </w:t>
      </w:r>
      <w:r w:rsidR="003E2243">
        <w:t xml:space="preserve">draft </w:t>
      </w:r>
      <w:r w:rsidRPr="00D028F8">
        <w:t>NESP</w:t>
      </w:r>
      <w:r w:rsidR="003E2243">
        <w:t xml:space="preserve">, particularly in the area of teacher policy and quality assurance approaches. </w:t>
      </w:r>
      <w:r w:rsidR="003E2243" w:rsidRPr="00D028F8">
        <w:t>Australia’s d</w:t>
      </w:r>
      <w:r w:rsidR="003E2243">
        <w:t xml:space="preserve">omestic expertise in this area helped ensure </w:t>
      </w:r>
      <w:r w:rsidR="003E2243" w:rsidRPr="00D028F8">
        <w:t>that Myanmar’s framework is consistent with international best practice.</w:t>
      </w:r>
      <w:r w:rsidR="003E2243">
        <w:t xml:space="preserve"> Australia also played a key role in engaging with the government-elect and the </w:t>
      </w:r>
      <w:r w:rsidR="0041704E">
        <w:t>MoE</w:t>
      </w:r>
      <w:r w:rsidR="003E2243">
        <w:t xml:space="preserve"> during the transition perio</w:t>
      </w:r>
      <w:r w:rsidR="00B27D71">
        <w:t>d, and has facilitated engagement between donors and the new government since April.</w:t>
      </w:r>
      <w:r w:rsidRPr="00D028F8">
        <w:t xml:space="preserve"> </w:t>
      </w:r>
    </w:p>
    <w:p w14:paraId="08BCAB26" w14:textId="77777777" w:rsidR="002A51CA" w:rsidRDefault="0028420A" w:rsidP="002A51CA">
      <w:pPr>
        <w:spacing w:after="120" w:line="280" w:lineRule="exact"/>
        <w:rPr>
          <w:rFonts w:eastAsia="Times New Roman"/>
        </w:rPr>
      </w:pPr>
      <w:r w:rsidRPr="00D028F8">
        <w:rPr>
          <w:rFonts w:eastAsia="Times New Roman"/>
        </w:rPr>
        <w:t>Going forward, Australia will look to finalise two major education investments as soon as possible in 2016-17, and continue to play a leading role in policy engagement with the Myanmar Government.</w:t>
      </w:r>
    </w:p>
    <w:p w14:paraId="48FE8122" w14:textId="77777777" w:rsidR="0091110B" w:rsidRPr="0091110B" w:rsidRDefault="0091110B" w:rsidP="0091110B">
      <w:pPr>
        <w:rPr>
          <w:b/>
        </w:rPr>
      </w:pPr>
      <w:r w:rsidRPr="0091110B">
        <w:rPr>
          <w:b/>
        </w:rPr>
        <w:t>Health</w:t>
      </w:r>
    </w:p>
    <w:p w14:paraId="66ACD542" w14:textId="77777777" w:rsidR="0091110B" w:rsidRDefault="0091110B" w:rsidP="0091110B">
      <w:r>
        <w:t xml:space="preserve">To implement the aid budget reduction in 2015-16, Australia decided to </w:t>
      </w:r>
      <w:r w:rsidR="006E1C9B">
        <w:t xml:space="preserve">make no further financial contribution </w:t>
      </w:r>
      <w:r>
        <w:t>to the Three Millennium Development Goal Fund (3MDG)</w:t>
      </w:r>
      <w:r w:rsidR="00F64A61">
        <w:t>. 3MDG is a major (US$</w:t>
      </w:r>
      <w:r>
        <w:t>271 million) multi-donor trust fund addressing</w:t>
      </w:r>
      <w:r w:rsidR="00566328">
        <w:t>:</w:t>
      </w:r>
      <w:r>
        <w:t xml:space="preserve"> maternal, newborn and child health; HIV, tuberculosis and malaria; and strengthening health systems. The decision to conclude support for 3MDG was not based on </w:t>
      </w:r>
      <w:r w:rsidR="006E1C9B">
        <w:t xml:space="preserve">a </w:t>
      </w:r>
      <w:r>
        <w:t>perceived lack of performance; rather, it was grounded in a decision to consolidate the number of sectors Australia supports in Myanmar.</w:t>
      </w:r>
      <w:r w:rsidR="00566328">
        <w:t xml:space="preserve"> </w:t>
      </w:r>
      <w:r w:rsidR="00F64ECB">
        <w:t xml:space="preserve">While 3MDG donors and the Ministry of Health were disappointed by Australia’s decision, </w:t>
      </w:r>
      <w:r w:rsidR="00093A90">
        <w:t xml:space="preserve">Australia accepted an invitation to remain on the 3MDG Fund Board in 2016-17 </w:t>
      </w:r>
      <w:r w:rsidR="006E1C9B">
        <w:t xml:space="preserve">to ensure </w:t>
      </w:r>
      <w:r w:rsidR="00093A90">
        <w:t>our previous financial contributions continue to be spent</w:t>
      </w:r>
      <w:r w:rsidR="006E1C9B">
        <w:t xml:space="preserve"> in line with our broader policy objectives, such as increasing development assistance to Rakhine State</w:t>
      </w:r>
      <w:r>
        <w:t>.</w:t>
      </w:r>
    </w:p>
    <w:p w14:paraId="0F7E3200" w14:textId="77777777" w:rsidR="0091110B" w:rsidRPr="00F64ECB" w:rsidRDefault="0091110B" w:rsidP="00F64ECB">
      <w:pPr>
        <w:rPr>
          <w:rFonts w:eastAsia="MS Mincho"/>
          <w:color w:val="36424B" w:themeColor="text2" w:themeShade="BF"/>
          <w:lang w:val="en-AU"/>
        </w:rPr>
      </w:pPr>
      <w:r>
        <w:t xml:space="preserve">3MDG </w:t>
      </w:r>
      <w:r w:rsidR="0041704E">
        <w:t>deliver</w:t>
      </w:r>
      <w:r w:rsidR="00FE79C2">
        <w:t>ed</w:t>
      </w:r>
      <w:r w:rsidR="0041704E">
        <w:t xml:space="preserve"> good results </w:t>
      </w:r>
      <w:r w:rsidR="00FE79C2">
        <w:t xml:space="preserve">again </w:t>
      </w:r>
      <w:r w:rsidR="0041704E">
        <w:t>in 2015-16</w:t>
      </w:r>
      <w:r>
        <w:t xml:space="preserve">. </w:t>
      </w:r>
      <w:r w:rsidR="00F64ECB">
        <w:t>71,597 children under one were immunised against tetanus, diphtheria, pertussis and hepatitis B (target was 78,875)</w:t>
      </w:r>
      <w:r w:rsidR="00093A90">
        <w:rPr>
          <w:rFonts w:eastAsia="MS Mincho"/>
          <w:color w:val="36424B" w:themeColor="text2" w:themeShade="BF"/>
        </w:rPr>
        <w:t>, and</w:t>
      </w:r>
      <w:r w:rsidR="00F64ECB">
        <w:rPr>
          <w:rFonts w:eastAsia="MS Mincho"/>
          <w:color w:val="36424B" w:themeColor="text2" w:themeShade="BF"/>
        </w:rPr>
        <w:t xml:space="preserve"> </w:t>
      </w:r>
      <w:r w:rsidR="00F64ECB" w:rsidRPr="00F64ECB">
        <w:rPr>
          <w:rFonts w:eastAsia="MS Mincho"/>
          <w:color w:val="36424B" w:themeColor="text2" w:themeShade="BF"/>
        </w:rPr>
        <w:t>nearly 160,000 suspected TB cases were screened</w:t>
      </w:r>
      <w:r w:rsidR="00F64ECB">
        <w:rPr>
          <w:rFonts w:eastAsia="MS Mincho"/>
          <w:color w:val="36424B" w:themeColor="text2" w:themeShade="BF"/>
        </w:rPr>
        <w:t xml:space="preserve"> </w:t>
      </w:r>
      <w:r w:rsidR="00F64ECB" w:rsidRPr="00F64ECB">
        <w:rPr>
          <w:rFonts w:eastAsia="MS Mincho"/>
          <w:color w:val="36424B" w:themeColor="text2" w:themeShade="BF"/>
        </w:rPr>
        <w:t>– a doubling of numbers recorded for 2014</w:t>
      </w:r>
      <w:r w:rsidR="00093A90">
        <w:rPr>
          <w:rFonts w:eastAsia="MS Mincho"/>
          <w:color w:val="36424B" w:themeColor="text2" w:themeShade="BF"/>
        </w:rPr>
        <w:t>.</w:t>
      </w:r>
      <w:r w:rsidR="00F64ECB">
        <w:rPr>
          <w:rFonts w:eastAsia="MS Mincho"/>
          <w:color w:val="36424B" w:themeColor="text2" w:themeShade="BF"/>
        </w:rPr>
        <w:t xml:space="preserve"> </w:t>
      </w:r>
      <w:r>
        <w:t>However, the program contin</w:t>
      </w:r>
      <w:r w:rsidR="0041704E">
        <w:t>ues to lack focus on disability</w:t>
      </w:r>
      <w:r>
        <w:t xml:space="preserve"> and shifting performance targets have made it difficult to assess progress over time.</w:t>
      </w:r>
    </w:p>
    <w:p w14:paraId="7750E87D" w14:textId="77777777" w:rsidR="0091110B" w:rsidRPr="00D028F8" w:rsidRDefault="00093A90" w:rsidP="0091110B">
      <w:pPr>
        <w:spacing w:after="120" w:line="280" w:lineRule="exact"/>
        <w:rPr>
          <w:rFonts w:eastAsia="Times New Roman"/>
        </w:rPr>
      </w:pPr>
      <w:r>
        <w:lastRenderedPageBreak/>
        <w:t xml:space="preserve">In 2016-17, </w:t>
      </w:r>
      <w:r w:rsidR="0091110B">
        <w:t xml:space="preserve">Australia will continue to support Myanmar’s health sector through regional health investments, the Australia NGO Cooperation Program, Australia Awards Scholarships and Fellowships, and by funding volunteers in </w:t>
      </w:r>
      <w:r w:rsidR="00886627">
        <w:t>the health sector</w:t>
      </w:r>
      <w:r w:rsidR="0091110B">
        <w:t>.</w:t>
      </w:r>
    </w:p>
    <w:p w14:paraId="75F3EFFA" w14:textId="77777777" w:rsidR="00D028F8" w:rsidRPr="002A51CA" w:rsidRDefault="00E70653" w:rsidP="00D028F8">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Objective 2: PROMOTing</w:t>
      </w:r>
      <w:r w:rsidR="00D028F8">
        <w:rPr>
          <w:rFonts w:asciiTheme="majorHAnsi" w:eastAsiaTheme="majorEastAsia" w:hAnsiTheme="majorHAnsi" w:cstheme="majorBidi"/>
          <w:caps/>
          <w:color w:val="495965" w:themeColor="text2"/>
          <w:sz w:val="38"/>
          <w:szCs w:val="26"/>
          <w:lang w:val="en-GB" w:eastAsia="en-US"/>
        </w:rPr>
        <w:t xml:space="preserve"> PEACE AND STABILITY</w:t>
      </w:r>
    </w:p>
    <w:p w14:paraId="2A4A51AB" w14:textId="77777777" w:rsidR="00857DAA" w:rsidRDefault="00F57499" w:rsidP="00857DAA">
      <w:pPr>
        <w:rPr>
          <w:rFonts w:ascii="Calibri Light" w:hAnsi="Calibri Light"/>
        </w:rPr>
      </w:pPr>
      <w:r>
        <w:rPr>
          <w:rFonts w:ascii="Calibri Light" w:hAnsi="Calibri Light"/>
        </w:rPr>
        <w:t>Australia’s aid program supported Myanmar’s peace process, democratic reforms, and ongoing humanitarian needs in 2015-16. The situation in Rakhine State provided a particular geographical focus for the program.</w:t>
      </w:r>
    </w:p>
    <w:p w14:paraId="002BCCBD" w14:textId="77777777" w:rsidR="004E4B1C" w:rsidRDefault="004E4B1C" w:rsidP="00857DAA">
      <w:pPr>
        <w:rPr>
          <w:rFonts w:ascii="Calibri Light" w:hAnsi="Calibri Light"/>
        </w:rPr>
      </w:pPr>
      <w:r w:rsidRPr="00370ABB">
        <w:rPr>
          <w:rFonts w:ascii="Calibri Light" w:hAnsi="Calibri Light"/>
        </w:rPr>
        <w:t>This obje</w:t>
      </w:r>
      <w:r w:rsidR="002E0F57">
        <w:rPr>
          <w:rFonts w:ascii="Calibri Light" w:hAnsi="Calibri Light"/>
        </w:rPr>
        <w:t>ctive is rated green in 2015-16</w:t>
      </w:r>
      <w:r w:rsidRPr="00370ABB">
        <w:rPr>
          <w:rFonts w:ascii="Calibri Light" w:hAnsi="Calibri Light"/>
        </w:rPr>
        <w:t xml:space="preserve">. While the major performance milestones were achieved – particularly around successful support to </w:t>
      </w:r>
      <w:r w:rsidR="006E1C9B">
        <w:rPr>
          <w:rFonts w:ascii="Calibri Light" w:hAnsi="Calibri Light"/>
        </w:rPr>
        <w:t xml:space="preserve">national </w:t>
      </w:r>
      <w:r w:rsidRPr="00370ABB">
        <w:rPr>
          <w:rFonts w:ascii="Calibri Light" w:hAnsi="Calibri Light"/>
        </w:rPr>
        <w:t>elections, the establishment of the Joint Peace Fund</w:t>
      </w:r>
      <w:r w:rsidR="00093A90">
        <w:rPr>
          <w:rFonts w:ascii="Calibri Light" w:hAnsi="Calibri Light"/>
        </w:rPr>
        <w:t xml:space="preserve"> (JPF)</w:t>
      </w:r>
      <w:r w:rsidRPr="00370ABB">
        <w:rPr>
          <w:rFonts w:ascii="Calibri Light" w:hAnsi="Calibri Light"/>
        </w:rPr>
        <w:t xml:space="preserve">, and the high number of beneficiaries of humanitarian </w:t>
      </w:r>
      <w:r w:rsidR="00772135">
        <w:rPr>
          <w:rFonts w:ascii="Calibri Light" w:hAnsi="Calibri Light"/>
        </w:rPr>
        <w:t xml:space="preserve">assistance – we did not meet the </w:t>
      </w:r>
      <w:r w:rsidR="00566328">
        <w:rPr>
          <w:rFonts w:ascii="Calibri Light" w:hAnsi="Calibri Light"/>
        </w:rPr>
        <w:t xml:space="preserve">internal </w:t>
      </w:r>
      <w:r w:rsidR="00772135">
        <w:rPr>
          <w:rFonts w:ascii="Calibri Light" w:hAnsi="Calibri Light"/>
        </w:rPr>
        <w:t>performance milestone of completing a humanitarian strategy by June 2016</w:t>
      </w:r>
      <w:r w:rsidRPr="00370ABB">
        <w:rPr>
          <w:rFonts w:ascii="Calibri Light" w:hAnsi="Calibri Light"/>
        </w:rPr>
        <w:t>.</w:t>
      </w:r>
      <w:r w:rsidR="0041704E">
        <w:rPr>
          <w:rFonts w:ascii="Calibri Light" w:hAnsi="Calibri Light"/>
        </w:rPr>
        <w:t xml:space="preserve"> </w:t>
      </w:r>
      <w:r w:rsidR="00566328">
        <w:rPr>
          <w:rFonts w:ascii="Calibri Light" w:hAnsi="Calibri Light"/>
        </w:rPr>
        <w:t>The humanitarian strategy is now due to be completed by December 2016.</w:t>
      </w:r>
    </w:p>
    <w:p w14:paraId="2B5A2A4E" w14:textId="77777777" w:rsidR="00F57499" w:rsidRPr="00F57499" w:rsidRDefault="00F57499" w:rsidP="00857DAA">
      <w:pPr>
        <w:rPr>
          <w:rFonts w:ascii="Calibri Light" w:hAnsi="Calibri Light"/>
          <w:b/>
        </w:rPr>
      </w:pPr>
      <w:r w:rsidRPr="00F57499">
        <w:rPr>
          <w:rFonts w:ascii="Calibri Light" w:hAnsi="Calibri Light"/>
          <w:b/>
        </w:rPr>
        <w:t>Democratic governance</w:t>
      </w:r>
    </w:p>
    <w:p w14:paraId="3D15BC4B" w14:textId="77777777" w:rsidR="00857DAA" w:rsidRDefault="00CA6049" w:rsidP="00857DAA">
      <w:pPr>
        <w:rPr>
          <w:rFonts w:ascii="Calibri Light" w:hAnsi="Calibri Light"/>
        </w:rPr>
      </w:pPr>
      <w:r>
        <w:rPr>
          <w:rFonts w:ascii="Calibri Light" w:hAnsi="Calibri Light"/>
        </w:rPr>
        <w:t>In November 2015, Myanmar held its first successful and openly contested elections since 1960 – an important milestone in the country’s democratic transition. The elections were transparent: professional observers were officially invited to participate for the first time,</w:t>
      </w:r>
      <w:r w:rsidR="0078484D">
        <w:rPr>
          <w:rFonts w:ascii="Calibri Light" w:hAnsi="Calibri Light"/>
        </w:rPr>
        <w:t xml:space="preserve"> and </w:t>
      </w:r>
      <w:r>
        <w:rPr>
          <w:rFonts w:ascii="Calibri Light" w:hAnsi="Calibri Light"/>
        </w:rPr>
        <w:t>a</w:t>
      </w:r>
      <w:r w:rsidR="0041704E">
        <w:rPr>
          <w:rFonts w:ascii="Calibri Light" w:hAnsi="Calibri Light"/>
        </w:rPr>
        <w:t>pproximately 12,500</w:t>
      </w:r>
      <w:r w:rsidR="000F289E">
        <w:rPr>
          <w:rFonts w:ascii="Calibri Light" w:hAnsi="Calibri Light"/>
        </w:rPr>
        <w:t xml:space="preserve"> accredited international</w:t>
      </w:r>
      <w:r w:rsidR="0041704E">
        <w:rPr>
          <w:rFonts w:ascii="Calibri Light" w:hAnsi="Calibri Light"/>
        </w:rPr>
        <w:t xml:space="preserve"> and local</w:t>
      </w:r>
      <w:r w:rsidR="000F289E">
        <w:rPr>
          <w:rFonts w:ascii="Calibri Light" w:hAnsi="Calibri Light"/>
        </w:rPr>
        <w:t xml:space="preserve"> observers </w:t>
      </w:r>
      <w:r w:rsidR="0078484D">
        <w:rPr>
          <w:rFonts w:ascii="Calibri Light" w:hAnsi="Calibri Light"/>
        </w:rPr>
        <w:t>were present</w:t>
      </w:r>
      <w:r>
        <w:rPr>
          <w:rFonts w:ascii="Calibri Light" w:hAnsi="Calibri Light"/>
        </w:rPr>
        <w:t>.</w:t>
      </w:r>
      <w:r w:rsidR="0078484D">
        <w:rPr>
          <w:rFonts w:ascii="Calibri Light" w:hAnsi="Calibri Light"/>
        </w:rPr>
        <w:t xml:space="preserve"> Around</w:t>
      </w:r>
      <w:r w:rsidR="00857DAA">
        <w:rPr>
          <w:rFonts w:ascii="Calibri Light" w:hAnsi="Calibri Light"/>
        </w:rPr>
        <w:t xml:space="preserve"> 70 per cent of those on the voter list turned out to vote; 52 per cent of those on the list were women. </w:t>
      </w:r>
      <w:r w:rsidR="009D3917" w:rsidRPr="00857DAA">
        <w:rPr>
          <w:rFonts w:ascii="Calibri Light" w:hAnsi="Calibri Light"/>
        </w:rPr>
        <w:t>Australia was a significant donor to the election</w:t>
      </w:r>
      <w:r w:rsidR="009D3917">
        <w:rPr>
          <w:rFonts w:ascii="Calibri Light" w:hAnsi="Calibri Light"/>
        </w:rPr>
        <w:t>, along with the United States</w:t>
      </w:r>
      <w:r w:rsidR="0041704E">
        <w:rPr>
          <w:rFonts w:ascii="Calibri Light" w:hAnsi="Calibri Light"/>
        </w:rPr>
        <w:t>, the United Kingdom, and the European Union.</w:t>
      </w:r>
    </w:p>
    <w:p w14:paraId="05E555D4" w14:textId="77777777" w:rsidR="004E4B1C" w:rsidRDefault="004E4B1C" w:rsidP="004E4B1C">
      <w:pPr>
        <w:rPr>
          <w:rFonts w:ascii="Calibri Light" w:hAnsi="Calibri Light"/>
        </w:rPr>
      </w:pPr>
      <w:r>
        <w:rPr>
          <w:rFonts w:ascii="Calibri Light" w:hAnsi="Calibri Light"/>
        </w:rPr>
        <w:t>In 2015-16, Australia supported the conduct of elections through the International Foundation of Electoral Systems (IFES) and the Australian Electoral Commission</w:t>
      </w:r>
      <w:r w:rsidR="00D74B9E">
        <w:rPr>
          <w:rFonts w:ascii="Calibri Light" w:hAnsi="Calibri Light"/>
        </w:rPr>
        <w:t xml:space="preserve"> (AEC)</w:t>
      </w:r>
      <w:r>
        <w:rPr>
          <w:rFonts w:ascii="Calibri Light" w:hAnsi="Calibri Light"/>
        </w:rPr>
        <w:t>. These partners provided technical support and advice to the Myanmar Union Election Commission (UEC) to improve the management of the electoral process, including by implementing a digital voter list</w:t>
      </w:r>
      <w:r w:rsidR="00963366">
        <w:rPr>
          <w:rFonts w:ascii="Calibri Light" w:hAnsi="Calibri Light"/>
        </w:rPr>
        <w:t xml:space="preserve"> – one of Australia’s performance benchmarks – </w:t>
      </w:r>
      <w:r>
        <w:rPr>
          <w:rFonts w:ascii="Calibri Light" w:hAnsi="Calibri Light"/>
        </w:rPr>
        <w:t xml:space="preserve">and promoting inclusive </w:t>
      </w:r>
      <w:r w:rsidR="00047464">
        <w:rPr>
          <w:rFonts w:ascii="Calibri Light" w:hAnsi="Calibri Light"/>
        </w:rPr>
        <w:t xml:space="preserve">voter </w:t>
      </w:r>
      <w:r>
        <w:rPr>
          <w:rFonts w:ascii="Calibri Light" w:hAnsi="Calibri Light"/>
        </w:rPr>
        <w:t>participation in the election.</w:t>
      </w:r>
    </w:p>
    <w:p w14:paraId="4A1A4B8E" w14:textId="77777777" w:rsidR="004E4B1C" w:rsidRDefault="004E4B1C" w:rsidP="004E4B1C">
      <w:pPr>
        <w:rPr>
          <w:rFonts w:ascii="Calibri Light" w:hAnsi="Calibri Light"/>
        </w:rPr>
      </w:pPr>
      <w:r w:rsidRPr="00D54D42">
        <w:rPr>
          <w:rFonts w:ascii="Calibri Light" w:hAnsi="Calibri Light"/>
        </w:rPr>
        <w:t>The 2015 voter list was the first ever digitised, centralised database in Myanmar language, containing 34.3 million names.  Prior to 2015, the country’s voter list was decentralised and largely typed or hand-written at the local level, which resulted in the list being inaccurate and open to manipulation.  In the post-election survey, it was found that 86 per cent of respondents were satisfied with the UEC’s updates to the voter list.</w:t>
      </w:r>
      <w:r w:rsidR="008A5640">
        <w:rPr>
          <w:rFonts w:ascii="Calibri Light" w:hAnsi="Calibri Light"/>
        </w:rPr>
        <w:t xml:space="preserve"> </w:t>
      </w:r>
    </w:p>
    <w:p w14:paraId="6DD1607F" w14:textId="77777777" w:rsidR="004E4B1C" w:rsidRPr="00D54D42" w:rsidRDefault="0041704E" w:rsidP="004E4B1C">
      <w:pPr>
        <w:rPr>
          <w:rFonts w:ascii="Calibri Light" w:hAnsi="Calibri Light"/>
        </w:rPr>
      </w:pPr>
      <w:r>
        <w:rPr>
          <w:rFonts w:ascii="Calibri Light" w:hAnsi="Calibri Light"/>
        </w:rPr>
        <w:t>O</w:t>
      </w:r>
      <w:r w:rsidR="004E4B1C">
        <w:rPr>
          <w:rFonts w:ascii="Calibri Light" w:hAnsi="Calibri Light"/>
        </w:rPr>
        <w:t>bservers reported the conduct of elections was technically sound, with around 90 to 95 per cent of polling stations meeting international standards. In a post-election survey, 99 per cent of UEC officials found the AEC’s cascade training to over 570,000 polling officials was useful.</w:t>
      </w:r>
    </w:p>
    <w:p w14:paraId="146FE725" w14:textId="77777777" w:rsidR="004E4B1C" w:rsidRDefault="004E4B1C" w:rsidP="004E4B1C">
      <w:pPr>
        <w:rPr>
          <w:rFonts w:ascii="Calibri Light" w:hAnsi="Calibri Light"/>
        </w:rPr>
      </w:pPr>
      <w:r w:rsidRPr="00D54D42">
        <w:rPr>
          <w:rFonts w:ascii="Calibri Light" w:hAnsi="Calibri Light"/>
        </w:rPr>
        <w:t>IFES supported</w:t>
      </w:r>
      <w:r>
        <w:rPr>
          <w:rFonts w:ascii="Calibri Light" w:hAnsi="Calibri Light"/>
        </w:rPr>
        <w:t xml:space="preserve"> the UEC to conduct</w:t>
      </w:r>
      <w:r w:rsidRPr="00D54D42">
        <w:rPr>
          <w:rFonts w:ascii="Calibri Light" w:hAnsi="Calibri Light"/>
        </w:rPr>
        <w:t xml:space="preserve"> </w:t>
      </w:r>
      <w:r>
        <w:rPr>
          <w:rFonts w:ascii="Calibri Light" w:hAnsi="Calibri Light"/>
        </w:rPr>
        <w:t>an inclusive election</w:t>
      </w:r>
      <w:r w:rsidRPr="000B3158">
        <w:rPr>
          <w:rFonts w:ascii="Calibri Light" w:hAnsi="Calibri Light"/>
        </w:rPr>
        <w:t xml:space="preserve"> </w:t>
      </w:r>
      <w:r>
        <w:rPr>
          <w:rFonts w:ascii="Calibri Light" w:hAnsi="Calibri Light"/>
        </w:rPr>
        <w:t>with Australian funding. Disability inclusive polling stations were piloted at 18 locations in six states and regions. The UEC provided ballot guides in Braille and facilitate physical access to the polling booths. Voter education materials were distributed in 16 languages.</w:t>
      </w:r>
    </w:p>
    <w:p w14:paraId="2403256C" w14:textId="77777777" w:rsidR="004E4B1C" w:rsidRDefault="004E4B1C" w:rsidP="0041704E">
      <w:pPr>
        <w:rPr>
          <w:rFonts w:ascii="Calibri Light" w:hAnsi="Calibri Light"/>
        </w:rPr>
      </w:pPr>
      <w:r>
        <w:rPr>
          <w:rFonts w:ascii="Calibri Light" w:hAnsi="Calibri Light"/>
        </w:rPr>
        <w:t>Australian support promoted women’s inclusion in the electoral process. IFES supported</w:t>
      </w:r>
      <w:r w:rsidRPr="00D54D42">
        <w:rPr>
          <w:rFonts w:ascii="Calibri Light" w:hAnsi="Calibri Light"/>
        </w:rPr>
        <w:t xml:space="preserve"> local partner Yaung Chit Thit to implement She Leads, a women’s leadership program that provided training to over 700 women to address the lack of women’s leadership in political and decision-making processes at all levels of state and society. The women provided voter education to over 50,000 people prior to the election, and over 70 participants took on leadership roles in the election, including as candidates, observers, party agents or election officials. </w:t>
      </w:r>
      <w:r w:rsidR="006E1C9B">
        <w:rPr>
          <w:rFonts w:ascii="Calibri Light" w:hAnsi="Calibri Light"/>
        </w:rPr>
        <w:t xml:space="preserve">The proportion of </w:t>
      </w:r>
      <w:r w:rsidR="006E1C9B" w:rsidRPr="006E1C9B">
        <w:rPr>
          <w:rFonts w:ascii="Calibri Light" w:hAnsi="Calibri Light"/>
        </w:rPr>
        <w:t xml:space="preserve">women members of Parliament </w:t>
      </w:r>
      <w:r w:rsidR="006E1C9B">
        <w:rPr>
          <w:rFonts w:ascii="Calibri Light" w:hAnsi="Calibri Light"/>
        </w:rPr>
        <w:t xml:space="preserve">increased from </w:t>
      </w:r>
      <w:r w:rsidR="006E1C9B" w:rsidRPr="006E1C9B">
        <w:rPr>
          <w:rFonts w:ascii="Calibri Light" w:hAnsi="Calibri Light"/>
        </w:rPr>
        <w:t>5.9 per</w:t>
      </w:r>
      <w:r w:rsidR="006E1C9B">
        <w:rPr>
          <w:rFonts w:ascii="Calibri Light" w:hAnsi="Calibri Light"/>
        </w:rPr>
        <w:t xml:space="preserve"> </w:t>
      </w:r>
      <w:r w:rsidR="006E1C9B" w:rsidRPr="006E1C9B">
        <w:rPr>
          <w:rFonts w:ascii="Calibri Light" w:hAnsi="Calibri Light"/>
        </w:rPr>
        <w:t xml:space="preserve">cent </w:t>
      </w:r>
      <w:r w:rsidR="006E1C9B">
        <w:rPr>
          <w:rFonts w:ascii="Calibri Light" w:hAnsi="Calibri Light"/>
        </w:rPr>
        <w:t xml:space="preserve">to 14.5 per cent </w:t>
      </w:r>
      <w:r w:rsidR="006E1C9B" w:rsidRPr="006E1C9B">
        <w:rPr>
          <w:rFonts w:ascii="Calibri Light" w:hAnsi="Calibri Light"/>
        </w:rPr>
        <w:t>of all elected MPs in the Union Parliament</w:t>
      </w:r>
      <w:r w:rsidR="006E1C9B">
        <w:rPr>
          <w:rFonts w:ascii="Calibri Light" w:hAnsi="Calibri Light"/>
        </w:rPr>
        <w:t xml:space="preserve"> in the 2015 election.</w:t>
      </w:r>
    </w:p>
    <w:p w14:paraId="27BF75CE" w14:textId="77777777" w:rsidR="0041704E" w:rsidRDefault="00CA6049" w:rsidP="0041704E">
      <w:pPr>
        <w:rPr>
          <w:rFonts w:ascii="Calibri Light" w:hAnsi="Calibri Light"/>
        </w:rPr>
      </w:pPr>
      <w:r>
        <w:rPr>
          <w:rFonts w:ascii="Calibri Light" w:hAnsi="Calibri Light"/>
        </w:rPr>
        <w:t>Australia also</w:t>
      </w:r>
      <w:r w:rsidR="0078484D">
        <w:rPr>
          <w:rFonts w:ascii="Calibri Light" w:hAnsi="Calibri Light"/>
        </w:rPr>
        <w:t xml:space="preserve"> funded The Asia Foundation to produce an innovative smartphone app that provided information about the elections, candidates, political parties and election procedures. The app</w:t>
      </w:r>
      <w:r w:rsidR="005B5A1D">
        <w:rPr>
          <w:rFonts w:ascii="Calibri Light" w:hAnsi="Calibri Light"/>
        </w:rPr>
        <w:t>’s election information database</w:t>
      </w:r>
      <w:r w:rsidR="0078484D">
        <w:rPr>
          <w:rFonts w:ascii="Calibri Light" w:hAnsi="Calibri Light"/>
        </w:rPr>
        <w:t xml:space="preserve"> received more than 12 million hits.</w:t>
      </w:r>
    </w:p>
    <w:p w14:paraId="771723F1" w14:textId="77777777" w:rsidR="006D4AEE" w:rsidRDefault="006D4AEE" w:rsidP="00857DAA">
      <w:pPr>
        <w:rPr>
          <w:rFonts w:ascii="Calibri Light" w:hAnsi="Calibri Light"/>
          <w:b/>
        </w:rPr>
      </w:pPr>
    </w:p>
    <w:p w14:paraId="4DCAD906" w14:textId="77777777" w:rsidR="006D4AEE" w:rsidRDefault="006D4AEE" w:rsidP="00857DAA">
      <w:pPr>
        <w:rPr>
          <w:rFonts w:ascii="Calibri Light" w:hAnsi="Calibri Light"/>
          <w:b/>
        </w:rPr>
      </w:pPr>
    </w:p>
    <w:p w14:paraId="79F49A69" w14:textId="77777777" w:rsidR="00F57499" w:rsidRPr="00F57499" w:rsidRDefault="00F57499" w:rsidP="00857DAA">
      <w:pPr>
        <w:rPr>
          <w:rFonts w:ascii="Calibri Light" w:hAnsi="Calibri Light"/>
          <w:b/>
        </w:rPr>
      </w:pPr>
      <w:r w:rsidRPr="00F57499">
        <w:rPr>
          <w:rFonts w:ascii="Calibri Light" w:hAnsi="Calibri Light"/>
          <w:b/>
        </w:rPr>
        <w:lastRenderedPageBreak/>
        <w:t>Peace</w:t>
      </w:r>
    </w:p>
    <w:p w14:paraId="37D4A92D" w14:textId="77777777" w:rsidR="00857DAA" w:rsidRPr="00857DAA" w:rsidRDefault="00857DAA" w:rsidP="00857DAA">
      <w:pPr>
        <w:rPr>
          <w:rFonts w:ascii="Calibri Light" w:hAnsi="Calibri Light"/>
          <w:lang w:val="en"/>
        </w:rPr>
      </w:pPr>
      <w:r>
        <w:rPr>
          <w:rFonts w:ascii="Calibri Light" w:hAnsi="Calibri Light"/>
        </w:rPr>
        <w:t xml:space="preserve">The peace process continued to make substantial progress in 2015-16. A major milestone was reached </w:t>
      </w:r>
      <w:r w:rsidRPr="007F65A5">
        <w:rPr>
          <w:rFonts w:ascii="Calibri Light" w:hAnsi="Calibri Light"/>
        </w:rPr>
        <w:t xml:space="preserve">in October 2015, with the partial signing of a Nationwide Ceasefire Agreement </w:t>
      </w:r>
      <w:r>
        <w:rPr>
          <w:rFonts w:ascii="Calibri Light" w:hAnsi="Calibri Light"/>
        </w:rPr>
        <w:t xml:space="preserve">(NCA) </w:t>
      </w:r>
      <w:r w:rsidRPr="007F65A5">
        <w:rPr>
          <w:rFonts w:ascii="Calibri Light" w:hAnsi="Calibri Light"/>
        </w:rPr>
        <w:t>between the previous government and eight ethnic armed organisations.</w:t>
      </w:r>
      <w:r w:rsidRPr="007F65A5">
        <w:rPr>
          <w:rFonts w:ascii="Calibri Light" w:hAnsi="Calibri Light"/>
          <w:lang w:val="en"/>
        </w:rPr>
        <w:t xml:space="preserve"> </w:t>
      </w:r>
      <w:r>
        <w:rPr>
          <w:rFonts w:ascii="Calibri Light" w:hAnsi="Calibri Light"/>
          <w:lang w:val="en"/>
        </w:rPr>
        <w:t xml:space="preserve">A Union Peace Conference followed in January 2016 to commence the formal political dialogue agreed in the NCA. However, </w:t>
      </w:r>
      <w:r w:rsidR="002F2B1C">
        <w:rPr>
          <w:rFonts w:ascii="Calibri Light" w:hAnsi="Calibri Light"/>
          <w:lang w:val="en"/>
        </w:rPr>
        <w:t xml:space="preserve">some major ethnic armed organisations chose not to sign the NCA, despite having been involved in the NCA drafting process. </w:t>
      </w:r>
    </w:p>
    <w:p w14:paraId="746B0713" w14:textId="77777777" w:rsidR="00857DAA" w:rsidRDefault="00857DAA" w:rsidP="00857DAA">
      <w:pPr>
        <w:rPr>
          <w:rFonts w:ascii="Calibri Light" w:hAnsi="Calibri Light"/>
          <w:lang w:val="en"/>
        </w:rPr>
      </w:pPr>
      <w:r w:rsidRPr="007F65A5">
        <w:rPr>
          <w:rFonts w:ascii="Calibri Light" w:hAnsi="Calibri Light"/>
          <w:lang w:val="en"/>
        </w:rPr>
        <w:t>The new government quickly identified the pea</w:t>
      </w:r>
      <w:r>
        <w:rPr>
          <w:rFonts w:ascii="Calibri Light" w:hAnsi="Calibri Light"/>
          <w:lang w:val="en"/>
        </w:rPr>
        <w:t>ce process as a priority and</w:t>
      </w:r>
      <w:r w:rsidRPr="007F65A5">
        <w:rPr>
          <w:rFonts w:ascii="Calibri Light" w:hAnsi="Calibri Light"/>
          <w:lang w:val="en"/>
        </w:rPr>
        <w:t xml:space="preserve"> recently signaled support for the NCA architecture. </w:t>
      </w:r>
      <w:r w:rsidR="005B5A1D">
        <w:rPr>
          <w:rFonts w:ascii="Calibri Light" w:hAnsi="Calibri Light"/>
          <w:lang w:val="en"/>
        </w:rPr>
        <w:t>I</w:t>
      </w:r>
      <w:r w:rsidR="005B5A1D" w:rsidRPr="007F65A5">
        <w:rPr>
          <w:rFonts w:ascii="Calibri Light" w:hAnsi="Calibri Light"/>
          <w:lang w:val="en"/>
        </w:rPr>
        <w:t>n late April 2016</w:t>
      </w:r>
      <w:r w:rsidR="005B5A1D">
        <w:rPr>
          <w:rFonts w:ascii="Calibri Light" w:hAnsi="Calibri Light"/>
          <w:lang w:val="en"/>
        </w:rPr>
        <w:t xml:space="preserve">, </w:t>
      </w:r>
      <w:r w:rsidRPr="007F65A5">
        <w:rPr>
          <w:rFonts w:ascii="Calibri Light" w:hAnsi="Calibri Light"/>
          <w:lang w:val="en"/>
        </w:rPr>
        <w:t xml:space="preserve">Aung San Suu Kyi endorsed the Union-level </w:t>
      </w:r>
      <w:r w:rsidR="00E70653">
        <w:rPr>
          <w:rFonts w:ascii="Calibri Light" w:hAnsi="Calibri Light"/>
          <w:lang w:val="en"/>
        </w:rPr>
        <w:t>Joint Monitoring Committee</w:t>
      </w:r>
      <w:r w:rsidR="00D74B9E">
        <w:rPr>
          <w:rStyle w:val="EndnoteReference"/>
          <w:rFonts w:ascii="Calibri Light" w:hAnsi="Calibri Light"/>
          <w:lang w:val="en"/>
        </w:rPr>
        <w:endnoteReference w:id="5"/>
      </w:r>
      <w:r w:rsidRPr="007F65A5">
        <w:rPr>
          <w:rFonts w:ascii="Calibri Light" w:hAnsi="Calibri Light"/>
          <w:lang w:val="en"/>
        </w:rPr>
        <w:t xml:space="preserve"> established under the NCA, which will allow it to </w:t>
      </w:r>
      <w:r>
        <w:rPr>
          <w:rFonts w:ascii="Calibri Light" w:hAnsi="Calibri Light"/>
          <w:lang w:val="en"/>
        </w:rPr>
        <w:t>implement</w:t>
      </w:r>
      <w:r w:rsidRPr="007F65A5">
        <w:rPr>
          <w:rFonts w:ascii="Calibri Light" w:hAnsi="Calibri Light"/>
          <w:lang w:val="en"/>
        </w:rPr>
        <w:t xml:space="preserve"> the ceasefire agreement between parties. The government has also announced its </w:t>
      </w:r>
      <w:r w:rsidR="005B5A1D">
        <w:rPr>
          <w:rFonts w:ascii="Calibri Light" w:hAnsi="Calibri Light"/>
          <w:lang w:val="en"/>
        </w:rPr>
        <w:t>commitment</w:t>
      </w:r>
      <w:r w:rsidRPr="007F65A5">
        <w:rPr>
          <w:rFonts w:ascii="Calibri Light" w:hAnsi="Calibri Light"/>
          <w:lang w:val="en"/>
        </w:rPr>
        <w:t xml:space="preserve"> to restart the political dialogue process.</w:t>
      </w:r>
    </w:p>
    <w:p w14:paraId="48FB5B0A" w14:textId="77777777" w:rsidR="004E4B1C" w:rsidRPr="007F65A5" w:rsidRDefault="004E4B1C" w:rsidP="004E4B1C">
      <w:pPr>
        <w:rPr>
          <w:rFonts w:ascii="Calibri Light" w:hAnsi="Calibri Light"/>
        </w:rPr>
      </w:pPr>
      <w:r w:rsidRPr="007F65A5">
        <w:rPr>
          <w:rFonts w:ascii="Calibri Light" w:hAnsi="Calibri Light"/>
        </w:rPr>
        <w:t xml:space="preserve">Australia </w:t>
      </w:r>
      <w:r>
        <w:rPr>
          <w:rFonts w:ascii="Calibri Light" w:hAnsi="Calibri Light"/>
        </w:rPr>
        <w:t>continued to be</w:t>
      </w:r>
      <w:r w:rsidRPr="007F65A5">
        <w:rPr>
          <w:rFonts w:ascii="Calibri Light" w:hAnsi="Calibri Light"/>
        </w:rPr>
        <w:t xml:space="preserve"> a prominent partner to Myanmar’s peace process </w:t>
      </w:r>
      <w:r>
        <w:rPr>
          <w:rFonts w:ascii="Calibri Light" w:hAnsi="Calibri Light"/>
        </w:rPr>
        <w:t xml:space="preserve">in 2015-16. Australian funding supported </w:t>
      </w:r>
      <w:r w:rsidRPr="007F65A5">
        <w:rPr>
          <w:rFonts w:ascii="Calibri Light" w:hAnsi="Calibri Light"/>
        </w:rPr>
        <w:t>locally-driven peace negotiations, along with development activities that provide</w:t>
      </w:r>
      <w:r>
        <w:rPr>
          <w:rFonts w:ascii="Calibri Light" w:hAnsi="Calibri Light"/>
        </w:rPr>
        <w:t>d</w:t>
      </w:r>
      <w:r w:rsidRPr="007F65A5">
        <w:rPr>
          <w:rFonts w:ascii="Calibri Light" w:hAnsi="Calibri Light"/>
        </w:rPr>
        <w:t xml:space="preserve"> new opportunities for people affected by conflict and stability.</w:t>
      </w:r>
      <w:r>
        <w:rPr>
          <w:rFonts w:ascii="Calibri Light" w:hAnsi="Calibri Light"/>
        </w:rPr>
        <w:t xml:space="preserve"> </w:t>
      </w:r>
      <w:r w:rsidRPr="00110FB3">
        <w:rPr>
          <w:rFonts w:ascii="Calibri Light" w:hAnsi="Calibri Light"/>
        </w:rPr>
        <w:t xml:space="preserve">Phase </w:t>
      </w:r>
      <w:r w:rsidR="006B7CEA">
        <w:rPr>
          <w:rFonts w:ascii="Calibri Light" w:hAnsi="Calibri Light"/>
        </w:rPr>
        <w:t>T</w:t>
      </w:r>
      <w:r>
        <w:rPr>
          <w:rFonts w:ascii="Calibri Light" w:hAnsi="Calibri Light"/>
        </w:rPr>
        <w:t>wo</w:t>
      </w:r>
      <w:r w:rsidRPr="00110FB3">
        <w:rPr>
          <w:rFonts w:ascii="Calibri Light" w:hAnsi="Calibri Light"/>
        </w:rPr>
        <w:t xml:space="preserve"> of the </w:t>
      </w:r>
      <w:r w:rsidRPr="00426104">
        <w:rPr>
          <w:rFonts w:ascii="Calibri Light" w:hAnsi="Calibri Light"/>
        </w:rPr>
        <w:t xml:space="preserve">Myanmar-Australia Peace Support </w:t>
      </w:r>
      <w:r>
        <w:rPr>
          <w:rFonts w:ascii="Calibri Light" w:hAnsi="Calibri Light"/>
        </w:rPr>
        <w:t xml:space="preserve">program </w:t>
      </w:r>
      <w:r w:rsidRPr="00426104">
        <w:rPr>
          <w:rFonts w:ascii="Calibri Light" w:hAnsi="Calibri Light"/>
        </w:rPr>
        <w:t>commenced in January 2016 with the renew</w:t>
      </w:r>
      <w:r>
        <w:rPr>
          <w:rFonts w:ascii="Calibri Light" w:hAnsi="Calibri Light"/>
        </w:rPr>
        <w:t>al of funding commitments to the Centre for Humanitarian Dialogue</w:t>
      </w:r>
      <w:r w:rsidRPr="00426104">
        <w:rPr>
          <w:rFonts w:ascii="Calibri Light" w:hAnsi="Calibri Light"/>
        </w:rPr>
        <w:t xml:space="preserve"> and </w:t>
      </w:r>
      <w:r>
        <w:rPr>
          <w:rFonts w:ascii="Calibri Light" w:hAnsi="Calibri Light"/>
        </w:rPr>
        <w:t>the Centre for Peace and Conflict Studies</w:t>
      </w:r>
      <w:r w:rsidRPr="00426104">
        <w:rPr>
          <w:rFonts w:ascii="Calibri Light" w:hAnsi="Calibri Light"/>
        </w:rPr>
        <w:t xml:space="preserve"> </w:t>
      </w:r>
      <w:r>
        <w:rPr>
          <w:rFonts w:ascii="Calibri Light" w:hAnsi="Calibri Light"/>
        </w:rPr>
        <w:t xml:space="preserve">(CPCS) </w:t>
      </w:r>
      <w:r w:rsidRPr="00426104">
        <w:rPr>
          <w:rFonts w:ascii="Calibri Light" w:hAnsi="Calibri Light"/>
        </w:rPr>
        <w:t xml:space="preserve">and a new investment in the multi-donor </w:t>
      </w:r>
      <w:r w:rsidR="00093A90">
        <w:rPr>
          <w:rFonts w:ascii="Calibri Light" w:hAnsi="Calibri Light"/>
        </w:rPr>
        <w:t>JPF</w:t>
      </w:r>
      <w:r>
        <w:rPr>
          <w:rFonts w:ascii="Calibri Light" w:hAnsi="Calibri Light"/>
        </w:rPr>
        <w:t>.</w:t>
      </w:r>
    </w:p>
    <w:p w14:paraId="6DE06147" w14:textId="77777777" w:rsidR="004E4B1C" w:rsidRDefault="004E4B1C" w:rsidP="004E4B1C">
      <w:pPr>
        <w:rPr>
          <w:rFonts w:ascii="Calibri Light" w:hAnsi="Calibri Light"/>
        </w:rPr>
      </w:pPr>
      <w:r w:rsidRPr="00177B64">
        <w:rPr>
          <w:rFonts w:ascii="Calibri Light" w:hAnsi="Calibri Light"/>
        </w:rPr>
        <w:t>Australia was influential i</w:t>
      </w:r>
      <w:r w:rsidR="00D74B9E" w:rsidRPr="00177B64">
        <w:rPr>
          <w:rFonts w:ascii="Calibri Light" w:hAnsi="Calibri Light"/>
        </w:rPr>
        <w:t>n designing the JPF</w:t>
      </w:r>
      <w:r w:rsidRPr="00177B64">
        <w:rPr>
          <w:rFonts w:ascii="Calibri Light" w:hAnsi="Calibri Light"/>
        </w:rPr>
        <w:t>, whic</w:t>
      </w:r>
      <w:r w:rsidR="005B5A1D">
        <w:rPr>
          <w:rFonts w:ascii="Calibri Light" w:hAnsi="Calibri Light"/>
        </w:rPr>
        <w:t>h was led by the European Union and established in December 2015.</w:t>
      </w:r>
      <w:r w:rsidRPr="00177B64">
        <w:rPr>
          <w:rFonts w:ascii="Calibri Light" w:hAnsi="Calibri Light"/>
        </w:rPr>
        <w:t xml:space="preserve"> The JPF is a multi-donor fund that provides a framework for international assistance to the </w:t>
      </w:r>
      <w:r w:rsidR="000B4A11" w:rsidRPr="00177B64">
        <w:rPr>
          <w:rFonts w:ascii="Calibri Light" w:hAnsi="Calibri Light"/>
        </w:rPr>
        <w:t xml:space="preserve">locally-led </w:t>
      </w:r>
      <w:r w:rsidRPr="00177B64">
        <w:rPr>
          <w:rFonts w:ascii="Calibri Light" w:hAnsi="Calibri Light"/>
        </w:rPr>
        <w:t xml:space="preserve">peace process in Myanmar. It has been designed to pool donor resources, improve coordination and convene major stakeholders. </w:t>
      </w:r>
      <w:r w:rsidR="005C028C">
        <w:rPr>
          <w:rFonts w:ascii="Calibri Light" w:hAnsi="Calibri Light"/>
        </w:rPr>
        <w:t>T</w:t>
      </w:r>
      <w:r w:rsidR="006E1C9B">
        <w:rPr>
          <w:rFonts w:ascii="Calibri Light" w:hAnsi="Calibri Light"/>
        </w:rPr>
        <w:t>he JPF will</w:t>
      </w:r>
      <w:r w:rsidRPr="00177B64">
        <w:rPr>
          <w:rFonts w:ascii="Calibri Light" w:hAnsi="Calibri Light"/>
        </w:rPr>
        <w:t xml:space="preserve"> provide a mechanism for funding peace process architecture, peacebuilding and research to support needs that emerged from the signing of the NCA in October. </w:t>
      </w:r>
      <w:r w:rsidR="00F64A61" w:rsidRPr="00F64A61">
        <w:rPr>
          <w:rFonts w:ascii="Calibri Light" w:hAnsi="Calibri Light"/>
        </w:rPr>
        <w:t xml:space="preserve">It will play an important role in supporting an inclusive peace process through a </w:t>
      </w:r>
      <w:r w:rsidR="00F64A61" w:rsidRPr="00F64A61">
        <w:t>coordinating body involving government,</w:t>
      </w:r>
      <w:r w:rsidR="005B5A1D">
        <w:t xml:space="preserve"> donors and ethnic armed groups</w:t>
      </w:r>
      <w:r w:rsidR="00F64A61" w:rsidRPr="00F64A61">
        <w:t xml:space="preserve">. </w:t>
      </w:r>
    </w:p>
    <w:p w14:paraId="5400C80B" w14:textId="77777777" w:rsidR="004E4B1C" w:rsidRPr="007F65A5" w:rsidRDefault="004E4B1C" w:rsidP="004E4B1C">
      <w:pPr>
        <w:rPr>
          <w:rFonts w:ascii="Calibri Light" w:hAnsi="Calibri Light"/>
        </w:rPr>
      </w:pPr>
      <w:r>
        <w:rPr>
          <w:rFonts w:ascii="Calibri Light" w:hAnsi="Calibri Light"/>
        </w:rPr>
        <w:t xml:space="preserve">Australia continued to provide assistance to better prepare women to engage in the peace process. CPCS delivered leadership training to 11 women who are engaged in the peace process. </w:t>
      </w:r>
      <w:r w:rsidRPr="007F65A5">
        <w:rPr>
          <w:rFonts w:ascii="Calibri Light" w:hAnsi="Calibri Light"/>
        </w:rPr>
        <w:t xml:space="preserve">The increased leadership capacities are evidenced by the improved leadership performance in their </w:t>
      </w:r>
      <w:r>
        <w:rPr>
          <w:rFonts w:ascii="Calibri Light" w:hAnsi="Calibri Light"/>
        </w:rPr>
        <w:t xml:space="preserve">respective </w:t>
      </w:r>
      <w:r w:rsidRPr="007F65A5">
        <w:rPr>
          <w:rFonts w:ascii="Calibri Light" w:hAnsi="Calibri Light"/>
        </w:rPr>
        <w:t>organisation</w:t>
      </w:r>
      <w:r>
        <w:rPr>
          <w:rFonts w:ascii="Calibri Light" w:hAnsi="Calibri Light"/>
        </w:rPr>
        <w:t>s</w:t>
      </w:r>
      <w:r w:rsidRPr="007F65A5">
        <w:rPr>
          <w:rFonts w:ascii="Calibri Light" w:hAnsi="Calibri Light"/>
        </w:rPr>
        <w:t>. For example, one of the participants is now the Executive Director of a peace organisation in Shan State</w:t>
      </w:r>
      <w:r>
        <w:rPr>
          <w:rFonts w:ascii="Calibri Light" w:hAnsi="Calibri Light"/>
        </w:rPr>
        <w:t>,</w:t>
      </w:r>
      <w:r w:rsidRPr="007F65A5">
        <w:rPr>
          <w:rFonts w:ascii="Calibri Light" w:hAnsi="Calibri Light"/>
        </w:rPr>
        <w:t xml:space="preserve"> where she plans to apply the </w:t>
      </w:r>
      <w:r w:rsidR="005B5A1D">
        <w:rPr>
          <w:rFonts w:ascii="Calibri Light" w:hAnsi="Calibri Light"/>
        </w:rPr>
        <w:t>knowledge</w:t>
      </w:r>
      <w:r w:rsidRPr="007F65A5">
        <w:rPr>
          <w:rFonts w:ascii="Calibri Light" w:hAnsi="Calibri Light"/>
        </w:rPr>
        <w:t xml:space="preserve"> she gained</w:t>
      </w:r>
      <w:r>
        <w:rPr>
          <w:rFonts w:ascii="Calibri Light" w:hAnsi="Calibri Light"/>
        </w:rPr>
        <w:t xml:space="preserve"> through Australian-funded training. </w:t>
      </w:r>
      <w:r w:rsidR="006C3BE5">
        <w:rPr>
          <w:rFonts w:ascii="Calibri Light" w:hAnsi="Calibri Light"/>
        </w:rPr>
        <w:t>Australian-funded partners continued to advocate</w:t>
      </w:r>
      <w:r w:rsidR="006C3BE5" w:rsidRPr="006C3BE5">
        <w:t xml:space="preserve"> </w:t>
      </w:r>
      <w:r w:rsidR="006C3BE5">
        <w:t xml:space="preserve">for </w:t>
      </w:r>
      <w:r w:rsidR="006C3BE5">
        <w:rPr>
          <w:rFonts w:ascii="Calibri Light" w:hAnsi="Calibri Light"/>
        </w:rPr>
        <w:t>implementation of the</w:t>
      </w:r>
      <w:r w:rsidR="006C3BE5" w:rsidRPr="006C3BE5">
        <w:rPr>
          <w:rFonts w:ascii="Calibri Light" w:hAnsi="Calibri Light"/>
        </w:rPr>
        <w:t xml:space="preserve"> 30 per cent </w:t>
      </w:r>
      <w:r w:rsidR="006C3BE5">
        <w:rPr>
          <w:rFonts w:ascii="Calibri Light" w:hAnsi="Calibri Light"/>
        </w:rPr>
        <w:t xml:space="preserve">quota for women’s </w:t>
      </w:r>
      <w:r w:rsidR="006C3BE5" w:rsidRPr="006C3BE5">
        <w:rPr>
          <w:rFonts w:ascii="Calibri Light" w:hAnsi="Calibri Light"/>
        </w:rPr>
        <w:t xml:space="preserve">participation </w:t>
      </w:r>
      <w:r w:rsidR="006C3BE5">
        <w:rPr>
          <w:rFonts w:ascii="Calibri Light" w:hAnsi="Calibri Light"/>
        </w:rPr>
        <w:t>in</w:t>
      </w:r>
      <w:r w:rsidR="006C3BE5" w:rsidRPr="006C3BE5">
        <w:rPr>
          <w:rFonts w:ascii="Calibri Light" w:hAnsi="Calibri Light"/>
        </w:rPr>
        <w:t xml:space="preserve"> </w:t>
      </w:r>
      <w:r w:rsidR="006C3BE5">
        <w:rPr>
          <w:rFonts w:ascii="Calibri Light" w:hAnsi="Calibri Light"/>
        </w:rPr>
        <w:t xml:space="preserve">the formal political dialogue for the peace process, in line with the outcomes of the Union Peace Conference in January 2016.  </w:t>
      </w:r>
      <w:r>
        <w:rPr>
          <w:rFonts w:ascii="Calibri Light" w:hAnsi="Calibri Light"/>
        </w:rPr>
        <w:t xml:space="preserve">However, </w:t>
      </w:r>
      <w:r w:rsidR="00841819">
        <w:rPr>
          <w:rFonts w:ascii="Calibri Light" w:hAnsi="Calibri Light"/>
        </w:rPr>
        <w:t>women’s participation is still challenging to broker in a negotiation process led by male-dominated ethnic armed groups</w:t>
      </w:r>
      <w:r w:rsidR="006E1C9B">
        <w:rPr>
          <w:rFonts w:ascii="Calibri Light" w:hAnsi="Calibri Light"/>
        </w:rPr>
        <w:t xml:space="preserve">, the </w:t>
      </w:r>
      <w:r w:rsidR="006E1C9B" w:rsidRPr="006E1C9B">
        <w:rPr>
          <w:rFonts w:ascii="Calibri Light" w:hAnsi="Calibri Light"/>
        </w:rPr>
        <w:t>Tatmadaw</w:t>
      </w:r>
      <w:r w:rsidR="006E1C9B">
        <w:rPr>
          <w:rFonts w:ascii="Calibri Light" w:hAnsi="Calibri Light"/>
        </w:rPr>
        <w:t xml:space="preserve"> (Arm</w:t>
      </w:r>
      <w:r w:rsidR="005C028C">
        <w:rPr>
          <w:rFonts w:ascii="Calibri Light" w:hAnsi="Calibri Light"/>
        </w:rPr>
        <w:t>ed Forces</w:t>
      </w:r>
      <w:r w:rsidR="006E1C9B">
        <w:rPr>
          <w:rFonts w:ascii="Calibri Light" w:hAnsi="Calibri Light"/>
        </w:rPr>
        <w:t>)</w:t>
      </w:r>
      <w:r w:rsidR="006D4AEE">
        <w:rPr>
          <w:rFonts w:ascii="Calibri Light" w:hAnsi="Calibri Light"/>
        </w:rPr>
        <w:t xml:space="preserve"> </w:t>
      </w:r>
      <w:r w:rsidR="006C3BE5">
        <w:rPr>
          <w:rFonts w:ascii="Calibri Light" w:hAnsi="Calibri Light"/>
        </w:rPr>
        <w:t>and government committees</w:t>
      </w:r>
      <w:r w:rsidR="00841819">
        <w:rPr>
          <w:rFonts w:ascii="Calibri Light" w:hAnsi="Calibri Light"/>
        </w:rPr>
        <w:t xml:space="preserve">. </w:t>
      </w:r>
    </w:p>
    <w:p w14:paraId="3D073386" w14:textId="77777777" w:rsidR="004E4B1C" w:rsidRDefault="004E4B1C" w:rsidP="004E4B1C">
      <w:pPr>
        <w:rPr>
          <w:rFonts w:ascii="Calibri Light" w:hAnsi="Calibri Light"/>
        </w:rPr>
      </w:pPr>
      <w:r>
        <w:rPr>
          <w:rFonts w:ascii="Calibri Light" w:hAnsi="Calibri Light"/>
        </w:rPr>
        <w:t xml:space="preserve">Australian-funded partners continued to be responsive to requests for technical support from </w:t>
      </w:r>
      <w:r w:rsidRPr="00D9213B">
        <w:rPr>
          <w:rFonts w:ascii="Calibri Light" w:hAnsi="Calibri Light"/>
        </w:rPr>
        <w:t xml:space="preserve">negotiating parties. The partial signing of the NCA created a dynamic where partners were working with both signatories and non-signatories to the NCA, which required different approaches to outreach and technical support. Key partners adapted to this change of context </w:t>
      </w:r>
      <w:r w:rsidR="005B5A1D">
        <w:rPr>
          <w:rFonts w:ascii="Calibri Light" w:hAnsi="Calibri Light"/>
        </w:rPr>
        <w:t>so as to remain</w:t>
      </w:r>
      <w:r w:rsidRPr="00D9213B">
        <w:rPr>
          <w:rFonts w:ascii="Calibri Light" w:hAnsi="Calibri Light"/>
        </w:rPr>
        <w:t xml:space="preserve"> responsive to all parties.</w:t>
      </w:r>
    </w:p>
    <w:p w14:paraId="58507A3D" w14:textId="77777777" w:rsidR="00BB2858" w:rsidRPr="00BB2858" w:rsidRDefault="00BB2858" w:rsidP="004E4B1C">
      <w:r>
        <w:rPr>
          <w:rFonts w:ascii="Calibri Light" w:hAnsi="Calibri Light"/>
        </w:rPr>
        <w:t>To ensure the aid program is positioned to report on progress in the years ahead, we will d</w:t>
      </w:r>
      <w:r w:rsidRPr="00225430">
        <w:rPr>
          <w:rFonts w:ascii="Calibri Light" w:hAnsi="Calibri Light"/>
        </w:rPr>
        <w:t>evelop</w:t>
      </w:r>
      <w:r>
        <w:rPr>
          <w:rFonts w:ascii="Calibri Light" w:hAnsi="Calibri Light"/>
        </w:rPr>
        <w:t xml:space="preserve"> a program level monitoring and evaluation</w:t>
      </w:r>
      <w:r w:rsidRPr="00225430">
        <w:rPr>
          <w:rFonts w:ascii="Calibri Light" w:hAnsi="Calibri Light"/>
        </w:rPr>
        <w:t xml:space="preserve"> framework for </w:t>
      </w:r>
      <w:r>
        <w:rPr>
          <w:rFonts w:ascii="Calibri Light" w:hAnsi="Calibri Light"/>
        </w:rPr>
        <w:t>Australia’s support to the peace process. This framework will</w:t>
      </w:r>
      <w:r w:rsidRPr="00225430">
        <w:rPr>
          <w:rFonts w:ascii="Calibri Light" w:hAnsi="Calibri Light"/>
        </w:rPr>
        <w:t xml:space="preserve"> </w:t>
      </w:r>
      <w:r>
        <w:rPr>
          <w:rFonts w:ascii="Calibri Light" w:hAnsi="Calibri Light"/>
        </w:rPr>
        <w:t>recognise the</w:t>
      </w:r>
      <w:r w:rsidRPr="00225430">
        <w:rPr>
          <w:rFonts w:ascii="Calibri Light" w:hAnsi="Calibri Light"/>
        </w:rPr>
        <w:t xml:space="preserve"> limitations of what</w:t>
      </w:r>
      <w:r>
        <w:rPr>
          <w:rFonts w:ascii="Calibri Light" w:hAnsi="Calibri Light"/>
        </w:rPr>
        <w:t xml:space="preserve"> Australian support can achieve and lead to an updated AIP performance assessment framework that reflects these changes</w:t>
      </w:r>
      <w:r w:rsidRPr="00225430">
        <w:rPr>
          <w:rFonts w:ascii="Calibri Light" w:hAnsi="Calibri Light"/>
        </w:rPr>
        <w:t xml:space="preserve">. </w:t>
      </w:r>
      <w:r>
        <w:rPr>
          <w:rFonts w:ascii="Calibri Light" w:hAnsi="Calibri Light"/>
        </w:rPr>
        <w:t>We will m</w:t>
      </w:r>
      <w:r w:rsidRPr="00225430">
        <w:rPr>
          <w:rFonts w:ascii="Calibri Light" w:hAnsi="Calibri Light"/>
        </w:rPr>
        <w:t>ake milestones more measurable and connected to existing strategies</w:t>
      </w:r>
      <w:r>
        <w:rPr>
          <w:rFonts w:ascii="Calibri Light" w:hAnsi="Calibri Light"/>
        </w:rPr>
        <w:t>, and look</w:t>
      </w:r>
      <w:r w:rsidRPr="00225430">
        <w:rPr>
          <w:rFonts w:ascii="Calibri Light" w:hAnsi="Calibri Light"/>
        </w:rPr>
        <w:t xml:space="preserve"> to move beyond counting the number of women trained.</w:t>
      </w:r>
    </w:p>
    <w:p w14:paraId="226E58D8" w14:textId="77777777" w:rsidR="00F57499" w:rsidRPr="00F57499" w:rsidRDefault="00F57499" w:rsidP="00857DAA">
      <w:pPr>
        <w:rPr>
          <w:rFonts w:ascii="Calibri Light" w:hAnsi="Calibri Light"/>
          <w:b/>
        </w:rPr>
      </w:pPr>
      <w:r w:rsidRPr="00F57499">
        <w:rPr>
          <w:rFonts w:ascii="Calibri Light" w:hAnsi="Calibri Light"/>
          <w:b/>
          <w:lang w:val="en"/>
        </w:rPr>
        <w:t>Humanitarian</w:t>
      </w:r>
    </w:p>
    <w:p w14:paraId="7E531268" w14:textId="77777777" w:rsidR="006D4AEE" w:rsidRDefault="00857DAA" w:rsidP="00857DAA">
      <w:pPr>
        <w:rPr>
          <w:rFonts w:ascii="Calibri Light" w:hAnsi="Calibri Light"/>
        </w:rPr>
      </w:pPr>
      <w:r>
        <w:rPr>
          <w:rFonts w:ascii="Calibri Light" w:hAnsi="Calibri Light"/>
        </w:rPr>
        <w:t xml:space="preserve">The humanitarian sphere in Myanmar continued to be complex and challenging. There are three distinct humanitarian contexts: active conflict in northern Myanmar; long term displacement of Myanmar refugees in Thai camps; and the ongoing intercommunal tensions and displacement in Rakhine State. </w:t>
      </w:r>
      <w:r w:rsidRPr="00857DAA">
        <w:rPr>
          <w:rFonts w:ascii="Calibri Light" w:hAnsi="Calibri Light"/>
        </w:rPr>
        <w:t xml:space="preserve">Myanmar’s vulnerability to natural disasters and the flow on effects for those already displaced by protracted crises was again evident in 2015. Cyclone Komen and associated flooding </w:t>
      </w:r>
      <w:r w:rsidR="00F57499">
        <w:rPr>
          <w:rFonts w:ascii="Calibri Light" w:hAnsi="Calibri Light"/>
        </w:rPr>
        <w:t>affected</w:t>
      </w:r>
      <w:r w:rsidRPr="00857DAA">
        <w:rPr>
          <w:rFonts w:ascii="Calibri Light" w:hAnsi="Calibri Light"/>
        </w:rPr>
        <w:t xml:space="preserve"> </w:t>
      </w:r>
      <w:r w:rsidR="00F57499">
        <w:rPr>
          <w:rFonts w:ascii="Calibri Light" w:hAnsi="Calibri Light"/>
        </w:rPr>
        <w:t xml:space="preserve">over </w:t>
      </w:r>
      <w:r w:rsidR="00F16946">
        <w:rPr>
          <w:rFonts w:ascii="Calibri Light" w:hAnsi="Calibri Light"/>
        </w:rPr>
        <w:t>nine million</w:t>
      </w:r>
      <w:r w:rsidRPr="00857DAA">
        <w:rPr>
          <w:rFonts w:ascii="Calibri Light" w:hAnsi="Calibri Light"/>
        </w:rPr>
        <w:t xml:space="preserve"> people</w:t>
      </w:r>
      <w:r w:rsidR="00F57499">
        <w:rPr>
          <w:rFonts w:ascii="Calibri Light" w:hAnsi="Calibri Light"/>
        </w:rPr>
        <w:t xml:space="preserve"> and temporarily displaced 1.7 million people</w:t>
      </w:r>
      <w:r w:rsidRPr="00857DAA">
        <w:rPr>
          <w:rFonts w:ascii="Calibri Light" w:hAnsi="Calibri Light"/>
        </w:rPr>
        <w:t xml:space="preserve">, many of whom were in Rakhine </w:t>
      </w:r>
      <w:r w:rsidR="006E1C9B">
        <w:rPr>
          <w:rFonts w:ascii="Calibri Light" w:hAnsi="Calibri Light"/>
        </w:rPr>
        <w:t xml:space="preserve">and Chin </w:t>
      </w:r>
      <w:r w:rsidRPr="00857DAA">
        <w:rPr>
          <w:rFonts w:ascii="Calibri Light" w:hAnsi="Calibri Light"/>
        </w:rPr>
        <w:t>State</w:t>
      </w:r>
      <w:r w:rsidR="006E1C9B">
        <w:rPr>
          <w:rFonts w:ascii="Calibri Light" w:hAnsi="Calibri Light"/>
        </w:rPr>
        <w:t>s</w:t>
      </w:r>
      <w:r w:rsidRPr="00857DAA">
        <w:rPr>
          <w:rFonts w:ascii="Calibri Light" w:hAnsi="Calibri Light"/>
        </w:rPr>
        <w:t xml:space="preserve"> and other </w:t>
      </w:r>
    </w:p>
    <w:p w14:paraId="53F62BF9" w14:textId="77777777" w:rsidR="00F57499" w:rsidRDefault="00857DAA" w:rsidP="00857DAA">
      <w:pPr>
        <w:rPr>
          <w:rFonts w:ascii="Calibri Light" w:hAnsi="Calibri Light"/>
        </w:rPr>
      </w:pPr>
      <w:r w:rsidRPr="00857DAA">
        <w:rPr>
          <w:rFonts w:ascii="Calibri Light" w:hAnsi="Calibri Light"/>
        </w:rPr>
        <w:lastRenderedPageBreak/>
        <w:t>disadvantaged locations. While the Myanmar Government demonstrated strong leadership in responding to the floods, the protracted crises</w:t>
      </w:r>
      <w:r w:rsidR="009B7DFF">
        <w:rPr>
          <w:rFonts w:ascii="Calibri Light" w:hAnsi="Calibri Light"/>
        </w:rPr>
        <w:t xml:space="preserve"> remain difficult to resolve</w:t>
      </w:r>
      <w:r w:rsidRPr="00857DAA">
        <w:rPr>
          <w:rFonts w:ascii="Calibri Light" w:hAnsi="Calibri Light"/>
        </w:rPr>
        <w:t>.</w:t>
      </w:r>
      <w:r w:rsidR="00F57499">
        <w:rPr>
          <w:rFonts w:ascii="Calibri Light" w:hAnsi="Calibri Light"/>
        </w:rPr>
        <w:t xml:space="preserve"> </w:t>
      </w:r>
      <w:r w:rsidR="00F57499" w:rsidRPr="00857DAA">
        <w:rPr>
          <w:rFonts w:ascii="Calibri Light" w:hAnsi="Calibri Light"/>
        </w:rPr>
        <w:t>Australia</w:t>
      </w:r>
      <w:r w:rsidR="004E4B1C">
        <w:rPr>
          <w:rFonts w:ascii="Calibri Light" w:hAnsi="Calibri Light"/>
        </w:rPr>
        <w:t xml:space="preserve"> remains a significant long term humanitarian donor to Myanmar, and has maintained </w:t>
      </w:r>
      <w:r w:rsidR="00F57499">
        <w:rPr>
          <w:rFonts w:ascii="Calibri Light" w:hAnsi="Calibri Light"/>
        </w:rPr>
        <w:t>strong relationships with other major bilateral donors</w:t>
      </w:r>
      <w:r w:rsidR="00F57499">
        <w:rPr>
          <w:rStyle w:val="EndnoteReference"/>
          <w:rFonts w:ascii="Calibri Light" w:hAnsi="Calibri Light"/>
        </w:rPr>
        <w:endnoteReference w:id="6"/>
      </w:r>
      <w:r w:rsidR="00F57499">
        <w:rPr>
          <w:rFonts w:ascii="Calibri Light" w:hAnsi="Calibri Light"/>
        </w:rPr>
        <w:t>, the UN, and non-government organisations.</w:t>
      </w:r>
    </w:p>
    <w:p w14:paraId="2601C39A" w14:textId="77777777" w:rsidR="005B5A1D" w:rsidRDefault="004E4B1C" w:rsidP="004E4B1C">
      <w:pPr>
        <w:rPr>
          <w:rFonts w:ascii="Calibri Light" w:hAnsi="Calibri Light"/>
        </w:rPr>
      </w:pPr>
      <w:r>
        <w:rPr>
          <w:rFonts w:ascii="Calibri Light" w:hAnsi="Calibri Light"/>
        </w:rPr>
        <w:t xml:space="preserve">In 2015-16, Australia provided lifesaving humanitarian assistance to over 372,000 women, men, girls and boys in Myanmar, exceeding </w:t>
      </w:r>
      <w:r w:rsidR="008A5640">
        <w:rPr>
          <w:rFonts w:ascii="Calibri Light" w:hAnsi="Calibri Light"/>
        </w:rPr>
        <w:t>the performance benchmark</w:t>
      </w:r>
      <w:r>
        <w:rPr>
          <w:rFonts w:ascii="Calibri Light" w:hAnsi="Calibri Light"/>
        </w:rPr>
        <w:t xml:space="preserve"> of </w:t>
      </w:r>
      <w:r w:rsidRPr="007F65A5">
        <w:rPr>
          <w:rFonts w:ascii="Calibri Light" w:hAnsi="Calibri Light"/>
        </w:rPr>
        <w:t>200,000</w:t>
      </w:r>
      <w:r>
        <w:rPr>
          <w:rFonts w:ascii="Calibri Light" w:hAnsi="Calibri Light"/>
        </w:rPr>
        <w:t>.  The increase in numbers was partly due to Australia’s response to Cyclone Komen and associated flooding across Myanmar in August 2015.</w:t>
      </w:r>
      <w:r w:rsidR="007374D5">
        <w:rPr>
          <w:rFonts w:ascii="Calibri Light" w:hAnsi="Calibri Light"/>
        </w:rPr>
        <w:t xml:space="preserve"> Australia partnered with the Myanmar Government, UN agencies and non-government organisations to provide temporary shelter, safe drinking water, health care and basic supplies such as clothing, bedding and kitchen sets to affected communities following the floods.</w:t>
      </w:r>
      <w:r>
        <w:rPr>
          <w:rFonts w:ascii="Calibri Light" w:hAnsi="Calibri Light"/>
        </w:rPr>
        <w:t xml:space="preserve"> </w:t>
      </w:r>
    </w:p>
    <w:p w14:paraId="2CB9C41D" w14:textId="77777777" w:rsidR="004E4B1C" w:rsidRPr="005B5A1D" w:rsidRDefault="005B5A1D" w:rsidP="004E4B1C">
      <w:pPr>
        <w:rPr>
          <w:rFonts w:ascii="Calibri Light" w:hAnsi="Calibri Light"/>
        </w:rPr>
      </w:pPr>
      <w:r>
        <w:rPr>
          <w:rFonts w:ascii="Calibri Light" w:hAnsi="Calibri Light"/>
        </w:rPr>
        <w:t>O</w:t>
      </w:r>
      <w:r w:rsidR="004E4B1C">
        <w:rPr>
          <w:rFonts w:ascii="Calibri Light" w:hAnsi="Calibri Light"/>
        </w:rPr>
        <w:t>ver one million people</w:t>
      </w:r>
      <w:r>
        <w:rPr>
          <w:rFonts w:ascii="Calibri Light" w:hAnsi="Calibri Light"/>
        </w:rPr>
        <w:t xml:space="preserve"> remain</w:t>
      </w:r>
      <w:r w:rsidR="004E4B1C">
        <w:rPr>
          <w:rFonts w:ascii="Calibri Light" w:hAnsi="Calibri Light"/>
        </w:rPr>
        <w:t xml:space="preserve"> in need of </w:t>
      </w:r>
      <w:r>
        <w:rPr>
          <w:rFonts w:ascii="Calibri Light" w:hAnsi="Calibri Light"/>
        </w:rPr>
        <w:t xml:space="preserve">humanitarian assistance in 2016. </w:t>
      </w:r>
      <w:r w:rsidR="004E4B1C" w:rsidRPr="00836A2D">
        <w:rPr>
          <w:rFonts w:ascii="Calibri Light" w:hAnsi="Calibri Light"/>
          <w:lang w:val="en-US"/>
        </w:rPr>
        <w:t>Australia’s humanitarian funding</w:t>
      </w:r>
      <w:r w:rsidR="004E4B1C">
        <w:rPr>
          <w:rFonts w:ascii="Calibri Light" w:hAnsi="Calibri Light"/>
          <w:lang w:val="en-US"/>
        </w:rPr>
        <w:t xml:space="preserve"> provided</w:t>
      </w:r>
      <w:r w:rsidR="004E4B1C" w:rsidRPr="00836A2D">
        <w:rPr>
          <w:rFonts w:ascii="Calibri Light" w:hAnsi="Calibri Light"/>
          <w:lang w:val="en-US"/>
        </w:rPr>
        <w:t xml:space="preserve"> education and economic opportunities for affected communities in Myanmar and along the border with Thailand. </w:t>
      </w:r>
      <w:r w:rsidR="004E4B1C">
        <w:rPr>
          <w:rFonts w:ascii="Calibri Light" w:hAnsi="Calibri Light"/>
          <w:lang w:val="en-US"/>
        </w:rPr>
        <w:t>This included</w:t>
      </w:r>
      <w:r w:rsidR="004E4B1C" w:rsidRPr="00836A2D">
        <w:rPr>
          <w:rFonts w:ascii="Calibri Light" w:hAnsi="Calibri Light"/>
          <w:lang w:val="en-US"/>
        </w:rPr>
        <w:t xml:space="preserve"> preparing students</w:t>
      </w:r>
      <w:r>
        <w:rPr>
          <w:rFonts w:ascii="Calibri Light" w:hAnsi="Calibri Light"/>
          <w:lang w:val="en-US"/>
        </w:rPr>
        <w:t xml:space="preserve"> and teachers</w:t>
      </w:r>
      <w:r w:rsidR="004E4B1C" w:rsidRPr="00836A2D">
        <w:rPr>
          <w:rFonts w:ascii="Calibri Light" w:hAnsi="Calibri Light"/>
          <w:lang w:val="en-US"/>
        </w:rPr>
        <w:t xml:space="preserve"> in Thai-Myanmar border camps for a possible return to Myanmar, and providing training in financial literacy and small business development to help displaced people prepare for life </w:t>
      </w:r>
      <w:r w:rsidR="004E4B1C">
        <w:rPr>
          <w:rFonts w:ascii="Calibri Light" w:hAnsi="Calibri Light"/>
          <w:lang w:val="en-US"/>
        </w:rPr>
        <w:t>after a return to Myanmar</w:t>
      </w:r>
      <w:r w:rsidR="004E4B1C" w:rsidRPr="00836A2D">
        <w:rPr>
          <w:rFonts w:ascii="Calibri Light" w:hAnsi="Calibri Light"/>
          <w:lang w:val="en-US"/>
        </w:rPr>
        <w:t xml:space="preserve">. </w:t>
      </w:r>
    </w:p>
    <w:p w14:paraId="6DA545DA" w14:textId="77777777" w:rsidR="004E4B1C" w:rsidRPr="007F65A5" w:rsidRDefault="004E4B1C" w:rsidP="004E4B1C">
      <w:pPr>
        <w:rPr>
          <w:rFonts w:ascii="Calibri Light" w:hAnsi="Calibri Light"/>
        </w:rPr>
      </w:pPr>
      <w:r w:rsidRPr="00836A2D">
        <w:rPr>
          <w:rFonts w:ascii="Calibri Light" w:hAnsi="Calibri Light"/>
          <w:lang w:val="en-US"/>
        </w:rPr>
        <w:t>Australia also support</w:t>
      </w:r>
      <w:r>
        <w:rPr>
          <w:rFonts w:ascii="Calibri Light" w:hAnsi="Calibri Light"/>
          <w:lang w:val="en-US"/>
        </w:rPr>
        <w:t>ed</w:t>
      </w:r>
      <w:r w:rsidRPr="00836A2D">
        <w:rPr>
          <w:rFonts w:ascii="Calibri Light" w:hAnsi="Calibri Light"/>
          <w:lang w:val="en-US"/>
        </w:rPr>
        <w:t xml:space="preserve"> services that protect the safety and dignity of vulnerable people, particularly women</w:t>
      </w:r>
      <w:r>
        <w:rPr>
          <w:rFonts w:ascii="Calibri Light" w:hAnsi="Calibri Light"/>
          <w:lang w:val="en-US"/>
        </w:rPr>
        <w:t xml:space="preserve"> and girls. Our support provided</w:t>
      </w:r>
      <w:r w:rsidRPr="00836A2D">
        <w:rPr>
          <w:rFonts w:ascii="Calibri Light" w:hAnsi="Calibri Light"/>
          <w:lang w:val="en-US"/>
        </w:rPr>
        <w:t xml:space="preserve"> access to legal assistance for victims of gender-based violence and rehabilitation centres for mine survivors. Australia’s contribution help</w:t>
      </w:r>
      <w:r>
        <w:rPr>
          <w:rFonts w:ascii="Calibri Light" w:hAnsi="Calibri Light"/>
          <w:lang w:val="en-US"/>
        </w:rPr>
        <w:t>ed</w:t>
      </w:r>
      <w:r w:rsidRPr="00836A2D">
        <w:rPr>
          <w:rFonts w:ascii="Calibri Light" w:hAnsi="Calibri Light"/>
          <w:lang w:val="en-US"/>
        </w:rPr>
        <w:t xml:space="preserve"> build support for and adherence to</w:t>
      </w:r>
      <w:r>
        <w:rPr>
          <w:rFonts w:ascii="Calibri Light" w:hAnsi="Calibri Light"/>
          <w:lang w:val="en-US"/>
        </w:rPr>
        <w:t xml:space="preserve"> international humanitarian law and </w:t>
      </w:r>
      <w:r w:rsidRPr="00836A2D">
        <w:rPr>
          <w:rFonts w:ascii="Calibri Light" w:hAnsi="Calibri Light"/>
          <w:lang w:val="en-US"/>
        </w:rPr>
        <w:t>the principles of humanity, neutrality, impartiality and independence.</w:t>
      </w:r>
    </w:p>
    <w:p w14:paraId="7875BAAC" w14:textId="77777777" w:rsidR="005C3289" w:rsidRDefault="005C3289" w:rsidP="00857DAA">
      <w:pPr>
        <w:rPr>
          <w:rFonts w:ascii="Calibri Light" w:hAnsi="Calibri Light"/>
        </w:rPr>
      </w:pPr>
      <w:r>
        <w:rPr>
          <w:rFonts w:ascii="Calibri Light" w:hAnsi="Calibri Light"/>
        </w:rPr>
        <w:t>Australia supported UNICEF’s child protection program to address urgent protection and</w:t>
      </w:r>
      <w:r w:rsidR="005B5A1D">
        <w:rPr>
          <w:rFonts w:ascii="Calibri Light" w:hAnsi="Calibri Light"/>
        </w:rPr>
        <w:t xml:space="preserve"> psychosocial needs in conflict-</w:t>
      </w:r>
      <w:r>
        <w:rPr>
          <w:rFonts w:ascii="Calibri Light" w:hAnsi="Calibri Light"/>
        </w:rPr>
        <w:t>affected and displaced communities. Australian aid enabled UNICEF to provide social work case management services to 70,510 girls and boys</w:t>
      </w:r>
      <w:r w:rsidRPr="005C3289">
        <w:rPr>
          <w:rFonts w:ascii="Calibri Light" w:hAnsi="Calibri Light"/>
        </w:rPr>
        <w:t xml:space="preserve"> </w:t>
      </w:r>
      <w:r>
        <w:rPr>
          <w:rFonts w:ascii="Calibri Light" w:hAnsi="Calibri Light"/>
        </w:rPr>
        <w:t xml:space="preserve">in Kachin, Rakhine and northern Shan states. An additional 15,684 received psychosocial support. The program maintained a strong focus on disability. This included piloting a Victim Assistance Centre to improve the quality of life of landmine survivors by providing access to mobility devices and increasing social participation. In 2015, </w:t>
      </w:r>
      <w:r w:rsidR="00BA439B">
        <w:rPr>
          <w:rFonts w:ascii="Calibri Light" w:hAnsi="Calibri Light"/>
        </w:rPr>
        <w:t>UNICEF assisted 59 casualties, including 34 children.</w:t>
      </w:r>
    </w:p>
    <w:p w14:paraId="578749B3" w14:textId="77777777" w:rsidR="00BA439B" w:rsidRDefault="00BA439B" w:rsidP="00857DAA">
      <w:pPr>
        <w:rPr>
          <w:rFonts w:ascii="Calibri Light" w:hAnsi="Calibri Light"/>
        </w:rPr>
      </w:pPr>
      <w:r>
        <w:rPr>
          <w:rFonts w:ascii="Calibri Light" w:hAnsi="Calibri Light"/>
        </w:rPr>
        <w:t xml:space="preserve">Australia is developing a humanitarian strategy for Myanmar that is informed by analysis of the Myanmar context and includes </w:t>
      </w:r>
      <w:r w:rsidR="00CA6049">
        <w:rPr>
          <w:rFonts w:ascii="Calibri Light" w:hAnsi="Calibri Light"/>
        </w:rPr>
        <w:t xml:space="preserve">Australia’s global humanitarian, </w:t>
      </w:r>
      <w:r>
        <w:rPr>
          <w:rFonts w:ascii="Calibri Light" w:hAnsi="Calibri Light"/>
        </w:rPr>
        <w:t>early recovery</w:t>
      </w:r>
      <w:r w:rsidR="00CA6049">
        <w:rPr>
          <w:rFonts w:ascii="Calibri Light" w:hAnsi="Calibri Light"/>
        </w:rPr>
        <w:t>, and resilience</w:t>
      </w:r>
      <w:r>
        <w:rPr>
          <w:rFonts w:ascii="Calibri Light" w:hAnsi="Calibri Light"/>
        </w:rPr>
        <w:t xml:space="preserve"> priorities. </w:t>
      </w:r>
      <w:r w:rsidR="00CA6049">
        <w:rPr>
          <w:rFonts w:ascii="Calibri Light" w:hAnsi="Calibri Light"/>
        </w:rPr>
        <w:t xml:space="preserve">It is focused on moving to multi-year funding commitments with major partners. </w:t>
      </w:r>
      <w:r>
        <w:rPr>
          <w:rFonts w:ascii="Calibri Light" w:hAnsi="Calibri Light"/>
        </w:rPr>
        <w:t xml:space="preserve">While the strategy is under development, it was not finalised by end June 2016 as per the milestone in the performance assessment framework. </w:t>
      </w:r>
      <w:r w:rsidR="00745027">
        <w:rPr>
          <w:rFonts w:ascii="Calibri Light" w:hAnsi="Calibri Light"/>
        </w:rPr>
        <w:t>The</w:t>
      </w:r>
      <w:r w:rsidR="005B5A1D">
        <w:rPr>
          <w:rFonts w:ascii="Calibri Light" w:hAnsi="Calibri Light"/>
        </w:rPr>
        <w:t xml:space="preserve"> strategy</w:t>
      </w:r>
      <w:r w:rsidR="00745027">
        <w:rPr>
          <w:rFonts w:ascii="Calibri Light" w:hAnsi="Calibri Light"/>
        </w:rPr>
        <w:t xml:space="preserve"> will reflect Australia’s </w:t>
      </w:r>
      <w:r w:rsidR="005B5A1D">
        <w:rPr>
          <w:rFonts w:ascii="Calibri Light" w:hAnsi="Calibri Light"/>
        </w:rPr>
        <w:t>broader</w:t>
      </w:r>
      <w:r w:rsidR="00745027">
        <w:rPr>
          <w:rFonts w:ascii="Calibri Light" w:hAnsi="Calibri Light"/>
        </w:rPr>
        <w:t xml:space="preserve"> approach to protracted crises and </w:t>
      </w:r>
      <w:r>
        <w:rPr>
          <w:rFonts w:ascii="Calibri Light" w:hAnsi="Calibri Light"/>
        </w:rPr>
        <w:t>will now be completed by December 2016.</w:t>
      </w:r>
    </w:p>
    <w:p w14:paraId="7C23438C" w14:textId="77777777" w:rsidR="00857DAA" w:rsidRPr="00857DAA" w:rsidRDefault="00857DAA" w:rsidP="00857DAA">
      <w:pPr>
        <w:spacing w:before="240" w:after="240"/>
        <w:textAlignment w:val="top"/>
        <w:rPr>
          <w:rFonts w:ascii="Calibri Light" w:hAnsi="Calibri Light"/>
          <w:lang w:eastAsia="en-AU"/>
        </w:rPr>
      </w:pPr>
      <w:r w:rsidRPr="00857DAA">
        <w:rPr>
          <w:rFonts w:ascii="Calibri Light" w:hAnsi="Calibri Light"/>
        </w:rPr>
        <w:t>The situation in Rakhi</w:t>
      </w:r>
      <w:r w:rsidR="00F57499">
        <w:rPr>
          <w:rFonts w:ascii="Calibri Light" w:hAnsi="Calibri Light"/>
        </w:rPr>
        <w:t>ne State continued</w:t>
      </w:r>
      <w:r w:rsidRPr="00857DAA">
        <w:rPr>
          <w:rFonts w:ascii="Calibri Light" w:hAnsi="Calibri Light"/>
        </w:rPr>
        <w:t xml:space="preserve"> to cause concern amon</w:t>
      </w:r>
      <w:r w:rsidR="00F57499">
        <w:rPr>
          <w:rFonts w:ascii="Calibri Light" w:hAnsi="Calibri Light"/>
        </w:rPr>
        <w:t>g international observers. Following</w:t>
      </w:r>
      <w:r w:rsidRPr="00857DAA">
        <w:rPr>
          <w:rFonts w:ascii="Calibri Light" w:hAnsi="Calibri Light"/>
        </w:rPr>
        <w:t xml:space="preserve"> intercommunal vi</w:t>
      </w:r>
      <w:r w:rsidR="00F57499">
        <w:rPr>
          <w:rFonts w:ascii="Calibri Light" w:hAnsi="Calibri Light"/>
        </w:rPr>
        <w:t>olence in 2012, approximately 12</w:t>
      </w:r>
      <w:r w:rsidRPr="00857DAA">
        <w:rPr>
          <w:rFonts w:ascii="Calibri Light" w:hAnsi="Calibri Light"/>
        </w:rPr>
        <w:t xml:space="preserve">0,000 people (most of whom are Muslim) </w:t>
      </w:r>
      <w:r w:rsidR="00F57499">
        <w:rPr>
          <w:rFonts w:ascii="Calibri Light" w:hAnsi="Calibri Light"/>
        </w:rPr>
        <w:t>remain</w:t>
      </w:r>
      <w:r w:rsidRPr="00857DAA">
        <w:rPr>
          <w:rFonts w:ascii="Calibri Light" w:hAnsi="Calibri Light"/>
        </w:rPr>
        <w:t xml:space="preserve"> living in internally displaced persons camps. Rakhine State is one of the poorest in Myanmar, with an estimated 78 per cent of the population </w:t>
      </w:r>
      <w:r w:rsidR="00F57499">
        <w:rPr>
          <w:rFonts w:ascii="Calibri Light" w:hAnsi="Calibri Light"/>
        </w:rPr>
        <w:t>across all ethnic groups</w:t>
      </w:r>
      <w:r w:rsidRPr="00857DAA">
        <w:rPr>
          <w:rFonts w:ascii="Calibri Light" w:hAnsi="Calibri Light"/>
        </w:rPr>
        <w:t xml:space="preserve"> living in poverty.</w:t>
      </w:r>
      <w:r w:rsidR="005B5A1D">
        <w:rPr>
          <w:rFonts w:ascii="Calibri Light" w:hAnsi="Calibri Light"/>
          <w:lang w:eastAsia="en-AU"/>
        </w:rPr>
        <w:t xml:space="preserve"> </w:t>
      </w:r>
      <w:r w:rsidRPr="001F2CA4">
        <w:rPr>
          <w:rFonts w:ascii="Calibri Light" w:hAnsi="Calibri Light"/>
          <w:lang w:eastAsia="en-AU"/>
        </w:rPr>
        <w:t xml:space="preserve">In June </w:t>
      </w:r>
      <w:r w:rsidRPr="00857DAA">
        <w:rPr>
          <w:rFonts w:ascii="Calibri Light" w:hAnsi="Calibri Light"/>
          <w:lang w:eastAsia="en-AU"/>
        </w:rPr>
        <w:t>2016</w:t>
      </w:r>
      <w:r w:rsidR="005B5A1D">
        <w:rPr>
          <w:rFonts w:ascii="Calibri Light" w:hAnsi="Calibri Light"/>
          <w:lang w:eastAsia="en-AU"/>
        </w:rPr>
        <w:t>,</w:t>
      </w:r>
      <w:r w:rsidRPr="00857DAA">
        <w:rPr>
          <w:rFonts w:ascii="Calibri Light" w:hAnsi="Calibri Light"/>
          <w:lang w:eastAsia="en-AU"/>
        </w:rPr>
        <w:t xml:space="preserve"> </w:t>
      </w:r>
      <w:r w:rsidRPr="001F2CA4">
        <w:rPr>
          <w:rFonts w:ascii="Calibri Light" w:hAnsi="Calibri Light"/>
          <w:lang w:eastAsia="en-AU"/>
        </w:rPr>
        <w:t>the Myanmar Government announced a series of initiatives, institutions and processes designed to address Rakhine State’s many challenges</w:t>
      </w:r>
      <w:r w:rsidRPr="00857DAA">
        <w:rPr>
          <w:rFonts w:ascii="Calibri Light" w:hAnsi="Calibri Light"/>
          <w:lang w:eastAsia="en-AU"/>
        </w:rPr>
        <w:t>, including the situation of Muslims in Rakhine State</w:t>
      </w:r>
      <w:r w:rsidRPr="001F2CA4">
        <w:rPr>
          <w:rFonts w:ascii="Calibri Light" w:hAnsi="Calibri Light"/>
          <w:lang w:eastAsia="en-AU"/>
        </w:rPr>
        <w:t xml:space="preserve">. </w:t>
      </w:r>
      <w:r w:rsidR="00745027">
        <w:rPr>
          <w:rFonts w:ascii="Calibri Light" w:hAnsi="Calibri Light"/>
          <w:lang w:eastAsia="en-AU"/>
        </w:rPr>
        <w:t>T</w:t>
      </w:r>
      <w:r w:rsidRPr="001F2CA4">
        <w:rPr>
          <w:rFonts w:ascii="Calibri Light" w:hAnsi="Calibri Light"/>
          <w:lang w:eastAsia="en-AU"/>
        </w:rPr>
        <w:t>he internal political dynamics are complex and any durable solutions will require sustained effort by local actors.</w:t>
      </w:r>
    </w:p>
    <w:p w14:paraId="6FE344CC" w14:textId="77777777" w:rsidR="00857DAA" w:rsidRDefault="004E4B1C" w:rsidP="00857DAA">
      <w:pPr>
        <w:rPr>
          <w:rFonts w:ascii="Calibri Light" w:hAnsi="Calibri Light"/>
        </w:rPr>
      </w:pPr>
      <w:r>
        <w:rPr>
          <w:rFonts w:ascii="Calibri Light" w:hAnsi="Calibri Light"/>
        </w:rPr>
        <w:t>In 2015-16 w</w:t>
      </w:r>
      <w:r w:rsidR="00857DAA" w:rsidRPr="00370ABB">
        <w:rPr>
          <w:rFonts w:ascii="Calibri Light" w:hAnsi="Calibri Light"/>
        </w:rPr>
        <w:t>e made significant progress in integrating our humanitarian and development programs, particularly in Rakhine State. Australia drew on humanitarian funding to support early recovery and longer term resilience activities, while using development funding from education and livelihoods programs to support deve</w:t>
      </w:r>
      <w:r w:rsidR="005B5A1D">
        <w:rPr>
          <w:rFonts w:ascii="Calibri Light" w:hAnsi="Calibri Light"/>
        </w:rPr>
        <w:t>lopment activities for conflict-</w:t>
      </w:r>
      <w:r w:rsidR="00857DAA" w:rsidRPr="00370ABB">
        <w:rPr>
          <w:rFonts w:ascii="Calibri Light" w:hAnsi="Calibri Light"/>
        </w:rPr>
        <w:t xml:space="preserve">affected and displaced communities. </w:t>
      </w:r>
      <w:r w:rsidR="00857DAA">
        <w:rPr>
          <w:rFonts w:ascii="Calibri Light" w:hAnsi="Calibri Light"/>
        </w:rPr>
        <w:t>One practical example of this was a joint education and humanitarian mission to Rakhine State in June 2016, which explore</w:t>
      </w:r>
      <w:r w:rsidR="005B5A1D">
        <w:rPr>
          <w:rFonts w:ascii="Calibri Light" w:hAnsi="Calibri Light"/>
        </w:rPr>
        <w:t>d</w:t>
      </w:r>
      <w:r w:rsidR="00857DAA">
        <w:rPr>
          <w:rFonts w:ascii="Calibri Light" w:hAnsi="Calibri Light"/>
        </w:rPr>
        <w:t xml:space="preserve"> opportunities for further integration of humanitarian and development programming.</w:t>
      </w:r>
    </w:p>
    <w:p w14:paraId="7CD33886" w14:textId="77777777" w:rsidR="00857DAA" w:rsidRDefault="00857DAA" w:rsidP="00857DAA">
      <w:pPr>
        <w:rPr>
          <w:rFonts w:ascii="Calibri Light" w:hAnsi="Calibri Light"/>
        </w:rPr>
      </w:pPr>
      <w:r w:rsidRPr="00800C57">
        <w:rPr>
          <w:rFonts w:ascii="Calibri Light" w:hAnsi="Calibri Light"/>
        </w:rPr>
        <w:t xml:space="preserve">The Livelihoods and Food Security Trust Fund (LIFT) provided assistance to those affected by Cyclone Komen in 2015. LIFT cancelled loans or entered into new repayment plans for people who were affected by the </w:t>
      </w:r>
      <w:r w:rsidRPr="00800C57">
        <w:rPr>
          <w:rFonts w:ascii="Calibri Light" w:hAnsi="Calibri Light"/>
        </w:rPr>
        <w:lastRenderedPageBreak/>
        <w:t xml:space="preserve">cyclone after accessing concessional finance. This </w:t>
      </w:r>
      <w:r w:rsidR="005B5A1D">
        <w:rPr>
          <w:rFonts w:ascii="Calibri Light" w:hAnsi="Calibri Light"/>
        </w:rPr>
        <w:t>helped</w:t>
      </w:r>
      <w:r>
        <w:rPr>
          <w:rFonts w:ascii="Calibri Light" w:hAnsi="Calibri Light"/>
        </w:rPr>
        <w:t xml:space="preserve"> affected people</w:t>
      </w:r>
      <w:r w:rsidRPr="00800C57">
        <w:rPr>
          <w:rFonts w:ascii="Calibri Light" w:hAnsi="Calibri Light"/>
        </w:rPr>
        <w:t xml:space="preserve"> </w:t>
      </w:r>
      <w:r w:rsidR="005B5A1D">
        <w:rPr>
          <w:rFonts w:ascii="Calibri Light" w:hAnsi="Calibri Light"/>
        </w:rPr>
        <w:t>to avoid becoming</w:t>
      </w:r>
      <w:r w:rsidRPr="00800C57">
        <w:rPr>
          <w:rFonts w:ascii="Calibri Light" w:hAnsi="Calibri Light"/>
        </w:rPr>
        <w:t xml:space="preserve"> overwhelmed by debt following the cyclone.</w:t>
      </w:r>
    </w:p>
    <w:p w14:paraId="4E2C549B" w14:textId="77777777" w:rsidR="00857DAA" w:rsidRDefault="00857DAA" w:rsidP="00857DAA">
      <w:pPr>
        <w:rPr>
          <w:rFonts w:ascii="Calibri Light" w:hAnsi="Calibri Light"/>
        </w:rPr>
      </w:pPr>
      <w:r>
        <w:rPr>
          <w:rFonts w:ascii="Calibri Light" w:hAnsi="Calibri Light"/>
        </w:rPr>
        <w:t>Australia has continued to support activities that bring together humanitarian, development and peacebuilding activities. For example, through CARE Australia’s development program in northern Rakhine State, Australia has supported regular engagement between Muslim communities, ethnic Rakhine communities and the Rakhine State Government relating to community forestry training. This eng</w:t>
      </w:r>
      <w:r w:rsidR="009D3917">
        <w:rPr>
          <w:rFonts w:ascii="Calibri Light" w:hAnsi="Calibri Light"/>
        </w:rPr>
        <w:t>agement with government is rare</w:t>
      </w:r>
      <w:r>
        <w:rPr>
          <w:rFonts w:ascii="Calibri Light" w:hAnsi="Calibri Light"/>
        </w:rPr>
        <w:t xml:space="preserve"> and has helped build trust between the groups. Such an approach has the potential to improve peace prospects and development opportunities and reduce humanitarian needs over time.</w:t>
      </w:r>
    </w:p>
    <w:p w14:paraId="15B695C1" w14:textId="77777777" w:rsidR="00857DAA" w:rsidRDefault="00857DAA" w:rsidP="00857DAA">
      <w:pPr>
        <w:rPr>
          <w:rFonts w:ascii="Calibri Light" w:hAnsi="Calibri Light"/>
        </w:rPr>
      </w:pPr>
      <w:r>
        <w:rPr>
          <w:rFonts w:ascii="Calibri Light" w:hAnsi="Calibri Light"/>
        </w:rPr>
        <w:t xml:space="preserve">In 2016-17, the aid program will </w:t>
      </w:r>
      <w:r w:rsidR="009D3917">
        <w:rPr>
          <w:rFonts w:ascii="Calibri Light" w:hAnsi="Calibri Light"/>
        </w:rPr>
        <w:t>continue</w:t>
      </w:r>
      <w:r>
        <w:rPr>
          <w:rFonts w:ascii="Calibri Light" w:hAnsi="Calibri Light"/>
        </w:rPr>
        <w:t xml:space="preserve"> to </w:t>
      </w:r>
      <w:r w:rsidR="005B5A1D">
        <w:rPr>
          <w:rFonts w:ascii="Calibri Light" w:hAnsi="Calibri Light"/>
        </w:rPr>
        <w:t>consolidate partners and activities</w:t>
      </w:r>
      <w:r w:rsidRPr="00225430">
        <w:rPr>
          <w:rFonts w:ascii="Calibri Light" w:hAnsi="Calibri Light"/>
        </w:rPr>
        <w:t xml:space="preserve"> </w:t>
      </w:r>
      <w:r>
        <w:rPr>
          <w:rFonts w:ascii="Calibri Light" w:hAnsi="Calibri Light"/>
        </w:rPr>
        <w:t>where it makes sense to do so</w:t>
      </w:r>
      <w:r w:rsidRPr="00225430">
        <w:rPr>
          <w:rFonts w:ascii="Calibri Light" w:hAnsi="Calibri Light"/>
        </w:rPr>
        <w:t>.</w:t>
      </w:r>
      <w:r>
        <w:rPr>
          <w:rFonts w:ascii="Calibri Light" w:hAnsi="Calibri Light"/>
        </w:rPr>
        <w:t xml:space="preserve"> We made </w:t>
      </w:r>
      <w:r w:rsidRPr="00225430">
        <w:rPr>
          <w:rFonts w:ascii="Calibri Light" w:hAnsi="Calibri Light"/>
        </w:rPr>
        <w:t xml:space="preserve">good progress </w:t>
      </w:r>
      <w:r>
        <w:rPr>
          <w:rFonts w:ascii="Calibri Light" w:hAnsi="Calibri Light"/>
        </w:rPr>
        <w:t xml:space="preserve">in the peace portfolio, </w:t>
      </w:r>
      <w:r w:rsidRPr="00225430">
        <w:rPr>
          <w:rFonts w:ascii="Calibri Light" w:hAnsi="Calibri Light"/>
        </w:rPr>
        <w:t xml:space="preserve">but need </w:t>
      </w:r>
      <w:r w:rsidR="009D3917">
        <w:rPr>
          <w:rFonts w:ascii="Calibri Light" w:hAnsi="Calibri Light"/>
        </w:rPr>
        <w:t>ongoing</w:t>
      </w:r>
      <w:r w:rsidRPr="00225430">
        <w:rPr>
          <w:rFonts w:ascii="Calibri Light" w:hAnsi="Calibri Light"/>
        </w:rPr>
        <w:t xml:space="preserve"> attention in </w:t>
      </w:r>
      <w:r>
        <w:rPr>
          <w:rFonts w:ascii="Calibri Light" w:hAnsi="Calibri Light"/>
        </w:rPr>
        <w:t xml:space="preserve">the </w:t>
      </w:r>
      <w:r w:rsidRPr="00225430">
        <w:rPr>
          <w:rFonts w:ascii="Calibri Light" w:hAnsi="Calibri Light"/>
        </w:rPr>
        <w:t>humanitarian</w:t>
      </w:r>
      <w:r w:rsidR="00EE5238">
        <w:rPr>
          <w:rFonts w:ascii="Calibri Light" w:hAnsi="Calibri Light"/>
        </w:rPr>
        <w:t xml:space="preserve"> portfolio.</w:t>
      </w:r>
      <w:r w:rsidRPr="00225430">
        <w:rPr>
          <w:rFonts w:ascii="Calibri Light" w:hAnsi="Calibri Light"/>
        </w:rPr>
        <w:t xml:space="preserve"> Further, given </w:t>
      </w:r>
      <w:r>
        <w:rPr>
          <w:rFonts w:ascii="Calibri Light" w:hAnsi="Calibri Light"/>
        </w:rPr>
        <w:t xml:space="preserve">the </w:t>
      </w:r>
      <w:r w:rsidRPr="00225430">
        <w:rPr>
          <w:rFonts w:ascii="Calibri Light" w:hAnsi="Calibri Light"/>
        </w:rPr>
        <w:t xml:space="preserve">tight fiscal environment the program will seek to avoid </w:t>
      </w:r>
      <w:r w:rsidR="005B5A1D">
        <w:rPr>
          <w:rFonts w:ascii="Calibri Light" w:hAnsi="Calibri Light"/>
        </w:rPr>
        <w:t xml:space="preserve">a </w:t>
      </w:r>
      <w:r w:rsidRPr="00225430">
        <w:rPr>
          <w:rFonts w:ascii="Calibri Light" w:hAnsi="Calibri Light"/>
        </w:rPr>
        <w:t xml:space="preserve">proliferation </w:t>
      </w:r>
      <w:r w:rsidR="005B5A1D">
        <w:rPr>
          <w:rFonts w:ascii="Calibri Light" w:hAnsi="Calibri Light"/>
        </w:rPr>
        <w:t xml:space="preserve">of activities </w:t>
      </w:r>
      <w:r w:rsidRPr="00225430">
        <w:rPr>
          <w:rFonts w:ascii="Calibri Light" w:hAnsi="Calibri Light"/>
        </w:rPr>
        <w:t>while maintaining some responsive capability.</w:t>
      </w:r>
    </w:p>
    <w:p w14:paraId="189BBF9E" w14:textId="77777777" w:rsidR="00857DAA" w:rsidRPr="00225430" w:rsidRDefault="00857DAA" w:rsidP="00857DAA">
      <w:pPr>
        <w:rPr>
          <w:rFonts w:ascii="Calibri Light" w:hAnsi="Calibri Light"/>
        </w:rPr>
      </w:pPr>
      <w:r>
        <w:rPr>
          <w:rFonts w:ascii="Calibri Light" w:hAnsi="Calibri Light"/>
        </w:rPr>
        <w:t>Australia will increase development assistance to Rakhine State through</w:t>
      </w:r>
      <w:r w:rsidR="00745027">
        <w:rPr>
          <w:rFonts w:ascii="Calibri Light" w:hAnsi="Calibri Light"/>
        </w:rPr>
        <w:t xml:space="preserve"> the reallocation of resources within</w:t>
      </w:r>
      <w:r>
        <w:rPr>
          <w:rFonts w:ascii="Calibri Light" w:hAnsi="Calibri Light"/>
        </w:rPr>
        <w:t xml:space="preserve"> our existing investments. </w:t>
      </w:r>
      <w:r w:rsidR="00745027">
        <w:rPr>
          <w:rFonts w:ascii="Calibri Light" w:hAnsi="Calibri Light"/>
        </w:rPr>
        <w:t xml:space="preserve">Programs </w:t>
      </w:r>
      <w:r>
        <w:rPr>
          <w:rFonts w:ascii="Calibri Light" w:hAnsi="Calibri Light"/>
        </w:rPr>
        <w:t xml:space="preserve">in Rakhine </w:t>
      </w:r>
      <w:r w:rsidR="00745027">
        <w:rPr>
          <w:rFonts w:ascii="Calibri Light" w:hAnsi="Calibri Light"/>
        </w:rPr>
        <w:t xml:space="preserve">will </w:t>
      </w:r>
      <w:r>
        <w:rPr>
          <w:rFonts w:ascii="Calibri Light" w:hAnsi="Calibri Light"/>
        </w:rPr>
        <w:t>adopt conflict sensitive approaches</w:t>
      </w:r>
      <w:r w:rsidR="00745027">
        <w:rPr>
          <w:rFonts w:ascii="Calibri Light" w:hAnsi="Calibri Light"/>
        </w:rPr>
        <w:t xml:space="preserve"> and ensure that aid is directed to areas of significant need</w:t>
      </w:r>
      <w:r>
        <w:rPr>
          <w:rFonts w:ascii="Calibri Light" w:hAnsi="Calibri Light"/>
        </w:rPr>
        <w:t xml:space="preserve">. The </w:t>
      </w:r>
      <w:r w:rsidR="005B5A1D">
        <w:rPr>
          <w:rFonts w:ascii="Calibri Light" w:hAnsi="Calibri Light"/>
        </w:rPr>
        <w:t xml:space="preserve">extension of the </w:t>
      </w:r>
      <w:r>
        <w:rPr>
          <w:rFonts w:ascii="Calibri Light" w:hAnsi="Calibri Light"/>
        </w:rPr>
        <w:t>Decentralising Funding to Schools Project</w:t>
      </w:r>
      <w:r w:rsidR="00F36885">
        <w:rPr>
          <w:rFonts w:ascii="Calibri Light" w:hAnsi="Calibri Light"/>
        </w:rPr>
        <w:t>’s stipends program</w:t>
      </w:r>
      <w:r>
        <w:rPr>
          <w:rFonts w:ascii="Calibri Light" w:hAnsi="Calibri Light"/>
        </w:rPr>
        <w:t xml:space="preserve"> to Rakhine State</w:t>
      </w:r>
      <w:r w:rsidR="00F36885">
        <w:rPr>
          <w:rFonts w:ascii="Calibri Light" w:hAnsi="Calibri Light"/>
        </w:rPr>
        <w:t xml:space="preserve"> will</w:t>
      </w:r>
      <w:r>
        <w:rPr>
          <w:rFonts w:ascii="Calibri Light" w:hAnsi="Calibri Light"/>
        </w:rPr>
        <w:t xml:space="preserve"> provide practical assistance to disadvantage</w:t>
      </w:r>
      <w:r w:rsidR="00C769A0">
        <w:rPr>
          <w:rFonts w:ascii="Calibri Light" w:hAnsi="Calibri Light"/>
        </w:rPr>
        <w:t xml:space="preserve">d students and their families. </w:t>
      </w:r>
    </w:p>
    <w:p w14:paraId="2A12D436" w14:textId="77777777" w:rsidR="00D028F8" w:rsidRPr="002A51CA" w:rsidRDefault="00D028F8" w:rsidP="00D028F8">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Objective 3: Promote inclusive economic growth and government management</w:t>
      </w:r>
    </w:p>
    <w:p w14:paraId="2F63DDDB" w14:textId="77777777" w:rsidR="00974EF5" w:rsidRDefault="00974EF5" w:rsidP="00700D14">
      <w:pPr>
        <w:rPr>
          <w:rFonts w:ascii="Calibri Light" w:hAnsi="Calibri Light"/>
        </w:rPr>
      </w:pPr>
      <w:r>
        <w:rPr>
          <w:rFonts w:ascii="Calibri Light" w:hAnsi="Calibri Light"/>
        </w:rPr>
        <w:t>Progress towards this objective is rated green. The various investments under this pillar are performing well,</w:t>
      </w:r>
      <w:r w:rsidR="00354BFE">
        <w:rPr>
          <w:rFonts w:ascii="Calibri Light" w:hAnsi="Calibri Light"/>
        </w:rPr>
        <w:t xml:space="preserve"> with</w:t>
      </w:r>
      <w:r w:rsidR="00677120">
        <w:rPr>
          <w:rFonts w:ascii="Calibri Light" w:hAnsi="Calibri Light"/>
        </w:rPr>
        <w:t xml:space="preserve"> </w:t>
      </w:r>
      <w:r w:rsidR="00354BFE">
        <w:rPr>
          <w:rFonts w:ascii="Calibri Light" w:hAnsi="Calibri Light"/>
        </w:rPr>
        <w:t>three</w:t>
      </w:r>
      <w:r w:rsidR="00677120">
        <w:rPr>
          <w:rFonts w:ascii="Calibri Light" w:hAnsi="Calibri Light"/>
        </w:rPr>
        <w:t xml:space="preserve"> </w:t>
      </w:r>
      <w:r w:rsidR="008A5640">
        <w:rPr>
          <w:rFonts w:ascii="Calibri Light" w:hAnsi="Calibri Light"/>
        </w:rPr>
        <w:t>perfo</w:t>
      </w:r>
      <w:r w:rsidR="00354BFE">
        <w:rPr>
          <w:rFonts w:ascii="Calibri Light" w:hAnsi="Calibri Light"/>
        </w:rPr>
        <w:t>rmance milestones achieved and one partly achieved</w:t>
      </w:r>
      <w:r w:rsidR="008A5640">
        <w:rPr>
          <w:rFonts w:ascii="Calibri Light" w:hAnsi="Calibri Light"/>
        </w:rPr>
        <w:t>. T</w:t>
      </w:r>
      <w:r w:rsidR="00677120">
        <w:rPr>
          <w:rFonts w:ascii="Calibri Light" w:hAnsi="Calibri Light"/>
        </w:rPr>
        <w:t xml:space="preserve">he </w:t>
      </w:r>
      <w:r w:rsidR="00354BFE">
        <w:rPr>
          <w:rFonts w:ascii="Calibri Light" w:hAnsi="Calibri Light"/>
        </w:rPr>
        <w:t>partial achievement of</w:t>
      </w:r>
      <w:r>
        <w:rPr>
          <w:rFonts w:ascii="Calibri Light" w:hAnsi="Calibri Light"/>
        </w:rPr>
        <w:t xml:space="preserve"> </w:t>
      </w:r>
      <w:r w:rsidR="00AB05F4">
        <w:rPr>
          <w:rFonts w:ascii="Calibri Light" w:hAnsi="Calibri Light"/>
        </w:rPr>
        <w:t>t</w:t>
      </w:r>
      <w:r w:rsidR="00677120">
        <w:rPr>
          <w:rFonts w:ascii="Calibri Light" w:hAnsi="Calibri Light"/>
        </w:rPr>
        <w:t>he</w:t>
      </w:r>
      <w:r w:rsidR="00AB05F4">
        <w:rPr>
          <w:rFonts w:ascii="Calibri Light" w:hAnsi="Calibri Light"/>
        </w:rPr>
        <w:t xml:space="preserve"> </w:t>
      </w:r>
      <w:r w:rsidR="00677120">
        <w:rPr>
          <w:rFonts w:ascii="Calibri Light" w:hAnsi="Calibri Light"/>
        </w:rPr>
        <w:t>milestone</w:t>
      </w:r>
      <w:r w:rsidR="00354BFE">
        <w:rPr>
          <w:rFonts w:ascii="Calibri Light" w:hAnsi="Calibri Light"/>
        </w:rPr>
        <w:t xml:space="preserve"> relating</w:t>
      </w:r>
      <w:r w:rsidR="00677120">
        <w:rPr>
          <w:rFonts w:ascii="Calibri Light" w:hAnsi="Calibri Light"/>
        </w:rPr>
        <w:t xml:space="preserve"> to</w:t>
      </w:r>
      <w:r w:rsidR="008A5640">
        <w:rPr>
          <w:rFonts w:ascii="Calibri Light" w:hAnsi="Calibri Light"/>
        </w:rPr>
        <w:t xml:space="preserve"> Myanmar’s investment procedures</w:t>
      </w:r>
      <w:r w:rsidR="00677120">
        <w:rPr>
          <w:rFonts w:ascii="Calibri Light" w:hAnsi="Calibri Light"/>
        </w:rPr>
        <w:t xml:space="preserve"> is</w:t>
      </w:r>
      <w:r>
        <w:rPr>
          <w:rFonts w:ascii="Calibri Light" w:hAnsi="Calibri Light"/>
        </w:rPr>
        <w:t xml:space="preserve"> the result of the extended political tr</w:t>
      </w:r>
      <w:r w:rsidR="008A5640">
        <w:rPr>
          <w:rFonts w:ascii="Calibri Light" w:hAnsi="Calibri Light"/>
        </w:rPr>
        <w:t>ansition i</w:t>
      </w:r>
      <w:r w:rsidR="000E319F">
        <w:rPr>
          <w:rFonts w:ascii="Calibri Light" w:hAnsi="Calibri Light"/>
        </w:rPr>
        <w:t>n Myanmar</w:t>
      </w:r>
      <w:r w:rsidR="00354BFE">
        <w:rPr>
          <w:rFonts w:ascii="Calibri Light" w:hAnsi="Calibri Light"/>
        </w:rPr>
        <w:t xml:space="preserve"> and associated delays in the passage of legislation. That is, </w:t>
      </w:r>
      <w:r w:rsidR="00354BFE">
        <w:t>i</w:t>
      </w:r>
      <w:r w:rsidR="00354BFE" w:rsidRPr="00D97643">
        <w:t xml:space="preserve">nvestment procedures </w:t>
      </w:r>
      <w:r w:rsidR="00354BFE">
        <w:t xml:space="preserve">have been clarified through consultation with business and civil society to date, and </w:t>
      </w:r>
      <w:r w:rsidR="00354BFE" w:rsidRPr="00D97643">
        <w:t>will be</w:t>
      </w:r>
      <w:r w:rsidR="00354BFE">
        <w:t xml:space="preserve"> further </w:t>
      </w:r>
      <w:r w:rsidR="000C7357">
        <w:t>clarified once the Investment L</w:t>
      </w:r>
      <w:r w:rsidR="00354BFE">
        <w:t>aw and implementing regulations are passed</w:t>
      </w:r>
      <w:r w:rsidR="00A72F1F">
        <w:t xml:space="preserve"> by P</w:t>
      </w:r>
      <w:r w:rsidR="00354BFE">
        <w:t xml:space="preserve">arliament. </w:t>
      </w:r>
      <w:r w:rsidR="00354BFE">
        <w:rPr>
          <w:rFonts w:ascii="Calibri Light" w:hAnsi="Calibri Light"/>
        </w:rPr>
        <w:t>In light of this, we assess that no restorative action is required and a green rating is appropriate.</w:t>
      </w:r>
      <w:r w:rsidR="00354BFE" w:rsidRPr="00D97643">
        <w:t xml:space="preserve"> </w:t>
      </w:r>
    </w:p>
    <w:p w14:paraId="2542E3EA" w14:textId="77777777" w:rsidR="00FF44ED" w:rsidRDefault="00700D14" w:rsidP="00700D14">
      <w:pPr>
        <w:rPr>
          <w:rFonts w:ascii="Calibri Light" w:hAnsi="Calibri Light"/>
        </w:rPr>
      </w:pPr>
      <w:r>
        <w:rPr>
          <w:rFonts w:ascii="Calibri Light" w:hAnsi="Calibri Light"/>
        </w:rPr>
        <w:t xml:space="preserve">The </w:t>
      </w:r>
      <w:r w:rsidR="003E7B25">
        <w:rPr>
          <w:rFonts w:ascii="Calibri Light" w:hAnsi="Calibri Light"/>
        </w:rPr>
        <w:t>new</w:t>
      </w:r>
      <w:r>
        <w:rPr>
          <w:rFonts w:ascii="Calibri Light" w:hAnsi="Calibri Light"/>
        </w:rPr>
        <w:t xml:space="preserve"> government </w:t>
      </w:r>
      <w:r w:rsidR="003E7B25">
        <w:rPr>
          <w:rFonts w:ascii="Calibri Light" w:hAnsi="Calibri Light"/>
        </w:rPr>
        <w:t xml:space="preserve">launched </w:t>
      </w:r>
      <w:r>
        <w:rPr>
          <w:rFonts w:ascii="Calibri Light" w:hAnsi="Calibri Light"/>
        </w:rPr>
        <w:t>i</w:t>
      </w:r>
      <w:r w:rsidR="003E7B25">
        <w:rPr>
          <w:rFonts w:ascii="Calibri Light" w:hAnsi="Calibri Light"/>
        </w:rPr>
        <w:t xml:space="preserve">ts economic policy in July 2016, identifying 12 priorities for its term.  </w:t>
      </w:r>
      <w:r w:rsidR="00FF44ED" w:rsidRPr="00B01180">
        <w:rPr>
          <w:rFonts w:ascii="Calibri Light" w:hAnsi="Calibri Light"/>
        </w:rPr>
        <w:t xml:space="preserve">Australia’s investments </w:t>
      </w:r>
      <w:r w:rsidR="00FF44ED">
        <w:rPr>
          <w:rFonts w:ascii="Calibri Light" w:hAnsi="Calibri Light"/>
        </w:rPr>
        <w:t xml:space="preserve">support </w:t>
      </w:r>
      <w:r w:rsidR="003E7B25">
        <w:rPr>
          <w:rFonts w:ascii="Calibri Light" w:hAnsi="Calibri Light"/>
        </w:rPr>
        <w:t>four of these government priorities: increased transparency in public financial management; promoting growth in agriculture; encouraging private sector-led growth by easing business regulation; and</w:t>
      </w:r>
      <w:r w:rsidR="00906C5C">
        <w:rPr>
          <w:rFonts w:ascii="Calibri Light" w:hAnsi="Calibri Light"/>
        </w:rPr>
        <w:t xml:space="preserve"> reforming the tax system.</w:t>
      </w:r>
      <w:r w:rsidR="00FF44ED">
        <w:rPr>
          <w:rFonts w:ascii="Calibri Light" w:hAnsi="Calibri Light"/>
        </w:rPr>
        <w:t xml:space="preserve"> In 2015-16, we focused</w:t>
      </w:r>
      <w:r w:rsidR="00FF44ED" w:rsidRPr="00B01180">
        <w:rPr>
          <w:rFonts w:ascii="Calibri Light" w:hAnsi="Calibri Light"/>
        </w:rPr>
        <w:t xml:space="preserve"> on enabling private sector led growth by contributing to an effective and responsible bus</w:t>
      </w:r>
      <w:r w:rsidR="00FF44ED">
        <w:rPr>
          <w:rFonts w:ascii="Calibri Light" w:hAnsi="Calibri Light"/>
        </w:rPr>
        <w:t>iness environment. This involved</w:t>
      </w:r>
      <w:r w:rsidR="00FF44ED" w:rsidRPr="00B01180">
        <w:rPr>
          <w:rFonts w:ascii="Calibri Light" w:hAnsi="Calibri Light"/>
        </w:rPr>
        <w:t xml:space="preserve"> support for macro-level legislative and regulatory reforms and dialogue with the business community, as well as</w:t>
      </w:r>
      <w:r w:rsidR="00FF44ED">
        <w:rPr>
          <w:rFonts w:ascii="Calibri Light" w:hAnsi="Calibri Light"/>
        </w:rPr>
        <w:t xml:space="preserve"> facilitating the development of market chains and improving access to finance for rural businesses.  </w:t>
      </w:r>
    </w:p>
    <w:p w14:paraId="122E5B2E" w14:textId="77777777" w:rsidR="00FF44ED" w:rsidRPr="00FF44ED" w:rsidRDefault="00FF44ED" w:rsidP="00700D14">
      <w:pPr>
        <w:rPr>
          <w:rFonts w:ascii="Calibri Light" w:hAnsi="Calibri Light"/>
          <w:b/>
        </w:rPr>
      </w:pPr>
      <w:r w:rsidRPr="00FF44ED">
        <w:rPr>
          <w:rFonts w:ascii="Calibri Light" w:hAnsi="Calibri Light"/>
          <w:b/>
        </w:rPr>
        <w:t>Private sector development</w:t>
      </w:r>
    </w:p>
    <w:p w14:paraId="176CBF04" w14:textId="77777777" w:rsidR="00700D14" w:rsidRDefault="00255FEF" w:rsidP="00700D14">
      <w:pPr>
        <w:rPr>
          <w:rFonts w:ascii="Calibri Light" w:hAnsi="Calibri Light"/>
        </w:rPr>
      </w:pPr>
      <w:r>
        <w:rPr>
          <w:rFonts w:ascii="Calibri Light" w:hAnsi="Calibri Light"/>
        </w:rPr>
        <w:t xml:space="preserve">Myanmar’s </w:t>
      </w:r>
      <w:r w:rsidR="00F36885">
        <w:rPr>
          <w:rFonts w:ascii="Calibri Light" w:hAnsi="Calibri Light"/>
        </w:rPr>
        <w:t xml:space="preserve">formal </w:t>
      </w:r>
      <w:r>
        <w:rPr>
          <w:rFonts w:ascii="Calibri Light" w:hAnsi="Calibri Light"/>
        </w:rPr>
        <w:t>m</w:t>
      </w:r>
      <w:r w:rsidR="00F36885">
        <w:rPr>
          <w:rFonts w:ascii="Calibri Light" w:hAnsi="Calibri Light"/>
        </w:rPr>
        <w:t>arkets are modest in scale</w:t>
      </w:r>
      <w:r w:rsidR="00700D14" w:rsidRPr="00B01180">
        <w:rPr>
          <w:rFonts w:ascii="Calibri Light" w:hAnsi="Calibri Light"/>
        </w:rPr>
        <w:t xml:space="preserve">, rural areas </w:t>
      </w:r>
      <w:r w:rsidR="00700D14">
        <w:rPr>
          <w:rFonts w:ascii="Calibri Light" w:hAnsi="Calibri Light"/>
        </w:rPr>
        <w:t xml:space="preserve">lack access to capital, </w:t>
      </w:r>
      <w:r w:rsidR="00700D14" w:rsidRPr="00B01180">
        <w:rPr>
          <w:rFonts w:ascii="Calibri Light" w:hAnsi="Calibri Light"/>
        </w:rPr>
        <w:t xml:space="preserve">and the </w:t>
      </w:r>
      <w:r w:rsidR="00331724">
        <w:rPr>
          <w:rFonts w:ascii="Calibri Light" w:hAnsi="Calibri Light"/>
        </w:rPr>
        <w:t>small and medium enterprise sector</w:t>
      </w:r>
      <w:r w:rsidR="00700D14" w:rsidRPr="00B01180">
        <w:rPr>
          <w:rFonts w:ascii="Calibri Light" w:hAnsi="Calibri Light"/>
        </w:rPr>
        <w:t xml:space="preserve"> is </w:t>
      </w:r>
      <w:r w:rsidR="00331724">
        <w:rPr>
          <w:rFonts w:ascii="Calibri Light" w:hAnsi="Calibri Light"/>
        </w:rPr>
        <w:t>underdeveloped</w:t>
      </w:r>
      <w:r>
        <w:rPr>
          <w:rFonts w:ascii="Calibri Light" w:hAnsi="Calibri Light"/>
        </w:rPr>
        <w:t xml:space="preserve">. In 2016, Myanmar </w:t>
      </w:r>
      <w:r w:rsidR="00F36885">
        <w:rPr>
          <w:rFonts w:ascii="Calibri Light" w:hAnsi="Calibri Light"/>
        </w:rPr>
        <w:t xml:space="preserve">is </w:t>
      </w:r>
      <w:r>
        <w:rPr>
          <w:rFonts w:ascii="Calibri Light" w:hAnsi="Calibri Light"/>
        </w:rPr>
        <w:t>ranked 167</w:t>
      </w:r>
      <w:r w:rsidR="00700D14" w:rsidRPr="00B01180">
        <w:rPr>
          <w:rFonts w:ascii="Calibri Light" w:hAnsi="Calibri Light"/>
        </w:rPr>
        <w:t xml:space="preserve"> out of 189 countries in</w:t>
      </w:r>
      <w:r>
        <w:rPr>
          <w:rFonts w:ascii="Calibri Light" w:hAnsi="Calibri Light"/>
        </w:rPr>
        <w:t xml:space="preserve"> the World Bank’</w:t>
      </w:r>
      <w:r w:rsidR="00331724">
        <w:rPr>
          <w:rFonts w:ascii="Calibri Light" w:hAnsi="Calibri Light"/>
        </w:rPr>
        <w:t xml:space="preserve">s Doing Business assessment. </w:t>
      </w:r>
      <w:r>
        <w:rPr>
          <w:rFonts w:ascii="Calibri Light" w:hAnsi="Calibri Light"/>
        </w:rPr>
        <w:t xml:space="preserve">However, Myanmar is a leading reformer in the ease of starting a business, jumping from 189 in 2015 to 160 in 2016. </w:t>
      </w:r>
      <w:r w:rsidR="00700D14" w:rsidRPr="00B01180">
        <w:rPr>
          <w:rFonts w:ascii="Calibri Light" w:hAnsi="Calibri Light"/>
        </w:rPr>
        <w:t>If</w:t>
      </w:r>
      <w:r w:rsidR="00331724">
        <w:rPr>
          <w:rFonts w:ascii="Calibri Light" w:hAnsi="Calibri Light"/>
        </w:rPr>
        <w:t xml:space="preserve"> constraints around</w:t>
      </w:r>
      <w:r w:rsidR="00331724" w:rsidRPr="00331724">
        <w:rPr>
          <w:rFonts w:ascii="Calibri Light" w:hAnsi="Calibri Light"/>
        </w:rPr>
        <w:t xml:space="preserve"> </w:t>
      </w:r>
      <w:r w:rsidR="00331724" w:rsidRPr="00B01180">
        <w:rPr>
          <w:rFonts w:ascii="Calibri Light" w:hAnsi="Calibri Light"/>
        </w:rPr>
        <w:t>costs, capital, connectivi</w:t>
      </w:r>
      <w:r w:rsidR="00331724">
        <w:rPr>
          <w:rFonts w:ascii="Calibri Light" w:hAnsi="Calibri Light"/>
        </w:rPr>
        <w:t>ty and skills</w:t>
      </w:r>
      <w:r w:rsidR="00700D14" w:rsidRPr="00B01180">
        <w:rPr>
          <w:rFonts w:ascii="Calibri Light" w:hAnsi="Calibri Light"/>
        </w:rPr>
        <w:t xml:space="preserve"> are addressed, Myanmar has </w:t>
      </w:r>
      <w:r w:rsidR="00F36885">
        <w:rPr>
          <w:rFonts w:ascii="Calibri Light" w:hAnsi="Calibri Light"/>
        </w:rPr>
        <w:t>the</w:t>
      </w:r>
      <w:r w:rsidR="00700D14" w:rsidRPr="00B01180">
        <w:rPr>
          <w:rFonts w:ascii="Calibri Light" w:hAnsi="Calibri Light"/>
        </w:rPr>
        <w:t xml:space="preserve"> opportunity to increase economic g</w:t>
      </w:r>
      <w:r w:rsidR="00F36885">
        <w:rPr>
          <w:rFonts w:ascii="Calibri Light" w:hAnsi="Calibri Light"/>
        </w:rPr>
        <w:t>rowth to meet demand from South-</w:t>
      </w:r>
      <w:r w:rsidR="00700D14" w:rsidRPr="00B01180">
        <w:rPr>
          <w:rFonts w:ascii="Calibri Light" w:hAnsi="Calibri Light"/>
        </w:rPr>
        <w:t>East Asia’s rapidly urbanising population.</w:t>
      </w:r>
    </w:p>
    <w:p w14:paraId="41E8C4FC" w14:textId="77777777" w:rsidR="00906C5C" w:rsidRDefault="00700D14" w:rsidP="00700D14">
      <w:pPr>
        <w:rPr>
          <w:rFonts w:ascii="Calibri Light" w:hAnsi="Calibri Light"/>
        </w:rPr>
      </w:pPr>
      <w:r>
        <w:rPr>
          <w:rFonts w:ascii="Calibri Light" w:hAnsi="Calibri Light"/>
        </w:rPr>
        <w:t xml:space="preserve">While confidence in economic reform efforts remains high, progress was delayed in 2015-16 due to </w:t>
      </w:r>
      <w:r w:rsidRPr="00B01180">
        <w:rPr>
          <w:rFonts w:ascii="Calibri Light" w:hAnsi="Calibri Light"/>
        </w:rPr>
        <w:t xml:space="preserve">the election and </w:t>
      </w:r>
      <w:r>
        <w:rPr>
          <w:rFonts w:ascii="Calibri Light" w:hAnsi="Calibri Light"/>
        </w:rPr>
        <w:t xml:space="preserve">long transition to the </w:t>
      </w:r>
      <w:r w:rsidRPr="00B01180">
        <w:rPr>
          <w:rFonts w:ascii="Calibri Light" w:hAnsi="Calibri Light"/>
        </w:rPr>
        <w:t>NLD</w:t>
      </w:r>
      <w:r>
        <w:rPr>
          <w:rFonts w:ascii="Calibri Light" w:hAnsi="Calibri Light"/>
        </w:rPr>
        <w:t>-led</w:t>
      </w:r>
      <w:r w:rsidRPr="00B01180">
        <w:rPr>
          <w:rFonts w:ascii="Calibri Light" w:hAnsi="Calibri Light"/>
        </w:rPr>
        <w:t xml:space="preserve"> government. This is largely because the key reforms require the passage of legislation, and there is a significant backlog following the transition. The two critical</w:t>
      </w:r>
      <w:r w:rsidR="000C7357">
        <w:rPr>
          <w:rFonts w:ascii="Calibri Light" w:hAnsi="Calibri Light"/>
        </w:rPr>
        <w:t xml:space="preserve"> pieces of legislation are the Investment L</w:t>
      </w:r>
      <w:r w:rsidRPr="00B01180">
        <w:rPr>
          <w:rFonts w:ascii="Calibri Light" w:hAnsi="Calibri Light"/>
        </w:rPr>
        <w:t xml:space="preserve">aw and the amendment to the </w:t>
      </w:r>
      <w:r w:rsidRPr="00B01180">
        <w:rPr>
          <w:rFonts w:ascii="Calibri Light" w:hAnsi="Calibri Light"/>
          <w:i/>
        </w:rPr>
        <w:t xml:space="preserve">Companies Act 1914. </w:t>
      </w:r>
      <w:r>
        <w:rPr>
          <w:rFonts w:ascii="Calibri Light" w:hAnsi="Calibri Light"/>
        </w:rPr>
        <w:t xml:space="preserve">In addition, investment flows into Myanmar declined due to the adjournment of the Myanmar Investment Commission during the government transition. The Commission has now been re-established with new appointees, and it is anticipated investment approvals will accelerate. </w:t>
      </w:r>
    </w:p>
    <w:p w14:paraId="19D9CACB" w14:textId="77777777" w:rsidR="00700D14" w:rsidRPr="00700D14" w:rsidRDefault="00700D14" w:rsidP="00700D14">
      <w:pPr>
        <w:rPr>
          <w:rFonts w:ascii="Calibri Light" w:hAnsi="Calibri Light"/>
        </w:rPr>
      </w:pPr>
      <w:r w:rsidRPr="00B01180">
        <w:rPr>
          <w:rFonts w:ascii="Calibri Light" w:hAnsi="Calibri Light"/>
        </w:rPr>
        <w:lastRenderedPageBreak/>
        <w:t xml:space="preserve">Progress in </w:t>
      </w:r>
      <w:r w:rsidR="00E42340">
        <w:rPr>
          <w:rFonts w:ascii="Calibri Light" w:hAnsi="Calibri Light"/>
        </w:rPr>
        <w:t>technical</w:t>
      </w:r>
      <w:r>
        <w:rPr>
          <w:rFonts w:ascii="Calibri Light" w:hAnsi="Calibri Light"/>
        </w:rPr>
        <w:t xml:space="preserve"> </w:t>
      </w:r>
      <w:r w:rsidRPr="00B01180">
        <w:rPr>
          <w:rFonts w:ascii="Calibri Light" w:hAnsi="Calibri Light"/>
        </w:rPr>
        <w:t xml:space="preserve">areas of economic reform </w:t>
      </w:r>
      <w:r w:rsidR="00745027">
        <w:rPr>
          <w:rFonts w:ascii="Calibri Light" w:hAnsi="Calibri Light"/>
        </w:rPr>
        <w:t xml:space="preserve">was positive. </w:t>
      </w:r>
      <w:r w:rsidRPr="00B01180">
        <w:rPr>
          <w:rFonts w:ascii="Calibri Light" w:hAnsi="Calibri Light"/>
        </w:rPr>
        <w:t>For example, a comprehensive diagnostic trade integration study was launched on 20 June, which will help Myanmar integrate into the global economy.</w:t>
      </w:r>
      <w:r w:rsidR="00E42340">
        <w:rPr>
          <w:rFonts w:ascii="Calibri Light" w:hAnsi="Calibri Light"/>
        </w:rPr>
        <w:t xml:space="preserve"> Australia also contributed technical expertise alongside International Finance Corporation (IFC) experts to help build Myanmar’s capacity in areas such as reservations lists and investor-state dispute mechanisms.</w:t>
      </w:r>
    </w:p>
    <w:p w14:paraId="5345A004" w14:textId="77777777" w:rsidR="00700D14" w:rsidRDefault="00700D14" w:rsidP="00700D14">
      <w:pPr>
        <w:rPr>
          <w:rFonts w:ascii="Calibri Light" w:hAnsi="Calibri Light"/>
        </w:rPr>
      </w:pPr>
      <w:r w:rsidRPr="00B01180">
        <w:rPr>
          <w:rFonts w:ascii="Calibri Light" w:hAnsi="Calibri Light"/>
        </w:rPr>
        <w:t xml:space="preserve">There has been a recent increase in development assistance for private sector development in Myanmar. The World Bank and </w:t>
      </w:r>
      <w:r w:rsidR="00974EF5">
        <w:rPr>
          <w:rFonts w:ascii="Calibri Light" w:hAnsi="Calibri Light"/>
        </w:rPr>
        <w:t xml:space="preserve">the </w:t>
      </w:r>
      <w:r w:rsidRPr="00B01180">
        <w:rPr>
          <w:rFonts w:ascii="Calibri Light" w:hAnsi="Calibri Light"/>
        </w:rPr>
        <w:t>Asian Development Bank are major multilateral partners, while Japan and the UK are the largest donors. Australia is a relative newcomer to the sector</w:t>
      </w:r>
      <w:r w:rsidRPr="00B01180">
        <w:rPr>
          <w:rStyle w:val="EndnoteReference"/>
          <w:rFonts w:ascii="Calibri Light" w:hAnsi="Calibri Light"/>
        </w:rPr>
        <w:endnoteReference w:id="7"/>
      </w:r>
      <w:r w:rsidRPr="00B01180">
        <w:rPr>
          <w:rFonts w:ascii="Calibri Light" w:hAnsi="Calibri Light"/>
        </w:rPr>
        <w:t xml:space="preserve">, but </w:t>
      </w:r>
      <w:r w:rsidR="00974EF5">
        <w:rPr>
          <w:rFonts w:ascii="Calibri Light" w:hAnsi="Calibri Light"/>
        </w:rPr>
        <w:t>increased support to the IFC in 2015-16 in response to a successful pilot phase,</w:t>
      </w:r>
      <w:r w:rsidRPr="00B01180">
        <w:rPr>
          <w:rFonts w:ascii="Calibri Light" w:hAnsi="Calibri Light"/>
        </w:rPr>
        <w:t xml:space="preserve"> and is now considered a medium-sized donor</w:t>
      </w:r>
      <w:r w:rsidR="006E1C9B">
        <w:rPr>
          <w:rFonts w:ascii="Calibri Light" w:hAnsi="Calibri Light"/>
        </w:rPr>
        <w:t xml:space="preserve"> to the sector</w:t>
      </w:r>
      <w:r w:rsidRPr="00B01180">
        <w:rPr>
          <w:rFonts w:ascii="Calibri Light" w:hAnsi="Calibri Light"/>
        </w:rPr>
        <w:t xml:space="preserve">. </w:t>
      </w:r>
    </w:p>
    <w:p w14:paraId="3118A43A" w14:textId="77777777" w:rsidR="00906C5C" w:rsidRPr="00B01180" w:rsidRDefault="00906C5C" w:rsidP="00906C5C">
      <w:pPr>
        <w:rPr>
          <w:rFonts w:ascii="Calibri Light" w:hAnsi="Calibri Light"/>
        </w:rPr>
      </w:pPr>
      <w:r w:rsidRPr="00B01180">
        <w:rPr>
          <w:rFonts w:ascii="Calibri Light" w:hAnsi="Calibri Light"/>
        </w:rPr>
        <w:t>Australia s</w:t>
      </w:r>
      <w:r w:rsidR="000C7357">
        <w:rPr>
          <w:rFonts w:ascii="Calibri Light" w:hAnsi="Calibri Light"/>
        </w:rPr>
        <w:t>upported the drafting of a new I</w:t>
      </w:r>
      <w:r w:rsidRPr="00B01180">
        <w:rPr>
          <w:rFonts w:ascii="Calibri Light" w:hAnsi="Calibri Light"/>
        </w:rPr>
        <w:t xml:space="preserve">nvestment </w:t>
      </w:r>
      <w:r w:rsidR="000C7357">
        <w:rPr>
          <w:rFonts w:ascii="Calibri Light" w:hAnsi="Calibri Light"/>
        </w:rPr>
        <w:t>L</w:t>
      </w:r>
      <w:r w:rsidRPr="00B01180">
        <w:rPr>
          <w:rFonts w:ascii="Calibri Light" w:hAnsi="Calibri Light"/>
        </w:rPr>
        <w:t>aw in p</w:t>
      </w:r>
      <w:r>
        <w:rPr>
          <w:rFonts w:ascii="Calibri Light" w:hAnsi="Calibri Light"/>
        </w:rPr>
        <w:t>artnership with the IFC. The draft law</w:t>
      </w:r>
      <w:r w:rsidRPr="00B01180">
        <w:rPr>
          <w:rFonts w:ascii="Calibri Light" w:hAnsi="Calibri Light"/>
        </w:rPr>
        <w:t xml:space="preserve"> </w:t>
      </w:r>
      <w:r w:rsidR="00677120">
        <w:rPr>
          <w:rFonts w:ascii="Calibri Light" w:hAnsi="Calibri Light"/>
        </w:rPr>
        <w:t xml:space="preserve">has been finalised and </w:t>
      </w:r>
      <w:r w:rsidRPr="00B01180">
        <w:rPr>
          <w:rFonts w:ascii="Calibri Light" w:hAnsi="Calibri Light"/>
        </w:rPr>
        <w:t>is with the President’s Office awai</w:t>
      </w:r>
      <w:r w:rsidR="00A72F1F">
        <w:rPr>
          <w:rFonts w:ascii="Calibri Light" w:hAnsi="Calibri Light"/>
        </w:rPr>
        <w:t>ting introduction to P</w:t>
      </w:r>
      <w:r w:rsidR="00677120">
        <w:rPr>
          <w:rFonts w:ascii="Calibri Light" w:hAnsi="Calibri Light"/>
        </w:rPr>
        <w:t>arliament, and we therefore met this performance benchmark for 2015-16.</w:t>
      </w:r>
      <w:r w:rsidRPr="00B01180">
        <w:rPr>
          <w:rFonts w:ascii="Calibri Light" w:hAnsi="Calibri Light"/>
        </w:rPr>
        <w:t xml:space="preserve"> The extensive consultation conducted in developing the legislation was commended </w:t>
      </w:r>
      <w:r>
        <w:rPr>
          <w:rFonts w:ascii="Calibri Light" w:hAnsi="Calibri Light"/>
        </w:rPr>
        <w:t>by international observers</w:t>
      </w:r>
      <w:r w:rsidRPr="00B01180">
        <w:rPr>
          <w:rFonts w:ascii="Calibri Light" w:hAnsi="Calibri Light"/>
        </w:rPr>
        <w:t xml:space="preserve">. </w:t>
      </w:r>
      <w:r w:rsidR="000C7357">
        <w:rPr>
          <w:rFonts w:ascii="Calibri Light" w:hAnsi="Calibri Light"/>
        </w:rPr>
        <w:t>Once passed, the Investment L</w:t>
      </w:r>
      <w:r>
        <w:rPr>
          <w:rFonts w:ascii="Calibri Light" w:hAnsi="Calibri Light"/>
        </w:rPr>
        <w:t xml:space="preserve">aw will </w:t>
      </w:r>
      <w:r w:rsidR="00354BFE">
        <w:rPr>
          <w:rFonts w:ascii="Calibri Light" w:hAnsi="Calibri Light"/>
        </w:rPr>
        <w:t xml:space="preserve">further </w:t>
      </w:r>
      <w:r>
        <w:rPr>
          <w:rFonts w:ascii="Calibri Light" w:hAnsi="Calibri Light"/>
        </w:rPr>
        <w:t xml:space="preserve">clarify investment procedures and is likely to lead to further foreign investment – an essential ingredient for continued economic growth in Myanmar. </w:t>
      </w:r>
    </w:p>
    <w:p w14:paraId="196118B1" w14:textId="77777777" w:rsidR="00906C5C" w:rsidRDefault="00906C5C" w:rsidP="00906C5C">
      <w:pPr>
        <w:rPr>
          <w:rFonts w:ascii="Calibri Light" w:hAnsi="Calibri Light"/>
        </w:rPr>
      </w:pPr>
      <w:r>
        <w:rPr>
          <w:rFonts w:ascii="Calibri Light" w:hAnsi="Calibri Light"/>
        </w:rPr>
        <w:t>The IFC has facilitated the establishment of the Myanmar Business Forum. This forum is operating as a</w:t>
      </w:r>
      <w:r w:rsidR="000C7357">
        <w:rPr>
          <w:rFonts w:ascii="Calibri Light" w:hAnsi="Calibri Light"/>
        </w:rPr>
        <w:t>n effective</w:t>
      </w:r>
      <w:r>
        <w:rPr>
          <w:rFonts w:ascii="Calibri Light" w:hAnsi="Calibri Light"/>
        </w:rPr>
        <w:t xml:space="preserve"> means of communication and consultation </w:t>
      </w:r>
      <w:r w:rsidR="000E319F">
        <w:rPr>
          <w:rFonts w:ascii="Calibri Light" w:hAnsi="Calibri Light"/>
        </w:rPr>
        <w:t xml:space="preserve">between government and business, thus </w:t>
      </w:r>
      <w:r w:rsidR="00F36885">
        <w:rPr>
          <w:rFonts w:ascii="Calibri Light" w:hAnsi="Calibri Light"/>
        </w:rPr>
        <w:t>satisfying</w:t>
      </w:r>
      <w:r w:rsidR="000E319F">
        <w:rPr>
          <w:rFonts w:ascii="Calibri Light" w:hAnsi="Calibri Light"/>
        </w:rPr>
        <w:t xml:space="preserve"> a</w:t>
      </w:r>
      <w:r w:rsidR="00F36885">
        <w:rPr>
          <w:rFonts w:ascii="Calibri Light" w:hAnsi="Calibri Light"/>
        </w:rPr>
        <w:t>nother</w:t>
      </w:r>
      <w:r w:rsidR="000E319F">
        <w:rPr>
          <w:rFonts w:ascii="Calibri Light" w:hAnsi="Calibri Light"/>
        </w:rPr>
        <w:t xml:space="preserve"> performance benchmark</w:t>
      </w:r>
      <w:r w:rsidR="00F36885">
        <w:rPr>
          <w:rFonts w:ascii="Calibri Light" w:hAnsi="Calibri Light"/>
        </w:rPr>
        <w:t xml:space="preserve"> for the reporting period</w:t>
      </w:r>
      <w:r w:rsidR="000E319F">
        <w:rPr>
          <w:rFonts w:ascii="Calibri Light" w:hAnsi="Calibri Light"/>
        </w:rPr>
        <w:t>.</w:t>
      </w:r>
      <w:r>
        <w:rPr>
          <w:rFonts w:ascii="Calibri Light" w:hAnsi="Calibri Light"/>
        </w:rPr>
        <w:t xml:space="preserve"> In 2015-16, business representatives raised 70 issues through the Myanmar Business Forum. Of these, 14 have so been resolved through public-private cooperation. </w:t>
      </w:r>
    </w:p>
    <w:p w14:paraId="3CFD0D0D" w14:textId="77777777" w:rsidR="00906C5C" w:rsidRPr="00B01180" w:rsidRDefault="00906C5C" w:rsidP="00906C5C">
      <w:pPr>
        <w:rPr>
          <w:rFonts w:ascii="Calibri Light" w:hAnsi="Calibri Light"/>
        </w:rPr>
      </w:pPr>
      <w:r>
        <w:rPr>
          <w:rFonts w:ascii="Calibri Light" w:hAnsi="Calibri Light"/>
        </w:rPr>
        <w:t>While the IFC’s performance has been good overall, it has not met Australia’s standards on addressing gender equality and women’s empowerment. In 2015-16, Australia initiated a robust gender assessment of Australia’s private sector development investments in Myanmar. This was widely distributed and contributed to the limited information on gender in Myanmar. The IFC’s response to the recommendations of this assessment was positive: IFC gender advisers have been engaged to work on the program, and a percentage of program funds have been allocated to gender activities. This will require ongoing management in 2016-17 and beyond.</w:t>
      </w:r>
    </w:p>
    <w:p w14:paraId="52EA81E4" w14:textId="77777777" w:rsidR="00906C5C" w:rsidRPr="00B01180" w:rsidRDefault="00906C5C" w:rsidP="00700D14">
      <w:pPr>
        <w:rPr>
          <w:rFonts w:ascii="Calibri Light" w:hAnsi="Calibri Light"/>
        </w:rPr>
      </w:pPr>
      <w:r w:rsidRPr="00B01180">
        <w:rPr>
          <w:rFonts w:ascii="Calibri Light" w:hAnsi="Calibri Light"/>
        </w:rPr>
        <w:t>Australia’s ex</w:t>
      </w:r>
      <w:r>
        <w:rPr>
          <w:rFonts w:ascii="Calibri Light" w:hAnsi="Calibri Light"/>
        </w:rPr>
        <w:t>pertise in economic governance ha</w:t>
      </w:r>
      <w:r w:rsidRPr="00B01180">
        <w:rPr>
          <w:rFonts w:ascii="Calibri Light" w:hAnsi="Calibri Light"/>
        </w:rPr>
        <w:t xml:space="preserve">s </w:t>
      </w:r>
      <w:r>
        <w:rPr>
          <w:rFonts w:ascii="Calibri Light" w:hAnsi="Calibri Light"/>
        </w:rPr>
        <w:t xml:space="preserve">been </w:t>
      </w:r>
      <w:r w:rsidRPr="00B01180">
        <w:rPr>
          <w:rFonts w:ascii="Calibri Light" w:hAnsi="Calibri Light"/>
        </w:rPr>
        <w:t xml:space="preserve">recognised in Myanmar, due to our </w:t>
      </w:r>
      <w:r w:rsidR="00E70653">
        <w:rPr>
          <w:rFonts w:ascii="Calibri Light" w:hAnsi="Calibri Light"/>
        </w:rPr>
        <w:t xml:space="preserve">own </w:t>
      </w:r>
      <w:r w:rsidRPr="00B01180">
        <w:rPr>
          <w:rFonts w:ascii="Calibri Light" w:hAnsi="Calibri Light"/>
        </w:rPr>
        <w:t xml:space="preserve">large extractives industry. In 2015-16 the Myanmar Government sought Australia’s assistance in </w:t>
      </w:r>
      <w:r>
        <w:rPr>
          <w:rFonts w:ascii="Calibri Light" w:hAnsi="Calibri Light"/>
        </w:rPr>
        <w:t xml:space="preserve">drafting regulations to support </w:t>
      </w:r>
      <w:r w:rsidRPr="00B01180">
        <w:rPr>
          <w:rFonts w:ascii="Calibri Light" w:hAnsi="Calibri Light"/>
        </w:rPr>
        <w:t xml:space="preserve">implementation of its Mining Law. Australia </w:t>
      </w:r>
      <w:r w:rsidR="00EB5D43">
        <w:rPr>
          <w:rFonts w:ascii="Calibri Light" w:hAnsi="Calibri Light"/>
        </w:rPr>
        <w:t>funded</w:t>
      </w:r>
      <w:r w:rsidRPr="00B01180">
        <w:rPr>
          <w:rFonts w:ascii="Calibri Light" w:hAnsi="Calibri Light"/>
        </w:rPr>
        <w:t xml:space="preserve"> the Natural Resource Governance Institute to work with government to </w:t>
      </w:r>
      <w:r>
        <w:rPr>
          <w:rFonts w:ascii="Calibri Light" w:hAnsi="Calibri Light"/>
        </w:rPr>
        <w:t>develop</w:t>
      </w:r>
      <w:r w:rsidRPr="00B01180">
        <w:rPr>
          <w:rFonts w:ascii="Calibri Light" w:hAnsi="Calibri Light"/>
        </w:rPr>
        <w:t xml:space="preserve"> provisions around environmental controls, land </w:t>
      </w:r>
      <w:r>
        <w:rPr>
          <w:rFonts w:ascii="Calibri Light" w:hAnsi="Calibri Light"/>
        </w:rPr>
        <w:t>use and revenue transparency</w:t>
      </w:r>
      <w:r w:rsidRPr="00B01180">
        <w:rPr>
          <w:rFonts w:ascii="Calibri Light" w:hAnsi="Calibri Light"/>
        </w:rPr>
        <w:t>. This assistance offers huge potential to boost Myanmar’s budget revenue from extractives. Clear and enforceable mining and investment regulation also provides greater certainty for potential investors, includi</w:t>
      </w:r>
      <w:r>
        <w:rPr>
          <w:rFonts w:ascii="Calibri Light" w:hAnsi="Calibri Light"/>
        </w:rPr>
        <w:t>ng Australian</w:t>
      </w:r>
      <w:r w:rsidR="00177B64">
        <w:rPr>
          <w:rFonts w:ascii="Calibri Light" w:hAnsi="Calibri Light"/>
        </w:rPr>
        <w:t xml:space="preserve"> and international</w:t>
      </w:r>
      <w:r>
        <w:rPr>
          <w:rFonts w:ascii="Calibri Light" w:hAnsi="Calibri Light"/>
        </w:rPr>
        <w:t xml:space="preserve"> mining companies.</w:t>
      </w:r>
    </w:p>
    <w:p w14:paraId="0985DD53" w14:textId="77777777" w:rsidR="00FF44ED" w:rsidRPr="00FF44ED" w:rsidRDefault="00FF44ED" w:rsidP="00700D14">
      <w:pPr>
        <w:rPr>
          <w:rFonts w:ascii="Calibri Light" w:hAnsi="Calibri Light"/>
          <w:b/>
        </w:rPr>
      </w:pPr>
      <w:r w:rsidRPr="00FF44ED">
        <w:rPr>
          <w:rFonts w:ascii="Calibri Light" w:hAnsi="Calibri Light"/>
          <w:b/>
        </w:rPr>
        <w:t>Rural development</w:t>
      </w:r>
    </w:p>
    <w:p w14:paraId="6F88764B" w14:textId="77777777" w:rsidR="00FF44ED" w:rsidRDefault="00FF44ED" w:rsidP="00700D14">
      <w:pPr>
        <w:rPr>
          <w:rFonts w:ascii="Calibri Light" w:hAnsi="Calibri Light"/>
        </w:rPr>
      </w:pPr>
      <w:r>
        <w:rPr>
          <w:rFonts w:ascii="Calibri Light" w:hAnsi="Calibri Light"/>
        </w:rPr>
        <w:t xml:space="preserve">Agriculture continued to </w:t>
      </w:r>
      <w:r w:rsidRPr="00B01180">
        <w:rPr>
          <w:rFonts w:ascii="Calibri Light" w:hAnsi="Calibri Light"/>
        </w:rPr>
        <w:t>play a central role in Myanmar’s ability to achieve economic growth. Agriculture employs around 52 per cent of Myanmar’s workforce and generates 37 per cen</w:t>
      </w:r>
      <w:r>
        <w:rPr>
          <w:rFonts w:ascii="Calibri Light" w:hAnsi="Calibri Light"/>
        </w:rPr>
        <w:t>t of GDP (World Bank, 2014)</w:t>
      </w:r>
      <w:r w:rsidRPr="00B01180">
        <w:rPr>
          <w:rFonts w:ascii="Calibri Light" w:hAnsi="Calibri Light"/>
        </w:rPr>
        <w:t>. But restr</w:t>
      </w:r>
      <w:r>
        <w:rPr>
          <w:rFonts w:ascii="Calibri Light" w:hAnsi="Calibri Light"/>
        </w:rPr>
        <w:t>ictive government policy, minimal</w:t>
      </w:r>
      <w:r w:rsidRPr="00B01180">
        <w:rPr>
          <w:rFonts w:ascii="Calibri Light" w:hAnsi="Calibri Light"/>
        </w:rPr>
        <w:t xml:space="preserve"> investment in crop research, </w:t>
      </w:r>
      <w:r>
        <w:rPr>
          <w:rFonts w:ascii="Calibri Light" w:hAnsi="Calibri Light"/>
        </w:rPr>
        <w:t>and little crop diversification</w:t>
      </w:r>
      <w:r w:rsidRPr="00B01180">
        <w:rPr>
          <w:rFonts w:ascii="Calibri Light" w:hAnsi="Calibri Light"/>
        </w:rPr>
        <w:t xml:space="preserve"> have contributed to productivity levels half the South-East Asian average.</w:t>
      </w:r>
      <w:r w:rsidR="00906C5C" w:rsidRPr="00906C5C">
        <w:rPr>
          <w:rFonts w:ascii="Calibri Light" w:hAnsi="Calibri Light" w:cstheme="minorHAnsi"/>
        </w:rPr>
        <w:t xml:space="preserve"> </w:t>
      </w:r>
      <w:r w:rsidR="00906C5C">
        <w:rPr>
          <w:rFonts w:ascii="Calibri Light" w:hAnsi="Calibri Light" w:cstheme="minorHAnsi"/>
        </w:rPr>
        <w:t xml:space="preserve">The new government is focused on driving structural reforms in agriculture as a </w:t>
      </w:r>
      <w:r w:rsidR="00906C5C" w:rsidRPr="00906C5C">
        <w:rPr>
          <w:rFonts w:ascii="Calibri Light" w:hAnsi="Calibri Light" w:cstheme="minorHAnsi"/>
        </w:rPr>
        <w:t xml:space="preserve">key to broader economic growth.  </w:t>
      </w:r>
    </w:p>
    <w:p w14:paraId="612EFD7A" w14:textId="77777777" w:rsidR="00700D14" w:rsidRDefault="00700D14" w:rsidP="00700D14">
      <w:pPr>
        <w:rPr>
          <w:rFonts w:ascii="Calibri Light" w:hAnsi="Calibri Light" w:cstheme="minorHAnsi"/>
        </w:rPr>
      </w:pPr>
      <w:r w:rsidRPr="00B01180">
        <w:rPr>
          <w:rFonts w:ascii="Calibri Light" w:hAnsi="Calibri Light"/>
        </w:rPr>
        <w:t>Australia</w:t>
      </w:r>
      <w:r w:rsidR="00974EF5">
        <w:rPr>
          <w:rFonts w:ascii="Calibri Light" w:hAnsi="Calibri Light"/>
        </w:rPr>
        <w:t xml:space="preserve">’s support to rural development </w:t>
      </w:r>
      <w:r w:rsidR="00906C5C">
        <w:rPr>
          <w:rFonts w:ascii="Calibri Light" w:hAnsi="Calibri Light"/>
        </w:rPr>
        <w:t>continued</w:t>
      </w:r>
      <w:r w:rsidR="00974EF5">
        <w:rPr>
          <w:rFonts w:ascii="Calibri Light" w:hAnsi="Calibri Light"/>
        </w:rPr>
        <w:t xml:space="preserve"> through </w:t>
      </w:r>
      <w:r>
        <w:rPr>
          <w:rFonts w:ascii="Calibri Light" w:hAnsi="Calibri Light"/>
        </w:rPr>
        <w:t>the Livelihoods and Food Security Trust Fund (LIFT)</w:t>
      </w:r>
      <w:r w:rsidR="00742AE8">
        <w:rPr>
          <w:rFonts w:ascii="Calibri Light" w:hAnsi="Calibri Light"/>
        </w:rPr>
        <w:t xml:space="preserve"> and </w:t>
      </w:r>
      <w:r w:rsidR="00974EF5">
        <w:rPr>
          <w:rFonts w:ascii="Calibri Light" w:hAnsi="Calibri Light"/>
        </w:rPr>
        <w:t>the Australian Centre for International Agricultural Research (ACIAR) Multidisciplinary Research Program.</w:t>
      </w:r>
      <w:r w:rsidRPr="00B01180">
        <w:rPr>
          <w:rFonts w:ascii="Calibri Light" w:hAnsi="Calibri Light"/>
        </w:rPr>
        <w:t xml:space="preserve"> </w:t>
      </w:r>
      <w:r w:rsidR="00974EF5">
        <w:rPr>
          <w:rFonts w:ascii="Calibri Light" w:hAnsi="Calibri Light"/>
        </w:rPr>
        <w:t xml:space="preserve">Australia </w:t>
      </w:r>
      <w:r w:rsidR="00974EF5" w:rsidRPr="00B01180">
        <w:rPr>
          <w:rFonts w:ascii="Calibri Light" w:hAnsi="Calibri Light"/>
        </w:rPr>
        <w:t>is</w:t>
      </w:r>
      <w:r w:rsidR="00974EF5">
        <w:rPr>
          <w:rFonts w:ascii="Calibri Light" w:hAnsi="Calibri Light"/>
        </w:rPr>
        <w:t xml:space="preserve"> the third largest donor to LIFT, </w:t>
      </w:r>
      <w:r w:rsidRPr="00B01180">
        <w:rPr>
          <w:rFonts w:ascii="Calibri Light" w:hAnsi="Calibri Light"/>
        </w:rPr>
        <w:t xml:space="preserve">providing approximately 17 per cent of total funding. </w:t>
      </w:r>
      <w:r>
        <w:rPr>
          <w:rFonts w:ascii="Calibri Light" w:hAnsi="Calibri Light"/>
        </w:rPr>
        <w:t xml:space="preserve">LIFT is a major multi-donor trust fund in Myanmar, comprising nine bilateral donors </w:t>
      </w:r>
      <w:r w:rsidRPr="00B01180">
        <w:rPr>
          <w:rFonts w:ascii="Calibri Light" w:hAnsi="Calibri Light"/>
        </w:rPr>
        <w:t xml:space="preserve">plus Mitsubishi Corporation. </w:t>
      </w:r>
      <w:r>
        <w:rPr>
          <w:rFonts w:ascii="Calibri Light" w:hAnsi="Calibri Light"/>
        </w:rPr>
        <w:t>Australia</w:t>
      </w:r>
      <w:r w:rsidR="00974EF5">
        <w:rPr>
          <w:rFonts w:ascii="Calibri Light" w:hAnsi="Calibri Light"/>
        </w:rPr>
        <w:t xml:space="preserve">’s role on the LIFT Fund Board has </w:t>
      </w:r>
      <w:r w:rsidRPr="00B01180">
        <w:rPr>
          <w:rFonts w:ascii="Calibri Light" w:hAnsi="Calibri Light"/>
        </w:rPr>
        <w:t>provided a useful avenue for influencing strategic and programming decisions.</w:t>
      </w:r>
      <w:r w:rsidRPr="00B01180">
        <w:rPr>
          <w:rFonts w:ascii="Calibri Light" w:hAnsi="Calibri Light" w:cstheme="minorHAnsi"/>
        </w:rPr>
        <w:t xml:space="preserve"> LIFT has a far greater reach – both sectoral and geographic – than other actors in the sector at this time.</w:t>
      </w:r>
    </w:p>
    <w:p w14:paraId="62BF1041" w14:textId="77777777" w:rsidR="006D4AEE" w:rsidRDefault="00906C5C" w:rsidP="00742AE8">
      <w:pPr>
        <w:tabs>
          <w:tab w:val="left" w:pos="426"/>
        </w:tabs>
        <w:autoSpaceDE w:val="0"/>
        <w:autoSpaceDN w:val="0"/>
        <w:adjustRightInd w:val="0"/>
        <w:rPr>
          <w:rFonts w:ascii="Calibri Light" w:hAnsi="Calibri Light"/>
        </w:rPr>
      </w:pPr>
      <w:r w:rsidRPr="00906C5C">
        <w:rPr>
          <w:rFonts w:ascii="Calibri Light" w:hAnsi="Calibri Light" w:cstheme="minorHAnsi"/>
        </w:rPr>
        <w:t>In 2015-16, LIFT interventions focused on supporting structural economic reforms in the agricul</w:t>
      </w:r>
      <w:r>
        <w:rPr>
          <w:rFonts w:ascii="Calibri Light" w:hAnsi="Calibri Light" w:cstheme="minorHAnsi"/>
        </w:rPr>
        <w:t>ture sector in support of the government’s priorities</w:t>
      </w:r>
      <w:r w:rsidRPr="00906C5C">
        <w:rPr>
          <w:rFonts w:ascii="Calibri Light" w:hAnsi="Calibri Light" w:cstheme="minorHAnsi"/>
        </w:rPr>
        <w:t>.</w:t>
      </w:r>
      <w:r w:rsidRPr="00B01180">
        <w:rPr>
          <w:rFonts w:ascii="Calibri Light" w:eastAsia="SimSun" w:hAnsi="Calibri Light" w:cstheme="minorHAnsi"/>
          <w:lang w:eastAsia="en-AU"/>
        </w:rPr>
        <w:t xml:space="preserve"> </w:t>
      </w:r>
      <w:r>
        <w:rPr>
          <w:rFonts w:ascii="Calibri Light" w:hAnsi="Calibri Light"/>
        </w:rPr>
        <w:t>LIFT</w:t>
      </w:r>
      <w:r w:rsidRPr="00B01180">
        <w:rPr>
          <w:rFonts w:ascii="Calibri Light" w:hAnsi="Calibri Light"/>
        </w:rPr>
        <w:t xml:space="preserve"> facilitated innovative partnerships with companies to connect </w:t>
      </w:r>
    </w:p>
    <w:p w14:paraId="56DF6CC5" w14:textId="77777777" w:rsidR="00906C5C" w:rsidRPr="00742AE8" w:rsidRDefault="00906C5C" w:rsidP="00742AE8">
      <w:pPr>
        <w:tabs>
          <w:tab w:val="left" w:pos="426"/>
        </w:tabs>
        <w:autoSpaceDE w:val="0"/>
        <w:autoSpaceDN w:val="0"/>
        <w:adjustRightInd w:val="0"/>
        <w:rPr>
          <w:rFonts w:ascii="Calibri Light" w:eastAsia="SimSun" w:hAnsi="Calibri Light" w:cstheme="minorHAnsi"/>
          <w:lang w:eastAsia="en-AU"/>
        </w:rPr>
      </w:pPr>
      <w:r w:rsidRPr="00B01180">
        <w:rPr>
          <w:rFonts w:ascii="Calibri Light" w:hAnsi="Calibri Light"/>
        </w:rPr>
        <w:lastRenderedPageBreak/>
        <w:t>smallholder farmers to commercial value chains. In 2015-16, rice farmers formed a cooperative to collectively transpo</w:t>
      </w:r>
      <w:r>
        <w:rPr>
          <w:rFonts w:ascii="Calibri Light" w:hAnsi="Calibri Light"/>
        </w:rPr>
        <w:t>rt, bargain and pay for milling, thus reducing</w:t>
      </w:r>
      <w:r w:rsidRPr="00B01180">
        <w:rPr>
          <w:rFonts w:ascii="Calibri Light" w:hAnsi="Calibri Light"/>
        </w:rPr>
        <w:t xml:space="preserve"> </w:t>
      </w:r>
      <w:r>
        <w:rPr>
          <w:rFonts w:ascii="Calibri Light" w:hAnsi="Calibri Light"/>
        </w:rPr>
        <w:t>farmers’ overheads and providing</w:t>
      </w:r>
      <w:r w:rsidRPr="00B01180">
        <w:rPr>
          <w:rFonts w:ascii="Calibri Light" w:hAnsi="Calibri Light"/>
        </w:rPr>
        <w:t xml:space="preserve"> access to commercial markets that would have been difficult to realise individually. LIFT has also supported innovative approaches to increasing access to finance, including by underwriting risk so companies can expand into markets that would otherwise not be viable. A small investment by LIFT has leveraged significant bank investment, which has led to banks opening in rural areas and providing savings and loans services for individuals and small businesses. </w:t>
      </w:r>
      <w:r w:rsidR="00742AE8">
        <w:rPr>
          <w:rFonts w:ascii="Calibri Light" w:hAnsi="Calibri Light"/>
        </w:rPr>
        <w:t>Through LIFT, Australia contribute</w:t>
      </w:r>
      <w:r w:rsidR="00FF698F">
        <w:rPr>
          <w:rFonts w:ascii="Calibri Light" w:hAnsi="Calibri Light"/>
        </w:rPr>
        <w:t>d to increased incomes for 26,18</w:t>
      </w:r>
      <w:r w:rsidR="00742AE8">
        <w:rPr>
          <w:rFonts w:ascii="Calibri Light" w:hAnsi="Calibri Light"/>
        </w:rPr>
        <w:t>0 Myanmar households.</w:t>
      </w:r>
    </w:p>
    <w:p w14:paraId="545CB5A1" w14:textId="77777777" w:rsidR="00906C5C" w:rsidRPr="00700D14" w:rsidRDefault="00906C5C" w:rsidP="00906C5C">
      <w:pPr>
        <w:rPr>
          <w:rFonts w:ascii="Calibri Light" w:hAnsi="Calibri Light" w:cstheme="minorHAnsi"/>
        </w:rPr>
      </w:pPr>
      <w:r w:rsidRPr="00B01180">
        <w:rPr>
          <w:rFonts w:ascii="Calibri Light" w:hAnsi="Calibri Light" w:cstheme="minorHAnsi"/>
        </w:rPr>
        <w:t>L</w:t>
      </w:r>
      <w:r>
        <w:rPr>
          <w:rFonts w:ascii="Calibri Light" w:hAnsi="Calibri Light" w:cstheme="minorHAnsi"/>
        </w:rPr>
        <w:t xml:space="preserve">IFT contributed to Australia’s aid for trade agenda by seeking to address </w:t>
      </w:r>
      <w:r w:rsidRPr="00B01180">
        <w:rPr>
          <w:rFonts w:ascii="Calibri Light" w:hAnsi="Calibri Light" w:cstheme="minorHAnsi"/>
        </w:rPr>
        <w:t>internal constraints to trade</w:t>
      </w:r>
      <w:r>
        <w:rPr>
          <w:rFonts w:ascii="Calibri Light" w:hAnsi="Calibri Light" w:cstheme="minorHAnsi"/>
        </w:rPr>
        <w:t>,</w:t>
      </w:r>
      <w:r w:rsidRPr="00B01180">
        <w:rPr>
          <w:rFonts w:ascii="Calibri Light" w:hAnsi="Calibri Light" w:cstheme="minorHAnsi"/>
        </w:rPr>
        <w:t xml:space="preserve"> such as cumbersome regulations, poor infrastructure and lack of workforce </w:t>
      </w:r>
      <w:r>
        <w:rPr>
          <w:rFonts w:ascii="Calibri Light" w:hAnsi="Calibri Light" w:cstheme="minorHAnsi"/>
        </w:rPr>
        <w:t>skills</w:t>
      </w:r>
      <w:r w:rsidRPr="00B01180">
        <w:rPr>
          <w:rFonts w:ascii="Calibri Light" w:hAnsi="Calibri Light" w:cstheme="minorHAnsi"/>
        </w:rPr>
        <w:t>.</w:t>
      </w:r>
      <w:r>
        <w:rPr>
          <w:rFonts w:ascii="Calibri Light" w:hAnsi="Calibri Light" w:cstheme="minorHAnsi"/>
        </w:rPr>
        <w:t xml:space="preserve"> </w:t>
      </w:r>
      <w:r w:rsidRPr="00B01180">
        <w:rPr>
          <w:rFonts w:ascii="Calibri Light" w:hAnsi="Calibri Light" w:cstheme="minorHAnsi"/>
        </w:rPr>
        <w:t xml:space="preserve">LIFT </w:t>
      </w:r>
      <w:r>
        <w:rPr>
          <w:rFonts w:ascii="Calibri Light" w:hAnsi="Calibri Light" w:cstheme="minorHAnsi"/>
        </w:rPr>
        <w:t>also enabled</w:t>
      </w:r>
      <w:r w:rsidRPr="00B01180">
        <w:rPr>
          <w:rFonts w:ascii="Calibri Light" w:hAnsi="Calibri Light" w:cstheme="minorHAnsi"/>
        </w:rPr>
        <w:t xml:space="preserve"> DFAT to strengthen linkages between development and humanitarian assistance. Following Cyclone Komen in August 2015, LIFT</w:t>
      </w:r>
      <w:r>
        <w:rPr>
          <w:rFonts w:ascii="Calibri Light" w:hAnsi="Calibri Light" w:cstheme="minorHAnsi"/>
        </w:rPr>
        <w:t>’s</w:t>
      </w:r>
      <w:r w:rsidRPr="00B01180">
        <w:rPr>
          <w:rFonts w:ascii="Calibri Light" w:hAnsi="Calibri Light" w:cstheme="minorHAnsi"/>
        </w:rPr>
        <w:t xml:space="preserve"> livelihoods programs were effectively used to support emergency response and early recovery in Rakhine and Chin States.</w:t>
      </w:r>
    </w:p>
    <w:p w14:paraId="03B0C931" w14:textId="77777777" w:rsidR="00906C5C" w:rsidRDefault="00906C5C" w:rsidP="00906C5C">
      <w:pPr>
        <w:rPr>
          <w:rFonts w:ascii="Calibri Light" w:hAnsi="Calibri Light"/>
        </w:rPr>
      </w:pPr>
      <w:r w:rsidRPr="00B01180">
        <w:rPr>
          <w:rFonts w:ascii="Calibri Light" w:hAnsi="Calibri Light"/>
        </w:rPr>
        <w:t xml:space="preserve">In 2016, Australia was appointed Gender Champion on the LIFT Fund Board. This recognised Australia’s ongoing advocacy on gender. While LIFT has consistently gathered sex-disaggregated data and performed well on gender-focused activities, it has struggled to </w:t>
      </w:r>
      <w:r>
        <w:rPr>
          <w:rFonts w:ascii="Calibri Light" w:hAnsi="Calibri Light"/>
        </w:rPr>
        <w:t xml:space="preserve">integrate gender sensitivity and analysis more consistently in all LIFT activities. </w:t>
      </w:r>
      <w:r w:rsidRPr="00B01180">
        <w:rPr>
          <w:rFonts w:ascii="Calibri Light" w:hAnsi="Calibri Light"/>
        </w:rPr>
        <w:t>Early on in this role, Australia has sought to have gender addressed in all activity proposals.</w:t>
      </w:r>
    </w:p>
    <w:p w14:paraId="30231F43" w14:textId="77777777" w:rsidR="00906C5C" w:rsidRDefault="00906C5C" w:rsidP="00906C5C">
      <w:pPr>
        <w:rPr>
          <w:rFonts w:ascii="Calibri Light" w:hAnsi="Calibri Light"/>
        </w:rPr>
      </w:pPr>
      <w:r>
        <w:rPr>
          <w:rFonts w:ascii="Calibri Light" w:hAnsi="Calibri Light"/>
        </w:rPr>
        <w:t xml:space="preserve">Recently </w:t>
      </w:r>
      <w:r w:rsidRPr="00B01180">
        <w:rPr>
          <w:rFonts w:ascii="Calibri Light" w:hAnsi="Calibri Light"/>
        </w:rPr>
        <w:t xml:space="preserve">LIFT has attempted to work more closely with the </w:t>
      </w:r>
      <w:r w:rsidR="00407BE9">
        <w:rPr>
          <w:rFonts w:ascii="Calibri Light" w:hAnsi="Calibri Light"/>
        </w:rPr>
        <w:t>Myanmar Government, but the</w:t>
      </w:r>
      <w:r w:rsidRPr="00B01180">
        <w:rPr>
          <w:rFonts w:ascii="Calibri Light" w:hAnsi="Calibri Light"/>
        </w:rPr>
        <w:t xml:space="preserve"> government transition and the lack of clear entry points to the new Ministry has made this difficult. LIFT has </w:t>
      </w:r>
      <w:r>
        <w:rPr>
          <w:rFonts w:ascii="Calibri Light" w:hAnsi="Calibri Light"/>
        </w:rPr>
        <w:t xml:space="preserve">invited the government to participate in Fund Board discussions, and has </w:t>
      </w:r>
      <w:r w:rsidRPr="00B01180">
        <w:rPr>
          <w:rFonts w:ascii="Calibri Light" w:hAnsi="Calibri Light"/>
        </w:rPr>
        <w:t>offered techn</w:t>
      </w:r>
      <w:r>
        <w:rPr>
          <w:rFonts w:ascii="Calibri Light" w:hAnsi="Calibri Light"/>
        </w:rPr>
        <w:t xml:space="preserve">ical assistance and policy advice. </w:t>
      </w:r>
    </w:p>
    <w:p w14:paraId="4E732B99" w14:textId="77777777" w:rsidR="00D74B9E" w:rsidRDefault="00D74B9E" w:rsidP="00D74B9E">
      <w:r>
        <w:t>Aus</w:t>
      </w:r>
      <w:r w:rsidR="00E70653">
        <w:t>tralia continued to fund the ACIAR</w:t>
      </w:r>
      <w:r>
        <w:t xml:space="preserve"> Multidisciplinary Research Program for Food Security.  This program aims to increase food production for small-holder farmers in the Ayeyarwady Delta and Central Dry Zone by applying research to agricultural practices. Implementation of the program has seen a marked improvement compared with last year’s APPR as a result of actioning the findings of the June 2015 mid-term review.</w:t>
      </w:r>
    </w:p>
    <w:p w14:paraId="335C79C1" w14:textId="77777777" w:rsidR="00D74B9E" w:rsidRPr="00D74B9E" w:rsidRDefault="00D74B9E" w:rsidP="00906C5C">
      <w:r>
        <w:t xml:space="preserve">Some notable results of the program over the reporting period include: farmers achieving a 14 per cent increase in rice yields over traditional practices and a 52 per cent increase in income during the dry season in Maubin Township, and seed banks being established in 112 villages. A more robust M&amp;E framework has been introduced which will be able to better monitor program performance.  </w:t>
      </w:r>
    </w:p>
    <w:p w14:paraId="7DB7AD89" w14:textId="77777777" w:rsidR="00FF44ED" w:rsidRPr="00FF44ED" w:rsidRDefault="00FF44ED" w:rsidP="00700D14">
      <w:pPr>
        <w:rPr>
          <w:rFonts w:ascii="Calibri Light" w:hAnsi="Calibri Light" w:cstheme="minorHAnsi"/>
          <w:b/>
        </w:rPr>
      </w:pPr>
      <w:r w:rsidRPr="00FF44ED">
        <w:rPr>
          <w:rFonts w:ascii="Calibri Light" w:hAnsi="Calibri Light" w:cstheme="minorHAnsi"/>
          <w:b/>
        </w:rPr>
        <w:t>Public financial management</w:t>
      </w:r>
    </w:p>
    <w:p w14:paraId="0A896B77" w14:textId="77777777" w:rsidR="00700D14" w:rsidRPr="000C7357" w:rsidRDefault="00700D14" w:rsidP="00700D14">
      <w:r>
        <w:rPr>
          <w:rFonts w:ascii="Calibri Light" w:hAnsi="Calibri Light" w:cstheme="minorHAnsi"/>
        </w:rPr>
        <w:t>Australia and the U</w:t>
      </w:r>
      <w:r w:rsidR="00407BE9">
        <w:rPr>
          <w:rFonts w:ascii="Calibri Light" w:hAnsi="Calibri Light" w:cstheme="minorHAnsi"/>
        </w:rPr>
        <w:t>nited Kingdom</w:t>
      </w:r>
      <w:r>
        <w:rPr>
          <w:rFonts w:ascii="Calibri Light" w:hAnsi="Calibri Light" w:cstheme="minorHAnsi"/>
        </w:rPr>
        <w:t xml:space="preserve"> are major partners in public f</w:t>
      </w:r>
      <w:r w:rsidR="00E70653">
        <w:rPr>
          <w:rFonts w:ascii="Calibri Light" w:hAnsi="Calibri Light" w:cstheme="minorHAnsi"/>
        </w:rPr>
        <w:t>inancial management</w:t>
      </w:r>
      <w:r>
        <w:rPr>
          <w:rFonts w:ascii="Calibri Light" w:hAnsi="Calibri Light" w:cstheme="minorHAnsi"/>
        </w:rPr>
        <w:t>, having engaged early with the Myanmar Government in this area</w:t>
      </w:r>
      <w:r w:rsidR="00331724">
        <w:rPr>
          <w:rFonts w:ascii="Calibri Light" w:hAnsi="Calibri Light" w:cstheme="minorHAnsi"/>
        </w:rPr>
        <w:t xml:space="preserve"> through the public expenditure review (launched February 2016) to deepen our understanding of public finance systems</w:t>
      </w:r>
      <w:r>
        <w:rPr>
          <w:rFonts w:ascii="Calibri Light" w:hAnsi="Calibri Light" w:cstheme="minorHAnsi"/>
        </w:rPr>
        <w:t>.</w:t>
      </w:r>
      <w:r w:rsidRPr="00F04951">
        <w:t xml:space="preserve"> </w:t>
      </w:r>
      <w:r>
        <w:rPr>
          <w:rFonts w:ascii="Calibri Light" w:hAnsi="Calibri Light"/>
        </w:rPr>
        <w:t xml:space="preserve">Australia supported improved transparency of financial planning </w:t>
      </w:r>
      <w:r w:rsidR="000E319F">
        <w:rPr>
          <w:rFonts w:ascii="Calibri Light" w:hAnsi="Calibri Light"/>
        </w:rPr>
        <w:t>and budget processes in 2015-16</w:t>
      </w:r>
      <w:r w:rsidR="00E92B6B">
        <w:rPr>
          <w:rFonts w:ascii="Calibri Light" w:hAnsi="Calibri Light"/>
        </w:rPr>
        <w:t xml:space="preserve"> ($2 million)</w:t>
      </w:r>
      <w:r w:rsidR="00407BE9">
        <w:rPr>
          <w:rFonts w:ascii="Calibri Light" w:hAnsi="Calibri Light"/>
        </w:rPr>
        <w:t>, and in doing so met this</w:t>
      </w:r>
      <w:r w:rsidR="000E319F">
        <w:rPr>
          <w:rFonts w:ascii="Calibri Light" w:hAnsi="Calibri Light"/>
        </w:rPr>
        <w:t xml:space="preserve"> performance benchmark.</w:t>
      </w:r>
      <w:r>
        <w:rPr>
          <w:rFonts w:ascii="Calibri Light" w:hAnsi="Calibri Light"/>
        </w:rPr>
        <w:t xml:space="preserve"> This enabled the Myanmar Ministry of Planning and Finance to establish a multi-year fiscal framework, and resulted in improved budget planning among line ministries. </w:t>
      </w:r>
      <w:r w:rsidR="00177B64">
        <w:rPr>
          <w:rFonts w:ascii="Calibri Light" w:hAnsi="Calibri Light"/>
        </w:rPr>
        <w:t>In an effort to promote more transparent and accountable government, t</w:t>
      </w:r>
      <w:r>
        <w:rPr>
          <w:rFonts w:ascii="Calibri Light" w:hAnsi="Calibri Light"/>
        </w:rPr>
        <w:t>he Myanmar Government also published</w:t>
      </w:r>
      <w:r w:rsidR="00B630A7">
        <w:rPr>
          <w:rFonts w:ascii="Calibri Light" w:hAnsi="Calibri Light"/>
        </w:rPr>
        <w:t xml:space="preserve"> a</w:t>
      </w:r>
      <w:r>
        <w:rPr>
          <w:rFonts w:ascii="Calibri Light" w:hAnsi="Calibri Light"/>
        </w:rPr>
        <w:t xml:space="preserve"> budget</w:t>
      </w:r>
      <w:r w:rsidR="00177B64">
        <w:rPr>
          <w:rFonts w:ascii="Calibri Light" w:hAnsi="Calibri Light"/>
        </w:rPr>
        <w:t xml:space="preserve"> for a public audience for the fir</w:t>
      </w:r>
      <w:r w:rsidR="00E70653">
        <w:rPr>
          <w:rFonts w:ascii="Calibri Light" w:hAnsi="Calibri Light"/>
        </w:rPr>
        <w:t>st time. This “Citizens’ budget”</w:t>
      </w:r>
      <w:r>
        <w:rPr>
          <w:rFonts w:ascii="Calibri Light" w:hAnsi="Calibri Light"/>
        </w:rPr>
        <w:t xml:space="preserve"> </w:t>
      </w:r>
      <w:r w:rsidR="00177B64">
        <w:rPr>
          <w:rFonts w:ascii="Calibri Light" w:hAnsi="Calibri Light"/>
        </w:rPr>
        <w:t>explained simply and clearly how public money had been spent.</w:t>
      </w:r>
    </w:p>
    <w:p w14:paraId="54EC7019" w14:textId="77777777" w:rsidR="00700D14" w:rsidRDefault="00700D14" w:rsidP="00700D14">
      <w:pPr>
        <w:rPr>
          <w:rFonts w:ascii="Calibri Light" w:hAnsi="Calibri Light"/>
        </w:rPr>
      </w:pPr>
      <w:r>
        <w:rPr>
          <w:rFonts w:ascii="Calibri Light" w:hAnsi="Calibri Light"/>
        </w:rPr>
        <w:t>Despite these successes, little of Australia’s funding</w:t>
      </w:r>
      <w:r w:rsidR="00B630A7">
        <w:rPr>
          <w:rFonts w:ascii="Calibri Light" w:hAnsi="Calibri Light"/>
        </w:rPr>
        <w:t xml:space="preserve"> for financial management</w:t>
      </w:r>
      <w:r>
        <w:rPr>
          <w:rFonts w:ascii="Calibri Light" w:hAnsi="Calibri Light"/>
        </w:rPr>
        <w:t xml:space="preserve"> was disbursed in 2015-16 due to capacity constraints within the Ministry of Planning and Finance. Officials were learning new proc</w:t>
      </w:r>
      <w:r w:rsidR="00407BE9">
        <w:rPr>
          <w:rFonts w:ascii="Calibri Light" w:hAnsi="Calibri Light"/>
        </w:rPr>
        <w:t>urement rules and took a risk a</w:t>
      </w:r>
      <w:r>
        <w:rPr>
          <w:rFonts w:ascii="Calibri Light" w:hAnsi="Calibri Light"/>
        </w:rPr>
        <w:t>verse approach to large scale tender processes. While this has resulted in expenditure delays, the approach of placing Ministry officials in key program management positions is likely to ensure greater sustainability and ownership over the longer term.</w:t>
      </w:r>
    </w:p>
    <w:p w14:paraId="0D954DF2" w14:textId="77777777" w:rsidR="00700D14" w:rsidRPr="00700D14" w:rsidRDefault="00700D14" w:rsidP="00700D14">
      <w:pPr>
        <w:rPr>
          <w:rFonts w:ascii="Calibri Light" w:hAnsi="Calibri Light"/>
        </w:rPr>
      </w:pPr>
      <w:r>
        <w:rPr>
          <w:rFonts w:ascii="Calibri Light" w:hAnsi="Calibri Light"/>
        </w:rPr>
        <w:t xml:space="preserve">Myanmar also </w:t>
      </w:r>
      <w:r w:rsidR="00407BE9">
        <w:rPr>
          <w:rFonts w:ascii="Calibri Light" w:hAnsi="Calibri Light"/>
        </w:rPr>
        <w:t>implemented</w:t>
      </w:r>
      <w:r>
        <w:rPr>
          <w:rFonts w:ascii="Calibri Light" w:hAnsi="Calibri Light"/>
        </w:rPr>
        <w:t xml:space="preserve"> significant </w:t>
      </w:r>
      <w:r w:rsidRPr="00047464">
        <w:rPr>
          <w:rFonts w:ascii="Calibri Light" w:hAnsi="Calibri Light"/>
        </w:rPr>
        <w:t>tax reforms</w:t>
      </w:r>
      <w:r>
        <w:rPr>
          <w:rFonts w:ascii="Calibri Light" w:hAnsi="Calibri Light"/>
        </w:rPr>
        <w:t xml:space="preserve"> in 2015-16 as a result of support provided with Australian aid. As a result</w:t>
      </w:r>
      <w:r w:rsidR="00047464">
        <w:rPr>
          <w:rFonts w:ascii="Calibri Light" w:hAnsi="Calibri Light"/>
        </w:rPr>
        <w:t xml:space="preserve"> of the shift to a tax self-assessment system</w:t>
      </w:r>
      <w:r>
        <w:rPr>
          <w:rFonts w:ascii="Calibri Light" w:hAnsi="Calibri Light"/>
        </w:rPr>
        <w:t>, preliminary data suggests that tax collections have risen rapidly, with the tax to GDP ratio climbing from 6 per cent in 2012-13 to 8.5 per cent in 2015-16. This increased tax revenue means additional funding f</w:t>
      </w:r>
      <w:r w:rsidR="004459DC">
        <w:rPr>
          <w:rFonts w:ascii="Calibri Light" w:hAnsi="Calibri Light"/>
        </w:rPr>
        <w:t>or government reform priorities, which can contribute to stability in conflict-affected states.</w:t>
      </w:r>
    </w:p>
    <w:p w14:paraId="33DBEEBE" w14:textId="77777777" w:rsidR="00700D14" w:rsidRPr="00700D14" w:rsidRDefault="00700D14" w:rsidP="00700D14">
      <w:pPr>
        <w:rPr>
          <w:rFonts w:ascii="Calibri Light" w:hAnsi="Calibri Light"/>
        </w:rPr>
      </w:pPr>
      <w:r w:rsidRPr="002A0C24">
        <w:rPr>
          <w:rFonts w:ascii="Calibri Light" w:hAnsi="Calibri Light"/>
        </w:rPr>
        <w:lastRenderedPageBreak/>
        <w:t>Australia has supported the establishment of the Extractive Industries Transparency Initiative (EITI) in Myanmar</w:t>
      </w:r>
      <w:r w:rsidR="00E92B6B">
        <w:rPr>
          <w:rFonts w:ascii="Calibri Light" w:hAnsi="Calibri Light"/>
        </w:rPr>
        <w:t xml:space="preserve"> ($2 million in 2015-16)</w:t>
      </w:r>
      <w:r w:rsidRPr="002A0C24">
        <w:rPr>
          <w:rFonts w:ascii="Calibri Light" w:hAnsi="Calibri Light"/>
        </w:rPr>
        <w:t>. Myanmar’s first EITI report was published in 2015 with detailed information on revenues from the oil and gas sectors. This complements Australia’s other assistance in public financial management. The disbursement of</w:t>
      </w:r>
      <w:r w:rsidR="00407BE9">
        <w:rPr>
          <w:rFonts w:ascii="Calibri Light" w:hAnsi="Calibri Light"/>
        </w:rPr>
        <w:t xml:space="preserve"> project</w:t>
      </w:r>
      <w:r w:rsidRPr="002A0C24">
        <w:rPr>
          <w:rFonts w:ascii="Calibri Light" w:hAnsi="Calibri Light"/>
        </w:rPr>
        <w:t xml:space="preserve"> funds </w:t>
      </w:r>
      <w:r w:rsidR="00407BE9">
        <w:rPr>
          <w:rFonts w:ascii="Calibri Light" w:hAnsi="Calibri Light"/>
        </w:rPr>
        <w:t xml:space="preserve">to address the report’s findings </w:t>
      </w:r>
      <w:r w:rsidRPr="002A0C24">
        <w:rPr>
          <w:rFonts w:ascii="Calibri Light" w:hAnsi="Calibri Light"/>
        </w:rPr>
        <w:t>has been delayed by the government transition, as it requires Cabinet approval. The funds will support Myanmar to implement the recommendations of the first EITI report, and help to deliver the second report.</w:t>
      </w:r>
    </w:p>
    <w:p w14:paraId="1762C0D9" w14:textId="77777777" w:rsidR="00700D14" w:rsidRPr="00525AFE" w:rsidRDefault="00700D14" w:rsidP="00700D14">
      <w:pPr>
        <w:rPr>
          <w:rFonts w:ascii="Calibri Light" w:hAnsi="Calibri Light"/>
        </w:rPr>
      </w:pPr>
      <w:r w:rsidRPr="00525AFE">
        <w:rPr>
          <w:rFonts w:ascii="Calibri Light" w:hAnsi="Calibri Light"/>
        </w:rPr>
        <w:t xml:space="preserve">Australia’s support for inclusive economic growth and government management has </w:t>
      </w:r>
      <w:r w:rsidR="00407BE9">
        <w:rPr>
          <w:rFonts w:ascii="Calibri Light" w:hAnsi="Calibri Light"/>
        </w:rPr>
        <w:t>the potential to also promote peace and security in Myanmar, in relation to</w:t>
      </w:r>
      <w:r w:rsidRPr="00525AFE">
        <w:rPr>
          <w:rFonts w:ascii="Calibri Light" w:hAnsi="Calibri Light"/>
        </w:rPr>
        <w:t xml:space="preserve"> discussions on resource distribution with states and regions. Our PFM program supported the government’s development of a formula for resource transfers to state and region level, which could be a starting point for negotiations. </w:t>
      </w:r>
    </w:p>
    <w:p w14:paraId="428D05CC" w14:textId="77777777" w:rsidR="00D028F8" w:rsidRPr="00700D14" w:rsidRDefault="00700D14" w:rsidP="00700D14">
      <w:pPr>
        <w:rPr>
          <w:rFonts w:ascii="Calibri Light" w:hAnsi="Calibri Light"/>
        </w:rPr>
      </w:pPr>
      <w:r w:rsidRPr="00525AFE">
        <w:rPr>
          <w:rFonts w:ascii="Calibri Light" w:hAnsi="Calibri Light"/>
        </w:rPr>
        <w:t>Further, while the IFC has not focused heavily on conflict sensitivity, the recent diagnostic trade assessment included a chapter on trade and peace. This highlighted both the risks in trade reform and the opportunities for trade to help facilitate peace, and will inform thinking in the sector going forward.</w:t>
      </w:r>
    </w:p>
    <w:p w14:paraId="37242918" w14:textId="77777777" w:rsidR="002A51CA" w:rsidRPr="002A51CA"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Performance Benchmarks</w:t>
      </w:r>
      <w:r w:rsidRPr="002A51CA">
        <w:rPr>
          <w:rFonts w:asciiTheme="majorHAnsi" w:eastAsiaTheme="majorEastAsia" w:hAnsiTheme="majorHAnsi" w:cstheme="majorBidi"/>
          <w:caps/>
          <w:color w:val="495965" w:themeColor="text2"/>
          <w:sz w:val="38"/>
          <w:szCs w:val="26"/>
          <w:lang w:val="en-GB" w:eastAsia="en-US"/>
        </w:rPr>
        <w:tab/>
      </w:r>
    </w:p>
    <w:p w14:paraId="01494A3A" w14:textId="77777777" w:rsidR="00890DB8" w:rsidRPr="007806C6" w:rsidRDefault="00890DB8" w:rsidP="002A51CA">
      <w:pPr>
        <w:spacing w:after="120" w:line="280" w:lineRule="exact"/>
        <w:rPr>
          <w:rFonts w:eastAsia="Times New Roman"/>
        </w:rPr>
      </w:pPr>
      <w:r w:rsidRPr="007806C6">
        <w:rPr>
          <w:rFonts w:eastAsia="Times New Roman"/>
        </w:rPr>
        <w:t>Progress agai</w:t>
      </w:r>
      <w:r w:rsidR="007806C6" w:rsidRPr="007806C6">
        <w:rPr>
          <w:rFonts w:eastAsia="Times New Roman"/>
        </w:rPr>
        <w:t>nst performance benchmarks for</w:t>
      </w:r>
      <w:r w:rsidRPr="007806C6">
        <w:rPr>
          <w:rFonts w:eastAsia="Times New Roman"/>
        </w:rPr>
        <w:t xml:space="preserve"> each objective is discussed in the previous section and </w:t>
      </w:r>
      <w:r w:rsidR="007806C6" w:rsidRPr="007806C6">
        <w:rPr>
          <w:rFonts w:eastAsia="Times New Roman"/>
        </w:rPr>
        <w:t xml:space="preserve">summarised in the table in Annex B. </w:t>
      </w:r>
      <w:r w:rsidRPr="007806C6">
        <w:rPr>
          <w:rFonts w:eastAsia="Times New Roman"/>
        </w:rPr>
        <w:t xml:space="preserve">At present there are no program-wide performance benchmarks, but the Myanmar program will develop these later in 2016 as part of a revised AIP performance assessment framework. </w:t>
      </w:r>
    </w:p>
    <w:p w14:paraId="73B131A3" w14:textId="77777777" w:rsidR="002A51CA" w:rsidRDefault="002A51CA" w:rsidP="002A51CA">
      <w:pPr>
        <w:pStyle w:val="Heading2"/>
      </w:pPr>
      <w:r>
        <w:t>Mutual obligations</w:t>
      </w:r>
    </w:p>
    <w:p w14:paraId="6FCA3E9D" w14:textId="77777777" w:rsidR="00933AC3" w:rsidRDefault="00906E58" w:rsidP="001E21C2">
      <w:r>
        <w:t>Australia continued to deliver aid in line with the Myanmar Aid Investment Plan 2015-2020, in a way that was responsive to the Myanmar Government’s priorities. In the Myanmar context, mu</w:t>
      </w:r>
      <w:r w:rsidR="00407BE9">
        <w:t>tual obligations are framed</w:t>
      </w:r>
      <w:r>
        <w:t xml:space="preserve"> around shared development objec</w:t>
      </w:r>
      <w:r w:rsidR="00407BE9">
        <w:t>tives and interests. Australia will aim to expand its</w:t>
      </w:r>
      <w:r>
        <w:t xml:space="preserve"> dialogue o</w:t>
      </w:r>
      <w:r w:rsidR="00C52C60">
        <w:t xml:space="preserve">n development issues </w:t>
      </w:r>
      <w:r w:rsidR="00407BE9">
        <w:t>with the new government</w:t>
      </w:r>
      <w:r>
        <w:t xml:space="preserve">. </w:t>
      </w:r>
    </w:p>
    <w:p w14:paraId="3CD0F0EA" w14:textId="77777777" w:rsidR="005A6CC0" w:rsidRDefault="00906E58" w:rsidP="001E21C2">
      <w:r>
        <w:t xml:space="preserve">Myanmar </w:t>
      </w:r>
      <w:r w:rsidR="001E21C2">
        <w:t xml:space="preserve">and Australia have established </w:t>
      </w:r>
      <w:r w:rsidR="00407BE9">
        <w:t>periodic</w:t>
      </w:r>
      <w:r>
        <w:t xml:space="preserve"> </w:t>
      </w:r>
      <w:r w:rsidR="00407BE9">
        <w:t>High Level Consultations on aid.</w:t>
      </w:r>
      <w:r>
        <w:t xml:space="preserve"> </w:t>
      </w:r>
      <w:r w:rsidR="00407BE9">
        <w:t>E</w:t>
      </w:r>
      <w:r w:rsidR="00933AC3">
        <w:t>vidence of working towards shared development objectives is apparent at the sectoral level. For example, in education and public financial management, Australian officials have enjoyed worki</w:t>
      </w:r>
      <w:r w:rsidR="00407BE9">
        <w:t>ng in partnership with Myanmar G</w:t>
      </w:r>
      <w:r w:rsidR="00933AC3">
        <w:t>overnment officials to better understand Myanmar’s challenges and ensure Australian aid is appropriately tailored to addressing these challenges</w:t>
      </w:r>
      <w:r w:rsidR="00407BE9">
        <w:t xml:space="preserve"> and priorities</w:t>
      </w:r>
      <w:r w:rsidR="00933AC3">
        <w:t>.</w:t>
      </w:r>
    </w:p>
    <w:p w14:paraId="36B71FCB" w14:textId="77777777" w:rsidR="002A51CA" w:rsidRPr="002A51CA" w:rsidRDefault="002A51CA" w:rsidP="002A51CA">
      <w:pPr>
        <w:pStyle w:val="Heading2"/>
      </w:pPr>
      <w:r w:rsidRPr="002A51CA">
        <w:t xml:space="preserve">Program Quality and Partner Performance </w:t>
      </w:r>
    </w:p>
    <w:p w14:paraId="2A4B7FF8" w14:textId="77777777" w:rsidR="002A51CA" w:rsidRPr="002A51CA" w:rsidRDefault="002A51CA" w:rsidP="002A51CA">
      <w:pPr>
        <w:rPr>
          <w:b/>
          <w:lang w:eastAsia="zh-CN"/>
        </w:rPr>
      </w:pPr>
      <w:r w:rsidRPr="002A51CA">
        <w:rPr>
          <w:b/>
          <w:lang w:eastAsia="zh-CN"/>
        </w:rPr>
        <w:t>Overview</w:t>
      </w:r>
      <w:r w:rsidRPr="002A51CA">
        <w:rPr>
          <w:b/>
          <w:lang w:eastAsia="zh-CN"/>
        </w:rPr>
        <w:tab/>
      </w:r>
      <w:r w:rsidRPr="002A51CA">
        <w:rPr>
          <w:b/>
          <w:lang w:eastAsia="zh-CN"/>
        </w:rPr>
        <w:tab/>
      </w:r>
    </w:p>
    <w:p w14:paraId="2D79230A" w14:textId="77777777" w:rsidR="00A424B0" w:rsidRDefault="00760412" w:rsidP="002A51CA">
      <w:pPr>
        <w:spacing w:after="120" w:line="280" w:lineRule="exact"/>
        <w:rPr>
          <w:rFonts w:eastAsia="Times New Roman"/>
        </w:rPr>
      </w:pPr>
      <w:r>
        <w:rPr>
          <w:rFonts w:eastAsia="Times New Roman"/>
        </w:rPr>
        <w:t>Australia’</w:t>
      </w:r>
      <w:r w:rsidR="00363658">
        <w:rPr>
          <w:rFonts w:eastAsia="Times New Roman"/>
        </w:rPr>
        <w:t>s aid program in Myanmar underwent a</w:t>
      </w:r>
      <w:r>
        <w:rPr>
          <w:rFonts w:eastAsia="Times New Roman"/>
        </w:rPr>
        <w:t xml:space="preserve"> transition in 2015-16. In addition to shifting to a new Aid Investment Plan, we also </w:t>
      </w:r>
      <w:r w:rsidR="00AD4B2C">
        <w:rPr>
          <w:rFonts w:eastAsia="Times New Roman"/>
        </w:rPr>
        <w:t>focused on shifting the approach from that of an emerging aid program –</w:t>
      </w:r>
      <w:r w:rsidR="00363658">
        <w:rPr>
          <w:rFonts w:eastAsia="Times New Roman"/>
        </w:rPr>
        <w:t xml:space="preserve"> delivering a diverse portfolio through</w:t>
      </w:r>
      <w:r w:rsidR="00AD4B2C">
        <w:rPr>
          <w:rFonts w:eastAsia="Times New Roman"/>
        </w:rPr>
        <w:t xml:space="preserve"> many implementing partners</w:t>
      </w:r>
      <w:r w:rsidR="00363658">
        <w:rPr>
          <w:rFonts w:eastAsia="Times New Roman"/>
        </w:rPr>
        <w:t>, testing approaches, and spreading</w:t>
      </w:r>
      <w:r w:rsidR="00AD4B2C">
        <w:rPr>
          <w:rFonts w:eastAsia="Times New Roman"/>
        </w:rPr>
        <w:t xml:space="preserve"> risk (which is highly resource intensive) – to a more typical development program with longer term, more predictable funding to fewer established partners. </w:t>
      </w:r>
      <w:r w:rsidR="00D658B9">
        <w:rPr>
          <w:rFonts w:eastAsia="Times New Roman"/>
        </w:rPr>
        <w:t xml:space="preserve"> </w:t>
      </w:r>
      <w:r w:rsidR="00AD4B2C">
        <w:rPr>
          <w:rFonts w:eastAsia="Times New Roman"/>
        </w:rPr>
        <w:t xml:space="preserve">This transition has </w:t>
      </w:r>
      <w:r w:rsidR="00407BE9">
        <w:rPr>
          <w:rFonts w:eastAsia="Times New Roman"/>
        </w:rPr>
        <w:t>led to consolidation</w:t>
      </w:r>
      <w:r w:rsidR="00AD4B2C">
        <w:rPr>
          <w:rFonts w:eastAsia="Times New Roman"/>
        </w:rPr>
        <w:t xml:space="preserve"> in some areas, namely education, inclusive economic growth, </w:t>
      </w:r>
      <w:r w:rsidR="00A424B0">
        <w:rPr>
          <w:rFonts w:eastAsia="Times New Roman"/>
        </w:rPr>
        <w:t xml:space="preserve">government management and peace. We anticipate this will lead to better coordination and monitoring, and reduced transaction costs. </w:t>
      </w:r>
      <w:r w:rsidR="000641DC">
        <w:rPr>
          <w:rFonts w:eastAsia="Times New Roman"/>
        </w:rPr>
        <w:t>In 2016</w:t>
      </w:r>
      <w:r w:rsidR="00407BE9">
        <w:rPr>
          <w:rFonts w:eastAsia="Times New Roman"/>
        </w:rPr>
        <w:t>,</w:t>
      </w:r>
      <w:r w:rsidR="000641DC">
        <w:rPr>
          <w:rFonts w:eastAsia="Times New Roman"/>
        </w:rPr>
        <w:t xml:space="preserve"> Australia ranked third among bilateral donors to Myanmar on average investment size, indicating our aid portfolio is already consolidated by comparison.</w:t>
      </w:r>
    </w:p>
    <w:p w14:paraId="1B41F739" w14:textId="77777777" w:rsidR="00D658B9" w:rsidRDefault="00AD4B2C" w:rsidP="002A51CA">
      <w:pPr>
        <w:spacing w:after="120" w:line="280" w:lineRule="exact"/>
        <w:rPr>
          <w:rFonts w:eastAsia="Times New Roman"/>
        </w:rPr>
      </w:pPr>
      <w:r>
        <w:rPr>
          <w:rFonts w:eastAsia="Times New Roman"/>
        </w:rPr>
        <w:t xml:space="preserve">But </w:t>
      </w:r>
      <w:r w:rsidR="00A424B0">
        <w:rPr>
          <w:rFonts w:eastAsia="Times New Roman"/>
        </w:rPr>
        <w:t xml:space="preserve">our humanitarian portfolio remains proliferated and highly resource intensive due to absorptive capacity constraints, the limited geographical coverage of some </w:t>
      </w:r>
      <w:r>
        <w:rPr>
          <w:rFonts w:eastAsia="Times New Roman"/>
        </w:rPr>
        <w:t xml:space="preserve">humanitarian partners, </w:t>
      </w:r>
      <w:r w:rsidR="00A424B0">
        <w:rPr>
          <w:rFonts w:eastAsia="Times New Roman"/>
        </w:rPr>
        <w:t>and the limitation of single year humanitarian funding. We will advocate for a more consolidated approach and multi-year funding commitments as part of a Myanmar humanitarian strategy, which is being developed in 2016-17.</w:t>
      </w:r>
    </w:p>
    <w:p w14:paraId="4CB60F36" w14:textId="77777777" w:rsidR="00760412" w:rsidRDefault="00A424B0" w:rsidP="002A51CA">
      <w:pPr>
        <w:spacing w:after="120" w:line="280" w:lineRule="exact"/>
        <w:rPr>
          <w:rFonts w:eastAsia="Times New Roman"/>
        </w:rPr>
      </w:pPr>
      <w:r>
        <w:rPr>
          <w:rFonts w:eastAsia="Times New Roman"/>
        </w:rPr>
        <w:lastRenderedPageBreak/>
        <w:t xml:space="preserve">A performance assessment framework (PAF) for the Myanmar Aid Investment Plan was developed in October 2015 and has formed the basis for assessing performance in this report. However, the PAF was developed </w:t>
      </w:r>
      <w:r w:rsidR="00760412">
        <w:rPr>
          <w:rFonts w:eastAsia="Times New Roman"/>
        </w:rPr>
        <w:t>when a number of major inves</w:t>
      </w:r>
      <w:r>
        <w:rPr>
          <w:rFonts w:eastAsia="Times New Roman"/>
        </w:rPr>
        <w:t>tments were still under design, and as a consequence the existing PAF does not capture</w:t>
      </w:r>
      <w:r w:rsidR="004F5F47">
        <w:rPr>
          <w:rFonts w:eastAsia="Times New Roman"/>
        </w:rPr>
        <w:t xml:space="preserve"> some major </w:t>
      </w:r>
      <w:r>
        <w:rPr>
          <w:rFonts w:eastAsia="Times New Roman"/>
        </w:rPr>
        <w:t xml:space="preserve">investments. We have reviewed the PAF and </w:t>
      </w:r>
      <w:r w:rsidR="00760412">
        <w:rPr>
          <w:rFonts w:eastAsia="Times New Roman"/>
        </w:rPr>
        <w:t xml:space="preserve">identified areas for revision, to align with </w:t>
      </w:r>
      <w:r>
        <w:rPr>
          <w:rFonts w:eastAsia="Times New Roman"/>
        </w:rPr>
        <w:t xml:space="preserve">the aid </w:t>
      </w:r>
      <w:r w:rsidR="00760412">
        <w:rPr>
          <w:rFonts w:eastAsia="Times New Roman"/>
        </w:rPr>
        <w:t>portfolio going forward.</w:t>
      </w:r>
      <w:r>
        <w:rPr>
          <w:rFonts w:eastAsia="Times New Roman"/>
        </w:rPr>
        <w:t xml:space="preserve"> In addition, we will strengthen our focus on program quality by including program management measures in the PAF. This exercise will be finalised in 2016.</w:t>
      </w:r>
    </w:p>
    <w:p w14:paraId="7F726BB9" w14:textId="77777777" w:rsidR="005A6CC0" w:rsidRDefault="00A424B0" w:rsidP="002A51CA">
      <w:pPr>
        <w:spacing w:after="120" w:line="280" w:lineRule="exact"/>
        <w:rPr>
          <w:rFonts w:eastAsia="Times New Roman"/>
        </w:rPr>
      </w:pPr>
      <w:r>
        <w:rPr>
          <w:rFonts w:eastAsia="Times New Roman"/>
        </w:rPr>
        <w:t>The Myanmar program did not conduct any evaluations in 2015-16, after six were complete</w:t>
      </w:r>
      <w:r w:rsidR="00C52C60">
        <w:rPr>
          <w:rFonts w:eastAsia="Times New Roman"/>
        </w:rPr>
        <w:t>d in the previous year. This</w:t>
      </w:r>
      <w:r>
        <w:rPr>
          <w:rFonts w:eastAsia="Times New Roman"/>
        </w:rPr>
        <w:t xml:space="preserve"> largely </w:t>
      </w:r>
      <w:r w:rsidR="00C52C60">
        <w:rPr>
          <w:rFonts w:eastAsia="Times New Roman"/>
        </w:rPr>
        <w:t xml:space="preserve">reflects </w:t>
      </w:r>
      <w:r w:rsidR="001A74E1">
        <w:rPr>
          <w:rFonts w:eastAsia="Times New Roman"/>
        </w:rPr>
        <w:t>the timing of program</w:t>
      </w:r>
      <w:r>
        <w:rPr>
          <w:rFonts w:eastAsia="Times New Roman"/>
        </w:rPr>
        <w:t xml:space="preserve"> cycles. </w:t>
      </w:r>
      <w:r w:rsidR="005A6CC0">
        <w:rPr>
          <w:rFonts w:eastAsia="Times New Roman"/>
        </w:rPr>
        <w:t>Previous evaluation rec</w:t>
      </w:r>
      <w:r w:rsidR="001A74E1">
        <w:rPr>
          <w:rFonts w:eastAsia="Times New Roman"/>
        </w:rPr>
        <w:t>ommendations have been acted on. For example, the Myanmar Education Consortium has undergone substantial strategic and governance reforms in response to a 2015 mid-term review, while humanitarian funding to the Thai-Myanmar border was extended in line with a</w:t>
      </w:r>
      <w:r w:rsidR="00407BE9">
        <w:rPr>
          <w:rFonts w:eastAsia="Times New Roman"/>
        </w:rPr>
        <w:t>n evaluation</w:t>
      </w:r>
      <w:r w:rsidR="001A74E1">
        <w:rPr>
          <w:rFonts w:eastAsia="Times New Roman"/>
        </w:rPr>
        <w:t xml:space="preserve"> recommendation. We will con</w:t>
      </w:r>
      <w:r w:rsidR="00760412">
        <w:rPr>
          <w:rFonts w:eastAsia="Times New Roman"/>
        </w:rPr>
        <w:t xml:space="preserve">tinue to conduct reviews and </w:t>
      </w:r>
      <w:r w:rsidR="001A74E1">
        <w:rPr>
          <w:rFonts w:eastAsia="Times New Roman"/>
        </w:rPr>
        <w:t xml:space="preserve">evaluations </w:t>
      </w:r>
      <w:r w:rsidR="00760412">
        <w:rPr>
          <w:rFonts w:eastAsia="Times New Roman"/>
        </w:rPr>
        <w:t xml:space="preserve">where it makes sense. </w:t>
      </w:r>
      <w:r w:rsidR="001A74E1">
        <w:rPr>
          <w:rFonts w:eastAsia="Times New Roman"/>
        </w:rPr>
        <w:t>In 2016-17, we anticipate the major independent evaluation for the Myanmar program will examine the Decentralising Funding for Schools Project. This evaluation could</w:t>
      </w:r>
      <w:r w:rsidR="00760412">
        <w:rPr>
          <w:rFonts w:eastAsia="Times New Roman"/>
        </w:rPr>
        <w:t xml:space="preserve"> generate</w:t>
      </w:r>
      <w:r w:rsidR="001A74E1">
        <w:rPr>
          <w:rFonts w:eastAsia="Times New Roman"/>
        </w:rPr>
        <w:t xml:space="preserve"> a useful</w:t>
      </w:r>
      <w:r w:rsidR="00760412">
        <w:rPr>
          <w:rFonts w:eastAsia="Times New Roman"/>
        </w:rPr>
        <w:t xml:space="preserve"> evidence base for working through government</w:t>
      </w:r>
      <w:r w:rsidR="001A74E1">
        <w:rPr>
          <w:rFonts w:eastAsia="Times New Roman"/>
        </w:rPr>
        <w:t xml:space="preserve"> systems, as it was the first example of a major donor adopting such an approach in Myanmar.</w:t>
      </w:r>
    </w:p>
    <w:p w14:paraId="639B81A1" w14:textId="77777777" w:rsidR="005A6CC0" w:rsidRDefault="00407BE9" w:rsidP="002A51CA">
      <w:pPr>
        <w:spacing w:after="120" w:line="280" w:lineRule="exact"/>
        <w:rPr>
          <w:rFonts w:eastAsia="Times New Roman"/>
        </w:rPr>
      </w:pPr>
      <w:r>
        <w:rPr>
          <w:rFonts w:eastAsia="Times New Roman"/>
        </w:rPr>
        <w:t xml:space="preserve">A significant proportion of budget expenditure occurred in the last quarter of the financial year. </w:t>
      </w:r>
      <w:r w:rsidR="001E3BC2">
        <w:rPr>
          <w:rFonts w:eastAsia="Times New Roman"/>
        </w:rPr>
        <w:t>The investment pipeline for Australia’s</w:t>
      </w:r>
      <w:r>
        <w:rPr>
          <w:rFonts w:eastAsia="Times New Roman"/>
        </w:rPr>
        <w:t xml:space="preserve"> future aid program to Myanmar is now</w:t>
      </w:r>
      <w:r w:rsidR="001E3BC2">
        <w:rPr>
          <w:rFonts w:eastAsia="Times New Roman"/>
        </w:rPr>
        <w:t xml:space="preserve"> much firmer</w:t>
      </w:r>
      <w:r>
        <w:rPr>
          <w:rFonts w:eastAsia="Times New Roman"/>
        </w:rPr>
        <w:t>, which</w:t>
      </w:r>
      <w:r w:rsidR="001E3BC2">
        <w:rPr>
          <w:rFonts w:eastAsia="Times New Roman"/>
        </w:rPr>
        <w:t xml:space="preserve"> </w:t>
      </w:r>
      <w:r>
        <w:rPr>
          <w:rFonts w:eastAsia="Times New Roman"/>
        </w:rPr>
        <w:t xml:space="preserve">provides </w:t>
      </w:r>
      <w:r w:rsidR="001E3BC2">
        <w:rPr>
          <w:rFonts w:eastAsia="Times New Roman"/>
        </w:rPr>
        <w:t>clarity for all managers</w:t>
      </w:r>
      <w:r w:rsidR="00C52C60">
        <w:rPr>
          <w:rFonts w:eastAsia="Times New Roman"/>
        </w:rPr>
        <w:t xml:space="preserve"> and implementing partners</w:t>
      </w:r>
      <w:r>
        <w:rPr>
          <w:rFonts w:eastAsia="Times New Roman"/>
        </w:rPr>
        <w:t>.</w:t>
      </w:r>
      <w:r w:rsidR="001E3BC2">
        <w:rPr>
          <w:rFonts w:eastAsia="Times New Roman"/>
        </w:rPr>
        <w:t xml:space="preserve"> </w:t>
      </w:r>
      <w:r>
        <w:rPr>
          <w:rFonts w:eastAsia="Times New Roman"/>
        </w:rPr>
        <w:t>F</w:t>
      </w:r>
      <w:r w:rsidR="008E07A0">
        <w:rPr>
          <w:rFonts w:eastAsia="Times New Roman"/>
        </w:rPr>
        <w:t xml:space="preserve">urther work </w:t>
      </w:r>
      <w:r>
        <w:rPr>
          <w:rFonts w:eastAsia="Times New Roman"/>
        </w:rPr>
        <w:t>will be undertaken</w:t>
      </w:r>
      <w:r w:rsidR="008E07A0">
        <w:rPr>
          <w:rFonts w:eastAsia="Times New Roman"/>
        </w:rPr>
        <w:t xml:space="preserve"> to clarify</w:t>
      </w:r>
      <w:r w:rsidR="001E3BC2">
        <w:rPr>
          <w:rFonts w:eastAsia="Times New Roman"/>
        </w:rPr>
        <w:t xml:space="preserve"> budget split</w:t>
      </w:r>
      <w:r>
        <w:rPr>
          <w:rFonts w:eastAsia="Times New Roman"/>
        </w:rPr>
        <w:t>s</w:t>
      </w:r>
      <w:r w:rsidR="001E3BC2">
        <w:rPr>
          <w:rFonts w:eastAsia="Times New Roman"/>
        </w:rPr>
        <w:t xml:space="preserve"> across the three AIP objectives to accommodate program peaks by shifting funding le</w:t>
      </w:r>
      <w:r>
        <w:rPr>
          <w:rFonts w:eastAsia="Times New Roman"/>
        </w:rPr>
        <w:t>vels between programs each year</w:t>
      </w:r>
      <w:r w:rsidR="00BA3177">
        <w:rPr>
          <w:rFonts w:eastAsia="Times New Roman"/>
        </w:rPr>
        <w:t xml:space="preserve">. </w:t>
      </w:r>
      <w:r w:rsidR="00C52C60">
        <w:rPr>
          <w:rFonts w:eastAsia="Times New Roman"/>
        </w:rPr>
        <w:t>We have</w:t>
      </w:r>
      <w:r w:rsidR="00BA3177">
        <w:rPr>
          <w:rFonts w:eastAsia="Times New Roman"/>
        </w:rPr>
        <w:t xml:space="preserve"> been focused on committing the pipeline through multi-year funding agreements, while building in flexibility to enable an effective response to the new Myanmar Government if required. </w:t>
      </w:r>
    </w:p>
    <w:p w14:paraId="5FC8ED34" w14:textId="77777777" w:rsidR="003F1C6A" w:rsidRDefault="00C52C60" w:rsidP="00C52C60">
      <w:pPr>
        <w:spacing w:after="120" w:line="280" w:lineRule="exact"/>
        <w:rPr>
          <w:rFonts w:eastAsia="Times New Roman"/>
        </w:rPr>
      </w:pPr>
      <w:r>
        <w:rPr>
          <w:rFonts w:eastAsia="Times New Roman"/>
        </w:rPr>
        <w:t>In light of the Australian aid budget reductions, the i</w:t>
      </w:r>
      <w:r w:rsidR="003F1C6A">
        <w:rPr>
          <w:rFonts w:eastAsia="Times New Roman"/>
        </w:rPr>
        <w:t xml:space="preserve">mportance of </w:t>
      </w:r>
      <w:r>
        <w:rPr>
          <w:rFonts w:eastAsia="Times New Roman"/>
        </w:rPr>
        <w:t>Australia’s strong technical expertise in maintaining policy engagement has come to the fore.</w:t>
      </w:r>
      <w:r w:rsidR="003F1C6A">
        <w:rPr>
          <w:rFonts w:eastAsia="Times New Roman"/>
        </w:rPr>
        <w:t xml:space="preserve"> Our expertise and pragmatism as a donor have enabled us to maintai</w:t>
      </w:r>
      <w:r>
        <w:rPr>
          <w:rFonts w:eastAsia="Times New Roman"/>
        </w:rPr>
        <w:t xml:space="preserve">n influence with new government to date, and we recognise the need to preserve and </w:t>
      </w:r>
      <w:r w:rsidR="003F1C6A">
        <w:rPr>
          <w:rFonts w:eastAsia="Times New Roman"/>
        </w:rPr>
        <w:t>va</w:t>
      </w:r>
      <w:r>
        <w:rPr>
          <w:rFonts w:eastAsia="Times New Roman"/>
        </w:rPr>
        <w:t>lue this technical expertise going forward.</w:t>
      </w:r>
    </w:p>
    <w:p w14:paraId="3A40DD6D" w14:textId="77777777" w:rsidR="002A51CA" w:rsidRPr="002A51CA" w:rsidRDefault="002A51CA" w:rsidP="002A51CA">
      <w:pPr>
        <w:pStyle w:val="Heading2"/>
      </w:pPr>
      <w:r w:rsidRPr="002A51CA">
        <w:t>Anal</w:t>
      </w:r>
      <w:r w:rsidR="001E21C2">
        <w:t>ysis of Aid Quality Checks (AQC</w:t>
      </w:r>
      <w:r w:rsidR="001E21C2">
        <w:rPr>
          <w:caps w:val="0"/>
        </w:rPr>
        <w:t>s</w:t>
      </w:r>
      <w:r w:rsidRPr="002A51CA">
        <w:t>)</w:t>
      </w:r>
    </w:p>
    <w:p w14:paraId="657B69E6" w14:textId="5D7FECCC" w:rsidR="005107F9" w:rsidRDefault="008235CA" w:rsidP="002A51CA">
      <w:pPr>
        <w:spacing w:after="120" w:line="280" w:lineRule="exact"/>
        <w:rPr>
          <w:rFonts w:eastAsia="Times New Roman"/>
        </w:rPr>
      </w:pPr>
      <w:r>
        <w:rPr>
          <w:rFonts w:eastAsia="Times New Roman"/>
        </w:rPr>
        <w:t xml:space="preserve">In 2015-16 we completed </w:t>
      </w:r>
      <w:r w:rsidR="00943D2A">
        <w:rPr>
          <w:rFonts w:eastAsia="Times New Roman"/>
        </w:rPr>
        <w:t>10</w:t>
      </w:r>
      <w:r w:rsidR="005107F9">
        <w:rPr>
          <w:rFonts w:eastAsia="Times New Roman"/>
        </w:rPr>
        <w:t xml:space="preserve"> </w:t>
      </w:r>
      <w:r>
        <w:rPr>
          <w:rFonts w:eastAsia="Times New Roman"/>
        </w:rPr>
        <w:t xml:space="preserve">AQCs </w:t>
      </w:r>
      <w:r w:rsidR="005107F9">
        <w:rPr>
          <w:rFonts w:eastAsia="Times New Roman"/>
        </w:rPr>
        <w:t>and one humanitarian AQC</w:t>
      </w:r>
      <w:r>
        <w:rPr>
          <w:rFonts w:eastAsia="Times New Roman"/>
        </w:rPr>
        <w:t xml:space="preserve">. Ratings were similar to those in 2014-15. The ratings of the education investments improved, while those for the Supporting Reform, Improving Governance investment declined. The decline resulted from the inclusion of a broad range of governance activities in the one AQC, whereas the 2015 AQC covered only the high-performing electoral support program. </w:t>
      </w:r>
      <w:r w:rsidR="005107F9">
        <w:rPr>
          <w:rFonts w:eastAsia="Times New Roman"/>
        </w:rPr>
        <w:t xml:space="preserve">The ratings were nonetheless adequate in 2016. </w:t>
      </w:r>
    </w:p>
    <w:p w14:paraId="4A9A8B73" w14:textId="0FAC3FA1" w:rsidR="008235CA" w:rsidRPr="00C1325E" w:rsidRDefault="008235CA" w:rsidP="002A51CA">
      <w:pPr>
        <w:spacing w:after="120" w:line="280" w:lineRule="exact"/>
        <w:rPr>
          <w:rFonts w:eastAsia="Times New Roman"/>
          <w:highlight w:val="yellow"/>
        </w:rPr>
      </w:pPr>
      <w:r w:rsidRPr="003B7AAE">
        <w:rPr>
          <w:rFonts w:eastAsia="Times New Roman"/>
        </w:rPr>
        <w:t xml:space="preserve">There are no investments requiring improvement in the Myanmar program. A summary of AQC ratings is at Annex D. </w:t>
      </w:r>
    </w:p>
    <w:p w14:paraId="25E48E06" w14:textId="07ED2316" w:rsidR="005107F9" w:rsidRDefault="005107F9" w:rsidP="002A51CA">
      <w:pPr>
        <w:spacing w:after="120" w:line="280" w:lineRule="exact"/>
        <w:rPr>
          <w:rFonts w:eastAsia="Times New Roman"/>
        </w:rPr>
      </w:pPr>
      <w:r w:rsidRPr="003B7AAE">
        <w:rPr>
          <w:rFonts w:eastAsia="Times New Roman"/>
        </w:rPr>
        <w:t xml:space="preserve">Against a target of 85 per cent, </w:t>
      </w:r>
      <w:r w:rsidR="00FA0C14">
        <w:rPr>
          <w:rFonts w:eastAsia="Times New Roman"/>
        </w:rPr>
        <w:t>90</w:t>
      </w:r>
      <w:r w:rsidR="00F04C33">
        <w:rPr>
          <w:rFonts w:eastAsia="Times New Roman"/>
        </w:rPr>
        <w:t xml:space="preserve"> per cent of investments </w:t>
      </w:r>
      <w:r w:rsidR="00633960">
        <w:rPr>
          <w:rFonts w:eastAsia="Times New Roman"/>
        </w:rPr>
        <w:t xml:space="preserve">in the Myanmar program in 2015-16 </w:t>
      </w:r>
      <w:r w:rsidR="00F04C33" w:rsidRPr="003B7AAE">
        <w:rPr>
          <w:rFonts w:eastAsia="Times New Roman"/>
        </w:rPr>
        <w:t xml:space="preserve">received adequate or better ratings against </w:t>
      </w:r>
      <w:r w:rsidR="00F04C33">
        <w:rPr>
          <w:rFonts w:eastAsia="Times New Roman"/>
        </w:rPr>
        <w:t>the efficiency criteria</w:t>
      </w:r>
      <w:r w:rsidR="0061760A">
        <w:rPr>
          <w:rFonts w:eastAsia="Times New Roman"/>
        </w:rPr>
        <w:t xml:space="preserve"> (up from 73 per cent</w:t>
      </w:r>
      <w:r w:rsidR="00633960">
        <w:rPr>
          <w:rFonts w:eastAsia="Times New Roman"/>
        </w:rPr>
        <w:t xml:space="preserve"> in 2014-15</w:t>
      </w:r>
      <w:r w:rsidR="0061760A">
        <w:rPr>
          <w:rFonts w:eastAsia="Times New Roman"/>
        </w:rPr>
        <w:t>)</w:t>
      </w:r>
      <w:r w:rsidR="00F04C33">
        <w:rPr>
          <w:rFonts w:eastAsia="Times New Roman"/>
        </w:rPr>
        <w:t>, and</w:t>
      </w:r>
      <w:r w:rsidR="00F04C33" w:rsidRPr="003B7AAE">
        <w:rPr>
          <w:rFonts w:eastAsia="Times New Roman"/>
        </w:rPr>
        <w:t xml:space="preserve"> </w:t>
      </w:r>
      <w:r w:rsidR="00F04C33">
        <w:rPr>
          <w:rFonts w:eastAsia="Times New Roman"/>
        </w:rPr>
        <w:t>82</w:t>
      </w:r>
      <w:r w:rsidRPr="003B7AAE">
        <w:rPr>
          <w:rFonts w:eastAsia="Times New Roman"/>
        </w:rPr>
        <w:t xml:space="preserve"> per cent of investments </w:t>
      </w:r>
      <w:r w:rsidR="0019095B">
        <w:rPr>
          <w:rFonts w:eastAsia="Times New Roman"/>
        </w:rPr>
        <w:t>were rated as</w:t>
      </w:r>
      <w:r w:rsidRPr="003B7AAE">
        <w:rPr>
          <w:rFonts w:eastAsia="Times New Roman"/>
        </w:rPr>
        <w:t xml:space="preserve"> effective</w:t>
      </w:r>
      <w:r w:rsidR="00633960">
        <w:rPr>
          <w:rFonts w:eastAsia="Times New Roman"/>
        </w:rPr>
        <w:t xml:space="preserve"> (up from 64 per cent in 2014-15)</w:t>
      </w:r>
      <w:r w:rsidR="0019095B">
        <w:rPr>
          <w:rFonts w:eastAsia="Times New Roman"/>
        </w:rPr>
        <w:t>.</w:t>
      </w:r>
      <w:r w:rsidR="00F04C33">
        <w:rPr>
          <w:rFonts w:eastAsia="Times New Roman"/>
        </w:rPr>
        <w:t xml:space="preserve"> </w:t>
      </w:r>
      <w:r w:rsidR="00945CDE" w:rsidRPr="003B7AAE">
        <w:rPr>
          <w:rFonts w:eastAsia="Times New Roman"/>
        </w:rPr>
        <w:t>This improvement is largely due to the extensive efforts of program managers and DFAT staff in implementing the recommendation of six reviews and evaluations conducted in 2014-15.</w:t>
      </w:r>
    </w:p>
    <w:p w14:paraId="4C294E73" w14:textId="03D4EC95" w:rsidR="005107F9" w:rsidRDefault="005107F9" w:rsidP="002A51CA">
      <w:pPr>
        <w:spacing w:after="120" w:line="280" w:lineRule="exact"/>
        <w:rPr>
          <w:rFonts w:eastAsia="Times New Roman"/>
        </w:rPr>
      </w:pPr>
      <w:r w:rsidRPr="004D5B01">
        <w:rPr>
          <w:rFonts w:eastAsia="Times New Roman"/>
        </w:rPr>
        <w:t xml:space="preserve">The Myanmar program met the gender equality strategic target for the aid program, with </w:t>
      </w:r>
      <w:r w:rsidR="007B2582">
        <w:rPr>
          <w:rFonts w:eastAsia="Times New Roman"/>
        </w:rPr>
        <w:t>9</w:t>
      </w:r>
      <w:r w:rsidRPr="004D5B01">
        <w:rPr>
          <w:rFonts w:eastAsia="Times New Roman"/>
        </w:rPr>
        <w:t xml:space="preserve"> out of 1</w:t>
      </w:r>
      <w:r w:rsidR="007B2582">
        <w:rPr>
          <w:rFonts w:eastAsia="Times New Roman"/>
        </w:rPr>
        <w:t>1</w:t>
      </w:r>
      <w:r w:rsidRPr="004D5B01">
        <w:rPr>
          <w:rFonts w:eastAsia="Times New Roman"/>
        </w:rPr>
        <w:t xml:space="preserve"> investments </w:t>
      </w:r>
      <w:r w:rsidR="009B29F8" w:rsidRPr="004D5B01">
        <w:rPr>
          <w:rFonts w:eastAsia="Times New Roman"/>
        </w:rPr>
        <w:t>(8</w:t>
      </w:r>
      <w:r w:rsidR="00FA0C14">
        <w:rPr>
          <w:rFonts w:eastAsia="Times New Roman"/>
        </w:rPr>
        <w:t>2</w:t>
      </w:r>
      <w:r w:rsidR="009B29F8" w:rsidRPr="004D5B01">
        <w:rPr>
          <w:rFonts w:eastAsia="Times New Roman"/>
        </w:rPr>
        <w:t xml:space="preserve"> per cent) </w:t>
      </w:r>
      <w:r w:rsidRPr="004D5B01">
        <w:rPr>
          <w:rFonts w:eastAsia="Times New Roman"/>
        </w:rPr>
        <w:t xml:space="preserve">receiving a rating of adequate or above. The Myanmar Investment Climate and Private Sector Program and the ACIAR Multidisciplinary Research Program received a less than adequate rating for gender equality. </w:t>
      </w:r>
      <w:r w:rsidR="009B29F8" w:rsidRPr="004D5B01">
        <w:rPr>
          <w:rFonts w:eastAsia="Times New Roman"/>
        </w:rPr>
        <w:t>Program managers, including DFAT’s Regional Gender Specialist, have been working closely with both partners through implementation to strengthen gender sensitive programming. The low ratings reflect a lack of gender awareness among implementing partners and beneficiaries, and a lack of sex disaggregated reporting.</w:t>
      </w:r>
    </w:p>
    <w:p w14:paraId="67B37C8C" w14:textId="77777777" w:rsidR="009B29F8" w:rsidRDefault="009B29F8" w:rsidP="002A51CA">
      <w:pPr>
        <w:spacing w:after="120" w:line="280" w:lineRule="exact"/>
        <w:rPr>
          <w:rFonts w:eastAsia="Times New Roman"/>
        </w:rPr>
      </w:pPr>
      <w:r>
        <w:rPr>
          <w:rFonts w:eastAsia="Times New Roman"/>
        </w:rPr>
        <w:lastRenderedPageBreak/>
        <w:t xml:space="preserve">Across the program there has been an increased effort to promote gender equality and women’s empowerment; this was reflected across the AQCs. However, this effort has not yet translated into noticeable improvements. We </w:t>
      </w:r>
      <w:r w:rsidR="00407BE9">
        <w:rPr>
          <w:rFonts w:eastAsia="Times New Roman"/>
        </w:rPr>
        <w:t xml:space="preserve">will continue to work with our partners to improve their </w:t>
      </w:r>
      <w:r>
        <w:rPr>
          <w:rFonts w:eastAsia="Times New Roman"/>
        </w:rPr>
        <w:t xml:space="preserve">awareness </w:t>
      </w:r>
      <w:r w:rsidR="00407BE9">
        <w:rPr>
          <w:rFonts w:eastAsia="Times New Roman"/>
        </w:rPr>
        <w:t>of the way aid investments can impact women, men, girls and boys in different ways</w:t>
      </w:r>
      <w:r>
        <w:rPr>
          <w:rFonts w:eastAsia="Times New Roman"/>
        </w:rPr>
        <w:t>.</w:t>
      </w:r>
    </w:p>
    <w:p w14:paraId="6BBE00D7" w14:textId="77777777" w:rsidR="002A51CA" w:rsidRPr="002A51CA" w:rsidRDefault="002A51CA" w:rsidP="002A51CA">
      <w:pPr>
        <w:pStyle w:val="Heading2"/>
      </w:pPr>
      <w:r w:rsidRPr="002A51CA">
        <w:t>Performance of key delivery partners</w:t>
      </w:r>
    </w:p>
    <w:p w14:paraId="73332D37" w14:textId="77777777" w:rsidR="005D4C1D" w:rsidRDefault="005D4C1D" w:rsidP="002A51CA">
      <w:r>
        <w:t xml:space="preserve">Reflecting </w:t>
      </w:r>
      <w:r w:rsidR="007806C6">
        <w:t>Australia’s medium-sized</w:t>
      </w:r>
      <w:r>
        <w:t xml:space="preserve"> donor position</w:t>
      </w:r>
      <w:r w:rsidR="004F5F47">
        <w:t xml:space="preserve"> in Myanmar, much of our aid was</w:t>
      </w:r>
      <w:r w:rsidR="007806C6">
        <w:t xml:space="preserve"> delivered</w:t>
      </w:r>
      <w:r>
        <w:t xml:space="preserve"> </w:t>
      </w:r>
      <w:r w:rsidR="007806C6">
        <w:t>through multi-donor trust funds managed by the World Bank Group and UN agencies. Increasingly,</w:t>
      </w:r>
      <w:r>
        <w:t xml:space="preserve"> these funds are working with and through </w:t>
      </w:r>
      <w:r w:rsidR="007806C6">
        <w:t xml:space="preserve">the Myanmar </w:t>
      </w:r>
      <w:r w:rsidR="00EB5D43">
        <w:t>G</w:t>
      </w:r>
      <w:r>
        <w:t xml:space="preserve">overnment. </w:t>
      </w:r>
      <w:r w:rsidR="007806C6">
        <w:t>Australia also provides</w:t>
      </w:r>
      <w:r>
        <w:t xml:space="preserve"> direct funding to international NGO</w:t>
      </w:r>
      <w:r w:rsidR="007806C6">
        <w:t>s and local partners, largely those involved in the</w:t>
      </w:r>
      <w:r>
        <w:t xml:space="preserve"> peace</w:t>
      </w:r>
      <w:r w:rsidR="007806C6">
        <w:t xml:space="preserve"> process</w:t>
      </w:r>
      <w:r>
        <w:t xml:space="preserve"> and humanitarian</w:t>
      </w:r>
      <w:r w:rsidR="007806C6">
        <w:t xml:space="preserve"> assistance</w:t>
      </w:r>
      <w:r>
        <w:t>.</w:t>
      </w:r>
      <w:r w:rsidR="00732C55">
        <w:t xml:space="preserve"> In 2016 the Myanmar aid program completed 11 Partner Performance Assessments, which covered six multilateral organisations and five NGOs. </w:t>
      </w:r>
    </w:p>
    <w:p w14:paraId="0D5A9397" w14:textId="77777777" w:rsidR="00013212" w:rsidRDefault="00013212" w:rsidP="002A51CA">
      <w:r w:rsidRPr="00013212">
        <w:t>The World Bank Multi Donor Trust Fun</w:t>
      </w:r>
      <w:r w:rsidR="00A55B8D">
        <w:t>d (MDTF) investment windows</w:t>
      </w:r>
      <w:r w:rsidRPr="00013212">
        <w:t xml:space="preserve"> continued to be results focused and deliver high quality support for relevant partners.</w:t>
      </w:r>
      <w:r w:rsidR="00A55B8D">
        <w:t xml:space="preserve"> In 2015-16 the World Bank improved its performance on conflict sensitivity, but continued to rely on Australian expertise on gender equality and women’s empowerment. The World Bank’s responsiveness was reflected in the relocation of two team leader positions to Yangon at Australia’s request. </w:t>
      </w:r>
      <w:r w:rsidR="00EE75E3">
        <w:t>There is scope to strengthen the coordination between the various MDTF windows, particularly education and public financial management. The Bank’s monitoring and evaluation system is very strong, and has enabled the education window to evolve into a more sophisticated and complex program.</w:t>
      </w:r>
    </w:p>
    <w:p w14:paraId="66DCBE07" w14:textId="77777777" w:rsidR="00527AFC" w:rsidRDefault="00EE75E3" w:rsidP="002A51CA">
      <w:r>
        <w:t>Austr</w:t>
      </w:r>
      <w:r w:rsidR="00E70653">
        <w:t xml:space="preserve">alia funded </w:t>
      </w:r>
      <w:r w:rsidR="00527AFC">
        <w:t>IFES</w:t>
      </w:r>
      <w:r>
        <w:t xml:space="preserve"> to support the conduct of Myanmar’s </w:t>
      </w:r>
      <w:r w:rsidR="00E70653">
        <w:t>2015 elections</w:t>
      </w:r>
      <w:r>
        <w:t xml:space="preserve">. </w:t>
      </w:r>
      <w:r w:rsidR="00E70653">
        <w:t>IFES</w:t>
      </w:r>
      <w:r w:rsidR="00732C55" w:rsidRPr="00732C55">
        <w:t xml:space="preserve"> proved to be an e</w:t>
      </w:r>
      <w:r w:rsidR="00732C55">
        <w:t xml:space="preserve">ffective, responsive partner that built trust with the Myanmar </w:t>
      </w:r>
      <w:r w:rsidR="00E70653">
        <w:t>UEC</w:t>
      </w:r>
      <w:r w:rsidR="00732C55">
        <w:t xml:space="preserve"> </w:t>
      </w:r>
      <w:r w:rsidR="00732C55" w:rsidRPr="00732C55">
        <w:t xml:space="preserve">and earned respect among donors and implementers. </w:t>
      </w:r>
      <w:r>
        <w:t>IFES’ support was instrumental in improving</w:t>
      </w:r>
      <w:r w:rsidRPr="00EE75E3">
        <w:t xml:space="preserve"> UEC’s ability to manage the </w:t>
      </w:r>
      <w:r w:rsidR="00732C55">
        <w:t>elections</w:t>
      </w:r>
      <w:r w:rsidRPr="00EE75E3">
        <w:t>.</w:t>
      </w:r>
      <w:r w:rsidR="00772135">
        <w:t xml:space="preserve"> Both IFES and the UEC delivered a credible and transparent election against high expectations and significant scrutiny.</w:t>
      </w:r>
      <w:r w:rsidR="00732C55" w:rsidRPr="00732C55">
        <w:t xml:space="preserve"> </w:t>
      </w:r>
      <w:r w:rsidR="00732C55">
        <w:t>IFES proved</w:t>
      </w:r>
      <w:r w:rsidR="00732C55" w:rsidRPr="00732C55">
        <w:t xml:space="preserve"> to be</w:t>
      </w:r>
      <w:r w:rsidR="00732C55">
        <w:t xml:space="preserve"> a highly responsive and communicative partner</w:t>
      </w:r>
      <w:r w:rsidR="00732C55" w:rsidRPr="00732C55">
        <w:t xml:space="preserve">. IFES </w:t>
      </w:r>
      <w:r w:rsidR="00732C55">
        <w:t xml:space="preserve">effectively </w:t>
      </w:r>
      <w:r w:rsidR="00732C55" w:rsidRPr="00732C55">
        <w:t xml:space="preserve">chaired the </w:t>
      </w:r>
      <w:r w:rsidR="00732C55">
        <w:t xml:space="preserve">Myanmar </w:t>
      </w:r>
      <w:r w:rsidR="00732C55" w:rsidRPr="00732C55">
        <w:t xml:space="preserve">Elections Support Group, </w:t>
      </w:r>
      <w:r w:rsidR="00732C55">
        <w:t>sharing</w:t>
      </w:r>
      <w:r w:rsidR="00732C55" w:rsidRPr="00732C55">
        <w:t xml:space="preserve"> updates and emerging issues</w:t>
      </w:r>
      <w:r w:rsidR="00732C55">
        <w:t>, and provided regular high quality analysis to donor</w:t>
      </w:r>
      <w:r w:rsidR="00E76E2A">
        <w:t>s.</w:t>
      </w:r>
      <w:r w:rsidR="00732C55">
        <w:t xml:space="preserve"> </w:t>
      </w:r>
    </w:p>
    <w:p w14:paraId="3D72F8E5" w14:textId="77777777" w:rsidR="00732C55" w:rsidRDefault="00527AFC" w:rsidP="002A51CA">
      <w:r>
        <w:t>Save the Children Australia</w:t>
      </w:r>
      <w:r w:rsidR="00732C55">
        <w:t xml:space="preserve"> (SCA) manages the Myanmar Education Consortium (MEC) and delivers humanitarian assistance in Myanmar and to refugee camps on the Thai border. </w:t>
      </w:r>
      <w:r w:rsidR="00C24D51">
        <w:t>Australia</w:t>
      </w:r>
      <w:r w:rsidR="00732C55" w:rsidRPr="00732C55">
        <w:t xml:space="preserve"> welcomed SCA's constructive approach </w:t>
      </w:r>
      <w:r w:rsidR="00C24D51">
        <w:t>and response to the 2015 mid-term review</w:t>
      </w:r>
      <w:r w:rsidR="00732C55" w:rsidRPr="00732C55">
        <w:t xml:space="preserve">, including </w:t>
      </w:r>
      <w:r w:rsidR="00C24D51">
        <w:t xml:space="preserve">their proactive approach in refocusing </w:t>
      </w:r>
      <w:r w:rsidR="00732C55" w:rsidRPr="00732C55">
        <w:t>priorities through the</w:t>
      </w:r>
      <w:r w:rsidR="00C24D51">
        <w:t xml:space="preserve"> development of a</w:t>
      </w:r>
      <w:r w:rsidR="00732C55" w:rsidRPr="00732C55">
        <w:t xml:space="preserve"> new </w:t>
      </w:r>
      <w:r w:rsidR="00C24D51">
        <w:t xml:space="preserve">program </w:t>
      </w:r>
      <w:r w:rsidR="00732C55" w:rsidRPr="00732C55">
        <w:t>strategy, increasing policy engagement</w:t>
      </w:r>
      <w:r w:rsidR="00C24D51">
        <w:t>,</w:t>
      </w:r>
      <w:r w:rsidR="00732C55" w:rsidRPr="00732C55">
        <w:t xml:space="preserve"> </w:t>
      </w:r>
      <w:r w:rsidR="00C24D51">
        <w:t xml:space="preserve">improving governance, </w:t>
      </w:r>
      <w:r w:rsidR="00732C55" w:rsidRPr="00732C55">
        <w:t>and strengthening technical expertise within the MEC team.</w:t>
      </w:r>
    </w:p>
    <w:p w14:paraId="7EC347AC" w14:textId="77777777" w:rsidR="004F5F47" w:rsidRDefault="004F5F47" w:rsidP="002A51CA">
      <w:r>
        <w:t>In 2015-16, Australia concluded its support to a poor performing UNICEF education investment, focusing instead on increased support to the Myanmar Ministry of Education.</w:t>
      </w:r>
    </w:p>
    <w:p w14:paraId="24A19390" w14:textId="77777777" w:rsidR="002A51CA" w:rsidRPr="002A51CA" w:rsidRDefault="002A51CA" w:rsidP="002A51CA">
      <w:pPr>
        <w:pStyle w:val="Heading2"/>
      </w:pPr>
      <w:r w:rsidRPr="002A51CA">
        <w:t>Risks</w:t>
      </w:r>
    </w:p>
    <w:p w14:paraId="65A6BB60" w14:textId="77777777" w:rsidR="002A51CA" w:rsidRPr="008C2F58" w:rsidRDefault="002A51CA" w:rsidP="002A51CA">
      <w:pPr>
        <w:rPr>
          <w:b/>
          <w:sz w:val="24"/>
        </w:rPr>
      </w:pPr>
      <w:r w:rsidRPr="008C2F58">
        <w:rPr>
          <w:b/>
          <w:sz w:val="24"/>
        </w:rPr>
        <w:t>Table 3 Management of Key Risks to Achieving Objectives</w:t>
      </w:r>
    </w:p>
    <w:tbl>
      <w:tblPr>
        <w:tblStyle w:val="APPR"/>
        <w:tblW w:w="5000" w:type="pct"/>
        <w:tblLook w:val="0600" w:firstRow="0" w:lastRow="0" w:firstColumn="0" w:lastColumn="0" w:noHBand="1" w:noVBand="1"/>
      </w:tblPr>
      <w:tblGrid>
        <w:gridCol w:w="2246"/>
        <w:gridCol w:w="2495"/>
        <w:gridCol w:w="2552"/>
        <w:gridCol w:w="2345"/>
      </w:tblGrid>
      <w:tr w:rsidR="002A51CA" w:rsidRPr="00C61187" w14:paraId="7B70064B" w14:textId="77777777" w:rsidTr="002A51CA">
        <w:tc>
          <w:tcPr>
            <w:tcW w:w="2270" w:type="dxa"/>
            <w:hideMark/>
          </w:tcPr>
          <w:p w14:paraId="486F3754" w14:textId="77777777"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lastRenderedPageBreak/>
              <w:t>Key risks</w:t>
            </w:r>
          </w:p>
        </w:tc>
        <w:tc>
          <w:tcPr>
            <w:tcW w:w="2544" w:type="dxa"/>
          </w:tcPr>
          <w:p w14:paraId="6DAA691B" w14:textId="77777777"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What actions were taken to manage the risks over the past year?</w:t>
            </w:r>
          </w:p>
        </w:tc>
        <w:tc>
          <w:tcPr>
            <w:tcW w:w="2604" w:type="dxa"/>
          </w:tcPr>
          <w:p w14:paraId="3D8F179C" w14:textId="77777777"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What further actions will be taken to manage the risks in the coming year?</w:t>
            </w:r>
          </w:p>
        </w:tc>
        <w:tc>
          <w:tcPr>
            <w:tcW w:w="2352" w:type="dxa"/>
          </w:tcPr>
          <w:p w14:paraId="35899D9B" w14:textId="77777777"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For emerging/ongoing risks provide a Risk Rating (low, medium, high, very high)</w:t>
            </w:r>
          </w:p>
        </w:tc>
      </w:tr>
      <w:tr w:rsidR="002A51CA" w:rsidRPr="00C61187" w14:paraId="211AA938" w14:textId="77777777" w:rsidTr="002A51CA">
        <w:tc>
          <w:tcPr>
            <w:tcW w:w="2270" w:type="dxa"/>
            <w:hideMark/>
          </w:tcPr>
          <w:p w14:paraId="13AE53ED" w14:textId="77777777" w:rsidR="002A51CA" w:rsidRPr="003B0793" w:rsidRDefault="00B614C5" w:rsidP="00E70653">
            <w:pPr>
              <w:tabs>
                <w:tab w:val="left" w:pos="0"/>
                <w:tab w:val="left" w:pos="284"/>
              </w:tabs>
              <w:spacing w:before="40" w:after="40" w:line="200" w:lineRule="atLeast"/>
              <w:rPr>
                <w:rFonts w:asciiTheme="minorHAnsi" w:eastAsia="Times New Roman" w:hAnsiTheme="minorHAnsi"/>
                <w:sz w:val="16"/>
                <w:szCs w:val="16"/>
              </w:rPr>
            </w:pPr>
            <w:r>
              <w:rPr>
                <w:rFonts w:asciiTheme="minorHAnsi" w:eastAsia="Times New Roman" w:hAnsiTheme="minorHAnsi"/>
                <w:sz w:val="16"/>
                <w:szCs w:val="16"/>
              </w:rPr>
              <w:t>A change in the priorities of the Myanmar Government could result in misalignment of Australian aid activities</w:t>
            </w:r>
            <w:r w:rsidR="002A51CA" w:rsidRPr="003B0793">
              <w:rPr>
                <w:rFonts w:asciiTheme="minorHAnsi" w:eastAsia="Times New Roman" w:hAnsiTheme="minorHAnsi"/>
                <w:sz w:val="16"/>
                <w:szCs w:val="16"/>
              </w:rPr>
              <w:t xml:space="preserve"> </w:t>
            </w:r>
            <w:r>
              <w:rPr>
                <w:rFonts w:asciiTheme="minorHAnsi" w:eastAsia="Times New Roman" w:hAnsiTheme="minorHAnsi"/>
                <w:sz w:val="16"/>
                <w:szCs w:val="16"/>
              </w:rPr>
              <w:t>with government interests.</w:t>
            </w:r>
            <w:r w:rsidR="002A51CA" w:rsidRPr="003B0793">
              <w:rPr>
                <w:rFonts w:asciiTheme="minorHAnsi" w:eastAsia="Times New Roman" w:hAnsiTheme="minorHAnsi"/>
                <w:sz w:val="16"/>
                <w:szCs w:val="16"/>
              </w:rPr>
              <w:t xml:space="preserve"> </w:t>
            </w:r>
          </w:p>
          <w:p w14:paraId="21D65522" w14:textId="77777777" w:rsidR="002A51CA" w:rsidRPr="003B0793" w:rsidRDefault="002A51CA" w:rsidP="00227951">
            <w:pPr>
              <w:tabs>
                <w:tab w:val="left" w:pos="0"/>
                <w:tab w:val="left" w:pos="284"/>
              </w:tabs>
              <w:rPr>
                <w:rFonts w:asciiTheme="minorHAnsi" w:eastAsia="Times New Roman" w:hAnsiTheme="minorHAnsi"/>
                <w:sz w:val="16"/>
                <w:szCs w:val="16"/>
              </w:rPr>
            </w:pPr>
          </w:p>
        </w:tc>
        <w:tc>
          <w:tcPr>
            <w:tcW w:w="2544" w:type="dxa"/>
          </w:tcPr>
          <w:p w14:paraId="368CCF5F" w14:textId="77777777" w:rsidR="002A51CA" w:rsidRPr="00B614C5" w:rsidRDefault="00227951" w:rsidP="00227951">
            <w:pPr>
              <w:keepLines/>
              <w:spacing w:before="40" w:after="40" w:line="200" w:lineRule="atLeast"/>
              <w:rPr>
                <w:rFonts w:asciiTheme="minorHAnsi" w:eastAsia="Times New Roman" w:hAnsiTheme="minorHAnsi"/>
                <w:iCs/>
                <w:sz w:val="16"/>
                <w:szCs w:val="16"/>
                <w:lang w:eastAsia="en-US"/>
              </w:rPr>
            </w:pPr>
            <w:r>
              <w:rPr>
                <w:rFonts w:asciiTheme="minorHAnsi" w:eastAsia="Times New Roman" w:hAnsiTheme="minorHAnsi"/>
                <w:iCs/>
                <w:sz w:val="16"/>
                <w:szCs w:val="16"/>
                <w:lang w:eastAsia="en-US"/>
              </w:rPr>
              <w:t>Australia m</w:t>
            </w:r>
            <w:r w:rsidR="00B614C5" w:rsidRPr="00B614C5">
              <w:rPr>
                <w:rFonts w:asciiTheme="minorHAnsi" w:eastAsia="Times New Roman" w:hAnsiTheme="minorHAnsi"/>
                <w:iCs/>
                <w:sz w:val="16"/>
                <w:szCs w:val="16"/>
                <w:lang w:eastAsia="en-US"/>
              </w:rPr>
              <w:t>onitor</w:t>
            </w:r>
            <w:r>
              <w:rPr>
                <w:rFonts w:asciiTheme="minorHAnsi" w:eastAsia="Times New Roman" w:hAnsiTheme="minorHAnsi"/>
                <w:iCs/>
                <w:sz w:val="16"/>
                <w:szCs w:val="16"/>
                <w:lang w:eastAsia="en-US"/>
              </w:rPr>
              <w:t>ed political developments;</w:t>
            </w:r>
            <w:r w:rsidR="00B614C5">
              <w:rPr>
                <w:rFonts w:asciiTheme="minorHAnsi" w:eastAsia="Times New Roman" w:hAnsiTheme="minorHAnsi"/>
                <w:iCs/>
                <w:sz w:val="16"/>
                <w:szCs w:val="16"/>
                <w:lang w:eastAsia="en-US"/>
              </w:rPr>
              <w:t xml:space="preserve"> built relationships with gove</w:t>
            </w:r>
            <w:r>
              <w:rPr>
                <w:rFonts w:asciiTheme="minorHAnsi" w:eastAsia="Times New Roman" w:hAnsiTheme="minorHAnsi"/>
                <w:iCs/>
                <w:sz w:val="16"/>
                <w:szCs w:val="16"/>
                <w:lang w:eastAsia="en-US"/>
              </w:rPr>
              <w:t>rnment;</w:t>
            </w:r>
            <w:r w:rsidR="00B614C5">
              <w:rPr>
                <w:rFonts w:asciiTheme="minorHAnsi" w:eastAsia="Times New Roman" w:hAnsiTheme="minorHAnsi"/>
                <w:iCs/>
                <w:sz w:val="16"/>
                <w:szCs w:val="16"/>
                <w:lang w:eastAsia="en-US"/>
              </w:rPr>
              <w:t xml:space="preserve"> </w:t>
            </w:r>
            <w:r>
              <w:rPr>
                <w:rFonts w:asciiTheme="minorHAnsi" w:eastAsia="Times New Roman" w:hAnsiTheme="minorHAnsi"/>
                <w:iCs/>
                <w:sz w:val="16"/>
                <w:szCs w:val="16"/>
                <w:lang w:eastAsia="en-US"/>
              </w:rPr>
              <w:t>built</w:t>
            </w:r>
            <w:r w:rsidR="00B614C5" w:rsidRPr="00B614C5">
              <w:rPr>
                <w:rFonts w:asciiTheme="minorHAnsi" w:eastAsia="Times New Roman" w:hAnsiTheme="minorHAnsi"/>
                <w:iCs/>
                <w:sz w:val="16"/>
                <w:szCs w:val="16"/>
                <w:lang w:eastAsia="en-US"/>
              </w:rPr>
              <w:t xml:space="preserve"> flexibility into all new aid activities to</w:t>
            </w:r>
            <w:r>
              <w:rPr>
                <w:rFonts w:asciiTheme="minorHAnsi" w:eastAsia="Times New Roman" w:hAnsiTheme="minorHAnsi"/>
                <w:iCs/>
                <w:sz w:val="16"/>
                <w:szCs w:val="16"/>
                <w:lang w:eastAsia="en-US"/>
              </w:rPr>
              <w:t xml:space="preserve"> enable the program </w:t>
            </w:r>
            <w:r w:rsidR="00B614C5" w:rsidRPr="00B614C5">
              <w:rPr>
                <w:rFonts w:asciiTheme="minorHAnsi" w:eastAsia="Times New Roman" w:hAnsiTheme="minorHAnsi"/>
                <w:iCs/>
                <w:sz w:val="16"/>
                <w:szCs w:val="16"/>
                <w:lang w:eastAsia="en-US"/>
              </w:rPr>
              <w:t>to respond to changing priorities and maintain our reputation a</w:t>
            </w:r>
            <w:r>
              <w:rPr>
                <w:rFonts w:asciiTheme="minorHAnsi" w:eastAsia="Times New Roman" w:hAnsiTheme="minorHAnsi"/>
                <w:iCs/>
                <w:sz w:val="16"/>
                <w:szCs w:val="16"/>
                <w:lang w:eastAsia="en-US"/>
              </w:rPr>
              <w:t>s an effective, flexible donor; and balanced</w:t>
            </w:r>
            <w:r w:rsidR="00B614C5" w:rsidRPr="00B614C5">
              <w:rPr>
                <w:rFonts w:asciiTheme="minorHAnsi" w:eastAsia="Times New Roman" w:hAnsiTheme="minorHAnsi"/>
                <w:iCs/>
                <w:sz w:val="16"/>
                <w:szCs w:val="16"/>
                <w:lang w:eastAsia="en-US"/>
              </w:rPr>
              <w:t xml:space="preserve">                                               </w:t>
            </w:r>
            <w:r>
              <w:rPr>
                <w:rFonts w:asciiTheme="minorHAnsi" w:eastAsia="Times New Roman" w:hAnsiTheme="minorHAnsi"/>
                <w:iCs/>
                <w:sz w:val="16"/>
                <w:szCs w:val="16"/>
                <w:lang w:eastAsia="en-US"/>
              </w:rPr>
              <w:t xml:space="preserve">              </w:t>
            </w:r>
            <w:r w:rsidR="00B614C5" w:rsidRPr="00B614C5">
              <w:rPr>
                <w:rFonts w:asciiTheme="minorHAnsi" w:eastAsia="Times New Roman" w:hAnsiTheme="minorHAnsi"/>
                <w:iCs/>
                <w:sz w:val="16"/>
                <w:szCs w:val="16"/>
                <w:lang w:eastAsia="en-US"/>
              </w:rPr>
              <w:t xml:space="preserve"> investments to government and non-government service providers.</w:t>
            </w:r>
          </w:p>
        </w:tc>
        <w:tc>
          <w:tcPr>
            <w:tcW w:w="2604" w:type="dxa"/>
          </w:tcPr>
          <w:p w14:paraId="52FC3711" w14:textId="77777777" w:rsidR="002A51CA" w:rsidRPr="00227951" w:rsidRDefault="00227951" w:rsidP="00D15A00">
            <w:pPr>
              <w:keepLines/>
              <w:spacing w:before="40" w:after="40" w:line="200" w:lineRule="atLeast"/>
              <w:rPr>
                <w:rFonts w:asciiTheme="minorHAnsi" w:eastAsia="Times New Roman" w:hAnsiTheme="minorHAnsi"/>
                <w:iCs/>
                <w:sz w:val="16"/>
                <w:szCs w:val="16"/>
                <w:lang w:eastAsia="en-US"/>
              </w:rPr>
            </w:pPr>
            <w:r w:rsidRPr="00227951">
              <w:rPr>
                <w:rFonts w:asciiTheme="minorHAnsi" w:eastAsia="Times New Roman" w:hAnsiTheme="minorHAnsi"/>
                <w:iCs/>
                <w:sz w:val="16"/>
                <w:szCs w:val="16"/>
                <w:lang w:eastAsia="en-US"/>
              </w:rPr>
              <w:t>Continue with existing controls and strengthen relationships with the new Myanmar Government.</w:t>
            </w:r>
          </w:p>
        </w:tc>
        <w:tc>
          <w:tcPr>
            <w:tcW w:w="2352" w:type="dxa"/>
          </w:tcPr>
          <w:p w14:paraId="30D972ED" w14:textId="77777777" w:rsidR="002A51CA" w:rsidRPr="00227951" w:rsidRDefault="00227951" w:rsidP="00D15A00">
            <w:pPr>
              <w:keepLines/>
              <w:spacing w:before="40" w:after="40" w:line="200" w:lineRule="atLeast"/>
              <w:rPr>
                <w:rFonts w:asciiTheme="minorHAnsi" w:eastAsia="Times New Roman" w:hAnsiTheme="minorHAnsi"/>
                <w:iCs/>
                <w:sz w:val="16"/>
                <w:szCs w:val="16"/>
                <w:lang w:eastAsia="en-US"/>
              </w:rPr>
            </w:pPr>
            <w:r w:rsidRPr="00227951">
              <w:rPr>
                <w:rFonts w:asciiTheme="minorHAnsi" w:eastAsia="Times New Roman" w:hAnsiTheme="minorHAnsi"/>
                <w:iCs/>
                <w:sz w:val="16"/>
                <w:szCs w:val="16"/>
                <w:lang w:eastAsia="en-US"/>
              </w:rPr>
              <w:t>Moderate</w:t>
            </w:r>
          </w:p>
        </w:tc>
      </w:tr>
      <w:tr w:rsidR="002A51CA" w:rsidRPr="00C61187" w14:paraId="56C539DA" w14:textId="77777777" w:rsidTr="002A51CA">
        <w:tc>
          <w:tcPr>
            <w:tcW w:w="2270" w:type="dxa"/>
            <w:hideMark/>
          </w:tcPr>
          <w:p w14:paraId="16DA88E3" w14:textId="77777777" w:rsidR="008C009C" w:rsidRDefault="00227951" w:rsidP="00227951">
            <w:pPr>
              <w:keepLines/>
              <w:spacing w:before="40" w:after="40" w:line="200" w:lineRule="atLeast"/>
              <w:rPr>
                <w:rFonts w:asciiTheme="minorHAnsi" w:eastAsia="Times New Roman" w:hAnsiTheme="minorHAnsi"/>
                <w:iCs/>
                <w:sz w:val="16"/>
                <w:szCs w:val="16"/>
                <w:lang w:eastAsia="en-US"/>
              </w:rPr>
            </w:pPr>
            <w:bookmarkStart w:id="0" w:name="_GoBack"/>
            <w:bookmarkEnd w:id="0"/>
            <w:r w:rsidRPr="008C009C">
              <w:rPr>
                <w:rFonts w:asciiTheme="minorHAnsi" w:eastAsia="Times New Roman" w:hAnsiTheme="minorHAnsi"/>
                <w:iCs/>
                <w:sz w:val="16"/>
                <w:szCs w:val="16"/>
                <w:lang w:eastAsia="en-US"/>
              </w:rPr>
              <w:t>Australia loses influence with government and other stakeholders due to increasing number of donors and lower relative size of Australian aid program.</w:t>
            </w:r>
          </w:p>
          <w:p w14:paraId="58C22123" w14:textId="77777777" w:rsidR="009D1DE5" w:rsidRDefault="009D1DE5" w:rsidP="00227951">
            <w:pPr>
              <w:keepLines/>
              <w:spacing w:before="40" w:after="40" w:line="200" w:lineRule="atLeast"/>
              <w:rPr>
                <w:rFonts w:asciiTheme="minorHAnsi" w:eastAsia="Times New Roman" w:hAnsiTheme="minorHAnsi"/>
                <w:iCs/>
                <w:sz w:val="16"/>
                <w:szCs w:val="16"/>
                <w:lang w:eastAsia="en-US"/>
              </w:rPr>
            </w:pPr>
          </w:p>
          <w:p w14:paraId="2A7E3028" w14:textId="77777777" w:rsidR="008C009C" w:rsidRPr="008C009C" w:rsidRDefault="008C009C" w:rsidP="00227951">
            <w:pPr>
              <w:keepLines/>
              <w:spacing w:before="40" w:after="40" w:line="200" w:lineRule="atLeast"/>
              <w:rPr>
                <w:rFonts w:asciiTheme="minorHAnsi" w:eastAsia="Times New Roman" w:hAnsiTheme="minorHAnsi"/>
                <w:iCs/>
                <w:sz w:val="16"/>
                <w:szCs w:val="16"/>
                <w:lang w:eastAsia="en-US"/>
              </w:rPr>
            </w:pPr>
            <w:r w:rsidRPr="008C009C">
              <w:rPr>
                <w:rFonts w:asciiTheme="minorHAnsi" w:eastAsia="Times New Roman" w:hAnsiTheme="minorHAnsi"/>
                <w:iCs/>
                <w:sz w:val="16"/>
                <w:szCs w:val="16"/>
                <w:lang w:eastAsia="en-US"/>
              </w:rPr>
              <w:t>Limited staff resources and staff movements delay program pipeline planning and maintains pressure on existing staff.</w:t>
            </w:r>
          </w:p>
        </w:tc>
        <w:tc>
          <w:tcPr>
            <w:tcW w:w="2544" w:type="dxa"/>
          </w:tcPr>
          <w:p w14:paraId="460A2C59" w14:textId="77777777" w:rsidR="008C009C" w:rsidRDefault="00227951" w:rsidP="00227951">
            <w:pPr>
              <w:keepLines/>
              <w:spacing w:before="40" w:after="40" w:line="200" w:lineRule="atLeast"/>
              <w:rPr>
                <w:rFonts w:asciiTheme="minorHAnsi" w:eastAsia="Times New Roman" w:hAnsiTheme="minorHAnsi"/>
                <w:iCs/>
                <w:sz w:val="16"/>
                <w:szCs w:val="16"/>
                <w:lang w:eastAsia="en-US"/>
              </w:rPr>
            </w:pPr>
            <w:r w:rsidRPr="008C009C">
              <w:rPr>
                <w:rFonts w:asciiTheme="minorHAnsi" w:eastAsia="Times New Roman" w:hAnsiTheme="minorHAnsi"/>
                <w:iCs/>
                <w:sz w:val="16"/>
                <w:szCs w:val="16"/>
                <w:lang w:eastAsia="en-US"/>
              </w:rPr>
              <w:t xml:space="preserve">Australia managed ongoing engagement with Myanmar Government and targeted investments on specific areas of influence and experience.         </w:t>
            </w:r>
          </w:p>
          <w:p w14:paraId="0F54268E" w14:textId="77777777" w:rsidR="008C009C" w:rsidRDefault="008C009C" w:rsidP="00227951">
            <w:pPr>
              <w:keepLines/>
              <w:spacing w:before="40" w:after="40" w:line="200" w:lineRule="atLeast"/>
              <w:rPr>
                <w:rFonts w:asciiTheme="minorHAnsi" w:eastAsia="Times New Roman" w:hAnsiTheme="minorHAnsi"/>
                <w:iCs/>
                <w:sz w:val="16"/>
                <w:szCs w:val="16"/>
                <w:lang w:eastAsia="en-US"/>
              </w:rPr>
            </w:pPr>
          </w:p>
          <w:p w14:paraId="2A57CF5B" w14:textId="77777777" w:rsidR="008C009C" w:rsidRDefault="008C009C" w:rsidP="00227951">
            <w:pPr>
              <w:keepLines/>
              <w:spacing w:before="40" w:after="40" w:line="200" w:lineRule="atLeast"/>
              <w:rPr>
                <w:rFonts w:asciiTheme="minorHAnsi" w:eastAsia="Times New Roman" w:hAnsiTheme="minorHAnsi"/>
                <w:iCs/>
                <w:sz w:val="16"/>
                <w:szCs w:val="16"/>
                <w:lang w:eastAsia="en-US"/>
              </w:rPr>
            </w:pPr>
          </w:p>
          <w:p w14:paraId="05BAB1A0" w14:textId="77777777" w:rsidR="002A51CA" w:rsidRPr="008C009C" w:rsidRDefault="008C009C" w:rsidP="008C009C">
            <w:pPr>
              <w:keepLines/>
              <w:spacing w:before="40" w:after="40" w:line="200" w:lineRule="atLeast"/>
              <w:rPr>
                <w:rFonts w:asciiTheme="minorHAnsi" w:eastAsia="Times New Roman" w:hAnsiTheme="minorHAnsi"/>
                <w:iCs/>
                <w:sz w:val="16"/>
                <w:szCs w:val="16"/>
                <w:lang w:eastAsia="en-US"/>
              </w:rPr>
            </w:pPr>
            <w:r>
              <w:rPr>
                <w:rFonts w:asciiTheme="minorHAnsi" w:eastAsia="Times New Roman" w:hAnsiTheme="minorHAnsi"/>
                <w:iCs/>
                <w:sz w:val="16"/>
                <w:szCs w:val="16"/>
                <w:lang w:eastAsia="en-US"/>
              </w:rPr>
              <w:t>Australia retained t</w:t>
            </w:r>
            <w:r w:rsidRPr="008C009C">
              <w:rPr>
                <w:rFonts w:asciiTheme="minorHAnsi" w:eastAsia="Times New Roman" w:hAnsiTheme="minorHAnsi"/>
                <w:iCs/>
                <w:sz w:val="16"/>
                <w:szCs w:val="16"/>
                <w:lang w:eastAsia="en-US"/>
              </w:rPr>
              <w:t xml:space="preserve">echnical </w:t>
            </w:r>
            <w:r>
              <w:rPr>
                <w:rFonts w:asciiTheme="minorHAnsi" w:eastAsia="Times New Roman" w:hAnsiTheme="minorHAnsi"/>
                <w:iCs/>
                <w:sz w:val="16"/>
                <w:szCs w:val="16"/>
                <w:lang w:eastAsia="en-US"/>
              </w:rPr>
              <w:t>staff and advisors</w:t>
            </w:r>
            <w:r w:rsidRPr="008C009C">
              <w:rPr>
                <w:rFonts w:asciiTheme="minorHAnsi" w:eastAsia="Times New Roman" w:hAnsiTheme="minorHAnsi"/>
                <w:iCs/>
                <w:sz w:val="16"/>
                <w:szCs w:val="16"/>
                <w:lang w:eastAsia="en-US"/>
              </w:rPr>
              <w:t xml:space="preserve"> </w:t>
            </w:r>
            <w:r>
              <w:rPr>
                <w:rFonts w:asciiTheme="minorHAnsi" w:eastAsia="Times New Roman" w:hAnsiTheme="minorHAnsi"/>
                <w:iCs/>
                <w:sz w:val="16"/>
                <w:szCs w:val="16"/>
                <w:lang w:eastAsia="en-US"/>
              </w:rPr>
              <w:t>to inform program decisions, drew on Canberra resources</w:t>
            </w:r>
            <w:r w:rsidRPr="008C009C">
              <w:rPr>
                <w:rFonts w:asciiTheme="minorHAnsi" w:eastAsia="Times New Roman" w:hAnsiTheme="minorHAnsi"/>
                <w:iCs/>
                <w:sz w:val="16"/>
                <w:szCs w:val="16"/>
                <w:lang w:eastAsia="en-US"/>
              </w:rPr>
              <w:t xml:space="preserve"> to support design and p</w:t>
            </w:r>
            <w:r>
              <w:rPr>
                <w:rFonts w:asciiTheme="minorHAnsi" w:eastAsia="Times New Roman" w:hAnsiTheme="minorHAnsi"/>
                <w:iCs/>
                <w:sz w:val="16"/>
                <w:szCs w:val="16"/>
                <w:lang w:eastAsia="en-US"/>
              </w:rPr>
              <w:t>rogram management.</w:t>
            </w:r>
            <w:r w:rsidRPr="008C009C">
              <w:rPr>
                <w:rFonts w:asciiTheme="minorHAnsi" w:eastAsia="Times New Roman" w:hAnsiTheme="minorHAnsi"/>
                <w:iCs/>
                <w:sz w:val="16"/>
                <w:szCs w:val="16"/>
                <w:lang w:eastAsia="en-US"/>
              </w:rPr>
              <w:t xml:space="preserve">                                                  </w:t>
            </w:r>
          </w:p>
        </w:tc>
        <w:tc>
          <w:tcPr>
            <w:tcW w:w="2604" w:type="dxa"/>
          </w:tcPr>
          <w:p w14:paraId="663CF940" w14:textId="77777777" w:rsidR="008C009C" w:rsidRPr="008C009C" w:rsidRDefault="008C009C" w:rsidP="008C009C">
            <w:pPr>
              <w:keepLines/>
              <w:spacing w:before="40" w:after="40" w:line="200" w:lineRule="atLeast"/>
              <w:rPr>
                <w:rFonts w:asciiTheme="minorHAnsi" w:eastAsia="Times New Roman" w:hAnsiTheme="minorHAnsi"/>
                <w:iCs/>
                <w:sz w:val="16"/>
                <w:szCs w:val="16"/>
              </w:rPr>
            </w:pPr>
            <w:r w:rsidRPr="008C009C">
              <w:rPr>
                <w:rFonts w:asciiTheme="minorHAnsi" w:eastAsia="Times New Roman" w:hAnsiTheme="minorHAnsi"/>
                <w:iCs/>
                <w:sz w:val="16"/>
                <w:szCs w:val="16"/>
              </w:rPr>
              <w:t xml:space="preserve">Investments will continue to target areas of interest and visibility for the government, where Australia can provide effective support.  </w:t>
            </w:r>
          </w:p>
          <w:p w14:paraId="4C32F9F2" w14:textId="77777777" w:rsidR="002A51CA" w:rsidRDefault="002A51CA" w:rsidP="00D15A00">
            <w:pPr>
              <w:keepLines/>
              <w:spacing w:before="40" w:after="40" w:line="200" w:lineRule="atLeast"/>
              <w:rPr>
                <w:rFonts w:asciiTheme="minorHAnsi" w:eastAsia="Times New Roman" w:hAnsiTheme="minorHAnsi"/>
                <w:iCs/>
                <w:szCs w:val="17"/>
                <w:lang w:eastAsia="en-US"/>
              </w:rPr>
            </w:pPr>
          </w:p>
          <w:p w14:paraId="5AAB8FC1" w14:textId="77777777" w:rsidR="008C009C" w:rsidRDefault="008C009C" w:rsidP="00D15A00">
            <w:pPr>
              <w:keepLines/>
              <w:spacing w:before="40" w:after="40" w:line="200" w:lineRule="atLeast"/>
              <w:rPr>
                <w:rFonts w:asciiTheme="minorHAnsi" w:eastAsia="Times New Roman" w:hAnsiTheme="minorHAnsi"/>
                <w:iCs/>
                <w:szCs w:val="17"/>
                <w:lang w:eastAsia="en-US"/>
              </w:rPr>
            </w:pPr>
          </w:p>
          <w:p w14:paraId="02B6CCF6" w14:textId="77777777" w:rsidR="008C009C" w:rsidRDefault="008C009C" w:rsidP="00D15A00">
            <w:pPr>
              <w:keepLines/>
              <w:spacing w:before="40" w:after="40" w:line="200" w:lineRule="atLeast"/>
              <w:rPr>
                <w:rFonts w:asciiTheme="minorHAnsi" w:eastAsia="Times New Roman" w:hAnsiTheme="minorHAnsi"/>
                <w:iCs/>
                <w:szCs w:val="17"/>
                <w:lang w:eastAsia="en-US"/>
              </w:rPr>
            </w:pPr>
          </w:p>
          <w:p w14:paraId="39E1B7C8" w14:textId="77777777" w:rsidR="008C009C" w:rsidRPr="008C009C" w:rsidRDefault="008C009C" w:rsidP="008C009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 w:val="16"/>
                <w:szCs w:val="16"/>
                <w:lang w:eastAsia="en-US"/>
              </w:rPr>
              <w:t>Maintain existing controls, and continue to redefine responsibilities where</w:t>
            </w:r>
            <w:r w:rsidRPr="008C009C">
              <w:rPr>
                <w:rFonts w:asciiTheme="minorHAnsi" w:eastAsia="Times New Roman" w:hAnsiTheme="minorHAnsi"/>
                <w:iCs/>
                <w:sz w:val="16"/>
                <w:szCs w:val="16"/>
                <w:lang w:eastAsia="en-US"/>
              </w:rPr>
              <w:t xml:space="preserve"> </w:t>
            </w:r>
            <w:r>
              <w:rPr>
                <w:rFonts w:asciiTheme="minorHAnsi" w:eastAsia="Times New Roman" w:hAnsiTheme="minorHAnsi"/>
                <w:iCs/>
                <w:sz w:val="16"/>
                <w:szCs w:val="16"/>
                <w:lang w:eastAsia="en-US"/>
              </w:rPr>
              <w:t xml:space="preserve">additional </w:t>
            </w:r>
            <w:r w:rsidRPr="008C009C">
              <w:rPr>
                <w:rFonts w:asciiTheme="minorHAnsi" w:eastAsia="Times New Roman" w:hAnsiTheme="minorHAnsi"/>
                <w:iCs/>
                <w:sz w:val="16"/>
                <w:szCs w:val="16"/>
                <w:lang w:eastAsia="en-US"/>
              </w:rPr>
              <w:t>resourcing</w:t>
            </w:r>
            <w:r>
              <w:rPr>
                <w:rFonts w:asciiTheme="minorHAnsi" w:eastAsia="Times New Roman" w:hAnsiTheme="minorHAnsi"/>
                <w:iCs/>
                <w:sz w:val="16"/>
                <w:szCs w:val="16"/>
                <w:lang w:eastAsia="en-US"/>
              </w:rPr>
              <w:t xml:space="preserve"> is</w:t>
            </w:r>
            <w:r w:rsidRPr="008C009C">
              <w:rPr>
                <w:rFonts w:asciiTheme="minorHAnsi" w:eastAsia="Times New Roman" w:hAnsiTheme="minorHAnsi"/>
                <w:iCs/>
                <w:sz w:val="16"/>
                <w:szCs w:val="16"/>
                <w:lang w:eastAsia="en-US"/>
              </w:rPr>
              <w:t xml:space="preserve"> required for high risk and new areas of work.                                           </w:t>
            </w:r>
          </w:p>
        </w:tc>
        <w:tc>
          <w:tcPr>
            <w:tcW w:w="2352" w:type="dxa"/>
          </w:tcPr>
          <w:p w14:paraId="23545943" w14:textId="77777777" w:rsidR="002A51CA" w:rsidRDefault="008C009C" w:rsidP="00D15A00">
            <w:pPr>
              <w:keepLines/>
              <w:spacing w:before="40" w:after="40" w:line="200" w:lineRule="atLeast"/>
              <w:rPr>
                <w:rFonts w:asciiTheme="minorHAnsi" w:eastAsia="Times New Roman" w:hAnsiTheme="minorHAnsi"/>
                <w:iCs/>
                <w:sz w:val="16"/>
                <w:szCs w:val="16"/>
                <w:lang w:eastAsia="en-US"/>
              </w:rPr>
            </w:pPr>
            <w:r w:rsidRPr="008C009C">
              <w:rPr>
                <w:rFonts w:asciiTheme="minorHAnsi" w:eastAsia="Times New Roman" w:hAnsiTheme="minorHAnsi"/>
                <w:iCs/>
                <w:sz w:val="16"/>
                <w:szCs w:val="16"/>
                <w:lang w:eastAsia="en-US"/>
              </w:rPr>
              <w:t>Moderate</w:t>
            </w:r>
          </w:p>
          <w:p w14:paraId="75F13581" w14:textId="77777777" w:rsidR="008C009C" w:rsidRDefault="008C009C" w:rsidP="00D15A00">
            <w:pPr>
              <w:keepLines/>
              <w:spacing w:before="40" w:after="40" w:line="200" w:lineRule="atLeast"/>
              <w:rPr>
                <w:rFonts w:asciiTheme="minorHAnsi" w:eastAsia="Times New Roman" w:hAnsiTheme="minorHAnsi"/>
                <w:iCs/>
                <w:sz w:val="16"/>
                <w:szCs w:val="16"/>
                <w:lang w:eastAsia="en-US"/>
              </w:rPr>
            </w:pPr>
          </w:p>
          <w:p w14:paraId="419E91B8" w14:textId="77777777" w:rsidR="008C009C" w:rsidRDefault="008C009C" w:rsidP="00D15A00">
            <w:pPr>
              <w:keepLines/>
              <w:spacing w:before="40" w:after="40" w:line="200" w:lineRule="atLeast"/>
              <w:rPr>
                <w:rFonts w:asciiTheme="minorHAnsi" w:eastAsia="Times New Roman" w:hAnsiTheme="minorHAnsi"/>
                <w:iCs/>
                <w:sz w:val="16"/>
                <w:szCs w:val="16"/>
                <w:lang w:eastAsia="en-US"/>
              </w:rPr>
            </w:pPr>
          </w:p>
          <w:p w14:paraId="7B49236C" w14:textId="77777777" w:rsidR="008C009C" w:rsidRDefault="008C009C" w:rsidP="00D15A00">
            <w:pPr>
              <w:keepLines/>
              <w:spacing w:before="40" w:after="40" w:line="200" w:lineRule="atLeast"/>
              <w:rPr>
                <w:rFonts w:asciiTheme="minorHAnsi" w:eastAsia="Times New Roman" w:hAnsiTheme="minorHAnsi"/>
                <w:iCs/>
                <w:sz w:val="16"/>
                <w:szCs w:val="16"/>
                <w:lang w:eastAsia="en-US"/>
              </w:rPr>
            </w:pPr>
          </w:p>
          <w:p w14:paraId="3FE0CF6F" w14:textId="77777777" w:rsidR="008C009C" w:rsidRDefault="008C009C" w:rsidP="00D15A00">
            <w:pPr>
              <w:keepLines/>
              <w:spacing w:before="40" w:after="40" w:line="200" w:lineRule="atLeast"/>
              <w:rPr>
                <w:rFonts w:asciiTheme="minorHAnsi" w:eastAsia="Times New Roman" w:hAnsiTheme="minorHAnsi"/>
                <w:iCs/>
                <w:sz w:val="16"/>
                <w:szCs w:val="16"/>
                <w:lang w:eastAsia="en-US"/>
              </w:rPr>
            </w:pPr>
          </w:p>
          <w:p w14:paraId="2E82B010" w14:textId="77777777" w:rsidR="008C009C" w:rsidRDefault="008C009C" w:rsidP="00D15A00">
            <w:pPr>
              <w:keepLines/>
              <w:spacing w:before="40" w:after="40" w:line="200" w:lineRule="atLeast"/>
              <w:rPr>
                <w:rFonts w:asciiTheme="minorHAnsi" w:eastAsia="Times New Roman" w:hAnsiTheme="minorHAnsi"/>
                <w:iCs/>
                <w:sz w:val="16"/>
                <w:szCs w:val="16"/>
                <w:lang w:eastAsia="en-US"/>
              </w:rPr>
            </w:pPr>
          </w:p>
          <w:p w14:paraId="66A92E60" w14:textId="77777777" w:rsidR="008C009C" w:rsidRDefault="008C009C" w:rsidP="00D15A00">
            <w:pPr>
              <w:keepLines/>
              <w:spacing w:before="40" w:after="40" w:line="200" w:lineRule="atLeast"/>
              <w:rPr>
                <w:rFonts w:asciiTheme="minorHAnsi" w:eastAsia="Times New Roman" w:hAnsiTheme="minorHAnsi"/>
                <w:iCs/>
                <w:sz w:val="16"/>
                <w:szCs w:val="16"/>
                <w:lang w:eastAsia="en-US"/>
              </w:rPr>
            </w:pPr>
          </w:p>
          <w:p w14:paraId="03650D8B" w14:textId="77777777" w:rsidR="008C009C" w:rsidRPr="008C009C" w:rsidRDefault="008C009C" w:rsidP="00D15A00">
            <w:pPr>
              <w:keepLines/>
              <w:spacing w:before="40" w:after="40" w:line="200" w:lineRule="atLeast"/>
              <w:rPr>
                <w:rFonts w:asciiTheme="minorHAnsi" w:eastAsia="Times New Roman" w:hAnsiTheme="minorHAnsi"/>
                <w:iCs/>
                <w:sz w:val="16"/>
                <w:szCs w:val="16"/>
                <w:lang w:eastAsia="en-US"/>
              </w:rPr>
            </w:pPr>
            <w:r>
              <w:rPr>
                <w:rFonts w:asciiTheme="minorHAnsi" w:eastAsia="Times New Roman" w:hAnsiTheme="minorHAnsi"/>
                <w:iCs/>
                <w:sz w:val="16"/>
                <w:szCs w:val="16"/>
                <w:lang w:eastAsia="en-US"/>
              </w:rPr>
              <w:t>Low</w:t>
            </w:r>
          </w:p>
        </w:tc>
      </w:tr>
      <w:tr w:rsidR="002A51CA" w:rsidRPr="00C61187" w14:paraId="11FB3A6B" w14:textId="77777777" w:rsidTr="00E76E2A">
        <w:trPr>
          <w:trHeight w:val="122"/>
        </w:trPr>
        <w:tc>
          <w:tcPr>
            <w:tcW w:w="2270" w:type="dxa"/>
          </w:tcPr>
          <w:p w14:paraId="67494E6A" w14:textId="77777777" w:rsidR="002A51CA" w:rsidRPr="00C61187" w:rsidRDefault="002A51CA" w:rsidP="00D15A00">
            <w:pPr>
              <w:keepLines/>
              <w:spacing w:before="40" w:after="40" w:line="200" w:lineRule="atLeast"/>
              <w:rPr>
                <w:rFonts w:eastAsia="Times New Roman"/>
                <w:iCs/>
                <w:szCs w:val="17"/>
                <w:lang w:eastAsia="en-US"/>
              </w:rPr>
            </w:pPr>
          </w:p>
        </w:tc>
        <w:tc>
          <w:tcPr>
            <w:tcW w:w="2544" w:type="dxa"/>
          </w:tcPr>
          <w:p w14:paraId="025219C5" w14:textId="77777777" w:rsidR="002A51CA" w:rsidRPr="00C61187" w:rsidRDefault="002A51CA" w:rsidP="00D15A00">
            <w:pPr>
              <w:keepLines/>
              <w:spacing w:before="40" w:after="40" w:line="200" w:lineRule="atLeast"/>
              <w:rPr>
                <w:rFonts w:eastAsia="Times New Roman"/>
                <w:iCs/>
                <w:szCs w:val="17"/>
                <w:lang w:eastAsia="en-US"/>
              </w:rPr>
            </w:pPr>
          </w:p>
        </w:tc>
        <w:tc>
          <w:tcPr>
            <w:tcW w:w="2604" w:type="dxa"/>
          </w:tcPr>
          <w:p w14:paraId="22B34534" w14:textId="77777777" w:rsidR="002A51CA" w:rsidRPr="00C61187" w:rsidRDefault="002A51CA" w:rsidP="00D15A00">
            <w:pPr>
              <w:keepLines/>
              <w:spacing w:before="40" w:after="40" w:line="200" w:lineRule="atLeast"/>
              <w:rPr>
                <w:rFonts w:eastAsia="Times New Roman"/>
                <w:iCs/>
                <w:szCs w:val="17"/>
                <w:lang w:eastAsia="en-US"/>
              </w:rPr>
            </w:pPr>
          </w:p>
        </w:tc>
        <w:tc>
          <w:tcPr>
            <w:tcW w:w="2352" w:type="dxa"/>
          </w:tcPr>
          <w:p w14:paraId="52729CEE" w14:textId="77777777" w:rsidR="002A51CA" w:rsidRPr="00C61187" w:rsidRDefault="002A51CA" w:rsidP="00D15A00">
            <w:pPr>
              <w:keepLines/>
              <w:spacing w:before="40" w:after="40" w:line="200" w:lineRule="atLeast"/>
              <w:rPr>
                <w:rFonts w:eastAsia="Times New Roman"/>
                <w:iCs/>
                <w:szCs w:val="17"/>
                <w:lang w:eastAsia="en-US"/>
              </w:rPr>
            </w:pPr>
          </w:p>
        </w:tc>
      </w:tr>
    </w:tbl>
    <w:p w14:paraId="6DFCDA2F" w14:textId="77777777" w:rsidR="002A51CA" w:rsidRPr="002A51CA" w:rsidRDefault="002A51CA" w:rsidP="002A51CA">
      <w:pPr>
        <w:pStyle w:val="Heading2"/>
      </w:pPr>
      <w:r w:rsidRPr="002A51CA">
        <w:t>Management Responses</w:t>
      </w:r>
      <w:r w:rsidRPr="002A51CA">
        <w:tab/>
      </w:r>
      <w:r w:rsidRPr="002A51CA">
        <w:tab/>
      </w:r>
    </w:p>
    <w:p w14:paraId="184B2993" w14:textId="77777777" w:rsidR="002A51CA" w:rsidRDefault="003416A2" w:rsidP="002A51CA">
      <w:pPr>
        <w:rPr>
          <w:b/>
        </w:rPr>
      </w:pPr>
      <w:r>
        <w:t>Of the nine management responses included in the previous report, eight have b</w:t>
      </w:r>
      <w:r w:rsidR="001E21C2">
        <w:t>een achieved and one has not. A proposed</w:t>
      </w:r>
      <w:r>
        <w:t xml:space="preserve"> Assessment of National Systems was deferred to 2016-17 due to competing priorities and limited resources. </w:t>
      </w:r>
      <w:r w:rsidR="002A51CA" w:rsidRPr="00C61187">
        <w:t xml:space="preserve">A </w:t>
      </w:r>
      <w:r w:rsidR="002A51CA">
        <w:t>summary</w:t>
      </w:r>
      <w:r w:rsidR="002A51CA" w:rsidRPr="00C61187">
        <w:t xml:space="preserve"> of progress on management responses </w:t>
      </w:r>
      <w:r w:rsidR="00AA140C">
        <w:t>is</w:t>
      </w:r>
      <w:r w:rsidR="002A51CA" w:rsidRPr="00C61187">
        <w:t xml:space="preserve"> included in the table in </w:t>
      </w:r>
      <w:r w:rsidR="002A51CA" w:rsidRPr="00C61187">
        <w:rPr>
          <w:b/>
        </w:rPr>
        <w:t>Annex A.</w:t>
      </w:r>
    </w:p>
    <w:p w14:paraId="1686A07B" w14:textId="77777777" w:rsidR="003416A2" w:rsidRPr="003416A2" w:rsidRDefault="00772135" w:rsidP="002A51CA">
      <w:r>
        <w:t>In 2016-17</w:t>
      </w:r>
      <w:r w:rsidR="003416A2">
        <w:t>, Australia’s aid program will:</w:t>
      </w:r>
    </w:p>
    <w:p w14:paraId="45C74B60" w14:textId="77777777" w:rsidR="007806C6" w:rsidRPr="003416A2" w:rsidRDefault="003416A2" w:rsidP="002A51CA">
      <w:pPr>
        <w:rPr>
          <w:i/>
        </w:rPr>
      </w:pPr>
      <w:r w:rsidRPr="003416A2">
        <w:rPr>
          <w:i/>
        </w:rPr>
        <w:t>Strategic</w:t>
      </w:r>
    </w:p>
    <w:p w14:paraId="09A380AA" w14:textId="77777777" w:rsidR="007806C6" w:rsidRDefault="007A2F9E" w:rsidP="007806C6">
      <w:pPr>
        <w:pStyle w:val="ListParagraph"/>
        <w:numPr>
          <w:ilvl w:val="0"/>
          <w:numId w:val="37"/>
        </w:numPr>
      </w:pPr>
      <w:r>
        <w:t>m</w:t>
      </w:r>
      <w:r w:rsidR="003416A2">
        <w:t>itigate political risk and m</w:t>
      </w:r>
      <w:r w:rsidR="008C2189">
        <w:t xml:space="preserve">aintain influence in </w:t>
      </w:r>
      <w:r w:rsidR="003416A2">
        <w:t xml:space="preserve">an </w:t>
      </w:r>
      <w:r w:rsidR="008C2189">
        <w:t xml:space="preserve">increasingly </w:t>
      </w:r>
      <w:r w:rsidR="003416A2">
        <w:t>complex</w:t>
      </w:r>
      <w:r w:rsidR="008C2189">
        <w:t xml:space="preserve"> donor </w:t>
      </w:r>
      <w:r w:rsidR="003416A2">
        <w:t>environment</w:t>
      </w:r>
      <w:r w:rsidR="008C2189">
        <w:t xml:space="preserve"> by </w:t>
      </w:r>
      <w:r w:rsidR="003416A2">
        <w:t>working closely with the Myanmar</w:t>
      </w:r>
      <w:r w:rsidR="00013212">
        <w:t xml:space="preserve"> Government</w:t>
      </w:r>
      <w:r w:rsidR="003416A2">
        <w:t xml:space="preserve"> to implement Australia’s aid program</w:t>
      </w:r>
      <w:r w:rsidR="00013212">
        <w:t xml:space="preserve"> and taking a leadership role in the Myanmar Development Cooperation Partners Group</w:t>
      </w:r>
      <w:r w:rsidR="001E21C2">
        <w:t>;</w:t>
      </w:r>
      <w:r w:rsidR="00013212">
        <w:t xml:space="preserve"> </w:t>
      </w:r>
    </w:p>
    <w:p w14:paraId="608BA49D" w14:textId="77777777" w:rsidR="007A2F9E" w:rsidRDefault="007A2F9E" w:rsidP="007806C6">
      <w:pPr>
        <w:pStyle w:val="ListParagraph"/>
        <w:numPr>
          <w:ilvl w:val="0"/>
          <w:numId w:val="37"/>
        </w:numPr>
      </w:pPr>
      <w:r>
        <w:t>closely monitor and report on developments in the peace process</w:t>
      </w:r>
      <w:r w:rsidR="00EB5D43">
        <w:t>, and finalise a monitoring and evaluation framework for Australia’s peace support;</w:t>
      </w:r>
    </w:p>
    <w:p w14:paraId="68371757" w14:textId="77777777" w:rsidR="00742AE8" w:rsidRDefault="00742AE8" w:rsidP="007806C6">
      <w:pPr>
        <w:pStyle w:val="ListParagraph"/>
        <w:numPr>
          <w:ilvl w:val="0"/>
          <w:numId w:val="37"/>
        </w:numPr>
      </w:pPr>
      <w:r>
        <w:t>continue to encourage Myanmar Government engagement on Australian-funded aid investments, including in rural development;</w:t>
      </w:r>
    </w:p>
    <w:p w14:paraId="24874B8F" w14:textId="77777777" w:rsidR="008E07A0" w:rsidRDefault="008E07A0" w:rsidP="008E07A0">
      <w:pPr>
        <w:pStyle w:val="ListParagraph"/>
        <w:numPr>
          <w:ilvl w:val="0"/>
          <w:numId w:val="37"/>
        </w:numPr>
      </w:pPr>
      <w:r>
        <w:t>explore opportunities to support government efforts to address the situation in Rakhine State, including by increasing development assistance and resilience-centred humanitarian assistance through existing investments;</w:t>
      </w:r>
    </w:p>
    <w:p w14:paraId="756A7673" w14:textId="77777777" w:rsidR="007A2F9E" w:rsidRDefault="007A2F9E" w:rsidP="007806C6">
      <w:pPr>
        <w:pStyle w:val="ListParagraph"/>
        <w:numPr>
          <w:ilvl w:val="0"/>
          <w:numId w:val="37"/>
        </w:numPr>
      </w:pPr>
      <w:r>
        <w:t xml:space="preserve">maintain leadership role on gender equality role and women’s empowerment by advocating consistently in </w:t>
      </w:r>
      <w:r w:rsidR="00EB5D43">
        <w:t>investment governance mechanisms</w:t>
      </w:r>
      <w:r>
        <w:t xml:space="preserve"> and with government, as appropriate</w:t>
      </w:r>
      <w:r w:rsidR="001E21C2">
        <w:t>;</w:t>
      </w:r>
    </w:p>
    <w:p w14:paraId="104F2140" w14:textId="77777777" w:rsidR="00D15A00" w:rsidRPr="007A2F9E" w:rsidRDefault="007A2F9E" w:rsidP="002A51CA">
      <w:pPr>
        <w:rPr>
          <w:i/>
        </w:rPr>
      </w:pPr>
      <w:r w:rsidRPr="007A2F9E">
        <w:rPr>
          <w:i/>
        </w:rPr>
        <w:t>Operational</w:t>
      </w:r>
    </w:p>
    <w:p w14:paraId="46BB5750" w14:textId="77777777" w:rsidR="00D658B9" w:rsidRDefault="007A2F9E" w:rsidP="00D658B9">
      <w:pPr>
        <w:pStyle w:val="ListParagraph"/>
        <w:numPr>
          <w:ilvl w:val="0"/>
          <w:numId w:val="37"/>
        </w:numPr>
      </w:pPr>
      <w:r>
        <w:t>a</w:t>
      </w:r>
      <w:r w:rsidR="00527AFC">
        <w:t>dopt a more predictable and consolidated humanitarian portfolio, by developing a humanitarian strategy for Myanmar as the basis for</w:t>
      </w:r>
      <w:r>
        <w:t xml:space="preserve"> multi-year funding commitments</w:t>
      </w:r>
      <w:r w:rsidR="001E21C2">
        <w:t>;</w:t>
      </w:r>
    </w:p>
    <w:p w14:paraId="1C116158" w14:textId="77777777" w:rsidR="0039576A" w:rsidRDefault="0039576A" w:rsidP="00D658B9">
      <w:pPr>
        <w:pStyle w:val="ListParagraph"/>
        <w:numPr>
          <w:ilvl w:val="0"/>
          <w:numId w:val="37"/>
        </w:numPr>
      </w:pPr>
      <w:r>
        <w:t>finalise the two education investment designs;</w:t>
      </w:r>
    </w:p>
    <w:p w14:paraId="61D0392B" w14:textId="77777777" w:rsidR="007A2F9E" w:rsidRDefault="007A2F9E" w:rsidP="00D658B9">
      <w:pPr>
        <w:pStyle w:val="ListParagraph"/>
        <w:numPr>
          <w:ilvl w:val="0"/>
          <w:numId w:val="37"/>
        </w:numPr>
      </w:pPr>
      <w:r>
        <w:t xml:space="preserve">revise AIP performance assessment framework to include whole-of-program performance indicators and reflect </w:t>
      </w:r>
      <w:r w:rsidR="00EB5D43">
        <w:t>major new</w:t>
      </w:r>
      <w:r>
        <w:t xml:space="preserve"> investments</w:t>
      </w:r>
      <w:r w:rsidR="00742AE8">
        <w:t>, including in rural development</w:t>
      </w:r>
      <w:r w:rsidR="001E21C2">
        <w:t>;</w:t>
      </w:r>
    </w:p>
    <w:p w14:paraId="0C2E1C69" w14:textId="77777777" w:rsidR="007A2F9E" w:rsidRDefault="007A2F9E" w:rsidP="00D658B9">
      <w:pPr>
        <w:pStyle w:val="ListParagraph"/>
        <w:numPr>
          <w:ilvl w:val="0"/>
          <w:numId w:val="37"/>
        </w:numPr>
      </w:pPr>
      <w:r>
        <w:lastRenderedPageBreak/>
        <w:t>invest in long</w:t>
      </w:r>
      <w:r w:rsidR="00357C1E">
        <w:t xml:space="preserve"> term technical expertise in education, humanitarian and public financial management</w:t>
      </w:r>
      <w:r>
        <w:t xml:space="preserve"> to maintain Australia’s policy credibility in Myanmar</w:t>
      </w:r>
      <w:r w:rsidR="001E21C2">
        <w:t>;</w:t>
      </w:r>
    </w:p>
    <w:p w14:paraId="6004B04D" w14:textId="77777777" w:rsidR="007A2F9E" w:rsidRDefault="007A2F9E" w:rsidP="00D658B9">
      <w:pPr>
        <w:pStyle w:val="ListParagraph"/>
        <w:numPr>
          <w:ilvl w:val="0"/>
          <w:numId w:val="37"/>
        </w:numPr>
      </w:pPr>
      <w:r>
        <w:t>seek independent appraisals of all new investments to strengthen quality assurance systems</w:t>
      </w:r>
      <w:r w:rsidR="001E21C2">
        <w:t>; and</w:t>
      </w:r>
    </w:p>
    <w:p w14:paraId="2EEC50BE" w14:textId="77777777" w:rsidR="007A2F9E" w:rsidRDefault="004F5F47" w:rsidP="00D658B9">
      <w:pPr>
        <w:pStyle w:val="ListParagraph"/>
        <w:numPr>
          <w:ilvl w:val="0"/>
          <w:numId w:val="37"/>
        </w:numPr>
      </w:pPr>
      <w:r>
        <w:t>reduce</w:t>
      </w:r>
      <w:r w:rsidR="00521A43">
        <w:t xml:space="preserve"> proliferation and </w:t>
      </w:r>
      <w:r>
        <w:t>enter</w:t>
      </w:r>
      <w:r w:rsidR="007A2F9E">
        <w:t xml:space="preserve"> into </w:t>
      </w:r>
      <w:r w:rsidR="006B0B93">
        <w:t>longer program phases – four years where practicable – to provide greater predictability and reduce management overheads.</w:t>
      </w:r>
    </w:p>
    <w:p w14:paraId="3AE2498A" w14:textId="77777777" w:rsidR="00D15A00" w:rsidRDefault="00D15A00" w:rsidP="002A51CA">
      <w:pPr>
        <w:sectPr w:rsidR="00D15A00" w:rsidSect="00C6626C">
          <w:pgSz w:w="11906" w:h="16838" w:code="9"/>
          <w:pgMar w:top="1527" w:right="1134" w:bottom="851" w:left="1134" w:header="1418" w:footer="567" w:gutter="0"/>
          <w:cols w:space="397"/>
          <w:docGrid w:linePitch="360"/>
        </w:sectPr>
      </w:pPr>
    </w:p>
    <w:p w14:paraId="162BF5AC" w14:textId="77777777" w:rsidR="00400B0F" w:rsidRPr="00400B0F" w:rsidRDefault="00400B0F" w:rsidP="00400B0F">
      <w:pPr>
        <w:pStyle w:val="Subtitle"/>
        <w:numPr>
          <w:ilvl w:val="0"/>
          <w:numId w:val="0"/>
        </w:numPr>
      </w:pPr>
      <w:r w:rsidRPr="00400B0F">
        <w:lastRenderedPageBreak/>
        <w:t>Annex A - Progress in Addressing Management Responses</w:t>
      </w:r>
    </w:p>
    <w:p w14:paraId="2F7C865A" w14:textId="77777777" w:rsidR="00400B0F" w:rsidRPr="00C61187" w:rsidRDefault="00400B0F" w:rsidP="008C2F58">
      <w:r w:rsidRPr="00C61187">
        <w:t>Describe progress made against management responses in 2014-15 report</w:t>
      </w:r>
    </w:p>
    <w:tbl>
      <w:tblPr>
        <w:tblStyle w:val="APPR"/>
        <w:tblpPr w:leftFromText="180" w:rightFromText="180" w:vertAnchor="text" w:tblpY="1"/>
        <w:tblW w:w="5000" w:type="pct"/>
        <w:tblLayout w:type="fixed"/>
        <w:tblLook w:val="0000" w:firstRow="0" w:lastRow="0" w:firstColumn="0" w:lastColumn="0" w:noHBand="0" w:noVBand="0"/>
      </w:tblPr>
      <w:tblGrid>
        <w:gridCol w:w="6390"/>
        <w:gridCol w:w="1256"/>
        <w:gridCol w:w="6527"/>
      </w:tblGrid>
      <w:tr w:rsidR="00400B0F" w:rsidRPr="00A427C6" w14:paraId="53AD8B9F" w14:textId="77777777" w:rsidTr="006B2CDB">
        <w:trPr>
          <w:cnfStyle w:val="000000010000" w:firstRow="0" w:lastRow="0" w:firstColumn="0" w:lastColumn="0" w:oddVBand="0" w:evenVBand="0" w:oddHBand="0" w:evenHBand="1" w:firstRowFirstColumn="0" w:firstRowLastColumn="0" w:lastRowFirstColumn="0" w:lastRowLastColumn="0"/>
        </w:trPr>
        <w:tc>
          <w:tcPr>
            <w:tcW w:w="6348" w:type="dxa"/>
          </w:tcPr>
          <w:p w14:paraId="573AED61"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Management responses identified in 2014-15 APPR</w:t>
            </w:r>
            <w:r w:rsidRPr="00A427C6">
              <w:rPr>
                <w:rFonts w:asciiTheme="minorHAnsi" w:eastAsia="Times New Roman" w:hAnsiTheme="minorHAnsi"/>
                <w:b/>
                <w:iCs/>
                <w:szCs w:val="17"/>
                <w:lang w:eastAsia="en-US"/>
              </w:rPr>
              <w:tab/>
            </w:r>
          </w:p>
        </w:tc>
        <w:tc>
          <w:tcPr>
            <w:tcW w:w="1228" w:type="dxa"/>
          </w:tcPr>
          <w:p w14:paraId="0AB19568" w14:textId="77777777" w:rsidR="00400B0F" w:rsidRPr="00A427C6" w:rsidRDefault="00400B0F" w:rsidP="00A427C6">
            <w:pPr>
              <w:keepLines/>
              <w:spacing w:before="80" w:after="80" w:line="200" w:lineRule="atLeast"/>
              <w:jc w:val="center"/>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Rating</w:t>
            </w:r>
          </w:p>
        </w:tc>
        <w:tc>
          <w:tcPr>
            <w:tcW w:w="6485" w:type="dxa"/>
          </w:tcPr>
          <w:p w14:paraId="59BD7139" w14:textId="77777777" w:rsidR="00400B0F" w:rsidRPr="00A427C6" w:rsidRDefault="00E326A6" w:rsidP="00A427C6">
            <w:pPr>
              <w:keepLines/>
              <w:spacing w:before="80" w:after="80" w:line="200" w:lineRule="atLeast"/>
              <w:jc w:val="center"/>
              <w:rPr>
                <w:rFonts w:asciiTheme="minorHAnsi" w:eastAsia="Times New Roman" w:hAnsiTheme="minorHAnsi"/>
                <w:b/>
                <w:iCs/>
                <w:szCs w:val="17"/>
                <w:lang w:eastAsia="en-US"/>
              </w:rPr>
            </w:pPr>
            <w:r w:rsidRPr="009D1DE5">
              <w:rPr>
                <w:rFonts w:asciiTheme="minorHAnsi" w:eastAsia="Times New Roman" w:hAnsiTheme="minorHAnsi"/>
                <w:b/>
                <w:iCs/>
                <w:szCs w:val="17"/>
                <w:lang w:eastAsia="en-US"/>
              </w:rPr>
              <w:t xml:space="preserve">Progress made </w:t>
            </w:r>
            <w:r w:rsidR="00400B0F" w:rsidRPr="009D1DE5">
              <w:rPr>
                <w:rFonts w:asciiTheme="minorHAnsi" w:eastAsia="Times New Roman" w:hAnsiTheme="minorHAnsi"/>
                <w:b/>
                <w:iCs/>
                <w:szCs w:val="17"/>
                <w:lang w:eastAsia="en-US"/>
              </w:rPr>
              <w:t>in 2015-16</w:t>
            </w:r>
          </w:p>
        </w:tc>
      </w:tr>
      <w:tr w:rsidR="00400B0F" w:rsidRPr="00A427C6" w14:paraId="53C21A68" w14:textId="77777777" w:rsidTr="006B2CDB">
        <w:trPr>
          <w:cnfStyle w:val="000000010000" w:firstRow="0" w:lastRow="0" w:firstColumn="0" w:lastColumn="0" w:oddVBand="0" w:evenVBand="0" w:oddHBand="0" w:evenHBand="1" w:firstRowFirstColumn="0" w:firstRowLastColumn="0" w:lastRowFirstColumn="0" w:lastRowLastColumn="0"/>
        </w:trPr>
        <w:tc>
          <w:tcPr>
            <w:tcW w:w="6348" w:type="dxa"/>
          </w:tcPr>
          <w:p w14:paraId="43D22C87" w14:textId="77777777" w:rsidR="00400B0F" w:rsidRPr="00A427C6" w:rsidRDefault="00565FF0"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Mitigate political risk by working closely with the next Myanmar Government to implement Australia’s aid program.</w:t>
            </w:r>
          </w:p>
        </w:tc>
        <w:tc>
          <w:tcPr>
            <w:tcW w:w="1228" w:type="dxa"/>
            <w:shd w:val="clear" w:color="auto" w:fill="72AF2F"/>
          </w:tcPr>
          <w:p w14:paraId="710301BE" w14:textId="77777777" w:rsidR="00400B0F" w:rsidRPr="008C66FE"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8C66FE">
              <w:rPr>
                <w:rFonts w:asciiTheme="minorHAnsi" w:eastAsia="Times New Roman" w:hAnsiTheme="minorHAnsi"/>
                <w:iCs/>
                <w:color w:val="FFFFFF" w:themeColor="background1"/>
                <w:szCs w:val="17"/>
                <w:lang w:eastAsia="en-US"/>
              </w:rPr>
              <w:t>Achieved</w:t>
            </w:r>
          </w:p>
        </w:tc>
        <w:tc>
          <w:tcPr>
            <w:tcW w:w="6485" w:type="dxa"/>
          </w:tcPr>
          <w:p w14:paraId="1B66D9E6" w14:textId="77777777" w:rsidR="00400B0F" w:rsidRPr="009D1DE5" w:rsidRDefault="009D1DE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Australia engaged early with the new government in key sectors to understand emerging priorities and position our aid program to respond. This has been particularly effective in the education sector, where Australia has a strong policy lead among donors.  </w:t>
            </w:r>
          </w:p>
        </w:tc>
      </w:tr>
      <w:tr w:rsidR="00400B0F" w:rsidRPr="00A427C6" w14:paraId="71E1AF1D" w14:textId="77777777" w:rsidTr="006B2CDB">
        <w:trPr>
          <w:cnfStyle w:val="000000010000" w:firstRow="0" w:lastRow="0" w:firstColumn="0" w:lastColumn="0" w:oddVBand="0" w:evenVBand="0" w:oddHBand="0" w:evenHBand="1" w:firstRowFirstColumn="0" w:firstRowLastColumn="0" w:lastRowFirstColumn="0" w:lastRowLastColumn="0"/>
        </w:trPr>
        <w:tc>
          <w:tcPr>
            <w:tcW w:w="6348" w:type="dxa"/>
          </w:tcPr>
          <w:p w14:paraId="587BD70E" w14:textId="77777777" w:rsidR="00400B0F" w:rsidRPr="00A427C6" w:rsidRDefault="00565FF0"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Closely monitor and report on developments in the peace process and recalibrate our investments as necessary.</w:t>
            </w:r>
          </w:p>
        </w:tc>
        <w:tc>
          <w:tcPr>
            <w:tcW w:w="1228" w:type="dxa"/>
            <w:shd w:val="clear" w:color="auto" w:fill="72AF2F"/>
          </w:tcPr>
          <w:p w14:paraId="21F614AC" w14:textId="77777777" w:rsidR="00400B0F" w:rsidRPr="008C66FE"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8C66FE">
              <w:rPr>
                <w:rFonts w:asciiTheme="minorHAnsi" w:eastAsia="Times New Roman" w:hAnsiTheme="minorHAnsi"/>
                <w:iCs/>
                <w:color w:val="FFFFFF" w:themeColor="background1"/>
                <w:szCs w:val="17"/>
                <w:lang w:eastAsia="en-US"/>
              </w:rPr>
              <w:t>Achieved</w:t>
            </w:r>
            <w:r w:rsidRPr="008C66FE">
              <w:rPr>
                <w:rFonts w:eastAsia="Times New Roman"/>
                <w:iCs/>
                <w:color w:val="FFFFFF" w:themeColor="background1"/>
                <w:szCs w:val="17"/>
              </w:rPr>
              <w:fldChar w:fldCharType="begin"/>
            </w:r>
            <w:r w:rsidRPr="008C66FE">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C66FE">
              <w:rPr>
                <w:rFonts w:eastAsia="Times New Roman"/>
                <w:iCs/>
                <w:color w:val="FFFFFF" w:themeColor="background1"/>
                <w:szCs w:val="17"/>
              </w:rPr>
              <w:fldChar w:fldCharType="end"/>
            </w:r>
          </w:p>
        </w:tc>
        <w:tc>
          <w:tcPr>
            <w:tcW w:w="6485" w:type="dxa"/>
          </w:tcPr>
          <w:p w14:paraId="7883C321" w14:textId="77777777" w:rsidR="00400B0F" w:rsidRPr="009D1DE5" w:rsidRDefault="009D1DE5" w:rsidP="009D1DE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Australia closely monitored the many developments in the peace process in 2015-16. Phase Two of the Myanmar-Australia Peace Support program, approved in January 2016, provides inbuilt flexibility for the program to adapt and respond to new directions in the peace process</w:t>
            </w:r>
          </w:p>
        </w:tc>
      </w:tr>
      <w:tr w:rsidR="00400B0F" w:rsidRPr="00A427C6" w14:paraId="372D1C42" w14:textId="77777777" w:rsidTr="006B2CDB">
        <w:trPr>
          <w:cnfStyle w:val="000000010000" w:firstRow="0" w:lastRow="0" w:firstColumn="0" w:lastColumn="0" w:oddVBand="0" w:evenVBand="0" w:oddHBand="0" w:evenHBand="1" w:firstRowFirstColumn="0" w:firstRowLastColumn="0" w:lastRowFirstColumn="0" w:lastRowLastColumn="0"/>
        </w:trPr>
        <w:tc>
          <w:tcPr>
            <w:tcW w:w="6348" w:type="dxa"/>
          </w:tcPr>
          <w:p w14:paraId="7A07DB8D" w14:textId="77777777" w:rsidR="00400B0F" w:rsidRPr="00A427C6" w:rsidRDefault="00565FF0"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Build closer links with the private sector, including by using design and evaluation processes as opportunities to identify entry points.</w:t>
            </w:r>
          </w:p>
        </w:tc>
        <w:tc>
          <w:tcPr>
            <w:tcW w:w="1228" w:type="dxa"/>
            <w:shd w:val="clear" w:color="auto" w:fill="72AF2F"/>
          </w:tcPr>
          <w:p w14:paraId="1A7E9F58" w14:textId="77777777" w:rsidR="00400B0F" w:rsidRPr="008C66FE"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8C66FE">
              <w:rPr>
                <w:rFonts w:asciiTheme="minorHAnsi" w:eastAsia="Times New Roman" w:hAnsiTheme="minorHAnsi"/>
                <w:iCs/>
                <w:color w:val="FFFFFF" w:themeColor="background1"/>
                <w:szCs w:val="17"/>
                <w:lang w:eastAsia="en-US"/>
              </w:rPr>
              <w:t>Achieved</w:t>
            </w:r>
          </w:p>
        </w:tc>
        <w:tc>
          <w:tcPr>
            <w:tcW w:w="6485" w:type="dxa"/>
          </w:tcPr>
          <w:p w14:paraId="06B3B4D6" w14:textId="77777777" w:rsidR="00400B0F" w:rsidRPr="00C770DD" w:rsidRDefault="00C770DD"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Australia’s investments in private sector development, livelihoods (LIFT) and democratic governance (The Asia Foundation) drew on private sector expertise in delivering their programs. Mitsubishi Corporation has joined the LIFT Fund Board, and the Myanmar Business Forum is helping to shape government policy and regulation on private sector development.</w:t>
            </w:r>
          </w:p>
        </w:tc>
      </w:tr>
      <w:tr w:rsidR="00400B0F" w:rsidRPr="00A427C6" w14:paraId="6016F294" w14:textId="77777777" w:rsidTr="006B2CDB">
        <w:trPr>
          <w:cnfStyle w:val="000000010000" w:firstRow="0" w:lastRow="0" w:firstColumn="0" w:lastColumn="0" w:oddVBand="0" w:evenVBand="0" w:oddHBand="0" w:evenHBand="1" w:firstRowFirstColumn="0" w:firstRowLastColumn="0" w:lastRowFirstColumn="0" w:lastRowLastColumn="0"/>
        </w:trPr>
        <w:tc>
          <w:tcPr>
            <w:tcW w:w="6348" w:type="dxa"/>
          </w:tcPr>
          <w:p w14:paraId="58A1D163" w14:textId="3DB9397D" w:rsidR="00400B0F" w:rsidRPr="00A427C6" w:rsidRDefault="00565FF0" w:rsidP="003671B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Continue to strengthen program performance on gender equality and women’s economic empowerment by including gender as a key evaluation questions for all reviews in 2015</w:t>
            </w:r>
            <w:r w:rsidR="003671B7">
              <w:rPr>
                <w:rFonts w:asciiTheme="minorHAnsi" w:eastAsia="Times New Roman" w:hAnsiTheme="minorHAnsi"/>
                <w:iCs/>
                <w:szCs w:val="17"/>
                <w:lang w:eastAsia="en-US"/>
              </w:rPr>
              <w:noBreakHyphen/>
            </w:r>
            <w:r>
              <w:rPr>
                <w:rFonts w:asciiTheme="minorHAnsi" w:eastAsia="Times New Roman" w:hAnsiTheme="minorHAnsi"/>
                <w:iCs/>
                <w:szCs w:val="17"/>
                <w:lang w:eastAsia="en-US"/>
              </w:rPr>
              <w:t>16.</w:t>
            </w:r>
          </w:p>
        </w:tc>
        <w:tc>
          <w:tcPr>
            <w:tcW w:w="1228" w:type="dxa"/>
            <w:shd w:val="clear" w:color="auto" w:fill="7FB64D" w:themeFill="accent3" w:themeFillShade="BF"/>
          </w:tcPr>
          <w:p w14:paraId="52EAB2C2" w14:textId="77777777" w:rsidR="00400B0F" w:rsidRPr="008C66FE" w:rsidRDefault="003416A2"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485" w:type="dxa"/>
          </w:tcPr>
          <w:p w14:paraId="10D8969E" w14:textId="6307E138" w:rsidR="00400B0F" w:rsidRPr="00C770DD" w:rsidRDefault="00841819" w:rsidP="003671B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Australia has consistently advocated for improved attention to gender equality and women’s empowerment </w:t>
            </w:r>
            <w:r w:rsidR="00C770DD">
              <w:rPr>
                <w:rFonts w:asciiTheme="minorHAnsi" w:eastAsia="Times New Roman" w:hAnsiTheme="minorHAnsi"/>
                <w:iCs/>
                <w:szCs w:val="17"/>
                <w:lang w:eastAsia="en-US"/>
              </w:rPr>
              <w:t>(e.g. on gender sensitive approaches in LIFT and the educa</w:t>
            </w:r>
            <w:r>
              <w:rPr>
                <w:rFonts w:asciiTheme="minorHAnsi" w:eastAsia="Times New Roman" w:hAnsiTheme="minorHAnsi"/>
                <w:iCs/>
                <w:szCs w:val="17"/>
                <w:lang w:eastAsia="en-US"/>
              </w:rPr>
              <w:t>tion teacher mentoring design). We also</w:t>
            </w:r>
            <w:r w:rsidR="00C770DD">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xml:space="preserve">invested in additional gender inputs, including </w:t>
            </w:r>
            <w:r w:rsidR="00C770DD">
              <w:rPr>
                <w:rFonts w:asciiTheme="minorHAnsi" w:eastAsia="Times New Roman" w:hAnsiTheme="minorHAnsi"/>
                <w:iCs/>
                <w:szCs w:val="17"/>
                <w:lang w:eastAsia="en-US"/>
              </w:rPr>
              <w:t>a robust gender assessment</w:t>
            </w:r>
            <w:r>
              <w:rPr>
                <w:rFonts w:asciiTheme="minorHAnsi" w:eastAsia="Times New Roman" w:hAnsiTheme="minorHAnsi"/>
                <w:iCs/>
                <w:szCs w:val="17"/>
                <w:lang w:eastAsia="en-US"/>
              </w:rPr>
              <w:t xml:space="preserve"> of private sector development. </w:t>
            </w:r>
            <w:r w:rsidR="00E76E2A">
              <w:rPr>
                <w:rFonts w:asciiTheme="minorHAnsi" w:eastAsia="Times New Roman" w:hAnsiTheme="minorHAnsi"/>
                <w:iCs/>
                <w:szCs w:val="17"/>
                <w:lang w:eastAsia="en-US"/>
              </w:rPr>
              <w:t>N</w:t>
            </w:r>
            <w:r w:rsidR="00A9357E">
              <w:rPr>
                <w:rFonts w:asciiTheme="minorHAnsi" w:eastAsia="Times New Roman" w:hAnsiTheme="minorHAnsi"/>
                <w:iCs/>
                <w:szCs w:val="17"/>
                <w:lang w:eastAsia="en-US"/>
              </w:rPr>
              <w:t>o evaluations were conducted in 2015</w:t>
            </w:r>
            <w:r w:rsidR="003671B7">
              <w:rPr>
                <w:rFonts w:asciiTheme="minorHAnsi" w:eastAsia="Times New Roman" w:hAnsiTheme="minorHAnsi"/>
                <w:iCs/>
                <w:szCs w:val="17"/>
                <w:lang w:eastAsia="en-US"/>
              </w:rPr>
              <w:noBreakHyphen/>
            </w:r>
            <w:r w:rsidR="00A9357E">
              <w:rPr>
                <w:rFonts w:asciiTheme="minorHAnsi" w:eastAsia="Times New Roman" w:hAnsiTheme="minorHAnsi"/>
                <w:iCs/>
                <w:szCs w:val="17"/>
                <w:lang w:eastAsia="en-US"/>
              </w:rPr>
              <w:t>16.</w:t>
            </w:r>
          </w:p>
        </w:tc>
      </w:tr>
      <w:tr w:rsidR="00400B0F" w:rsidRPr="00A427C6" w14:paraId="61E9A59E" w14:textId="77777777" w:rsidTr="006B2CDB">
        <w:trPr>
          <w:cnfStyle w:val="000000010000" w:firstRow="0" w:lastRow="0" w:firstColumn="0" w:lastColumn="0" w:oddVBand="0" w:evenVBand="0" w:oddHBand="0" w:evenHBand="1" w:firstRowFirstColumn="0" w:firstRowLastColumn="0" w:lastRowFirstColumn="0" w:lastRowLastColumn="0"/>
        </w:trPr>
        <w:tc>
          <w:tcPr>
            <w:tcW w:w="6348" w:type="dxa"/>
          </w:tcPr>
          <w:p w14:paraId="6B650708" w14:textId="77777777" w:rsidR="00400B0F" w:rsidRPr="00A427C6" w:rsidRDefault="00565FF0"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Continue to explore options for using government systems to deliver accountable and effective aid by commencing work on an Assessment of National Systems.</w:t>
            </w:r>
          </w:p>
        </w:tc>
        <w:tc>
          <w:tcPr>
            <w:tcW w:w="1228" w:type="dxa"/>
            <w:shd w:val="clear" w:color="auto" w:fill="FF0000"/>
          </w:tcPr>
          <w:p w14:paraId="1DCBB3FF" w14:textId="77777777" w:rsidR="00400B0F" w:rsidRPr="008C66FE"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8C66FE">
              <w:rPr>
                <w:rFonts w:asciiTheme="minorHAnsi" w:eastAsia="Times New Roman" w:hAnsiTheme="minorHAnsi"/>
                <w:iCs/>
                <w:color w:val="FFFFFF" w:themeColor="background1"/>
                <w:szCs w:val="17"/>
                <w:lang w:eastAsia="en-US"/>
              </w:rPr>
              <w:t>Not achieved</w:t>
            </w:r>
          </w:p>
        </w:tc>
        <w:tc>
          <w:tcPr>
            <w:tcW w:w="6485" w:type="dxa"/>
          </w:tcPr>
          <w:p w14:paraId="2AC4FB4E" w14:textId="77777777" w:rsidR="00400B0F" w:rsidRPr="00A427C6" w:rsidRDefault="00E326A6" w:rsidP="00A9357E">
            <w:pPr>
              <w:keepLines/>
              <w:spacing w:before="40" w:after="40" w:line="200" w:lineRule="atLeast"/>
              <w:rPr>
                <w:rFonts w:asciiTheme="minorHAnsi" w:eastAsia="Times New Roman" w:hAnsiTheme="minorHAnsi"/>
                <w:iCs/>
                <w:color w:val="409F68" w:themeColor="accent6"/>
                <w:szCs w:val="17"/>
                <w:lang w:eastAsia="en-US"/>
              </w:rPr>
            </w:pPr>
            <w:r w:rsidRPr="00A9357E">
              <w:rPr>
                <w:rFonts w:asciiTheme="minorHAnsi" w:eastAsia="Times New Roman" w:hAnsiTheme="minorHAnsi"/>
                <w:iCs/>
                <w:szCs w:val="17"/>
                <w:lang w:eastAsia="en-US"/>
              </w:rPr>
              <w:t>The Assessment of National Systems was not commenced</w:t>
            </w:r>
            <w:r w:rsidR="00A9357E" w:rsidRPr="00A9357E">
              <w:rPr>
                <w:rFonts w:asciiTheme="minorHAnsi" w:eastAsia="Times New Roman" w:hAnsiTheme="minorHAnsi"/>
                <w:iCs/>
                <w:szCs w:val="17"/>
                <w:lang w:eastAsia="en-US"/>
              </w:rPr>
              <w:t xml:space="preserve"> in 2015-16 due to the competing priority of two major education designs</w:t>
            </w:r>
            <w:r w:rsidRPr="00A9357E">
              <w:rPr>
                <w:rFonts w:asciiTheme="minorHAnsi" w:eastAsia="Times New Roman" w:hAnsiTheme="minorHAnsi"/>
                <w:iCs/>
                <w:szCs w:val="17"/>
                <w:lang w:eastAsia="en-US"/>
              </w:rPr>
              <w:t xml:space="preserve">. However, the </w:t>
            </w:r>
            <w:r w:rsidR="00132229" w:rsidRPr="00A9357E">
              <w:rPr>
                <w:rFonts w:asciiTheme="minorHAnsi" w:eastAsia="Times New Roman" w:hAnsiTheme="minorHAnsi"/>
                <w:iCs/>
                <w:szCs w:val="17"/>
                <w:lang w:eastAsia="en-US"/>
              </w:rPr>
              <w:t xml:space="preserve">World Bank updated </w:t>
            </w:r>
            <w:r w:rsidRPr="00A9357E">
              <w:rPr>
                <w:rFonts w:asciiTheme="minorHAnsi" w:eastAsia="Times New Roman" w:hAnsiTheme="minorHAnsi"/>
                <w:iCs/>
                <w:szCs w:val="17"/>
                <w:lang w:eastAsia="en-US"/>
              </w:rPr>
              <w:t xml:space="preserve">its </w:t>
            </w:r>
            <w:r w:rsidR="00132229" w:rsidRPr="00A9357E">
              <w:rPr>
                <w:rFonts w:asciiTheme="minorHAnsi" w:eastAsia="Times New Roman" w:hAnsiTheme="minorHAnsi"/>
                <w:iCs/>
                <w:szCs w:val="17"/>
                <w:lang w:eastAsia="en-US"/>
              </w:rPr>
              <w:t xml:space="preserve">fiduciary risk assessment of </w:t>
            </w:r>
            <w:r w:rsidRPr="00A9357E">
              <w:rPr>
                <w:rFonts w:asciiTheme="minorHAnsi" w:eastAsia="Times New Roman" w:hAnsiTheme="minorHAnsi"/>
                <w:iCs/>
                <w:szCs w:val="17"/>
                <w:lang w:eastAsia="en-US"/>
              </w:rPr>
              <w:t>the Decentralising Funding to Schools Project. An i</w:t>
            </w:r>
            <w:r w:rsidR="00132229" w:rsidRPr="00A9357E">
              <w:rPr>
                <w:rFonts w:asciiTheme="minorHAnsi" w:eastAsia="Times New Roman" w:hAnsiTheme="minorHAnsi"/>
                <w:iCs/>
                <w:szCs w:val="17"/>
                <w:lang w:eastAsia="en-US"/>
              </w:rPr>
              <w:t>ndependent evalu</w:t>
            </w:r>
            <w:r w:rsidR="0038416C" w:rsidRPr="00A9357E">
              <w:rPr>
                <w:rFonts w:asciiTheme="minorHAnsi" w:eastAsia="Times New Roman" w:hAnsiTheme="minorHAnsi"/>
                <w:iCs/>
                <w:szCs w:val="17"/>
                <w:lang w:eastAsia="en-US"/>
              </w:rPr>
              <w:t>ation</w:t>
            </w:r>
            <w:r w:rsidRPr="00A9357E">
              <w:rPr>
                <w:rFonts w:asciiTheme="minorHAnsi" w:eastAsia="Times New Roman" w:hAnsiTheme="minorHAnsi"/>
                <w:iCs/>
                <w:szCs w:val="17"/>
                <w:lang w:eastAsia="en-US"/>
              </w:rPr>
              <w:t xml:space="preserve"> of</w:t>
            </w:r>
            <w:r w:rsidR="0038416C" w:rsidRPr="00A9357E">
              <w:rPr>
                <w:rFonts w:asciiTheme="minorHAnsi" w:eastAsia="Times New Roman" w:hAnsiTheme="minorHAnsi"/>
                <w:iCs/>
                <w:szCs w:val="17"/>
                <w:lang w:eastAsia="en-US"/>
              </w:rPr>
              <w:t xml:space="preserve"> </w:t>
            </w:r>
            <w:r w:rsidRPr="00A9357E">
              <w:rPr>
                <w:rFonts w:asciiTheme="minorHAnsi" w:eastAsia="Times New Roman" w:hAnsiTheme="minorHAnsi"/>
                <w:iCs/>
                <w:szCs w:val="17"/>
                <w:lang w:eastAsia="en-US"/>
              </w:rPr>
              <w:t xml:space="preserve">this investment </w:t>
            </w:r>
            <w:r w:rsidR="00A9357E">
              <w:rPr>
                <w:rFonts w:asciiTheme="minorHAnsi" w:eastAsia="Times New Roman" w:hAnsiTheme="minorHAnsi"/>
                <w:iCs/>
                <w:szCs w:val="17"/>
                <w:lang w:eastAsia="en-US"/>
              </w:rPr>
              <w:t>is</w:t>
            </w:r>
            <w:r w:rsidRPr="00A9357E">
              <w:rPr>
                <w:rFonts w:asciiTheme="minorHAnsi" w:eastAsia="Times New Roman" w:hAnsiTheme="minorHAnsi"/>
                <w:iCs/>
                <w:szCs w:val="17"/>
                <w:lang w:eastAsia="en-US"/>
              </w:rPr>
              <w:t xml:space="preserve"> </w:t>
            </w:r>
            <w:r w:rsidR="0038416C" w:rsidRPr="00A9357E">
              <w:rPr>
                <w:rFonts w:asciiTheme="minorHAnsi" w:eastAsia="Times New Roman" w:hAnsiTheme="minorHAnsi"/>
                <w:iCs/>
                <w:szCs w:val="17"/>
                <w:lang w:eastAsia="en-US"/>
              </w:rPr>
              <w:t>planned for</w:t>
            </w:r>
            <w:r w:rsidR="00A9357E">
              <w:rPr>
                <w:rFonts w:asciiTheme="minorHAnsi" w:eastAsia="Times New Roman" w:hAnsiTheme="minorHAnsi"/>
                <w:iCs/>
                <w:szCs w:val="17"/>
                <w:lang w:eastAsia="en-US"/>
              </w:rPr>
              <w:t xml:space="preserve"> 2016-17. This will guide future</w:t>
            </w:r>
            <w:r w:rsidRPr="00A9357E">
              <w:rPr>
                <w:rFonts w:asciiTheme="minorHAnsi" w:eastAsia="Times New Roman" w:hAnsiTheme="minorHAnsi"/>
                <w:iCs/>
                <w:szCs w:val="17"/>
                <w:lang w:eastAsia="en-US"/>
              </w:rPr>
              <w:t xml:space="preserve"> investments with </w:t>
            </w:r>
            <w:r w:rsidR="00A9357E" w:rsidRPr="00A9357E">
              <w:rPr>
                <w:rFonts w:asciiTheme="minorHAnsi" w:eastAsia="Times New Roman" w:hAnsiTheme="minorHAnsi"/>
                <w:iCs/>
                <w:szCs w:val="17"/>
                <w:lang w:eastAsia="en-US"/>
              </w:rPr>
              <w:t>government</w:t>
            </w:r>
            <w:r w:rsidRPr="00A9357E">
              <w:rPr>
                <w:rFonts w:asciiTheme="minorHAnsi" w:eastAsia="Times New Roman" w:hAnsiTheme="minorHAnsi"/>
                <w:iCs/>
                <w:szCs w:val="17"/>
                <w:lang w:eastAsia="en-US"/>
              </w:rPr>
              <w:t>.</w:t>
            </w:r>
            <w:r w:rsidR="0038416C" w:rsidRPr="00A9357E">
              <w:rPr>
                <w:rFonts w:asciiTheme="minorHAnsi" w:eastAsia="Times New Roman" w:hAnsiTheme="minorHAnsi"/>
                <w:iCs/>
                <w:szCs w:val="17"/>
                <w:lang w:eastAsia="en-US"/>
              </w:rPr>
              <w:t xml:space="preserve"> </w:t>
            </w:r>
          </w:p>
        </w:tc>
      </w:tr>
      <w:tr w:rsidR="00565FF0" w:rsidRPr="00A427C6" w14:paraId="4BCA0421" w14:textId="77777777" w:rsidTr="006B2CDB">
        <w:trPr>
          <w:cnfStyle w:val="000000010000" w:firstRow="0" w:lastRow="0" w:firstColumn="0" w:lastColumn="0" w:oddVBand="0" w:evenVBand="0" w:oddHBand="0" w:evenHBand="1" w:firstRowFirstColumn="0" w:firstRowLastColumn="0" w:lastRowFirstColumn="0" w:lastRowLastColumn="0"/>
        </w:trPr>
        <w:tc>
          <w:tcPr>
            <w:tcW w:w="6348" w:type="dxa"/>
          </w:tcPr>
          <w:p w14:paraId="5B8386C6" w14:textId="77777777" w:rsidR="00565FF0" w:rsidRPr="008C66FE" w:rsidRDefault="00565FF0" w:rsidP="006F27B1">
            <w:pPr>
              <w:keepLines/>
              <w:spacing w:before="40" w:after="40" w:line="200" w:lineRule="atLeast"/>
              <w:rPr>
                <w:rFonts w:asciiTheme="minorHAnsi" w:eastAsia="Times New Roman" w:hAnsiTheme="minorHAnsi"/>
                <w:iCs/>
                <w:szCs w:val="17"/>
              </w:rPr>
            </w:pPr>
            <w:r w:rsidRPr="008C66FE">
              <w:rPr>
                <w:rFonts w:asciiTheme="minorHAnsi" w:eastAsia="Times New Roman" w:hAnsiTheme="minorHAnsi"/>
                <w:iCs/>
                <w:szCs w:val="17"/>
              </w:rPr>
              <w:t>Improve program performance reporting by developing a targeted Performance Assessment Framework for the Myanmar Aid Investment Plan 2015-20 that explains Australia’s contribution, sets targets to assess adequacy of progress, and is reviewed six monthly to maintain relevance.</w:t>
            </w:r>
          </w:p>
        </w:tc>
        <w:tc>
          <w:tcPr>
            <w:tcW w:w="1228" w:type="dxa"/>
            <w:shd w:val="clear" w:color="auto" w:fill="92D050"/>
          </w:tcPr>
          <w:p w14:paraId="5FD634BE" w14:textId="77777777" w:rsidR="00565FF0" w:rsidRPr="008C66FE" w:rsidRDefault="00565FF0" w:rsidP="006F27B1">
            <w:pPr>
              <w:keepLines/>
              <w:spacing w:before="40" w:after="40" w:line="200" w:lineRule="atLeast"/>
              <w:jc w:val="center"/>
              <w:rPr>
                <w:rFonts w:asciiTheme="minorHAnsi" w:eastAsia="Times New Roman" w:hAnsiTheme="minorHAnsi"/>
                <w:iCs/>
                <w:color w:val="FFFFFF" w:themeColor="background1"/>
                <w:szCs w:val="17"/>
              </w:rPr>
            </w:pPr>
            <w:r w:rsidRPr="008C66FE">
              <w:rPr>
                <w:rFonts w:asciiTheme="minorHAnsi" w:eastAsia="Times New Roman" w:hAnsiTheme="minorHAnsi"/>
                <w:iCs/>
                <w:color w:val="FFFFFF" w:themeColor="background1"/>
                <w:szCs w:val="17"/>
              </w:rPr>
              <w:t>Achieved</w:t>
            </w:r>
          </w:p>
        </w:tc>
        <w:tc>
          <w:tcPr>
            <w:tcW w:w="6485" w:type="dxa"/>
          </w:tcPr>
          <w:p w14:paraId="37B23C8F" w14:textId="77777777" w:rsidR="00565FF0" w:rsidRPr="00A9357E" w:rsidRDefault="00A9357E" w:rsidP="00E76E2A">
            <w:pPr>
              <w:keepLines/>
              <w:spacing w:before="40" w:after="40" w:line="200" w:lineRule="atLeast"/>
              <w:rPr>
                <w:rFonts w:asciiTheme="minorHAnsi" w:eastAsia="Times New Roman" w:hAnsiTheme="minorHAnsi"/>
                <w:iCs/>
                <w:color w:val="409F68" w:themeColor="accent6"/>
                <w:szCs w:val="17"/>
              </w:rPr>
            </w:pPr>
            <w:r w:rsidRPr="00A9357E">
              <w:rPr>
                <w:rFonts w:asciiTheme="minorHAnsi" w:eastAsia="Times New Roman" w:hAnsiTheme="minorHAnsi"/>
                <w:iCs/>
                <w:szCs w:val="17"/>
              </w:rPr>
              <w:t>The performance assessment f</w:t>
            </w:r>
            <w:r w:rsidR="00002F32" w:rsidRPr="00A9357E">
              <w:rPr>
                <w:rFonts w:asciiTheme="minorHAnsi" w:eastAsia="Times New Roman" w:hAnsiTheme="minorHAnsi"/>
                <w:iCs/>
                <w:szCs w:val="17"/>
              </w:rPr>
              <w:t xml:space="preserve">ramework (PAF) for the Myanmar Aid Investment Plan was finalised in October 2015. It outlines Australia’s contribution and sets annual targets to assess progress. The PAF was reviewed </w:t>
            </w:r>
            <w:r w:rsidR="00E76E2A">
              <w:rPr>
                <w:rFonts w:asciiTheme="minorHAnsi" w:eastAsia="Times New Roman" w:hAnsiTheme="minorHAnsi"/>
                <w:iCs/>
                <w:szCs w:val="17"/>
              </w:rPr>
              <w:t>in</w:t>
            </w:r>
            <w:r w:rsidR="00002F32" w:rsidRPr="00A9357E">
              <w:rPr>
                <w:rFonts w:asciiTheme="minorHAnsi" w:eastAsia="Times New Roman" w:hAnsiTheme="minorHAnsi"/>
                <w:iCs/>
                <w:szCs w:val="17"/>
              </w:rPr>
              <w:t xml:space="preserve"> 2016 as part of the annual investment quality reporting process, and some indicators </w:t>
            </w:r>
            <w:r w:rsidR="00E76E2A">
              <w:rPr>
                <w:rFonts w:asciiTheme="minorHAnsi" w:eastAsia="Times New Roman" w:hAnsiTheme="minorHAnsi"/>
                <w:iCs/>
                <w:szCs w:val="17"/>
              </w:rPr>
              <w:t>will be</w:t>
            </w:r>
            <w:r w:rsidR="00002F32" w:rsidRPr="00A9357E">
              <w:rPr>
                <w:rFonts w:asciiTheme="minorHAnsi" w:eastAsia="Times New Roman" w:hAnsiTheme="minorHAnsi"/>
                <w:iCs/>
                <w:szCs w:val="17"/>
              </w:rPr>
              <w:t xml:space="preserve"> adjusted to better align with </w:t>
            </w:r>
            <w:r w:rsidR="00E76E2A">
              <w:rPr>
                <w:rFonts w:asciiTheme="minorHAnsi" w:eastAsia="Times New Roman" w:hAnsiTheme="minorHAnsi"/>
                <w:iCs/>
                <w:szCs w:val="17"/>
              </w:rPr>
              <w:t>new</w:t>
            </w:r>
            <w:r w:rsidR="00002F32" w:rsidRPr="00A9357E">
              <w:rPr>
                <w:rFonts w:asciiTheme="minorHAnsi" w:eastAsia="Times New Roman" w:hAnsiTheme="minorHAnsi"/>
                <w:iCs/>
                <w:szCs w:val="17"/>
              </w:rPr>
              <w:t xml:space="preserve"> investments.</w:t>
            </w:r>
          </w:p>
        </w:tc>
      </w:tr>
    </w:tbl>
    <w:p w14:paraId="7AD6342B" w14:textId="77777777" w:rsidR="006B2CDB" w:rsidRDefault="006B2CDB">
      <w:r>
        <w:br w:type="page"/>
      </w:r>
    </w:p>
    <w:tbl>
      <w:tblPr>
        <w:tblStyle w:val="APPR"/>
        <w:tblpPr w:leftFromText="180" w:rightFromText="180" w:vertAnchor="text" w:tblpY="1"/>
        <w:tblW w:w="5000" w:type="pct"/>
        <w:tblLayout w:type="fixed"/>
        <w:tblLook w:val="0000" w:firstRow="0" w:lastRow="0" w:firstColumn="0" w:lastColumn="0" w:noHBand="0" w:noVBand="0"/>
      </w:tblPr>
      <w:tblGrid>
        <w:gridCol w:w="6390"/>
        <w:gridCol w:w="1256"/>
        <w:gridCol w:w="6527"/>
      </w:tblGrid>
      <w:tr w:rsidR="00565FF0" w:rsidRPr="00A427C6" w14:paraId="3334E87E" w14:textId="77777777" w:rsidTr="006B2CDB">
        <w:trPr>
          <w:cnfStyle w:val="000000010000" w:firstRow="0" w:lastRow="0" w:firstColumn="0" w:lastColumn="0" w:oddVBand="0" w:evenVBand="0" w:oddHBand="0" w:evenHBand="1" w:firstRowFirstColumn="0" w:firstRowLastColumn="0" w:lastRowFirstColumn="0" w:lastRowLastColumn="0"/>
        </w:trPr>
        <w:tc>
          <w:tcPr>
            <w:tcW w:w="6348" w:type="dxa"/>
          </w:tcPr>
          <w:p w14:paraId="200D3916" w14:textId="754889AA" w:rsidR="00565FF0" w:rsidRPr="008C66FE" w:rsidRDefault="00565FF0" w:rsidP="006F27B1">
            <w:pPr>
              <w:keepLines/>
              <w:spacing w:before="40" w:after="40" w:line="200" w:lineRule="atLeast"/>
              <w:rPr>
                <w:rFonts w:asciiTheme="minorHAnsi" w:eastAsia="Times New Roman" w:hAnsiTheme="minorHAnsi"/>
                <w:iCs/>
                <w:szCs w:val="17"/>
              </w:rPr>
            </w:pPr>
            <w:r w:rsidRPr="008C66FE">
              <w:rPr>
                <w:rFonts w:asciiTheme="minorHAnsi" w:eastAsia="Times New Roman" w:hAnsiTheme="minorHAnsi"/>
                <w:iCs/>
                <w:szCs w:val="17"/>
              </w:rPr>
              <w:lastRenderedPageBreak/>
              <w:t>Explore opportunities to balance humanitarian assistance with a greater development focus on education and livelihoods, particularly in Rakhine State.</w:t>
            </w:r>
          </w:p>
        </w:tc>
        <w:tc>
          <w:tcPr>
            <w:tcW w:w="1228" w:type="dxa"/>
            <w:shd w:val="clear" w:color="auto" w:fill="92D050"/>
          </w:tcPr>
          <w:p w14:paraId="3653C554" w14:textId="77777777" w:rsidR="00565FF0" w:rsidRPr="008C66FE" w:rsidRDefault="008C66FE" w:rsidP="006F27B1">
            <w:pPr>
              <w:keepLines/>
              <w:spacing w:before="40" w:after="40" w:line="200" w:lineRule="atLeast"/>
              <w:jc w:val="center"/>
              <w:rPr>
                <w:rFonts w:asciiTheme="minorHAnsi" w:eastAsia="Times New Roman" w:hAnsiTheme="minorHAnsi"/>
                <w:iCs/>
                <w:color w:val="FFFFFF" w:themeColor="background1"/>
                <w:szCs w:val="17"/>
              </w:rPr>
            </w:pPr>
            <w:r w:rsidRPr="008C66FE">
              <w:rPr>
                <w:rFonts w:asciiTheme="minorHAnsi" w:eastAsia="Times New Roman" w:hAnsiTheme="minorHAnsi"/>
                <w:iCs/>
                <w:color w:val="FFFFFF" w:themeColor="background1"/>
                <w:szCs w:val="17"/>
              </w:rPr>
              <w:t>Achieved</w:t>
            </w:r>
          </w:p>
        </w:tc>
        <w:tc>
          <w:tcPr>
            <w:tcW w:w="6485" w:type="dxa"/>
          </w:tcPr>
          <w:p w14:paraId="46C5F42B" w14:textId="77777777" w:rsidR="00565FF0" w:rsidRPr="00A9357E" w:rsidRDefault="00F91AE3" w:rsidP="00E76E2A">
            <w:pPr>
              <w:keepLines/>
              <w:spacing w:before="40" w:after="40" w:line="200" w:lineRule="atLeast"/>
              <w:rPr>
                <w:rFonts w:asciiTheme="minorHAnsi" w:eastAsia="Times New Roman" w:hAnsiTheme="minorHAnsi"/>
                <w:iCs/>
                <w:color w:val="409F68" w:themeColor="accent6"/>
                <w:szCs w:val="17"/>
              </w:rPr>
            </w:pPr>
            <w:r w:rsidRPr="00A9357E">
              <w:rPr>
                <w:rFonts w:asciiTheme="minorHAnsi" w:eastAsia="Times New Roman" w:hAnsiTheme="minorHAnsi"/>
                <w:iCs/>
                <w:szCs w:val="17"/>
              </w:rPr>
              <w:t xml:space="preserve">Australia’s </w:t>
            </w:r>
            <w:r w:rsidR="00E76E2A">
              <w:rPr>
                <w:rFonts w:asciiTheme="minorHAnsi" w:eastAsia="Times New Roman" w:hAnsiTheme="minorHAnsi"/>
                <w:iCs/>
                <w:szCs w:val="17"/>
              </w:rPr>
              <w:t xml:space="preserve">2015-16 </w:t>
            </w:r>
            <w:r w:rsidRPr="00A9357E">
              <w:rPr>
                <w:rFonts w:asciiTheme="minorHAnsi" w:eastAsia="Times New Roman" w:hAnsiTheme="minorHAnsi"/>
                <w:iCs/>
                <w:szCs w:val="17"/>
              </w:rPr>
              <w:t>humanitarian assistance to Myanmar</w:t>
            </w:r>
            <w:r w:rsidR="00E76E2A">
              <w:rPr>
                <w:rFonts w:asciiTheme="minorHAnsi" w:eastAsia="Times New Roman" w:hAnsiTheme="minorHAnsi"/>
                <w:iCs/>
                <w:szCs w:val="17"/>
              </w:rPr>
              <w:t xml:space="preserve"> focused</w:t>
            </w:r>
            <w:r w:rsidRPr="00A9357E">
              <w:rPr>
                <w:rFonts w:asciiTheme="minorHAnsi" w:eastAsia="Times New Roman" w:hAnsiTheme="minorHAnsi"/>
                <w:iCs/>
                <w:szCs w:val="17"/>
              </w:rPr>
              <w:t xml:space="preserve"> on</w:t>
            </w:r>
            <w:r w:rsidR="00A9357E">
              <w:rPr>
                <w:rFonts w:asciiTheme="minorHAnsi" w:eastAsia="Times New Roman" w:hAnsiTheme="minorHAnsi"/>
                <w:iCs/>
                <w:szCs w:val="17"/>
              </w:rPr>
              <w:t xml:space="preserve"> building </w:t>
            </w:r>
            <w:r w:rsidRPr="00A9357E">
              <w:rPr>
                <w:rFonts w:asciiTheme="minorHAnsi" w:eastAsia="Times New Roman" w:hAnsiTheme="minorHAnsi"/>
                <w:iCs/>
                <w:szCs w:val="17"/>
              </w:rPr>
              <w:t>resilience</w:t>
            </w:r>
            <w:r w:rsidR="00A9357E">
              <w:rPr>
                <w:rFonts w:asciiTheme="minorHAnsi" w:eastAsia="Times New Roman" w:hAnsiTheme="minorHAnsi"/>
                <w:iCs/>
                <w:szCs w:val="17"/>
              </w:rPr>
              <w:t>. We strengthened the links between our humanit</w:t>
            </w:r>
            <w:r w:rsidR="00E76E2A">
              <w:rPr>
                <w:rFonts w:asciiTheme="minorHAnsi" w:eastAsia="Times New Roman" w:hAnsiTheme="minorHAnsi"/>
                <w:iCs/>
                <w:szCs w:val="17"/>
              </w:rPr>
              <w:t xml:space="preserve">arian and development programs </w:t>
            </w:r>
            <w:r w:rsidR="00A9357E">
              <w:rPr>
                <w:rFonts w:asciiTheme="minorHAnsi" w:eastAsia="Times New Roman" w:hAnsiTheme="minorHAnsi"/>
                <w:iCs/>
                <w:szCs w:val="17"/>
              </w:rPr>
              <w:t xml:space="preserve">by using development programs in education and livelihoods in Rakhine State to address early recovery needs. However, we recognise this is a long term endeavour and more </w:t>
            </w:r>
            <w:r w:rsidR="00E76E2A">
              <w:rPr>
                <w:rFonts w:asciiTheme="minorHAnsi" w:eastAsia="Times New Roman" w:hAnsiTheme="minorHAnsi"/>
                <w:iCs/>
                <w:szCs w:val="17"/>
              </w:rPr>
              <w:t xml:space="preserve">can be </w:t>
            </w:r>
            <w:r w:rsidR="00A9357E">
              <w:rPr>
                <w:rFonts w:asciiTheme="minorHAnsi" w:eastAsia="Times New Roman" w:hAnsiTheme="minorHAnsi"/>
                <w:iCs/>
                <w:szCs w:val="17"/>
              </w:rPr>
              <w:t>done.</w:t>
            </w:r>
          </w:p>
        </w:tc>
      </w:tr>
      <w:tr w:rsidR="00565FF0" w:rsidRPr="00A427C6" w14:paraId="0C360AB8" w14:textId="77777777" w:rsidTr="006B2CDB">
        <w:trPr>
          <w:cnfStyle w:val="000000010000" w:firstRow="0" w:lastRow="0" w:firstColumn="0" w:lastColumn="0" w:oddVBand="0" w:evenVBand="0" w:oddHBand="0" w:evenHBand="1" w:firstRowFirstColumn="0" w:firstRowLastColumn="0" w:lastRowFirstColumn="0" w:lastRowLastColumn="0"/>
        </w:trPr>
        <w:tc>
          <w:tcPr>
            <w:tcW w:w="6348" w:type="dxa"/>
          </w:tcPr>
          <w:p w14:paraId="0FC7FF92" w14:textId="77777777" w:rsidR="00565FF0" w:rsidRPr="008C66FE" w:rsidRDefault="00565FF0" w:rsidP="006F27B1">
            <w:pPr>
              <w:keepLines/>
              <w:spacing w:before="40" w:after="40" w:line="200" w:lineRule="atLeast"/>
              <w:rPr>
                <w:rFonts w:asciiTheme="minorHAnsi" w:eastAsia="Times New Roman" w:hAnsiTheme="minorHAnsi"/>
                <w:iCs/>
                <w:szCs w:val="17"/>
              </w:rPr>
            </w:pPr>
            <w:r w:rsidRPr="008C66FE">
              <w:rPr>
                <w:rFonts w:asciiTheme="minorHAnsi" w:eastAsia="Times New Roman" w:hAnsiTheme="minorHAnsi"/>
                <w:iCs/>
                <w:szCs w:val="17"/>
              </w:rPr>
              <w:t>Support the Ministry of Education’s monitoring and evaluation systems to improve data collection and its use in planning, including through the design of a new investment.</w:t>
            </w:r>
          </w:p>
        </w:tc>
        <w:tc>
          <w:tcPr>
            <w:tcW w:w="1228" w:type="dxa"/>
            <w:shd w:val="clear" w:color="auto" w:fill="FB9525"/>
          </w:tcPr>
          <w:p w14:paraId="06A436B2" w14:textId="77777777" w:rsidR="00565FF0" w:rsidRPr="008C66FE" w:rsidRDefault="00A9357E" w:rsidP="006F27B1">
            <w:pPr>
              <w:keepLines/>
              <w:spacing w:before="40" w:after="40" w:line="200" w:lineRule="atLeast"/>
              <w:jc w:val="center"/>
              <w:rPr>
                <w:rFonts w:asciiTheme="minorHAnsi" w:eastAsia="Times New Roman" w:hAnsiTheme="minorHAnsi"/>
                <w:iCs/>
                <w:color w:val="FFFFFF" w:themeColor="background1"/>
                <w:szCs w:val="17"/>
              </w:rPr>
            </w:pPr>
            <w:r>
              <w:rPr>
                <w:rFonts w:asciiTheme="minorHAnsi" w:eastAsia="Times New Roman" w:hAnsiTheme="minorHAnsi"/>
                <w:iCs/>
                <w:color w:val="FFFFFF" w:themeColor="background1"/>
                <w:szCs w:val="17"/>
              </w:rPr>
              <w:t>Partly achieved</w:t>
            </w:r>
          </w:p>
        </w:tc>
        <w:tc>
          <w:tcPr>
            <w:tcW w:w="6485" w:type="dxa"/>
          </w:tcPr>
          <w:p w14:paraId="64D2F60C" w14:textId="77777777" w:rsidR="00565FF0" w:rsidRPr="00A9357E" w:rsidRDefault="00A9357E" w:rsidP="006F27B1">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 xml:space="preserve">The Decentralising Funding to Schools project’s monitoring and evaluation system contributed to improved </w:t>
            </w:r>
            <w:r w:rsidR="000D3EAA">
              <w:rPr>
                <w:rFonts w:asciiTheme="minorHAnsi" w:eastAsia="Times New Roman" w:hAnsiTheme="minorHAnsi"/>
                <w:iCs/>
                <w:szCs w:val="17"/>
              </w:rPr>
              <w:t>data collection and use by the Ministry; however, the new investment design for MyEQIP, which focuses solely on this issue, is still to be finalised.</w:t>
            </w:r>
          </w:p>
        </w:tc>
      </w:tr>
      <w:tr w:rsidR="00565FF0" w:rsidRPr="00A427C6" w14:paraId="7CA7726F" w14:textId="77777777" w:rsidTr="006B2CDB">
        <w:trPr>
          <w:cnfStyle w:val="000000010000" w:firstRow="0" w:lastRow="0" w:firstColumn="0" w:lastColumn="0" w:oddVBand="0" w:evenVBand="0" w:oddHBand="0" w:evenHBand="1" w:firstRowFirstColumn="0" w:firstRowLastColumn="0" w:lastRowFirstColumn="0" w:lastRowLastColumn="0"/>
        </w:trPr>
        <w:tc>
          <w:tcPr>
            <w:tcW w:w="6348" w:type="dxa"/>
          </w:tcPr>
          <w:p w14:paraId="1045FEF3" w14:textId="77777777" w:rsidR="00565FF0" w:rsidRPr="008C66FE" w:rsidRDefault="00565FF0" w:rsidP="006F27B1">
            <w:pPr>
              <w:keepLines/>
              <w:spacing w:before="40" w:after="40" w:line="200" w:lineRule="atLeast"/>
              <w:rPr>
                <w:rFonts w:asciiTheme="minorHAnsi" w:eastAsia="Times New Roman" w:hAnsiTheme="minorHAnsi"/>
                <w:iCs/>
                <w:szCs w:val="17"/>
              </w:rPr>
            </w:pPr>
            <w:r w:rsidRPr="008C66FE">
              <w:rPr>
                <w:rFonts w:asciiTheme="minorHAnsi" w:eastAsia="Times New Roman" w:hAnsiTheme="minorHAnsi"/>
                <w:iCs/>
                <w:szCs w:val="17"/>
              </w:rPr>
              <w:t>Work with implementing partners of livelihoods program on program quality and performance and revisit progress against review recommendations in six months.</w:t>
            </w:r>
          </w:p>
        </w:tc>
        <w:tc>
          <w:tcPr>
            <w:tcW w:w="1228" w:type="dxa"/>
            <w:shd w:val="clear" w:color="auto" w:fill="92D050"/>
          </w:tcPr>
          <w:p w14:paraId="68527C67" w14:textId="77777777" w:rsidR="00565FF0" w:rsidRPr="008C66FE" w:rsidRDefault="00565FF0" w:rsidP="006F27B1">
            <w:pPr>
              <w:keepLines/>
              <w:spacing w:before="40" w:after="40" w:line="200" w:lineRule="atLeast"/>
              <w:jc w:val="center"/>
              <w:rPr>
                <w:rFonts w:asciiTheme="minorHAnsi" w:eastAsia="Times New Roman" w:hAnsiTheme="minorHAnsi"/>
                <w:iCs/>
                <w:color w:val="FFFFFF" w:themeColor="background1"/>
                <w:szCs w:val="17"/>
              </w:rPr>
            </w:pPr>
            <w:r w:rsidRPr="008C66FE">
              <w:rPr>
                <w:rFonts w:asciiTheme="minorHAnsi" w:eastAsia="Times New Roman" w:hAnsiTheme="minorHAnsi"/>
                <w:iCs/>
                <w:color w:val="FFFFFF" w:themeColor="background1"/>
                <w:szCs w:val="17"/>
              </w:rPr>
              <w:t>Achieved</w:t>
            </w:r>
          </w:p>
        </w:tc>
        <w:tc>
          <w:tcPr>
            <w:tcW w:w="6485" w:type="dxa"/>
          </w:tcPr>
          <w:p w14:paraId="3F7B6A3D" w14:textId="77777777" w:rsidR="00565FF0" w:rsidRPr="000D3EAA" w:rsidRDefault="00E76E2A" w:rsidP="00E76E2A">
            <w:pPr>
              <w:keepLines/>
              <w:spacing w:before="40" w:after="40" w:line="200" w:lineRule="atLeast"/>
              <w:rPr>
                <w:rFonts w:asciiTheme="minorHAnsi" w:eastAsia="Times New Roman" w:hAnsiTheme="minorHAnsi"/>
                <w:iCs/>
                <w:szCs w:val="17"/>
              </w:rPr>
            </w:pPr>
            <w:r>
              <w:rPr>
                <w:rFonts w:asciiTheme="minorHAnsi" w:hAnsiTheme="minorHAnsi"/>
              </w:rPr>
              <w:t xml:space="preserve">The findings of the June 215 ACIAR mid-term review were actioned and led to </w:t>
            </w:r>
            <w:r w:rsidR="000D3EAA" w:rsidRPr="000D3EAA">
              <w:rPr>
                <w:rFonts w:asciiTheme="minorHAnsi" w:hAnsiTheme="minorHAnsi"/>
              </w:rPr>
              <w:t xml:space="preserve">a marked improvement </w:t>
            </w:r>
            <w:r>
              <w:rPr>
                <w:rFonts w:asciiTheme="minorHAnsi" w:hAnsiTheme="minorHAnsi"/>
              </w:rPr>
              <w:t>in performance. This</w:t>
            </w:r>
            <w:r w:rsidR="000D3EAA">
              <w:rPr>
                <w:rFonts w:asciiTheme="minorHAnsi" w:hAnsiTheme="minorHAnsi"/>
              </w:rPr>
              <w:t xml:space="preserve"> is reflected in the AQC ratings at Annex D.</w:t>
            </w:r>
          </w:p>
        </w:tc>
      </w:tr>
    </w:tbl>
    <w:p w14:paraId="3EDE0915"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 xml:space="preserve">Note: </w:t>
      </w:r>
    </w:p>
    <w:p w14:paraId="670F2EBD"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Pr="00A427C6">
        <w:rPr>
          <w:rFonts w:eastAsia="Times New Roman"/>
          <w:b/>
          <w:sz w:val="16"/>
          <w:szCs w:val="14"/>
        </w:rPr>
        <w:t xml:space="preserve"> Achieved.  Significant progress has been made in addressing the issue </w:t>
      </w:r>
    </w:p>
    <w:p w14:paraId="4C80E6C5"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sz w:val="16"/>
          <w:szCs w:val="14"/>
        </w:rPr>
        <w:t> </w:t>
      </w:r>
      <w:r w:rsidRPr="00A427C6">
        <w:rPr>
          <w:rFonts w:eastAsia="Times New Roman"/>
          <w:b/>
          <w:sz w:val="16"/>
          <w:szCs w:val="14"/>
        </w:rPr>
        <w:t xml:space="preserve"> Partly achieved.  Some progress has been made in addressing the issue, but the issue has not been resolved </w:t>
      </w:r>
    </w:p>
    <w:p w14:paraId="0821F2CE" w14:textId="77777777" w:rsidR="000D3EAA" w:rsidRPr="00E76E2A" w:rsidRDefault="00400B0F" w:rsidP="00E76E2A">
      <w:pPr>
        <w:spacing w:before="20" w:after="20" w:line="180" w:lineRule="atLeast"/>
        <w:jc w:val="both"/>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w:t>
      </w:r>
      <w:r w:rsidRPr="00A427C6">
        <w:rPr>
          <w:rFonts w:eastAsia="Times New Roman"/>
          <w:b/>
          <w:sz w:val="16"/>
          <w:szCs w:val="14"/>
        </w:rPr>
        <w:t xml:space="preserve"> Not achieved. Progress in addressing the issue has been significantly below expectations</w:t>
      </w:r>
    </w:p>
    <w:p w14:paraId="3478E9B7" w14:textId="77777777" w:rsidR="006B2CDB" w:rsidRDefault="006B2CDB">
      <w:pPr>
        <w:suppressAutoHyphens w:val="0"/>
        <w:spacing w:before="0" w:after="120" w:line="440" w:lineRule="atLeast"/>
        <w:rPr>
          <w:rFonts w:eastAsiaTheme="majorEastAsia" w:cstheme="majorBidi"/>
          <w:bCs/>
          <w:iCs/>
          <w:caps/>
          <w:spacing w:val="-10"/>
          <w:kern w:val="28"/>
          <w:sz w:val="38"/>
          <w:szCs w:val="24"/>
        </w:rPr>
      </w:pPr>
      <w:r>
        <w:br w:type="page"/>
      </w:r>
    </w:p>
    <w:p w14:paraId="196C7725" w14:textId="069C47BE" w:rsidR="00400B0F" w:rsidRPr="00400B0F" w:rsidRDefault="00400B0F" w:rsidP="00400B0F">
      <w:pPr>
        <w:pStyle w:val="Subtitle"/>
        <w:numPr>
          <w:ilvl w:val="0"/>
          <w:numId w:val="0"/>
        </w:numPr>
      </w:pPr>
      <w:r w:rsidRPr="00400B0F">
        <w:lastRenderedPageBreak/>
        <w:t>Annex B - Progress towards Performance Benchmarks in 2015-16</w:t>
      </w:r>
    </w:p>
    <w:tbl>
      <w:tblPr>
        <w:tblStyle w:val="DFATTable"/>
        <w:tblW w:w="5000" w:type="pct"/>
        <w:tblLook w:val="04A0" w:firstRow="1" w:lastRow="0" w:firstColumn="1" w:lastColumn="0" w:noHBand="0" w:noVBand="1"/>
      </w:tblPr>
      <w:tblGrid>
        <w:gridCol w:w="2211"/>
        <w:gridCol w:w="2211"/>
        <w:gridCol w:w="1332"/>
        <w:gridCol w:w="8419"/>
      </w:tblGrid>
      <w:tr w:rsidR="00400B0F" w:rsidRPr="00A427C6" w14:paraId="5CE8A264" w14:textId="77777777" w:rsidTr="006F27B1">
        <w:trPr>
          <w:tblHeader/>
        </w:trPr>
        <w:tc>
          <w:tcPr>
            <w:tcW w:w="780" w:type="pct"/>
            <w:tcMar>
              <w:top w:w="57" w:type="dxa"/>
              <w:bottom w:w="57" w:type="dxa"/>
            </w:tcMar>
          </w:tcPr>
          <w:p w14:paraId="712383A8"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Aid objective</w:t>
            </w:r>
          </w:p>
        </w:tc>
        <w:tc>
          <w:tcPr>
            <w:tcW w:w="780" w:type="pct"/>
          </w:tcPr>
          <w:p w14:paraId="7A7EAD3A"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 xml:space="preserve">2014-15 benchmark </w:t>
            </w:r>
          </w:p>
        </w:tc>
        <w:tc>
          <w:tcPr>
            <w:tcW w:w="470" w:type="pct"/>
          </w:tcPr>
          <w:p w14:paraId="68C88B2B"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Rating</w:t>
            </w:r>
          </w:p>
        </w:tc>
        <w:tc>
          <w:tcPr>
            <w:tcW w:w="2970" w:type="pct"/>
          </w:tcPr>
          <w:p w14:paraId="708FEF9F"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Progress in 2015-16</w:t>
            </w:r>
          </w:p>
        </w:tc>
      </w:tr>
      <w:tr w:rsidR="00400B0F" w:rsidRPr="00A427C6" w14:paraId="3B21A91E" w14:textId="77777777" w:rsidTr="00D97643">
        <w:tc>
          <w:tcPr>
            <w:tcW w:w="780" w:type="pct"/>
            <w:tcMar>
              <w:top w:w="57" w:type="dxa"/>
              <w:bottom w:w="57" w:type="dxa"/>
            </w:tcMar>
          </w:tcPr>
          <w:p w14:paraId="63AACB70" w14:textId="77777777" w:rsidR="00400B0F" w:rsidRPr="00D97643" w:rsidRDefault="00677BF7" w:rsidP="006F27B1">
            <w:pPr>
              <w:keepLines/>
              <w:spacing w:before="40" w:after="40" w:line="200" w:lineRule="atLeast"/>
              <w:rPr>
                <w:rFonts w:asciiTheme="minorHAnsi" w:eastAsia="Times New Roman" w:hAnsiTheme="minorHAnsi"/>
                <w:iCs/>
                <w:color w:val="auto"/>
                <w:szCs w:val="17"/>
                <w:lang w:eastAsia="en-US"/>
              </w:rPr>
            </w:pPr>
            <w:r w:rsidRPr="00D97643">
              <w:rPr>
                <w:rFonts w:asciiTheme="minorHAnsi" w:eastAsia="Times New Roman" w:hAnsiTheme="minorHAnsi"/>
                <w:iCs/>
                <w:color w:val="auto"/>
                <w:szCs w:val="17"/>
                <w:lang w:eastAsia="en-US"/>
              </w:rPr>
              <w:t>Enhancing human development</w:t>
            </w:r>
          </w:p>
        </w:tc>
        <w:tc>
          <w:tcPr>
            <w:tcW w:w="780" w:type="pct"/>
          </w:tcPr>
          <w:p w14:paraId="2A4B8438" w14:textId="77777777" w:rsidR="00400B0F" w:rsidRPr="00D97643" w:rsidRDefault="00677BF7" w:rsidP="006F27B1">
            <w:pPr>
              <w:keepLines/>
              <w:spacing w:before="40" w:after="40" w:line="200" w:lineRule="atLeast"/>
              <w:rPr>
                <w:rFonts w:asciiTheme="minorHAnsi" w:eastAsia="Times New Roman" w:hAnsiTheme="minorHAnsi"/>
                <w:iCs/>
                <w:color w:val="auto"/>
                <w:szCs w:val="17"/>
                <w:lang w:eastAsia="en-US"/>
              </w:rPr>
            </w:pPr>
            <w:r w:rsidRPr="00D97643">
              <w:rPr>
                <w:rFonts w:asciiTheme="minorHAnsi" w:eastAsia="Times New Roman" w:hAnsiTheme="minorHAnsi"/>
                <w:iCs/>
                <w:color w:val="auto"/>
                <w:szCs w:val="17"/>
                <w:lang w:eastAsia="en-US"/>
              </w:rPr>
              <w:t>School grants provided to 80 per cent of schools in 100 townships, in accordance with the School Grant Guidelines</w:t>
            </w:r>
            <w:r w:rsidR="00400B0F" w:rsidRPr="00D97643">
              <w:rPr>
                <w:rFonts w:asciiTheme="minorHAnsi" w:eastAsia="Times New Roman" w:hAnsiTheme="minorHAnsi"/>
                <w:iCs/>
                <w:color w:val="auto"/>
                <w:szCs w:val="17"/>
                <w:lang w:eastAsia="en-US"/>
              </w:rPr>
              <w:t xml:space="preserve">  </w:t>
            </w:r>
          </w:p>
        </w:tc>
        <w:tc>
          <w:tcPr>
            <w:tcW w:w="470" w:type="pct"/>
            <w:tcBorders>
              <w:bottom w:val="nil"/>
            </w:tcBorders>
            <w:shd w:val="clear" w:color="auto" w:fill="92D050"/>
          </w:tcPr>
          <w:p w14:paraId="2E1C2DD7" w14:textId="77777777" w:rsidR="00400B0F" w:rsidRPr="00A427C6"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A427C6">
              <w:rPr>
                <w:rFonts w:asciiTheme="minorHAnsi" w:eastAsia="Times New Roman" w:hAnsiTheme="minorHAnsi"/>
                <w:iCs/>
                <w:color w:val="FFFFFF" w:themeColor="background1"/>
                <w:szCs w:val="17"/>
                <w:lang w:eastAsia="en-US"/>
              </w:rPr>
              <w:t>Achieved</w:t>
            </w:r>
          </w:p>
        </w:tc>
        <w:tc>
          <w:tcPr>
            <w:tcW w:w="2970" w:type="pct"/>
          </w:tcPr>
          <w:p w14:paraId="0A174E40" w14:textId="77777777" w:rsidR="00400B0F" w:rsidRPr="00D97643" w:rsidRDefault="00677BF7" w:rsidP="006F27B1">
            <w:pPr>
              <w:keepLines/>
              <w:spacing w:before="40" w:after="40" w:line="200" w:lineRule="atLeast"/>
              <w:rPr>
                <w:rFonts w:asciiTheme="minorHAnsi" w:eastAsia="Times New Roman" w:hAnsiTheme="minorHAnsi"/>
                <w:iCs/>
                <w:color w:val="auto"/>
                <w:szCs w:val="17"/>
                <w:lang w:eastAsia="en-US"/>
              </w:rPr>
            </w:pPr>
            <w:r w:rsidRPr="00D97643">
              <w:rPr>
                <w:rFonts w:asciiTheme="minorHAnsi" w:eastAsia="Times New Roman" w:hAnsiTheme="minorHAnsi"/>
                <w:iCs/>
                <w:color w:val="auto"/>
                <w:szCs w:val="17"/>
                <w:lang w:eastAsia="en-US"/>
              </w:rPr>
              <w:t xml:space="preserve">School grants were provided to </w:t>
            </w:r>
            <w:r w:rsidR="00973D7D" w:rsidRPr="00D97643">
              <w:rPr>
                <w:rFonts w:asciiTheme="minorHAnsi" w:eastAsia="Times New Roman" w:hAnsiTheme="minorHAnsi"/>
                <w:iCs/>
                <w:color w:val="auto"/>
                <w:szCs w:val="17"/>
                <w:lang w:eastAsia="en-US"/>
              </w:rPr>
              <w:t>95 per c</w:t>
            </w:r>
            <w:r w:rsidR="00132229">
              <w:rPr>
                <w:rFonts w:asciiTheme="minorHAnsi" w:eastAsia="Times New Roman" w:hAnsiTheme="minorHAnsi"/>
                <w:iCs/>
                <w:color w:val="auto"/>
                <w:szCs w:val="17"/>
                <w:lang w:eastAsia="en-US"/>
              </w:rPr>
              <w:t>ent of schools in 288 townships in accordance with the School Grant Guidelines.</w:t>
            </w:r>
          </w:p>
        </w:tc>
      </w:tr>
      <w:tr w:rsidR="00400B0F" w:rsidRPr="00A427C6" w14:paraId="72AF9EB8" w14:textId="77777777" w:rsidTr="000D3EAA">
        <w:tc>
          <w:tcPr>
            <w:tcW w:w="780" w:type="pct"/>
            <w:tcMar>
              <w:top w:w="57" w:type="dxa"/>
              <w:bottom w:w="57" w:type="dxa"/>
            </w:tcMar>
          </w:tcPr>
          <w:p w14:paraId="1561C2C3" w14:textId="77777777" w:rsidR="00400B0F" w:rsidRPr="00D97643" w:rsidRDefault="00400B0F" w:rsidP="006F27B1">
            <w:pPr>
              <w:keepLines/>
              <w:spacing w:before="40" w:after="40" w:line="200" w:lineRule="atLeast"/>
              <w:rPr>
                <w:rFonts w:asciiTheme="minorHAnsi" w:eastAsia="Times New Roman" w:hAnsiTheme="minorHAnsi"/>
                <w:iCs/>
                <w:color w:val="auto"/>
                <w:szCs w:val="17"/>
                <w:lang w:eastAsia="en-US"/>
              </w:rPr>
            </w:pPr>
          </w:p>
        </w:tc>
        <w:tc>
          <w:tcPr>
            <w:tcW w:w="780" w:type="pct"/>
          </w:tcPr>
          <w:p w14:paraId="627964AA" w14:textId="77777777" w:rsidR="00400B0F" w:rsidRPr="00D97643" w:rsidRDefault="00677BF7" w:rsidP="006F27B1">
            <w:pPr>
              <w:keepLines/>
              <w:spacing w:before="40" w:after="40" w:line="200" w:lineRule="atLeast"/>
              <w:rPr>
                <w:rFonts w:asciiTheme="minorHAnsi" w:eastAsia="Times New Roman" w:hAnsiTheme="minorHAnsi"/>
                <w:iCs/>
                <w:color w:val="auto"/>
                <w:szCs w:val="17"/>
                <w:lang w:eastAsia="en-US"/>
              </w:rPr>
            </w:pPr>
            <w:r w:rsidRPr="00D97643">
              <w:rPr>
                <w:rFonts w:asciiTheme="minorHAnsi" w:eastAsia="Times New Roman" w:hAnsiTheme="minorHAnsi"/>
                <w:iCs/>
                <w:color w:val="auto"/>
                <w:szCs w:val="17"/>
                <w:lang w:eastAsia="en-US"/>
              </w:rPr>
              <w:t>10,000 students receiving payment in the stipends program (50 per cent girls)</w:t>
            </w:r>
          </w:p>
        </w:tc>
        <w:tc>
          <w:tcPr>
            <w:tcW w:w="470" w:type="pct"/>
            <w:tcBorders>
              <w:top w:val="nil"/>
              <w:bottom w:val="nil"/>
            </w:tcBorders>
            <w:shd w:val="clear" w:color="auto" w:fill="92D050"/>
          </w:tcPr>
          <w:p w14:paraId="6617C5F1" w14:textId="77777777" w:rsidR="00400B0F" w:rsidRPr="00A427C6" w:rsidRDefault="00973D7D"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color w:val="FFFFFF" w:themeColor="background1"/>
                <w:szCs w:val="17"/>
                <w:lang w:eastAsia="en-US"/>
              </w:rPr>
              <w:t>Achieved</w:t>
            </w:r>
          </w:p>
        </w:tc>
        <w:tc>
          <w:tcPr>
            <w:tcW w:w="2970" w:type="pct"/>
          </w:tcPr>
          <w:p w14:paraId="391195E1" w14:textId="77777777" w:rsidR="00400B0F" w:rsidRPr="00D97643" w:rsidRDefault="00677BF7" w:rsidP="006F27B1">
            <w:pPr>
              <w:keepLines/>
              <w:spacing w:before="40" w:after="40" w:line="200" w:lineRule="atLeast"/>
              <w:rPr>
                <w:rFonts w:asciiTheme="minorHAnsi" w:eastAsia="Times New Roman" w:hAnsiTheme="minorHAnsi"/>
                <w:iCs/>
                <w:color w:val="auto"/>
                <w:szCs w:val="17"/>
                <w:lang w:eastAsia="en-US"/>
              </w:rPr>
            </w:pPr>
            <w:r w:rsidRPr="00D97643">
              <w:rPr>
                <w:rFonts w:asciiTheme="minorHAnsi" w:eastAsia="Times New Roman" w:hAnsiTheme="minorHAnsi"/>
                <w:iCs/>
                <w:color w:val="auto"/>
                <w:szCs w:val="17"/>
                <w:lang w:eastAsia="en-US"/>
              </w:rPr>
              <w:t>Over 120,000 stipends were paid in 2015-16 – well above the target. 47 per cent of beneficiaries were girls, short of the 50 per cent target. On balance, we assess this performance benchmark was achieved given the twelve fold increase in the reach of the stipends.</w:t>
            </w:r>
          </w:p>
        </w:tc>
      </w:tr>
      <w:tr w:rsidR="00677BF7" w:rsidRPr="00A427C6" w14:paraId="17320605" w14:textId="77777777" w:rsidTr="000D3EAA">
        <w:tc>
          <w:tcPr>
            <w:tcW w:w="780" w:type="pct"/>
            <w:tcMar>
              <w:top w:w="57" w:type="dxa"/>
              <w:bottom w:w="57" w:type="dxa"/>
            </w:tcMar>
          </w:tcPr>
          <w:p w14:paraId="5668EBB5" w14:textId="77777777" w:rsidR="00677BF7" w:rsidRPr="00D97643" w:rsidRDefault="00677BF7" w:rsidP="006F27B1">
            <w:pPr>
              <w:keepLines/>
              <w:spacing w:before="40" w:after="40" w:line="200" w:lineRule="atLeast"/>
              <w:rPr>
                <w:rFonts w:asciiTheme="minorHAnsi" w:eastAsia="Times New Roman" w:hAnsiTheme="minorHAnsi"/>
                <w:iCs/>
                <w:color w:val="auto"/>
                <w:szCs w:val="17"/>
              </w:rPr>
            </w:pPr>
            <w:r w:rsidRPr="00D97643">
              <w:rPr>
                <w:rFonts w:asciiTheme="minorHAnsi" w:eastAsia="Times New Roman" w:hAnsiTheme="minorHAnsi"/>
                <w:iCs/>
                <w:color w:val="auto"/>
                <w:szCs w:val="17"/>
              </w:rPr>
              <w:t>Promoting peace and stability</w:t>
            </w:r>
          </w:p>
        </w:tc>
        <w:tc>
          <w:tcPr>
            <w:tcW w:w="780" w:type="pct"/>
          </w:tcPr>
          <w:p w14:paraId="12276A21" w14:textId="77777777" w:rsidR="00677BF7" w:rsidRPr="00D97643" w:rsidRDefault="00973D7D" w:rsidP="006F27B1">
            <w:pPr>
              <w:keepLines/>
              <w:spacing w:before="40" w:after="40" w:line="200" w:lineRule="atLeast"/>
              <w:rPr>
                <w:rFonts w:asciiTheme="minorHAnsi" w:eastAsia="Times New Roman" w:hAnsiTheme="minorHAnsi"/>
                <w:iCs/>
                <w:color w:val="auto"/>
                <w:szCs w:val="17"/>
              </w:rPr>
            </w:pPr>
            <w:r w:rsidRPr="00D97643">
              <w:rPr>
                <w:rFonts w:asciiTheme="minorHAnsi" w:eastAsia="Times New Roman" w:hAnsiTheme="minorHAnsi"/>
                <w:iCs/>
                <w:color w:val="auto"/>
                <w:szCs w:val="17"/>
              </w:rPr>
              <w:t>Establishment of Joint Peace Fund. Women who have completed Australian-funded training are engaged in the peace process</w:t>
            </w:r>
          </w:p>
        </w:tc>
        <w:tc>
          <w:tcPr>
            <w:tcW w:w="470" w:type="pct"/>
            <w:tcBorders>
              <w:top w:val="nil"/>
              <w:bottom w:val="nil"/>
            </w:tcBorders>
            <w:shd w:val="clear" w:color="auto" w:fill="92D050"/>
          </w:tcPr>
          <w:p w14:paraId="0D1F32A2" w14:textId="77777777" w:rsidR="00677BF7" w:rsidRPr="000D3EAA" w:rsidRDefault="000D3EAA" w:rsidP="006F27B1">
            <w:pPr>
              <w:keepLines/>
              <w:spacing w:before="40" w:after="40" w:line="200" w:lineRule="atLeast"/>
              <w:jc w:val="center"/>
              <w:rPr>
                <w:rFonts w:asciiTheme="minorHAnsi" w:eastAsia="Times New Roman" w:hAnsiTheme="minorHAnsi"/>
                <w:iCs/>
                <w:color w:val="FFFFFF" w:themeColor="background1"/>
                <w:szCs w:val="17"/>
              </w:rPr>
            </w:pPr>
            <w:r w:rsidRPr="000D3EAA">
              <w:rPr>
                <w:rFonts w:asciiTheme="minorHAnsi" w:eastAsia="Times New Roman" w:hAnsiTheme="minorHAnsi"/>
                <w:iCs/>
                <w:color w:val="FFFFFF" w:themeColor="background1"/>
                <w:szCs w:val="17"/>
              </w:rPr>
              <w:t>Achieved</w:t>
            </w:r>
          </w:p>
        </w:tc>
        <w:tc>
          <w:tcPr>
            <w:tcW w:w="2970" w:type="pct"/>
          </w:tcPr>
          <w:p w14:paraId="00E61EA3" w14:textId="77777777" w:rsidR="00677BF7" w:rsidRPr="00D97643" w:rsidRDefault="00973D7D" w:rsidP="000D3EAA">
            <w:pPr>
              <w:keepLines/>
              <w:spacing w:before="40" w:after="40" w:line="200" w:lineRule="atLeast"/>
              <w:rPr>
                <w:rFonts w:asciiTheme="minorHAnsi" w:eastAsia="Times New Roman" w:hAnsiTheme="minorHAnsi"/>
                <w:iCs/>
                <w:color w:val="auto"/>
                <w:szCs w:val="17"/>
              </w:rPr>
            </w:pPr>
            <w:r w:rsidRPr="00D97643">
              <w:rPr>
                <w:rFonts w:asciiTheme="minorHAnsi" w:eastAsia="Times New Roman" w:hAnsiTheme="minorHAnsi"/>
                <w:iCs/>
                <w:color w:val="auto"/>
                <w:szCs w:val="17"/>
              </w:rPr>
              <w:t xml:space="preserve">The Joint Peace Fund was established in December 2015 and has attracted USD114 million in donor funding to date. </w:t>
            </w:r>
            <w:r w:rsidR="000D3EAA" w:rsidRPr="000D3EAA">
              <w:rPr>
                <w:rFonts w:asciiTheme="minorHAnsi" w:eastAsia="Times New Roman" w:hAnsiTheme="minorHAnsi"/>
                <w:iCs/>
                <w:color w:val="auto"/>
                <w:szCs w:val="17"/>
              </w:rPr>
              <w:t>CPCS delivered leadership training to 11 women who are engaged in the peace process. The increased leadership capacities are evidenced by the improved leadership performance in their respective organisations.</w:t>
            </w:r>
            <w:r w:rsidR="000D3EAA">
              <w:rPr>
                <w:rFonts w:asciiTheme="minorHAnsi" w:eastAsia="Times New Roman" w:hAnsiTheme="minorHAnsi"/>
                <w:iCs/>
                <w:color w:val="auto"/>
                <w:szCs w:val="17"/>
              </w:rPr>
              <w:t xml:space="preserve"> However, we will seek to update this benchmark in future years to make it more measurable and reflective of Australia’s contribution.</w:t>
            </w:r>
          </w:p>
        </w:tc>
      </w:tr>
      <w:tr w:rsidR="00400B0F" w:rsidRPr="00A427C6" w14:paraId="76B114C7" w14:textId="77777777" w:rsidTr="00D97643">
        <w:tc>
          <w:tcPr>
            <w:tcW w:w="780" w:type="pct"/>
            <w:tcMar>
              <w:top w:w="57" w:type="dxa"/>
              <w:bottom w:w="57" w:type="dxa"/>
            </w:tcMar>
          </w:tcPr>
          <w:p w14:paraId="751DA723" w14:textId="77777777" w:rsidR="00400B0F" w:rsidRPr="00D97643" w:rsidRDefault="00400B0F" w:rsidP="006F27B1">
            <w:pPr>
              <w:keepLines/>
              <w:spacing w:before="40" w:after="40" w:line="200" w:lineRule="atLeast"/>
              <w:rPr>
                <w:rFonts w:asciiTheme="minorHAnsi" w:eastAsia="Times New Roman" w:hAnsiTheme="minorHAnsi"/>
                <w:iCs/>
                <w:color w:val="auto"/>
                <w:szCs w:val="17"/>
                <w:lang w:eastAsia="en-US"/>
              </w:rPr>
            </w:pPr>
          </w:p>
        </w:tc>
        <w:tc>
          <w:tcPr>
            <w:tcW w:w="780" w:type="pct"/>
          </w:tcPr>
          <w:p w14:paraId="0DA1CD56" w14:textId="77777777" w:rsidR="00400B0F" w:rsidRPr="00D97643" w:rsidRDefault="00D97643" w:rsidP="00D97643">
            <w:pPr>
              <w:keepLines/>
              <w:spacing w:before="40" w:after="40" w:line="200" w:lineRule="atLeast"/>
              <w:rPr>
                <w:rFonts w:asciiTheme="minorHAnsi" w:eastAsia="Times New Roman" w:hAnsiTheme="minorHAnsi"/>
                <w:iCs/>
                <w:color w:val="auto"/>
                <w:szCs w:val="17"/>
                <w:lang w:eastAsia="en-US"/>
              </w:rPr>
            </w:pPr>
            <w:r w:rsidRPr="00D97643">
              <w:rPr>
                <w:rFonts w:asciiTheme="minorHAnsi" w:eastAsia="Times New Roman" w:hAnsiTheme="minorHAnsi"/>
                <w:iCs/>
                <w:color w:val="auto"/>
                <w:szCs w:val="17"/>
                <w:lang w:eastAsia="en-US"/>
              </w:rPr>
              <w:t>More than 200,000 women and men receive Australian humanitarian assistance</w:t>
            </w:r>
          </w:p>
        </w:tc>
        <w:tc>
          <w:tcPr>
            <w:tcW w:w="470" w:type="pct"/>
            <w:tcBorders>
              <w:top w:val="nil"/>
              <w:bottom w:val="nil"/>
            </w:tcBorders>
            <w:shd w:val="clear" w:color="auto" w:fill="92D050"/>
          </w:tcPr>
          <w:p w14:paraId="134F0F6C" w14:textId="77777777" w:rsidR="00400B0F" w:rsidRPr="00A427C6" w:rsidRDefault="00400B0F" w:rsidP="00D97643">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color w:val="FFFFFF" w:themeColor="background1"/>
                <w:szCs w:val="17"/>
                <w:lang w:eastAsia="en-US"/>
              </w:rPr>
              <w:t>Achieved</w:t>
            </w:r>
          </w:p>
        </w:tc>
        <w:tc>
          <w:tcPr>
            <w:tcW w:w="2970" w:type="pct"/>
          </w:tcPr>
          <w:p w14:paraId="5B0F5808" w14:textId="77777777" w:rsidR="00400B0F" w:rsidRPr="00D97643" w:rsidRDefault="00D97643" w:rsidP="00D97643">
            <w:pPr>
              <w:pStyle w:val="TableTextEntries"/>
              <w:keepNext/>
              <w:rPr>
                <w:rFonts w:asciiTheme="minorHAnsi" w:hAnsiTheme="minorHAnsi"/>
                <w:iCs w:val="0"/>
                <w:lang w:eastAsia="en-US"/>
              </w:rPr>
            </w:pPr>
            <w:r w:rsidRPr="00D97643">
              <w:rPr>
                <w:rFonts w:asciiTheme="minorHAnsi" w:hAnsiTheme="minorHAnsi"/>
                <w:iCs w:val="0"/>
                <w:lang w:eastAsia="en-US"/>
              </w:rPr>
              <w:t>Australia’s humanitarian assistance reached over 372,000 people in Myanmar in 2015-16</w:t>
            </w:r>
            <w:r>
              <w:rPr>
                <w:rFonts w:asciiTheme="minorHAnsi" w:hAnsiTheme="minorHAnsi"/>
                <w:iCs w:val="0"/>
                <w:lang w:eastAsia="en-US"/>
              </w:rPr>
              <w:t>.</w:t>
            </w:r>
          </w:p>
        </w:tc>
      </w:tr>
      <w:tr w:rsidR="00973D7D" w:rsidRPr="00A427C6" w14:paraId="007A041C" w14:textId="77777777" w:rsidTr="00D97643">
        <w:tc>
          <w:tcPr>
            <w:tcW w:w="780" w:type="pct"/>
            <w:tcMar>
              <w:top w:w="57" w:type="dxa"/>
              <w:bottom w:w="57" w:type="dxa"/>
            </w:tcMar>
          </w:tcPr>
          <w:p w14:paraId="02770963" w14:textId="77777777" w:rsidR="00973D7D" w:rsidRPr="00D97643" w:rsidRDefault="00D97643" w:rsidP="006F27B1">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Promoting inclusive growth</w:t>
            </w:r>
          </w:p>
        </w:tc>
        <w:tc>
          <w:tcPr>
            <w:tcW w:w="780" w:type="pct"/>
          </w:tcPr>
          <w:p w14:paraId="2BAFCE71" w14:textId="77777777" w:rsidR="00973D7D" w:rsidRPr="00D97643" w:rsidRDefault="00D97643" w:rsidP="006F27B1">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Draft investment l</w:t>
            </w:r>
            <w:r w:rsidR="00A72F1F">
              <w:rPr>
                <w:rFonts w:asciiTheme="minorHAnsi" w:eastAsia="Times New Roman" w:hAnsiTheme="minorHAnsi"/>
                <w:iCs/>
                <w:color w:val="auto"/>
                <w:szCs w:val="17"/>
              </w:rPr>
              <w:t>aw finalised for submission to P</w:t>
            </w:r>
            <w:r>
              <w:rPr>
                <w:rFonts w:asciiTheme="minorHAnsi" w:eastAsia="Times New Roman" w:hAnsiTheme="minorHAnsi"/>
                <w:iCs/>
                <w:color w:val="auto"/>
                <w:szCs w:val="17"/>
              </w:rPr>
              <w:t>arliament. Investment procedures clarified, including through consultation with business and civil society.</w:t>
            </w:r>
          </w:p>
        </w:tc>
        <w:tc>
          <w:tcPr>
            <w:tcW w:w="470" w:type="pct"/>
            <w:tcBorders>
              <w:top w:val="nil"/>
              <w:bottom w:val="nil"/>
            </w:tcBorders>
            <w:shd w:val="clear" w:color="auto" w:fill="FFC000"/>
          </w:tcPr>
          <w:p w14:paraId="128F96BA" w14:textId="77777777" w:rsidR="00973D7D" w:rsidRPr="00D97643" w:rsidRDefault="000D3EAA" w:rsidP="00D97643">
            <w:pPr>
              <w:keepLines/>
              <w:spacing w:before="40" w:after="40" w:line="200" w:lineRule="atLeast"/>
              <w:jc w:val="center"/>
              <w:rPr>
                <w:rFonts w:asciiTheme="minorHAnsi" w:eastAsia="Times New Roman" w:hAnsiTheme="minorHAnsi"/>
                <w:iCs/>
                <w:color w:val="FFFFFF" w:themeColor="background1"/>
                <w:szCs w:val="17"/>
              </w:rPr>
            </w:pPr>
            <w:r>
              <w:rPr>
                <w:rFonts w:asciiTheme="minorHAnsi" w:eastAsia="Times New Roman" w:hAnsiTheme="minorHAnsi"/>
                <w:iCs/>
                <w:color w:val="FFFFFF" w:themeColor="background1"/>
                <w:szCs w:val="17"/>
              </w:rPr>
              <w:t>Part</w:t>
            </w:r>
            <w:r w:rsidR="00D97643" w:rsidRPr="00D97643">
              <w:rPr>
                <w:rFonts w:asciiTheme="minorHAnsi" w:eastAsia="Times New Roman" w:hAnsiTheme="minorHAnsi"/>
                <w:iCs/>
                <w:color w:val="FFFFFF" w:themeColor="background1"/>
                <w:szCs w:val="17"/>
              </w:rPr>
              <w:t>ly achieved</w:t>
            </w:r>
          </w:p>
        </w:tc>
        <w:tc>
          <w:tcPr>
            <w:tcW w:w="2970" w:type="pct"/>
          </w:tcPr>
          <w:p w14:paraId="2996279A" w14:textId="77777777" w:rsidR="00973D7D" w:rsidRPr="00D97643" w:rsidRDefault="00677120" w:rsidP="00677120">
            <w:pPr>
              <w:pStyle w:val="TableTextEntries"/>
              <w:keepNext/>
              <w:rPr>
                <w:rFonts w:asciiTheme="minorHAnsi" w:hAnsiTheme="minorHAnsi"/>
              </w:rPr>
            </w:pPr>
            <w:r>
              <w:rPr>
                <w:rFonts w:asciiTheme="minorHAnsi" w:hAnsiTheme="minorHAnsi"/>
              </w:rPr>
              <w:t>As at August</w:t>
            </w:r>
            <w:r w:rsidR="00D97643" w:rsidRPr="00D97643">
              <w:rPr>
                <w:rFonts w:asciiTheme="minorHAnsi" w:hAnsiTheme="minorHAnsi"/>
              </w:rPr>
              <w:t xml:space="preserve"> 2016, the draft investment law is at the President’s office awaiting his approval</w:t>
            </w:r>
            <w:r w:rsidR="00A72F1F">
              <w:rPr>
                <w:rFonts w:asciiTheme="minorHAnsi" w:hAnsiTheme="minorHAnsi"/>
              </w:rPr>
              <w:t xml:space="preserve"> to introduce into the Myanmar P</w:t>
            </w:r>
            <w:r w:rsidR="00D97643" w:rsidRPr="00D97643">
              <w:rPr>
                <w:rFonts w:asciiTheme="minorHAnsi" w:hAnsiTheme="minorHAnsi"/>
              </w:rPr>
              <w:t xml:space="preserve">arliament. Investment procedures </w:t>
            </w:r>
            <w:r>
              <w:rPr>
                <w:rFonts w:asciiTheme="minorHAnsi" w:hAnsiTheme="minorHAnsi"/>
              </w:rPr>
              <w:t xml:space="preserve">have been clarified through consultation with business and civil society to date, and </w:t>
            </w:r>
            <w:r w:rsidR="00D97643" w:rsidRPr="00D97643">
              <w:rPr>
                <w:rFonts w:asciiTheme="minorHAnsi" w:hAnsiTheme="minorHAnsi"/>
              </w:rPr>
              <w:t>will be</w:t>
            </w:r>
            <w:r w:rsidR="00D97643">
              <w:rPr>
                <w:rFonts w:asciiTheme="minorHAnsi" w:hAnsiTheme="minorHAnsi"/>
              </w:rPr>
              <w:t xml:space="preserve"> </w:t>
            </w:r>
            <w:r>
              <w:rPr>
                <w:rFonts w:asciiTheme="minorHAnsi" w:hAnsiTheme="minorHAnsi"/>
              </w:rPr>
              <w:t xml:space="preserve">further </w:t>
            </w:r>
            <w:r w:rsidR="00D97643">
              <w:rPr>
                <w:rFonts w:asciiTheme="minorHAnsi" w:hAnsiTheme="minorHAnsi"/>
              </w:rPr>
              <w:t>clarified once the investment law and implementing regulations are passed.</w:t>
            </w:r>
          </w:p>
        </w:tc>
      </w:tr>
      <w:tr w:rsidR="00973D7D" w:rsidRPr="00A427C6" w14:paraId="340BAA2E" w14:textId="77777777" w:rsidTr="00D97643">
        <w:tc>
          <w:tcPr>
            <w:tcW w:w="780" w:type="pct"/>
            <w:tcMar>
              <w:top w:w="57" w:type="dxa"/>
              <w:bottom w:w="57" w:type="dxa"/>
            </w:tcMar>
          </w:tcPr>
          <w:p w14:paraId="63FC4C62" w14:textId="77777777" w:rsidR="00973D7D" w:rsidRPr="00A427C6" w:rsidRDefault="00973D7D" w:rsidP="006F27B1">
            <w:pPr>
              <w:keepLines/>
              <w:spacing w:before="40" w:after="40" w:line="200" w:lineRule="atLeast"/>
              <w:rPr>
                <w:rFonts w:eastAsia="Times New Roman"/>
                <w:iCs/>
                <w:szCs w:val="17"/>
              </w:rPr>
            </w:pPr>
          </w:p>
        </w:tc>
        <w:tc>
          <w:tcPr>
            <w:tcW w:w="780" w:type="pct"/>
          </w:tcPr>
          <w:p w14:paraId="610B3DDE" w14:textId="77777777" w:rsidR="00973D7D" w:rsidRPr="00D97643" w:rsidRDefault="00D97643" w:rsidP="006F27B1">
            <w:pPr>
              <w:keepLines/>
              <w:spacing w:before="40" w:after="40" w:line="200" w:lineRule="atLeast"/>
              <w:rPr>
                <w:rFonts w:asciiTheme="minorHAnsi" w:eastAsia="Times New Roman" w:hAnsiTheme="minorHAnsi"/>
                <w:iCs/>
                <w:color w:val="auto"/>
                <w:szCs w:val="17"/>
              </w:rPr>
            </w:pPr>
            <w:r>
              <w:rPr>
                <w:rFonts w:asciiTheme="minorHAnsi" w:eastAsia="Times New Roman" w:hAnsiTheme="minorHAnsi"/>
                <w:iCs/>
                <w:color w:val="auto"/>
                <w:szCs w:val="17"/>
              </w:rPr>
              <w:t>Improved transparency of financial planning and budget processes.</w:t>
            </w:r>
          </w:p>
        </w:tc>
        <w:tc>
          <w:tcPr>
            <w:tcW w:w="470" w:type="pct"/>
            <w:tcBorders>
              <w:top w:val="nil"/>
              <w:bottom w:val="single" w:sz="12" w:space="0" w:color="auto"/>
            </w:tcBorders>
            <w:shd w:val="clear" w:color="auto" w:fill="92D050"/>
          </w:tcPr>
          <w:p w14:paraId="07515308" w14:textId="77777777" w:rsidR="00973D7D" w:rsidRPr="00D97643" w:rsidRDefault="00D97643" w:rsidP="00D97643">
            <w:pPr>
              <w:keepLines/>
              <w:spacing w:before="40" w:after="40" w:line="200" w:lineRule="atLeast"/>
              <w:jc w:val="center"/>
              <w:rPr>
                <w:rFonts w:asciiTheme="minorHAnsi" w:eastAsia="Times New Roman" w:hAnsiTheme="minorHAnsi"/>
                <w:iCs/>
                <w:color w:val="FFFFFF" w:themeColor="background1"/>
                <w:szCs w:val="17"/>
              </w:rPr>
            </w:pPr>
            <w:r w:rsidRPr="00D97643">
              <w:rPr>
                <w:rFonts w:asciiTheme="minorHAnsi" w:eastAsia="Times New Roman" w:hAnsiTheme="minorHAnsi"/>
                <w:iCs/>
                <w:color w:val="FFFFFF" w:themeColor="background1"/>
                <w:szCs w:val="17"/>
              </w:rPr>
              <w:t>Achieved</w:t>
            </w:r>
          </w:p>
        </w:tc>
        <w:tc>
          <w:tcPr>
            <w:tcW w:w="2970" w:type="pct"/>
          </w:tcPr>
          <w:p w14:paraId="55EB042A" w14:textId="77777777" w:rsidR="00973D7D" w:rsidRPr="00A427C6" w:rsidRDefault="00D97643" w:rsidP="00D97643">
            <w:pPr>
              <w:pStyle w:val="TableTextEntries"/>
              <w:keepNext/>
              <w:rPr>
                <w:rFonts w:asciiTheme="minorHAnsi" w:hAnsiTheme="minorHAnsi"/>
              </w:rPr>
            </w:pPr>
            <w:r>
              <w:rPr>
                <w:rFonts w:asciiTheme="minorHAnsi" w:hAnsiTheme="minorHAnsi"/>
              </w:rPr>
              <w:t>A</w:t>
            </w:r>
            <w:r w:rsidRPr="00D97643">
              <w:rPr>
                <w:rFonts w:asciiTheme="minorHAnsi" w:hAnsiTheme="minorHAnsi"/>
              </w:rPr>
              <w:t xml:space="preserve"> multi-year fiscal framework </w:t>
            </w:r>
            <w:r>
              <w:rPr>
                <w:rFonts w:asciiTheme="minorHAnsi" w:hAnsiTheme="minorHAnsi"/>
              </w:rPr>
              <w:t>was established by the Myanmar Government to improve</w:t>
            </w:r>
            <w:r w:rsidRPr="00D97643">
              <w:rPr>
                <w:rFonts w:asciiTheme="minorHAnsi" w:hAnsiTheme="minorHAnsi"/>
              </w:rPr>
              <w:t xml:space="preserve"> fiscal planning and budget process</w:t>
            </w:r>
            <w:r>
              <w:rPr>
                <w:rFonts w:asciiTheme="minorHAnsi" w:hAnsiTheme="minorHAnsi"/>
              </w:rPr>
              <w:t xml:space="preserve">es. </w:t>
            </w:r>
            <w:r w:rsidRPr="00D97643">
              <w:rPr>
                <w:rFonts w:asciiTheme="minorHAnsi" w:hAnsiTheme="minorHAnsi"/>
              </w:rPr>
              <w:t xml:space="preserve">Budget ceilings </w:t>
            </w:r>
            <w:r>
              <w:rPr>
                <w:rFonts w:asciiTheme="minorHAnsi" w:hAnsiTheme="minorHAnsi"/>
              </w:rPr>
              <w:t xml:space="preserve">were </w:t>
            </w:r>
            <w:r w:rsidRPr="00D97643">
              <w:rPr>
                <w:rFonts w:asciiTheme="minorHAnsi" w:hAnsiTheme="minorHAnsi"/>
              </w:rPr>
              <w:t>ci</w:t>
            </w:r>
            <w:r>
              <w:rPr>
                <w:rFonts w:asciiTheme="minorHAnsi" w:hAnsiTheme="minorHAnsi"/>
              </w:rPr>
              <w:t>rculated to line ministries to improve</w:t>
            </w:r>
            <w:r w:rsidRPr="00D97643">
              <w:rPr>
                <w:rFonts w:asciiTheme="minorHAnsi" w:hAnsiTheme="minorHAnsi"/>
              </w:rPr>
              <w:t xml:space="preserve"> budget planning. </w:t>
            </w:r>
            <w:r>
              <w:rPr>
                <w:rFonts w:asciiTheme="minorHAnsi" w:hAnsiTheme="minorHAnsi"/>
              </w:rPr>
              <w:t>The Myanmar Government also</w:t>
            </w:r>
            <w:r w:rsidRPr="00D97643">
              <w:rPr>
                <w:rFonts w:asciiTheme="minorHAnsi" w:hAnsiTheme="minorHAnsi"/>
              </w:rPr>
              <w:t xml:space="preserve"> published a citizens</w:t>
            </w:r>
            <w:r>
              <w:rPr>
                <w:rFonts w:asciiTheme="minorHAnsi" w:hAnsiTheme="minorHAnsi"/>
              </w:rPr>
              <w:t>’</w:t>
            </w:r>
            <w:r w:rsidRPr="00D97643">
              <w:rPr>
                <w:rFonts w:asciiTheme="minorHAnsi" w:hAnsiTheme="minorHAnsi"/>
              </w:rPr>
              <w:t xml:space="preserve"> budget for 2015 and 2016.  Myanmar’s first </w:t>
            </w:r>
            <w:r>
              <w:rPr>
                <w:rFonts w:asciiTheme="minorHAnsi" w:hAnsiTheme="minorHAnsi"/>
              </w:rPr>
              <w:t>Extractives Industries Transparency Initiative (</w:t>
            </w:r>
            <w:r w:rsidRPr="00D97643">
              <w:rPr>
                <w:rFonts w:asciiTheme="minorHAnsi" w:hAnsiTheme="minorHAnsi"/>
              </w:rPr>
              <w:t>EITI</w:t>
            </w:r>
            <w:r>
              <w:rPr>
                <w:rFonts w:asciiTheme="minorHAnsi" w:hAnsiTheme="minorHAnsi"/>
              </w:rPr>
              <w:t>)</w:t>
            </w:r>
            <w:r w:rsidRPr="00D97643">
              <w:rPr>
                <w:rFonts w:asciiTheme="minorHAnsi" w:hAnsiTheme="minorHAnsi"/>
              </w:rPr>
              <w:t xml:space="preserve"> report was published in 2015 with detailed information on revenues from the oil and gas sectors.</w:t>
            </w:r>
          </w:p>
        </w:tc>
      </w:tr>
    </w:tbl>
    <w:p w14:paraId="3E8C8845"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 xml:space="preserve">Note: </w:t>
      </w:r>
    </w:p>
    <w:p w14:paraId="30548593"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Pr="00A427C6">
        <w:rPr>
          <w:rFonts w:eastAsia="Times New Roman"/>
          <w:b/>
          <w:sz w:val="16"/>
          <w:szCs w:val="14"/>
        </w:rPr>
        <w:t xml:space="preserve"> Achieved.  Significant progress has been made and the performance benchmark was achieved</w:t>
      </w:r>
      <w:r w:rsidR="00D97643">
        <w:rPr>
          <w:rFonts w:eastAsia="Times New Roman"/>
          <w:b/>
          <w:sz w:val="16"/>
          <w:szCs w:val="14"/>
        </w:rPr>
        <w:t>.</w:t>
      </w:r>
      <w:r w:rsidRPr="00A427C6">
        <w:rPr>
          <w:rFonts w:eastAsia="Times New Roman"/>
          <w:b/>
          <w:sz w:val="16"/>
          <w:szCs w:val="14"/>
        </w:rPr>
        <w:t xml:space="preserve"> </w:t>
      </w:r>
    </w:p>
    <w:p w14:paraId="35952F52"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sz w:val="16"/>
          <w:szCs w:val="14"/>
        </w:rPr>
        <w:t> </w:t>
      </w:r>
      <w:r w:rsidRPr="00A427C6">
        <w:rPr>
          <w:rFonts w:eastAsia="Times New Roman"/>
          <w:b/>
          <w:sz w:val="16"/>
          <w:szCs w:val="14"/>
        </w:rPr>
        <w:t xml:space="preserve"> Partly achieved.  Some progress has been made towards achieving the performance benchmark, but progress was less than anticipated. </w:t>
      </w:r>
    </w:p>
    <w:p w14:paraId="37452B3D" w14:textId="77777777" w:rsidR="00400B0F" w:rsidRPr="00D97643" w:rsidRDefault="00400B0F" w:rsidP="00D97643">
      <w:pPr>
        <w:spacing w:before="20" w:after="20" w:line="180" w:lineRule="atLeast"/>
        <w:jc w:val="both"/>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w:t>
      </w:r>
      <w:r w:rsidRPr="00A427C6">
        <w:rPr>
          <w:rFonts w:eastAsia="Times New Roman"/>
          <w:b/>
          <w:sz w:val="16"/>
          <w:szCs w:val="14"/>
        </w:rPr>
        <w:t xml:space="preserve"> Not achieved. Progress towards the performance benchmark has been s</w:t>
      </w:r>
      <w:r w:rsidR="00D97643">
        <w:rPr>
          <w:rFonts w:eastAsia="Times New Roman"/>
          <w:b/>
          <w:sz w:val="16"/>
          <w:szCs w:val="14"/>
        </w:rPr>
        <w:t>ignificantly below expectations.</w:t>
      </w:r>
    </w:p>
    <w:p w14:paraId="7398A3D1" w14:textId="77777777" w:rsidR="00400B0F" w:rsidRDefault="00400B0F">
      <w:pPr>
        <w:suppressAutoHyphens w:val="0"/>
        <w:spacing w:before="0" w:after="120" w:line="440" w:lineRule="atLeast"/>
        <w:rPr>
          <w:rFonts w:ascii="Franklin Gothic Book" w:eastAsia="Times New Roman" w:hAnsi="Franklin Gothic Book"/>
          <w:sz w:val="21"/>
        </w:rPr>
      </w:pPr>
      <w:r>
        <w:rPr>
          <w:rFonts w:ascii="Franklin Gothic Book" w:eastAsia="Times New Roman" w:hAnsi="Franklin Gothic Book"/>
          <w:sz w:val="21"/>
        </w:rPr>
        <w:br w:type="page"/>
      </w:r>
    </w:p>
    <w:p w14:paraId="41D16EE7" w14:textId="77777777" w:rsidR="00400B0F" w:rsidRPr="00784031" w:rsidRDefault="00400B0F" w:rsidP="00784031">
      <w:pPr>
        <w:pStyle w:val="Subtitle"/>
        <w:numPr>
          <w:ilvl w:val="0"/>
          <w:numId w:val="0"/>
        </w:numPr>
      </w:pPr>
      <w:r w:rsidRPr="00784031">
        <w:lastRenderedPageBreak/>
        <w:t>Annex C - Evaluation Planning</w:t>
      </w:r>
    </w:p>
    <w:p w14:paraId="1A987600" w14:textId="77777777" w:rsidR="00400B0F" w:rsidRPr="008C2F58" w:rsidRDefault="00400B0F" w:rsidP="008C2F58">
      <w:pPr>
        <w:rPr>
          <w:b/>
          <w:sz w:val="24"/>
        </w:rPr>
      </w:pPr>
      <w:r w:rsidRPr="008C2F58">
        <w:rPr>
          <w:b/>
          <w:sz w:val="24"/>
        </w:rPr>
        <w:t xml:space="preserve">List of evaluations completed in the reporting period </w:t>
      </w:r>
    </w:p>
    <w:tbl>
      <w:tblPr>
        <w:tblStyle w:val="APPR"/>
        <w:tblW w:w="14453" w:type="dxa"/>
        <w:tblLayout w:type="fixed"/>
        <w:tblLook w:val="04A0" w:firstRow="1" w:lastRow="0" w:firstColumn="1" w:lastColumn="0" w:noHBand="0" w:noVBand="1"/>
      </w:tblPr>
      <w:tblGrid>
        <w:gridCol w:w="3106"/>
        <w:gridCol w:w="4685"/>
        <w:gridCol w:w="1425"/>
        <w:gridCol w:w="1981"/>
        <w:gridCol w:w="1699"/>
        <w:gridCol w:w="1557"/>
      </w:tblGrid>
      <w:tr w:rsidR="00400B0F" w:rsidRPr="00C61187" w14:paraId="62E03931"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65F3AEEC"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 xml:space="preserve">Investment number and name </w:t>
            </w:r>
          </w:p>
          <w:p w14:paraId="508A742B" w14:textId="77777777" w:rsidR="00400B0F" w:rsidRPr="00A427C6" w:rsidRDefault="00400B0F" w:rsidP="006F27B1">
            <w:pPr>
              <w:keepLines/>
              <w:spacing w:line="200" w:lineRule="atLeast"/>
              <w:rPr>
                <w:rFonts w:asciiTheme="minorHAnsi" w:eastAsia="Times New Roman" w:hAnsiTheme="minorHAnsi"/>
                <w:b w:val="0"/>
                <w:iCs/>
                <w:szCs w:val="17"/>
                <w:lang w:eastAsia="en-US"/>
              </w:rPr>
            </w:pPr>
          </w:p>
        </w:tc>
        <w:tc>
          <w:tcPr>
            <w:tcW w:w="4657" w:type="dxa"/>
          </w:tcPr>
          <w:p w14:paraId="6A9766B1"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Name of evaluation</w:t>
            </w:r>
          </w:p>
        </w:tc>
        <w:tc>
          <w:tcPr>
            <w:tcW w:w="1397" w:type="dxa"/>
          </w:tcPr>
          <w:p w14:paraId="4D4B82AB"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completed</w:t>
            </w:r>
          </w:p>
        </w:tc>
        <w:tc>
          <w:tcPr>
            <w:tcW w:w="1953" w:type="dxa"/>
          </w:tcPr>
          <w:p w14:paraId="64E0C950"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Evaluation report Uploaded into AidWorks</w:t>
            </w:r>
          </w:p>
        </w:tc>
        <w:tc>
          <w:tcPr>
            <w:tcW w:w="1671" w:type="dxa"/>
          </w:tcPr>
          <w:p w14:paraId="1E97F12F"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Management response uploaded into AidWorks</w:t>
            </w:r>
          </w:p>
        </w:tc>
        <w:tc>
          <w:tcPr>
            <w:tcW w:w="1515" w:type="dxa"/>
          </w:tcPr>
          <w:p w14:paraId="460C59DC"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Published on website</w:t>
            </w:r>
          </w:p>
        </w:tc>
      </w:tr>
      <w:tr w:rsidR="00400B0F" w:rsidRPr="003B5EE5" w14:paraId="5FD9B38F"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4EFEF8B2" w14:textId="66996A6F" w:rsidR="00400B0F" w:rsidRPr="00A427C6" w:rsidRDefault="00565FF0" w:rsidP="003671B7">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No evaluations were completed in</w:t>
            </w:r>
            <w:r w:rsidR="003671B7">
              <w:rPr>
                <w:rFonts w:asciiTheme="minorHAnsi" w:eastAsia="Times New Roman" w:hAnsiTheme="minorHAnsi"/>
                <w:b w:val="0"/>
                <w:iCs/>
                <w:szCs w:val="17"/>
                <w:lang w:eastAsia="en-US"/>
              </w:rPr>
              <w:br/>
            </w:r>
            <w:r>
              <w:rPr>
                <w:rFonts w:asciiTheme="minorHAnsi" w:eastAsia="Times New Roman" w:hAnsiTheme="minorHAnsi"/>
                <w:b w:val="0"/>
                <w:iCs/>
                <w:szCs w:val="17"/>
                <w:lang w:eastAsia="en-US"/>
              </w:rPr>
              <w:t>2015-16.</w:t>
            </w:r>
          </w:p>
        </w:tc>
        <w:tc>
          <w:tcPr>
            <w:tcW w:w="4657" w:type="dxa"/>
          </w:tcPr>
          <w:p w14:paraId="2697B416" w14:textId="77777777" w:rsidR="00400B0F" w:rsidRPr="00A427C6" w:rsidRDefault="00565FF0" w:rsidP="00565FF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1397" w:type="dxa"/>
          </w:tcPr>
          <w:p w14:paraId="24E4674B" w14:textId="77777777" w:rsidR="00400B0F" w:rsidRPr="00A427C6" w:rsidRDefault="00565FF0" w:rsidP="006F27B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1953" w:type="dxa"/>
          </w:tcPr>
          <w:p w14:paraId="695B5DAB" w14:textId="77777777" w:rsidR="00400B0F" w:rsidRPr="00A427C6" w:rsidRDefault="00565FF0" w:rsidP="00565FF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r w:rsidR="00400B0F" w:rsidRPr="00A427C6">
              <w:rPr>
                <w:rFonts w:asciiTheme="minorHAnsi" w:eastAsia="Times New Roman" w:hAnsiTheme="minorHAnsi"/>
                <w:b w:val="0"/>
                <w:iCs/>
                <w:szCs w:val="17"/>
                <w:lang w:eastAsia="en-US"/>
              </w:rPr>
              <w:t xml:space="preserve"> </w:t>
            </w:r>
          </w:p>
        </w:tc>
        <w:tc>
          <w:tcPr>
            <w:tcW w:w="1671" w:type="dxa"/>
          </w:tcPr>
          <w:p w14:paraId="71255684" w14:textId="77777777" w:rsidR="00400B0F" w:rsidRPr="00A427C6" w:rsidRDefault="00565FF0" w:rsidP="006F27B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1515" w:type="dxa"/>
          </w:tcPr>
          <w:p w14:paraId="4074E749" w14:textId="77777777" w:rsidR="00400B0F" w:rsidRPr="00A427C6" w:rsidRDefault="00565FF0" w:rsidP="006F27B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r>
    </w:tbl>
    <w:p w14:paraId="3DCA5F33" w14:textId="77777777" w:rsidR="008C2F58" w:rsidRDefault="008C2F58" w:rsidP="008C2F58">
      <w:pPr>
        <w:rPr>
          <w:b/>
          <w:sz w:val="24"/>
        </w:rPr>
      </w:pPr>
    </w:p>
    <w:p w14:paraId="17B2F0BC" w14:textId="77777777" w:rsidR="00400B0F" w:rsidRPr="008C2F58" w:rsidRDefault="00400B0F" w:rsidP="008C2F58">
      <w:pPr>
        <w:rPr>
          <w:b/>
          <w:sz w:val="24"/>
        </w:rPr>
      </w:pPr>
      <w:r w:rsidRPr="008C2F58">
        <w:rPr>
          <w:b/>
          <w:sz w:val="24"/>
        </w:rPr>
        <w:t xml:space="preserve">List of program prioritised evaluations planned for the next 12 months </w:t>
      </w:r>
    </w:p>
    <w:tbl>
      <w:tblPr>
        <w:tblStyle w:val="APPR"/>
        <w:tblW w:w="0" w:type="auto"/>
        <w:tblLook w:val="0600" w:firstRow="0" w:lastRow="0" w:firstColumn="0" w:lastColumn="0" w:noHBand="1" w:noVBand="1"/>
      </w:tblPr>
      <w:tblGrid>
        <w:gridCol w:w="2466"/>
        <w:gridCol w:w="2367"/>
        <w:gridCol w:w="2446"/>
        <w:gridCol w:w="2210"/>
        <w:gridCol w:w="2332"/>
        <w:gridCol w:w="2352"/>
      </w:tblGrid>
      <w:tr w:rsidR="00400B0F" w:rsidRPr="00C61187" w14:paraId="2E735730" w14:textId="77777777" w:rsidTr="006F27B1">
        <w:tc>
          <w:tcPr>
            <w:tcW w:w="2472" w:type="dxa"/>
          </w:tcPr>
          <w:p w14:paraId="46CA2188"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Evaluation title</w:t>
            </w:r>
          </w:p>
        </w:tc>
        <w:tc>
          <w:tcPr>
            <w:tcW w:w="2381" w:type="dxa"/>
          </w:tcPr>
          <w:p w14:paraId="537531F3"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 xml:space="preserve">Investment number and name (if applicable) </w:t>
            </w:r>
          </w:p>
        </w:tc>
        <w:tc>
          <w:tcPr>
            <w:tcW w:w="2459" w:type="dxa"/>
          </w:tcPr>
          <w:p w14:paraId="520A256C" w14:textId="77777777" w:rsidR="00400B0F" w:rsidRPr="00A427C6" w:rsidRDefault="00400B0F" w:rsidP="00225DD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 xml:space="preserve">Date – planned commencement </w:t>
            </w:r>
          </w:p>
        </w:tc>
        <w:tc>
          <w:tcPr>
            <w:tcW w:w="2227" w:type="dxa"/>
          </w:tcPr>
          <w:p w14:paraId="6A4A7A85" w14:textId="77777777" w:rsidR="00400B0F" w:rsidRPr="00A427C6" w:rsidRDefault="00400B0F" w:rsidP="00225DD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 xml:space="preserve">Date – planned completion </w:t>
            </w:r>
          </w:p>
        </w:tc>
        <w:tc>
          <w:tcPr>
            <w:tcW w:w="2348" w:type="dxa"/>
          </w:tcPr>
          <w:p w14:paraId="464B3BCC"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Purpose of evaluation</w:t>
            </w:r>
          </w:p>
        </w:tc>
        <w:tc>
          <w:tcPr>
            <w:tcW w:w="2362" w:type="dxa"/>
          </w:tcPr>
          <w:p w14:paraId="4F41E823"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Evaluation type</w:t>
            </w:r>
          </w:p>
        </w:tc>
      </w:tr>
      <w:tr w:rsidR="00400B0F" w:rsidRPr="00C61187" w14:paraId="46FA63BE" w14:textId="77777777" w:rsidTr="006F27B1">
        <w:tc>
          <w:tcPr>
            <w:tcW w:w="2472" w:type="dxa"/>
          </w:tcPr>
          <w:p w14:paraId="19E4A96D" w14:textId="77777777" w:rsidR="00400B0F" w:rsidRPr="00A427C6" w:rsidRDefault="000E071A" w:rsidP="00225DD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Myanmar Decentralising Funding for Schools Project Mid Term Review</w:t>
            </w:r>
          </w:p>
        </w:tc>
        <w:tc>
          <w:tcPr>
            <w:tcW w:w="2381" w:type="dxa"/>
          </w:tcPr>
          <w:p w14:paraId="74447E08" w14:textId="77777777" w:rsidR="00225DD1" w:rsidRPr="00A427C6" w:rsidRDefault="00225DD1" w:rsidP="00225DD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INL347 Myanmar School Grants and Stipends (Decentralising Funding for Schools Project)</w:t>
            </w:r>
          </w:p>
          <w:p w14:paraId="02A3E508"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2459" w:type="dxa"/>
          </w:tcPr>
          <w:p w14:paraId="64961B93" w14:textId="77777777" w:rsidR="00400B0F" w:rsidRPr="00A427C6" w:rsidRDefault="0077213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January 2017</w:t>
            </w:r>
          </w:p>
        </w:tc>
        <w:tc>
          <w:tcPr>
            <w:tcW w:w="2227" w:type="dxa"/>
          </w:tcPr>
          <w:p w14:paraId="6DACD508" w14:textId="77777777" w:rsidR="00400B0F" w:rsidRPr="00A427C6" w:rsidRDefault="00225DD1"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June 2017</w:t>
            </w:r>
            <w:r w:rsidR="00400B0F" w:rsidRPr="00A427C6">
              <w:rPr>
                <w:rFonts w:asciiTheme="minorHAnsi" w:eastAsia="Times New Roman" w:hAnsiTheme="minorHAnsi"/>
                <w:iCs/>
                <w:szCs w:val="17"/>
                <w:lang w:eastAsia="en-US"/>
              </w:rPr>
              <w:t xml:space="preserve"> </w:t>
            </w:r>
          </w:p>
        </w:tc>
        <w:tc>
          <w:tcPr>
            <w:tcW w:w="2348" w:type="dxa"/>
          </w:tcPr>
          <w:p w14:paraId="1A7583B4" w14:textId="77777777" w:rsidR="00400B0F" w:rsidRPr="00225DD1" w:rsidRDefault="00225DD1"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To verify the performance of Australia’s major education investment in Myanmar and its innovative financing and monitoring approaches, to inform future programming in education and with the Myanmar Government more broadly. </w:t>
            </w:r>
          </w:p>
        </w:tc>
        <w:tc>
          <w:tcPr>
            <w:tcW w:w="2362" w:type="dxa"/>
          </w:tcPr>
          <w:p w14:paraId="294A442B"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 xml:space="preserve">Joint </w:t>
            </w:r>
            <w:r w:rsidR="00225DD1">
              <w:rPr>
                <w:rFonts w:asciiTheme="minorHAnsi" w:eastAsia="Times New Roman" w:hAnsiTheme="minorHAnsi"/>
                <w:iCs/>
                <w:szCs w:val="17"/>
                <w:lang w:eastAsia="en-US"/>
              </w:rPr>
              <w:t>evaluation with World Bank and Myanmar Ministry of Education</w:t>
            </w:r>
          </w:p>
          <w:p w14:paraId="2125ECCE"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p>
        </w:tc>
      </w:tr>
      <w:tr w:rsidR="00400B0F" w:rsidRPr="00C61187" w14:paraId="3E2679FA" w14:textId="77777777" w:rsidTr="006F27B1">
        <w:tc>
          <w:tcPr>
            <w:tcW w:w="2472" w:type="dxa"/>
          </w:tcPr>
          <w:p w14:paraId="0ED13FC0" w14:textId="77777777" w:rsidR="00400B0F" w:rsidRPr="00C61187" w:rsidRDefault="00400B0F" w:rsidP="006F27B1">
            <w:pPr>
              <w:keepLines/>
              <w:spacing w:before="40" w:after="40" w:line="200" w:lineRule="atLeast"/>
              <w:rPr>
                <w:rFonts w:eastAsia="Times New Roman"/>
                <w:iCs/>
                <w:szCs w:val="17"/>
                <w:lang w:eastAsia="en-US"/>
              </w:rPr>
            </w:pPr>
          </w:p>
        </w:tc>
        <w:tc>
          <w:tcPr>
            <w:tcW w:w="2381" w:type="dxa"/>
          </w:tcPr>
          <w:p w14:paraId="0C87666B" w14:textId="77777777" w:rsidR="00400B0F" w:rsidRPr="00C61187" w:rsidRDefault="00400B0F" w:rsidP="006F27B1">
            <w:pPr>
              <w:keepLines/>
              <w:spacing w:before="40" w:after="40" w:line="200" w:lineRule="atLeast"/>
              <w:rPr>
                <w:rFonts w:eastAsia="Times New Roman"/>
                <w:iCs/>
                <w:szCs w:val="17"/>
                <w:lang w:eastAsia="en-US"/>
              </w:rPr>
            </w:pPr>
          </w:p>
        </w:tc>
        <w:tc>
          <w:tcPr>
            <w:tcW w:w="2459" w:type="dxa"/>
          </w:tcPr>
          <w:p w14:paraId="4170DD27" w14:textId="77777777" w:rsidR="00400B0F" w:rsidRPr="00C61187" w:rsidRDefault="00400B0F" w:rsidP="006F27B1">
            <w:pPr>
              <w:keepLines/>
              <w:spacing w:before="40" w:after="40" w:line="200" w:lineRule="atLeast"/>
              <w:rPr>
                <w:rFonts w:eastAsia="Times New Roman"/>
                <w:iCs/>
                <w:szCs w:val="17"/>
                <w:lang w:eastAsia="en-US"/>
              </w:rPr>
            </w:pPr>
          </w:p>
        </w:tc>
        <w:tc>
          <w:tcPr>
            <w:tcW w:w="2227" w:type="dxa"/>
          </w:tcPr>
          <w:p w14:paraId="21E1098C" w14:textId="77777777" w:rsidR="00400B0F" w:rsidRPr="00C61187" w:rsidRDefault="00400B0F" w:rsidP="006F27B1">
            <w:pPr>
              <w:keepLines/>
              <w:spacing w:before="40" w:after="40" w:line="200" w:lineRule="atLeast"/>
              <w:rPr>
                <w:rFonts w:eastAsia="Times New Roman"/>
                <w:iCs/>
                <w:szCs w:val="17"/>
                <w:lang w:eastAsia="en-US"/>
              </w:rPr>
            </w:pPr>
          </w:p>
        </w:tc>
        <w:tc>
          <w:tcPr>
            <w:tcW w:w="2348" w:type="dxa"/>
          </w:tcPr>
          <w:p w14:paraId="5137F44F" w14:textId="77777777" w:rsidR="00400B0F" w:rsidRPr="00C61187" w:rsidRDefault="00400B0F" w:rsidP="006F27B1">
            <w:pPr>
              <w:keepLines/>
              <w:spacing w:before="40" w:after="40" w:line="200" w:lineRule="atLeast"/>
              <w:rPr>
                <w:rFonts w:eastAsia="Times New Roman"/>
                <w:iCs/>
                <w:szCs w:val="17"/>
                <w:lang w:eastAsia="en-US"/>
              </w:rPr>
            </w:pPr>
          </w:p>
        </w:tc>
        <w:tc>
          <w:tcPr>
            <w:tcW w:w="2362" w:type="dxa"/>
          </w:tcPr>
          <w:p w14:paraId="6AA45A3B" w14:textId="77777777" w:rsidR="00400B0F" w:rsidRPr="00C61187" w:rsidRDefault="00400B0F" w:rsidP="006F27B1">
            <w:pPr>
              <w:keepLines/>
              <w:spacing w:before="40" w:after="40" w:line="200" w:lineRule="atLeast"/>
              <w:rPr>
                <w:rFonts w:eastAsia="Times New Roman"/>
                <w:iCs/>
                <w:szCs w:val="17"/>
                <w:lang w:eastAsia="en-US"/>
              </w:rPr>
            </w:pPr>
          </w:p>
        </w:tc>
      </w:tr>
    </w:tbl>
    <w:p w14:paraId="65223EEA" w14:textId="77777777" w:rsidR="00400B0F" w:rsidRPr="00C61187" w:rsidRDefault="00400B0F" w:rsidP="00400B0F">
      <w:pPr>
        <w:rPr>
          <w:b/>
        </w:rPr>
        <w:sectPr w:rsidR="00400B0F" w:rsidRPr="00C61187" w:rsidSect="008C2F58">
          <w:headerReference w:type="even" r:id="rId12"/>
          <w:headerReference w:type="default" r:id="rId13"/>
          <w:headerReference w:type="first" r:id="rId14"/>
          <w:footerReference w:type="first" r:id="rId15"/>
          <w:footnotePr>
            <w:numRestart w:val="eachPage"/>
          </w:footnotePr>
          <w:type w:val="continuous"/>
          <w:pgSz w:w="16838" w:h="11906" w:orient="landscape" w:code="9"/>
          <w:pgMar w:top="1272" w:right="1814" w:bottom="851" w:left="851" w:header="709" w:footer="230" w:gutter="0"/>
          <w:cols w:space="708"/>
          <w:titlePg/>
          <w:docGrid w:linePitch="360"/>
        </w:sectPr>
      </w:pPr>
    </w:p>
    <w:p w14:paraId="6DD481B4" w14:textId="77777777" w:rsidR="00400B0F" w:rsidRPr="00784031" w:rsidRDefault="00400B0F" w:rsidP="00400B0F">
      <w:pPr>
        <w:keepNext/>
        <w:tabs>
          <w:tab w:val="left" w:pos="1560"/>
        </w:tabs>
        <w:spacing w:before="360" w:after="120"/>
        <w:outlineLvl w:val="1"/>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Annex D - Aid Quality Check ratings</w:t>
      </w:r>
    </w:p>
    <w:p w14:paraId="0C80C969" w14:textId="77777777" w:rsidR="00400B0F" w:rsidRPr="00784031" w:rsidRDefault="00400B0F" w:rsidP="00400B0F">
      <w:pPr>
        <w:keepNext/>
        <w:numPr>
          <w:ilvl w:val="2"/>
          <w:numId w:val="0"/>
        </w:numPr>
        <w:spacing w:before="240" w:after="120"/>
        <w:outlineLvl w:val="2"/>
        <w:rPr>
          <w:rFonts w:asciiTheme="majorHAnsi" w:eastAsiaTheme="majorEastAsia" w:hAnsiTheme="majorHAnsi" w:cstheme="majorBidi"/>
          <w:caps/>
          <w:sz w:val="38"/>
          <w:szCs w:val="26"/>
        </w:rPr>
      </w:pPr>
      <w:r w:rsidRPr="00784031">
        <w:rPr>
          <w:rFonts w:asciiTheme="majorHAnsi" w:eastAsiaTheme="majorEastAsia" w:hAnsiTheme="majorHAnsi" w:cstheme="majorBidi"/>
          <w:caps/>
          <w:sz w:val="38"/>
          <w:szCs w:val="26"/>
        </w:rPr>
        <w:t>AQC ratings</w:t>
      </w:r>
    </w:p>
    <w:p w14:paraId="43BB6DBA" w14:textId="77777777" w:rsidR="00400B0F" w:rsidRPr="00C61187" w:rsidRDefault="00400B0F" w:rsidP="004E0264">
      <w:r w:rsidRPr="00C61187">
        <w:t>AQC investment performance over the previous 12 months and where available last year’s AQC ratings are included.</w:t>
      </w:r>
    </w:p>
    <w:tbl>
      <w:tblPr>
        <w:tblStyle w:val="APPR"/>
        <w:tblW w:w="5000" w:type="pct"/>
        <w:tblLook w:val="0000" w:firstRow="0" w:lastRow="0" w:firstColumn="0" w:lastColumn="0" w:noHBand="0" w:noVBand="0"/>
      </w:tblPr>
      <w:tblGrid>
        <w:gridCol w:w="2670"/>
        <w:gridCol w:w="1930"/>
        <w:gridCol w:w="1231"/>
        <w:gridCol w:w="1237"/>
        <w:gridCol w:w="1228"/>
        <w:gridCol w:w="1237"/>
        <w:gridCol w:w="1228"/>
        <w:gridCol w:w="1237"/>
        <w:gridCol w:w="1228"/>
        <w:gridCol w:w="1234"/>
      </w:tblGrid>
      <w:tr w:rsidR="00400B0F" w:rsidRPr="00C61187" w14:paraId="07F3124D" w14:textId="77777777" w:rsidTr="006B2CDB">
        <w:trPr>
          <w:cnfStyle w:val="000000010000" w:firstRow="0" w:lastRow="0" w:firstColumn="0" w:lastColumn="0" w:oddVBand="0" w:evenVBand="0" w:oddHBand="0" w:evenHBand="1" w:firstRowFirstColumn="0" w:firstRowLastColumn="0" w:lastRowFirstColumn="0" w:lastRowLastColumn="0"/>
          <w:trHeight w:val="1413"/>
        </w:trPr>
        <w:tc>
          <w:tcPr>
            <w:tcW w:w="909" w:type="pct"/>
          </w:tcPr>
          <w:p w14:paraId="086D5556"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eastAsia="Times New Roman"/>
                <w:b/>
                <w:iCs/>
                <w:noProof/>
                <w:szCs w:val="17"/>
                <w:lang w:val="en-AU"/>
              </w:rPr>
              <w:drawing>
                <wp:anchor distT="0" distB="0" distL="114300" distR="114300" simplePos="0" relativeHeight="251676672" behindDoc="0" locked="0" layoutInCell="1" allowOverlap="1" wp14:anchorId="2FC72CE5" wp14:editId="0712156D">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C6">
              <w:rPr>
                <w:rFonts w:asciiTheme="minorHAnsi" w:eastAsia="Times New Roman" w:hAnsiTheme="minorHAnsi"/>
                <w:b/>
                <w:iCs/>
                <w:szCs w:val="17"/>
                <w:lang w:eastAsia="en-US"/>
              </w:rPr>
              <w:t>Investment name</w:t>
            </w:r>
          </w:p>
        </w:tc>
        <w:tc>
          <w:tcPr>
            <w:tcW w:w="658" w:type="pct"/>
            <w:textDirection w:val="btLr"/>
          </w:tcPr>
          <w:p w14:paraId="656F72C5"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Approved budget and duration</w:t>
            </w:r>
          </w:p>
        </w:tc>
        <w:tc>
          <w:tcPr>
            <w:tcW w:w="416" w:type="pct"/>
            <w:textDirection w:val="btLr"/>
          </w:tcPr>
          <w:p w14:paraId="7F92E80C"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year on year</w:t>
            </w:r>
          </w:p>
        </w:tc>
        <w:tc>
          <w:tcPr>
            <w:tcW w:w="418" w:type="pct"/>
            <w:textDirection w:val="btLr"/>
          </w:tcPr>
          <w:p w14:paraId="41DD178F"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Relevance</w:t>
            </w:r>
          </w:p>
        </w:tc>
        <w:tc>
          <w:tcPr>
            <w:tcW w:w="415" w:type="pct"/>
            <w:textDirection w:val="btLr"/>
          </w:tcPr>
          <w:p w14:paraId="59DDA4E3"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Effectiveness</w:t>
            </w:r>
          </w:p>
        </w:tc>
        <w:tc>
          <w:tcPr>
            <w:tcW w:w="418" w:type="pct"/>
            <w:textDirection w:val="btLr"/>
          </w:tcPr>
          <w:p w14:paraId="270B6D6F"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Efficiency</w:t>
            </w:r>
          </w:p>
        </w:tc>
        <w:tc>
          <w:tcPr>
            <w:tcW w:w="415" w:type="pct"/>
            <w:textDirection w:val="btLr"/>
          </w:tcPr>
          <w:p w14:paraId="7C721469"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Monitoring and Evaluation</w:t>
            </w:r>
          </w:p>
        </w:tc>
        <w:tc>
          <w:tcPr>
            <w:tcW w:w="418" w:type="pct"/>
            <w:textDirection w:val="btLr"/>
          </w:tcPr>
          <w:p w14:paraId="3F85FF39"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Sustainability</w:t>
            </w:r>
          </w:p>
        </w:tc>
        <w:tc>
          <w:tcPr>
            <w:tcW w:w="415" w:type="pct"/>
            <w:textDirection w:val="btLr"/>
          </w:tcPr>
          <w:p w14:paraId="129D09F2"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Gender equality</w:t>
            </w:r>
          </w:p>
        </w:tc>
        <w:tc>
          <w:tcPr>
            <w:tcW w:w="412" w:type="pct"/>
            <w:textDirection w:val="btLr"/>
          </w:tcPr>
          <w:p w14:paraId="2D935365"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Risks  and Safeguards</w:t>
            </w:r>
          </w:p>
        </w:tc>
      </w:tr>
      <w:tr w:rsidR="00400B0F" w:rsidRPr="00C61187" w14:paraId="4A1F4EDB"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auto"/>
            </w:tcBorders>
          </w:tcPr>
          <w:p w14:paraId="1311C7D3" w14:textId="77777777" w:rsidR="00400B0F" w:rsidRPr="00A427C6" w:rsidRDefault="00413419"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Myanmar Basic Education</w:t>
            </w:r>
          </w:p>
        </w:tc>
        <w:tc>
          <w:tcPr>
            <w:tcW w:w="658" w:type="pct"/>
            <w:vMerge w:val="restart"/>
            <w:tcBorders>
              <w:top w:val="single" w:sz="4" w:space="0" w:color="auto"/>
            </w:tcBorders>
          </w:tcPr>
          <w:p w14:paraId="2C2BB7CE" w14:textId="77777777" w:rsidR="00400B0F" w:rsidRPr="00A427C6" w:rsidRDefault="00413419" w:rsidP="006F27B1">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$62.5</w:t>
            </w:r>
            <w:r w:rsidR="00400B0F" w:rsidRPr="00A427C6">
              <w:rPr>
                <w:rFonts w:asciiTheme="minorHAnsi" w:hAnsiTheme="minorHAnsi" w:cs="Franklin Gothic Book"/>
                <w:color w:val="000000"/>
                <w:szCs w:val="17"/>
              </w:rPr>
              <w:t xml:space="preserve">m </w:t>
            </w:r>
          </w:p>
          <w:p w14:paraId="24371E9F"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 xml:space="preserve">2012-17 </w:t>
            </w:r>
          </w:p>
        </w:tc>
        <w:tc>
          <w:tcPr>
            <w:tcW w:w="416" w:type="pct"/>
            <w:tcBorders>
              <w:top w:val="single" w:sz="4" w:space="0" w:color="auto"/>
            </w:tcBorders>
          </w:tcPr>
          <w:p w14:paraId="719E89DB"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tcBorders>
              <w:top w:val="single" w:sz="4" w:space="0" w:color="auto"/>
            </w:tcBorders>
            <w:shd w:val="clear" w:color="auto" w:fill="92D050"/>
            <w:noWrap/>
          </w:tcPr>
          <w:p w14:paraId="6A1B9D6D" w14:textId="77777777" w:rsidR="00400B0F" w:rsidRPr="00A427C6" w:rsidRDefault="00400B0F" w:rsidP="006F27B1">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5</w:t>
            </w:r>
          </w:p>
        </w:tc>
        <w:tc>
          <w:tcPr>
            <w:tcW w:w="415" w:type="pct"/>
            <w:tcBorders>
              <w:top w:val="single" w:sz="4" w:space="0" w:color="auto"/>
            </w:tcBorders>
            <w:shd w:val="clear" w:color="auto" w:fill="92D050"/>
            <w:noWrap/>
          </w:tcPr>
          <w:p w14:paraId="40735D01" w14:textId="77777777" w:rsidR="00400B0F" w:rsidRPr="00A427C6" w:rsidRDefault="00413419"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8" w:type="pct"/>
            <w:tcBorders>
              <w:top w:val="single" w:sz="4" w:space="0" w:color="auto"/>
            </w:tcBorders>
            <w:shd w:val="clear" w:color="auto" w:fill="FFFF00"/>
            <w:noWrap/>
          </w:tcPr>
          <w:p w14:paraId="24C3B340" w14:textId="77777777" w:rsidR="00400B0F" w:rsidRPr="00A427C6" w:rsidRDefault="00400B0F" w:rsidP="006F27B1">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tcPr>
          <w:p w14:paraId="02C06776" w14:textId="77777777" w:rsidR="00400B0F" w:rsidRPr="00A427C6" w:rsidRDefault="00413419"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tcBorders>
              <w:top w:val="single" w:sz="4" w:space="0" w:color="auto"/>
            </w:tcBorders>
            <w:shd w:val="clear" w:color="auto" w:fill="FFFF00"/>
            <w:noWrap/>
          </w:tcPr>
          <w:p w14:paraId="2A4DB8BD" w14:textId="77777777" w:rsidR="00400B0F" w:rsidRPr="00A427C6" w:rsidRDefault="00413419"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tcBorders>
              <w:top w:val="single" w:sz="4" w:space="0" w:color="auto"/>
            </w:tcBorders>
            <w:shd w:val="clear" w:color="auto" w:fill="FFFF00"/>
            <w:noWrap/>
          </w:tcPr>
          <w:p w14:paraId="02B4FE36" w14:textId="77777777" w:rsidR="00400B0F" w:rsidRPr="00A427C6" w:rsidRDefault="00413419"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tcBorders>
              <w:top w:val="single" w:sz="4" w:space="0" w:color="auto"/>
            </w:tcBorders>
            <w:shd w:val="clear" w:color="auto" w:fill="92D050"/>
          </w:tcPr>
          <w:p w14:paraId="74891609" w14:textId="77777777" w:rsidR="00400B0F" w:rsidRPr="00A427C6" w:rsidRDefault="00413419"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400B0F" w:rsidRPr="00C61187" w14:paraId="0E69B166"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2E211495"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tcPr>
          <w:p w14:paraId="461F569E"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14:paraId="3B4AD7F8"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FFFF00"/>
            <w:noWrap/>
          </w:tcPr>
          <w:p w14:paraId="414C2680" w14:textId="77777777" w:rsidR="00400B0F" w:rsidRPr="00A427C6" w:rsidRDefault="00413419"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tcPr>
          <w:p w14:paraId="216DDB70" w14:textId="77777777" w:rsidR="00400B0F" w:rsidRPr="00A427C6" w:rsidRDefault="00413419"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tcBorders>
              <w:bottom w:val="single" w:sz="4" w:space="0" w:color="auto"/>
            </w:tcBorders>
            <w:shd w:val="clear" w:color="auto" w:fill="FFC000"/>
            <w:noWrap/>
          </w:tcPr>
          <w:p w14:paraId="0E88107D" w14:textId="77777777" w:rsidR="00400B0F" w:rsidRPr="00A427C6" w:rsidRDefault="00413419"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5" w:type="pct"/>
            <w:tcBorders>
              <w:bottom w:val="single" w:sz="4" w:space="0" w:color="auto"/>
            </w:tcBorders>
            <w:shd w:val="clear" w:color="auto" w:fill="FFFF00"/>
            <w:noWrap/>
          </w:tcPr>
          <w:p w14:paraId="14ED32C0" w14:textId="77777777" w:rsidR="00400B0F" w:rsidRPr="00A427C6" w:rsidRDefault="00413419"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tcBorders>
              <w:bottom w:val="single" w:sz="4" w:space="0" w:color="auto"/>
            </w:tcBorders>
            <w:shd w:val="clear" w:color="auto" w:fill="FFC000"/>
            <w:noWrap/>
          </w:tcPr>
          <w:p w14:paraId="6AC0B116" w14:textId="77777777" w:rsidR="00400B0F" w:rsidRPr="00A427C6" w:rsidRDefault="00413419"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5" w:type="pct"/>
            <w:tcBorders>
              <w:bottom w:val="single" w:sz="4" w:space="0" w:color="auto"/>
            </w:tcBorders>
            <w:shd w:val="clear" w:color="auto" w:fill="FFC000"/>
            <w:noWrap/>
          </w:tcPr>
          <w:p w14:paraId="7D5681D0" w14:textId="77777777" w:rsidR="00400B0F" w:rsidRPr="00A427C6" w:rsidRDefault="00413419"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2" w:type="pct"/>
            <w:tcBorders>
              <w:bottom w:val="single" w:sz="4" w:space="0" w:color="auto"/>
            </w:tcBorders>
            <w:shd w:val="clear" w:color="auto" w:fill="FFFF00"/>
          </w:tcPr>
          <w:p w14:paraId="7ABF0D2F" w14:textId="77777777" w:rsidR="00400B0F" w:rsidRPr="00A427C6" w:rsidRDefault="00400B0F" w:rsidP="006F27B1">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r>
      <w:tr w:rsidR="00400B0F" w:rsidRPr="00C61187" w14:paraId="2CA1968C"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07C74A22" w14:textId="77777777" w:rsidR="00400B0F" w:rsidRPr="00A427C6" w:rsidRDefault="00413419"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Myanmar School Grants and Stipends (Decentralising Funding to Schools Project)</w:t>
            </w:r>
          </w:p>
        </w:tc>
        <w:tc>
          <w:tcPr>
            <w:tcW w:w="658" w:type="pct"/>
            <w:vMerge w:val="restart"/>
          </w:tcPr>
          <w:p w14:paraId="0373B70C" w14:textId="77777777" w:rsidR="00400B0F" w:rsidRPr="00A427C6" w:rsidRDefault="00413419" w:rsidP="006F27B1">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$32.5</w:t>
            </w:r>
            <w:r w:rsidR="00400B0F" w:rsidRPr="00A427C6">
              <w:rPr>
                <w:rFonts w:asciiTheme="minorHAnsi" w:hAnsiTheme="minorHAnsi" w:cs="Franklin Gothic Book"/>
                <w:color w:val="000000"/>
                <w:szCs w:val="17"/>
              </w:rPr>
              <w:t xml:space="preserve">m </w:t>
            </w:r>
          </w:p>
          <w:p w14:paraId="0941FFC9" w14:textId="77777777" w:rsidR="00400B0F" w:rsidRPr="00A427C6" w:rsidRDefault="00413419"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2014</w:t>
            </w:r>
            <w:r w:rsidR="00400B0F" w:rsidRPr="00A427C6">
              <w:rPr>
                <w:rFonts w:asciiTheme="minorHAnsi" w:eastAsia="Times New Roman" w:hAnsiTheme="minorHAnsi"/>
                <w:iCs/>
                <w:szCs w:val="17"/>
                <w:lang w:eastAsia="en-US"/>
              </w:rPr>
              <w:t xml:space="preserve">-18 </w:t>
            </w:r>
          </w:p>
        </w:tc>
        <w:tc>
          <w:tcPr>
            <w:tcW w:w="416" w:type="pct"/>
          </w:tcPr>
          <w:p w14:paraId="43FE6CE1"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92D050"/>
            <w:noWrap/>
          </w:tcPr>
          <w:p w14:paraId="12A3C9AF" w14:textId="77777777" w:rsidR="00400B0F" w:rsidRPr="00A427C6" w:rsidRDefault="00092932"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415" w:type="pct"/>
            <w:shd w:val="clear" w:color="auto" w:fill="92D050"/>
            <w:noWrap/>
          </w:tcPr>
          <w:p w14:paraId="307CFF2A" w14:textId="77777777" w:rsidR="00400B0F" w:rsidRPr="00A427C6" w:rsidRDefault="00400B0F" w:rsidP="006F27B1">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5</w:t>
            </w:r>
          </w:p>
        </w:tc>
        <w:tc>
          <w:tcPr>
            <w:tcW w:w="418" w:type="pct"/>
            <w:shd w:val="clear" w:color="auto" w:fill="92D050"/>
            <w:noWrap/>
          </w:tcPr>
          <w:p w14:paraId="4655B7C3" w14:textId="77777777" w:rsidR="00400B0F" w:rsidRPr="00A427C6" w:rsidRDefault="00092932"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shd w:val="clear" w:color="auto" w:fill="92D050"/>
            <w:noWrap/>
          </w:tcPr>
          <w:p w14:paraId="617794F2" w14:textId="77777777" w:rsidR="00400B0F" w:rsidRPr="00A427C6" w:rsidRDefault="00092932"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8" w:type="pct"/>
            <w:shd w:val="clear" w:color="auto" w:fill="92D050"/>
            <w:noWrap/>
          </w:tcPr>
          <w:p w14:paraId="4399F157" w14:textId="77777777" w:rsidR="00400B0F" w:rsidRPr="00A427C6" w:rsidRDefault="00092932"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shd w:val="clear" w:color="auto" w:fill="FFFF00"/>
            <w:noWrap/>
          </w:tcPr>
          <w:p w14:paraId="03CC5FE4" w14:textId="77777777" w:rsidR="00400B0F" w:rsidRPr="00A427C6" w:rsidRDefault="00092932"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92D050"/>
          </w:tcPr>
          <w:p w14:paraId="528753AB" w14:textId="77777777" w:rsidR="00400B0F" w:rsidRPr="00A427C6" w:rsidRDefault="00092932"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400B0F" w:rsidRPr="00C61187" w14:paraId="67B9C08A"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4E194104"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tcPr>
          <w:p w14:paraId="39E00D39"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14:paraId="63680438"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tcPr>
          <w:p w14:paraId="2876C13F" w14:textId="77777777" w:rsidR="00400B0F" w:rsidRPr="00A427C6" w:rsidRDefault="00092932"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415" w:type="pct"/>
            <w:tcBorders>
              <w:bottom w:val="single" w:sz="4" w:space="0" w:color="auto"/>
            </w:tcBorders>
            <w:shd w:val="clear" w:color="auto" w:fill="FFFF00"/>
            <w:noWrap/>
          </w:tcPr>
          <w:p w14:paraId="6EE04CC0" w14:textId="77777777" w:rsidR="00400B0F" w:rsidRPr="00A427C6" w:rsidRDefault="00092932"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tcBorders>
              <w:bottom w:val="single" w:sz="4" w:space="0" w:color="auto"/>
            </w:tcBorders>
            <w:shd w:val="clear" w:color="auto" w:fill="FFFF00"/>
            <w:noWrap/>
          </w:tcPr>
          <w:p w14:paraId="2DED4ACD" w14:textId="77777777" w:rsidR="00400B0F" w:rsidRPr="00A427C6" w:rsidRDefault="00092932"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tcBorders>
              <w:bottom w:val="single" w:sz="4" w:space="0" w:color="auto"/>
            </w:tcBorders>
            <w:shd w:val="clear" w:color="auto" w:fill="92D050"/>
            <w:noWrap/>
          </w:tcPr>
          <w:p w14:paraId="035B676E" w14:textId="77777777" w:rsidR="00400B0F" w:rsidRPr="00A427C6" w:rsidRDefault="00092932"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8" w:type="pct"/>
            <w:tcBorders>
              <w:bottom w:val="single" w:sz="4" w:space="0" w:color="auto"/>
            </w:tcBorders>
            <w:shd w:val="clear" w:color="auto" w:fill="92D050"/>
            <w:noWrap/>
          </w:tcPr>
          <w:p w14:paraId="649B88FA" w14:textId="77777777" w:rsidR="00400B0F" w:rsidRPr="00A427C6" w:rsidRDefault="00092932"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tcBorders>
              <w:bottom w:val="single" w:sz="4" w:space="0" w:color="auto"/>
            </w:tcBorders>
            <w:shd w:val="clear" w:color="auto" w:fill="FFFF00"/>
            <w:noWrap/>
          </w:tcPr>
          <w:p w14:paraId="3DE2CA7E" w14:textId="77777777" w:rsidR="00400B0F" w:rsidRPr="00A427C6" w:rsidRDefault="00092932"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tcBorders>
              <w:bottom w:val="single" w:sz="4" w:space="0" w:color="auto"/>
            </w:tcBorders>
            <w:shd w:val="clear" w:color="auto" w:fill="92D050"/>
          </w:tcPr>
          <w:p w14:paraId="407F1E4A" w14:textId="77777777" w:rsidR="00400B0F" w:rsidRPr="00A427C6" w:rsidRDefault="00092932"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413419" w:rsidRPr="00A427C6" w14:paraId="219E3552"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5C1C6F28" w14:textId="77777777" w:rsidR="00413419" w:rsidRPr="00A427C6" w:rsidRDefault="00092932" w:rsidP="0041341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Three Millennium Development Goals Fund</w:t>
            </w:r>
          </w:p>
        </w:tc>
        <w:tc>
          <w:tcPr>
            <w:tcW w:w="658" w:type="pct"/>
            <w:vMerge w:val="restart"/>
          </w:tcPr>
          <w:p w14:paraId="49E1497E" w14:textId="77777777" w:rsidR="00413419" w:rsidRPr="00A427C6" w:rsidRDefault="00092932" w:rsidP="00413419">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$46.8</w:t>
            </w:r>
            <w:r w:rsidR="00413419" w:rsidRPr="00A427C6">
              <w:rPr>
                <w:rFonts w:asciiTheme="minorHAnsi" w:hAnsiTheme="minorHAnsi" w:cs="Franklin Gothic Book"/>
                <w:color w:val="000000"/>
                <w:szCs w:val="17"/>
              </w:rPr>
              <w:t xml:space="preserve">m </w:t>
            </w:r>
          </w:p>
          <w:p w14:paraId="62CD3931"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 xml:space="preserve">2012-17 </w:t>
            </w:r>
          </w:p>
        </w:tc>
        <w:tc>
          <w:tcPr>
            <w:tcW w:w="416" w:type="pct"/>
          </w:tcPr>
          <w:p w14:paraId="76180582"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92D050"/>
            <w:noWrap/>
          </w:tcPr>
          <w:p w14:paraId="12983DF9"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5</w:t>
            </w:r>
          </w:p>
        </w:tc>
        <w:tc>
          <w:tcPr>
            <w:tcW w:w="415" w:type="pct"/>
            <w:shd w:val="clear" w:color="auto" w:fill="FFFF00"/>
            <w:noWrap/>
          </w:tcPr>
          <w:p w14:paraId="758E22BD"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c>
          <w:tcPr>
            <w:tcW w:w="418" w:type="pct"/>
            <w:shd w:val="clear" w:color="auto" w:fill="FFFF00"/>
            <w:noWrap/>
          </w:tcPr>
          <w:p w14:paraId="68D7B015"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c>
          <w:tcPr>
            <w:tcW w:w="415" w:type="pct"/>
            <w:shd w:val="clear" w:color="auto" w:fill="FFC000"/>
            <w:noWrap/>
          </w:tcPr>
          <w:p w14:paraId="358B068C" w14:textId="77777777" w:rsidR="00413419" w:rsidRPr="00A427C6" w:rsidRDefault="00423F03"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8" w:type="pct"/>
            <w:shd w:val="clear" w:color="auto" w:fill="92D050"/>
            <w:noWrap/>
          </w:tcPr>
          <w:p w14:paraId="3186F86F"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shd w:val="clear" w:color="auto" w:fill="FFFF00"/>
            <w:noWrap/>
          </w:tcPr>
          <w:p w14:paraId="21F5906B"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92D050"/>
          </w:tcPr>
          <w:p w14:paraId="64B22765"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413419" w:rsidRPr="00A427C6" w14:paraId="326A1A46"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4D704648"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tcPr>
          <w:p w14:paraId="67451A89"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14:paraId="6117E690"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tcPr>
          <w:p w14:paraId="6CF5189F"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415" w:type="pct"/>
            <w:tcBorders>
              <w:bottom w:val="single" w:sz="4" w:space="0" w:color="auto"/>
            </w:tcBorders>
            <w:shd w:val="clear" w:color="auto" w:fill="FFFF00"/>
            <w:noWrap/>
          </w:tcPr>
          <w:p w14:paraId="11BE84B3"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tcBorders>
              <w:bottom w:val="single" w:sz="4" w:space="0" w:color="auto"/>
            </w:tcBorders>
            <w:shd w:val="clear" w:color="auto" w:fill="FFFF00"/>
            <w:noWrap/>
          </w:tcPr>
          <w:p w14:paraId="54F58119"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c>
          <w:tcPr>
            <w:tcW w:w="415" w:type="pct"/>
            <w:tcBorders>
              <w:bottom w:val="single" w:sz="4" w:space="0" w:color="auto"/>
            </w:tcBorders>
            <w:shd w:val="clear" w:color="auto" w:fill="92D050"/>
            <w:noWrap/>
          </w:tcPr>
          <w:p w14:paraId="69666D27"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8" w:type="pct"/>
            <w:tcBorders>
              <w:bottom w:val="single" w:sz="4" w:space="0" w:color="auto"/>
            </w:tcBorders>
            <w:shd w:val="clear" w:color="auto" w:fill="FFFF00"/>
            <w:noWrap/>
          </w:tcPr>
          <w:p w14:paraId="19765F8A"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tcBorders>
              <w:bottom w:val="single" w:sz="4" w:space="0" w:color="auto"/>
            </w:tcBorders>
            <w:shd w:val="clear" w:color="auto" w:fill="92D050"/>
            <w:noWrap/>
          </w:tcPr>
          <w:p w14:paraId="6D3BF9F6"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tcBorders>
              <w:bottom w:val="single" w:sz="4" w:space="0" w:color="auto"/>
            </w:tcBorders>
            <w:shd w:val="clear" w:color="auto" w:fill="92D050"/>
          </w:tcPr>
          <w:p w14:paraId="30F1417D"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413419" w:rsidRPr="00A427C6" w14:paraId="3D88049B"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2B7EBC4F" w14:textId="77777777" w:rsidR="00413419" w:rsidRPr="00A427C6" w:rsidRDefault="00092932" w:rsidP="0009293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Humanitarian and Peacebuilding Support in Myanmar</w:t>
            </w:r>
          </w:p>
        </w:tc>
        <w:tc>
          <w:tcPr>
            <w:tcW w:w="658" w:type="pct"/>
            <w:vMerge w:val="restart"/>
          </w:tcPr>
          <w:p w14:paraId="380AE41D" w14:textId="77777777" w:rsidR="00413419" w:rsidRPr="00A427C6" w:rsidRDefault="00092932" w:rsidP="00413419">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$23.6</w:t>
            </w:r>
            <w:r w:rsidR="00413419" w:rsidRPr="00A427C6">
              <w:rPr>
                <w:rFonts w:asciiTheme="minorHAnsi" w:hAnsiTheme="minorHAnsi" w:cs="Franklin Gothic Book"/>
                <w:color w:val="000000"/>
                <w:szCs w:val="17"/>
              </w:rPr>
              <w:t xml:space="preserve">m </w:t>
            </w:r>
          </w:p>
          <w:p w14:paraId="14DDF5F8" w14:textId="77777777" w:rsidR="00413419" w:rsidRPr="00A427C6" w:rsidRDefault="00092932" w:rsidP="0041341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2012-17</w:t>
            </w:r>
            <w:r w:rsidR="00413419" w:rsidRPr="00A427C6">
              <w:rPr>
                <w:rFonts w:asciiTheme="minorHAnsi" w:eastAsia="Times New Roman" w:hAnsiTheme="minorHAnsi"/>
                <w:iCs/>
                <w:szCs w:val="17"/>
                <w:lang w:eastAsia="en-US"/>
              </w:rPr>
              <w:t xml:space="preserve"> </w:t>
            </w:r>
          </w:p>
        </w:tc>
        <w:tc>
          <w:tcPr>
            <w:tcW w:w="416" w:type="pct"/>
          </w:tcPr>
          <w:p w14:paraId="2231DEDF"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92D050"/>
            <w:noWrap/>
          </w:tcPr>
          <w:p w14:paraId="6E3FD831"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415" w:type="pct"/>
            <w:shd w:val="clear" w:color="auto" w:fill="FFFF00"/>
            <w:noWrap/>
          </w:tcPr>
          <w:p w14:paraId="2255BF12" w14:textId="77777777" w:rsidR="00413419" w:rsidRPr="00A427C6" w:rsidRDefault="006F5F4B"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shd w:val="clear" w:color="auto" w:fill="FFFF00"/>
            <w:noWrap/>
          </w:tcPr>
          <w:p w14:paraId="4E8FE556"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c>
          <w:tcPr>
            <w:tcW w:w="415" w:type="pct"/>
            <w:shd w:val="clear" w:color="auto" w:fill="FFFF00"/>
            <w:noWrap/>
          </w:tcPr>
          <w:p w14:paraId="015DFF3E"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shd w:val="clear" w:color="auto" w:fill="92D050"/>
            <w:noWrap/>
          </w:tcPr>
          <w:p w14:paraId="0E15AFB0"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shd w:val="clear" w:color="auto" w:fill="FFFF00"/>
            <w:noWrap/>
          </w:tcPr>
          <w:p w14:paraId="7101B553"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92D050"/>
          </w:tcPr>
          <w:p w14:paraId="699613F1"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413419" w:rsidRPr="00A427C6" w14:paraId="7848CE37"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2625720C"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tcPr>
          <w:p w14:paraId="0594F1A2"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14:paraId="3E067AF7"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tcPr>
          <w:p w14:paraId="19A82887"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tcBorders>
              <w:bottom w:val="single" w:sz="4" w:space="0" w:color="auto"/>
            </w:tcBorders>
            <w:shd w:val="clear" w:color="auto" w:fill="FFFF00"/>
            <w:noWrap/>
          </w:tcPr>
          <w:p w14:paraId="632791DE"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tcBorders>
              <w:bottom w:val="single" w:sz="4" w:space="0" w:color="auto"/>
            </w:tcBorders>
            <w:shd w:val="clear" w:color="auto" w:fill="FFFF00"/>
            <w:noWrap/>
          </w:tcPr>
          <w:p w14:paraId="0013CECA"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tcPr>
          <w:p w14:paraId="12F0C665"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tcBorders>
              <w:bottom w:val="single" w:sz="4" w:space="0" w:color="auto"/>
            </w:tcBorders>
            <w:shd w:val="clear" w:color="auto" w:fill="FFFF00"/>
            <w:noWrap/>
          </w:tcPr>
          <w:p w14:paraId="39F7CE36"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tcPr>
          <w:p w14:paraId="72AEB39E"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tcBorders>
              <w:bottom w:val="single" w:sz="4" w:space="0" w:color="auto"/>
            </w:tcBorders>
            <w:shd w:val="clear" w:color="auto" w:fill="FFFF00"/>
          </w:tcPr>
          <w:p w14:paraId="332D9F66" w14:textId="77777777" w:rsidR="00413419" w:rsidRPr="00A427C6" w:rsidRDefault="00092932"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413419" w:rsidRPr="00A427C6" w14:paraId="10D79CC2"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1C1BFCBC" w14:textId="77777777" w:rsidR="00413419" w:rsidRPr="00A427C6" w:rsidRDefault="007A7CA5" w:rsidP="0041341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UNICEF Child Protection Program</w:t>
            </w:r>
          </w:p>
        </w:tc>
        <w:tc>
          <w:tcPr>
            <w:tcW w:w="658" w:type="pct"/>
            <w:vMerge w:val="restart"/>
          </w:tcPr>
          <w:p w14:paraId="78BB695F" w14:textId="77777777" w:rsidR="00413419" w:rsidRPr="00A427C6" w:rsidRDefault="007A7CA5" w:rsidP="00413419">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$8.2</w:t>
            </w:r>
            <w:r w:rsidR="00413419" w:rsidRPr="00A427C6">
              <w:rPr>
                <w:rFonts w:asciiTheme="minorHAnsi" w:hAnsiTheme="minorHAnsi" w:cs="Franklin Gothic Book"/>
                <w:color w:val="000000"/>
                <w:szCs w:val="17"/>
              </w:rPr>
              <w:t xml:space="preserve">m </w:t>
            </w:r>
          </w:p>
          <w:p w14:paraId="48C660BD" w14:textId="77777777" w:rsidR="00413419" w:rsidRPr="00A427C6" w:rsidRDefault="007A7CA5" w:rsidP="0009293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2012</w:t>
            </w:r>
            <w:r w:rsidR="00413419" w:rsidRPr="00A427C6">
              <w:rPr>
                <w:rFonts w:asciiTheme="minorHAnsi" w:eastAsia="Times New Roman" w:hAnsiTheme="minorHAnsi"/>
                <w:iCs/>
                <w:szCs w:val="17"/>
                <w:lang w:eastAsia="en-US"/>
              </w:rPr>
              <w:t>-1</w:t>
            </w:r>
            <w:r>
              <w:rPr>
                <w:rFonts w:asciiTheme="minorHAnsi" w:eastAsia="Times New Roman" w:hAnsiTheme="minorHAnsi"/>
                <w:iCs/>
                <w:szCs w:val="17"/>
                <w:lang w:eastAsia="en-US"/>
              </w:rPr>
              <w:t>8</w:t>
            </w:r>
            <w:r w:rsidR="00413419" w:rsidRPr="00A427C6">
              <w:rPr>
                <w:rFonts w:asciiTheme="minorHAnsi" w:eastAsia="Times New Roman" w:hAnsiTheme="minorHAnsi"/>
                <w:iCs/>
                <w:szCs w:val="17"/>
                <w:lang w:eastAsia="en-US"/>
              </w:rPr>
              <w:t xml:space="preserve"> </w:t>
            </w:r>
          </w:p>
        </w:tc>
        <w:tc>
          <w:tcPr>
            <w:tcW w:w="416" w:type="pct"/>
          </w:tcPr>
          <w:p w14:paraId="7D7A1CFB"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92D050"/>
            <w:noWrap/>
          </w:tcPr>
          <w:p w14:paraId="50B6BFB8"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5</w:t>
            </w:r>
          </w:p>
        </w:tc>
        <w:tc>
          <w:tcPr>
            <w:tcW w:w="415" w:type="pct"/>
            <w:shd w:val="clear" w:color="auto" w:fill="FFFF00"/>
            <w:noWrap/>
          </w:tcPr>
          <w:p w14:paraId="0DE5DD79"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c>
          <w:tcPr>
            <w:tcW w:w="418" w:type="pct"/>
            <w:shd w:val="clear" w:color="auto" w:fill="FFFF00"/>
            <w:noWrap/>
          </w:tcPr>
          <w:p w14:paraId="466E2673"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c>
          <w:tcPr>
            <w:tcW w:w="415" w:type="pct"/>
            <w:shd w:val="clear" w:color="auto" w:fill="FFC000"/>
            <w:noWrap/>
          </w:tcPr>
          <w:p w14:paraId="0AC5EC29" w14:textId="77777777" w:rsidR="00413419" w:rsidRPr="00A427C6" w:rsidRDefault="00AE0CF3"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8" w:type="pct"/>
            <w:shd w:val="clear" w:color="auto" w:fill="92D050"/>
            <w:noWrap/>
          </w:tcPr>
          <w:p w14:paraId="6601A753"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shd w:val="clear" w:color="auto" w:fill="FFFF00"/>
            <w:noWrap/>
          </w:tcPr>
          <w:p w14:paraId="687D1176"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FFFF00"/>
          </w:tcPr>
          <w:p w14:paraId="2113D4CE"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r>
      <w:tr w:rsidR="00413419" w:rsidRPr="00A427C6" w14:paraId="0FDB11F0"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3AA5819D"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tcPr>
          <w:p w14:paraId="7A6A3448"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14:paraId="57649C99"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FFFFFF" w:themeFill="background1"/>
            <w:noWrap/>
          </w:tcPr>
          <w:p w14:paraId="49D88FE5"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5" w:type="pct"/>
            <w:tcBorders>
              <w:bottom w:val="single" w:sz="4" w:space="0" w:color="auto"/>
            </w:tcBorders>
            <w:shd w:val="clear" w:color="auto" w:fill="FFFFFF" w:themeFill="background1"/>
            <w:noWrap/>
          </w:tcPr>
          <w:p w14:paraId="141516C4"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8" w:type="pct"/>
            <w:tcBorders>
              <w:bottom w:val="single" w:sz="4" w:space="0" w:color="auto"/>
            </w:tcBorders>
            <w:shd w:val="clear" w:color="auto" w:fill="FFFFFF" w:themeFill="background1"/>
            <w:noWrap/>
          </w:tcPr>
          <w:p w14:paraId="08171720"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5" w:type="pct"/>
            <w:tcBorders>
              <w:bottom w:val="single" w:sz="4" w:space="0" w:color="auto"/>
            </w:tcBorders>
            <w:shd w:val="clear" w:color="auto" w:fill="FFFFFF" w:themeFill="background1"/>
            <w:noWrap/>
          </w:tcPr>
          <w:p w14:paraId="78DEE9C2"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8" w:type="pct"/>
            <w:tcBorders>
              <w:bottom w:val="single" w:sz="4" w:space="0" w:color="auto"/>
            </w:tcBorders>
            <w:shd w:val="clear" w:color="auto" w:fill="FFFFFF" w:themeFill="background1"/>
            <w:noWrap/>
          </w:tcPr>
          <w:p w14:paraId="1ABAAE17"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5" w:type="pct"/>
            <w:tcBorders>
              <w:bottom w:val="single" w:sz="4" w:space="0" w:color="auto"/>
            </w:tcBorders>
            <w:shd w:val="clear" w:color="auto" w:fill="FFFFFF" w:themeFill="background1"/>
            <w:noWrap/>
          </w:tcPr>
          <w:p w14:paraId="06B57084"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2" w:type="pct"/>
            <w:tcBorders>
              <w:bottom w:val="single" w:sz="4" w:space="0" w:color="auto"/>
            </w:tcBorders>
            <w:shd w:val="clear" w:color="auto" w:fill="FFFFFF" w:themeFill="background1"/>
          </w:tcPr>
          <w:p w14:paraId="79AA285B"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413419" w:rsidRPr="00A427C6" w14:paraId="15A17E62"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624BE6CC" w14:textId="77777777" w:rsidR="00413419" w:rsidRPr="00A427C6" w:rsidRDefault="007A7CA5" w:rsidP="0041341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Supporting Reform, Improving Governance</w:t>
            </w:r>
            <w:r w:rsidR="000E1643">
              <w:rPr>
                <w:rStyle w:val="FootnoteReference"/>
                <w:rFonts w:asciiTheme="minorHAnsi" w:eastAsia="Times New Roman" w:hAnsiTheme="minorHAnsi"/>
                <w:iCs/>
                <w:szCs w:val="17"/>
                <w:lang w:eastAsia="en-US"/>
              </w:rPr>
              <w:footnoteReference w:id="1"/>
            </w:r>
          </w:p>
        </w:tc>
        <w:tc>
          <w:tcPr>
            <w:tcW w:w="658" w:type="pct"/>
            <w:vMerge w:val="restart"/>
          </w:tcPr>
          <w:p w14:paraId="14E20C4F" w14:textId="77777777" w:rsidR="00413419" w:rsidRPr="00A427C6" w:rsidRDefault="007A7CA5" w:rsidP="00413419">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$10.2</w:t>
            </w:r>
            <w:r w:rsidR="00413419" w:rsidRPr="00A427C6">
              <w:rPr>
                <w:rFonts w:asciiTheme="minorHAnsi" w:hAnsiTheme="minorHAnsi" w:cs="Franklin Gothic Book"/>
                <w:color w:val="000000"/>
                <w:szCs w:val="17"/>
              </w:rPr>
              <w:t xml:space="preserve">m </w:t>
            </w:r>
          </w:p>
          <w:p w14:paraId="3EFEF144" w14:textId="77777777" w:rsidR="00413419" w:rsidRPr="00A427C6" w:rsidRDefault="007A7CA5" w:rsidP="0041341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2014</w:t>
            </w:r>
            <w:r w:rsidR="00413419" w:rsidRPr="00A427C6">
              <w:rPr>
                <w:rFonts w:asciiTheme="minorHAnsi" w:eastAsia="Times New Roman" w:hAnsiTheme="minorHAnsi"/>
                <w:iCs/>
                <w:szCs w:val="17"/>
                <w:lang w:eastAsia="en-US"/>
              </w:rPr>
              <w:t xml:space="preserve">-18 </w:t>
            </w:r>
          </w:p>
        </w:tc>
        <w:tc>
          <w:tcPr>
            <w:tcW w:w="416" w:type="pct"/>
          </w:tcPr>
          <w:p w14:paraId="557A8AE1"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92D050"/>
            <w:noWrap/>
          </w:tcPr>
          <w:p w14:paraId="592EB706"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5</w:t>
            </w:r>
          </w:p>
        </w:tc>
        <w:tc>
          <w:tcPr>
            <w:tcW w:w="415" w:type="pct"/>
            <w:shd w:val="clear" w:color="auto" w:fill="FFFF00"/>
            <w:noWrap/>
          </w:tcPr>
          <w:p w14:paraId="7030407C"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shd w:val="clear" w:color="auto" w:fill="FFFF00"/>
            <w:noWrap/>
          </w:tcPr>
          <w:p w14:paraId="0626D70D"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c>
          <w:tcPr>
            <w:tcW w:w="415" w:type="pct"/>
            <w:shd w:val="clear" w:color="auto" w:fill="FFFF00"/>
            <w:noWrap/>
          </w:tcPr>
          <w:p w14:paraId="1B14C6E5"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shd w:val="clear" w:color="auto" w:fill="FFFF00"/>
            <w:noWrap/>
          </w:tcPr>
          <w:p w14:paraId="071F0960"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shd w:val="clear" w:color="auto" w:fill="FFFF00"/>
            <w:noWrap/>
          </w:tcPr>
          <w:p w14:paraId="4CB7549B"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FFFF00"/>
          </w:tcPr>
          <w:p w14:paraId="3035A902"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r>
      <w:tr w:rsidR="00413419" w:rsidRPr="00A427C6" w14:paraId="189E008C"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6F7A221B"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tcPr>
          <w:p w14:paraId="3B7B61F7"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14:paraId="076A19D3"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tcPr>
          <w:p w14:paraId="0C6D6602"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tcBorders>
              <w:bottom w:val="single" w:sz="4" w:space="0" w:color="auto"/>
            </w:tcBorders>
            <w:shd w:val="clear" w:color="auto" w:fill="92D050"/>
            <w:noWrap/>
          </w:tcPr>
          <w:p w14:paraId="5BEF1099"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418" w:type="pct"/>
            <w:tcBorders>
              <w:bottom w:val="single" w:sz="4" w:space="0" w:color="auto"/>
            </w:tcBorders>
            <w:shd w:val="clear" w:color="auto" w:fill="92D050"/>
            <w:noWrap/>
          </w:tcPr>
          <w:p w14:paraId="7D5CAE6C"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tcBorders>
              <w:bottom w:val="single" w:sz="4" w:space="0" w:color="auto"/>
            </w:tcBorders>
            <w:shd w:val="clear" w:color="auto" w:fill="92D050"/>
            <w:noWrap/>
          </w:tcPr>
          <w:p w14:paraId="679C5433"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8" w:type="pct"/>
            <w:tcBorders>
              <w:bottom w:val="single" w:sz="4" w:space="0" w:color="auto"/>
            </w:tcBorders>
            <w:shd w:val="clear" w:color="auto" w:fill="92D050"/>
            <w:noWrap/>
          </w:tcPr>
          <w:p w14:paraId="7357292D"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tcBorders>
              <w:bottom w:val="single" w:sz="4" w:space="0" w:color="auto"/>
            </w:tcBorders>
            <w:shd w:val="clear" w:color="auto" w:fill="92D050"/>
            <w:noWrap/>
          </w:tcPr>
          <w:p w14:paraId="71D39ED4"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tcBorders>
              <w:bottom w:val="single" w:sz="4" w:space="0" w:color="auto"/>
            </w:tcBorders>
            <w:shd w:val="clear" w:color="auto" w:fill="92D050"/>
          </w:tcPr>
          <w:p w14:paraId="5E81120A" w14:textId="77777777" w:rsidR="00413419" w:rsidRPr="00A427C6" w:rsidRDefault="007A7CA5"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413419" w:rsidRPr="00A427C6" w14:paraId="49F436AE"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8" w:type="pct"/>
            <w:vMerge w:val="restart"/>
          </w:tcPr>
          <w:p w14:paraId="0087B874" w14:textId="77777777" w:rsidR="00413419" w:rsidRPr="00A427C6" w:rsidRDefault="00780590" w:rsidP="0041341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Myanmar Investment Climate and Private Sector</w:t>
            </w:r>
          </w:p>
        </w:tc>
        <w:tc>
          <w:tcPr>
            <w:tcW w:w="658" w:type="pct"/>
            <w:vMerge w:val="restart"/>
          </w:tcPr>
          <w:p w14:paraId="71BBF974" w14:textId="77777777" w:rsidR="00413419" w:rsidRPr="00A427C6" w:rsidRDefault="00780590" w:rsidP="00413419">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$20.2</w:t>
            </w:r>
            <w:r w:rsidR="00413419" w:rsidRPr="00A427C6">
              <w:rPr>
                <w:rFonts w:asciiTheme="minorHAnsi" w:hAnsiTheme="minorHAnsi" w:cs="Franklin Gothic Book"/>
                <w:color w:val="000000"/>
                <w:szCs w:val="17"/>
              </w:rPr>
              <w:t xml:space="preserve">m </w:t>
            </w:r>
          </w:p>
          <w:p w14:paraId="535DC3A3" w14:textId="77777777" w:rsidR="00413419" w:rsidRPr="00A427C6" w:rsidRDefault="00780590" w:rsidP="0041341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2015-20</w:t>
            </w:r>
            <w:r w:rsidR="00413419" w:rsidRPr="00A427C6">
              <w:rPr>
                <w:rFonts w:asciiTheme="minorHAnsi" w:eastAsia="Times New Roman" w:hAnsiTheme="minorHAnsi"/>
                <w:iCs/>
                <w:szCs w:val="17"/>
                <w:lang w:eastAsia="en-US"/>
              </w:rPr>
              <w:t xml:space="preserve"> </w:t>
            </w:r>
          </w:p>
        </w:tc>
        <w:tc>
          <w:tcPr>
            <w:tcW w:w="416" w:type="pct"/>
          </w:tcPr>
          <w:p w14:paraId="4F272A31"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92D050"/>
            <w:noWrap/>
          </w:tcPr>
          <w:p w14:paraId="2C8A7BCF"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5</w:t>
            </w:r>
          </w:p>
        </w:tc>
        <w:tc>
          <w:tcPr>
            <w:tcW w:w="415" w:type="pct"/>
            <w:shd w:val="clear" w:color="auto" w:fill="FFFF00"/>
            <w:noWrap/>
          </w:tcPr>
          <w:p w14:paraId="57BC7E27"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c>
          <w:tcPr>
            <w:tcW w:w="418" w:type="pct"/>
            <w:shd w:val="clear" w:color="auto" w:fill="FFFF00"/>
            <w:noWrap/>
          </w:tcPr>
          <w:p w14:paraId="754082B8"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c>
          <w:tcPr>
            <w:tcW w:w="415" w:type="pct"/>
            <w:shd w:val="clear" w:color="auto" w:fill="FFC000"/>
            <w:noWrap/>
          </w:tcPr>
          <w:p w14:paraId="46E3C3E8"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8" w:type="pct"/>
            <w:shd w:val="clear" w:color="auto" w:fill="FFFF00"/>
            <w:noWrap/>
          </w:tcPr>
          <w:p w14:paraId="2ADF66E3"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shd w:val="clear" w:color="auto" w:fill="FFC000"/>
            <w:noWrap/>
          </w:tcPr>
          <w:p w14:paraId="577AD081"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3</w:t>
            </w:r>
          </w:p>
        </w:tc>
        <w:tc>
          <w:tcPr>
            <w:tcW w:w="412" w:type="pct"/>
            <w:shd w:val="clear" w:color="auto" w:fill="FFFF00"/>
          </w:tcPr>
          <w:p w14:paraId="1D9DCDFD"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r>
      <w:tr w:rsidR="00413419" w:rsidRPr="00A427C6" w14:paraId="6B2F309A"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8" w:type="pct"/>
            <w:vMerge/>
            <w:tcBorders>
              <w:bottom w:val="single" w:sz="4" w:space="0" w:color="auto"/>
            </w:tcBorders>
          </w:tcPr>
          <w:p w14:paraId="38E28DE6"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tcPr>
          <w:p w14:paraId="666A7E7A"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14:paraId="1E830AEE"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FFFFFF" w:themeFill="background1"/>
            <w:noWrap/>
          </w:tcPr>
          <w:p w14:paraId="24470290"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5" w:type="pct"/>
            <w:tcBorders>
              <w:bottom w:val="single" w:sz="4" w:space="0" w:color="auto"/>
            </w:tcBorders>
            <w:shd w:val="clear" w:color="auto" w:fill="FFFFFF" w:themeFill="background1"/>
            <w:noWrap/>
          </w:tcPr>
          <w:p w14:paraId="533A0755"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8" w:type="pct"/>
            <w:tcBorders>
              <w:bottom w:val="single" w:sz="4" w:space="0" w:color="auto"/>
            </w:tcBorders>
            <w:shd w:val="clear" w:color="auto" w:fill="FFFFFF" w:themeFill="background1"/>
            <w:noWrap/>
          </w:tcPr>
          <w:p w14:paraId="74382A7B"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5" w:type="pct"/>
            <w:tcBorders>
              <w:bottom w:val="single" w:sz="4" w:space="0" w:color="auto"/>
            </w:tcBorders>
            <w:shd w:val="clear" w:color="auto" w:fill="FFFFFF" w:themeFill="background1"/>
            <w:noWrap/>
          </w:tcPr>
          <w:p w14:paraId="29C2B263"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8" w:type="pct"/>
            <w:tcBorders>
              <w:bottom w:val="single" w:sz="4" w:space="0" w:color="auto"/>
            </w:tcBorders>
            <w:shd w:val="clear" w:color="auto" w:fill="FFFFFF" w:themeFill="background1"/>
            <w:noWrap/>
          </w:tcPr>
          <w:p w14:paraId="2D4243A0"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5" w:type="pct"/>
            <w:tcBorders>
              <w:bottom w:val="single" w:sz="4" w:space="0" w:color="auto"/>
            </w:tcBorders>
            <w:shd w:val="clear" w:color="auto" w:fill="FFFFFF" w:themeFill="background1"/>
            <w:noWrap/>
          </w:tcPr>
          <w:p w14:paraId="62292BC9"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12" w:type="pct"/>
            <w:tcBorders>
              <w:bottom w:val="single" w:sz="4" w:space="0" w:color="auto"/>
            </w:tcBorders>
            <w:shd w:val="clear" w:color="auto" w:fill="FFFFFF" w:themeFill="background1"/>
          </w:tcPr>
          <w:p w14:paraId="6081B5FA"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bl>
    <w:p w14:paraId="28EB4541" w14:textId="64CC9917" w:rsidR="006B2CDB" w:rsidRDefault="006B2CDB"/>
    <w:tbl>
      <w:tblPr>
        <w:tblStyle w:val="APPR"/>
        <w:tblW w:w="5000" w:type="pct"/>
        <w:tblLook w:val="0000" w:firstRow="0" w:lastRow="0" w:firstColumn="0" w:lastColumn="0" w:noHBand="0" w:noVBand="0"/>
      </w:tblPr>
      <w:tblGrid>
        <w:gridCol w:w="2670"/>
        <w:gridCol w:w="1930"/>
        <w:gridCol w:w="1231"/>
        <w:gridCol w:w="1237"/>
        <w:gridCol w:w="1228"/>
        <w:gridCol w:w="1237"/>
        <w:gridCol w:w="1228"/>
        <w:gridCol w:w="1237"/>
        <w:gridCol w:w="1228"/>
        <w:gridCol w:w="1234"/>
      </w:tblGrid>
      <w:tr w:rsidR="00413419" w:rsidRPr="00A427C6" w14:paraId="74B212F2"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14:paraId="0C687CA9" w14:textId="5F06F4D4" w:rsidR="00413419" w:rsidRPr="00A427C6" w:rsidRDefault="006B2CDB" w:rsidP="00413419">
            <w:pPr>
              <w:keepLines/>
              <w:spacing w:before="40" w:after="40" w:line="200" w:lineRule="atLeast"/>
              <w:rPr>
                <w:rFonts w:asciiTheme="minorHAnsi" w:eastAsia="Times New Roman" w:hAnsiTheme="minorHAnsi"/>
                <w:iCs/>
                <w:szCs w:val="17"/>
                <w:lang w:eastAsia="en-US"/>
              </w:rPr>
            </w:pPr>
            <w:r>
              <w:rPr>
                <w:rFonts w:asciiTheme="minorHAnsi" w:hAnsiTheme="minorHAnsi"/>
                <w:sz w:val="22"/>
                <w:lang w:eastAsia="en-US"/>
              </w:rPr>
              <w:br w:type="page"/>
            </w:r>
            <w:r w:rsidR="00780590">
              <w:rPr>
                <w:rFonts w:asciiTheme="minorHAnsi" w:eastAsia="Times New Roman" w:hAnsiTheme="minorHAnsi"/>
                <w:iCs/>
                <w:szCs w:val="17"/>
                <w:lang w:eastAsia="en-US"/>
              </w:rPr>
              <w:t>Livelihoods and Food Security Trust Fund</w:t>
            </w:r>
          </w:p>
        </w:tc>
        <w:tc>
          <w:tcPr>
            <w:tcW w:w="658" w:type="pct"/>
            <w:vMerge w:val="restart"/>
          </w:tcPr>
          <w:p w14:paraId="1F83047D" w14:textId="77777777" w:rsidR="00413419" w:rsidRPr="00A427C6" w:rsidRDefault="0097792E" w:rsidP="00413419">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w:t>
            </w:r>
            <w:r w:rsidR="00780590">
              <w:rPr>
                <w:rFonts w:asciiTheme="minorHAnsi" w:hAnsiTheme="minorHAnsi" w:cs="Franklin Gothic Book"/>
                <w:color w:val="000000"/>
                <w:szCs w:val="17"/>
              </w:rPr>
              <w:t>29</w:t>
            </w:r>
            <w:r w:rsidR="00413419" w:rsidRPr="00A427C6">
              <w:rPr>
                <w:rFonts w:asciiTheme="minorHAnsi" w:hAnsiTheme="minorHAnsi" w:cs="Franklin Gothic Book"/>
                <w:color w:val="000000"/>
                <w:szCs w:val="17"/>
              </w:rPr>
              <w:t xml:space="preserve">m </w:t>
            </w:r>
          </w:p>
          <w:p w14:paraId="004FDF85" w14:textId="77777777" w:rsidR="00413419" w:rsidRPr="00A427C6" w:rsidRDefault="00780590" w:rsidP="0041341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2009</w:t>
            </w:r>
            <w:r w:rsidR="00413419" w:rsidRPr="00A427C6">
              <w:rPr>
                <w:rFonts w:asciiTheme="minorHAnsi" w:eastAsia="Times New Roman" w:hAnsiTheme="minorHAnsi"/>
                <w:iCs/>
                <w:szCs w:val="17"/>
                <w:lang w:eastAsia="en-US"/>
              </w:rPr>
              <w:t xml:space="preserve">-18 </w:t>
            </w:r>
          </w:p>
        </w:tc>
        <w:tc>
          <w:tcPr>
            <w:tcW w:w="416" w:type="pct"/>
          </w:tcPr>
          <w:p w14:paraId="133E95F6"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92D050"/>
            <w:noWrap/>
          </w:tcPr>
          <w:p w14:paraId="630BAB06"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5</w:t>
            </w:r>
          </w:p>
        </w:tc>
        <w:tc>
          <w:tcPr>
            <w:tcW w:w="415" w:type="pct"/>
            <w:shd w:val="clear" w:color="auto" w:fill="92D050"/>
            <w:noWrap/>
          </w:tcPr>
          <w:p w14:paraId="51ACF747"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5</w:t>
            </w:r>
          </w:p>
        </w:tc>
        <w:tc>
          <w:tcPr>
            <w:tcW w:w="418" w:type="pct"/>
            <w:shd w:val="clear" w:color="auto" w:fill="FFFF00"/>
            <w:noWrap/>
          </w:tcPr>
          <w:p w14:paraId="739732A3"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c>
          <w:tcPr>
            <w:tcW w:w="415" w:type="pct"/>
            <w:shd w:val="clear" w:color="auto" w:fill="FFFF00"/>
            <w:noWrap/>
          </w:tcPr>
          <w:p w14:paraId="0A7E7AE0"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shd w:val="clear" w:color="auto" w:fill="92D050"/>
            <w:noWrap/>
          </w:tcPr>
          <w:p w14:paraId="313C86F8"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shd w:val="clear" w:color="auto" w:fill="FFFF00"/>
            <w:noWrap/>
          </w:tcPr>
          <w:p w14:paraId="7A129648"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92D050"/>
          </w:tcPr>
          <w:p w14:paraId="361C3F38"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413419" w:rsidRPr="00A427C6" w14:paraId="6C3637A8"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14:paraId="6E8DB251"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tcPr>
          <w:p w14:paraId="4CFEB68D"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14:paraId="62AE1311"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92D050"/>
            <w:noWrap/>
          </w:tcPr>
          <w:p w14:paraId="4B1E56D4"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tcBorders>
              <w:bottom w:val="single" w:sz="4" w:space="0" w:color="auto"/>
            </w:tcBorders>
            <w:shd w:val="clear" w:color="auto" w:fill="92D050"/>
            <w:noWrap/>
          </w:tcPr>
          <w:p w14:paraId="65F5F32E"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8" w:type="pct"/>
            <w:tcBorders>
              <w:bottom w:val="single" w:sz="4" w:space="0" w:color="auto"/>
            </w:tcBorders>
            <w:shd w:val="clear" w:color="auto" w:fill="92D050"/>
            <w:noWrap/>
          </w:tcPr>
          <w:p w14:paraId="277F28B1"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tcBorders>
              <w:bottom w:val="single" w:sz="4" w:space="0" w:color="auto"/>
            </w:tcBorders>
            <w:shd w:val="clear" w:color="auto" w:fill="FFFF00"/>
            <w:noWrap/>
          </w:tcPr>
          <w:p w14:paraId="5448E73D"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tcBorders>
              <w:bottom w:val="single" w:sz="4" w:space="0" w:color="auto"/>
            </w:tcBorders>
            <w:shd w:val="clear" w:color="auto" w:fill="FFFF00"/>
            <w:noWrap/>
          </w:tcPr>
          <w:p w14:paraId="0BDC004E"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tcPr>
          <w:p w14:paraId="12046E74"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tcBorders>
              <w:bottom w:val="single" w:sz="4" w:space="0" w:color="auto"/>
            </w:tcBorders>
            <w:shd w:val="clear" w:color="auto" w:fill="92D050"/>
          </w:tcPr>
          <w:p w14:paraId="4F0E21DF"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413419" w:rsidRPr="00A427C6" w14:paraId="2D162D87"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14:paraId="77022B74" w14:textId="77777777" w:rsidR="00413419" w:rsidRPr="00A427C6" w:rsidRDefault="00780590" w:rsidP="0078059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CARE Supporting Partnerships and Resilience of Communities in Rakhine State </w:t>
            </w:r>
          </w:p>
        </w:tc>
        <w:tc>
          <w:tcPr>
            <w:tcW w:w="658" w:type="pct"/>
            <w:vMerge w:val="restart"/>
          </w:tcPr>
          <w:p w14:paraId="2949F20F" w14:textId="77777777" w:rsidR="00413419" w:rsidRPr="00A427C6" w:rsidRDefault="00780590" w:rsidP="00413419">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$9.8</w:t>
            </w:r>
            <w:r w:rsidR="00413419" w:rsidRPr="00A427C6">
              <w:rPr>
                <w:rFonts w:asciiTheme="minorHAnsi" w:hAnsiTheme="minorHAnsi" w:cs="Franklin Gothic Book"/>
                <w:color w:val="000000"/>
                <w:szCs w:val="17"/>
              </w:rPr>
              <w:t xml:space="preserve">m </w:t>
            </w:r>
          </w:p>
          <w:p w14:paraId="14D7F91A" w14:textId="77777777" w:rsidR="00413419" w:rsidRPr="00A427C6" w:rsidRDefault="00780590" w:rsidP="0041341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2010-18</w:t>
            </w:r>
            <w:r w:rsidR="00413419" w:rsidRPr="00A427C6">
              <w:rPr>
                <w:rFonts w:asciiTheme="minorHAnsi" w:eastAsia="Times New Roman" w:hAnsiTheme="minorHAnsi"/>
                <w:iCs/>
                <w:szCs w:val="17"/>
                <w:lang w:eastAsia="en-US"/>
              </w:rPr>
              <w:t xml:space="preserve"> </w:t>
            </w:r>
          </w:p>
        </w:tc>
        <w:tc>
          <w:tcPr>
            <w:tcW w:w="416" w:type="pct"/>
          </w:tcPr>
          <w:p w14:paraId="3C7C1125"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92D050"/>
            <w:noWrap/>
          </w:tcPr>
          <w:p w14:paraId="7EAA82D7"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5</w:t>
            </w:r>
          </w:p>
        </w:tc>
        <w:tc>
          <w:tcPr>
            <w:tcW w:w="415" w:type="pct"/>
            <w:shd w:val="clear" w:color="auto" w:fill="FFFF00"/>
            <w:noWrap/>
          </w:tcPr>
          <w:p w14:paraId="6E6A8077"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c>
          <w:tcPr>
            <w:tcW w:w="418" w:type="pct"/>
            <w:shd w:val="clear" w:color="auto" w:fill="FFC000"/>
            <w:noWrap/>
          </w:tcPr>
          <w:p w14:paraId="06CF59EF" w14:textId="77777777" w:rsidR="00413419" w:rsidRPr="00A427C6" w:rsidRDefault="0082458A"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5" w:type="pct"/>
            <w:shd w:val="clear" w:color="auto" w:fill="92D050"/>
            <w:noWrap/>
          </w:tcPr>
          <w:p w14:paraId="5BB9CD4F"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8" w:type="pct"/>
            <w:shd w:val="clear" w:color="auto" w:fill="FFC000"/>
            <w:noWrap/>
          </w:tcPr>
          <w:p w14:paraId="02064557"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5" w:type="pct"/>
            <w:shd w:val="clear" w:color="auto" w:fill="FFFF00"/>
            <w:noWrap/>
          </w:tcPr>
          <w:p w14:paraId="459ED4D3"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92D050"/>
          </w:tcPr>
          <w:p w14:paraId="795781A9"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413419" w:rsidRPr="00A427C6" w14:paraId="758E109D"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14:paraId="46DD54B5"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tcPr>
          <w:p w14:paraId="3407743A"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14:paraId="1D02B20F"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auto"/>
            </w:tcBorders>
            <w:shd w:val="clear" w:color="auto" w:fill="FFFF00"/>
            <w:noWrap/>
          </w:tcPr>
          <w:p w14:paraId="0B75ACE3"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tcBorders>
              <w:bottom w:val="single" w:sz="4" w:space="0" w:color="auto"/>
            </w:tcBorders>
            <w:shd w:val="clear" w:color="auto" w:fill="FFC000"/>
            <w:noWrap/>
          </w:tcPr>
          <w:p w14:paraId="3C764639"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3</w:t>
            </w:r>
          </w:p>
        </w:tc>
        <w:tc>
          <w:tcPr>
            <w:tcW w:w="418" w:type="pct"/>
            <w:tcBorders>
              <w:bottom w:val="single" w:sz="4" w:space="0" w:color="auto"/>
            </w:tcBorders>
            <w:shd w:val="clear" w:color="auto" w:fill="FFFF00"/>
            <w:noWrap/>
          </w:tcPr>
          <w:p w14:paraId="2070D6AB"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tcPr>
          <w:p w14:paraId="23E82F6C"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tcBorders>
              <w:bottom w:val="single" w:sz="4" w:space="0" w:color="auto"/>
            </w:tcBorders>
            <w:shd w:val="clear" w:color="auto" w:fill="FFC000"/>
            <w:noWrap/>
          </w:tcPr>
          <w:p w14:paraId="1D6FF8C9"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5" w:type="pct"/>
            <w:tcBorders>
              <w:bottom w:val="single" w:sz="4" w:space="0" w:color="auto"/>
            </w:tcBorders>
            <w:shd w:val="clear" w:color="auto" w:fill="FFFF00"/>
            <w:noWrap/>
          </w:tcPr>
          <w:p w14:paraId="6BA7F37C"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tcBorders>
              <w:bottom w:val="single" w:sz="4" w:space="0" w:color="auto"/>
            </w:tcBorders>
            <w:shd w:val="clear" w:color="auto" w:fill="92D050"/>
          </w:tcPr>
          <w:p w14:paraId="2534CC4B"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413419" w:rsidRPr="00A427C6" w14:paraId="16C8C454"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Pr>
          <w:p w14:paraId="66206027" w14:textId="77777777" w:rsidR="00413419" w:rsidRPr="00A427C6" w:rsidRDefault="00780590" w:rsidP="0041341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ACIAR Multidisciplinary Research Program Myanmar</w:t>
            </w:r>
          </w:p>
        </w:tc>
        <w:tc>
          <w:tcPr>
            <w:tcW w:w="658" w:type="pct"/>
            <w:vMerge w:val="restart"/>
          </w:tcPr>
          <w:p w14:paraId="0315A199" w14:textId="77777777" w:rsidR="00413419" w:rsidRPr="00A427C6" w:rsidRDefault="00780590" w:rsidP="00413419">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$10.8</w:t>
            </w:r>
            <w:r w:rsidR="00413419" w:rsidRPr="00A427C6">
              <w:rPr>
                <w:rFonts w:asciiTheme="minorHAnsi" w:hAnsiTheme="minorHAnsi" w:cs="Franklin Gothic Book"/>
                <w:color w:val="000000"/>
                <w:szCs w:val="17"/>
              </w:rPr>
              <w:t xml:space="preserve">m </w:t>
            </w:r>
          </w:p>
          <w:p w14:paraId="6FE50D7F" w14:textId="77777777" w:rsidR="00413419" w:rsidRPr="00A427C6" w:rsidRDefault="00780590" w:rsidP="0041341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2011-17</w:t>
            </w:r>
            <w:r w:rsidR="00413419" w:rsidRPr="00A427C6">
              <w:rPr>
                <w:rFonts w:asciiTheme="minorHAnsi" w:eastAsia="Times New Roman" w:hAnsiTheme="minorHAnsi"/>
                <w:iCs/>
                <w:szCs w:val="17"/>
                <w:lang w:eastAsia="en-US"/>
              </w:rPr>
              <w:t xml:space="preserve"> </w:t>
            </w:r>
          </w:p>
        </w:tc>
        <w:tc>
          <w:tcPr>
            <w:tcW w:w="416" w:type="pct"/>
          </w:tcPr>
          <w:p w14:paraId="4143B3B4"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92D050"/>
            <w:noWrap/>
          </w:tcPr>
          <w:p w14:paraId="5D51E6D1"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5</w:t>
            </w:r>
          </w:p>
        </w:tc>
        <w:tc>
          <w:tcPr>
            <w:tcW w:w="415" w:type="pct"/>
            <w:shd w:val="clear" w:color="auto" w:fill="FFC000"/>
            <w:noWrap/>
          </w:tcPr>
          <w:p w14:paraId="2A10C561" w14:textId="77777777" w:rsidR="00413419" w:rsidRPr="00A427C6" w:rsidRDefault="00576DA4"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8" w:type="pct"/>
            <w:shd w:val="clear" w:color="auto" w:fill="FFFF00"/>
            <w:noWrap/>
          </w:tcPr>
          <w:p w14:paraId="6070F1D4"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c>
          <w:tcPr>
            <w:tcW w:w="415" w:type="pct"/>
            <w:shd w:val="clear" w:color="auto" w:fill="FFFF00"/>
            <w:noWrap/>
          </w:tcPr>
          <w:p w14:paraId="67FA38D1"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8" w:type="pct"/>
            <w:shd w:val="clear" w:color="auto" w:fill="FFFF00"/>
            <w:noWrap/>
          </w:tcPr>
          <w:p w14:paraId="05628BDC"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shd w:val="clear" w:color="auto" w:fill="FFC000"/>
            <w:noWrap/>
          </w:tcPr>
          <w:p w14:paraId="309C39E9"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2" w:type="pct"/>
            <w:shd w:val="clear" w:color="auto" w:fill="FFFF00"/>
          </w:tcPr>
          <w:p w14:paraId="746661F4" w14:textId="77777777" w:rsidR="00413419" w:rsidRPr="00A427C6" w:rsidRDefault="00413419" w:rsidP="00413419">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r>
      <w:tr w:rsidR="00413419" w:rsidRPr="00A427C6" w14:paraId="432F0447"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tcPr>
          <w:p w14:paraId="2F209991"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p>
        </w:tc>
        <w:tc>
          <w:tcPr>
            <w:tcW w:w="658" w:type="pct"/>
            <w:vMerge/>
            <w:tcBorders>
              <w:bottom w:val="single" w:sz="4" w:space="0" w:color="auto"/>
            </w:tcBorders>
          </w:tcPr>
          <w:p w14:paraId="10B01B5B"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auto"/>
            </w:tcBorders>
          </w:tcPr>
          <w:p w14:paraId="4F163711" w14:textId="77777777" w:rsidR="00413419" w:rsidRPr="00A427C6" w:rsidRDefault="00413419" w:rsidP="00413419">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000000" w:themeColor="text1"/>
            </w:tcBorders>
            <w:shd w:val="clear" w:color="auto" w:fill="92D050"/>
            <w:noWrap/>
          </w:tcPr>
          <w:p w14:paraId="224B6C2E"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5" w:type="pct"/>
            <w:tcBorders>
              <w:bottom w:val="single" w:sz="4" w:space="0" w:color="000000" w:themeColor="text1"/>
            </w:tcBorders>
            <w:shd w:val="clear" w:color="auto" w:fill="FFC000"/>
            <w:noWrap/>
          </w:tcPr>
          <w:p w14:paraId="4281F4DB"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8" w:type="pct"/>
            <w:tcBorders>
              <w:bottom w:val="single" w:sz="4" w:space="0" w:color="000000" w:themeColor="text1"/>
            </w:tcBorders>
            <w:shd w:val="clear" w:color="auto" w:fill="FFFF00"/>
            <w:noWrap/>
          </w:tcPr>
          <w:p w14:paraId="0E9B4EBA"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tcBorders>
              <w:bottom w:val="single" w:sz="4" w:space="0" w:color="000000" w:themeColor="text1"/>
            </w:tcBorders>
            <w:shd w:val="clear" w:color="auto" w:fill="FFC000"/>
            <w:noWrap/>
          </w:tcPr>
          <w:p w14:paraId="7727EEE3"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8" w:type="pct"/>
            <w:tcBorders>
              <w:bottom w:val="single" w:sz="4" w:space="0" w:color="000000" w:themeColor="text1"/>
            </w:tcBorders>
            <w:shd w:val="clear" w:color="auto" w:fill="FFFF00"/>
            <w:noWrap/>
          </w:tcPr>
          <w:p w14:paraId="520478F1"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5" w:type="pct"/>
            <w:tcBorders>
              <w:bottom w:val="single" w:sz="4" w:space="0" w:color="000000" w:themeColor="text1"/>
            </w:tcBorders>
            <w:shd w:val="clear" w:color="auto" w:fill="FFFF00"/>
            <w:noWrap/>
          </w:tcPr>
          <w:p w14:paraId="10A0A6C5"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tcBorders>
              <w:bottom w:val="single" w:sz="4" w:space="0" w:color="000000" w:themeColor="text1"/>
            </w:tcBorders>
            <w:shd w:val="clear" w:color="auto" w:fill="FFFF00"/>
          </w:tcPr>
          <w:p w14:paraId="7E2A98A6" w14:textId="77777777" w:rsidR="00413419" w:rsidRPr="00A427C6" w:rsidRDefault="00780590" w:rsidP="0041341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bl>
    <w:p w14:paraId="0541F7E7" w14:textId="77777777" w:rsidR="006B2CDB" w:rsidRPr="00A427C6" w:rsidRDefault="006B2CDB" w:rsidP="006B2CDB">
      <w:pPr>
        <w:spacing w:before="20" w:after="20" w:line="180" w:lineRule="atLeast"/>
        <w:jc w:val="both"/>
        <w:rPr>
          <w:rFonts w:eastAsia="Times New Roman"/>
          <w:b/>
          <w:sz w:val="16"/>
          <w:szCs w:val="14"/>
        </w:rPr>
      </w:pPr>
      <w:r w:rsidRPr="00A427C6">
        <w:rPr>
          <w:rFonts w:eastAsia="Times New Roman"/>
          <w:b/>
          <w:sz w:val="16"/>
          <w:szCs w:val="14"/>
        </w:rPr>
        <w:t>Definitions of rating scale:</w:t>
      </w:r>
      <w:r w:rsidRPr="00A427C6">
        <w:rPr>
          <w:rFonts w:eastAsia="Times New Roman"/>
          <w:b/>
          <w:sz w:val="16"/>
          <w:szCs w:val="14"/>
        </w:rPr>
        <w:tab/>
      </w:r>
    </w:p>
    <w:p w14:paraId="4ECFFDDB" w14:textId="77777777" w:rsidR="006B2CDB" w:rsidRPr="00A427C6" w:rsidRDefault="006B2CDB" w:rsidP="006B2CDB">
      <w:pPr>
        <w:spacing w:before="20" w:after="20" w:line="180" w:lineRule="atLeast"/>
        <w:jc w:val="both"/>
        <w:rPr>
          <w:rFonts w:eastAsia="Times New Roman"/>
          <w:b/>
          <w:sz w:val="16"/>
          <w:szCs w:val="14"/>
        </w:rPr>
      </w:pPr>
      <w:r w:rsidRPr="00A427C6">
        <w:rPr>
          <w:rFonts w:eastAsia="Times New Roman"/>
          <w:b/>
          <w:sz w:val="16"/>
          <w:szCs w:val="14"/>
        </w:rPr>
        <w:t>Satisfactory (4, 5 and 6)</w:t>
      </w:r>
    </w:p>
    <w:p w14:paraId="1C4AA974" w14:textId="77777777" w:rsidR="006B2CDB" w:rsidRPr="00A427C6" w:rsidRDefault="006B2CDB" w:rsidP="006B2CDB">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xml:space="preserve"> 6 = Very good; satisfies criteria in all areas.  </w:t>
      </w:r>
      <w:r w:rsidRPr="00A427C6">
        <w:rPr>
          <w:rFonts w:eastAsia="Times New Roman"/>
          <w:b/>
          <w:color w:val="72AF2F"/>
          <w:sz w:val="16"/>
          <w:szCs w:val="14"/>
        </w:rPr>
        <w:sym w:font="Webdings" w:char="F067"/>
      </w:r>
      <w:r w:rsidRPr="00A427C6">
        <w:rPr>
          <w:rFonts w:eastAsia="Times New Roman"/>
          <w:b/>
          <w:sz w:val="16"/>
          <w:szCs w:val="14"/>
        </w:rPr>
        <w:t xml:space="preserve"> 5 = Good; satisfies criteria in almost all areas.</w:t>
      </w:r>
    </w:p>
    <w:p w14:paraId="77539A62" w14:textId="77777777" w:rsidR="006B2CDB" w:rsidRPr="00A427C6" w:rsidRDefault="006B2CDB" w:rsidP="006B2CDB">
      <w:pPr>
        <w:spacing w:before="20" w:after="20" w:line="180" w:lineRule="atLeast"/>
        <w:jc w:val="both"/>
        <w:rPr>
          <w:rFonts w:eastAsia="Times New Roman"/>
          <w:b/>
          <w:sz w:val="16"/>
          <w:szCs w:val="14"/>
        </w:rPr>
      </w:pPr>
      <w:r w:rsidRPr="00A427C6">
        <w:rPr>
          <w:rFonts w:eastAsia="Times New Roman"/>
          <w:b/>
          <w:color w:val="FFFF00"/>
          <w:sz w:val="16"/>
          <w:szCs w:val="14"/>
        </w:rPr>
        <w:sym w:font="Webdings" w:char="F067"/>
      </w:r>
      <w:r w:rsidRPr="00A427C6">
        <w:rPr>
          <w:rFonts w:eastAsia="Times New Roman"/>
          <w:b/>
          <w:sz w:val="16"/>
          <w:szCs w:val="14"/>
        </w:rPr>
        <w:t xml:space="preserve"> 4 = Adequate; on balance, satisfies criteria; does not fail in any major area.</w:t>
      </w:r>
    </w:p>
    <w:p w14:paraId="5D569A3C" w14:textId="77777777" w:rsidR="006B2CDB" w:rsidRPr="00A427C6" w:rsidRDefault="006B2CDB" w:rsidP="006B2CDB">
      <w:pPr>
        <w:spacing w:before="20" w:after="20" w:line="180" w:lineRule="atLeast"/>
        <w:jc w:val="both"/>
        <w:rPr>
          <w:rFonts w:eastAsia="Times New Roman"/>
          <w:b/>
          <w:sz w:val="16"/>
          <w:szCs w:val="14"/>
        </w:rPr>
      </w:pPr>
      <w:r w:rsidRPr="00A427C6">
        <w:rPr>
          <w:rFonts w:eastAsia="Times New Roman"/>
          <w:b/>
          <w:sz w:val="16"/>
          <w:szCs w:val="14"/>
        </w:rPr>
        <w:t>Less than satisfactory (1, 2 and 3)</w:t>
      </w:r>
    </w:p>
    <w:p w14:paraId="5E67DAB8" w14:textId="77777777" w:rsidR="006B2CDB" w:rsidRPr="00A427C6" w:rsidRDefault="006B2CDB" w:rsidP="006B2CDB">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color w:val="E36C0A"/>
          <w:sz w:val="16"/>
          <w:szCs w:val="14"/>
        </w:rPr>
        <w:t xml:space="preserve"> </w:t>
      </w:r>
      <w:r w:rsidRPr="00A427C6">
        <w:rPr>
          <w:rFonts w:eastAsia="Times New Roman"/>
          <w:b/>
          <w:sz w:val="16"/>
          <w:szCs w:val="14"/>
        </w:rPr>
        <w:t>3 = Less than adequate; on balance does not satisfy criteria and/or fails in at least one major area.</w:t>
      </w:r>
    </w:p>
    <w:p w14:paraId="513EA666" w14:textId="77777777" w:rsidR="006B2CDB" w:rsidRPr="00A427C6" w:rsidRDefault="006B2CDB" w:rsidP="006B2CDB">
      <w:pPr>
        <w:spacing w:before="20" w:after="20" w:line="180" w:lineRule="atLeast"/>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xml:space="preserve"> 2 = Poor; does not satisfy criteria in major areas.  </w:t>
      </w:r>
      <w:r w:rsidRPr="00A427C6">
        <w:rPr>
          <w:rFonts w:eastAsia="Times New Roman"/>
          <w:b/>
          <w:color w:val="FF0000"/>
          <w:sz w:val="16"/>
          <w:szCs w:val="14"/>
        </w:rPr>
        <w:sym w:font="Webdings" w:char="F067"/>
      </w:r>
      <w:r w:rsidRPr="00A427C6">
        <w:rPr>
          <w:rFonts w:eastAsia="Times New Roman"/>
          <w:b/>
          <w:sz w:val="16"/>
          <w:szCs w:val="14"/>
        </w:rPr>
        <w:t xml:space="preserve"> 1 = Very poor; does not satisfy criteria in many major area.</w:t>
      </w:r>
    </w:p>
    <w:p w14:paraId="7DC3E7E3" w14:textId="77777777" w:rsidR="00A56F14" w:rsidRDefault="00A56F14" w:rsidP="00A56F14"/>
    <w:p w14:paraId="71FA01A0" w14:textId="1F1D4E57" w:rsidR="006B2CDB" w:rsidRDefault="006B2CDB">
      <w:pPr>
        <w:suppressAutoHyphens w:val="0"/>
        <w:spacing w:before="0" w:after="120" w:line="440" w:lineRule="atLeast"/>
        <w:rPr>
          <w:rFonts w:asciiTheme="majorHAnsi" w:eastAsiaTheme="majorEastAsia" w:hAnsiTheme="majorHAnsi" w:cstheme="majorBidi"/>
          <w:caps/>
          <w:sz w:val="38"/>
          <w:szCs w:val="26"/>
        </w:rPr>
      </w:pPr>
    </w:p>
    <w:p w14:paraId="31D2C233" w14:textId="77777777" w:rsidR="006B2CDB" w:rsidRDefault="006B2CDB" w:rsidP="00400B0F">
      <w:pPr>
        <w:keepNext/>
        <w:numPr>
          <w:ilvl w:val="2"/>
          <w:numId w:val="0"/>
        </w:numPr>
        <w:spacing w:before="240" w:after="120"/>
        <w:outlineLvl w:val="2"/>
        <w:rPr>
          <w:rFonts w:asciiTheme="majorHAnsi" w:eastAsiaTheme="majorEastAsia" w:hAnsiTheme="majorHAnsi" w:cstheme="majorBidi"/>
          <w:caps/>
          <w:sz w:val="38"/>
          <w:szCs w:val="26"/>
        </w:rPr>
      </w:pPr>
    </w:p>
    <w:p w14:paraId="71F4FFD1" w14:textId="6B8283EC" w:rsidR="006B2CDB" w:rsidRDefault="006B2CDB" w:rsidP="00400B0F">
      <w:pPr>
        <w:keepNext/>
        <w:numPr>
          <w:ilvl w:val="2"/>
          <w:numId w:val="0"/>
        </w:numPr>
        <w:spacing w:before="240" w:after="120"/>
        <w:outlineLvl w:val="2"/>
        <w:rPr>
          <w:rFonts w:asciiTheme="majorHAnsi" w:eastAsiaTheme="majorEastAsia" w:hAnsiTheme="majorHAnsi" w:cstheme="majorBidi"/>
          <w:caps/>
          <w:sz w:val="38"/>
          <w:szCs w:val="26"/>
        </w:rPr>
      </w:pPr>
    </w:p>
    <w:p w14:paraId="090BF205" w14:textId="2A5051E8" w:rsidR="006B2CDB" w:rsidRDefault="006B2CDB" w:rsidP="00400B0F">
      <w:pPr>
        <w:keepNext/>
        <w:numPr>
          <w:ilvl w:val="2"/>
          <w:numId w:val="0"/>
        </w:numPr>
        <w:spacing w:before="240" w:after="120"/>
        <w:outlineLvl w:val="2"/>
        <w:rPr>
          <w:rFonts w:asciiTheme="majorHAnsi" w:eastAsiaTheme="majorEastAsia" w:hAnsiTheme="majorHAnsi" w:cstheme="majorBidi"/>
          <w:caps/>
          <w:sz w:val="38"/>
          <w:szCs w:val="26"/>
        </w:rPr>
      </w:pPr>
    </w:p>
    <w:p w14:paraId="6662EB93" w14:textId="77777777" w:rsidR="006B2CDB" w:rsidRDefault="006B2CDB" w:rsidP="00400B0F">
      <w:pPr>
        <w:keepNext/>
        <w:numPr>
          <w:ilvl w:val="2"/>
          <w:numId w:val="0"/>
        </w:numPr>
        <w:spacing w:before="240" w:after="120"/>
        <w:outlineLvl w:val="2"/>
        <w:rPr>
          <w:rFonts w:asciiTheme="majorHAnsi" w:eastAsiaTheme="majorEastAsia" w:hAnsiTheme="majorHAnsi" w:cstheme="majorBidi"/>
          <w:caps/>
          <w:sz w:val="38"/>
          <w:szCs w:val="26"/>
        </w:rPr>
      </w:pPr>
    </w:p>
    <w:p w14:paraId="6623073E" w14:textId="77777777" w:rsidR="006B2CDB" w:rsidRDefault="006B2CDB">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5FA3F656" w14:textId="7BF44C60" w:rsidR="00400B0F" w:rsidRPr="004E0264" w:rsidRDefault="00400B0F" w:rsidP="00400B0F">
      <w:pPr>
        <w:keepNext/>
        <w:numPr>
          <w:ilvl w:val="2"/>
          <w:numId w:val="0"/>
        </w:numPr>
        <w:spacing w:before="240" w:after="120"/>
        <w:outlineLvl w:val="2"/>
      </w:pPr>
      <w:r w:rsidRPr="00784031">
        <w:rPr>
          <w:rFonts w:asciiTheme="majorHAnsi" w:eastAsiaTheme="majorEastAsia" w:hAnsiTheme="majorHAnsi" w:cstheme="majorBidi"/>
          <w:caps/>
          <w:sz w:val="38"/>
          <w:szCs w:val="26"/>
        </w:rPr>
        <w:lastRenderedPageBreak/>
        <w:t>HAQC ratings</w:t>
      </w:r>
      <w:r w:rsidRPr="00C61187">
        <w:rPr>
          <w:rFonts w:ascii="Franklin Gothic Book" w:eastAsia="Times New Roman" w:hAnsi="Franklin Gothic Book"/>
          <w:sz w:val="21"/>
        </w:rPr>
        <w:t xml:space="preserve"> </w:t>
      </w:r>
    </w:p>
    <w:p w14:paraId="302E1949" w14:textId="77777777" w:rsidR="00400B0F" w:rsidRPr="00C61187" w:rsidRDefault="00400B0F" w:rsidP="004E0264">
      <w:r w:rsidRPr="00C61187">
        <w:t xml:space="preserve">Humanitarian response AQCs assess performance over the previous 12 months (ratings are not compared to previous years). </w:t>
      </w:r>
    </w:p>
    <w:tbl>
      <w:tblPr>
        <w:tblStyle w:val="APPR"/>
        <w:tblW w:w="5000" w:type="pct"/>
        <w:tblLook w:val="0000" w:firstRow="0" w:lastRow="0" w:firstColumn="0" w:lastColumn="0" w:noHBand="0" w:noVBand="0"/>
      </w:tblPr>
      <w:tblGrid>
        <w:gridCol w:w="2620"/>
        <w:gridCol w:w="1899"/>
        <w:gridCol w:w="1207"/>
        <w:gridCol w:w="1207"/>
        <w:gridCol w:w="96"/>
        <w:gridCol w:w="1207"/>
        <w:gridCol w:w="1207"/>
        <w:gridCol w:w="96"/>
        <w:gridCol w:w="1204"/>
        <w:gridCol w:w="1207"/>
        <w:gridCol w:w="96"/>
        <w:gridCol w:w="1204"/>
        <w:gridCol w:w="1210"/>
      </w:tblGrid>
      <w:tr w:rsidR="00400B0F" w:rsidRPr="00C61187" w14:paraId="4FFD5962" w14:textId="77777777" w:rsidTr="006F27B1">
        <w:trPr>
          <w:cnfStyle w:val="000000010000" w:firstRow="0" w:lastRow="0" w:firstColumn="0" w:lastColumn="0" w:oddVBand="0" w:evenVBand="0" w:oddHBand="0" w:evenHBand="1" w:firstRowFirstColumn="0" w:firstRowLastColumn="0" w:lastRowFirstColumn="0" w:lastRowLastColumn="0"/>
          <w:trHeight w:val="1413"/>
        </w:trPr>
        <w:tc>
          <w:tcPr>
            <w:tcW w:w="895" w:type="pct"/>
          </w:tcPr>
          <w:p w14:paraId="738CC967"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eastAsia="Times New Roman"/>
                <w:b/>
                <w:iCs/>
                <w:noProof/>
                <w:szCs w:val="17"/>
                <w:lang w:val="en-AU"/>
              </w:rPr>
              <w:drawing>
                <wp:anchor distT="0" distB="0" distL="114300" distR="114300" simplePos="0" relativeHeight="251678720" behindDoc="0" locked="0" layoutInCell="1" allowOverlap="1" wp14:anchorId="5BCCADF8" wp14:editId="563AE5D9">
                  <wp:simplePos x="0" y="0"/>
                  <wp:positionH relativeFrom="column">
                    <wp:posOffset>0</wp:posOffset>
                  </wp:positionH>
                  <wp:positionV relativeFrom="paragraph">
                    <wp:posOffset>0</wp:posOffset>
                  </wp:positionV>
                  <wp:extent cx="1857375" cy="228600"/>
                  <wp:effectExtent l="0" t="0" r="9525" b="0"/>
                  <wp:wrapNone/>
                  <wp:docPr id="15" name="Picture 1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C6">
              <w:rPr>
                <w:rFonts w:asciiTheme="minorHAnsi" w:eastAsia="Times New Roman" w:hAnsiTheme="minorHAnsi"/>
                <w:b/>
                <w:iCs/>
                <w:szCs w:val="17"/>
                <w:lang w:eastAsia="en-US"/>
              </w:rPr>
              <w:t>Investment name</w:t>
            </w:r>
          </w:p>
        </w:tc>
        <w:tc>
          <w:tcPr>
            <w:tcW w:w="650" w:type="pct"/>
            <w:textDirection w:val="btLr"/>
          </w:tcPr>
          <w:p w14:paraId="7B1763FC"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Approved budget and duration</w:t>
            </w:r>
          </w:p>
        </w:tc>
        <w:tc>
          <w:tcPr>
            <w:tcW w:w="410" w:type="pct"/>
            <w:textDirection w:val="btLr"/>
          </w:tcPr>
          <w:p w14:paraId="4B63A638"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Relevance</w:t>
            </w:r>
          </w:p>
        </w:tc>
        <w:tc>
          <w:tcPr>
            <w:tcW w:w="410" w:type="pct"/>
            <w:textDirection w:val="btLr"/>
          </w:tcPr>
          <w:p w14:paraId="48EC8CEF"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Effectiveness</w:t>
            </w:r>
          </w:p>
        </w:tc>
        <w:tc>
          <w:tcPr>
            <w:tcW w:w="433" w:type="pct"/>
            <w:gridSpan w:val="2"/>
            <w:textDirection w:val="btLr"/>
          </w:tcPr>
          <w:p w14:paraId="35E77774"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Efficiency</w:t>
            </w:r>
          </w:p>
        </w:tc>
        <w:tc>
          <w:tcPr>
            <w:tcW w:w="410" w:type="pct"/>
            <w:textDirection w:val="btLr"/>
          </w:tcPr>
          <w:p w14:paraId="0BDE73B0"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Monitoring and Evaluation</w:t>
            </w:r>
          </w:p>
        </w:tc>
        <w:tc>
          <w:tcPr>
            <w:tcW w:w="432" w:type="pct"/>
            <w:gridSpan w:val="2"/>
            <w:textDirection w:val="btLr"/>
          </w:tcPr>
          <w:p w14:paraId="7008D28B"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Connectedness</w:t>
            </w:r>
          </w:p>
        </w:tc>
        <w:tc>
          <w:tcPr>
            <w:tcW w:w="410" w:type="pct"/>
            <w:textDirection w:val="btLr"/>
          </w:tcPr>
          <w:p w14:paraId="1D8213C3"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Protection</w:t>
            </w:r>
          </w:p>
        </w:tc>
        <w:tc>
          <w:tcPr>
            <w:tcW w:w="432" w:type="pct"/>
            <w:gridSpan w:val="2"/>
            <w:textDirection w:val="btLr"/>
          </w:tcPr>
          <w:p w14:paraId="223CDDA8"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Gender equality</w:t>
            </w:r>
          </w:p>
        </w:tc>
        <w:tc>
          <w:tcPr>
            <w:tcW w:w="406" w:type="pct"/>
            <w:textDirection w:val="btLr"/>
          </w:tcPr>
          <w:p w14:paraId="14104A41"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Risks  and Safeguards</w:t>
            </w:r>
          </w:p>
        </w:tc>
      </w:tr>
      <w:tr w:rsidR="00400B0F" w:rsidRPr="00C61187" w14:paraId="69C7C7A4" w14:textId="77777777" w:rsidTr="006B2CDB">
        <w:trPr>
          <w:cnfStyle w:val="000000010000" w:firstRow="0" w:lastRow="0" w:firstColumn="0" w:lastColumn="0" w:oddVBand="0" w:evenVBand="0" w:oddHBand="0" w:evenHBand="1" w:firstRowFirstColumn="0" w:firstRowLastColumn="0" w:lastRowFirstColumn="0" w:lastRowLastColumn="0"/>
          <w:trHeight w:val="284"/>
        </w:trPr>
        <w:tc>
          <w:tcPr>
            <w:tcW w:w="895" w:type="pct"/>
            <w:tcBorders>
              <w:top w:val="single" w:sz="4" w:space="0" w:color="auto"/>
              <w:bottom w:val="single" w:sz="12" w:space="0" w:color="000000" w:themeColor="text1"/>
            </w:tcBorders>
          </w:tcPr>
          <w:p w14:paraId="455AE02A" w14:textId="77777777" w:rsidR="00400B0F" w:rsidRPr="00A427C6" w:rsidRDefault="007A7CA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Assisting Myanmar’s Conflict Affected and Displaced</w:t>
            </w:r>
          </w:p>
        </w:tc>
        <w:tc>
          <w:tcPr>
            <w:tcW w:w="650" w:type="pct"/>
            <w:tcBorders>
              <w:top w:val="single" w:sz="4" w:space="0" w:color="auto"/>
              <w:bottom w:val="single" w:sz="12" w:space="0" w:color="000000" w:themeColor="text1"/>
            </w:tcBorders>
          </w:tcPr>
          <w:p w14:paraId="4A5683BF" w14:textId="77777777" w:rsidR="00400B0F" w:rsidRPr="00A427C6" w:rsidRDefault="00400B0F" w:rsidP="006F27B1">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$3</w:t>
            </w:r>
            <w:r w:rsidR="007A7CA5">
              <w:rPr>
                <w:rFonts w:asciiTheme="minorHAnsi" w:hAnsiTheme="minorHAnsi" w:cs="Franklin Gothic Book"/>
                <w:color w:val="000000"/>
                <w:szCs w:val="17"/>
              </w:rPr>
              <w:t>4.9</w:t>
            </w:r>
            <w:r w:rsidRPr="00A427C6">
              <w:rPr>
                <w:rFonts w:asciiTheme="minorHAnsi" w:hAnsiTheme="minorHAnsi" w:cs="Franklin Gothic Book"/>
                <w:color w:val="000000"/>
                <w:szCs w:val="17"/>
              </w:rPr>
              <w:t xml:space="preserve">m </w:t>
            </w:r>
          </w:p>
          <w:p w14:paraId="74092414" w14:textId="77777777" w:rsidR="00400B0F" w:rsidRPr="00A427C6" w:rsidRDefault="007A7CA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2013-17</w:t>
            </w:r>
            <w:r w:rsidR="00400B0F" w:rsidRPr="00A427C6">
              <w:rPr>
                <w:rFonts w:asciiTheme="minorHAnsi" w:eastAsia="Times New Roman" w:hAnsiTheme="minorHAnsi"/>
                <w:iCs/>
                <w:szCs w:val="17"/>
                <w:lang w:eastAsia="en-US"/>
              </w:rPr>
              <w:t xml:space="preserve"> </w:t>
            </w:r>
          </w:p>
        </w:tc>
        <w:tc>
          <w:tcPr>
            <w:tcW w:w="410" w:type="pct"/>
            <w:tcBorders>
              <w:top w:val="single" w:sz="4" w:space="0" w:color="auto"/>
              <w:bottom w:val="single" w:sz="12" w:space="0" w:color="000000" w:themeColor="text1"/>
            </w:tcBorders>
            <w:shd w:val="clear" w:color="auto" w:fill="92D050"/>
          </w:tcPr>
          <w:p w14:paraId="1DBA1079" w14:textId="77777777" w:rsidR="00400B0F" w:rsidRPr="00A427C6" w:rsidRDefault="00400B0F" w:rsidP="006F27B1">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5</w:t>
            </w:r>
          </w:p>
        </w:tc>
        <w:tc>
          <w:tcPr>
            <w:tcW w:w="433" w:type="pct"/>
            <w:gridSpan w:val="2"/>
            <w:tcBorders>
              <w:top w:val="single" w:sz="4" w:space="0" w:color="auto"/>
              <w:bottom w:val="single" w:sz="12" w:space="0" w:color="000000" w:themeColor="text1"/>
            </w:tcBorders>
            <w:shd w:val="clear" w:color="auto" w:fill="FFC000"/>
            <w:noWrap/>
          </w:tcPr>
          <w:p w14:paraId="0616B984" w14:textId="77777777" w:rsidR="00400B0F" w:rsidRPr="00A427C6" w:rsidRDefault="00580282"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0" w:type="pct"/>
            <w:tcBorders>
              <w:top w:val="single" w:sz="4" w:space="0" w:color="auto"/>
              <w:bottom w:val="single" w:sz="12" w:space="0" w:color="000000" w:themeColor="text1"/>
            </w:tcBorders>
            <w:shd w:val="clear" w:color="auto" w:fill="FFFF00"/>
            <w:noWrap/>
          </w:tcPr>
          <w:p w14:paraId="30D7C257" w14:textId="77777777" w:rsidR="00400B0F" w:rsidRPr="00A427C6" w:rsidRDefault="007A7CA5"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33" w:type="pct"/>
            <w:gridSpan w:val="2"/>
            <w:tcBorders>
              <w:top w:val="single" w:sz="4" w:space="0" w:color="auto"/>
              <w:bottom w:val="single" w:sz="12" w:space="0" w:color="000000" w:themeColor="text1"/>
            </w:tcBorders>
            <w:shd w:val="clear" w:color="auto" w:fill="FFFF00"/>
            <w:noWrap/>
          </w:tcPr>
          <w:p w14:paraId="60473EB9" w14:textId="77777777" w:rsidR="00400B0F" w:rsidRPr="00A427C6" w:rsidRDefault="00400B0F" w:rsidP="006F27B1">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c>
          <w:tcPr>
            <w:tcW w:w="409" w:type="pct"/>
            <w:tcBorders>
              <w:top w:val="single" w:sz="4" w:space="0" w:color="auto"/>
              <w:bottom w:val="single" w:sz="12" w:space="0" w:color="000000" w:themeColor="text1"/>
            </w:tcBorders>
            <w:shd w:val="clear" w:color="auto" w:fill="FFFF00"/>
            <w:noWrap/>
          </w:tcPr>
          <w:p w14:paraId="283E251C" w14:textId="77777777" w:rsidR="00400B0F" w:rsidRPr="00A427C6" w:rsidRDefault="007A7CA5"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33" w:type="pct"/>
            <w:gridSpan w:val="2"/>
            <w:tcBorders>
              <w:top w:val="single" w:sz="4" w:space="0" w:color="auto"/>
              <w:bottom w:val="single" w:sz="12" w:space="0" w:color="000000" w:themeColor="text1"/>
            </w:tcBorders>
            <w:shd w:val="clear" w:color="auto" w:fill="FFC000"/>
            <w:noWrap/>
          </w:tcPr>
          <w:p w14:paraId="73227E35" w14:textId="77777777" w:rsidR="00400B0F" w:rsidRPr="00A427C6" w:rsidRDefault="007A7CA5"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09" w:type="pct"/>
            <w:tcBorders>
              <w:top w:val="single" w:sz="4" w:space="0" w:color="auto"/>
              <w:bottom w:val="single" w:sz="12" w:space="0" w:color="000000" w:themeColor="text1"/>
            </w:tcBorders>
            <w:shd w:val="clear" w:color="auto" w:fill="FFFF00"/>
            <w:noWrap/>
          </w:tcPr>
          <w:p w14:paraId="0D50ABB2" w14:textId="77777777" w:rsidR="00400B0F" w:rsidRPr="00A427C6" w:rsidRDefault="007A7CA5"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6" w:type="pct"/>
            <w:tcBorders>
              <w:top w:val="single" w:sz="4" w:space="0" w:color="auto"/>
              <w:bottom w:val="single" w:sz="12" w:space="0" w:color="000000" w:themeColor="text1"/>
            </w:tcBorders>
            <w:shd w:val="clear" w:color="auto" w:fill="FFFF00"/>
          </w:tcPr>
          <w:p w14:paraId="6AD789A1" w14:textId="77777777" w:rsidR="00400B0F" w:rsidRPr="00A427C6" w:rsidRDefault="00400B0F" w:rsidP="006F27B1">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szCs w:val="17"/>
                <w:lang w:eastAsia="en-US"/>
              </w:rPr>
              <w:t>4</w:t>
            </w:r>
          </w:p>
        </w:tc>
      </w:tr>
    </w:tbl>
    <w:p w14:paraId="3042DCFC" w14:textId="77777777" w:rsidR="00400B0F" w:rsidRPr="00C61187" w:rsidRDefault="00400B0F" w:rsidP="00400B0F">
      <w:pPr>
        <w:spacing w:before="20" w:after="20" w:line="180" w:lineRule="atLeast"/>
        <w:jc w:val="both"/>
        <w:rPr>
          <w:rFonts w:ascii="Franklin Gothic Book" w:eastAsia="Times New Roman" w:hAnsi="Franklin Gothic Book"/>
          <w:b/>
          <w:sz w:val="14"/>
          <w:szCs w:val="14"/>
        </w:rPr>
      </w:pPr>
    </w:p>
    <w:p w14:paraId="1024736F"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Definitions of rating scale:</w:t>
      </w:r>
      <w:r w:rsidRPr="00A427C6">
        <w:rPr>
          <w:rFonts w:eastAsia="Times New Roman"/>
          <w:b/>
          <w:sz w:val="16"/>
          <w:szCs w:val="14"/>
        </w:rPr>
        <w:tab/>
      </w:r>
    </w:p>
    <w:p w14:paraId="616D3287"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Satisfactory (4, 5 and 6)</w:t>
      </w:r>
    </w:p>
    <w:p w14:paraId="353850A4"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xml:space="preserve"> 6 = Very good; satisfies criteria in all areas.  </w:t>
      </w:r>
      <w:r w:rsidRPr="00A427C6">
        <w:rPr>
          <w:rFonts w:eastAsia="Times New Roman"/>
          <w:b/>
          <w:color w:val="72AF2F"/>
          <w:sz w:val="16"/>
          <w:szCs w:val="14"/>
        </w:rPr>
        <w:sym w:font="Webdings" w:char="F067"/>
      </w:r>
      <w:r w:rsidRPr="00A427C6">
        <w:rPr>
          <w:rFonts w:eastAsia="Times New Roman"/>
          <w:b/>
          <w:sz w:val="16"/>
          <w:szCs w:val="14"/>
        </w:rPr>
        <w:t xml:space="preserve"> 5 = Good; satisfies criteria in almost all areas.</w:t>
      </w:r>
    </w:p>
    <w:p w14:paraId="4C7A771F"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FFFF00"/>
          <w:sz w:val="16"/>
          <w:szCs w:val="14"/>
        </w:rPr>
        <w:sym w:font="Webdings" w:char="F067"/>
      </w:r>
      <w:r w:rsidRPr="00A427C6">
        <w:rPr>
          <w:rFonts w:eastAsia="Times New Roman"/>
          <w:b/>
          <w:sz w:val="16"/>
          <w:szCs w:val="14"/>
        </w:rPr>
        <w:t xml:space="preserve"> 4 = Adequate; on balance, satisfies criteria; does not fail in any major area.</w:t>
      </w:r>
    </w:p>
    <w:p w14:paraId="1138CE69"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Less than satisfactory (1, 2 and 3)</w:t>
      </w:r>
    </w:p>
    <w:p w14:paraId="4B534612"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color w:val="E36C0A"/>
          <w:sz w:val="16"/>
          <w:szCs w:val="14"/>
        </w:rPr>
        <w:t xml:space="preserve"> </w:t>
      </w:r>
      <w:r w:rsidRPr="00A427C6">
        <w:rPr>
          <w:rFonts w:eastAsia="Times New Roman"/>
          <w:b/>
          <w:sz w:val="16"/>
          <w:szCs w:val="14"/>
        </w:rPr>
        <w:t>3 = Less than adequate; on balance does not satisfy criteria and/or fails in at least one major area.</w:t>
      </w:r>
    </w:p>
    <w:p w14:paraId="54B3F5A8" w14:textId="77777777" w:rsidR="004E0264" w:rsidRPr="00A427C6" w:rsidRDefault="00400B0F" w:rsidP="00784031">
      <w:pPr>
        <w:spacing w:before="20" w:after="20" w:line="180" w:lineRule="atLeast"/>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xml:space="preserve"> 2 = Poor; does not satisfy criteria in major areas.  </w:t>
      </w:r>
      <w:r w:rsidRPr="00A427C6">
        <w:rPr>
          <w:rFonts w:eastAsia="Times New Roman"/>
          <w:b/>
          <w:color w:val="FF0000"/>
          <w:sz w:val="16"/>
          <w:szCs w:val="14"/>
        </w:rPr>
        <w:sym w:font="Webdings" w:char="F067"/>
      </w:r>
      <w:r w:rsidRPr="00A427C6">
        <w:rPr>
          <w:rFonts w:eastAsia="Times New Roman"/>
          <w:b/>
          <w:sz w:val="16"/>
          <w:szCs w:val="14"/>
        </w:rPr>
        <w:t xml:space="preserve"> 1 = Very poor; does not satisfy criteria in many major area.</w:t>
      </w:r>
    </w:p>
    <w:p w14:paraId="20458C88" w14:textId="77777777" w:rsidR="003671B7" w:rsidRDefault="003671B7">
      <w:pPr>
        <w:suppressAutoHyphens w:val="0"/>
        <w:spacing w:before="0" w:after="120" w:line="440" w:lineRule="atLeast"/>
      </w:pPr>
      <w:r>
        <w:br w:type="page"/>
      </w:r>
    </w:p>
    <w:p w14:paraId="4708B0EC" w14:textId="4A39A396" w:rsidR="00746E70" w:rsidRPr="003671B7" w:rsidRDefault="00400B0F" w:rsidP="003671B7">
      <w:r w:rsidRPr="00784031">
        <w:rPr>
          <w:rFonts w:eastAsiaTheme="majorEastAsia" w:cstheme="majorBidi"/>
          <w:bCs/>
          <w:iCs/>
          <w:caps/>
          <w:spacing w:val="-10"/>
          <w:kern w:val="28"/>
          <w:sz w:val="38"/>
          <w:szCs w:val="24"/>
        </w:rPr>
        <w:t>Annex E – P</w:t>
      </w:r>
      <w:r w:rsidR="008E659A">
        <w:rPr>
          <w:rFonts w:eastAsiaTheme="majorEastAsia" w:cstheme="majorBidi"/>
          <w:bCs/>
          <w:iCs/>
          <w:caps/>
          <w:spacing w:val="-10"/>
          <w:kern w:val="28"/>
          <w:sz w:val="38"/>
          <w:szCs w:val="24"/>
        </w:rPr>
        <w:t>erformance Assessment Framework</w:t>
      </w:r>
    </w:p>
    <w:p w14:paraId="58213599" w14:textId="77777777" w:rsidR="003671B7" w:rsidRPr="008E659A" w:rsidRDefault="003671B7" w:rsidP="008E659A">
      <w:pPr>
        <w:spacing w:before="20" w:after="20" w:line="180" w:lineRule="atLeast"/>
        <w:rPr>
          <w:rFonts w:eastAsiaTheme="majorEastAsia" w:cstheme="majorBidi"/>
          <w:bCs/>
          <w:iCs/>
          <w:caps/>
          <w:spacing w:val="-10"/>
          <w:kern w:val="28"/>
          <w:sz w:val="38"/>
          <w:szCs w:val="24"/>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724"/>
        <w:gridCol w:w="2721"/>
        <w:gridCol w:w="2721"/>
        <w:gridCol w:w="2721"/>
        <w:gridCol w:w="2035"/>
      </w:tblGrid>
      <w:tr w:rsidR="00746E70" w:rsidRPr="005A07ED" w14:paraId="240BBEA5" w14:textId="77777777" w:rsidTr="009B29F8">
        <w:tc>
          <w:tcPr>
            <w:tcW w:w="5000" w:type="pct"/>
            <w:gridSpan w:val="6"/>
          </w:tcPr>
          <w:p w14:paraId="33782AB9" w14:textId="77777777" w:rsidR="00746E70" w:rsidRPr="00746E70" w:rsidRDefault="00746E70" w:rsidP="00746E70">
            <w:pPr>
              <w:suppressAutoHyphens w:val="0"/>
              <w:spacing w:before="0" w:after="0" w:line="240" w:lineRule="auto"/>
              <w:rPr>
                <w:rFonts w:ascii="Franklin Gothic Book" w:hAnsi="Franklin Gothic Book"/>
                <w:b/>
                <w:sz w:val="20"/>
                <w:szCs w:val="20"/>
              </w:rPr>
            </w:pPr>
            <w:r w:rsidRPr="00746E70">
              <w:rPr>
                <w:rFonts w:ascii="Franklin Gothic Book" w:hAnsi="Franklin Gothic Book"/>
                <w:b/>
                <w:sz w:val="20"/>
                <w:szCs w:val="20"/>
              </w:rPr>
              <w:t xml:space="preserve">Australia’s Aid Objective 1.) Enhancing human development </w:t>
            </w:r>
          </w:p>
        </w:tc>
      </w:tr>
      <w:tr w:rsidR="00746E70" w:rsidRPr="005A07ED" w14:paraId="499A121F" w14:textId="77777777" w:rsidTr="003671B7">
        <w:tc>
          <w:tcPr>
            <w:tcW w:w="593" w:type="pct"/>
            <w:shd w:val="clear" w:color="auto" w:fill="auto"/>
          </w:tcPr>
          <w:p w14:paraId="719D85B2" w14:textId="77777777" w:rsidR="00746E70" w:rsidRPr="005A07ED" w:rsidRDefault="00746E70" w:rsidP="009B29F8">
            <w:pPr>
              <w:jc w:val="center"/>
              <w:rPr>
                <w:rFonts w:ascii="Franklin Gothic Book" w:hAnsi="Franklin Gothic Book"/>
                <w:b/>
                <w:sz w:val="20"/>
                <w:szCs w:val="20"/>
              </w:rPr>
            </w:pPr>
            <w:r w:rsidRPr="005A07ED">
              <w:rPr>
                <w:rFonts w:ascii="Franklin Gothic Book" w:hAnsi="Franklin Gothic Book"/>
                <w:b/>
                <w:sz w:val="20"/>
                <w:szCs w:val="20"/>
              </w:rPr>
              <w:t>Outcome Indicator</w:t>
            </w:r>
          </w:p>
        </w:tc>
        <w:tc>
          <w:tcPr>
            <w:tcW w:w="929" w:type="pct"/>
            <w:shd w:val="clear" w:color="auto" w:fill="auto"/>
          </w:tcPr>
          <w:p w14:paraId="431F01FD" w14:textId="77777777" w:rsidR="00746E70" w:rsidRPr="005A07ED" w:rsidRDefault="00746E70" w:rsidP="009B29F8">
            <w:pPr>
              <w:jc w:val="center"/>
              <w:rPr>
                <w:rFonts w:ascii="Franklin Gothic Book" w:hAnsi="Franklin Gothic Book"/>
                <w:b/>
                <w:sz w:val="20"/>
                <w:szCs w:val="20"/>
              </w:rPr>
            </w:pPr>
            <w:r w:rsidRPr="005A07ED">
              <w:rPr>
                <w:rFonts w:ascii="Franklin Gothic Book" w:hAnsi="Franklin Gothic Book"/>
                <w:b/>
                <w:sz w:val="20"/>
                <w:szCs w:val="20"/>
              </w:rPr>
              <w:t>Milestone 2015-2016</w:t>
            </w:r>
          </w:p>
        </w:tc>
        <w:tc>
          <w:tcPr>
            <w:tcW w:w="928" w:type="pct"/>
            <w:shd w:val="clear" w:color="auto" w:fill="auto"/>
          </w:tcPr>
          <w:p w14:paraId="179C185C" w14:textId="77777777" w:rsidR="00746E70" w:rsidRPr="005A07ED" w:rsidRDefault="00746E70" w:rsidP="009B29F8">
            <w:pPr>
              <w:jc w:val="center"/>
              <w:rPr>
                <w:rFonts w:ascii="Franklin Gothic Book" w:hAnsi="Franklin Gothic Book"/>
                <w:b/>
                <w:sz w:val="20"/>
                <w:szCs w:val="20"/>
              </w:rPr>
            </w:pPr>
            <w:r w:rsidRPr="005A07ED">
              <w:rPr>
                <w:rFonts w:ascii="Franklin Gothic Book" w:hAnsi="Franklin Gothic Book"/>
                <w:b/>
                <w:sz w:val="20"/>
                <w:szCs w:val="20"/>
              </w:rPr>
              <w:t>Milestone 2016-2017</w:t>
            </w:r>
          </w:p>
        </w:tc>
        <w:tc>
          <w:tcPr>
            <w:tcW w:w="928" w:type="pct"/>
            <w:shd w:val="clear" w:color="auto" w:fill="auto"/>
          </w:tcPr>
          <w:p w14:paraId="5A5F45E8" w14:textId="77777777" w:rsidR="00746E70" w:rsidRPr="005A07ED" w:rsidRDefault="00746E70" w:rsidP="009B29F8">
            <w:pPr>
              <w:jc w:val="center"/>
              <w:rPr>
                <w:rFonts w:ascii="Franklin Gothic Book" w:hAnsi="Franklin Gothic Book"/>
                <w:b/>
                <w:sz w:val="20"/>
                <w:szCs w:val="20"/>
              </w:rPr>
            </w:pPr>
            <w:r w:rsidRPr="005A07ED">
              <w:rPr>
                <w:rFonts w:ascii="Franklin Gothic Book" w:hAnsi="Franklin Gothic Book"/>
                <w:b/>
                <w:sz w:val="20"/>
                <w:szCs w:val="20"/>
              </w:rPr>
              <w:t>Milestone 2017-2018</w:t>
            </w:r>
          </w:p>
        </w:tc>
        <w:tc>
          <w:tcPr>
            <w:tcW w:w="928" w:type="pct"/>
            <w:shd w:val="clear" w:color="auto" w:fill="auto"/>
          </w:tcPr>
          <w:p w14:paraId="1409AFDF" w14:textId="77777777" w:rsidR="00746E70" w:rsidRPr="005A07ED" w:rsidRDefault="00746E70" w:rsidP="009B29F8">
            <w:pPr>
              <w:jc w:val="center"/>
              <w:rPr>
                <w:rFonts w:ascii="Franklin Gothic Book" w:hAnsi="Franklin Gothic Book"/>
                <w:b/>
                <w:sz w:val="20"/>
                <w:szCs w:val="20"/>
              </w:rPr>
            </w:pPr>
            <w:r w:rsidRPr="005A07ED">
              <w:rPr>
                <w:rFonts w:ascii="Franklin Gothic Book" w:hAnsi="Franklin Gothic Book"/>
                <w:b/>
                <w:sz w:val="20"/>
                <w:szCs w:val="20"/>
              </w:rPr>
              <w:t>Milestone 2018-2019</w:t>
            </w:r>
          </w:p>
        </w:tc>
        <w:tc>
          <w:tcPr>
            <w:tcW w:w="694" w:type="pct"/>
          </w:tcPr>
          <w:p w14:paraId="52ACC8A4" w14:textId="77777777" w:rsidR="00746E70" w:rsidRPr="005A07ED" w:rsidRDefault="00746E70" w:rsidP="009B29F8">
            <w:pPr>
              <w:jc w:val="center"/>
              <w:rPr>
                <w:rFonts w:ascii="Franklin Gothic Book" w:hAnsi="Franklin Gothic Book"/>
                <w:b/>
                <w:sz w:val="20"/>
                <w:szCs w:val="20"/>
              </w:rPr>
            </w:pPr>
            <w:r w:rsidRPr="005A07ED">
              <w:rPr>
                <w:rFonts w:ascii="Franklin Gothic Book" w:hAnsi="Franklin Gothic Book"/>
                <w:b/>
                <w:sz w:val="20"/>
                <w:szCs w:val="20"/>
              </w:rPr>
              <w:t>Data Source and Baseline</w:t>
            </w:r>
          </w:p>
        </w:tc>
      </w:tr>
      <w:tr w:rsidR="00746E70" w:rsidRPr="005A07ED" w14:paraId="7F5A29B1" w14:textId="77777777" w:rsidTr="009B29F8">
        <w:tc>
          <w:tcPr>
            <w:tcW w:w="5000" w:type="pct"/>
            <w:gridSpan w:val="6"/>
            <w:shd w:val="clear" w:color="auto" w:fill="auto"/>
          </w:tcPr>
          <w:p w14:paraId="36B6013C"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Intermediate Outcome 1.1 Strengthened foundations of an effective and inclusive education system</w:t>
            </w:r>
          </w:p>
        </w:tc>
      </w:tr>
      <w:tr w:rsidR="00746E70" w:rsidRPr="005A07ED" w14:paraId="6FC3ED1E" w14:textId="77777777" w:rsidTr="003671B7">
        <w:tc>
          <w:tcPr>
            <w:tcW w:w="593" w:type="pct"/>
            <w:shd w:val="clear" w:color="auto" w:fill="auto"/>
          </w:tcPr>
          <w:p w14:paraId="40FE75C5"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Expand and strengthen government school grants program</w:t>
            </w:r>
          </w:p>
        </w:tc>
        <w:tc>
          <w:tcPr>
            <w:tcW w:w="929" w:type="pct"/>
            <w:shd w:val="clear" w:color="auto" w:fill="auto"/>
          </w:tcPr>
          <w:p w14:paraId="7CF8D3D0" w14:textId="77777777" w:rsidR="00746E70" w:rsidRDefault="00A47049" w:rsidP="009B29F8">
            <w:pPr>
              <w:rPr>
                <w:rFonts w:ascii="Franklin Gothic Book" w:hAnsi="Franklin Gothic Book"/>
                <w:sz w:val="20"/>
                <w:szCs w:val="20"/>
              </w:rPr>
            </w:pPr>
            <w:r>
              <w:rPr>
                <w:rFonts w:ascii="Franklin Gothic Book" w:hAnsi="Franklin Gothic Book"/>
                <w:sz w:val="20"/>
                <w:szCs w:val="20"/>
              </w:rPr>
              <w:t>7,861,333 beneficiaries (50 per cent</w:t>
            </w:r>
            <w:r w:rsidR="00746E70" w:rsidRPr="005A07ED">
              <w:rPr>
                <w:rFonts w:ascii="Franklin Gothic Book" w:hAnsi="Franklin Gothic Book"/>
                <w:sz w:val="20"/>
                <w:szCs w:val="20"/>
              </w:rPr>
              <w:t xml:space="preserve"> fema</w:t>
            </w:r>
            <w:r>
              <w:rPr>
                <w:rFonts w:ascii="Franklin Gothic Book" w:hAnsi="Franklin Gothic Book"/>
                <w:sz w:val="20"/>
                <w:szCs w:val="20"/>
              </w:rPr>
              <w:t>le) through school grants to 80 percent</w:t>
            </w:r>
            <w:r w:rsidR="00746E70" w:rsidRPr="005A07ED">
              <w:rPr>
                <w:rFonts w:ascii="Franklin Gothic Book" w:hAnsi="Franklin Gothic Book"/>
                <w:sz w:val="20"/>
                <w:szCs w:val="20"/>
              </w:rPr>
              <w:t xml:space="preserve"> of schools in 100 townships, in accordance with the School Grant Guidelines</w:t>
            </w:r>
          </w:p>
          <w:p w14:paraId="70E2DD2D" w14:textId="77777777" w:rsidR="00746E70" w:rsidRPr="005A07ED" w:rsidRDefault="00746E70" w:rsidP="009B29F8">
            <w:pPr>
              <w:rPr>
                <w:rFonts w:ascii="Franklin Gothic Book" w:hAnsi="Franklin Gothic Book"/>
                <w:sz w:val="20"/>
                <w:szCs w:val="20"/>
              </w:rPr>
            </w:pPr>
          </w:p>
          <w:p w14:paraId="4A4C090C" w14:textId="77777777" w:rsidR="00746E70" w:rsidRPr="005A07ED" w:rsidRDefault="00A47049" w:rsidP="009B29F8">
            <w:pPr>
              <w:rPr>
                <w:rFonts w:ascii="Franklin Gothic Book" w:hAnsi="Franklin Gothic Book"/>
                <w:sz w:val="20"/>
                <w:szCs w:val="20"/>
              </w:rPr>
            </w:pPr>
            <w:r>
              <w:rPr>
                <w:rFonts w:ascii="Franklin Gothic Book" w:hAnsi="Franklin Gothic Book"/>
                <w:sz w:val="20"/>
                <w:szCs w:val="20"/>
              </w:rPr>
              <w:t>7 per cent</w:t>
            </w:r>
            <w:r w:rsidR="00746E70" w:rsidRPr="005A07ED">
              <w:rPr>
                <w:rFonts w:ascii="Franklin Gothic Book" w:hAnsi="Franklin Gothic Book"/>
                <w:sz w:val="20"/>
                <w:szCs w:val="20"/>
              </w:rPr>
              <w:t xml:space="preserve"> schools with school improvement plan, aimed at learning outcomes and involved community participation</w:t>
            </w:r>
          </w:p>
        </w:tc>
        <w:tc>
          <w:tcPr>
            <w:tcW w:w="928" w:type="pct"/>
            <w:shd w:val="clear" w:color="auto" w:fill="auto"/>
          </w:tcPr>
          <w:p w14:paraId="6203FB62" w14:textId="77777777" w:rsidR="00746E70" w:rsidRDefault="00A47049" w:rsidP="009B29F8">
            <w:pPr>
              <w:rPr>
                <w:rFonts w:ascii="Franklin Gothic Book" w:hAnsi="Franklin Gothic Book"/>
                <w:sz w:val="20"/>
                <w:szCs w:val="20"/>
              </w:rPr>
            </w:pPr>
            <w:r>
              <w:rPr>
                <w:rFonts w:ascii="Franklin Gothic Book" w:hAnsi="Franklin Gothic Book"/>
                <w:sz w:val="20"/>
                <w:szCs w:val="20"/>
              </w:rPr>
              <w:t>9,062,801 beneficiaries (50 per cent</w:t>
            </w:r>
            <w:r w:rsidR="00746E70" w:rsidRPr="005A07ED">
              <w:rPr>
                <w:rFonts w:ascii="Franklin Gothic Book" w:hAnsi="Franklin Gothic Book"/>
                <w:sz w:val="20"/>
                <w:szCs w:val="20"/>
              </w:rPr>
              <w:t xml:space="preserve"> fema</w:t>
            </w:r>
            <w:r>
              <w:rPr>
                <w:rFonts w:ascii="Franklin Gothic Book" w:hAnsi="Franklin Gothic Book"/>
                <w:sz w:val="20"/>
                <w:szCs w:val="20"/>
              </w:rPr>
              <w:t>le) through school grants to 80 per cent</w:t>
            </w:r>
            <w:r w:rsidR="00746E70" w:rsidRPr="005A07ED">
              <w:rPr>
                <w:rFonts w:ascii="Franklin Gothic Book" w:hAnsi="Franklin Gothic Book"/>
                <w:sz w:val="20"/>
                <w:szCs w:val="20"/>
              </w:rPr>
              <w:t xml:space="preserve"> of schools in 150 townships, in accordance with the School Grant Guidelines</w:t>
            </w:r>
          </w:p>
          <w:p w14:paraId="4DCFB944" w14:textId="77777777" w:rsidR="00746E70" w:rsidRPr="005A07ED" w:rsidRDefault="00746E70" w:rsidP="009B29F8">
            <w:pPr>
              <w:rPr>
                <w:rFonts w:ascii="Franklin Gothic Book" w:hAnsi="Franklin Gothic Book"/>
                <w:sz w:val="20"/>
                <w:szCs w:val="20"/>
              </w:rPr>
            </w:pPr>
          </w:p>
          <w:p w14:paraId="3503374D" w14:textId="77777777" w:rsidR="00746E70" w:rsidRPr="005A07ED" w:rsidRDefault="00A47049" w:rsidP="009B29F8">
            <w:pPr>
              <w:rPr>
                <w:rFonts w:ascii="Franklin Gothic Book" w:hAnsi="Franklin Gothic Book"/>
                <w:sz w:val="20"/>
                <w:szCs w:val="20"/>
              </w:rPr>
            </w:pPr>
            <w:r>
              <w:rPr>
                <w:rFonts w:ascii="Franklin Gothic Book" w:hAnsi="Franklin Gothic Book"/>
                <w:sz w:val="20"/>
                <w:szCs w:val="20"/>
              </w:rPr>
              <w:t>15 per cent</w:t>
            </w:r>
            <w:r w:rsidR="00746E70" w:rsidRPr="005A07ED">
              <w:rPr>
                <w:rFonts w:ascii="Franklin Gothic Book" w:hAnsi="Franklin Gothic Book"/>
                <w:sz w:val="20"/>
                <w:szCs w:val="20"/>
              </w:rPr>
              <w:t xml:space="preserve"> schools with school improvement plan, aimed at learning outcomes and involved community participation</w:t>
            </w:r>
            <w:r w:rsidR="00746E70">
              <w:rPr>
                <w:rFonts w:ascii="Franklin Gothic Book" w:hAnsi="Franklin Gothic Book"/>
                <w:sz w:val="20"/>
                <w:szCs w:val="20"/>
              </w:rPr>
              <w:t>.</w:t>
            </w:r>
          </w:p>
        </w:tc>
        <w:tc>
          <w:tcPr>
            <w:tcW w:w="928" w:type="pct"/>
            <w:shd w:val="clear" w:color="auto" w:fill="auto"/>
          </w:tcPr>
          <w:p w14:paraId="576D5765" w14:textId="77777777" w:rsidR="00746E70" w:rsidRDefault="00A47049" w:rsidP="009B29F8">
            <w:pPr>
              <w:rPr>
                <w:rFonts w:ascii="Franklin Gothic Book" w:hAnsi="Franklin Gothic Book"/>
                <w:sz w:val="20"/>
                <w:szCs w:val="20"/>
              </w:rPr>
            </w:pPr>
            <w:r>
              <w:rPr>
                <w:rFonts w:ascii="Franklin Gothic Book" w:hAnsi="Franklin Gothic Book"/>
                <w:sz w:val="20"/>
                <w:szCs w:val="20"/>
              </w:rPr>
              <w:t>10,259,509 beneficiaries (50 per cent</w:t>
            </w:r>
            <w:r w:rsidR="00746E70" w:rsidRPr="005A07ED">
              <w:rPr>
                <w:rFonts w:ascii="Franklin Gothic Book" w:hAnsi="Franklin Gothic Book"/>
                <w:sz w:val="20"/>
                <w:szCs w:val="20"/>
              </w:rPr>
              <w:t xml:space="preserve"> fema</w:t>
            </w:r>
            <w:r>
              <w:rPr>
                <w:rFonts w:ascii="Franklin Gothic Book" w:hAnsi="Franklin Gothic Book"/>
                <w:sz w:val="20"/>
                <w:szCs w:val="20"/>
              </w:rPr>
              <w:t>le) through school grants to 80 per cent</w:t>
            </w:r>
            <w:r w:rsidR="00746E70" w:rsidRPr="005A07ED">
              <w:rPr>
                <w:rFonts w:ascii="Franklin Gothic Book" w:hAnsi="Franklin Gothic Book"/>
                <w:sz w:val="20"/>
                <w:szCs w:val="20"/>
              </w:rPr>
              <w:t xml:space="preserve"> of schools in 200 townships, in accordance with the School Grant Guidelines</w:t>
            </w:r>
          </w:p>
          <w:p w14:paraId="18BE900A" w14:textId="77777777" w:rsidR="00746E70" w:rsidRDefault="00746E70" w:rsidP="009B29F8">
            <w:pPr>
              <w:rPr>
                <w:rFonts w:ascii="Franklin Gothic Book" w:hAnsi="Franklin Gothic Book"/>
                <w:sz w:val="20"/>
                <w:szCs w:val="20"/>
              </w:rPr>
            </w:pPr>
          </w:p>
          <w:p w14:paraId="61A89B02" w14:textId="77777777" w:rsidR="00746E70" w:rsidRPr="005A07ED" w:rsidRDefault="00A47049" w:rsidP="009B29F8">
            <w:pPr>
              <w:rPr>
                <w:rFonts w:ascii="Franklin Gothic Book" w:hAnsi="Franklin Gothic Book"/>
                <w:sz w:val="20"/>
                <w:szCs w:val="20"/>
              </w:rPr>
            </w:pPr>
            <w:r>
              <w:rPr>
                <w:rFonts w:ascii="Franklin Gothic Book" w:hAnsi="Franklin Gothic Book"/>
                <w:sz w:val="20"/>
                <w:szCs w:val="20"/>
              </w:rPr>
              <w:t>30 per cent</w:t>
            </w:r>
            <w:r w:rsidR="00746E70" w:rsidRPr="005A07ED">
              <w:rPr>
                <w:rFonts w:ascii="Franklin Gothic Book" w:hAnsi="Franklin Gothic Book"/>
                <w:sz w:val="20"/>
                <w:szCs w:val="20"/>
              </w:rPr>
              <w:t xml:space="preserve"> schools with school improvement plan, aimed at learning outcomes and </w:t>
            </w:r>
            <w:r w:rsidR="00746E70">
              <w:rPr>
                <w:rFonts w:ascii="Franklin Gothic Book" w:hAnsi="Franklin Gothic Book"/>
                <w:sz w:val="20"/>
                <w:szCs w:val="20"/>
              </w:rPr>
              <w:t>involved community participation</w:t>
            </w:r>
          </w:p>
        </w:tc>
        <w:tc>
          <w:tcPr>
            <w:tcW w:w="928" w:type="pct"/>
            <w:shd w:val="clear" w:color="auto" w:fill="auto"/>
          </w:tcPr>
          <w:p w14:paraId="1C4F9197" w14:textId="77777777" w:rsidR="00746E70" w:rsidRDefault="00A47049" w:rsidP="009B29F8">
            <w:pPr>
              <w:rPr>
                <w:rFonts w:ascii="Franklin Gothic Book" w:hAnsi="Franklin Gothic Book"/>
                <w:sz w:val="20"/>
                <w:szCs w:val="20"/>
              </w:rPr>
            </w:pPr>
            <w:r>
              <w:rPr>
                <w:rFonts w:ascii="Franklin Gothic Book" w:hAnsi="Franklin Gothic Book"/>
                <w:sz w:val="20"/>
                <w:szCs w:val="20"/>
              </w:rPr>
              <w:t>11,461,237 beneficiaries (50 per cent</w:t>
            </w:r>
            <w:r w:rsidR="00746E70" w:rsidRPr="005A07ED">
              <w:rPr>
                <w:rFonts w:ascii="Franklin Gothic Book" w:hAnsi="Franklin Gothic Book"/>
                <w:sz w:val="20"/>
                <w:szCs w:val="20"/>
              </w:rPr>
              <w:t xml:space="preserve"> fema</w:t>
            </w:r>
            <w:r>
              <w:rPr>
                <w:rFonts w:ascii="Franklin Gothic Book" w:hAnsi="Franklin Gothic Book"/>
                <w:sz w:val="20"/>
                <w:szCs w:val="20"/>
              </w:rPr>
              <w:t>le) through school grants to 80 per cent</w:t>
            </w:r>
            <w:r w:rsidR="00746E70" w:rsidRPr="005A07ED">
              <w:rPr>
                <w:rFonts w:ascii="Franklin Gothic Book" w:hAnsi="Franklin Gothic Book"/>
                <w:sz w:val="20"/>
                <w:szCs w:val="20"/>
              </w:rPr>
              <w:t xml:space="preserve"> of schools within all 330 townships, in accordance with the School Grant Guidelines</w:t>
            </w:r>
          </w:p>
          <w:p w14:paraId="33911CFB" w14:textId="77777777" w:rsidR="00746E70" w:rsidRPr="005A07ED" w:rsidRDefault="00746E70" w:rsidP="009B29F8">
            <w:pPr>
              <w:rPr>
                <w:rFonts w:ascii="Franklin Gothic Book" w:hAnsi="Franklin Gothic Book"/>
                <w:sz w:val="20"/>
                <w:szCs w:val="20"/>
              </w:rPr>
            </w:pPr>
          </w:p>
          <w:p w14:paraId="61119BD4" w14:textId="77777777" w:rsidR="00746E70" w:rsidRPr="005A07ED" w:rsidRDefault="00A47049" w:rsidP="009B29F8">
            <w:pPr>
              <w:rPr>
                <w:rFonts w:ascii="Franklin Gothic Book" w:hAnsi="Franklin Gothic Book"/>
                <w:sz w:val="20"/>
                <w:szCs w:val="20"/>
              </w:rPr>
            </w:pPr>
            <w:r>
              <w:rPr>
                <w:rFonts w:ascii="Franklin Gothic Book" w:hAnsi="Franklin Gothic Book"/>
                <w:sz w:val="20"/>
                <w:szCs w:val="20"/>
              </w:rPr>
              <w:t>50 per cent</w:t>
            </w:r>
            <w:r w:rsidR="00746E70" w:rsidRPr="005A07ED">
              <w:rPr>
                <w:rFonts w:ascii="Franklin Gothic Book" w:hAnsi="Franklin Gothic Book"/>
                <w:sz w:val="20"/>
                <w:szCs w:val="20"/>
              </w:rPr>
              <w:t xml:space="preserve"> schools with school improvement plan, aimed at learning outcomes and involved community participation</w:t>
            </w:r>
          </w:p>
        </w:tc>
        <w:tc>
          <w:tcPr>
            <w:tcW w:w="694" w:type="pct"/>
          </w:tcPr>
          <w:p w14:paraId="7B93FB43"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t>2015/16 onwards: Decentralising Funding to Schools Program  World Bank (43,000 schools targeted)</w:t>
            </w:r>
          </w:p>
          <w:p w14:paraId="771B4514" w14:textId="77777777" w:rsidR="00746E70" w:rsidRPr="005A07ED" w:rsidRDefault="00746E70" w:rsidP="009B29F8">
            <w:pPr>
              <w:rPr>
                <w:rFonts w:ascii="Franklin Gothic Book" w:hAnsi="Franklin Gothic Book"/>
                <w:sz w:val="20"/>
                <w:szCs w:val="20"/>
              </w:rPr>
            </w:pPr>
          </w:p>
          <w:p w14:paraId="6C360753"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Baseline for schools </w:t>
            </w:r>
            <w:r w:rsidR="00A47049">
              <w:rPr>
                <w:rFonts w:ascii="Franklin Gothic Book" w:hAnsi="Franklin Gothic Book"/>
                <w:sz w:val="20"/>
                <w:szCs w:val="20"/>
              </w:rPr>
              <w:t>with school improvement plan: 5 per cent</w:t>
            </w:r>
          </w:p>
        </w:tc>
      </w:tr>
      <w:tr w:rsidR="00746E70" w:rsidRPr="005A07ED" w14:paraId="4DED8C8B" w14:textId="77777777" w:rsidTr="003671B7">
        <w:tc>
          <w:tcPr>
            <w:tcW w:w="593" w:type="pct"/>
            <w:shd w:val="clear" w:color="auto" w:fill="auto"/>
          </w:tcPr>
          <w:p w14:paraId="4A6C7C61"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Enabling Effective Teaching</w:t>
            </w:r>
          </w:p>
        </w:tc>
        <w:tc>
          <w:tcPr>
            <w:tcW w:w="929" w:type="pct"/>
            <w:shd w:val="clear" w:color="auto" w:fill="auto"/>
          </w:tcPr>
          <w:p w14:paraId="3EEC5F0B"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Design to strengthen in-service teacher professional development finalised  </w:t>
            </w:r>
          </w:p>
        </w:tc>
        <w:tc>
          <w:tcPr>
            <w:tcW w:w="928" w:type="pct"/>
            <w:shd w:val="clear" w:color="auto" w:fill="auto"/>
          </w:tcPr>
          <w:p w14:paraId="0D06FF9E"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MoE defined goals, performance indicators and budget for first year of the teacher mentoring program</w:t>
            </w:r>
          </w:p>
        </w:tc>
        <w:tc>
          <w:tcPr>
            <w:tcW w:w="928" w:type="pct"/>
            <w:shd w:val="clear" w:color="auto" w:fill="auto"/>
          </w:tcPr>
          <w:p w14:paraId="608902F9"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600 mentor teachers engaged, trained and assigned to school clusters </w:t>
            </w:r>
          </w:p>
        </w:tc>
        <w:tc>
          <w:tcPr>
            <w:tcW w:w="928" w:type="pct"/>
            <w:shd w:val="clear" w:color="auto" w:fill="auto"/>
          </w:tcPr>
          <w:p w14:paraId="0343FB9A"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50,000 classroom observations carried out</w:t>
            </w:r>
          </w:p>
        </w:tc>
        <w:tc>
          <w:tcPr>
            <w:tcW w:w="694" w:type="pct"/>
          </w:tcPr>
          <w:p w14:paraId="6218010F"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Baselines and milestones to be confirmed in the design</w:t>
            </w:r>
          </w:p>
        </w:tc>
      </w:tr>
    </w:tbl>
    <w:p w14:paraId="2AC7E80B" w14:textId="77777777" w:rsidR="003671B7" w:rsidRDefault="003671B7">
      <w:r>
        <w:br w:type="page"/>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724"/>
        <w:gridCol w:w="2721"/>
        <w:gridCol w:w="2721"/>
        <w:gridCol w:w="2721"/>
        <w:gridCol w:w="2035"/>
      </w:tblGrid>
      <w:tr w:rsidR="00746E70" w:rsidRPr="005A07ED" w14:paraId="69F6980B" w14:textId="77777777" w:rsidTr="003671B7">
        <w:tc>
          <w:tcPr>
            <w:tcW w:w="593" w:type="pct"/>
            <w:shd w:val="clear" w:color="auto" w:fill="auto"/>
          </w:tcPr>
          <w:p w14:paraId="2D359726" w14:textId="3B32E6AA"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Strengthened policy formulation and oversight</w:t>
            </w:r>
          </w:p>
        </w:tc>
        <w:tc>
          <w:tcPr>
            <w:tcW w:w="929" w:type="pct"/>
            <w:shd w:val="clear" w:color="auto" w:fill="auto"/>
          </w:tcPr>
          <w:p w14:paraId="7BF460CC"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National Education Sector Plan (NESP) informed by Australia’s views</w:t>
            </w:r>
          </w:p>
          <w:p w14:paraId="693263B3"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M&amp;E facility established</w:t>
            </w:r>
          </w:p>
        </w:tc>
        <w:tc>
          <w:tcPr>
            <w:tcW w:w="928" w:type="pct"/>
            <w:shd w:val="clear" w:color="auto" w:fill="auto"/>
          </w:tcPr>
          <w:p w14:paraId="4D27B1F4"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Donors coordinate effectively and help shape implementation of reforms </w:t>
            </w:r>
          </w:p>
          <w:p w14:paraId="06E2B503" w14:textId="77777777" w:rsidR="00746E70" w:rsidRPr="005A07ED" w:rsidRDefault="00746E70" w:rsidP="009B29F8">
            <w:pPr>
              <w:rPr>
                <w:rFonts w:ascii="Franklin Gothic Book" w:hAnsi="Franklin Gothic Book"/>
                <w:sz w:val="20"/>
                <w:szCs w:val="20"/>
              </w:rPr>
            </w:pPr>
            <w:r>
              <w:rPr>
                <w:rFonts w:ascii="Franklin Gothic Book" w:hAnsi="Franklin Gothic Book"/>
                <w:sz w:val="20"/>
                <w:szCs w:val="20"/>
              </w:rPr>
              <w:t>Myanmar</w:t>
            </w:r>
            <w:r w:rsidRPr="005A07ED">
              <w:rPr>
                <w:rFonts w:ascii="Franklin Gothic Book" w:hAnsi="Franklin Gothic Book"/>
                <w:sz w:val="20"/>
                <w:szCs w:val="20"/>
              </w:rPr>
              <w:t>’s education system’s M&amp;E plan developed, with trained M&amp;E personal appointed at each level</w:t>
            </w:r>
          </w:p>
        </w:tc>
        <w:tc>
          <w:tcPr>
            <w:tcW w:w="928" w:type="pct"/>
            <w:shd w:val="clear" w:color="auto" w:fill="auto"/>
          </w:tcPr>
          <w:p w14:paraId="4246DFA0"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Education reforms well supported within </w:t>
            </w:r>
            <w:r>
              <w:rPr>
                <w:rFonts w:ascii="Franklin Gothic Book" w:hAnsi="Franklin Gothic Book"/>
                <w:sz w:val="20"/>
                <w:szCs w:val="20"/>
              </w:rPr>
              <w:t>Myanmar</w:t>
            </w:r>
            <w:r w:rsidRPr="005A07ED">
              <w:rPr>
                <w:rFonts w:ascii="Franklin Gothic Book" w:hAnsi="Franklin Gothic Book"/>
                <w:sz w:val="20"/>
                <w:szCs w:val="20"/>
              </w:rPr>
              <w:t xml:space="preserve"> Government</w:t>
            </w:r>
          </w:p>
          <w:p w14:paraId="33FDC50F"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Australian advice and evidence reflected in </w:t>
            </w:r>
            <w:r>
              <w:rPr>
                <w:rFonts w:ascii="Franklin Gothic Book" w:hAnsi="Franklin Gothic Book"/>
                <w:sz w:val="20"/>
                <w:szCs w:val="20"/>
              </w:rPr>
              <w:t>Myanmar</w:t>
            </w:r>
            <w:r w:rsidRPr="005A07ED">
              <w:rPr>
                <w:rFonts w:ascii="Franklin Gothic Book" w:hAnsi="Franklin Gothic Book"/>
                <w:sz w:val="20"/>
                <w:szCs w:val="20"/>
              </w:rPr>
              <w:t>’s education policies and programs</w:t>
            </w:r>
          </w:p>
          <w:p w14:paraId="297D9250"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Capacity and systems established to monitor </w:t>
            </w:r>
            <w:r w:rsidRPr="005A07ED">
              <w:rPr>
                <w:rFonts w:ascii="Franklin Gothic Book" w:hAnsi="Franklin Gothic Book"/>
                <w:sz w:val="20"/>
                <w:szCs w:val="20"/>
              </w:rPr>
              <w:lastRenderedPageBreak/>
              <w:t>education management and performance of the sector</w:t>
            </w:r>
          </w:p>
        </w:tc>
        <w:tc>
          <w:tcPr>
            <w:tcW w:w="928" w:type="pct"/>
            <w:shd w:val="clear" w:color="auto" w:fill="auto"/>
          </w:tcPr>
          <w:p w14:paraId="5162D3F0"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lastRenderedPageBreak/>
              <w:t>Aid investment has multiplier effect, with evidence of broader outcomes and relationship capital</w:t>
            </w:r>
          </w:p>
          <w:p w14:paraId="576985F6"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MoE adopting evidence-based policies and management systems</w:t>
            </w:r>
          </w:p>
        </w:tc>
        <w:tc>
          <w:tcPr>
            <w:tcW w:w="694" w:type="pct"/>
          </w:tcPr>
          <w:p w14:paraId="06451E2A"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Policy dialogue as Co-Chair Joint Education Working Group</w:t>
            </w:r>
          </w:p>
          <w:p w14:paraId="24A2E509"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EGRA (World Bank) </w:t>
            </w:r>
          </w:p>
          <w:p w14:paraId="18395174"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M&amp;E investment</w:t>
            </w:r>
          </w:p>
        </w:tc>
      </w:tr>
      <w:tr w:rsidR="00746E70" w:rsidRPr="005A07ED" w14:paraId="435C0DA9" w14:textId="77777777" w:rsidTr="009B29F8">
        <w:tc>
          <w:tcPr>
            <w:tcW w:w="5000" w:type="pct"/>
            <w:gridSpan w:val="6"/>
            <w:shd w:val="clear" w:color="auto" w:fill="auto"/>
          </w:tcPr>
          <w:p w14:paraId="3433D416"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b/>
                <w:sz w:val="20"/>
                <w:szCs w:val="20"/>
              </w:rPr>
              <w:t>Intermediate Outcome 1.2 Increased access to education in underserved populations</w:t>
            </w:r>
          </w:p>
        </w:tc>
      </w:tr>
      <w:tr w:rsidR="00746E70" w:rsidRPr="005A07ED" w14:paraId="1BE84766" w14:textId="77777777" w:rsidTr="003671B7">
        <w:tc>
          <w:tcPr>
            <w:tcW w:w="593" w:type="pct"/>
            <w:shd w:val="clear" w:color="auto" w:fill="auto"/>
          </w:tcPr>
          <w:p w14:paraId="3D84D2AE"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 xml:space="preserve">Reduced drop-outs and repetition of poor students </w:t>
            </w:r>
          </w:p>
        </w:tc>
        <w:tc>
          <w:tcPr>
            <w:tcW w:w="929" w:type="pct"/>
            <w:shd w:val="clear" w:color="auto" w:fill="auto"/>
          </w:tcPr>
          <w:p w14:paraId="2B931F39"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10,000 students receiving payment in the stipends program (50 per cent girls)</w:t>
            </w:r>
          </w:p>
        </w:tc>
        <w:tc>
          <w:tcPr>
            <w:tcW w:w="928" w:type="pct"/>
            <w:shd w:val="clear" w:color="auto" w:fill="auto"/>
          </w:tcPr>
          <w:p w14:paraId="4621A885"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18,000 students receiving payment in the stipends program (50 per cent girls)</w:t>
            </w:r>
          </w:p>
        </w:tc>
        <w:tc>
          <w:tcPr>
            <w:tcW w:w="928" w:type="pct"/>
            <w:shd w:val="clear" w:color="auto" w:fill="auto"/>
          </w:tcPr>
          <w:p w14:paraId="144AD5DA"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40,000 students receiving payment in the stipends program (50 per cent girls)</w:t>
            </w:r>
          </w:p>
        </w:tc>
        <w:tc>
          <w:tcPr>
            <w:tcW w:w="928" w:type="pct"/>
            <w:shd w:val="clear" w:color="auto" w:fill="auto"/>
          </w:tcPr>
          <w:p w14:paraId="15FAD661"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100,000 students receiving payment in the stipends program (50 per cent girls)</w:t>
            </w:r>
          </w:p>
        </w:tc>
        <w:tc>
          <w:tcPr>
            <w:tcW w:w="694" w:type="pct"/>
          </w:tcPr>
          <w:p w14:paraId="52FEF3F8"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World Bank Decentralised Funding to Schools Project. Baseline: 0</w:t>
            </w:r>
          </w:p>
          <w:p w14:paraId="19E25BCB"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Additional milestones on drop-out rates and repetition to be confirmed </w:t>
            </w:r>
          </w:p>
        </w:tc>
      </w:tr>
    </w:tbl>
    <w:p w14:paraId="0AF06558" w14:textId="77777777" w:rsidR="003671B7" w:rsidRDefault="003671B7">
      <w:r>
        <w:br w:type="page"/>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724"/>
        <w:gridCol w:w="2721"/>
        <w:gridCol w:w="2721"/>
        <w:gridCol w:w="2721"/>
        <w:gridCol w:w="2035"/>
      </w:tblGrid>
      <w:tr w:rsidR="00746E70" w:rsidRPr="005A07ED" w14:paraId="7F32E7E3" w14:textId="77777777" w:rsidTr="009B29F8">
        <w:tc>
          <w:tcPr>
            <w:tcW w:w="5000" w:type="pct"/>
            <w:gridSpan w:val="6"/>
            <w:shd w:val="clear" w:color="auto" w:fill="auto"/>
          </w:tcPr>
          <w:p w14:paraId="3907E6ED" w14:textId="0D121D08"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Australia’s Aid Objective 2.) Promoting Peace and Stability</w:t>
            </w:r>
          </w:p>
        </w:tc>
      </w:tr>
      <w:tr w:rsidR="00746E70" w:rsidRPr="005A07ED" w14:paraId="129E1E40" w14:textId="77777777" w:rsidTr="003671B7">
        <w:tc>
          <w:tcPr>
            <w:tcW w:w="593" w:type="pct"/>
            <w:shd w:val="clear" w:color="auto" w:fill="auto"/>
          </w:tcPr>
          <w:p w14:paraId="5EF6EED7" w14:textId="77777777" w:rsidR="00746E70" w:rsidRPr="005A07ED" w:rsidRDefault="00746E70" w:rsidP="009B29F8">
            <w:pPr>
              <w:jc w:val="center"/>
              <w:rPr>
                <w:rFonts w:ascii="Franklin Gothic Book" w:hAnsi="Franklin Gothic Book"/>
                <w:b/>
                <w:sz w:val="20"/>
                <w:szCs w:val="20"/>
              </w:rPr>
            </w:pPr>
            <w:r w:rsidRPr="005A07ED">
              <w:rPr>
                <w:rFonts w:ascii="Franklin Gothic Book" w:hAnsi="Franklin Gothic Book"/>
                <w:b/>
                <w:sz w:val="20"/>
                <w:szCs w:val="20"/>
              </w:rPr>
              <w:t>Outcome Indicator</w:t>
            </w:r>
          </w:p>
        </w:tc>
        <w:tc>
          <w:tcPr>
            <w:tcW w:w="929" w:type="pct"/>
            <w:shd w:val="clear" w:color="auto" w:fill="auto"/>
          </w:tcPr>
          <w:p w14:paraId="4235A637"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Milestone 2015-2016</w:t>
            </w:r>
          </w:p>
        </w:tc>
        <w:tc>
          <w:tcPr>
            <w:tcW w:w="928" w:type="pct"/>
            <w:shd w:val="clear" w:color="auto" w:fill="auto"/>
          </w:tcPr>
          <w:p w14:paraId="1F366C57"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Milestone 2016-2017</w:t>
            </w:r>
          </w:p>
        </w:tc>
        <w:tc>
          <w:tcPr>
            <w:tcW w:w="928" w:type="pct"/>
            <w:shd w:val="clear" w:color="auto" w:fill="auto"/>
          </w:tcPr>
          <w:p w14:paraId="05E70FB7"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Milestone 2017-2018</w:t>
            </w:r>
          </w:p>
        </w:tc>
        <w:tc>
          <w:tcPr>
            <w:tcW w:w="928" w:type="pct"/>
            <w:shd w:val="clear" w:color="auto" w:fill="auto"/>
          </w:tcPr>
          <w:p w14:paraId="0C52853F"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Milestone 2018-2019</w:t>
            </w:r>
          </w:p>
        </w:tc>
        <w:tc>
          <w:tcPr>
            <w:tcW w:w="694" w:type="pct"/>
          </w:tcPr>
          <w:p w14:paraId="54CE8A57" w14:textId="77777777" w:rsidR="00746E70" w:rsidRPr="005A07ED" w:rsidRDefault="00746E70" w:rsidP="009B29F8">
            <w:pPr>
              <w:jc w:val="center"/>
              <w:rPr>
                <w:rFonts w:ascii="Franklin Gothic Book" w:hAnsi="Franklin Gothic Book"/>
                <w:b/>
                <w:sz w:val="20"/>
                <w:szCs w:val="20"/>
              </w:rPr>
            </w:pPr>
            <w:r w:rsidRPr="005A07ED">
              <w:rPr>
                <w:rFonts w:ascii="Franklin Gothic Book" w:hAnsi="Franklin Gothic Book"/>
                <w:b/>
                <w:sz w:val="20"/>
                <w:szCs w:val="20"/>
              </w:rPr>
              <w:t>Data Source and Baseline</w:t>
            </w:r>
          </w:p>
        </w:tc>
      </w:tr>
      <w:tr w:rsidR="00746E70" w:rsidRPr="005A07ED" w14:paraId="7D04E730" w14:textId="77777777" w:rsidTr="009B29F8">
        <w:tc>
          <w:tcPr>
            <w:tcW w:w="5000" w:type="pct"/>
            <w:gridSpan w:val="6"/>
            <w:shd w:val="clear" w:color="auto" w:fill="auto"/>
          </w:tcPr>
          <w:p w14:paraId="56FB2D47"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b/>
                <w:sz w:val="20"/>
                <w:szCs w:val="20"/>
              </w:rPr>
              <w:t>Intermediate Outcome</w:t>
            </w:r>
            <w:r w:rsidRPr="005A07ED">
              <w:rPr>
                <w:rFonts w:ascii="Franklin Gothic Book" w:hAnsi="Franklin Gothic Book"/>
                <w:sz w:val="20"/>
                <w:szCs w:val="20"/>
              </w:rPr>
              <w:t xml:space="preserve"> </w:t>
            </w:r>
            <w:r w:rsidRPr="005A07ED">
              <w:rPr>
                <w:rFonts w:ascii="Franklin Gothic Book" w:hAnsi="Franklin Gothic Book"/>
                <w:b/>
                <w:sz w:val="20"/>
                <w:szCs w:val="20"/>
              </w:rPr>
              <w:t>2.1 Supporting the peace process</w:t>
            </w:r>
          </w:p>
        </w:tc>
      </w:tr>
      <w:tr w:rsidR="00746E70" w:rsidRPr="005A07ED" w14:paraId="77A42C62" w14:textId="77777777" w:rsidTr="003671B7">
        <w:tc>
          <w:tcPr>
            <w:tcW w:w="593" w:type="pct"/>
            <w:shd w:val="clear" w:color="auto" w:fill="auto"/>
          </w:tcPr>
          <w:p w14:paraId="402619F1"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Support government and non-state actors to effectively engage in negotiations and dialogue</w:t>
            </w:r>
          </w:p>
        </w:tc>
        <w:tc>
          <w:tcPr>
            <w:tcW w:w="929" w:type="pct"/>
            <w:shd w:val="clear" w:color="auto" w:fill="auto"/>
          </w:tcPr>
          <w:p w14:paraId="10BE15FC"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t>Establishment of Joint Peace Fund</w:t>
            </w:r>
          </w:p>
          <w:p w14:paraId="675E1972" w14:textId="77777777" w:rsidR="00746E70" w:rsidRDefault="00746E70" w:rsidP="009B29F8">
            <w:pPr>
              <w:rPr>
                <w:rFonts w:ascii="Franklin Gothic Book" w:hAnsi="Franklin Gothic Book"/>
                <w:sz w:val="20"/>
                <w:szCs w:val="20"/>
              </w:rPr>
            </w:pPr>
          </w:p>
          <w:p w14:paraId="20030D66" w14:textId="77777777" w:rsidR="00746E70" w:rsidRPr="005A07ED" w:rsidRDefault="00746E70" w:rsidP="009B29F8">
            <w:pPr>
              <w:rPr>
                <w:rFonts w:ascii="Franklin Gothic Book" w:hAnsi="Franklin Gothic Book"/>
                <w:sz w:val="20"/>
                <w:szCs w:val="20"/>
              </w:rPr>
            </w:pPr>
          </w:p>
          <w:p w14:paraId="3025B382"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t>Technical support to negotiating parties is responsive to requests</w:t>
            </w:r>
          </w:p>
          <w:p w14:paraId="31645792" w14:textId="77777777" w:rsidR="00746E70" w:rsidRPr="005A07ED" w:rsidRDefault="00746E70" w:rsidP="009B29F8">
            <w:pPr>
              <w:rPr>
                <w:rFonts w:ascii="Franklin Gothic Book" w:hAnsi="Franklin Gothic Book"/>
                <w:sz w:val="20"/>
                <w:szCs w:val="20"/>
              </w:rPr>
            </w:pPr>
          </w:p>
          <w:p w14:paraId="7180519B"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Women are better prepared to engage in the peace process </w:t>
            </w:r>
          </w:p>
        </w:tc>
        <w:tc>
          <w:tcPr>
            <w:tcW w:w="928" w:type="pct"/>
            <w:shd w:val="clear" w:color="auto" w:fill="auto"/>
          </w:tcPr>
          <w:p w14:paraId="62C791C8"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t>Tri-partite governance mechanism for Joint Peace Fund begins operation</w:t>
            </w:r>
          </w:p>
          <w:p w14:paraId="1D3083D8" w14:textId="77777777" w:rsidR="00746E70" w:rsidRPr="005A07ED" w:rsidRDefault="00746E70" w:rsidP="009B29F8">
            <w:pPr>
              <w:rPr>
                <w:rFonts w:ascii="Franklin Gothic Book" w:hAnsi="Franklin Gothic Book"/>
                <w:sz w:val="20"/>
                <w:szCs w:val="20"/>
              </w:rPr>
            </w:pPr>
          </w:p>
          <w:p w14:paraId="693EB54E"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t>Technical support to negotiating parties is responsive to requests</w:t>
            </w:r>
          </w:p>
          <w:p w14:paraId="25BE6840" w14:textId="77777777" w:rsidR="00746E70" w:rsidRPr="005A07ED" w:rsidRDefault="00746E70" w:rsidP="009B29F8">
            <w:pPr>
              <w:rPr>
                <w:rFonts w:ascii="Franklin Gothic Book" w:hAnsi="Franklin Gothic Book"/>
                <w:sz w:val="20"/>
                <w:szCs w:val="20"/>
              </w:rPr>
            </w:pPr>
          </w:p>
          <w:p w14:paraId="14B21CD8"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Women who have completed Australian-funded training are engaged  in the peace process </w:t>
            </w:r>
          </w:p>
        </w:tc>
        <w:tc>
          <w:tcPr>
            <w:tcW w:w="928" w:type="pct"/>
            <w:shd w:val="clear" w:color="auto" w:fill="auto"/>
          </w:tcPr>
          <w:p w14:paraId="100949C9"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t>Parties actively involved in Joint Peace Fund governance structures</w:t>
            </w:r>
          </w:p>
          <w:p w14:paraId="4F606A27" w14:textId="77777777" w:rsidR="00746E70" w:rsidRPr="005A07ED" w:rsidRDefault="00746E70" w:rsidP="009B29F8">
            <w:pPr>
              <w:rPr>
                <w:rFonts w:ascii="Franklin Gothic Book" w:hAnsi="Franklin Gothic Book"/>
                <w:sz w:val="20"/>
                <w:szCs w:val="20"/>
              </w:rPr>
            </w:pPr>
          </w:p>
          <w:p w14:paraId="40D5349B"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t>Technical support to negotiating parties is responsive to requests</w:t>
            </w:r>
          </w:p>
          <w:p w14:paraId="4E50015D" w14:textId="77777777" w:rsidR="00746E70" w:rsidRPr="005A07ED" w:rsidRDefault="00746E70" w:rsidP="009B29F8">
            <w:pPr>
              <w:rPr>
                <w:rFonts w:ascii="Franklin Gothic Book" w:hAnsi="Franklin Gothic Book"/>
                <w:sz w:val="20"/>
                <w:szCs w:val="20"/>
              </w:rPr>
            </w:pPr>
          </w:p>
          <w:p w14:paraId="6E512B91"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t xml:space="preserve">Women who have completed Australian-funded training are engaged  in the peace process </w:t>
            </w:r>
          </w:p>
          <w:p w14:paraId="3B015143" w14:textId="77777777" w:rsidR="008E659A" w:rsidRDefault="008E659A" w:rsidP="009B29F8">
            <w:pPr>
              <w:rPr>
                <w:rFonts w:ascii="Franklin Gothic Book" w:hAnsi="Franklin Gothic Book"/>
                <w:sz w:val="20"/>
                <w:szCs w:val="20"/>
              </w:rPr>
            </w:pPr>
          </w:p>
          <w:p w14:paraId="3C974D48" w14:textId="77777777" w:rsidR="008E659A" w:rsidRDefault="008E659A" w:rsidP="009B29F8">
            <w:pPr>
              <w:rPr>
                <w:rFonts w:ascii="Franklin Gothic Book" w:hAnsi="Franklin Gothic Book"/>
                <w:sz w:val="20"/>
                <w:szCs w:val="20"/>
              </w:rPr>
            </w:pPr>
          </w:p>
          <w:p w14:paraId="137CAA1C" w14:textId="77777777" w:rsidR="008E659A" w:rsidRDefault="008E659A" w:rsidP="009B29F8">
            <w:pPr>
              <w:rPr>
                <w:rFonts w:ascii="Franklin Gothic Book" w:hAnsi="Franklin Gothic Book"/>
                <w:sz w:val="20"/>
                <w:szCs w:val="20"/>
              </w:rPr>
            </w:pPr>
          </w:p>
          <w:p w14:paraId="3096BDAE" w14:textId="77777777" w:rsidR="008E659A" w:rsidRPr="005A07ED" w:rsidRDefault="008E659A" w:rsidP="009B29F8">
            <w:pPr>
              <w:rPr>
                <w:rFonts w:ascii="Franklin Gothic Book" w:hAnsi="Franklin Gothic Book"/>
                <w:sz w:val="20"/>
                <w:szCs w:val="20"/>
              </w:rPr>
            </w:pPr>
          </w:p>
        </w:tc>
        <w:tc>
          <w:tcPr>
            <w:tcW w:w="928" w:type="pct"/>
            <w:shd w:val="clear" w:color="auto" w:fill="auto"/>
          </w:tcPr>
          <w:p w14:paraId="21F776F5"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lastRenderedPageBreak/>
              <w:t>Parties actively involved in Joint Peace Fund governance structures</w:t>
            </w:r>
          </w:p>
          <w:p w14:paraId="2D9B5811" w14:textId="77777777" w:rsidR="00746E70" w:rsidRPr="005A07ED" w:rsidRDefault="00746E70" w:rsidP="009B29F8">
            <w:pPr>
              <w:rPr>
                <w:rFonts w:ascii="Franklin Gothic Book" w:hAnsi="Franklin Gothic Book"/>
                <w:sz w:val="20"/>
                <w:szCs w:val="20"/>
              </w:rPr>
            </w:pPr>
          </w:p>
          <w:p w14:paraId="3B8E4D75"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t>Technical support to negotiating parties is responsive to requests</w:t>
            </w:r>
          </w:p>
          <w:p w14:paraId="5D3E4DB4" w14:textId="77777777" w:rsidR="00746E70" w:rsidRPr="005A07ED" w:rsidRDefault="00746E70" w:rsidP="009B29F8">
            <w:pPr>
              <w:rPr>
                <w:rFonts w:ascii="Franklin Gothic Book" w:hAnsi="Franklin Gothic Book"/>
                <w:sz w:val="20"/>
                <w:szCs w:val="20"/>
              </w:rPr>
            </w:pPr>
          </w:p>
          <w:p w14:paraId="3A37E82E"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Women who have completed Australian-funded training are engaged  in the peace process </w:t>
            </w:r>
          </w:p>
        </w:tc>
        <w:tc>
          <w:tcPr>
            <w:tcW w:w="694" w:type="pct"/>
          </w:tcPr>
          <w:p w14:paraId="0DD2F4DF"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2015-16: Peace Support Fund; Norwegian Refugee Council; The Asia Foundation</w:t>
            </w:r>
          </w:p>
          <w:p w14:paraId="7108BF6A"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2016-17 onwards: Joint Peace Fund – Multi Donor Trust Fund</w:t>
            </w:r>
          </w:p>
        </w:tc>
      </w:tr>
    </w:tbl>
    <w:p w14:paraId="3A19ED79" w14:textId="77777777" w:rsidR="003671B7" w:rsidRDefault="003671B7">
      <w:r>
        <w:br w:type="page"/>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724"/>
        <w:gridCol w:w="2721"/>
        <w:gridCol w:w="2721"/>
        <w:gridCol w:w="2721"/>
        <w:gridCol w:w="2035"/>
      </w:tblGrid>
      <w:tr w:rsidR="00746E70" w:rsidRPr="005A07ED" w14:paraId="051BB7AD" w14:textId="77777777" w:rsidTr="009B29F8">
        <w:tc>
          <w:tcPr>
            <w:tcW w:w="5000" w:type="pct"/>
            <w:gridSpan w:val="6"/>
            <w:shd w:val="clear" w:color="auto" w:fill="auto"/>
          </w:tcPr>
          <w:p w14:paraId="70479493" w14:textId="436CA59A" w:rsidR="00746E70" w:rsidRPr="005A07ED" w:rsidRDefault="00746E70" w:rsidP="009B29F8">
            <w:pPr>
              <w:rPr>
                <w:rFonts w:ascii="Franklin Gothic Book" w:hAnsi="Franklin Gothic Book"/>
                <w:sz w:val="20"/>
                <w:szCs w:val="20"/>
              </w:rPr>
            </w:pPr>
            <w:r w:rsidRPr="005A07ED">
              <w:rPr>
                <w:rFonts w:ascii="Franklin Gothic Book" w:hAnsi="Franklin Gothic Book"/>
                <w:b/>
                <w:sz w:val="20"/>
                <w:szCs w:val="20"/>
              </w:rPr>
              <w:t>Intermediate Outcome 2.2 Supporting political reform and democratic institutions</w:t>
            </w:r>
          </w:p>
        </w:tc>
      </w:tr>
      <w:tr w:rsidR="00746E70" w:rsidRPr="005A07ED" w14:paraId="5F208903" w14:textId="77777777" w:rsidTr="003671B7">
        <w:trPr>
          <w:trHeight w:val="1662"/>
        </w:trPr>
        <w:tc>
          <w:tcPr>
            <w:tcW w:w="593" w:type="pct"/>
            <w:shd w:val="clear" w:color="auto" w:fill="auto"/>
          </w:tcPr>
          <w:p w14:paraId="13622D76"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Capacity of key democratic institutions (including the Union Electoral Commission) enhanced</w:t>
            </w:r>
          </w:p>
          <w:p w14:paraId="3876B187" w14:textId="77777777" w:rsidR="00746E70" w:rsidRPr="005A07ED" w:rsidRDefault="00746E70" w:rsidP="009B29F8">
            <w:pPr>
              <w:rPr>
                <w:rFonts w:ascii="Franklin Gothic Book" w:hAnsi="Franklin Gothic Book"/>
                <w:b/>
                <w:sz w:val="20"/>
                <w:szCs w:val="20"/>
              </w:rPr>
            </w:pPr>
          </w:p>
        </w:tc>
        <w:tc>
          <w:tcPr>
            <w:tcW w:w="929" w:type="pct"/>
            <w:shd w:val="clear" w:color="auto" w:fill="auto"/>
          </w:tcPr>
          <w:p w14:paraId="3C856195"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t>Voter list (electoral roll) recognised as improved from previous elections</w:t>
            </w:r>
          </w:p>
          <w:p w14:paraId="63FD6D4A" w14:textId="77777777" w:rsidR="00746E70" w:rsidRPr="005A07ED" w:rsidRDefault="00746E70" w:rsidP="009B29F8">
            <w:pPr>
              <w:rPr>
                <w:rFonts w:ascii="Franklin Gothic Book" w:hAnsi="Franklin Gothic Book"/>
                <w:sz w:val="20"/>
                <w:szCs w:val="20"/>
              </w:rPr>
            </w:pPr>
          </w:p>
          <w:p w14:paraId="0C5699C3"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Active involvement of civil society in the electoral process  </w:t>
            </w:r>
          </w:p>
        </w:tc>
        <w:tc>
          <w:tcPr>
            <w:tcW w:w="928" w:type="pct"/>
            <w:shd w:val="clear" w:color="auto" w:fill="auto"/>
          </w:tcPr>
          <w:p w14:paraId="71557433"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Milestones for 2016-17 to 2018-19 TBD following design of new programs, including democratic governance</w:t>
            </w:r>
          </w:p>
        </w:tc>
        <w:tc>
          <w:tcPr>
            <w:tcW w:w="928" w:type="pct"/>
            <w:shd w:val="clear" w:color="auto" w:fill="auto"/>
          </w:tcPr>
          <w:p w14:paraId="7657C8BA"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Milestones for 2016-17 to 2018-19 TBD following design of new programs, including democratic governance</w:t>
            </w:r>
          </w:p>
        </w:tc>
        <w:tc>
          <w:tcPr>
            <w:tcW w:w="928" w:type="pct"/>
            <w:shd w:val="clear" w:color="auto" w:fill="auto"/>
          </w:tcPr>
          <w:p w14:paraId="20BC7FAF"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Milestones for 2016-17 to 2018-19 TBD following design of new programs, including democratic governance</w:t>
            </w:r>
          </w:p>
        </w:tc>
        <w:tc>
          <w:tcPr>
            <w:tcW w:w="694" w:type="pct"/>
          </w:tcPr>
          <w:p w14:paraId="7A7B16A4"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2015-16: International Foundation for Electoral Systems (IFES); Australian Electoral Commission</w:t>
            </w:r>
          </w:p>
        </w:tc>
      </w:tr>
      <w:tr w:rsidR="00746E70" w:rsidRPr="005A07ED" w14:paraId="58170570" w14:textId="77777777" w:rsidTr="009B29F8">
        <w:tc>
          <w:tcPr>
            <w:tcW w:w="5000" w:type="pct"/>
            <w:gridSpan w:val="6"/>
            <w:shd w:val="clear" w:color="auto" w:fill="auto"/>
          </w:tcPr>
          <w:p w14:paraId="7E35269B"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b/>
                <w:sz w:val="20"/>
                <w:szCs w:val="20"/>
              </w:rPr>
              <w:t>Intermediate Outcome 2.3 Helping people affected by crises</w:t>
            </w:r>
          </w:p>
        </w:tc>
      </w:tr>
      <w:tr w:rsidR="00746E70" w:rsidRPr="005A07ED" w14:paraId="4F8A0FB3" w14:textId="77777777" w:rsidTr="003671B7">
        <w:trPr>
          <w:trHeight w:val="77"/>
        </w:trPr>
        <w:tc>
          <w:tcPr>
            <w:tcW w:w="593" w:type="pct"/>
            <w:shd w:val="clear" w:color="auto" w:fill="auto"/>
          </w:tcPr>
          <w:p w14:paraId="063880B8"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People in need receive effective and appropriate humanitarian assistance</w:t>
            </w:r>
          </w:p>
        </w:tc>
        <w:tc>
          <w:tcPr>
            <w:tcW w:w="929" w:type="pct"/>
            <w:shd w:val="clear" w:color="auto" w:fill="auto"/>
          </w:tcPr>
          <w:p w14:paraId="40AEBCF4"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t>Target: more than 200,000 people receive Australian humanitarian assistance</w:t>
            </w:r>
          </w:p>
          <w:p w14:paraId="0A93B9A1" w14:textId="77777777" w:rsidR="00746E70" w:rsidRDefault="00746E70" w:rsidP="009B29F8">
            <w:pPr>
              <w:rPr>
                <w:rFonts w:ascii="Franklin Gothic Book" w:hAnsi="Franklin Gothic Book"/>
                <w:sz w:val="20"/>
                <w:szCs w:val="20"/>
              </w:rPr>
            </w:pPr>
          </w:p>
          <w:p w14:paraId="604518EC" w14:textId="77777777" w:rsidR="00746E70" w:rsidRPr="005A07ED" w:rsidRDefault="00746E70" w:rsidP="009B29F8">
            <w:pPr>
              <w:rPr>
                <w:rFonts w:ascii="Franklin Gothic Book" w:hAnsi="Franklin Gothic Book"/>
                <w:sz w:val="20"/>
                <w:szCs w:val="20"/>
              </w:rPr>
            </w:pPr>
          </w:p>
          <w:p w14:paraId="55DA01DB" w14:textId="77777777" w:rsidR="00746E70" w:rsidRDefault="00A47049" w:rsidP="009B29F8">
            <w:pPr>
              <w:rPr>
                <w:rFonts w:ascii="Franklin Gothic Book" w:hAnsi="Franklin Gothic Book"/>
                <w:sz w:val="20"/>
                <w:szCs w:val="20"/>
              </w:rPr>
            </w:pPr>
            <w:r>
              <w:rPr>
                <w:rFonts w:ascii="Franklin Gothic Book" w:hAnsi="Franklin Gothic Book"/>
                <w:sz w:val="20"/>
                <w:szCs w:val="20"/>
              </w:rPr>
              <w:t>Percentage</w:t>
            </w:r>
            <w:r w:rsidR="00746E70" w:rsidRPr="005A07ED">
              <w:rPr>
                <w:rFonts w:ascii="Franklin Gothic Book" w:hAnsi="Franklin Gothic Book"/>
                <w:sz w:val="20"/>
                <w:szCs w:val="20"/>
              </w:rPr>
              <w:t xml:space="preserve"> of Australian-funded humanitarian partners with a complaints mechanism</w:t>
            </w:r>
          </w:p>
          <w:p w14:paraId="27860C85" w14:textId="77777777" w:rsidR="00746E70" w:rsidRPr="005A07ED" w:rsidRDefault="00746E70" w:rsidP="009B29F8">
            <w:pPr>
              <w:rPr>
                <w:rFonts w:ascii="Franklin Gothic Book" w:hAnsi="Franklin Gothic Book"/>
                <w:sz w:val="20"/>
                <w:szCs w:val="20"/>
              </w:rPr>
            </w:pPr>
          </w:p>
          <w:p w14:paraId="3BD250BF" w14:textId="061E51DE" w:rsidR="008E659A" w:rsidRDefault="00746E70" w:rsidP="009B29F8">
            <w:pPr>
              <w:rPr>
                <w:rFonts w:ascii="Franklin Gothic Book" w:hAnsi="Franklin Gothic Book"/>
                <w:sz w:val="20"/>
                <w:szCs w:val="20"/>
              </w:rPr>
            </w:pPr>
            <w:r w:rsidRPr="005A07ED">
              <w:rPr>
                <w:rFonts w:ascii="Franklin Gothic Book" w:hAnsi="Franklin Gothic Book"/>
                <w:sz w:val="20"/>
                <w:szCs w:val="20"/>
              </w:rPr>
              <w:t xml:space="preserve">Analysis of emergency response and protracted crises informs new </w:t>
            </w:r>
            <w:r>
              <w:rPr>
                <w:rFonts w:ascii="Franklin Gothic Book" w:hAnsi="Franklin Gothic Book"/>
                <w:sz w:val="20"/>
                <w:szCs w:val="20"/>
              </w:rPr>
              <w:t>Myanmar</w:t>
            </w:r>
            <w:r w:rsidRPr="005A07ED">
              <w:rPr>
                <w:rFonts w:ascii="Franklin Gothic Book" w:hAnsi="Franklin Gothic Book"/>
                <w:sz w:val="20"/>
                <w:szCs w:val="20"/>
              </w:rPr>
              <w:t xml:space="preserve"> Humanitarian Strategy, including Australia’s global humanitarian and early recovery priorities</w:t>
            </w:r>
          </w:p>
          <w:p w14:paraId="0E707945" w14:textId="77777777" w:rsidR="008E659A" w:rsidRDefault="008E659A" w:rsidP="009B29F8">
            <w:pPr>
              <w:rPr>
                <w:rFonts w:ascii="Franklin Gothic Book" w:hAnsi="Franklin Gothic Book"/>
                <w:sz w:val="20"/>
                <w:szCs w:val="20"/>
              </w:rPr>
            </w:pPr>
          </w:p>
          <w:p w14:paraId="0BE9034B" w14:textId="77777777" w:rsidR="008E659A" w:rsidRPr="005A07ED" w:rsidRDefault="008E659A" w:rsidP="009B29F8">
            <w:pPr>
              <w:rPr>
                <w:rFonts w:ascii="Franklin Gothic Book" w:hAnsi="Franklin Gothic Book"/>
                <w:sz w:val="20"/>
                <w:szCs w:val="20"/>
              </w:rPr>
            </w:pPr>
          </w:p>
        </w:tc>
        <w:tc>
          <w:tcPr>
            <w:tcW w:w="928" w:type="pct"/>
            <w:shd w:val="clear" w:color="auto" w:fill="auto"/>
          </w:tcPr>
          <w:p w14:paraId="053002B5"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lastRenderedPageBreak/>
              <w:t>Target: more than 200,000 women and men receive Australian humanitarian assistance</w:t>
            </w:r>
          </w:p>
          <w:p w14:paraId="1DE47E8C" w14:textId="77777777" w:rsidR="00746E70" w:rsidRPr="005A07ED" w:rsidRDefault="00746E70" w:rsidP="009B29F8">
            <w:pPr>
              <w:rPr>
                <w:rFonts w:ascii="Franklin Gothic Book" w:hAnsi="Franklin Gothic Book"/>
                <w:sz w:val="20"/>
                <w:szCs w:val="20"/>
              </w:rPr>
            </w:pPr>
          </w:p>
          <w:p w14:paraId="61D77B74" w14:textId="77777777" w:rsidR="00746E70" w:rsidRDefault="00A47049" w:rsidP="009B29F8">
            <w:pPr>
              <w:rPr>
                <w:rFonts w:ascii="Franklin Gothic Book" w:hAnsi="Franklin Gothic Book"/>
                <w:sz w:val="20"/>
                <w:szCs w:val="20"/>
              </w:rPr>
            </w:pPr>
            <w:r>
              <w:rPr>
                <w:rFonts w:ascii="Franklin Gothic Book" w:hAnsi="Franklin Gothic Book"/>
                <w:sz w:val="20"/>
                <w:szCs w:val="20"/>
              </w:rPr>
              <w:t>Percentage</w:t>
            </w:r>
            <w:r w:rsidR="00746E70" w:rsidRPr="005A07ED">
              <w:rPr>
                <w:rFonts w:ascii="Franklin Gothic Book" w:hAnsi="Franklin Gothic Book"/>
                <w:sz w:val="20"/>
                <w:szCs w:val="20"/>
              </w:rPr>
              <w:t xml:space="preserve"> of Australian-funded humanitarian partners with a complaints mechanism</w:t>
            </w:r>
          </w:p>
          <w:p w14:paraId="22A7ECA1" w14:textId="77777777" w:rsidR="00746E70" w:rsidRPr="005A07ED" w:rsidRDefault="00746E70" w:rsidP="009B29F8">
            <w:pPr>
              <w:rPr>
                <w:rFonts w:ascii="Franklin Gothic Book" w:hAnsi="Franklin Gothic Book"/>
                <w:sz w:val="20"/>
                <w:szCs w:val="20"/>
              </w:rPr>
            </w:pPr>
          </w:p>
          <w:p w14:paraId="1F2DAE03" w14:textId="77777777" w:rsidR="00746E70" w:rsidRPr="005A07ED" w:rsidRDefault="00A47049" w:rsidP="009B29F8">
            <w:pPr>
              <w:rPr>
                <w:rFonts w:ascii="Franklin Gothic Book" w:hAnsi="Franklin Gothic Book"/>
                <w:sz w:val="20"/>
                <w:szCs w:val="20"/>
              </w:rPr>
            </w:pPr>
            <w:r>
              <w:rPr>
                <w:rFonts w:ascii="Franklin Gothic Book" w:hAnsi="Franklin Gothic Book"/>
                <w:sz w:val="20"/>
                <w:szCs w:val="20"/>
              </w:rPr>
              <w:t>Percentage</w:t>
            </w:r>
            <w:r w:rsidR="00746E70" w:rsidRPr="005A07ED">
              <w:rPr>
                <w:rFonts w:ascii="Franklin Gothic Book" w:hAnsi="Franklin Gothic Book"/>
                <w:sz w:val="20"/>
                <w:szCs w:val="20"/>
              </w:rPr>
              <w:t xml:space="preserve"> of Australian support delivered in line with priorities identified in strategy</w:t>
            </w:r>
          </w:p>
        </w:tc>
        <w:tc>
          <w:tcPr>
            <w:tcW w:w="928" w:type="pct"/>
            <w:shd w:val="clear" w:color="auto" w:fill="auto"/>
          </w:tcPr>
          <w:p w14:paraId="3679748B"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t>Target: more than 200,000 women and men receive Australian humanitarian assistance</w:t>
            </w:r>
          </w:p>
          <w:p w14:paraId="6C78CEF6" w14:textId="77777777" w:rsidR="00746E70" w:rsidRPr="005A07ED" w:rsidRDefault="00746E70" w:rsidP="009B29F8">
            <w:pPr>
              <w:rPr>
                <w:rFonts w:ascii="Franklin Gothic Book" w:hAnsi="Franklin Gothic Book"/>
                <w:sz w:val="20"/>
                <w:szCs w:val="20"/>
              </w:rPr>
            </w:pPr>
          </w:p>
          <w:p w14:paraId="71A8A4BB" w14:textId="77777777" w:rsidR="00746E70" w:rsidRPr="005A07ED" w:rsidRDefault="00A47049" w:rsidP="009B29F8">
            <w:pPr>
              <w:rPr>
                <w:rFonts w:ascii="Franklin Gothic Book" w:hAnsi="Franklin Gothic Book"/>
                <w:sz w:val="20"/>
                <w:szCs w:val="20"/>
              </w:rPr>
            </w:pPr>
            <w:r>
              <w:rPr>
                <w:rFonts w:ascii="Franklin Gothic Book" w:hAnsi="Franklin Gothic Book"/>
                <w:sz w:val="20"/>
                <w:szCs w:val="20"/>
              </w:rPr>
              <w:t>Percentage</w:t>
            </w:r>
            <w:r w:rsidR="00746E70" w:rsidRPr="005A07ED">
              <w:rPr>
                <w:rFonts w:ascii="Franklin Gothic Book" w:hAnsi="Franklin Gothic Book"/>
                <w:sz w:val="20"/>
                <w:szCs w:val="20"/>
              </w:rPr>
              <w:t xml:space="preserve"> of Australian-funded humanitarian partners with a complaints mechanism</w:t>
            </w:r>
          </w:p>
          <w:p w14:paraId="6DC49364" w14:textId="77777777" w:rsidR="00746E70" w:rsidRPr="005A07ED" w:rsidRDefault="00746E70" w:rsidP="009B29F8">
            <w:pPr>
              <w:rPr>
                <w:rFonts w:ascii="Franklin Gothic Book" w:hAnsi="Franklin Gothic Book"/>
                <w:sz w:val="20"/>
                <w:szCs w:val="20"/>
              </w:rPr>
            </w:pPr>
          </w:p>
        </w:tc>
        <w:tc>
          <w:tcPr>
            <w:tcW w:w="928" w:type="pct"/>
            <w:shd w:val="clear" w:color="auto" w:fill="auto"/>
          </w:tcPr>
          <w:p w14:paraId="29574E1A"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t>Target: more than 200,000 women and men receive Australian humanitarian assistance</w:t>
            </w:r>
          </w:p>
          <w:p w14:paraId="155C0F25" w14:textId="77777777" w:rsidR="00746E70" w:rsidRPr="005A07ED" w:rsidRDefault="00746E70" w:rsidP="009B29F8">
            <w:pPr>
              <w:rPr>
                <w:rFonts w:ascii="Franklin Gothic Book" w:hAnsi="Franklin Gothic Book"/>
                <w:sz w:val="20"/>
                <w:szCs w:val="20"/>
              </w:rPr>
            </w:pPr>
          </w:p>
          <w:p w14:paraId="07BDADCD" w14:textId="77777777" w:rsidR="00746E70" w:rsidRPr="005A07ED" w:rsidRDefault="00A47049" w:rsidP="009B29F8">
            <w:pPr>
              <w:rPr>
                <w:rFonts w:ascii="Franklin Gothic Book" w:hAnsi="Franklin Gothic Book"/>
                <w:sz w:val="20"/>
                <w:szCs w:val="20"/>
              </w:rPr>
            </w:pPr>
            <w:r>
              <w:rPr>
                <w:rFonts w:ascii="Franklin Gothic Book" w:hAnsi="Franklin Gothic Book"/>
                <w:sz w:val="20"/>
                <w:szCs w:val="20"/>
              </w:rPr>
              <w:t xml:space="preserve">Percentage </w:t>
            </w:r>
            <w:r w:rsidR="00746E70" w:rsidRPr="005A07ED">
              <w:rPr>
                <w:rFonts w:ascii="Franklin Gothic Book" w:hAnsi="Franklin Gothic Book"/>
                <w:sz w:val="20"/>
                <w:szCs w:val="20"/>
              </w:rPr>
              <w:t>of Australian-funded humanitarian partners with a complaints mechanism</w:t>
            </w:r>
          </w:p>
          <w:p w14:paraId="12C13D29" w14:textId="77777777" w:rsidR="00746E70" w:rsidRPr="005A07ED" w:rsidRDefault="00746E70" w:rsidP="009B29F8">
            <w:pPr>
              <w:rPr>
                <w:rFonts w:ascii="Franklin Gothic Book" w:hAnsi="Franklin Gothic Book"/>
                <w:sz w:val="20"/>
                <w:szCs w:val="20"/>
              </w:rPr>
            </w:pPr>
          </w:p>
        </w:tc>
        <w:tc>
          <w:tcPr>
            <w:tcW w:w="694" w:type="pct"/>
          </w:tcPr>
          <w:p w14:paraId="1A53FD67"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t>2015/16 $4.8 m devolved; $2.9 m bilateral</w:t>
            </w:r>
          </w:p>
          <w:p w14:paraId="232D120A" w14:textId="77777777" w:rsidR="00746E70" w:rsidRPr="005A07ED" w:rsidRDefault="00746E70" w:rsidP="009B29F8">
            <w:pPr>
              <w:rPr>
                <w:rFonts w:ascii="Franklin Gothic Book" w:hAnsi="Franklin Gothic Book"/>
                <w:sz w:val="20"/>
                <w:szCs w:val="20"/>
              </w:rPr>
            </w:pPr>
          </w:p>
          <w:p w14:paraId="1319D743"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Notes: support mostly to Rakhine and Thai-</w:t>
            </w:r>
            <w:r>
              <w:rPr>
                <w:rFonts w:ascii="Franklin Gothic Book" w:hAnsi="Franklin Gothic Book"/>
                <w:sz w:val="20"/>
                <w:szCs w:val="20"/>
              </w:rPr>
              <w:t>Myanmar</w:t>
            </w:r>
            <w:r w:rsidRPr="005A07ED">
              <w:rPr>
                <w:rFonts w:ascii="Franklin Gothic Book" w:hAnsi="Franklin Gothic Book"/>
                <w:sz w:val="20"/>
                <w:szCs w:val="20"/>
              </w:rPr>
              <w:t xml:space="preserve"> border</w:t>
            </w:r>
          </w:p>
          <w:p w14:paraId="6163DFB5"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Review regularly in light of evolving humanitarian need</w:t>
            </w:r>
          </w:p>
        </w:tc>
      </w:tr>
    </w:tbl>
    <w:p w14:paraId="6B57B7FE" w14:textId="77777777" w:rsidR="003671B7" w:rsidRDefault="003671B7">
      <w:r>
        <w:br w:type="page"/>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724"/>
        <w:gridCol w:w="2721"/>
        <w:gridCol w:w="2721"/>
        <w:gridCol w:w="2721"/>
        <w:gridCol w:w="2035"/>
      </w:tblGrid>
      <w:tr w:rsidR="00746E70" w:rsidRPr="005A07ED" w14:paraId="6E339256" w14:textId="77777777" w:rsidTr="009B29F8">
        <w:tc>
          <w:tcPr>
            <w:tcW w:w="5000" w:type="pct"/>
            <w:gridSpan w:val="6"/>
            <w:shd w:val="clear" w:color="auto" w:fill="auto"/>
          </w:tcPr>
          <w:p w14:paraId="7E8923E9" w14:textId="54375F81" w:rsidR="00746E70" w:rsidRPr="005A07ED" w:rsidRDefault="00746E70" w:rsidP="009B29F8">
            <w:pPr>
              <w:rPr>
                <w:rFonts w:ascii="Franklin Gothic Book" w:hAnsi="Franklin Gothic Book"/>
                <w:sz w:val="20"/>
                <w:szCs w:val="20"/>
              </w:rPr>
            </w:pPr>
            <w:r w:rsidRPr="005A07ED">
              <w:rPr>
                <w:rFonts w:ascii="Franklin Gothic Book" w:hAnsi="Franklin Gothic Book"/>
                <w:b/>
                <w:sz w:val="20"/>
                <w:szCs w:val="20"/>
              </w:rPr>
              <w:t>Australia’s aid objective 3) Promoting Inclusive Growth</w:t>
            </w:r>
          </w:p>
        </w:tc>
      </w:tr>
      <w:tr w:rsidR="00746E70" w:rsidRPr="005A07ED" w14:paraId="1757DB09" w14:textId="77777777" w:rsidTr="003671B7">
        <w:tc>
          <w:tcPr>
            <w:tcW w:w="593" w:type="pct"/>
            <w:shd w:val="clear" w:color="auto" w:fill="auto"/>
          </w:tcPr>
          <w:p w14:paraId="4B81CE46"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Outcome Indicator</w:t>
            </w:r>
          </w:p>
        </w:tc>
        <w:tc>
          <w:tcPr>
            <w:tcW w:w="929" w:type="pct"/>
            <w:shd w:val="clear" w:color="auto" w:fill="auto"/>
          </w:tcPr>
          <w:p w14:paraId="4DD335F6"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Milestone 2015-2016</w:t>
            </w:r>
          </w:p>
        </w:tc>
        <w:tc>
          <w:tcPr>
            <w:tcW w:w="928" w:type="pct"/>
            <w:shd w:val="clear" w:color="auto" w:fill="auto"/>
          </w:tcPr>
          <w:p w14:paraId="3AC9F2BD"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Milestone 2016-2017</w:t>
            </w:r>
          </w:p>
        </w:tc>
        <w:tc>
          <w:tcPr>
            <w:tcW w:w="928" w:type="pct"/>
            <w:shd w:val="clear" w:color="auto" w:fill="auto"/>
          </w:tcPr>
          <w:p w14:paraId="7072045D"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Milestone 2017-2018</w:t>
            </w:r>
          </w:p>
        </w:tc>
        <w:tc>
          <w:tcPr>
            <w:tcW w:w="928" w:type="pct"/>
            <w:shd w:val="clear" w:color="auto" w:fill="auto"/>
          </w:tcPr>
          <w:p w14:paraId="611E5D78"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Milestone 2018-2019</w:t>
            </w:r>
          </w:p>
        </w:tc>
        <w:tc>
          <w:tcPr>
            <w:tcW w:w="694" w:type="pct"/>
          </w:tcPr>
          <w:p w14:paraId="64F49DD5"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Data source and baseline</w:t>
            </w:r>
          </w:p>
        </w:tc>
      </w:tr>
      <w:tr w:rsidR="00746E70" w:rsidRPr="005A07ED" w14:paraId="19D58A26" w14:textId="77777777" w:rsidTr="009B29F8">
        <w:tc>
          <w:tcPr>
            <w:tcW w:w="5000" w:type="pct"/>
            <w:gridSpan w:val="6"/>
            <w:shd w:val="clear" w:color="auto" w:fill="auto"/>
          </w:tcPr>
          <w:p w14:paraId="207A95E7"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Intermediate Outcome 3.1 Enabling private sector led growth</w:t>
            </w:r>
          </w:p>
        </w:tc>
      </w:tr>
      <w:tr w:rsidR="00746E70" w:rsidRPr="005A07ED" w14:paraId="21893A92" w14:textId="77777777" w:rsidTr="003671B7">
        <w:trPr>
          <w:trHeight w:val="1747"/>
        </w:trPr>
        <w:tc>
          <w:tcPr>
            <w:tcW w:w="593" w:type="pct"/>
            <w:shd w:val="clear" w:color="auto" w:fill="auto"/>
          </w:tcPr>
          <w:p w14:paraId="3021955E"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Support the establishment of an effective and responsible investment environment</w:t>
            </w:r>
          </w:p>
        </w:tc>
        <w:tc>
          <w:tcPr>
            <w:tcW w:w="929" w:type="pct"/>
            <w:shd w:val="clear" w:color="auto" w:fill="auto"/>
          </w:tcPr>
          <w:p w14:paraId="136C0E85" w14:textId="77777777" w:rsidR="00746E70" w:rsidRDefault="00746E70" w:rsidP="009B29F8">
            <w:pPr>
              <w:rPr>
                <w:rFonts w:ascii="Franklin Gothic Book" w:hAnsi="Franklin Gothic Book"/>
                <w:sz w:val="20"/>
                <w:szCs w:val="20"/>
              </w:rPr>
            </w:pPr>
            <w:r w:rsidRPr="005A07ED">
              <w:rPr>
                <w:rFonts w:ascii="Franklin Gothic Book" w:hAnsi="Franklin Gothic Book"/>
                <w:sz w:val="20"/>
                <w:szCs w:val="20"/>
              </w:rPr>
              <w:t>Draft investment l</w:t>
            </w:r>
            <w:r w:rsidR="00A72F1F">
              <w:rPr>
                <w:rFonts w:ascii="Franklin Gothic Book" w:hAnsi="Franklin Gothic Book"/>
                <w:sz w:val="20"/>
                <w:szCs w:val="20"/>
              </w:rPr>
              <w:t>aw finalised for submission to P</w:t>
            </w:r>
            <w:r w:rsidRPr="005A07ED">
              <w:rPr>
                <w:rFonts w:ascii="Franklin Gothic Book" w:hAnsi="Franklin Gothic Book"/>
                <w:sz w:val="20"/>
                <w:szCs w:val="20"/>
              </w:rPr>
              <w:t xml:space="preserve">arliament </w:t>
            </w:r>
          </w:p>
          <w:p w14:paraId="3375AFDA" w14:textId="77777777" w:rsidR="00746E70" w:rsidRPr="005A07ED" w:rsidRDefault="00746E70" w:rsidP="009B29F8">
            <w:pPr>
              <w:rPr>
                <w:rFonts w:ascii="Franklin Gothic Book" w:hAnsi="Franklin Gothic Book"/>
                <w:sz w:val="20"/>
                <w:szCs w:val="20"/>
              </w:rPr>
            </w:pPr>
          </w:p>
          <w:p w14:paraId="44E80620"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Investment procedures clarified, including through consultation with business and civil society</w:t>
            </w:r>
          </w:p>
        </w:tc>
        <w:tc>
          <w:tcPr>
            <w:tcW w:w="928" w:type="pct"/>
            <w:shd w:val="clear" w:color="auto" w:fill="auto"/>
          </w:tcPr>
          <w:p w14:paraId="143FE1DA"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A more certain and predictable investment environment</w:t>
            </w:r>
          </w:p>
        </w:tc>
        <w:tc>
          <w:tcPr>
            <w:tcW w:w="928" w:type="pct"/>
            <w:shd w:val="clear" w:color="auto" w:fill="auto"/>
          </w:tcPr>
          <w:p w14:paraId="71C83512"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A more certain and predictable investment environment</w:t>
            </w:r>
          </w:p>
        </w:tc>
        <w:tc>
          <w:tcPr>
            <w:tcW w:w="928" w:type="pct"/>
            <w:shd w:val="clear" w:color="auto" w:fill="auto"/>
          </w:tcPr>
          <w:p w14:paraId="28A8DB51"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On track to meet an increase in investment to a total value of US$500 million by 2020-21</w:t>
            </w:r>
          </w:p>
        </w:tc>
        <w:tc>
          <w:tcPr>
            <w:tcW w:w="694" w:type="pct"/>
          </w:tcPr>
          <w:p w14:paraId="70F27BEE"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Source: IFC Concept Note Log Frame </w:t>
            </w:r>
          </w:p>
        </w:tc>
      </w:tr>
      <w:tr w:rsidR="00746E70" w:rsidRPr="005A07ED" w14:paraId="2DDB8701" w14:textId="77777777" w:rsidTr="003671B7">
        <w:trPr>
          <w:trHeight w:val="1737"/>
        </w:trPr>
        <w:tc>
          <w:tcPr>
            <w:tcW w:w="593" w:type="pct"/>
            <w:shd w:val="clear" w:color="auto" w:fill="auto"/>
          </w:tcPr>
          <w:p w14:paraId="2898B61A"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 xml:space="preserve">Contribute to an improved business environment </w:t>
            </w:r>
          </w:p>
        </w:tc>
        <w:tc>
          <w:tcPr>
            <w:tcW w:w="929" w:type="pct"/>
            <w:shd w:val="clear" w:color="auto" w:fill="auto"/>
          </w:tcPr>
          <w:p w14:paraId="058ECCBB" w14:textId="77777777" w:rsidR="00746E70" w:rsidRPr="005A07ED" w:rsidRDefault="00746E70" w:rsidP="009B29F8">
            <w:pPr>
              <w:tabs>
                <w:tab w:val="center" w:pos="1168"/>
              </w:tabs>
              <w:rPr>
                <w:rFonts w:ascii="Franklin Gothic Book" w:hAnsi="Franklin Gothic Book"/>
                <w:sz w:val="20"/>
                <w:szCs w:val="20"/>
              </w:rPr>
            </w:pPr>
            <w:r w:rsidRPr="005A07ED">
              <w:rPr>
                <w:rFonts w:ascii="Franklin Gothic Book" w:hAnsi="Franklin Gothic Book"/>
                <w:sz w:val="20"/>
                <w:szCs w:val="20"/>
              </w:rPr>
              <w:t>Myanmar Business Forum established and operating effectively</w:t>
            </w:r>
          </w:p>
          <w:p w14:paraId="5250C7C6" w14:textId="77777777" w:rsidR="00746E70" w:rsidRPr="005A07ED" w:rsidRDefault="00746E70" w:rsidP="009B29F8">
            <w:pPr>
              <w:tabs>
                <w:tab w:val="center" w:pos="1168"/>
              </w:tabs>
              <w:rPr>
                <w:rFonts w:ascii="Franklin Gothic Book" w:hAnsi="Franklin Gothic Book"/>
                <w:sz w:val="20"/>
                <w:szCs w:val="20"/>
              </w:rPr>
            </w:pPr>
            <w:r w:rsidRPr="005A07ED">
              <w:rPr>
                <w:rFonts w:ascii="Franklin Gothic Book" w:hAnsi="Franklin Gothic Book"/>
                <w:sz w:val="20"/>
                <w:szCs w:val="20"/>
              </w:rPr>
              <w:t xml:space="preserve"> </w:t>
            </w:r>
          </w:p>
        </w:tc>
        <w:tc>
          <w:tcPr>
            <w:tcW w:w="928" w:type="pct"/>
            <w:shd w:val="clear" w:color="auto" w:fill="auto"/>
          </w:tcPr>
          <w:p w14:paraId="000CC65C"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Myanmar Business Forum leads to constructive dialogue between business, government and civil society on business enabling reform</w:t>
            </w:r>
          </w:p>
          <w:p w14:paraId="05225938" w14:textId="77777777" w:rsidR="00746E70" w:rsidRPr="005A07ED" w:rsidRDefault="00746E70" w:rsidP="009B29F8">
            <w:pPr>
              <w:rPr>
                <w:rFonts w:ascii="Franklin Gothic Book" w:hAnsi="Franklin Gothic Book"/>
                <w:sz w:val="20"/>
                <w:szCs w:val="20"/>
              </w:rPr>
            </w:pPr>
          </w:p>
        </w:tc>
        <w:tc>
          <w:tcPr>
            <w:tcW w:w="928" w:type="pct"/>
            <w:shd w:val="clear" w:color="auto" w:fill="auto"/>
          </w:tcPr>
          <w:p w14:paraId="11C569C1"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Improvement in </w:t>
            </w:r>
            <w:r>
              <w:rPr>
                <w:rFonts w:ascii="Franklin Gothic Book" w:hAnsi="Franklin Gothic Book"/>
                <w:sz w:val="20"/>
                <w:szCs w:val="20"/>
              </w:rPr>
              <w:t>Myanmar</w:t>
            </w:r>
            <w:r w:rsidRPr="005A07ED">
              <w:rPr>
                <w:rFonts w:ascii="Franklin Gothic Book" w:hAnsi="Franklin Gothic Book"/>
                <w:sz w:val="20"/>
                <w:szCs w:val="20"/>
              </w:rPr>
              <w:t>’s ranking in Doing Business Index (baseline of 177)</w:t>
            </w:r>
          </w:p>
          <w:p w14:paraId="5D76B8EB" w14:textId="77777777" w:rsidR="00746E70" w:rsidRPr="005A07ED" w:rsidRDefault="00746E70" w:rsidP="009B29F8">
            <w:pPr>
              <w:rPr>
                <w:rFonts w:ascii="Franklin Gothic Book" w:hAnsi="Franklin Gothic Book"/>
                <w:sz w:val="20"/>
                <w:szCs w:val="20"/>
              </w:rPr>
            </w:pPr>
          </w:p>
        </w:tc>
        <w:tc>
          <w:tcPr>
            <w:tcW w:w="928" w:type="pct"/>
            <w:shd w:val="clear" w:color="auto" w:fill="auto"/>
          </w:tcPr>
          <w:p w14:paraId="2EA0F2AC"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Savings generated for the private sector as a result of business enabling and trade reforms to the value o</w:t>
            </w:r>
            <w:r w:rsidR="00A47049">
              <w:rPr>
                <w:rFonts w:ascii="Franklin Gothic Book" w:hAnsi="Franklin Gothic Book"/>
                <w:sz w:val="20"/>
                <w:szCs w:val="20"/>
              </w:rPr>
              <w:t>f US$13.6 million and US</w:t>
            </w:r>
            <w:r w:rsidRPr="005A07ED">
              <w:rPr>
                <w:rFonts w:ascii="Franklin Gothic Book" w:hAnsi="Franklin Gothic Book"/>
                <w:sz w:val="20"/>
                <w:szCs w:val="20"/>
              </w:rPr>
              <w:t>$20 million respectively</w:t>
            </w:r>
          </w:p>
        </w:tc>
        <w:tc>
          <w:tcPr>
            <w:tcW w:w="694" w:type="pct"/>
          </w:tcPr>
          <w:p w14:paraId="6F8A75F1"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Source: IFC Concept Note Log Frame </w:t>
            </w:r>
          </w:p>
        </w:tc>
      </w:tr>
    </w:tbl>
    <w:p w14:paraId="4B7C89E5" w14:textId="77777777" w:rsidR="003671B7" w:rsidRDefault="003671B7">
      <w:r>
        <w:br w:type="page"/>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724"/>
        <w:gridCol w:w="2721"/>
        <w:gridCol w:w="2721"/>
        <w:gridCol w:w="2721"/>
        <w:gridCol w:w="2035"/>
      </w:tblGrid>
      <w:tr w:rsidR="00746E70" w:rsidRPr="005A07ED" w14:paraId="254C4FD0" w14:textId="77777777" w:rsidTr="009B29F8">
        <w:tc>
          <w:tcPr>
            <w:tcW w:w="5000" w:type="pct"/>
            <w:gridSpan w:val="6"/>
            <w:shd w:val="clear" w:color="auto" w:fill="auto"/>
          </w:tcPr>
          <w:p w14:paraId="59D6ECEE" w14:textId="4E591B63" w:rsidR="00746E70" w:rsidRPr="005A07ED" w:rsidRDefault="00746E70" w:rsidP="009B29F8">
            <w:pPr>
              <w:rPr>
                <w:rFonts w:ascii="Franklin Gothic Book" w:hAnsi="Franklin Gothic Book"/>
                <w:sz w:val="20"/>
                <w:szCs w:val="20"/>
              </w:rPr>
            </w:pPr>
            <w:r w:rsidRPr="005A07ED">
              <w:rPr>
                <w:rFonts w:ascii="Franklin Gothic Book" w:hAnsi="Franklin Gothic Book"/>
                <w:b/>
                <w:sz w:val="20"/>
                <w:szCs w:val="20"/>
              </w:rPr>
              <w:t>Intermediate Outcome 3.2 Better management,  transparency and accountability of resources</w:t>
            </w:r>
          </w:p>
        </w:tc>
      </w:tr>
      <w:tr w:rsidR="00746E70" w:rsidRPr="005A07ED" w14:paraId="1E3609CF" w14:textId="77777777" w:rsidTr="003671B7">
        <w:tc>
          <w:tcPr>
            <w:tcW w:w="593" w:type="pct"/>
            <w:shd w:val="clear" w:color="auto" w:fill="auto"/>
          </w:tcPr>
          <w:p w14:paraId="7B9EA0DF" w14:textId="77777777" w:rsidR="00746E70" w:rsidRPr="005A07ED" w:rsidRDefault="00746E70" w:rsidP="009B29F8">
            <w:pPr>
              <w:rPr>
                <w:rFonts w:ascii="Franklin Gothic Book" w:hAnsi="Franklin Gothic Book"/>
                <w:b/>
                <w:sz w:val="20"/>
                <w:szCs w:val="20"/>
              </w:rPr>
            </w:pPr>
            <w:r w:rsidRPr="005A07ED">
              <w:rPr>
                <w:rFonts w:ascii="Franklin Gothic Book" w:hAnsi="Franklin Gothic Book"/>
                <w:b/>
                <w:sz w:val="20"/>
                <w:szCs w:val="20"/>
              </w:rPr>
              <w:t>Strengthen public financial management systems and improved fiscal transparency</w:t>
            </w:r>
          </w:p>
        </w:tc>
        <w:tc>
          <w:tcPr>
            <w:tcW w:w="929" w:type="pct"/>
            <w:shd w:val="clear" w:color="auto" w:fill="auto"/>
          </w:tcPr>
          <w:p w14:paraId="0F8E81B4"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Improved transparency of financial planning and budget processes</w:t>
            </w:r>
          </w:p>
        </w:tc>
        <w:tc>
          <w:tcPr>
            <w:tcW w:w="928" w:type="pct"/>
            <w:shd w:val="clear" w:color="auto" w:fill="auto"/>
          </w:tcPr>
          <w:p w14:paraId="69127F13"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Improved quality and transparency of financial planning and budget processes</w:t>
            </w:r>
          </w:p>
        </w:tc>
        <w:tc>
          <w:tcPr>
            <w:tcW w:w="928" w:type="pct"/>
            <w:shd w:val="clear" w:color="auto" w:fill="auto"/>
          </w:tcPr>
          <w:p w14:paraId="05A1EDF2"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Incr</w:t>
            </w:r>
            <w:r w:rsidR="00A47049">
              <w:rPr>
                <w:rFonts w:ascii="Franklin Gothic Book" w:hAnsi="Franklin Gothic Book"/>
                <w:sz w:val="20"/>
                <w:szCs w:val="20"/>
              </w:rPr>
              <w:t>eased tax to GDP ratio from 6.2 per cent</w:t>
            </w:r>
            <w:r w:rsidRPr="005A07ED">
              <w:rPr>
                <w:rFonts w:ascii="Franklin Gothic Book" w:hAnsi="Franklin Gothic Book"/>
                <w:sz w:val="20"/>
                <w:szCs w:val="20"/>
              </w:rPr>
              <w:t xml:space="preserve"> in 2012-13</w:t>
            </w:r>
          </w:p>
        </w:tc>
        <w:tc>
          <w:tcPr>
            <w:tcW w:w="928" w:type="pct"/>
            <w:shd w:val="clear" w:color="auto" w:fill="auto"/>
          </w:tcPr>
          <w:p w14:paraId="303221ED"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Increased tax to</w:t>
            </w:r>
            <w:r w:rsidR="00A47049">
              <w:rPr>
                <w:rFonts w:ascii="Franklin Gothic Book" w:hAnsi="Franklin Gothic Book"/>
                <w:sz w:val="20"/>
                <w:szCs w:val="20"/>
              </w:rPr>
              <w:t xml:space="preserve"> GDP ratio of over 10 per cent and a 20 per cent</w:t>
            </w:r>
            <w:r w:rsidRPr="005A07ED">
              <w:rPr>
                <w:rFonts w:ascii="Franklin Gothic Book" w:hAnsi="Franklin Gothic Book"/>
                <w:sz w:val="20"/>
                <w:szCs w:val="20"/>
              </w:rPr>
              <w:t xml:space="preserve"> increase in large tax payers from 2012-13 baseline</w:t>
            </w:r>
          </w:p>
        </w:tc>
        <w:tc>
          <w:tcPr>
            <w:tcW w:w="694" w:type="pct"/>
          </w:tcPr>
          <w:p w14:paraId="0E4C3FBE" w14:textId="77777777" w:rsidR="00746E70" w:rsidRPr="005A07ED" w:rsidRDefault="00746E70" w:rsidP="009B29F8">
            <w:pPr>
              <w:rPr>
                <w:rFonts w:ascii="Franklin Gothic Book" w:hAnsi="Franklin Gothic Book"/>
                <w:sz w:val="20"/>
                <w:szCs w:val="20"/>
              </w:rPr>
            </w:pPr>
            <w:r w:rsidRPr="005A07ED">
              <w:rPr>
                <w:rFonts w:ascii="Franklin Gothic Book" w:hAnsi="Franklin Gothic Book"/>
                <w:sz w:val="20"/>
                <w:szCs w:val="20"/>
              </w:rPr>
              <w:t xml:space="preserve">Source: Public Financial Management World Bank Results Report Objective Indicators </w:t>
            </w:r>
          </w:p>
        </w:tc>
      </w:tr>
    </w:tbl>
    <w:p w14:paraId="1A22FD01" w14:textId="77777777" w:rsidR="00746E70" w:rsidRPr="00C67A61" w:rsidRDefault="00746E70" w:rsidP="00746E70"/>
    <w:p w14:paraId="42F38628" w14:textId="77777777" w:rsidR="008E659A" w:rsidRPr="008E659A" w:rsidRDefault="008E659A" w:rsidP="00784031">
      <w:pPr>
        <w:rPr>
          <w:rFonts w:ascii="Franklin Gothic Book" w:hAnsi="Franklin Gothic Book"/>
          <w:b/>
          <w:color w:val="000000"/>
          <w:sz w:val="20"/>
          <w:szCs w:val="20"/>
        </w:rPr>
      </w:pPr>
    </w:p>
    <w:sectPr w:rsidR="008E659A" w:rsidRPr="008E659A" w:rsidSect="00784031">
      <w:headerReference w:type="default" r:id="rId16"/>
      <w:pgSz w:w="16838" w:h="11906" w:orient="landscape" w:code="9"/>
      <w:pgMar w:top="1134" w:right="1527" w:bottom="1134" w:left="851"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B29F3" w14:textId="77777777" w:rsidR="006B2CDB" w:rsidRDefault="006B2CDB" w:rsidP="00EF4574">
      <w:pPr>
        <w:spacing w:before="0" w:after="0" w:line="240" w:lineRule="auto"/>
      </w:pPr>
      <w:r>
        <w:separator/>
      </w:r>
    </w:p>
  </w:endnote>
  <w:endnote w:type="continuationSeparator" w:id="0">
    <w:p w14:paraId="29C01BA6" w14:textId="77777777" w:rsidR="006B2CDB" w:rsidRDefault="006B2CDB" w:rsidP="00EF4574">
      <w:pPr>
        <w:spacing w:before="0" w:after="0" w:line="240" w:lineRule="auto"/>
      </w:pPr>
      <w:r>
        <w:continuationSeparator/>
      </w:r>
    </w:p>
  </w:endnote>
  <w:endnote w:id="1">
    <w:p w14:paraId="13CF7830" w14:textId="77777777" w:rsidR="006B2CDB" w:rsidRPr="00D74B9E" w:rsidRDefault="006B2CDB">
      <w:pPr>
        <w:pStyle w:val="EndnoteText"/>
        <w:rPr>
          <w:lang w:val="en-AU"/>
        </w:rPr>
      </w:pPr>
      <w:r>
        <w:rPr>
          <w:rStyle w:val="EndnoteReference"/>
        </w:rPr>
        <w:endnoteRef/>
      </w:r>
      <w:r>
        <w:t xml:space="preserve"> </w:t>
      </w:r>
      <w:r>
        <w:rPr>
          <w:lang w:val="en-AU"/>
        </w:rPr>
        <w:t>Out of a total population of 53.9 million.</w:t>
      </w:r>
    </w:p>
  </w:endnote>
  <w:endnote w:id="2">
    <w:p w14:paraId="194290FF" w14:textId="77777777" w:rsidR="006B2CDB" w:rsidRPr="00CA5CC5" w:rsidRDefault="006B2CDB">
      <w:pPr>
        <w:pStyle w:val="EndnoteText"/>
        <w:rPr>
          <w:lang w:val="en-AU"/>
        </w:rPr>
      </w:pPr>
      <w:r>
        <w:rPr>
          <w:rStyle w:val="EndnoteReference"/>
        </w:rPr>
        <w:endnoteRef/>
      </w:r>
      <w:r>
        <w:t xml:space="preserve"> </w:t>
      </w:r>
      <w:r>
        <w:rPr>
          <w:lang w:val="en-AU"/>
        </w:rPr>
        <w:t>The reduction was less than the anticipated 40 per cent due to the allocation of an additional $15 million in humanitarian funding to respond to major floods in August 2015 and to Myanmar’s protracted humanitarian crises.</w:t>
      </w:r>
    </w:p>
  </w:endnote>
  <w:endnote w:id="3">
    <w:p w14:paraId="29C14C06" w14:textId="77777777" w:rsidR="006B2CDB" w:rsidRPr="00D257CD" w:rsidRDefault="006B2CDB" w:rsidP="005D4C1D">
      <w:pPr>
        <w:pStyle w:val="EndnoteText"/>
        <w:rPr>
          <w:lang w:val="en-AU"/>
        </w:rPr>
      </w:pPr>
      <w:r>
        <w:rPr>
          <w:rStyle w:val="EndnoteReference"/>
        </w:rPr>
        <w:endnoteRef/>
      </w:r>
      <w:r>
        <w:t xml:space="preserve"> </w:t>
      </w:r>
      <w:r>
        <w:rPr>
          <w:lang w:val="en-AU"/>
        </w:rPr>
        <w:t xml:space="preserve">Myanmar’s 2015GDP is estimated at USD64.87 billion. World Bank Group: </w:t>
      </w:r>
      <w:hyperlink r:id="rId1" w:history="1">
        <w:r w:rsidRPr="00FE3B9B">
          <w:rPr>
            <w:rStyle w:val="Hyperlink"/>
            <w:lang w:val="en-AU"/>
          </w:rPr>
          <w:t>http://www.worldbank.org/en/country/myanmar</w:t>
        </w:r>
      </w:hyperlink>
      <w:r>
        <w:rPr>
          <w:lang w:val="en-AU"/>
        </w:rPr>
        <w:t xml:space="preserve"> </w:t>
      </w:r>
    </w:p>
  </w:endnote>
  <w:endnote w:id="4">
    <w:p w14:paraId="778E3D4C" w14:textId="77777777" w:rsidR="006B2CDB" w:rsidRPr="003E2243" w:rsidRDefault="006B2CDB">
      <w:pPr>
        <w:pStyle w:val="EndnoteText"/>
        <w:rPr>
          <w:lang w:val="en-AU"/>
        </w:rPr>
      </w:pPr>
      <w:r>
        <w:rPr>
          <w:rStyle w:val="EndnoteReference"/>
        </w:rPr>
        <w:endnoteRef/>
      </w:r>
      <w:r>
        <w:t xml:space="preserve"> </w:t>
      </w:r>
      <w:r>
        <w:rPr>
          <w:lang w:val="en-AU"/>
        </w:rPr>
        <w:t>Comprising USD100 million in Myanmar government funds and a USD80 million IDA loan from the World Bank.</w:t>
      </w:r>
    </w:p>
  </w:endnote>
  <w:endnote w:id="5">
    <w:p w14:paraId="26D27284" w14:textId="77777777" w:rsidR="006B2CDB" w:rsidRPr="00D74B9E" w:rsidRDefault="006B2CDB">
      <w:pPr>
        <w:pStyle w:val="EndnoteText"/>
        <w:rPr>
          <w:lang w:val="en-AU"/>
        </w:rPr>
      </w:pPr>
      <w:r>
        <w:rPr>
          <w:rStyle w:val="EndnoteReference"/>
        </w:rPr>
        <w:endnoteRef/>
      </w:r>
      <w:r>
        <w:t xml:space="preserve"> </w:t>
      </w:r>
      <w:r w:rsidRPr="00D74B9E">
        <w:t>Under the NCA, a Union-level Joint Monitoring Committee (JMC) with representation from the ceasefire signatories was established to monitor the ceasefire.</w:t>
      </w:r>
    </w:p>
  </w:endnote>
  <w:endnote w:id="6">
    <w:p w14:paraId="727FE6A0" w14:textId="77777777" w:rsidR="006B2CDB" w:rsidRDefault="006B2CDB" w:rsidP="00F57499">
      <w:pPr>
        <w:pStyle w:val="EndnoteText"/>
      </w:pPr>
      <w:r>
        <w:rPr>
          <w:rStyle w:val="EndnoteReference"/>
        </w:rPr>
        <w:endnoteRef/>
      </w:r>
      <w:r>
        <w:t xml:space="preserve"> UK, Canada, EU, US and Switzerland</w:t>
      </w:r>
    </w:p>
  </w:endnote>
  <w:endnote w:id="7">
    <w:p w14:paraId="2FBF7C91" w14:textId="77777777" w:rsidR="006B2CDB" w:rsidRDefault="006B2CDB" w:rsidP="00700D14">
      <w:pPr>
        <w:pStyle w:val="EndnoteText"/>
      </w:pPr>
      <w:r>
        <w:rPr>
          <w:rStyle w:val="EndnoteReference"/>
        </w:rPr>
        <w:endnoteRef/>
      </w:r>
      <w:r>
        <w:t xml:space="preserve"> Australia first invested in inclusive economic growth in 2014, when DFAT published a Private Sector Development Strategy.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D6AFF" w14:textId="77777777" w:rsidR="006B2CDB" w:rsidRPr="00CD0E4B" w:rsidRDefault="006B2CDB" w:rsidP="00784031">
    <w:pPr>
      <w:pStyle w:val="Footer"/>
    </w:pPr>
    <w:r w:rsidRPr="00CD0E4B">
      <w:rPr>
        <w:noProof/>
        <w:lang w:val="en-AU" w:eastAsia="en-AU"/>
      </w:rPr>
      <w:drawing>
        <wp:inline distT="0" distB="0" distL="0" distR="0" wp14:anchorId="3ECE403D" wp14:editId="09833B75">
          <wp:extent cx="90000" cy="74520"/>
          <wp:effectExtent l="0" t="0" r="571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716E91F3" w14:textId="77777777" w:rsidR="006B2CDB" w:rsidRPr="00CD0E4B" w:rsidRDefault="006B2CDB"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51C21" w14:textId="77777777" w:rsidR="006B2CDB" w:rsidRPr="008C5A0E" w:rsidRDefault="006B2CDB" w:rsidP="001D663E">
      <w:pPr>
        <w:pStyle w:val="Footer"/>
        <w:pBdr>
          <w:top w:val="single" w:sz="4" w:space="1" w:color="495965" w:themeColor="text2"/>
        </w:pBdr>
      </w:pPr>
    </w:p>
  </w:footnote>
  <w:footnote w:type="continuationSeparator" w:id="0">
    <w:p w14:paraId="39BB6FDC" w14:textId="77777777" w:rsidR="006B2CDB" w:rsidRDefault="006B2CDB" w:rsidP="00EF4574">
      <w:pPr>
        <w:spacing w:before="0" w:after="0" w:line="240" w:lineRule="auto"/>
      </w:pPr>
      <w:r>
        <w:continuationSeparator/>
      </w:r>
    </w:p>
  </w:footnote>
  <w:footnote w:id="1">
    <w:p w14:paraId="380ACAB5" w14:textId="77777777" w:rsidR="006B2CDB" w:rsidRPr="000E1643" w:rsidRDefault="006B2CDB">
      <w:pPr>
        <w:pStyle w:val="FootnoteText"/>
        <w:rPr>
          <w:lang w:val="en-AU"/>
        </w:rPr>
      </w:pPr>
      <w:r>
        <w:rPr>
          <w:rStyle w:val="FootnoteReference"/>
        </w:rPr>
        <w:footnoteRef/>
      </w:r>
      <w:r>
        <w:t xml:space="preserve"> </w:t>
      </w:r>
      <w:r>
        <w:rPr>
          <w:lang w:val="en-AU"/>
        </w:rPr>
        <w:t xml:space="preserve">The difference in AQC ratings between 2015 and 2016 is due to the two AQCs assessing different activities. The 2015 AQC was based solely on Australia’s high performing electoral support to Myanmar, whereas the 2016 AQC covered a broader portfolio of electoral support, public financial management, and governance research and capacity building.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DBFA8" w14:textId="77777777" w:rsidR="006B2CDB" w:rsidRPr="00333501" w:rsidRDefault="006B2CDB" w:rsidP="008F56A8">
    <w:pPr>
      <w:pStyle w:val="Header"/>
      <w:jc w:val="left"/>
    </w:pPr>
    <w:r>
      <w:rPr>
        <w:noProof/>
        <w:lang w:val="en-AU" w:eastAsia="en-AU"/>
      </w:rPr>
      <w:drawing>
        <wp:anchor distT="0" distB="0" distL="114300" distR="114300" simplePos="0" relativeHeight="251681792" behindDoc="1" locked="1" layoutInCell="1" allowOverlap="1" wp14:anchorId="25B7A3CF" wp14:editId="11140C73">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2C52C" w14:textId="77777777" w:rsidR="006B2CDB" w:rsidRDefault="006B2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EF6E" w14:textId="77777777" w:rsidR="006B2CDB" w:rsidRPr="00333501" w:rsidRDefault="006B2CDB" w:rsidP="008F56A8">
    <w:pPr>
      <w:pStyle w:val="Header"/>
      <w:jc w:val="left"/>
    </w:pPr>
    <w:r>
      <w:rPr>
        <w:noProof/>
        <w:lang w:val="en-AU" w:eastAsia="en-AU"/>
      </w:rPr>
      <w:drawing>
        <wp:anchor distT="0" distB="0" distL="114300" distR="114300" simplePos="0" relativeHeight="251697152" behindDoc="1" locked="1" layoutInCell="1" allowOverlap="1" wp14:anchorId="492E5FDC" wp14:editId="13204AB9">
          <wp:simplePos x="0" y="0"/>
          <wp:positionH relativeFrom="page">
            <wp:posOffset>160020</wp:posOffset>
          </wp:positionH>
          <wp:positionV relativeFrom="page">
            <wp:posOffset>160020</wp:posOffset>
          </wp:positionV>
          <wp:extent cx="10662285" cy="7545705"/>
          <wp:effectExtent l="0" t="0" r="5715"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F6812" w14:textId="77777777" w:rsidR="006B2CDB" w:rsidRPr="003D352D" w:rsidRDefault="006B2CDB" w:rsidP="003D352D">
    <w:pPr>
      <w:pStyle w:val="Header"/>
      <w:jc w:val="left"/>
    </w:pPr>
    <w:r>
      <w:rPr>
        <w:noProof/>
        <w:lang w:val="en-AU" w:eastAsia="en-AU"/>
      </w:rPr>
      <w:drawing>
        <wp:anchor distT="0" distB="0" distL="114300" distR="114300" simplePos="0" relativeHeight="251695104" behindDoc="1" locked="1" layoutInCell="1" allowOverlap="1" wp14:anchorId="58DF5FD7" wp14:editId="0C6CA3A2">
          <wp:simplePos x="0" y="0"/>
          <wp:positionH relativeFrom="page">
            <wp:posOffset>7620</wp:posOffset>
          </wp:positionH>
          <wp:positionV relativeFrom="page">
            <wp:posOffset>7620</wp:posOffset>
          </wp:positionV>
          <wp:extent cx="10662285" cy="7545705"/>
          <wp:effectExtent l="0" t="0" r="571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2BB81" w14:textId="77777777" w:rsidR="006B2CDB" w:rsidRPr="00333501" w:rsidRDefault="006B2CDB" w:rsidP="008F56A8">
    <w:pPr>
      <w:pStyle w:val="Header"/>
      <w:jc w:val="left"/>
    </w:pPr>
    <w:r>
      <w:rPr>
        <w:noProof/>
        <w:lang w:val="en-AU" w:eastAsia="en-AU"/>
      </w:rPr>
      <w:drawing>
        <wp:anchor distT="0" distB="0" distL="114300" distR="114300" simplePos="0" relativeHeight="251683840" behindDoc="1" locked="1" layoutInCell="1" allowOverlap="1" wp14:anchorId="0A8C9C13" wp14:editId="4F4C2A97">
          <wp:simplePos x="0" y="0"/>
          <wp:positionH relativeFrom="page">
            <wp:posOffset>7620</wp:posOffset>
          </wp:positionH>
          <wp:positionV relativeFrom="page">
            <wp:posOffset>57785</wp:posOffset>
          </wp:positionV>
          <wp:extent cx="10800000" cy="7560000"/>
          <wp:effectExtent l="0" t="0" r="1905" b="317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E0BEA"/>
    <w:multiLevelType w:val="hybridMultilevel"/>
    <w:tmpl w:val="6598D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60137FF"/>
    <w:multiLevelType w:val="hybridMultilevel"/>
    <w:tmpl w:val="EE5E36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5B6ABE"/>
    <w:multiLevelType w:val="hybridMultilevel"/>
    <w:tmpl w:val="951AA600"/>
    <w:lvl w:ilvl="0" w:tplc="7A5206BC">
      <w:start w:val="201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3C1EA7"/>
    <w:multiLevelType w:val="multilevel"/>
    <w:tmpl w:val="43428892"/>
    <w:numStyleLink w:val="BulletsList"/>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98F672F"/>
    <w:multiLevelType w:val="hybridMultilevel"/>
    <w:tmpl w:val="11FEB8C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6"/>
  </w:num>
  <w:num w:numId="23">
    <w:abstractNumId w:val="16"/>
  </w:num>
  <w:num w:numId="24">
    <w:abstractNumId w:val="21"/>
  </w:num>
  <w:num w:numId="25">
    <w:abstractNumId w:val="21"/>
  </w:num>
  <w:num w:numId="26">
    <w:abstractNumId w:val="21"/>
  </w:num>
  <w:num w:numId="27">
    <w:abstractNumId w:val="20"/>
  </w:num>
  <w:num w:numId="28">
    <w:abstractNumId w:val="11"/>
  </w:num>
  <w:num w:numId="29">
    <w:abstractNumId w:val="11"/>
  </w:num>
  <w:num w:numId="30">
    <w:abstractNumId w:val="11"/>
  </w:num>
  <w:num w:numId="31">
    <w:abstractNumId w:val="17"/>
  </w:num>
  <w:num w:numId="32">
    <w:abstractNumId w:val="19"/>
  </w:num>
  <w:num w:numId="33">
    <w:abstractNumId w:val="25"/>
  </w:num>
  <w:num w:numId="34">
    <w:abstractNumId w:val="18"/>
  </w:num>
  <w:num w:numId="35">
    <w:abstractNumId w:val="13"/>
  </w:num>
  <w:num w:numId="36">
    <w:abstractNumId w:val="14"/>
  </w:num>
  <w:num w:numId="37">
    <w:abstractNumId w:val="15"/>
  </w:num>
  <w:num w:numId="38">
    <w:abstractNumId w:val="1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2F32"/>
    <w:rsid w:val="000073EC"/>
    <w:rsid w:val="00013212"/>
    <w:rsid w:val="00015116"/>
    <w:rsid w:val="00015316"/>
    <w:rsid w:val="0002080A"/>
    <w:rsid w:val="0002782F"/>
    <w:rsid w:val="00031512"/>
    <w:rsid w:val="00047464"/>
    <w:rsid w:val="00054E4D"/>
    <w:rsid w:val="00060073"/>
    <w:rsid w:val="00060268"/>
    <w:rsid w:val="000641DC"/>
    <w:rsid w:val="00084483"/>
    <w:rsid w:val="00086FE2"/>
    <w:rsid w:val="00092932"/>
    <w:rsid w:val="00093A90"/>
    <w:rsid w:val="000B4A11"/>
    <w:rsid w:val="000B4E9A"/>
    <w:rsid w:val="000C0122"/>
    <w:rsid w:val="000C7357"/>
    <w:rsid w:val="000D3EAA"/>
    <w:rsid w:val="000D66D6"/>
    <w:rsid w:val="000D6824"/>
    <w:rsid w:val="000E071A"/>
    <w:rsid w:val="000E1643"/>
    <w:rsid w:val="000E314A"/>
    <w:rsid w:val="000E319F"/>
    <w:rsid w:val="000F07FB"/>
    <w:rsid w:val="000F289E"/>
    <w:rsid w:val="00105CC5"/>
    <w:rsid w:val="00132229"/>
    <w:rsid w:val="001541EA"/>
    <w:rsid w:val="00163AEE"/>
    <w:rsid w:val="00164DFC"/>
    <w:rsid w:val="00177B64"/>
    <w:rsid w:val="0019095B"/>
    <w:rsid w:val="001A3ABA"/>
    <w:rsid w:val="001A74E1"/>
    <w:rsid w:val="001D39CE"/>
    <w:rsid w:val="001D663E"/>
    <w:rsid w:val="001E1DC0"/>
    <w:rsid w:val="001E21C2"/>
    <w:rsid w:val="001E3BC2"/>
    <w:rsid w:val="00225DD1"/>
    <w:rsid w:val="00225E21"/>
    <w:rsid w:val="00227951"/>
    <w:rsid w:val="00234423"/>
    <w:rsid w:val="002365C4"/>
    <w:rsid w:val="00236A53"/>
    <w:rsid w:val="002455E5"/>
    <w:rsid w:val="0025052E"/>
    <w:rsid w:val="00255FEF"/>
    <w:rsid w:val="0026078B"/>
    <w:rsid w:val="00265068"/>
    <w:rsid w:val="00270F64"/>
    <w:rsid w:val="00273EDA"/>
    <w:rsid w:val="00275DB7"/>
    <w:rsid w:val="0028420A"/>
    <w:rsid w:val="00284957"/>
    <w:rsid w:val="0028602A"/>
    <w:rsid w:val="00293E5D"/>
    <w:rsid w:val="002A51CA"/>
    <w:rsid w:val="002B1919"/>
    <w:rsid w:val="002B3E95"/>
    <w:rsid w:val="002B5E10"/>
    <w:rsid w:val="002C6DA0"/>
    <w:rsid w:val="002D0247"/>
    <w:rsid w:val="002E0F57"/>
    <w:rsid w:val="002F22EE"/>
    <w:rsid w:val="002F2B1C"/>
    <w:rsid w:val="002F3F9A"/>
    <w:rsid w:val="003002C0"/>
    <w:rsid w:val="00301144"/>
    <w:rsid w:val="0031138B"/>
    <w:rsid w:val="003148B7"/>
    <w:rsid w:val="003158C3"/>
    <w:rsid w:val="003230FB"/>
    <w:rsid w:val="003274CD"/>
    <w:rsid w:val="00331724"/>
    <w:rsid w:val="003319E8"/>
    <w:rsid w:val="00331BD1"/>
    <w:rsid w:val="00333501"/>
    <w:rsid w:val="003416A2"/>
    <w:rsid w:val="003457C4"/>
    <w:rsid w:val="0035119D"/>
    <w:rsid w:val="00354BFE"/>
    <w:rsid w:val="00357C1E"/>
    <w:rsid w:val="0036308C"/>
    <w:rsid w:val="00363658"/>
    <w:rsid w:val="003671B7"/>
    <w:rsid w:val="0038416C"/>
    <w:rsid w:val="0039576A"/>
    <w:rsid w:val="003A12BE"/>
    <w:rsid w:val="003B0793"/>
    <w:rsid w:val="003B4F12"/>
    <w:rsid w:val="003B7AAE"/>
    <w:rsid w:val="003D352D"/>
    <w:rsid w:val="003E2243"/>
    <w:rsid w:val="003E7B25"/>
    <w:rsid w:val="003F1C6A"/>
    <w:rsid w:val="00400B0F"/>
    <w:rsid w:val="00402ACC"/>
    <w:rsid w:val="00402D78"/>
    <w:rsid w:val="0040421F"/>
    <w:rsid w:val="00407BE9"/>
    <w:rsid w:val="00407F25"/>
    <w:rsid w:val="004120EC"/>
    <w:rsid w:val="00413419"/>
    <w:rsid w:val="0041704E"/>
    <w:rsid w:val="00421BF3"/>
    <w:rsid w:val="00423F03"/>
    <w:rsid w:val="00423F31"/>
    <w:rsid w:val="00431899"/>
    <w:rsid w:val="004459DC"/>
    <w:rsid w:val="00464752"/>
    <w:rsid w:val="00471B62"/>
    <w:rsid w:val="00486804"/>
    <w:rsid w:val="00486E90"/>
    <w:rsid w:val="004977A1"/>
    <w:rsid w:val="004B3775"/>
    <w:rsid w:val="004B553C"/>
    <w:rsid w:val="004C4C92"/>
    <w:rsid w:val="004D0BA0"/>
    <w:rsid w:val="004D5B01"/>
    <w:rsid w:val="004E0264"/>
    <w:rsid w:val="004E058F"/>
    <w:rsid w:val="004E1F5A"/>
    <w:rsid w:val="004E3B87"/>
    <w:rsid w:val="004E4B1C"/>
    <w:rsid w:val="004F5F47"/>
    <w:rsid w:val="00500E80"/>
    <w:rsid w:val="005107F9"/>
    <w:rsid w:val="00510921"/>
    <w:rsid w:val="00510AD3"/>
    <w:rsid w:val="00513348"/>
    <w:rsid w:val="0051444C"/>
    <w:rsid w:val="00521A43"/>
    <w:rsid w:val="00524932"/>
    <w:rsid w:val="00527AFC"/>
    <w:rsid w:val="00533B5D"/>
    <w:rsid w:val="00536692"/>
    <w:rsid w:val="005511BF"/>
    <w:rsid w:val="00551F4A"/>
    <w:rsid w:val="00556523"/>
    <w:rsid w:val="00564FEA"/>
    <w:rsid w:val="00565FF0"/>
    <w:rsid w:val="00566328"/>
    <w:rsid w:val="00576DA4"/>
    <w:rsid w:val="00580282"/>
    <w:rsid w:val="00587728"/>
    <w:rsid w:val="0059146A"/>
    <w:rsid w:val="00595092"/>
    <w:rsid w:val="005A6CC0"/>
    <w:rsid w:val="005B5769"/>
    <w:rsid w:val="005B5A1D"/>
    <w:rsid w:val="005C028C"/>
    <w:rsid w:val="005C2A55"/>
    <w:rsid w:val="005C3289"/>
    <w:rsid w:val="005C41EF"/>
    <w:rsid w:val="005D3655"/>
    <w:rsid w:val="005D4C1D"/>
    <w:rsid w:val="005E5365"/>
    <w:rsid w:val="005E606B"/>
    <w:rsid w:val="00611070"/>
    <w:rsid w:val="0061760A"/>
    <w:rsid w:val="00623BA1"/>
    <w:rsid w:val="00633960"/>
    <w:rsid w:val="006346BC"/>
    <w:rsid w:val="006367A9"/>
    <w:rsid w:val="00643884"/>
    <w:rsid w:val="00656C02"/>
    <w:rsid w:val="0066652A"/>
    <w:rsid w:val="00677120"/>
    <w:rsid w:val="00677BF7"/>
    <w:rsid w:val="00680522"/>
    <w:rsid w:val="00681F08"/>
    <w:rsid w:val="00682167"/>
    <w:rsid w:val="0069096D"/>
    <w:rsid w:val="00691DD8"/>
    <w:rsid w:val="006B0B93"/>
    <w:rsid w:val="006B2CDB"/>
    <w:rsid w:val="006B6649"/>
    <w:rsid w:val="006B7CEA"/>
    <w:rsid w:val="006C3BE5"/>
    <w:rsid w:val="006C42AF"/>
    <w:rsid w:val="006D143B"/>
    <w:rsid w:val="006D4AEE"/>
    <w:rsid w:val="006E1C9B"/>
    <w:rsid w:val="006F27B1"/>
    <w:rsid w:val="006F5F4B"/>
    <w:rsid w:val="006F76A8"/>
    <w:rsid w:val="00700D14"/>
    <w:rsid w:val="00711D8E"/>
    <w:rsid w:val="00712672"/>
    <w:rsid w:val="00732C55"/>
    <w:rsid w:val="00734E3F"/>
    <w:rsid w:val="00736985"/>
    <w:rsid w:val="007374D5"/>
    <w:rsid w:val="00742AE8"/>
    <w:rsid w:val="00745027"/>
    <w:rsid w:val="00745DF5"/>
    <w:rsid w:val="0074650E"/>
    <w:rsid w:val="00746E70"/>
    <w:rsid w:val="00760412"/>
    <w:rsid w:val="0076250F"/>
    <w:rsid w:val="00771B53"/>
    <w:rsid w:val="00772135"/>
    <w:rsid w:val="00774632"/>
    <w:rsid w:val="007755B4"/>
    <w:rsid w:val="00780590"/>
    <w:rsid w:val="007806C6"/>
    <w:rsid w:val="00784031"/>
    <w:rsid w:val="0078484D"/>
    <w:rsid w:val="007A03A3"/>
    <w:rsid w:val="007A2F9E"/>
    <w:rsid w:val="007A7CA5"/>
    <w:rsid w:val="007B2582"/>
    <w:rsid w:val="007B6200"/>
    <w:rsid w:val="007C114F"/>
    <w:rsid w:val="007C251D"/>
    <w:rsid w:val="007E1A6A"/>
    <w:rsid w:val="007F3395"/>
    <w:rsid w:val="00801B9F"/>
    <w:rsid w:val="008057FD"/>
    <w:rsid w:val="0082015D"/>
    <w:rsid w:val="008235CA"/>
    <w:rsid w:val="0082458A"/>
    <w:rsid w:val="00826638"/>
    <w:rsid w:val="00841819"/>
    <w:rsid w:val="00844408"/>
    <w:rsid w:val="008475F0"/>
    <w:rsid w:val="00857DAA"/>
    <w:rsid w:val="00864210"/>
    <w:rsid w:val="00866F38"/>
    <w:rsid w:val="00886627"/>
    <w:rsid w:val="00890DB8"/>
    <w:rsid w:val="0089417B"/>
    <w:rsid w:val="008A5640"/>
    <w:rsid w:val="008A5AFE"/>
    <w:rsid w:val="008A7D8C"/>
    <w:rsid w:val="008B68D7"/>
    <w:rsid w:val="008C009C"/>
    <w:rsid w:val="008C2189"/>
    <w:rsid w:val="008C2F58"/>
    <w:rsid w:val="008C5A0E"/>
    <w:rsid w:val="008C66FE"/>
    <w:rsid w:val="008E07A0"/>
    <w:rsid w:val="008E659A"/>
    <w:rsid w:val="008F2719"/>
    <w:rsid w:val="008F56A8"/>
    <w:rsid w:val="00906C5C"/>
    <w:rsid w:val="00906E58"/>
    <w:rsid w:val="0091110B"/>
    <w:rsid w:val="00933AC3"/>
    <w:rsid w:val="00943D2A"/>
    <w:rsid w:val="00945CDE"/>
    <w:rsid w:val="00947C1E"/>
    <w:rsid w:val="00963366"/>
    <w:rsid w:val="00964044"/>
    <w:rsid w:val="00973D7D"/>
    <w:rsid w:val="00974172"/>
    <w:rsid w:val="00974EF5"/>
    <w:rsid w:val="0097624B"/>
    <w:rsid w:val="0097792E"/>
    <w:rsid w:val="009903F3"/>
    <w:rsid w:val="00992C76"/>
    <w:rsid w:val="009A1DF7"/>
    <w:rsid w:val="009B29F8"/>
    <w:rsid w:val="009B4D3B"/>
    <w:rsid w:val="009B7DFF"/>
    <w:rsid w:val="009C6911"/>
    <w:rsid w:val="009D1DE5"/>
    <w:rsid w:val="009D26BB"/>
    <w:rsid w:val="009D3917"/>
    <w:rsid w:val="009D7407"/>
    <w:rsid w:val="009E0866"/>
    <w:rsid w:val="009F5488"/>
    <w:rsid w:val="009F6423"/>
    <w:rsid w:val="00A1142A"/>
    <w:rsid w:val="00A12C6F"/>
    <w:rsid w:val="00A13878"/>
    <w:rsid w:val="00A24A62"/>
    <w:rsid w:val="00A31C9F"/>
    <w:rsid w:val="00A4144F"/>
    <w:rsid w:val="00A424B0"/>
    <w:rsid w:val="00A427C6"/>
    <w:rsid w:val="00A47049"/>
    <w:rsid w:val="00A55B8D"/>
    <w:rsid w:val="00A561E3"/>
    <w:rsid w:val="00A56F14"/>
    <w:rsid w:val="00A72F1F"/>
    <w:rsid w:val="00A738EA"/>
    <w:rsid w:val="00A74A82"/>
    <w:rsid w:val="00A80F95"/>
    <w:rsid w:val="00A8197B"/>
    <w:rsid w:val="00A9357E"/>
    <w:rsid w:val="00A95105"/>
    <w:rsid w:val="00AA140C"/>
    <w:rsid w:val="00AA7BE3"/>
    <w:rsid w:val="00AB05F4"/>
    <w:rsid w:val="00AC164A"/>
    <w:rsid w:val="00AD0C32"/>
    <w:rsid w:val="00AD1406"/>
    <w:rsid w:val="00AD4B2C"/>
    <w:rsid w:val="00AE0CF3"/>
    <w:rsid w:val="00AE18ED"/>
    <w:rsid w:val="00AF1B85"/>
    <w:rsid w:val="00AF2050"/>
    <w:rsid w:val="00B03CA8"/>
    <w:rsid w:val="00B0678F"/>
    <w:rsid w:val="00B068DF"/>
    <w:rsid w:val="00B07152"/>
    <w:rsid w:val="00B27D71"/>
    <w:rsid w:val="00B331DC"/>
    <w:rsid w:val="00B42CDF"/>
    <w:rsid w:val="00B438D3"/>
    <w:rsid w:val="00B55E19"/>
    <w:rsid w:val="00B614C5"/>
    <w:rsid w:val="00B630A7"/>
    <w:rsid w:val="00B9438A"/>
    <w:rsid w:val="00BA3177"/>
    <w:rsid w:val="00BA439B"/>
    <w:rsid w:val="00BA4B6D"/>
    <w:rsid w:val="00BB26C5"/>
    <w:rsid w:val="00BB2858"/>
    <w:rsid w:val="00BB6216"/>
    <w:rsid w:val="00BD4305"/>
    <w:rsid w:val="00BD46E0"/>
    <w:rsid w:val="00BF333D"/>
    <w:rsid w:val="00BF4DE6"/>
    <w:rsid w:val="00C04FC8"/>
    <w:rsid w:val="00C1325E"/>
    <w:rsid w:val="00C24D51"/>
    <w:rsid w:val="00C42CDE"/>
    <w:rsid w:val="00C454B3"/>
    <w:rsid w:val="00C5182A"/>
    <w:rsid w:val="00C52C60"/>
    <w:rsid w:val="00C63EE9"/>
    <w:rsid w:val="00C6626C"/>
    <w:rsid w:val="00C769A0"/>
    <w:rsid w:val="00C770DD"/>
    <w:rsid w:val="00C80D22"/>
    <w:rsid w:val="00C8703D"/>
    <w:rsid w:val="00C93783"/>
    <w:rsid w:val="00CA0016"/>
    <w:rsid w:val="00CA37B1"/>
    <w:rsid w:val="00CA5CC5"/>
    <w:rsid w:val="00CA6049"/>
    <w:rsid w:val="00CA7B04"/>
    <w:rsid w:val="00CB1959"/>
    <w:rsid w:val="00CC26EB"/>
    <w:rsid w:val="00CD0E4B"/>
    <w:rsid w:val="00CE0155"/>
    <w:rsid w:val="00D00802"/>
    <w:rsid w:val="00D0128F"/>
    <w:rsid w:val="00D0147B"/>
    <w:rsid w:val="00D028F8"/>
    <w:rsid w:val="00D0296C"/>
    <w:rsid w:val="00D146A2"/>
    <w:rsid w:val="00D15576"/>
    <w:rsid w:val="00D15A00"/>
    <w:rsid w:val="00D64BD1"/>
    <w:rsid w:val="00D658B9"/>
    <w:rsid w:val="00D72760"/>
    <w:rsid w:val="00D74B9E"/>
    <w:rsid w:val="00D934D4"/>
    <w:rsid w:val="00D97643"/>
    <w:rsid w:val="00DD1986"/>
    <w:rsid w:val="00DE084C"/>
    <w:rsid w:val="00DE7CF5"/>
    <w:rsid w:val="00E05ABB"/>
    <w:rsid w:val="00E25601"/>
    <w:rsid w:val="00E326A6"/>
    <w:rsid w:val="00E357B7"/>
    <w:rsid w:val="00E42340"/>
    <w:rsid w:val="00E476EC"/>
    <w:rsid w:val="00E53800"/>
    <w:rsid w:val="00E6081F"/>
    <w:rsid w:val="00E70653"/>
    <w:rsid w:val="00E76E2A"/>
    <w:rsid w:val="00E86697"/>
    <w:rsid w:val="00E92B6B"/>
    <w:rsid w:val="00EA04B2"/>
    <w:rsid w:val="00EA20F3"/>
    <w:rsid w:val="00EB5177"/>
    <w:rsid w:val="00EB5D43"/>
    <w:rsid w:val="00EC4604"/>
    <w:rsid w:val="00ED2831"/>
    <w:rsid w:val="00ED43D1"/>
    <w:rsid w:val="00ED6660"/>
    <w:rsid w:val="00EE4EE1"/>
    <w:rsid w:val="00EE5238"/>
    <w:rsid w:val="00EE75E3"/>
    <w:rsid w:val="00EF1CD0"/>
    <w:rsid w:val="00EF3E52"/>
    <w:rsid w:val="00EF4574"/>
    <w:rsid w:val="00F04C33"/>
    <w:rsid w:val="00F16946"/>
    <w:rsid w:val="00F2684E"/>
    <w:rsid w:val="00F36885"/>
    <w:rsid w:val="00F46D4B"/>
    <w:rsid w:val="00F5404C"/>
    <w:rsid w:val="00F57499"/>
    <w:rsid w:val="00F64A61"/>
    <w:rsid w:val="00F64ECB"/>
    <w:rsid w:val="00F729EF"/>
    <w:rsid w:val="00F75A5C"/>
    <w:rsid w:val="00F77CAE"/>
    <w:rsid w:val="00F82271"/>
    <w:rsid w:val="00F83428"/>
    <w:rsid w:val="00F91AE3"/>
    <w:rsid w:val="00F96BB9"/>
    <w:rsid w:val="00FA0C14"/>
    <w:rsid w:val="00FC4402"/>
    <w:rsid w:val="00FD4649"/>
    <w:rsid w:val="00FE4CEB"/>
    <w:rsid w:val="00FE6D51"/>
    <w:rsid w:val="00FE79C2"/>
    <w:rsid w:val="00FF09F3"/>
    <w:rsid w:val="00FF44ED"/>
    <w:rsid w:val="00FF6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82931"/>
  <w15:docId w15:val="{6DB1875F-4604-4FA1-BC3F-8C98E4F3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aliases w:val="Знак сноски 1,16 Point,Superscript 6 Point,ftref,CAF Footnote Reference,Footnote  superscript,BVI fnr"/>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character" w:styleId="CommentReference">
    <w:name w:val="annotation reference"/>
    <w:basedOn w:val="DefaultParagraphFont"/>
    <w:uiPriority w:val="99"/>
    <w:semiHidden/>
    <w:unhideWhenUsed/>
    <w:rsid w:val="00F46D4B"/>
    <w:rPr>
      <w:sz w:val="16"/>
      <w:szCs w:val="16"/>
    </w:rPr>
  </w:style>
  <w:style w:type="paragraph" w:styleId="CommentText">
    <w:name w:val="annotation text"/>
    <w:basedOn w:val="Normal"/>
    <w:link w:val="CommentTextChar"/>
    <w:uiPriority w:val="99"/>
    <w:semiHidden/>
    <w:unhideWhenUsed/>
    <w:rsid w:val="00F46D4B"/>
    <w:pPr>
      <w:spacing w:line="240" w:lineRule="auto"/>
    </w:pPr>
    <w:rPr>
      <w:sz w:val="20"/>
      <w:szCs w:val="20"/>
    </w:rPr>
  </w:style>
  <w:style w:type="character" w:customStyle="1" w:styleId="CommentTextChar">
    <w:name w:val="Comment Text Char"/>
    <w:basedOn w:val="DefaultParagraphFont"/>
    <w:link w:val="CommentText"/>
    <w:uiPriority w:val="99"/>
    <w:semiHidden/>
    <w:rsid w:val="00F46D4B"/>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F46D4B"/>
    <w:rPr>
      <w:b/>
      <w:bCs/>
    </w:rPr>
  </w:style>
  <w:style w:type="character" w:customStyle="1" w:styleId="CommentSubjectChar">
    <w:name w:val="Comment Subject Char"/>
    <w:basedOn w:val="CommentTextChar"/>
    <w:link w:val="CommentSubject"/>
    <w:uiPriority w:val="99"/>
    <w:semiHidden/>
    <w:rsid w:val="00F46D4B"/>
    <w:rPr>
      <w:b/>
      <w:bCs/>
      <w:color w:val="495965" w:themeColor="text2"/>
      <w:sz w:val="20"/>
      <w:szCs w:val="20"/>
      <w:lang w:val="en-GB"/>
    </w:rPr>
  </w:style>
  <w:style w:type="paragraph" w:styleId="ListParagraph">
    <w:name w:val="List Paragraph"/>
    <w:basedOn w:val="Normal"/>
    <w:uiPriority w:val="34"/>
    <w:qFormat/>
    <w:rsid w:val="00B9438A"/>
    <w:pPr>
      <w:ind w:left="720"/>
      <w:contextualSpacing/>
    </w:pPr>
  </w:style>
  <w:style w:type="paragraph" w:styleId="EndnoteText">
    <w:name w:val="endnote text"/>
    <w:basedOn w:val="Normal"/>
    <w:link w:val="EndnoteTextChar"/>
    <w:unhideWhenUsed/>
    <w:rsid w:val="006F76A8"/>
    <w:pPr>
      <w:spacing w:before="0" w:after="0" w:line="240" w:lineRule="auto"/>
    </w:pPr>
    <w:rPr>
      <w:sz w:val="20"/>
      <w:szCs w:val="20"/>
    </w:rPr>
  </w:style>
  <w:style w:type="character" w:customStyle="1" w:styleId="EndnoteTextChar">
    <w:name w:val="Endnote Text Char"/>
    <w:basedOn w:val="DefaultParagraphFont"/>
    <w:link w:val="EndnoteText"/>
    <w:rsid w:val="006F76A8"/>
    <w:rPr>
      <w:color w:val="495965" w:themeColor="text2"/>
      <w:sz w:val="20"/>
      <w:szCs w:val="20"/>
      <w:lang w:val="en-GB"/>
    </w:rPr>
  </w:style>
  <w:style w:type="character" w:styleId="EndnoteReference">
    <w:name w:val="endnote reference"/>
    <w:basedOn w:val="DefaultParagraphFont"/>
    <w:unhideWhenUsed/>
    <w:rsid w:val="006F76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3830">
      <w:bodyDiv w:val="1"/>
      <w:marLeft w:val="0"/>
      <w:marRight w:val="0"/>
      <w:marTop w:val="0"/>
      <w:marBottom w:val="0"/>
      <w:divBdr>
        <w:top w:val="none" w:sz="0" w:space="0" w:color="auto"/>
        <w:left w:val="none" w:sz="0" w:space="0" w:color="auto"/>
        <w:bottom w:val="none" w:sz="0" w:space="0" w:color="auto"/>
        <w:right w:val="none" w:sz="0" w:space="0" w:color="auto"/>
      </w:divBdr>
    </w:div>
    <w:div w:id="573246509">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735710450">
      <w:bodyDiv w:val="1"/>
      <w:marLeft w:val="0"/>
      <w:marRight w:val="0"/>
      <w:marTop w:val="0"/>
      <w:marBottom w:val="0"/>
      <w:divBdr>
        <w:top w:val="none" w:sz="0" w:space="0" w:color="auto"/>
        <w:left w:val="none" w:sz="0" w:space="0" w:color="auto"/>
        <w:bottom w:val="none" w:sz="0" w:space="0" w:color="auto"/>
        <w:right w:val="none" w:sz="0" w:space="0" w:color="auto"/>
      </w:divBdr>
    </w:div>
    <w:div w:id="150027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1" Type="http://schemas.openxmlformats.org/officeDocument/2006/relationships/hyperlink" Target="http://www.worldbank.org/en/country/myanm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FC8099-830E-4F2A-A628-6904A60600F0}"/>
</file>

<file path=customXml/itemProps2.xml><?xml version="1.0" encoding="utf-8"?>
<ds:datastoreItem xmlns:ds="http://schemas.openxmlformats.org/officeDocument/2006/customXml" ds:itemID="{EDCA1A32-D76D-4E6C-B257-22E91BB3025B}"/>
</file>

<file path=customXml/itemProps3.xml><?xml version="1.0" encoding="utf-8"?>
<ds:datastoreItem xmlns:ds="http://schemas.openxmlformats.org/officeDocument/2006/customXml" ds:itemID="{74781B67-276B-449F-B6A2-2CB10BFDEBC4}"/>
</file>

<file path=customXml/itemProps4.xml><?xml version="1.0" encoding="utf-8"?>
<ds:datastoreItem xmlns:ds="http://schemas.openxmlformats.org/officeDocument/2006/customXml" ds:itemID="{372D5D1A-E176-4376-98B6-D8AD52D82DCE}"/>
</file>

<file path=docProps/app.xml><?xml version="1.0" encoding="utf-8"?>
<Properties xmlns="http://schemas.openxmlformats.org/officeDocument/2006/extended-properties" xmlns:vt="http://schemas.openxmlformats.org/officeDocument/2006/docPropsVTypes">
  <Template>Normal.dotm</Template>
  <TotalTime>21</TotalTime>
  <Pages>30</Pages>
  <Words>12297</Words>
  <Characters>70095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82228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Carpenter, Sydney</cp:lastModifiedBy>
  <cp:revision>3</cp:revision>
  <cp:lastPrinted>2017-01-09T04:37:00Z</cp:lastPrinted>
  <dcterms:created xsi:type="dcterms:W3CDTF">2017-01-11T23:35:00Z</dcterms:created>
  <dcterms:modified xsi:type="dcterms:W3CDTF">2017-02-14T00:39:00Z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116323d2-42e8-4424-b761-85f32e0efda7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1052000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