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r w:rsidRPr="001227C3">
        <w:rPr>
          <w:noProof/>
          <w:color w:val="FFFFFF"/>
          <w:spacing w:val="0"/>
          <w:sz w:val="50"/>
          <w:szCs w:val="50"/>
        </w:rPr>
        <w:drawing>
          <wp:anchor distT="0" distB="0" distL="114300" distR="114300" simplePos="0" relativeHeight="251662336" behindDoc="1" locked="1" layoutInCell="1" allowOverlap="1" wp14:anchorId="6669EF1C" wp14:editId="0906EF0D">
            <wp:simplePos x="0" y="0"/>
            <wp:positionH relativeFrom="page">
              <wp:posOffset>-199390</wp:posOffset>
            </wp:positionH>
            <wp:positionV relativeFrom="page">
              <wp:posOffset>-210185</wp:posOffset>
            </wp:positionV>
            <wp:extent cx="7945755" cy="11239500"/>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45755" cy="1123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Default="00CA59F3"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Myanmar</w:t>
      </w:r>
      <w:r w:rsidR="000D733F" w:rsidRPr="001227C3">
        <w:rPr>
          <w:noProof/>
          <w:color w:val="FFFFFF"/>
          <w:spacing w:val="0"/>
          <w:sz w:val="32"/>
          <w:szCs w:val="32"/>
          <w:lang w:val="en-US" w:eastAsia="en-US"/>
        </w:rPr>
        <w:t xml:space="preserve"> </w:t>
      </w:r>
    </w:p>
    <w:p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F35F08" w:rsidRPr="00B43B60" w:rsidRDefault="00F35F08" w:rsidP="00F35F08">
      <w:pPr>
        <w:pStyle w:val="Heading2"/>
        <w:rPr>
          <w:rStyle w:val="BodyTextChar"/>
          <w:color w:val="auto"/>
        </w:rPr>
      </w:pPr>
      <w:bookmarkStart w:id="0" w:name="_Toc373853205"/>
      <w:r w:rsidRPr="002660AA">
        <w:rPr>
          <w:sz w:val="28"/>
        </w:rPr>
        <w:lastRenderedPageBreak/>
        <w:t>Key Messages</w:t>
      </w:r>
      <w:r w:rsidRPr="002660AA">
        <w:rPr>
          <w:sz w:val="28"/>
        </w:rPr>
        <w:tab/>
      </w:r>
      <w:r>
        <w:rPr>
          <w:sz w:val="32"/>
          <w:szCs w:val="32"/>
        </w:rPr>
        <w:tab/>
      </w:r>
      <w:r>
        <w:rPr>
          <w:sz w:val="32"/>
          <w:szCs w:val="32"/>
        </w:rPr>
        <w:tab/>
      </w:r>
      <w:r>
        <w:rPr>
          <w:sz w:val="32"/>
          <w:szCs w:val="32"/>
        </w:rPr>
        <w:tab/>
      </w:r>
      <w:r>
        <w:rPr>
          <w:sz w:val="32"/>
          <w:szCs w:val="32"/>
        </w:rPr>
        <w:tab/>
      </w:r>
    </w:p>
    <w:p w:rsidR="008C60E8" w:rsidRDefault="00F35F08" w:rsidP="008F66F7">
      <w:pPr>
        <w:pStyle w:val="ListBullet"/>
        <w:numPr>
          <w:ilvl w:val="0"/>
          <w:numId w:val="0"/>
        </w:numPr>
      </w:pPr>
      <w:r>
        <w:t xml:space="preserve">This report outlines the progress of </w:t>
      </w:r>
      <w:r w:rsidR="00CA59F3">
        <w:t>Australia’s aid program in Myanmar</w:t>
      </w:r>
      <w:r>
        <w:t xml:space="preserve"> from July </w:t>
      </w:r>
      <w:r w:rsidR="007460BA">
        <w:t>2014 to June 2015. The program wa</w:t>
      </w:r>
      <w:r>
        <w:t xml:space="preserve">s implemented in line with the </w:t>
      </w:r>
      <w:r w:rsidRPr="00BD4F75">
        <w:rPr>
          <w:i/>
        </w:rPr>
        <w:t>Australia-</w:t>
      </w:r>
      <w:r w:rsidR="00A0337F">
        <w:rPr>
          <w:i/>
        </w:rPr>
        <w:t>Myanmar</w:t>
      </w:r>
      <w:r w:rsidRPr="00BD4F75">
        <w:rPr>
          <w:i/>
        </w:rPr>
        <w:t xml:space="preserve"> Aid Program Strategy 2012-15</w:t>
      </w:r>
      <w:r>
        <w:t xml:space="preserve"> and reflects the prioriti</w:t>
      </w:r>
      <w:r w:rsidR="00197B05">
        <w:t xml:space="preserve">es of the Australian and </w:t>
      </w:r>
      <w:r w:rsidR="00CA59F3">
        <w:t>Myanmar</w:t>
      </w:r>
      <w:r>
        <w:t xml:space="preserve"> Governments. </w:t>
      </w:r>
    </w:p>
    <w:p w:rsidR="008F66F7" w:rsidRDefault="008F66F7" w:rsidP="008F66F7">
      <w:pPr>
        <w:pStyle w:val="ListBullet"/>
        <w:numPr>
          <w:ilvl w:val="0"/>
          <w:numId w:val="0"/>
        </w:numPr>
      </w:pPr>
      <w:r>
        <w:t xml:space="preserve">2015 marks a transition in Australia’s aid program to Myanmar. We have incorporated the lessons from the past three years of the </w:t>
      </w:r>
      <w:r w:rsidRPr="00DA5CF9">
        <w:rPr>
          <w:i/>
        </w:rPr>
        <w:t>Australia-Myanmar Aid Program Strategy</w:t>
      </w:r>
      <w:r>
        <w:t xml:space="preserve"> into a new Aid Investment Plan 2015-19, which will guide Australia’s aid program going forward. </w:t>
      </w:r>
    </w:p>
    <w:p w:rsidR="00F35F08" w:rsidRDefault="00DA5CF9" w:rsidP="008F66F7">
      <w:pPr>
        <w:pStyle w:val="ListBullet"/>
        <w:numPr>
          <w:ilvl w:val="0"/>
          <w:numId w:val="0"/>
        </w:numPr>
        <w:tabs>
          <w:tab w:val="clear" w:pos="284"/>
        </w:tabs>
      </w:pPr>
      <w:r>
        <w:t xml:space="preserve">In 2014-15 </w:t>
      </w:r>
      <w:r w:rsidR="00F35F08" w:rsidRPr="00BD4F75">
        <w:t>Australia’s aid program</w:t>
      </w:r>
      <w:r w:rsidR="007460BA">
        <w:t xml:space="preserve"> provide</w:t>
      </w:r>
      <w:r w:rsidR="008C1B09">
        <w:t>d</w:t>
      </w:r>
      <w:r>
        <w:t xml:space="preserve"> $99.1million in</w:t>
      </w:r>
      <w:r w:rsidR="007460BA">
        <w:t xml:space="preserve"> development assistance to </w:t>
      </w:r>
      <w:r w:rsidR="00FD7228">
        <w:t xml:space="preserve">Myanmar through </w:t>
      </w:r>
      <w:r w:rsidR="00D0024F">
        <w:t xml:space="preserve">multilateral organisations, </w:t>
      </w:r>
      <w:r w:rsidR="007460BA">
        <w:t>government and non-government</w:t>
      </w:r>
      <w:r w:rsidR="00883066">
        <w:t xml:space="preserve"> organisations. </w:t>
      </w:r>
      <w:r w:rsidR="008F66F7">
        <w:t>This report finds that</w:t>
      </w:r>
      <w:r w:rsidR="00181B58">
        <w:t xml:space="preserve"> in 2014-15</w:t>
      </w:r>
      <w:r w:rsidR="008F66F7">
        <w:t xml:space="preserve"> </w:t>
      </w:r>
      <w:r w:rsidR="008F66F7" w:rsidRPr="00BD4F75">
        <w:t xml:space="preserve">Australia’s aid program made good progress </w:t>
      </w:r>
      <w:r w:rsidR="008F66F7">
        <w:t>against our objectives in education, health, governance, peace and humanitarian assistance and met all its performance benchmarks</w:t>
      </w:r>
      <w:r w:rsidR="008F66F7" w:rsidRPr="00BD4F75">
        <w:t>.</w:t>
      </w:r>
      <w:r w:rsidR="008F66F7">
        <w:t xml:space="preserve"> However, our performance against our livelihoods objective was mixed. </w:t>
      </w:r>
      <w:r w:rsidR="008C1B09">
        <w:t xml:space="preserve">Some key achievements </w:t>
      </w:r>
      <w:r w:rsidR="00FA3ABB">
        <w:t xml:space="preserve">attributable to Australian aid </w:t>
      </w:r>
      <w:r w:rsidR="008C1B09">
        <w:t>include:</w:t>
      </w:r>
    </w:p>
    <w:p w:rsidR="00F35F08" w:rsidRDefault="00F35F08" w:rsidP="00F35F08">
      <w:pPr>
        <w:pStyle w:val="ListBullet"/>
        <w:numPr>
          <w:ilvl w:val="0"/>
          <w:numId w:val="32"/>
        </w:numPr>
      </w:pPr>
      <w:r w:rsidRPr="00BD4F75">
        <w:t>over 140,0</w:t>
      </w:r>
      <w:r w:rsidR="00A1221D">
        <w:t>00 additional girls and boys</w:t>
      </w:r>
      <w:r w:rsidRPr="00BD4F75">
        <w:t xml:space="preserve"> enrolled in school, and Australi</w:t>
      </w:r>
      <w:r w:rsidR="00A07EBA">
        <w:t>an assistance to Myanmar’s education reforms</w:t>
      </w:r>
      <w:r w:rsidR="007460BA">
        <w:t xml:space="preserve"> helped strengthen</w:t>
      </w:r>
      <w:r w:rsidRPr="00BD4F75">
        <w:t xml:space="preserve"> policy, planning and budgeting to increase education access and quality </w:t>
      </w:r>
    </w:p>
    <w:p w:rsidR="006044A2" w:rsidRPr="006F5117" w:rsidRDefault="00FA3ABB" w:rsidP="006044A2">
      <w:pPr>
        <w:pStyle w:val="ListBullet"/>
        <w:numPr>
          <w:ilvl w:val="0"/>
          <w:numId w:val="32"/>
        </w:numPr>
      </w:pPr>
      <w:r>
        <w:t xml:space="preserve">an additional </w:t>
      </w:r>
      <w:r w:rsidR="006044A2">
        <w:t xml:space="preserve">15,000 children under the age of one </w:t>
      </w:r>
      <w:r w:rsidR="00DB43BA">
        <w:t>were immunised against childhood tuberculosis</w:t>
      </w:r>
      <w:r w:rsidR="00DB43BA" w:rsidRPr="00DB43BA">
        <w:t>,</w:t>
      </w:r>
      <w:r w:rsidR="00DB43BA">
        <w:t xml:space="preserve"> hepatitis B,</w:t>
      </w:r>
      <w:r w:rsidR="00DB43BA" w:rsidRPr="00DB43BA">
        <w:t xml:space="preserve"> measles, polio, diphtheria, tetanus and pertussis</w:t>
      </w:r>
      <w:r w:rsidR="00DB43BA">
        <w:t xml:space="preserve"> across four</w:t>
      </w:r>
      <w:r w:rsidR="00F0030F">
        <w:t xml:space="preserve"> states and regions in Myanmar</w:t>
      </w:r>
    </w:p>
    <w:p w:rsidR="00F55720" w:rsidRDefault="00F55720" w:rsidP="00F55720">
      <w:pPr>
        <w:pStyle w:val="ListBullet"/>
        <w:numPr>
          <w:ilvl w:val="0"/>
          <w:numId w:val="32"/>
        </w:numPr>
      </w:pPr>
      <w:r>
        <w:t>1</w:t>
      </w:r>
      <w:r w:rsidRPr="009821FB">
        <w:t>9,231 households have increased access to financial services and markets</w:t>
      </w:r>
      <w:r>
        <w:t>, exceeding the performance benchmark of 6,300 households</w:t>
      </w:r>
    </w:p>
    <w:p w:rsidR="00DA5CF9" w:rsidRDefault="00DA5CF9" w:rsidP="00F35F08">
      <w:pPr>
        <w:pStyle w:val="ListBullet"/>
        <w:numPr>
          <w:ilvl w:val="0"/>
          <w:numId w:val="32"/>
        </w:numPr>
      </w:pPr>
      <w:r>
        <w:t xml:space="preserve">235,313 </w:t>
      </w:r>
      <w:r w:rsidRPr="00BD4F75">
        <w:t xml:space="preserve">vulnerable women, men, girls and boys in conflicted-affected </w:t>
      </w:r>
      <w:r>
        <w:t xml:space="preserve">and displaced </w:t>
      </w:r>
      <w:r w:rsidRPr="00BD4F75">
        <w:t>communities</w:t>
      </w:r>
      <w:r w:rsidR="00FD7228">
        <w:t>,</w:t>
      </w:r>
      <w:r>
        <w:t xml:space="preserve"> </w:t>
      </w:r>
      <w:r w:rsidR="00FD7228">
        <w:t xml:space="preserve">including in Rakhine State and on the Thai-Myanmar border, </w:t>
      </w:r>
      <w:r>
        <w:t>were provi</w:t>
      </w:r>
      <w:r w:rsidR="003F537C">
        <w:t>ded with life-saving assistance</w:t>
      </w:r>
      <w:r w:rsidR="00F0030F">
        <w:t>, and</w:t>
      </w:r>
      <w:r>
        <w:t xml:space="preserve"> </w:t>
      </w:r>
    </w:p>
    <w:p w:rsidR="00883066" w:rsidRDefault="00F35F08" w:rsidP="00DA5CF9">
      <w:pPr>
        <w:pStyle w:val="ListBullet"/>
        <w:numPr>
          <w:ilvl w:val="0"/>
          <w:numId w:val="32"/>
        </w:numPr>
      </w:pPr>
      <w:r w:rsidRPr="00BD4F75">
        <w:t xml:space="preserve">assisting the </w:t>
      </w:r>
      <w:r w:rsidR="00CA59F3">
        <w:t>Myanmar</w:t>
      </w:r>
      <w:r w:rsidR="006044A2">
        <w:t xml:space="preserve"> </w:t>
      </w:r>
      <w:r w:rsidRPr="00BD4F75">
        <w:t xml:space="preserve">Government to promote economic growth by developing investment policy and initiating a </w:t>
      </w:r>
      <w:r w:rsidR="00CA59F3">
        <w:t>Myanmar</w:t>
      </w:r>
      <w:r w:rsidRPr="00BD4F75">
        <w:t xml:space="preserve"> business forum to promote private sector views to government</w:t>
      </w:r>
      <w:r w:rsidR="00DA5CF9">
        <w:t>.</w:t>
      </w:r>
    </w:p>
    <w:p w:rsidR="00E83106" w:rsidRDefault="00EE254A" w:rsidP="00D71721">
      <w:pPr>
        <w:pStyle w:val="ListBullet"/>
        <w:numPr>
          <w:ilvl w:val="0"/>
          <w:numId w:val="0"/>
        </w:numPr>
      </w:pPr>
      <w:r>
        <w:t>We</w:t>
      </w:r>
      <w:r w:rsidR="00E83106">
        <w:t xml:space="preserve"> met the </w:t>
      </w:r>
      <w:r w:rsidR="000F1C84">
        <w:t xml:space="preserve">Australian aid program’s </w:t>
      </w:r>
      <w:r w:rsidR="00E83106">
        <w:t>strategic target for gender equality, with 80 per cent of investments receiving at least adequate ratings.</w:t>
      </w:r>
      <w:r w:rsidR="00A07EBA">
        <w:t xml:space="preserve"> </w:t>
      </w:r>
      <w:r w:rsidR="00FD7228">
        <w:t>That said,</w:t>
      </w:r>
      <w:r w:rsidR="00A07EBA">
        <w:t xml:space="preserve"> there is still more we can do</w:t>
      </w:r>
      <w:r w:rsidR="007D7844">
        <w:t xml:space="preserve"> to improve gender equality and women’s empowerment.</w:t>
      </w:r>
    </w:p>
    <w:p w:rsidR="001B3E96" w:rsidRDefault="00D71721" w:rsidP="00D71721">
      <w:pPr>
        <w:pStyle w:val="ListBullet"/>
        <w:numPr>
          <w:ilvl w:val="0"/>
          <w:numId w:val="0"/>
        </w:numPr>
      </w:pPr>
      <w:r>
        <w:t xml:space="preserve">In assessing the program’s performance in 2014-15 we have identified a number of lessons. </w:t>
      </w:r>
      <w:r w:rsidR="00A94D42">
        <w:rPr>
          <w:color w:val="92D050"/>
        </w:rPr>
        <w:t xml:space="preserve"> </w:t>
      </w:r>
      <w:r w:rsidR="00DB43BA">
        <w:t xml:space="preserve">It is clear that our programs’ ability to adapt to Myanmar’s dynamic </w:t>
      </w:r>
      <w:r w:rsidR="00D0024F">
        <w:t>operating environment</w:t>
      </w:r>
      <w:r w:rsidR="00DB43BA">
        <w:t xml:space="preserve"> is critical to success, and that i</w:t>
      </w:r>
      <w:r w:rsidR="006D4A15">
        <w:t xml:space="preserve">n some areas our </w:t>
      </w:r>
      <w:r w:rsidR="00DB43BA">
        <w:t xml:space="preserve">programs and the way we measure our performance </w:t>
      </w:r>
      <w:r w:rsidR="006D4A15">
        <w:t>has not kept pace with</w:t>
      </w:r>
      <w:r w:rsidR="00D0024F">
        <w:t xml:space="preserve"> the changing context. Our commitment to build and maintain </w:t>
      </w:r>
      <w:r w:rsidR="001B3E96">
        <w:t>responsive</w:t>
      </w:r>
      <w:r w:rsidR="00D0024F">
        <w:t xml:space="preserve"> programs and associated</w:t>
      </w:r>
      <w:r w:rsidR="00E83106">
        <w:t xml:space="preserve"> performance framework</w:t>
      </w:r>
      <w:r w:rsidR="00D0024F">
        <w:t>s</w:t>
      </w:r>
      <w:r w:rsidR="00E83106">
        <w:t xml:space="preserve"> is included in the management response</w:t>
      </w:r>
      <w:r w:rsidR="00E560EA">
        <w:t>, and has fed into the new Aid Investment Plan 2015-19</w:t>
      </w:r>
      <w:r>
        <w:t>.</w:t>
      </w:r>
    </w:p>
    <w:p w:rsidR="00F35F08" w:rsidRPr="00B43B60" w:rsidRDefault="00F35F08" w:rsidP="00F35F08">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EA667B" w:rsidRDefault="00F35F08" w:rsidP="00F35F08">
      <w:pPr>
        <w:pStyle w:val="ListBullet"/>
        <w:numPr>
          <w:ilvl w:val="0"/>
          <w:numId w:val="0"/>
        </w:numPr>
      </w:pPr>
      <w:r>
        <w:t>In 2014-15</w:t>
      </w:r>
      <w:r w:rsidRPr="003949CF">
        <w:t xml:space="preserve"> the</w:t>
      </w:r>
      <w:r>
        <w:t xml:space="preserve"> </w:t>
      </w:r>
      <w:r w:rsidR="00CA59F3">
        <w:t>Myanmar</w:t>
      </w:r>
      <w:r w:rsidRPr="003949CF">
        <w:t xml:space="preserve"> Government continued </w:t>
      </w:r>
      <w:r>
        <w:t xml:space="preserve">its program of political, economic and social reforms. </w:t>
      </w:r>
      <w:r w:rsidR="00883066">
        <w:t xml:space="preserve">Since 2011 the </w:t>
      </w:r>
      <w:r w:rsidR="00CA59F3">
        <w:t>Myanmar</w:t>
      </w:r>
      <w:r w:rsidR="00883066">
        <w:t xml:space="preserve"> Government has delivered a number of political ‘quick wins’ to demonstrate its commitment to reform. </w:t>
      </w:r>
      <w:r w:rsidR="00811691">
        <w:t>The Myanmar Government made some notable achievements in the reform process in 2014-15, although</w:t>
      </w:r>
      <w:r w:rsidR="00883066">
        <w:t xml:space="preserve"> the </w:t>
      </w:r>
      <w:r w:rsidR="00E560EA">
        <w:t xml:space="preserve">complexity and challenging nature of the </w:t>
      </w:r>
      <w:r w:rsidR="00883066">
        <w:t>current wave of ref</w:t>
      </w:r>
      <w:r w:rsidR="00A1221D">
        <w:t xml:space="preserve">orm </w:t>
      </w:r>
      <w:r w:rsidR="00F1187E">
        <w:t xml:space="preserve">tempered </w:t>
      </w:r>
      <w:r w:rsidR="00A1221D">
        <w:t>the pace of reform.</w:t>
      </w:r>
    </w:p>
    <w:p w:rsidR="007D7844" w:rsidRDefault="007D7844" w:rsidP="00F35F08">
      <w:pPr>
        <w:pStyle w:val="ListBullet"/>
        <w:numPr>
          <w:ilvl w:val="0"/>
          <w:numId w:val="0"/>
        </w:numPr>
      </w:pPr>
      <w:r>
        <w:lastRenderedPageBreak/>
        <w:t xml:space="preserve">In chairing </w:t>
      </w:r>
      <w:r w:rsidRPr="003949CF">
        <w:t>ASEAN in 2014 and signing a</w:t>
      </w:r>
      <w:bookmarkStart w:id="1" w:name="_GoBack"/>
      <w:bookmarkEnd w:id="1"/>
      <w:r w:rsidRPr="003949CF">
        <w:t xml:space="preserve"> number of international </w:t>
      </w:r>
      <w:r>
        <w:t xml:space="preserve">security </w:t>
      </w:r>
      <w:r w:rsidRPr="003949CF">
        <w:t xml:space="preserve">instruments, </w:t>
      </w:r>
      <w:r>
        <w:t xml:space="preserve">the </w:t>
      </w:r>
      <w:r w:rsidR="00811691">
        <w:t xml:space="preserve">Myanmar </w:t>
      </w:r>
      <w:r>
        <w:t>Government highlighted its commitment to reintegrate</w:t>
      </w:r>
      <w:r w:rsidRPr="003949CF">
        <w:t xml:space="preserve"> into the regional and international community</w:t>
      </w:r>
      <w:r>
        <w:t xml:space="preserve">. The development of a </w:t>
      </w:r>
      <w:r w:rsidRPr="003949CF">
        <w:t xml:space="preserve">National Comprehensive Development Plan 2015-2020 shows evidence of </w:t>
      </w:r>
      <w:r>
        <w:t xml:space="preserve">better </w:t>
      </w:r>
      <w:r w:rsidRPr="003949CF">
        <w:t>policy planning</w:t>
      </w:r>
      <w:r w:rsidR="00A07EBA">
        <w:t>, and the Government has significantly</w:t>
      </w:r>
      <w:r>
        <w:t xml:space="preserve"> </w:t>
      </w:r>
      <w:r w:rsidR="00A07EBA">
        <w:t>increased</w:t>
      </w:r>
      <w:r w:rsidRPr="003949CF">
        <w:t xml:space="preserve"> public expenditure on health and education</w:t>
      </w:r>
      <w:r>
        <w:rPr>
          <w:rStyle w:val="EndnoteReference"/>
        </w:rPr>
        <w:endnoteReference w:id="1"/>
      </w:r>
      <w:r w:rsidR="00DA5CF9">
        <w:t>.</w:t>
      </w:r>
      <w:r w:rsidR="00E560EA" w:rsidRPr="00E560EA">
        <w:t xml:space="preserve"> </w:t>
      </w:r>
      <w:r w:rsidR="00E560EA">
        <w:t>And it agreed the draft text of a Nationwide</w:t>
      </w:r>
      <w:r w:rsidR="00E560EA" w:rsidRPr="003949CF">
        <w:t xml:space="preserve"> Ceasefire Agreement </w:t>
      </w:r>
      <w:r w:rsidR="00E560EA">
        <w:t>with</w:t>
      </w:r>
      <w:r w:rsidR="00E560EA" w:rsidRPr="003949CF">
        <w:t xml:space="preserve"> the country’s main ethnic armed groups in March 2015</w:t>
      </w:r>
      <w:r w:rsidR="00E560EA">
        <w:t>.</w:t>
      </w:r>
    </w:p>
    <w:p w:rsidR="00BB5F4F" w:rsidRPr="00EA667B" w:rsidRDefault="00883066" w:rsidP="00F35F08">
      <w:pPr>
        <w:pStyle w:val="ListBullet"/>
        <w:numPr>
          <w:ilvl w:val="0"/>
          <w:numId w:val="0"/>
        </w:numPr>
      </w:pPr>
      <w:r>
        <w:t>A</w:t>
      </w:r>
      <w:r w:rsidR="00F35F08">
        <w:t>fter decades of isolation and internal conflict</w:t>
      </w:r>
      <w:r w:rsidR="00D32EAF">
        <w:t>, however</w:t>
      </w:r>
      <w:r w:rsidR="00EA667B">
        <w:t xml:space="preserve"> </w:t>
      </w:r>
      <w:r w:rsidR="00CA59F3">
        <w:t>Myanmar</w:t>
      </w:r>
      <w:r w:rsidR="00F35F08">
        <w:t xml:space="preserve"> </w:t>
      </w:r>
      <w:r w:rsidR="00E560EA">
        <w:t xml:space="preserve">remains </w:t>
      </w:r>
      <w:r w:rsidR="00F35F08">
        <w:t>one of the poorest countries in South-East Asia</w:t>
      </w:r>
      <w:r w:rsidR="00E560EA">
        <w:t>, despite some improvement in poverty rates</w:t>
      </w:r>
      <w:r w:rsidR="00F35F08">
        <w:t>. The</w:t>
      </w:r>
      <w:r w:rsidR="00F33941">
        <w:t xml:space="preserve"> World Bank recently calculated 37.5 per cent of the population</w:t>
      </w:r>
      <w:r w:rsidR="00DE47C8">
        <w:t xml:space="preserve"> </w:t>
      </w:r>
      <w:r w:rsidR="00E560EA">
        <w:t>were living in poverty</w:t>
      </w:r>
      <w:r w:rsidR="00F33941">
        <w:rPr>
          <w:rStyle w:val="EndnoteReference"/>
        </w:rPr>
        <w:endnoteReference w:id="2"/>
      </w:r>
      <w:r w:rsidR="00F33941">
        <w:t>,</w:t>
      </w:r>
      <w:r w:rsidR="00F35F08">
        <w:t xml:space="preserve"> </w:t>
      </w:r>
      <w:bookmarkEnd w:id="0"/>
      <w:r w:rsidR="00E560EA">
        <w:t xml:space="preserve">with the rate reaching more than 70 per cent in </w:t>
      </w:r>
      <w:r w:rsidR="00BB5F4F" w:rsidRPr="00FD112E">
        <w:t xml:space="preserve">some rural areas of </w:t>
      </w:r>
      <w:r w:rsidR="00CA59F3">
        <w:t>Myanmar</w:t>
      </w:r>
      <w:r w:rsidR="00F33941" w:rsidRPr="00FD112E">
        <w:rPr>
          <w:rStyle w:val="EndnoteReference"/>
        </w:rPr>
        <w:endnoteReference w:id="3"/>
      </w:r>
      <w:r w:rsidR="00BB5F4F" w:rsidRPr="00FD112E">
        <w:t>.</w:t>
      </w:r>
      <w:r w:rsidR="00BB5F4F">
        <w:t xml:space="preserve"> Around </w:t>
      </w:r>
      <w:r w:rsidR="00BB5F4F" w:rsidRPr="00F33941">
        <w:t xml:space="preserve">10 per cent of </w:t>
      </w:r>
      <w:r w:rsidR="00CA59F3">
        <w:t>Myanmar</w:t>
      </w:r>
      <w:r w:rsidR="00BB5F4F" w:rsidRPr="00F33941">
        <w:t>’s population do</w:t>
      </w:r>
      <w:r w:rsidR="00E560EA">
        <w:t>es</w:t>
      </w:r>
      <w:r w:rsidR="00BB5F4F" w:rsidRPr="00F33941">
        <w:t xml:space="preserve"> not have access to enough food.</w:t>
      </w:r>
    </w:p>
    <w:p w:rsidR="00BB5F4F" w:rsidRDefault="00BB5F4F" w:rsidP="00F35F08">
      <w:pPr>
        <w:pStyle w:val="ListBullet"/>
        <w:numPr>
          <w:ilvl w:val="0"/>
          <w:numId w:val="0"/>
        </w:numPr>
      </w:pPr>
      <w:r>
        <w:t xml:space="preserve">Education and health standards are low compared with regional neighbours. </w:t>
      </w:r>
      <w:r w:rsidR="00CA59F3">
        <w:t>Myanmar</w:t>
      </w:r>
      <w:r>
        <w:t xml:space="preserve"> has the lowest life expectancy among ASEAN countries with </w:t>
      </w:r>
      <w:r w:rsidR="00DA5CF9">
        <w:t>average life expectancy at</w:t>
      </w:r>
      <w:r>
        <w:t xml:space="preserve"> 64 years. Each year around 48,000 children die before the age of five from easily preventable diseases. Only half of all enrolled children complete primary school</w:t>
      </w:r>
      <w:r>
        <w:rPr>
          <w:rStyle w:val="EndnoteReference"/>
        </w:rPr>
        <w:endnoteReference w:id="4"/>
      </w:r>
      <w:r>
        <w:t xml:space="preserve"> and approximately 10 per cent of </w:t>
      </w:r>
      <w:r w:rsidR="00DE47C8">
        <w:t>school aged</w:t>
      </w:r>
      <w:r>
        <w:t xml:space="preserve"> children do not attend basic education due to poverty, geographic location or disability.</w:t>
      </w:r>
    </w:p>
    <w:p w:rsidR="00BB5F4F" w:rsidRDefault="00EA667B" w:rsidP="00F35F08">
      <w:pPr>
        <w:pStyle w:val="ListBullet"/>
        <w:numPr>
          <w:ilvl w:val="0"/>
          <w:numId w:val="0"/>
        </w:numPr>
      </w:pPr>
      <w:r>
        <w:t xml:space="preserve">While </w:t>
      </w:r>
      <w:r w:rsidRPr="00BD4F75">
        <w:t>opening the economy</w:t>
      </w:r>
      <w:r>
        <w:t xml:space="preserve"> has enabled</w:t>
      </w:r>
      <w:r w:rsidRPr="00BD4F75">
        <w:t xml:space="preserve"> economic growth of 8.5 per cent</w:t>
      </w:r>
      <w:r>
        <w:t xml:space="preserve"> in 2014-15, </w:t>
      </w:r>
      <w:r w:rsidR="00CA59F3">
        <w:t>Myanmar</w:t>
      </w:r>
      <w:r w:rsidR="00BB5F4F">
        <w:t xml:space="preserve">’s economy </w:t>
      </w:r>
      <w:r w:rsidR="00E560EA">
        <w:t>continue</w:t>
      </w:r>
      <w:r w:rsidR="00DE47C8">
        <w:t>d</w:t>
      </w:r>
      <w:r w:rsidR="00E560EA">
        <w:t xml:space="preserve"> to suffer from its</w:t>
      </w:r>
      <w:r>
        <w:t xml:space="preserve"> years of isolation. P</w:t>
      </w:r>
      <w:r w:rsidR="00BB5F4F">
        <w:t xml:space="preserve">er capita income </w:t>
      </w:r>
      <w:r>
        <w:t xml:space="preserve">is </w:t>
      </w:r>
      <w:r w:rsidR="00BB5F4F">
        <w:t xml:space="preserve">estimated at </w:t>
      </w:r>
      <w:r w:rsidR="007460BA">
        <w:t>USD1,197</w:t>
      </w:r>
      <w:r w:rsidR="00BB5F4F">
        <w:rPr>
          <w:rStyle w:val="EndnoteReference"/>
        </w:rPr>
        <w:endnoteReference w:id="5"/>
      </w:r>
      <w:r w:rsidR="00DA5CF9">
        <w:t>,</w:t>
      </w:r>
      <w:r w:rsidR="00BB5F4F">
        <w:t xml:space="preserve"> </w:t>
      </w:r>
      <w:r>
        <w:t>and</w:t>
      </w:r>
      <w:r w:rsidR="00A1612F">
        <w:t xml:space="preserve"> </w:t>
      </w:r>
      <w:r w:rsidR="00DE47C8">
        <w:t>the economy remains narrowly based.</w:t>
      </w:r>
      <w:r>
        <w:t xml:space="preserve"> </w:t>
      </w:r>
      <w:r w:rsidR="00CA59F3">
        <w:t>Myanmar</w:t>
      </w:r>
      <w:r>
        <w:t>’s economy is characterised by an underperforming agriculture sector,</w:t>
      </w:r>
      <w:r w:rsidR="00BB5F4F">
        <w:t xml:space="preserve"> a small manufacturing sector,</w:t>
      </w:r>
      <w:r>
        <w:t xml:space="preserve"> </w:t>
      </w:r>
      <w:r w:rsidR="00BB5F4F">
        <w:t>macroeconomic instability</w:t>
      </w:r>
      <w:r>
        <w:t>,</w:t>
      </w:r>
      <w:r w:rsidR="00BB5F4F">
        <w:t xml:space="preserve"> and untapped tourism potential.</w:t>
      </w:r>
    </w:p>
    <w:p w:rsidR="00077F8F" w:rsidRDefault="00077F8F" w:rsidP="00077F8F">
      <w:pPr>
        <w:pStyle w:val="ListBullet"/>
        <w:numPr>
          <w:ilvl w:val="0"/>
          <w:numId w:val="0"/>
        </w:numPr>
      </w:pPr>
      <w:r>
        <w:t>People affected by conflict and resulting instability are some of the poorest and most vulnerable in Myanmar. The UN estimates there are approximately 640,000 internally displaced people in Myanmar</w:t>
      </w:r>
      <w:r>
        <w:rPr>
          <w:rStyle w:val="EndnoteReference"/>
        </w:rPr>
        <w:t xml:space="preserve"> </w:t>
      </w:r>
      <w:r>
        <w:rPr>
          <w:rStyle w:val="EndnoteReference"/>
        </w:rPr>
        <w:endnoteReference w:id="6"/>
      </w:r>
      <w:r>
        <w:t>, in addition to 110,000 refugees from Myanmar in Thailand</w:t>
      </w:r>
      <w:r>
        <w:rPr>
          <w:rStyle w:val="EndnoteReference"/>
        </w:rPr>
        <w:endnoteReference w:id="7"/>
      </w:r>
      <w:r>
        <w:t xml:space="preserve">. </w:t>
      </w:r>
    </w:p>
    <w:p w:rsidR="001B3E96" w:rsidRDefault="002F6586" w:rsidP="00F35F08">
      <w:pPr>
        <w:pStyle w:val="ListBullet"/>
        <w:numPr>
          <w:ilvl w:val="0"/>
          <w:numId w:val="0"/>
        </w:numPr>
        <w:tabs>
          <w:tab w:val="clear" w:pos="284"/>
        </w:tabs>
      </w:pPr>
      <w:r w:rsidRPr="00EB2414">
        <w:t xml:space="preserve">Australia’s aid to </w:t>
      </w:r>
      <w:r w:rsidR="00CA59F3" w:rsidRPr="00EB2414">
        <w:t>Myanmar</w:t>
      </w:r>
      <w:r w:rsidRPr="00EB2414">
        <w:t xml:space="preserve"> is designed </w:t>
      </w:r>
      <w:r w:rsidR="00BB5F4F" w:rsidRPr="00EB2414">
        <w:t>to create an environment conducive to economic growth and increased trade by strengthening government capacity, promoting peace and stability</w:t>
      </w:r>
      <w:r w:rsidR="00DA5CF9" w:rsidRPr="00EB2414">
        <w:t>,</w:t>
      </w:r>
      <w:r w:rsidR="00BB5F4F" w:rsidRPr="00EB2414">
        <w:t xml:space="preserve"> and supporting the development of a healthy, educated population. </w:t>
      </w:r>
      <w:r w:rsidRPr="00EB2414">
        <w:t xml:space="preserve">In 2014-15 </w:t>
      </w:r>
      <w:r w:rsidR="00EB2414" w:rsidRPr="00EB2414">
        <w:t xml:space="preserve">our </w:t>
      </w:r>
      <w:r w:rsidRPr="00EB2414">
        <w:t xml:space="preserve">aid program worked with the </w:t>
      </w:r>
      <w:r w:rsidR="00CA59F3" w:rsidRPr="00EB2414">
        <w:t>Myanmar</w:t>
      </w:r>
      <w:r w:rsidRPr="00EB2414">
        <w:t xml:space="preserve"> Government to support productive political, economic and social reform. We supported </w:t>
      </w:r>
      <w:r w:rsidR="00CA59F3" w:rsidRPr="00EB2414">
        <w:t>Myanmar</w:t>
      </w:r>
      <w:r w:rsidRPr="00EB2414">
        <w:t>’s democratic transition by strengthening government capacity to deliver a credible ele</w:t>
      </w:r>
      <w:r w:rsidR="00A07EBA" w:rsidRPr="00EB2414">
        <w:t>ction in 2015. Australia</w:t>
      </w:r>
      <w:r w:rsidR="00BB5F4F" w:rsidRPr="00EB2414">
        <w:t xml:space="preserve"> help</w:t>
      </w:r>
      <w:r w:rsidR="00A07EBA" w:rsidRPr="00EB2414">
        <w:t>ed</w:t>
      </w:r>
      <w:r w:rsidR="00BB5F4F" w:rsidRPr="00EB2414">
        <w:t xml:space="preserve"> improve trade prospects through aid</w:t>
      </w:r>
      <w:r w:rsidRPr="00EB2414">
        <w:t xml:space="preserve"> for trade activities, promoted</w:t>
      </w:r>
      <w:r w:rsidR="00BB5F4F" w:rsidRPr="00EB2414">
        <w:t xml:space="preserve"> private</w:t>
      </w:r>
      <w:r w:rsidRPr="00EB2414">
        <w:t xml:space="preserve"> sector growth</w:t>
      </w:r>
      <w:r w:rsidR="00DA5CF9" w:rsidRPr="00EB2414">
        <w:t>,</w:t>
      </w:r>
      <w:r w:rsidRPr="00EB2414">
        <w:t xml:space="preserve"> and strengthened</w:t>
      </w:r>
      <w:r w:rsidR="00BB5F4F" w:rsidRPr="00EB2414">
        <w:t xml:space="preserve"> public financial management capacity. </w:t>
      </w:r>
      <w:r w:rsidR="00EA667B" w:rsidRPr="00EB2414">
        <w:t>Through our r</w:t>
      </w:r>
      <w:r w:rsidRPr="00EB2414">
        <w:t>egional engagement, Australia helped</w:t>
      </w:r>
      <w:r w:rsidR="00EA667B" w:rsidRPr="00EB2414">
        <w:t xml:space="preserve"> </w:t>
      </w:r>
      <w:r w:rsidR="00CA59F3" w:rsidRPr="00EB2414">
        <w:t>Myanmar</w:t>
      </w:r>
      <w:r w:rsidR="00EA667B" w:rsidRPr="00EB2414">
        <w:t xml:space="preserve"> to capture the benefits of economic regionalism, </w:t>
      </w:r>
      <w:r w:rsidR="00A1612F" w:rsidRPr="00EB2414">
        <w:t>particularly through the ASEAN Economic Community.</w:t>
      </w:r>
      <w:r w:rsidR="00A1612F">
        <w:t xml:space="preserve"> </w:t>
      </w:r>
    </w:p>
    <w:p w:rsidR="00BB5F4F" w:rsidRDefault="00076BC4" w:rsidP="00F35F08">
      <w:pPr>
        <w:pStyle w:val="ListBullet"/>
        <w:numPr>
          <w:ilvl w:val="0"/>
          <w:numId w:val="0"/>
        </w:numPr>
        <w:tabs>
          <w:tab w:val="clear" w:pos="284"/>
        </w:tabs>
      </w:pPr>
      <w:r>
        <w:t>In 2014-15 Australia provided</w:t>
      </w:r>
      <w:r w:rsidR="00BB5F4F">
        <w:t xml:space="preserve"> </w:t>
      </w:r>
      <w:r w:rsidR="00BB5F4F" w:rsidRPr="00E03B65">
        <w:t>$</w:t>
      </w:r>
      <w:r w:rsidR="00E03B65">
        <w:t>99.1</w:t>
      </w:r>
      <w:r w:rsidR="00BB5F4F">
        <w:t xml:space="preserve"> million in official development assistance (ODA) to </w:t>
      </w:r>
      <w:r w:rsidR="00CA59F3">
        <w:t>Myanmar</w:t>
      </w:r>
      <w:r w:rsidR="00BB5F4F">
        <w:t>, an increase fr</w:t>
      </w:r>
      <w:r>
        <w:t>om $91.8</w:t>
      </w:r>
      <w:r w:rsidR="00BB5F4F">
        <w:t xml:space="preserve"> million in 2013-14</w:t>
      </w:r>
      <w:r>
        <w:rPr>
          <w:rStyle w:val="EndnoteReference"/>
        </w:rPr>
        <w:endnoteReference w:id="8"/>
      </w:r>
      <w:r w:rsidR="00BB5F4F">
        <w:t xml:space="preserve">. </w:t>
      </w:r>
      <w:r w:rsidR="0003274C">
        <w:t>This was delivered largely through multi-donor trust funds</w:t>
      </w:r>
      <w:r w:rsidR="000546B7">
        <w:t>, although Australia has begun to work more closely with the Myanmar Government on education, public financial management and economic governance</w:t>
      </w:r>
      <w:r w:rsidR="0003274C">
        <w:t xml:space="preserve">. </w:t>
      </w:r>
      <w:r w:rsidR="00BB5F4F">
        <w:t>Australia’s</w:t>
      </w:r>
      <w:r w:rsidR="00A1612F">
        <w:t xml:space="preserve"> ODA to </w:t>
      </w:r>
      <w:r w:rsidR="00CA59F3">
        <w:t>Myanmar</w:t>
      </w:r>
      <w:r w:rsidR="00A1612F">
        <w:t xml:space="preserve"> in 2014-15 equated</w:t>
      </w:r>
      <w:r w:rsidR="00BB5F4F">
        <w:t xml:space="preserve"> to approximately 0.1 per cent of </w:t>
      </w:r>
      <w:r w:rsidR="00CA59F3">
        <w:t>Myanmar</w:t>
      </w:r>
      <w:r w:rsidR="00BB5F4F">
        <w:t>’s estimated 2014 gross domestic product</w:t>
      </w:r>
      <w:r w:rsidR="00BB5F4F">
        <w:rPr>
          <w:rStyle w:val="EndnoteReference"/>
        </w:rPr>
        <w:endnoteReference w:id="9"/>
      </w:r>
      <w:r w:rsidR="00DA5CF9">
        <w:t>.</w:t>
      </w:r>
      <w:r w:rsidR="00BB5F4F">
        <w:t xml:space="preserve"> Official figures remain difficult to confirm; however in 2014-15 Australia was considered one of the most significant donors to </w:t>
      </w:r>
      <w:r w:rsidR="00CA59F3">
        <w:t>Myanmar</w:t>
      </w:r>
      <w:r w:rsidR="00FA3ABB">
        <w:t>, both in volume and because Australian ODA is totally grant-based and does not include concessional lending</w:t>
      </w:r>
      <w:r w:rsidR="008F66F7">
        <w:t xml:space="preserve"> or debt relief</w:t>
      </w:r>
      <w:r w:rsidR="00BB5F4F">
        <w:t>. Other major donors include</w:t>
      </w:r>
      <w:r w:rsidR="007D7844">
        <w:t>, in order</w:t>
      </w:r>
      <w:r w:rsidR="00BB5F4F">
        <w:t xml:space="preserve">: Japan </w:t>
      </w:r>
      <w:r w:rsidR="00F3321E">
        <w:t>(</w:t>
      </w:r>
      <w:r w:rsidR="003D11E7">
        <w:t>AUD262 million</w:t>
      </w:r>
      <w:r w:rsidRPr="00643B5A">
        <w:rPr>
          <w:rStyle w:val="EndnoteReference"/>
        </w:rPr>
        <w:endnoteReference w:id="10"/>
      </w:r>
      <w:r w:rsidR="00DA5CF9">
        <w:t>)</w:t>
      </w:r>
      <w:r w:rsidR="00BB5F4F" w:rsidRPr="00643B5A">
        <w:t>;</w:t>
      </w:r>
      <w:r w:rsidR="003D11E7">
        <w:t xml:space="preserve"> France (AUD155 million</w:t>
      </w:r>
      <w:r w:rsidR="00BB5F4F">
        <w:rPr>
          <w:rStyle w:val="EndnoteReference"/>
        </w:rPr>
        <w:endnoteReference w:id="11"/>
      </w:r>
      <w:r w:rsidR="00DA5CF9">
        <w:t>)</w:t>
      </w:r>
      <w:r w:rsidR="00510D1D">
        <w:t>;</w:t>
      </w:r>
      <w:r w:rsidR="003D11E7">
        <w:t xml:space="preserve"> </w:t>
      </w:r>
      <w:r w:rsidR="00510D1D">
        <w:t>the European Union (AUD140 million</w:t>
      </w:r>
      <w:r w:rsidR="00510D1D">
        <w:rPr>
          <w:rStyle w:val="EndnoteReference"/>
        </w:rPr>
        <w:endnoteReference w:id="12"/>
      </w:r>
      <w:r w:rsidR="00510D1D">
        <w:t xml:space="preserve">); </w:t>
      </w:r>
      <w:r w:rsidR="003D11E7">
        <w:t>the United Kingdom (AUD136 million</w:t>
      </w:r>
      <w:r w:rsidR="00BB5F4F">
        <w:rPr>
          <w:rStyle w:val="EndnoteReference"/>
        </w:rPr>
        <w:endnoteReference w:id="13"/>
      </w:r>
      <w:r w:rsidR="003D11E7">
        <w:t xml:space="preserve">); </w:t>
      </w:r>
      <w:r w:rsidR="00BB5F4F">
        <w:t xml:space="preserve">and the United States </w:t>
      </w:r>
      <w:r w:rsidR="00F3321E">
        <w:t>(</w:t>
      </w:r>
      <w:r w:rsidR="00510D1D">
        <w:t>AUD80</w:t>
      </w:r>
      <w:r w:rsidR="00640293" w:rsidRPr="00640293">
        <w:t xml:space="preserve"> million</w:t>
      </w:r>
      <w:r w:rsidR="00640293" w:rsidRPr="00640293">
        <w:rPr>
          <w:rStyle w:val="EndnoteReference"/>
        </w:rPr>
        <w:endnoteReference w:id="14"/>
      </w:r>
      <w:r w:rsidR="00DA5CF9">
        <w:t>)</w:t>
      </w:r>
      <w:r w:rsidR="00BB5F4F" w:rsidRPr="00640293">
        <w:t>.</w:t>
      </w:r>
      <w:r w:rsidR="00BB5F4F">
        <w:t xml:space="preserve"> </w:t>
      </w:r>
      <w:r w:rsidR="007D7844">
        <w:t xml:space="preserve">The recent growth in donor investment in </w:t>
      </w:r>
      <w:r w:rsidR="00CA59F3">
        <w:t>Myanmar</w:t>
      </w:r>
      <w:r w:rsidR="007D7844">
        <w:t xml:space="preserve"> and a reduced Australian aid budget has decreased the comparative size of Australia’s donor </w:t>
      </w:r>
      <w:r w:rsidR="007D7844">
        <w:lastRenderedPageBreak/>
        <w:t>footprint. But the value of Australia’s contribution is greater than our funding: our</w:t>
      </w:r>
      <w:r w:rsidR="00BB5F4F">
        <w:t xml:space="preserve"> </w:t>
      </w:r>
      <w:r w:rsidR="007D7844">
        <w:t xml:space="preserve">enduring presence in </w:t>
      </w:r>
      <w:r w:rsidR="00CA59F3">
        <w:t>Myanmar</w:t>
      </w:r>
      <w:r w:rsidR="007D7844">
        <w:t xml:space="preserve"> and strong policy dialogue with the </w:t>
      </w:r>
      <w:r w:rsidR="00CA59F3">
        <w:t>Myanmar</w:t>
      </w:r>
      <w:r w:rsidR="007D7844">
        <w:t xml:space="preserve"> Government has</w:t>
      </w:r>
      <w:r w:rsidR="00BB5F4F">
        <w:t xml:space="preserve"> helped to build our reputation and influence as a supportive and constructive development partner. </w:t>
      </w:r>
    </w:p>
    <w:p w:rsidR="00BB5F4F" w:rsidRPr="009E38C1" w:rsidRDefault="00BB5F4F" w:rsidP="00F35F08">
      <w:pPr>
        <w:pStyle w:val="Heading2"/>
        <w:rPr>
          <w:sz w:val="28"/>
        </w:rPr>
      </w:pPr>
      <w:r w:rsidRPr="009E38C1">
        <w:rPr>
          <w:sz w:val="28"/>
        </w:rPr>
        <w:t>Expenditure</w:t>
      </w:r>
      <w:r>
        <w:rPr>
          <w:sz w:val="28"/>
        </w:rPr>
        <w:t xml:space="preserve"> </w:t>
      </w:r>
    </w:p>
    <w:p w:rsidR="00BB5F4F" w:rsidRDefault="00BB5F4F" w:rsidP="00F35F08">
      <w:pPr>
        <w:pStyle w:val="Caption"/>
        <w:keepLines/>
      </w:pPr>
      <w:r w:rsidRPr="005901D2">
        <w:t xml:space="preserve">Table </w:t>
      </w:r>
      <w:fldSimple w:instr=" SEQ Table \* ARABIC ">
        <w:r w:rsidR="00755F1A">
          <w:rPr>
            <w:noProof/>
          </w:rPr>
          <w:t>1</w:t>
        </w:r>
      </w:fldSimple>
      <w:r w:rsidRPr="005901D2">
        <w:t xml:space="preserve"> </w:t>
      </w:r>
      <w:r>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BB5F4F" w:rsidRPr="00687B2F" w:rsidTr="0058069A">
        <w:trPr>
          <w:trHeight w:val="303"/>
        </w:trPr>
        <w:tc>
          <w:tcPr>
            <w:tcW w:w="6204" w:type="dxa"/>
          </w:tcPr>
          <w:p w:rsidR="00BB5F4F" w:rsidRPr="00687B2F" w:rsidRDefault="00BB5F4F" w:rsidP="00A07EBA">
            <w:pPr>
              <w:pStyle w:val="BodyText"/>
              <w:keepNext/>
              <w:spacing w:line="200" w:lineRule="exact"/>
              <w:rPr>
                <w:b/>
                <w:sz w:val="17"/>
                <w:szCs w:val="17"/>
              </w:rPr>
            </w:pPr>
            <w:r w:rsidRPr="00687B2F">
              <w:rPr>
                <w:b/>
                <w:sz w:val="17"/>
                <w:szCs w:val="17"/>
              </w:rPr>
              <w:t>Objective</w:t>
            </w:r>
          </w:p>
        </w:tc>
        <w:tc>
          <w:tcPr>
            <w:tcW w:w="992" w:type="dxa"/>
          </w:tcPr>
          <w:p w:rsidR="00BB5F4F" w:rsidRPr="00687B2F" w:rsidRDefault="00BB5F4F" w:rsidP="00A07EBA">
            <w:pPr>
              <w:pStyle w:val="BodyText"/>
              <w:keepNext/>
              <w:spacing w:line="200" w:lineRule="exact"/>
              <w:rPr>
                <w:sz w:val="17"/>
                <w:szCs w:val="17"/>
              </w:rPr>
            </w:pPr>
            <w:r w:rsidRPr="00687B2F">
              <w:rPr>
                <w:b/>
                <w:sz w:val="17"/>
                <w:szCs w:val="17"/>
              </w:rPr>
              <w:t>A$ million</w:t>
            </w:r>
          </w:p>
        </w:tc>
        <w:tc>
          <w:tcPr>
            <w:tcW w:w="1525" w:type="dxa"/>
          </w:tcPr>
          <w:p w:rsidR="00BB5F4F" w:rsidRPr="00687B2F" w:rsidRDefault="00BB5F4F" w:rsidP="00A07EBA">
            <w:pPr>
              <w:pStyle w:val="BodyText"/>
              <w:keepNext/>
              <w:spacing w:line="200" w:lineRule="exact"/>
              <w:rPr>
                <w:sz w:val="17"/>
                <w:szCs w:val="17"/>
              </w:rPr>
            </w:pPr>
            <w:r w:rsidRPr="00C03987">
              <w:rPr>
                <w:b/>
                <w:sz w:val="17"/>
                <w:szCs w:val="17"/>
              </w:rPr>
              <w:t>% of total ODA</w:t>
            </w:r>
          </w:p>
        </w:tc>
      </w:tr>
      <w:tr w:rsidR="00BB5F4F" w:rsidRPr="00687B2F" w:rsidTr="00F35F08">
        <w:tc>
          <w:tcPr>
            <w:tcW w:w="6204" w:type="dxa"/>
          </w:tcPr>
          <w:p w:rsidR="00BB5F4F" w:rsidRPr="00687B2F" w:rsidRDefault="00BB5F4F" w:rsidP="00A07EBA">
            <w:pPr>
              <w:pStyle w:val="BodyText"/>
              <w:keepNext/>
              <w:spacing w:line="200" w:lineRule="exact"/>
              <w:rPr>
                <w:b/>
                <w:i/>
                <w:sz w:val="17"/>
                <w:szCs w:val="17"/>
              </w:rPr>
            </w:pPr>
            <w:r w:rsidRPr="00687B2F">
              <w:rPr>
                <w:b/>
                <w:i/>
                <w:sz w:val="17"/>
                <w:szCs w:val="17"/>
              </w:rPr>
              <w:t xml:space="preserve">Bilateral </w:t>
            </w:r>
          </w:p>
        </w:tc>
        <w:tc>
          <w:tcPr>
            <w:tcW w:w="992" w:type="dxa"/>
          </w:tcPr>
          <w:p w:rsidR="00BB5F4F" w:rsidRPr="00687B2F" w:rsidRDefault="00BB5F4F" w:rsidP="00A07EBA">
            <w:pPr>
              <w:pStyle w:val="BodyText"/>
              <w:keepNext/>
              <w:spacing w:line="200" w:lineRule="exact"/>
              <w:rPr>
                <w:b/>
                <w:sz w:val="17"/>
                <w:szCs w:val="17"/>
              </w:rPr>
            </w:pPr>
          </w:p>
        </w:tc>
        <w:tc>
          <w:tcPr>
            <w:tcW w:w="1525" w:type="dxa"/>
          </w:tcPr>
          <w:p w:rsidR="00BB5F4F" w:rsidRPr="00687B2F" w:rsidRDefault="00BB5F4F" w:rsidP="00A07EBA">
            <w:pPr>
              <w:pStyle w:val="BodyText"/>
              <w:keepNext/>
              <w:spacing w:line="200" w:lineRule="exact"/>
              <w:rPr>
                <w:b/>
                <w:sz w:val="17"/>
                <w:szCs w:val="17"/>
              </w:rPr>
            </w:pPr>
          </w:p>
        </w:tc>
      </w:tr>
      <w:tr w:rsidR="00BB5F4F" w:rsidRPr="00687B2F" w:rsidTr="00F35F08">
        <w:tc>
          <w:tcPr>
            <w:tcW w:w="6204" w:type="dxa"/>
          </w:tcPr>
          <w:p w:rsidR="00BB5F4F" w:rsidRPr="00687B2F" w:rsidRDefault="00BB5F4F" w:rsidP="00A07EBA">
            <w:pPr>
              <w:pStyle w:val="BodyText"/>
              <w:keepNext/>
              <w:spacing w:before="40" w:after="40" w:line="200" w:lineRule="exact"/>
              <w:rPr>
                <w:sz w:val="17"/>
                <w:szCs w:val="17"/>
              </w:rPr>
            </w:pPr>
            <w:r>
              <w:rPr>
                <w:sz w:val="17"/>
                <w:szCs w:val="17"/>
              </w:rPr>
              <w:t>Improving the delivery of basic education to the poor</w:t>
            </w:r>
          </w:p>
        </w:tc>
        <w:tc>
          <w:tcPr>
            <w:tcW w:w="992" w:type="dxa"/>
          </w:tcPr>
          <w:p w:rsidR="00BB5F4F" w:rsidRPr="00687B2F" w:rsidRDefault="00BB5F4F" w:rsidP="00A07EBA">
            <w:pPr>
              <w:pStyle w:val="BodyText"/>
              <w:keepNext/>
              <w:spacing w:before="40" w:after="40" w:line="200" w:lineRule="exact"/>
              <w:rPr>
                <w:sz w:val="17"/>
                <w:szCs w:val="17"/>
              </w:rPr>
            </w:pPr>
            <w:r>
              <w:rPr>
                <w:sz w:val="17"/>
                <w:szCs w:val="17"/>
              </w:rPr>
              <w:t>2</w:t>
            </w:r>
            <w:r w:rsidR="00C03987">
              <w:rPr>
                <w:sz w:val="17"/>
                <w:szCs w:val="17"/>
              </w:rPr>
              <w:t>6.2</w:t>
            </w:r>
          </w:p>
        </w:tc>
        <w:tc>
          <w:tcPr>
            <w:tcW w:w="1525" w:type="dxa"/>
          </w:tcPr>
          <w:p w:rsidR="00BB5F4F" w:rsidRPr="00687B2F" w:rsidRDefault="00C03987" w:rsidP="00A07EBA">
            <w:pPr>
              <w:pStyle w:val="BodyText"/>
              <w:keepNext/>
              <w:spacing w:before="40" w:after="40" w:line="200" w:lineRule="exact"/>
              <w:rPr>
                <w:sz w:val="17"/>
                <w:szCs w:val="17"/>
              </w:rPr>
            </w:pPr>
            <w:r>
              <w:rPr>
                <w:sz w:val="17"/>
                <w:szCs w:val="17"/>
              </w:rPr>
              <w:t xml:space="preserve">  26.4</w:t>
            </w:r>
          </w:p>
        </w:tc>
      </w:tr>
      <w:tr w:rsidR="00BB5F4F" w:rsidRPr="00687B2F" w:rsidTr="00F35F08">
        <w:tc>
          <w:tcPr>
            <w:tcW w:w="6204" w:type="dxa"/>
          </w:tcPr>
          <w:p w:rsidR="00BB5F4F" w:rsidRPr="00687B2F" w:rsidRDefault="00BB5F4F" w:rsidP="00A07EBA">
            <w:pPr>
              <w:pStyle w:val="BodyText"/>
              <w:keepNext/>
              <w:spacing w:before="40" w:after="40" w:line="200" w:lineRule="exact"/>
              <w:rPr>
                <w:sz w:val="17"/>
                <w:szCs w:val="17"/>
              </w:rPr>
            </w:pPr>
            <w:r>
              <w:rPr>
                <w:sz w:val="17"/>
                <w:szCs w:val="17"/>
              </w:rPr>
              <w:t>Improving the delivery of health services to the poor</w:t>
            </w:r>
          </w:p>
        </w:tc>
        <w:tc>
          <w:tcPr>
            <w:tcW w:w="992" w:type="dxa"/>
          </w:tcPr>
          <w:p w:rsidR="00BB5F4F" w:rsidRPr="00687B2F" w:rsidRDefault="00BB5F4F" w:rsidP="00A07EBA">
            <w:pPr>
              <w:pStyle w:val="BodyText"/>
              <w:keepNext/>
              <w:spacing w:before="40" w:after="40" w:line="200" w:lineRule="exact"/>
              <w:rPr>
                <w:sz w:val="17"/>
                <w:szCs w:val="17"/>
              </w:rPr>
            </w:pPr>
            <w:r>
              <w:rPr>
                <w:sz w:val="17"/>
                <w:szCs w:val="17"/>
              </w:rPr>
              <w:t>10.</w:t>
            </w:r>
            <w:r w:rsidR="00C03987">
              <w:rPr>
                <w:sz w:val="17"/>
                <w:szCs w:val="17"/>
              </w:rPr>
              <w:t>5</w:t>
            </w:r>
          </w:p>
        </w:tc>
        <w:tc>
          <w:tcPr>
            <w:tcW w:w="1525" w:type="dxa"/>
          </w:tcPr>
          <w:p w:rsidR="00BB5F4F" w:rsidRPr="00687B2F" w:rsidRDefault="00C03987" w:rsidP="00A07EBA">
            <w:pPr>
              <w:pStyle w:val="BodyText"/>
              <w:keepNext/>
              <w:spacing w:before="40" w:after="40" w:line="200" w:lineRule="exact"/>
              <w:rPr>
                <w:sz w:val="17"/>
                <w:szCs w:val="17"/>
              </w:rPr>
            </w:pPr>
            <w:r>
              <w:rPr>
                <w:sz w:val="17"/>
                <w:szCs w:val="17"/>
              </w:rPr>
              <w:t xml:space="preserve">  10.6</w:t>
            </w:r>
          </w:p>
        </w:tc>
      </w:tr>
      <w:tr w:rsidR="00BB5F4F" w:rsidRPr="00687B2F" w:rsidTr="00F35F08">
        <w:tc>
          <w:tcPr>
            <w:tcW w:w="6204" w:type="dxa"/>
          </w:tcPr>
          <w:p w:rsidR="00BB5F4F" w:rsidRDefault="00BB5F4F" w:rsidP="00A07EBA">
            <w:pPr>
              <w:pStyle w:val="BodyText"/>
              <w:keepNext/>
              <w:spacing w:before="40" w:after="40" w:line="200" w:lineRule="exact"/>
              <w:rPr>
                <w:sz w:val="17"/>
                <w:szCs w:val="17"/>
              </w:rPr>
            </w:pPr>
            <w:r>
              <w:rPr>
                <w:sz w:val="17"/>
                <w:szCs w:val="17"/>
              </w:rPr>
              <w:t>Improving the livelihoods of the rural poor</w:t>
            </w:r>
          </w:p>
          <w:p w:rsidR="00BB5F4F" w:rsidRDefault="00BB5F4F" w:rsidP="00A07EBA">
            <w:pPr>
              <w:pStyle w:val="BodyText"/>
              <w:keepNext/>
              <w:spacing w:before="40" w:after="40" w:line="200" w:lineRule="exact"/>
              <w:rPr>
                <w:sz w:val="17"/>
                <w:szCs w:val="17"/>
              </w:rPr>
            </w:pPr>
            <w:r>
              <w:rPr>
                <w:sz w:val="17"/>
                <w:szCs w:val="17"/>
              </w:rPr>
              <w:t>Addressing the needs of conflict and disaster affected people</w:t>
            </w:r>
          </w:p>
          <w:p w:rsidR="00BB5F4F" w:rsidRPr="00687B2F" w:rsidRDefault="00BB5F4F" w:rsidP="00A07EBA">
            <w:pPr>
              <w:pStyle w:val="BodyText"/>
              <w:keepNext/>
              <w:spacing w:before="40" w:after="40" w:line="200" w:lineRule="exact"/>
              <w:rPr>
                <w:sz w:val="17"/>
                <w:szCs w:val="17"/>
              </w:rPr>
            </w:pPr>
            <w:r>
              <w:rPr>
                <w:sz w:val="17"/>
                <w:szCs w:val="17"/>
              </w:rPr>
              <w:t>Supporting reform and improved governance</w:t>
            </w:r>
          </w:p>
        </w:tc>
        <w:tc>
          <w:tcPr>
            <w:tcW w:w="992" w:type="dxa"/>
          </w:tcPr>
          <w:p w:rsidR="00BB5F4F" w:rsidRDefault="00C03987" w:rsidP="00A07EBA">
            <w:pPr>
              <w:pStyle w:val="BodyText"/>
              <w:keepNext/>
              <w:spacing w:before="40" w:after="40" w:line="200" w:lineRule="exact"/>
              <w:rPr>
                <w:sz w:val="17"/>
                <w:szCs w:val="17"/>
              </w:rPr>
            </w:pPr>
            <w:r>
              <w:rPr>
                <w:sz w:val="17"/>
                <w:szCs w:val="17"/>
              </w:rPr>
              <w:t xml:space="preserve">  6.2</w:t>
            </w:r>
          </w:p>
          <w:p w:rsidR="00BB5F4F" w:rsidRDefault="00C03987" w:rsidP="00A07EBA">
            <w:pPr>
              <w:pStyle w:val="BodyText"/>
              <w:keepNext/>
              <w:spacing w:before="40" w:after="40" w:line="200" w:lineRule="exact"/>
              <w:rPr>
                <w:sz w:val="17"/>
                <w:szCs w:val="17"/>
              </w:rPr>
            </w:pPr>
            <w:r>
              <w:rPr>
                <w:sz w:val="17"/>
                <w:szCs w:val="17"/>
              </w:rPr>
              <w:t>17.0</w:t>
            </w:r>
          </w:p>
          <w:p w:rsidR="00BB5F4F" w:rsidRPr="00687B2F" w:rsidRDefault="00BB5F4F" w:rsidP="00A07EBA">
            <w:pPr>
              <w:pStyle w:val="BodyText"/>
              <w:keepNext/>
              <w:spacing w:before="40" w:after="40" w:line="200" w:lineRule="exact"/>
              <w:rPr>
                <w:sz w:val="17"/>
                <w:szCs w:val="17"/>
              </w:rPr>
            </w:pPr>
            <w:r>
              <w:rPr>
                <w:sz w:val="17"/>
                <w:szCs w:val="17"/>
              </w:rPr>
              <w:t>1</w:t>
            </w:r>
            <w:r w:rsidR="00C03987">
              <w:rPr>
                <w:sz w:val="17"/>
                <w:szCs w:val="17"/>
              </w:rPr>
              <w:t>3.1</w:t>
            </w:r>
          </w:p>
        </w:tc>
        <w:tc>
          <w:tcPr>
            <w:tcW w:w="1525" w:type="dxa"/>
          </w:tcPr>
          <w:p w:rsidR="00BB5F4F" w:rsidRDefault="00C03987" w:rsidP="00A07EBA">
            <w:pPr>
              <w:pStyle w:val="BodyText"/>
              <w:keepNext/>
              <w:spacing w:before="40" w:after="40" w:line="200" w:lineRule="exact"/>
              <w:rPr>
                <w:sz w:val="17"/>
                <w:szCs w:val="17"/>
              </w:rPr>
            </w:pPr>
            <w:r>
              <w:rPr>
                <w:sz w:val="17"/>
                <w:szCs w:val="17"/>
              </w:rPr>
              <w:t xml:space="preserve">    6.3</w:t>
            </w:r>
          </w:p>
          <w:p w:rsidR="00C03987" w:rsidRDefault="00C03987" w:rsidP="00A07EBA">
            <w:pPr>
              <w:pStyle w:val="BodyText"/>
              <w:keepNext/>
              <w:spacing w:before="40" w:after="40" w:line="200" w:lineRule="exact"/>
              <w:rPr>
                <w:sz w:val="17"/>
                <w:szCs w:val="17"/>
              </w:rPr>
            </w:pPr>
            <w:r>
              <w:rPr>
                <w:sz w:val="17"/>
                <w:szCs w:val="17"/>
              </w:rPr>
              <w:t xml:space="preserve">  17.2</w:t>
            </w:r>
          </w:p>
          <w:p w:rsidR="00C03987" w:rsidRPr="00687B2F" w:rsidRDefault="00C03987" w:rsidP="00A07EBA">
            <w:pPr>
              <w:pStyle w:val="BodyText"/>
              <w:keepNext/>
              <w:spacing w:before="40" w:after="40" w:line="200" w:lineRule="exact"/>
              <w:rPr>
                <w:sz w:val="17"/>
                <w:szCs w:val="17"/>
              </w:rPr>
            </w:pPr>
            <w:r>
              <w:rPr>
                <w:sz w:val="17"/>
                <w:szCs w:val="17"/>
              </w:rPr>
              <w:t xml:space="preserve">  13.2</w:t>
            </w:r>
          </w:p>
        </w:tc>
      </w:tr>
      <w:tr w:rsidR="00BB5F4F" w:rsidRPr="00687B2F" w:rsidTr="00F35F08">
        <w:tc>
          <w:tcPr>
            <w:tcW w:w="6204" w:type="dxa"/>
          </w:tcPr>
          <w:p w:rsidR="00BB5F4F" w:rsidRPr="00687B2F" w:rsidRDefault="00BB5F4F" w:rsidP="00A07EBA">
            <w:pPr>
              <w:pStyle w:val="BodyText"/>
              <w:keepNext/>
              <w:spacing w:line="200" w:lineRule="exact"/>
              <w:rPr>
                <w:b/>
                <w:sz w:val="17"/>
                <w:szCs w:val="17"/>
              </w:rPr>
            </w:pPr>
            <w:r w:rsidRPr="00687B2F">
              <w:rPr>
                <w:b/>
                <w:sz w:val="17"/>
                <w:szCs w:val="17"/>
              </w:rPr>
              <w:t>Sub-Total Bilateral</w:t>
            </w:r>
          </w:p>
        </w:tc>
        <w:tc>
          <w:tcPr>
            <w:tcW w:w="992" w:type="dxa"/>
          </w:tcPr>
          <w:p w:rsidR="00BB5F4F" w:rsidRPr="00C03987" w:rsidRDefault="00E03B65" w:rsidP="00A07EBA">
            <w:pPr>
              <w:pStyle w:val="BodyText"/>
              <w:keepNext/>
              <w:spacing w:line="200" w:lineRule="exact"/>
              <w:rPr>
                <w:b/>
                <w:sz w:val="17"/>
                <w:szCs w:val="17"/>
              </w:rPr>
            </w:pPr>
            <w:r w:rsidRPr="00C03987">
              <w:rPr>
                <w:b/>
                <w:sz w:val="17"/>
                <w:szCs w:val="17"/>
              </w:rPr>
              <w:t>73</w:t>
            </w:r>
            <w:r w:rsidR="00BB5F4F" w:rsidRPr="00C03987">
              <w:rPr>
                <w:b/>
                <w:sz w:val="17"/>
                <w:szCs w:val="17"/>
              </w:rPr>
              <w:t>.</w:t>
            </w:r>
            <w:r w:rsidRPr="00C03987">
              <w:rPr>
                <w:b/>
                <w:sz w:val="17"/>
                <w:szCs w:val="17"/>
              </w:rPr>
              <w:t>0</w:t>
            </w:r>
          </w:p>
        </w:tc>
        <w:tc>
          <w:tcPr>
            <w:tcW w:w="1525" w:type="dxa"/>
          </w:tcPr>
          <w:p w:rsidR="00BB5F4F" w:rsidRPr="00687B2F" w:rsidRDefault="00C03987" w:rsidP="00A07EBA">
            <w:pPr>
              <w:pStyle w:val="BodyText"/>
              <w:keepNext/>
              <w:spacing w:line="200" w:lineRule="exact"/>
              <w:rPr>
                <w:sz w:val="17"/>
                <w:szCs w:val="17"/>
              </w:rPr>
            </w:pPr>
            <w:r>
              <w:rPr>
                <w:sz w:val="17"/>
                <w:szCs w:val="17"/>
              </w:rPr>
              <w:t xml:space="preserve">  73.7</w:t>
            </w:r>
          </w:p>
        </w:tc>
      </w:tr>
      <w:tr w:rsidR="00BB5F4F" w:rsidRPr="00687B2F" w:rsidTr="00F35F08">
        <w:tc>
          <w:tcPr>
            <w:tcW w:w="6204" w:type="dxa"/>
          </w:tcPr>
          <w:p w:rsidR="00BB5F4F" w:rsidRPr="00E03B65" w:rsidRDefault="00BB5F4F" w:rsidP="00A07EBA">
            <w:pPr>
              <w:pStyle w:val="BodyText"/>
              <w:keepNext/>
              <w:spacing w:before="40" w:after="40" w:line="200" w:lineRule="exact"/>
              <w:rPr>
                <w:sz w:val="17"/>
                <w:szCs w:val="17"/>
              </w:rPr>
            </w:pPr>
            <w:r w:rsidRPr="00E03B65">
              <w:rPr>
                <w:sz w:val="17"/>
                <w:szCs w:val="17"/>
              </w:rPr>
              <w:t>Regional and Global</w:t>
            </w:r>
          </w:p>
        </w:tc>
        <w:tc>
          <w:tcPr>
            <w:tcW w:w="992" w:type="dxa"/>
          </w:tcPr>
          <w:p w:rsidR="00BB5F4F" w:rsidRPr="00687B2F" w:rsidRDefault="00E03B65" w:rsidP="00A07EBA">
            <w:pPr>
              <w:pStyle w:val="BodyText"/>
              <w:keepNext/>
              <w:spacing w:before="40" w:after="40" w:line="200" w:lineRule="exact"/>
              <w:rPr>
                <w:sz w:val="17"/>
                <w:szCs w:val="17"/>
              </w:rPr>
            </w:pPr>
            <w:r>
              <w:rPr>
                <w:sz w:val="17"/>
                <w:szCs w:val="17"/>
              </w:rPr>
              <w:t>26.1</w:t>
            </w:r>
          </w:p>
        </w:tc>
        <w:tc>
          <w:tcPr>
            <w:tcW w:w="1525" w:type="dxa"/>
          </w:tcPr>
          <w:p w:rsidR="00BB5F4F" w:rsidRPr="00687B2F" w:rsidRDefault="00C03987" w:rsidP="00A07EBA">
            <w:pPr>
              <w:pStyle w:val="BodyText"/>
              <w:keepNext/>
              <w:spacing w:before="40" w:after="40" w:line="200" w:lineRule="exact"/>
              <w:rPr>
                <w:sz w:val="17"/>
                <w:szCs w:val="17"/>
              </w:rPr>
            </w:pPr>
            <w:r>
              <w:rPr>
                <w:sz w:val="17"/>
                <w:szCs w:val="17"/>
              </w:rPr>
              <w:t xml:space="preserve">  26.3</w:t>
            </w:r>
          </w:p>
        </w:tc>
      </w:tr>
      <w:tr w:rsidR="00BB5F4F" w:rsidRPr="00687B2F" w:rsidTr="00F35F08">
        <w:tc>
          <w:tcPr>
            <w:tcW w:w="6204" w:type="dxa"/>
          </w:tcPr>
          <w:p w:rsidR="00BB5F4F" w:rsidRPr="00E03B65" w:rsidRDefault="00BB5F4F" w:rsidP="00A07EBA">
            <w:pPr>
              <w:pStyle w:val="BodyText"/>
              <w:keepNext/>
              <w:spacing w:before="40" w:after="40" w:line="200" w:lineRule="exact"/>
              <w:rPr>
                <w:sz w:val="17"/>
                <w:szCs w:val="17"/>
              </w:rPr>
            </w:pPr>
            <w:r w:rsidRPr="00E03B65">
              <w:rPr>
                <w:sz w:val="17"/>
                <w:szCs w:val="17"/>
              </w:rPr>
              <w:t>Other Government Departments</w:t>
            </w:r>
          </w:p>
        </w:tc>
        <w:tc>
          <w:tcPr>
            <w:tcW w:w="992" w:type="dxa"/>
          </w:tcPr>
          <w:p w:rsidR="00BB5F4F" w:rsidRPr="00687B2F" w:rsidRDefault="00E03B65" w:rsidP="00A07EBA">
            <w:pPr>
              <w:pStyle w:val="BodyText"/>
              <w:keepNext/>
              <w:spacing w:before="40" w:after="40" w:line="200" w:lineRule="exact"/>
              <w:rPr>
                <w:sz w:val="17"/>
                <w:szCs w:val="17"/>
              </w:rPr>
            </w:pPr>
            <w:r>
              <w:rPr>
                <w:sz w:val="17"/>
                <w:szCs w:val="17"/>
              </w:rPr>
              <w:t xml:space="preserve">  0.0</w:t>
            </w:r>
          </w:p>
        </w:tc>
        <w:tc>
          <w:tcPr>
            <w:tcW w:w="1525" w:type="dxa"/>
          </w:tcPr>
          <w:p w:rsidR="00BB5F4F" w:rsidRPr="00687B2F" w:rsidRDefault="00C03987" w:rsidP="00A07EBA">
            <w:pPr>
              <w:pStyle w:val="BodyText"/>
              <w:keepNext/>
              <w:spacing w:before="40" w:after="40" w:line="200" w:lineRule="exact"/>
              <w:rPr>
                <w:sz w:val="17"/>
                <w:szCs w:val="17"/>
              </w:rPr>
            </w:pPr>
            <w:r>
              <w:rPr>
                <w:sz w:val="17"/>
                <w:szCs w:val="17"/>
              </w:rPr>
              <w:t xml:space="preserve">    0.0</w:t>
            </w:r>
          </w:p>
        </w:tc>
      </w:tr>
      <w:tr w:rsidR="00BB5F4F" w:rsidRPr="00687B2F" w:rsidTr="00F35F08">
        <w:tc>
          <w:tcPr>
            <w:tcW w:w="6204" w:type="dxa"/>
          </w:tcPr>
          <w:p w:rsidR="00BB5F4F" w:rsidRPr="00E03B65" w:rsidRDefault="00BB5F4F" w:rsidP="00A07EBA">
            <w:pPr>
              <w:pStyle w:val="BodyText"/>
              <w:keepNext/>
              <w:spacing w:line="200" w:lineRule="exact"/>
              <w:rPr>
                <w:b/>
                <w:sz w:val="17"/>
                <w:szCs w:val="17"/>
              </w:rPr>
            </w:pPr>
            <w:r w:rsidRPr="00E03B65">
              <w:rPr>
                <w:b/>
                <w:sz w:val="17"/>
                <w:szCs w:val="17"/>
              </w:rPr>
              <w:t>Total ODA Expenditure</w:t>
            </w:r>
          </w:p>
        </w:tc>
        <w:tc>
          <w:tcPr>
            <w:tcW w:w="992" w:type="dxa"/>
          </w:tcPr>
          <w:p w:rsidR="00BB5F4F" w:rsidRPr="00C03987" w:rsidRDefault="00E03B65" w:rsidP="00A07EBA">
            <w:pPr>
              <w:pStyle w:val="BodyText"/>
              <w:keepNext/>
              <w:spacing w:line="200" w:lineRule="exact"/>
              <w:rPr>
                <w:b/>
                <w:sz w:val="17"/>
                <w:szCs w:val="17"/>
              </w:rPr>
            </w:pPr>
            <w:r w:rsidRPr="00C03987">
              <w:rPr>
                <w:b/>
                <w:sz w:val="17"/>
                <w:szCs w:val="17"/>
              </w:rPr>
              <w:t>99.1</w:t>
            </w:r>
          </w:p>
        </w:tc>
        <w:tc>
          <w:tcPr>
            <w:tcW w:w="1525" w:type="dxa"/>
          </w:tcPr>
          <w:p w:rsidR="00BB5F4F" w:rsidRPr="00687B2F" w:rsidRDefault="00C03987" w:rsidP="00A07EBA">
            <w:pPr>
              <w:pStyle w:val="BodyText"/>
              <w:keepNext/>
              <w:spacing w:line="200" w:lineRule="exact"/>
              <w:rPr>
                <w:sz w:val="17"/>
                <w:szCs w:val="17"/>
              </w:rPr>
            </w:pPr>
            <w:r>
              <w:rPr>
                <w:sz w:val="17"/>
                <w:szCs w:val="17"/>
              </w:rPr>
              <w:t>100.0</w:t>
            </w:r>
          </w:p>
        </w:tc>
      </w:tr>
    </w:tbl>
    <w:p w:rsidR="00BB5F4F" w:rsidRPr="00511A0F" w:rsidRDefault="00CA59F3" w:rsidP="00511A0F">
      <w:pPr>
        <w:pStyle w:val="Heading2"/>
        <w:rPr>
          <w:sz w:val="28"/>
        </w:rPr>
      </w:pPr>
      <w:bookmarkStart w:id="2" w:name="_Toc373853206"/>
      <w:r>
        <w:rPr>
          <w:sz w:val="28"/>
        </w:rPr>
        <w:t>Performance against Strategic</w:t>
      </w:r>
      <w:r w:rsidR="00BB5F4F" w:rsidRPr="004D71DE">
        <w:rPr>
          <w:sz w:val="28"/>
        </w:rPr>
        <w:t xml:space="preserve"> Objectives</w:t>
      </w:r>
      <w:r w:rsidR="00BB5F4F" w:rsidRPr="00511A0F">
        <w:rPr>
          <w:sz w:val="28"/>
        </w:rPr>
        <w:tab/>
      </w:r>
    </w:p>
    <w:p w:rsidR="00365FA2" w:rsidRDefault="00365FA2" w:rsidP="00365FA2">
      <w:pPr>
        <w:pStyle w:val="ListBullet"/>
        <w:numPr>
          <w:ilvl w:val="0"/>
          <w:numId w:val="0"/>
        </w:numPr>
        <w:tabs>
          <w:tab w:val="clear" w:pos="284"/>
        </w:tabs>
      </w:pPr>
      <w:r>
        <w:t xml:space="preserve">The performance of Australia’s aid program is measured against the objectives and performance assessment framework detailed in the </w:t>
      </w:r>
      <w:r w:rsidRPr="00EA667B">
        <w:rPr>
          <w:i/>
        </w:rPr>
        <w:t>Australia-Myanmar Aid Program Strategy 2012-15</w:t>
      </w:r>
      <w:r>
        <w:t>, as well as the</w:t>
      </w:r>
      <w:r w:rsidR="0096728E">
        <w:t xml:space="preserve"> seven</w:t>
      </w:r>
      <w:r>
        <w:t xml:space="preserve"> performance benchmarks identified in the 2013-14 </w:t>
      </w:r>
      <w:r w:rsidR="00A07EBA">
        <w:t>Burma</w:t>
      </w:r>
      <w:r>
        <w:t xml:space="preserve"> Aid Program Performance Report. </w:t>
      </w:r>
      <w:r w:rsidR="0096728E">
        <w:t>The ratings for each objective remain the same as in 2013-14.</w:t>
      </w:r>
      <w:r w:rsidR="00EF7CCD">
        <w:t xml:space="preserve"> The high proportion of green ratings in this report reflects that Australia set realistic performance targets in an operating environment that remains challenging and complex.</w:t>
      </w:r>
    </w:p>
    <w:p w:rsidR="00BB5F4F" w:rsidRDefault="00BB5F4F" w:rsidP="005901D2">
      <w:pPr>
        <w:pStyle w:val="Caption"/>
      </w:pPr>
      <w:r>
        <w:t xml:space="preserve">Table </w:t>
      </w:r>
      <w:fldSimple w:instr=" SEQ Table \* ARABIC ">
        <w:r w:rsidR="00755F1A">
          <w:rPr>
            <w:noProof/>
          </w:rPr>
          <w:t>2</w:t>
        </w:r>
      </w:fldSimple>
      <w:r>
        <w:t xml:space="preserve"> Rating of the Program's Progress towards Australia’s Aid Objectives</w:t>
      </w:r>
    </w:p>
    <w:tbl>
      <w:tblPr>
        <w:tblStyle w:val="APPR"/>
        <w:tblW w:w="5000" w:type="pct"/>
        <w:tblLook w:val="0000" w:firstRow="0" w:lastRow="0" w:firstColumn="0" w:lastColumn="0" w:noHBand="0" w:noVBand="0"/>
      </w:tblPr>
      <w:tblGrid>
        <w:gridCol w:w="6234"/>
        <w:gridCol w:w="1026"/>
        <w:gridCol w:w="426"/>
        <w:gridCol w:w="1091"/>
      </w:tblGrid>
      <w:tr w:rsidR="00BB5F4F" w:rsidRPr="0019341B" w:rsidTr="00640293">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BB5F4F" w:rsidRPr="0019341B" w:rsidRDefault="00BB5F4F" w:rsidP="000D733F">
            <w:pPr>
              <w:pStyle w:val="TableTextColumnHeading"/>
            </w:pPr>
            <w:r w:rsidRPr="0019341B">
              <w:rPr>
                <w:noProof/>
                <w:lang w:eastAsia="en-AU"/>
              </w:rPr>
              <w:drawing>
                <wp:anchor distT="0" distB="0" distL="114300" distR="114300" simplePos="0" relativeHeight="251675648" behindDoc="0" locked="0" layoutInCell="1" allowOverlap="1" wp14:anchorId="526EF676" wp14:editId="05F1F133">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BB5F4F" w:rsidRPr="0019341B" w:rsidRDefault="00BB5F4F" w:rsidP="000D733F">
            <w:pPr>
              <w:pStyle w:val="TableTextColumnHeading"/>
            </w:pPr>
            <w:r>
              <w:t>Previous Rating</w:t>
            </w:r>
          </w:p>
        </w:tc>
        <w:tc>
          <w:tcPr>
            <w:tcW w:w="398" w:type="dxa"/>
          </w:tcPr>
          <w:p w:rsidR="00BB5F4F" w:rsidRPr="0058069A" w:rsidRDefault="00BB5F4F" w:rsidP="000D733F">
            <w:pPr>
              <w:pStyle w:val="TableTextColumnHeading"/>
            </w:pPr>
          </w:p>
        </w:tc>
        <w:tc>
          <w:tcPr>
            <w:tcW w:w="1049" w:type="dxa"/>
          </w:tcPr>
          <w:p w:rsidR="00BB5F4F" w:rsidRPr="0058069A" w:rsidRDefault="00BB5F4F" w:rsidP="000D733F">
            <w:pPr>
              <w:pStyle w:val="TableTextColumnHeading"/>
            </w:pPr>
            <w:r w:rsidRPr="0058069A">
              <w:t>Current Rating</w:t>
            </w:r>
          </w:p>
        </w:tc>
      </w:tr>
      <w:tr w:rsidR="00BB5F4F" w:rsidRPr="009D53C4" w:rsidTr="00A156B0">
        <w:trPr>
          <w:cnfStyle w:val="000000010000" w:firstRow="0" w:lastRow="0" w:firstColumn="0" w:lastColumn="0" w:oddVBand="0" w:evenVBand="0" w:oddHBand="0" w:evenHBand="1" w:firstRowFirstColumn="0" w:firstRowLastColumn="0" w:lastRowFirstColumn="0" w:lastRowLastColumn="0"/>
        </w:trPr>
        <w:tc>
          <w:tcPr>
            <w:tcW w:w="6192" w:type="dxa"/>
          </w:tcPr>
          <w:p w:rsidR="00BB5F4F" w:rsidRPr="0019341B" w:rsidRDefault="00640293" w:rsidP="00640293">
            <w:pPr>
              <w:pStyle w:val="TableTextEntries"/>
            </w:pPr>
            <w:r w:rsidRPr="00640293">
              <w:rPr>
                <w:iCs w:val="0"/>
              </w:rPr>
              <w:t>1.</w:t>
            </w:r>
            <w:r>
              <w:t xml:space="preserve"> Improving the delivery of basic education to the poor</w:t>
            </w:r>
          </w:p>
        </w:tc>
        <w:tc>
          <w:tcPr>
            <w:tcW w:w="998" w:type="dxa"/>
            <w:shd w:val="clear" w:color="auto" w:fill="72AF2F"/>
            <w:noWrap/>
          </w:tcPr>
          <w:p w:rsidR="00BB5F4F" w:rsidRPr="00443639" w:rsidRDefault="00BB5F4F" w:rsidP="000D733F">
            <w:pPr>
              <w:pStyle w:val="TableTextEntries"/>
              <w:jc w:val="center"/>
              <w:rPr>
                <w:color w:val="FFFFFF" w:themeColor="background1"/>
              </w:rPr>
            </w:pPr>
            <w:r w:rsidRPr="00443639">
              <w:rPr>
                <w:color w:val="FFFFFF" w:themeColor="background1"/>
              </w:rPr>
              <w:t>Green</w:t>
            </w:r>
          </w:p>
        </w:tc>
        <w:tc>
          <w:tcPr>
            <w:tcW w:w="398" w:type="dxa"/>
          </w:tcPr>
          <w:p w:rsidR="00BB5F4F" w:rsidRPr="00443639" w:rsidRDefault="00BB5F4F" w:rsidP="000D733F">
            <w:pPr>
              <w:pStyle w:val="TableTextEntries"/>
              <w:jc w:val="center"/>
              <w:rPr>
                <w:color w:val="FFFFFF" w:themeColor="background1"/>
              </w:rPr>
            </w:pPr>
          </w:p>
        </w:tc>
        <w:tc>
          <w:tcPr>
            <w:tcW w:w="1049" w:type="dxa"/>
            <w:shd w:val="clear" w:color="auto" w:fill="72AF2F"/>
            <w:noWrap/>
          </w:tcPr>
          <w:p w:rsidR="00BB5F4F" w:rsidRPr="00443639" w:rsidRDefault="00A156B0" w:rsidP="000D733F">
            <w:pPr>
              <w:pStyle w:val="TableTextEntries"/>
              <w:jc w:val="center"/>
              <w:rPr>
                <w:color w:val="FFFFFF" w:themeColor="background1"/>
              </w:rPr>
            </w:pPr>
            <w:r>
              <w:rPr>
                <w:color w:val="FFFFFF" w:themeColor="background1"/>
              </w:rPr>
              <w:t>Green</w:t>
            </w:r>
          </w:p>
        </w:tc>
      </w:tr>
      <w:tr w:rsidR="00BB5F4F" w:rsidRPr="009D53C4" w:rsidTr="00640293">
        <w:trPr>
          <w:cnfStyle w:val="000000010000" w:firstRow="0" w:lastRow="0" w:firstColumn="0" w:lastColumn="0" w:oddVBand="0" w:evenVBand="0" w:oddHBand="0" w:evenHBand="1" w:firstRowFirstColumn="0" w:firstRowLastColumn="0" w:lastRowFirstColumn="0" w:lastRowLastColumn="0"/>
        </w:trPr>
        <w:tc>
          <w:tcPr>
            <w:tcW w:w="6192" w:type="dxa"/>
          </w:tcPr>
          <w:p w:rsidR="00BB5F4F" w:rsidRPr="0019341B" w:rsidRDefault="00640293" w:rsidP="000D733F">
            <w:pPr>
              <w:pStyle w:val="TableTextEntries"/>
            </w:pPr>
            <w:r>
              <w:t>2. Improving the delivery of health services to the poor</w:t>
            </w:r>
          </w:p>
        </w:tc>
        <w:tc>
          <w:tcPr>
            <w:tcW w:w="998" w:type="dxa"/>
            <w:shd w:val="clear" w:color="auto" w:fill="72AF2F"/>
            <w:noWrap/>
          </w:tcPr>
          <w:p w:rsidR="00BB5F4F" w:rsidRPr="00443639" w:rsidRDefault="00640293" w:rsidP="000D733F">
            <w:pPr>
              <w:pStyle w:val="TableTextEntries"/>
              <w:jc w:val="center"/>
              <w:rPr>
                <w:color w:val="FFFFFF" w:themeColor="background1"/>
              </w:rPr>
            </w:pPr>
            <w:r>
              <w:rPr>
                <w:color w:val="FFFFFF" w:themeColor="background1"/>
              </w:rPr>
              <w:t>Green</w:t>
            </w:r>
          </w:p>
        </w:tc>
        <w:tc>
          <w:tcPr>
            <w:tcW w:w="398" w:type="dxa"/>
          </w:tcPr>
          <w:p w:rsidR="00BB5F4F" w:rsidRPr="00443639" w:rsidRDefault="00BB5F4F" w:rsidP="000D733F">
            <w:pPr>
              <w:pStyle w:val="TableTextEntries"/>
              <w:jc w:val="center"/>
              <w:rPr>
                <w:color w:val="FFFFFF" w:themeColor="background1"/>
              </w:rPr>
            </w:pPr>
          </w:p>
        </w:tc>
        <w:tc>
          <w:tcPr>
            <w:tcW w:w="1049" w:type="dxa"/>
            <w:shd w:val="clear" w:color="auto" w:fill="72AF2F"/>
            <w:noWrap/>
          </w:tcPr>
          <w:p w:rsidR="00BB5F4F" w:rsidRPr="00443639" w:rsidRDefault="00BB5F4F" w:rsidP="000D733F">
            <w:pPr>
              <w:pStyle w:val="TableTextEntries"/>
              <w:jc w:val="center"/>
              <w:rPr>
                <w:color w:val="FFFFFF" w:themeColor="background1"/>
              </w:rPr>
            </w:pPr>
            <w:r w:rsidRPr="00443639">
              <w:rPr>
                <w:color w:val="FFFFFF" w:themeColor="background1"/>
              </w:rPr>
              <w:t>Green</w:t>
            </w:r>
          </w:p>
        </w:tc>
      </w:tr>
      <w:tr w:rsidR="00BB5F4F" w:rsidRPr="009D53C4" w:rsidTr="0058069A">
        <w:trPr>
          <w:cnfStyle w:val="000000010000" w:firstRow="0" w:lastRow="0" w:firstColumn="0" w:lastColumn="0" w:oddVBand="0" w:evenVBand="0" w:oddHBand="0" w:evenHBand="1" w:firstRowFirstColumn="0" w:firstRowLastColumn="0" w:lastRowFirstColumn="0" w:lastRowLastColumn="0"/>
        </w:trPr>
        <w:tc>
          <w:tcPr>
            <w:tcW w:w="6192" w:type="dxa"/>
          </w:tcPr>
          <w:p w:rsidR="00BB5F4F" w:rsidRDefault="00BB5F4F" w:rsidP="000D733F">
            <w:pPr>
              <w:pStyle w:val="TableTextEntries"/>
            </w:pPr>
            <w:r>
              <w:t>3</w:t>
            </w:r>
            <w:r w:rsidR="00640293">
              <w:t>. Improving the livelihoods of the poor</w:t>
            </w:r>
          </w:p>
        </w:tc>
        <w:tc>
          <w:tcPr>
            <w:tcW w:w="998" w:type="dxa"/>
            <w:shd w:val="clear" w:color="auto" w:fill="E36C0A" w:themeFill="accent6" w:themeFillShade="BF"/>
            <w:noWrap/>
          </w:tcPr>
          <w:p w:rsidR="00BB5F4F" w:rsidRPr="00443639" w:rsidRDefault="00640293" w:rsidP="000D733F">
            <w:pPr>
              <w:pStyle w:val="TableTextEntries"/>
              <w:jc w:val="center"/>
              <w:rPr>
                <w:color w:val="FFFFFF" w:themeColor="background1"/>
              </w:rPr>
            </w:pPr>
            <w:r>
              <w:rPr>
                <w:color w:val="FFFFFF" w:themeColor="background1"/>
              </w:rPr>
              <w:t>Amber</w:t>
            </w:r>
          </w:p>
        </w:tc>
        <w:tc>
          <w:tcPr>
            <w:tcW w:w="398" w:type="dxa"/>
          </w:tcPr>
          <w:p w:rsidR="00BB5F4F" w:rsidRPr="00443639" w:rsidRDefault="00BB5F4F" w:rsidP="000D733F">
            <w:pPr>
              <w:pStyle w:val="TableTextEntries"/>
              <w:jc w:val="center"/>
              <w:rPr>
                <w:color w:val="FFFFFF" w:themeColor="background1"/>
              </w:rPr>
            </w:pPr>
          </w:p>
        </w:tc>
        <w:tc>
          <w:tcPr>
            <w:tcW w:w="1049" w:type="dxa"/>
            <w:shd w:val="clear" w:color="auto" w:fill="E36C0A" w:themeFill="accent6" w:themeFillShade="BF"/>
            <w:noWrap/>
          </w:tcPr>
          <w:p w:rsidR="00BB5F4F" w:rsidRPr="00443639" w:rsidRDefault="0058069A" w:rsidP="000D733F">
            <w:pPr>
              <w:pStyle w:val="TableTextEntries"/>
              <w:jc w:val="center"/>
              <w:rPr>
                <w:color w:val="FFFFFF" w:themeColor="background1"/>
              </w:rPr>
            </w:pPr>
            <w:r>
              <w:rPr>
                <w:color w:val="FFFFFF" w:themeColor="background1"/>
              </w:rPr>
              <w:t>Amber</w:t>
            </w:r>
          </w:p>
        </w:tc>
      </w:tr>
      <w:tr w:rsidR="00640293" w:rsidRPr="00443639" w:rsidTr="0058069A">
        <w:trPr>
          <w:cnfStyle w:val="000000010000" w:firstRow="0" w:lastRow="0" w:firstColumn="0" w:lastColumn="0" w:oddVBand="0" w:evenVBand="0" w:oddHBand="0" w:evenHBand="1" w:firstRowFirstColumn="0" w:firstRowLastColumn="0" w:lastRowFirstColumn="0" w:lastRowLastColumn="0"/>
        </w:trPr>
        <w:tc>
          <w:tcPr>
            <w:tcW w:w="6192" w:type="dxa"/>
          </w:tcPr>
          <w:p w:rsidR="00640293" w:rsidRPr="0019341B" w:rsidRDefault="00640293" w:rsidP="00964770">
            <w:pPr>
              <w:pStyle w:val="TableTextEntries"/>
            </w:pPr>
            <w:r>
              <w:rPr>
                <w:iCs w:val="0"/>
              </w:rPr>
              <w:t>4. Addressing the needs of conflict and disaster affected people</w:t>
            </w:r>
          </w:p>
        </w:tc>
        <w:tc>
          <w:tcPr>
            <w:tcW w:w="998" w:type="dxa"/>
            <w:shd w:val="clear" w:color="auto" w:fill="72AF2F"/>
            <w:noWrap/>
          </w:tcPr>
          <w:p w:rsidR="00640293" w:rsidRPr="00443639" w:rsidRDefault="00640293" w:rsidP="00964770">
            <w:pPr>
              <w:pStyle w:val="TableTextEntries"/>
              <w:jc w:val="center"/>
              <w:rPr>
                <w:color w:val="FFFFFF" w:themeColor="background1"/>
              </w:rPr>
            </w:pPr>
            <w:r w:rsidRPr="00443639">
              <w:rPr>
                <w:color w:val="FFFFFF" w:themeColor="background1"/>
              </w:rPr>
              <w:t>Green</w:t>
            </w:r>
          </w:p>
        </w:tc>
        <w:tc>
          <w:tcPr>
            <w:tcW w:w="398" w:type="dxa"/>
          </w:tcPr>
          <w:p w:rsidR="00640293" w:rsidRPr="00443639" w:rsidRDefault="00640293" w:rsidP="00964770">
            <w:pPr>
              <w:pStyle w:val="TableTextEntries"/>
              <w:jc w:val="center"/>
              <w:rPr>
                <w:color w:val="FFFFFF" w:themeColor="background1"/>
              </w:rPr>
            </w:pPr>
          </w:p>
        </w:tc>
        <w:tc>
          <w:tcPr>
            <w:tcW w:w="1049" w:type="dxa"/>
            <w:shd w:val="clear" w:color="auto" w:fill="72AF2F"/>
            <w:noWrap/>
          </w:tcPr>
          <w:p w:rsidR="00640293" w:rsidRPr="00443639" w:rsidRDefault="0058069A" w:rsidP="0058069A">
            <w:pPr>
              <w:pStyle w:val="TableTextEntries"/>
              <w:jc w:val="center"/>
              <w:rPr>
                <w:color w:val="FFFFFF" w:themeColor="background1"/>
              </w:rPr>
            </w:pPr>
            <w:r>
              <w:rPr>
                <w:color w:val="FFFFFF" w:themeColor="background1"/>
              </w:rPr>
              <w:t>Green</w:t>
            </w:r>
          </w:p>
        </w:tc>
      </w:tr>
      <w:tr w:rsidR="00640293" w:rsidRPr="00443639" w:rsidTr="00A156B0">
        <w:trPr>
          <w:cnfStyle w:val="000000010000" w:firstRow="0" w:lastRow="0" w:firstColumn="0" w:lastColumn="0" w:oddVBand="0" w:evenVBand="0" w:oddHBand="0" w:evenHBand="1" w:firstRowFirstColumn="0" w:firstRowLastColumn="0" w:lastRowFirstColumn="0" w:lastRowLastColumn="0"/>
        </w:trPr>
        <w:tc>
          <w:tcPr>
            <w:tcW w:w="6192" w:type="dxa"/>
          </w:tcPr>
          <w:p w:rsidR="00640293" w:rsidRPr="0019341B" w:rsidRDefault="00640293" w:rsidP="00964770">
            <w:pPr>
              <w:pStyle w:val="TableTextEntries"/>
            </w:pPr>
            <w:r>
              <w:t>5. Supporting reform and improved governance</w:t>
            </w:r>
          </w:p>
        </w:tc>
        <w:tc>
          <w:tcPr>
            <w:tcW w:w="998" w:type="dxa"/>
            <w:shd w:val="clear" w:color="auto" w:fill="72AF2F"/>
            <w:noWrap/>
          </w:tcPr>
          <w:p w:rsidR="00640293" w:rsidRPr="00443639" w:rsidRDefault="00640293" w:rsidP="00964770">
            <w:pPr>
              <w:pStyle w:val="TableTextEntries"/>
              <w:jc w:val="center"/>
              <w:rPr>
                <w:color w:val="FFFFFF" w:themeColor="background1"/>
              </w:rPr>
            </w:pPr>
            <w:r>
              <w:rPr>
                <w:color w:val="FFFFFF" w:themeColor="background1"/>
              </w:rPr>
              <w:t>Green</w:t>
            </w:r>
          </w:p>
        </w:tc>
        <w:tc>
          <w:tcPr>
            <w:tcW w:w="398" w:type="dxa"/>
          </w:tcPr>
          <w:p w:rsidR="00640293" w:rsidRPr="00443639" w:rsidRDefault="00640293" w:rsidP="00964770">
            <w:pPr>
              <w:pStyle w:val="TableTextEntries"/>
              <w:jc w:val="center"/>
              <w:rPr>
                <w:color w:val="FFFFFF" w:themeColor="background1"/>
              </w:rPr>
            </w:pPr>
          </w:p>
        </w:tc>
        <w:tc>
          <w:tcPr>
            <w:tcW w:w="1049" w:type="dxa"/>
            <w:shd w:val="clear" w:color="auto" w:fill="72AF2F"/>
            <w:noWrap/>
          </w:tcPr>
          <w:p w:rsidR="00640293" w:rsidRPr="00443639" w:rsidRDefault="00640293" w:rsidP="00964770">
            <w:pPr>
              <w:pStyle w:val="TableTextEntries"/>
              <w:jc w:val="center"/>
              <w:rPr>
                <w:color w:val="FFFFFF" w:themeColor="background1"/>
              </w:rPr>
            </w:pPr>
            <w:r w:rsidRPr="00443639">
              <w:rPr>
                <w:color w:val="FFFFFF" w:themeColor="background1"/>
              </w:rPr>
              <w:t>Green</w:t>
            </w:r>
          </w:p>
        </w:tc>
      </w:tr>
    </w:tbl>
    <w:p w:rsidR="00BB5F4F" w:rsidRPr="00180B19" w:rsidRDefault="00BB5F4F" w:rsidP="00582C22">
      <w:pPr>
        <w:pStyle w:val="Note"/>
      </w:pPr>
      <w:r w:rsidRPr="00180B19">
        <w:t xml:space="preserve">Note: </w:t>
      </w:r>
    </w:p>
    <w:p w:rsidR="00BB5F4F" w:rsidRPr="00180B19" w:rsidRDefault="00BB5F4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t xml:space="preserve">at this stage of implementation </w:t>
      </w:r>
      <w:r w:rsidRPr="00180B19">
        <w:t>and it is likely that the objective will be achieved. Standard program management practices are sufficient.</w:t>
      </w:r>
    </w:p>
    <w:p w:rsidR="00BB5F4F" w:rsidRPr="00180B19" w:rsidRDefault="00BB5F4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t xml:space="preserve">at this stage of implementation </w:t>
      </w:r>
      <w:r w:rsidRPr="00180B19">
        <w:t>and restorative action will be necessary if the objective is to be achieved. Close performance monitoring is recommended.</w:t>
      </w:r>
    </w:p>
    <w:p w:rsidR="00BB5F4F" w:rsidRDefault="00BB5F4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t xml:space="preserve">at this stage of implementation </w:t>
      </w:r>
      <w:r w:rsidRPr="00180B19">
        <w:t>and the objective is not likely to be met given available resources and priorities. Recasting the objective may be required.</w:t>
      </w:r>
    </w:p>
    <w:p w:rsidR="00A94D42" w:rsidRDefault="00BB5F4F" w:rsidP="00A94D42">
      <w:pPr>
        <w:pStyle w:val="Note"/>
      </w:pPr>
      <w:r>
        <w:t xml:space="preserve">Reporting period: </w:t>
      </w:r>
      <w:r w:rsidRPr="00180B19">
        <w:t xml:space="preserve"> </w:t>
      </w:r>
    </w:p>
    <w:p w:rsidR="00925BD5" w:rsidRDefault="00925BD5" w:rsidP="00A7194A">
      <w:pPr>
        <w:pStyle w:val="Heading3"/>
      </w:pPr>
    </w:p>
    <w:p w:rsidR="00A7194A" w:rsidRDefault="00A7194A" w:rsidP="00A7194A">
      <w:pPr>
        <w:pStyle w:val="Heading3"/>
      </w:pPr>
      <w:r>
        <w:t>Education</w:t>
      </w:r>
    </w:p>
    <w:tbl>
      <w:tblPr>
        <w:tblStyle w:val="APPR"/>
        <w:tblW w:w="5000" w:type="pct"/>
        <w:tblLook w:val="0000" w:firstRow="0" w:lastRow="0" w:firstColumn="0" w:lastColumn="0" w:noHBand="0" w:noVBand="0"/>
      </w:tblPr>
      <w:tblGrid>
        <w:gridCol w:w="7649"/>
        <w:gridCol w:w="1128"/>
      </w:tblGrid>
      <w:tr w:rsidR="00A156B0" w:rsidRPr="009D53C4" w:rsidTr="00A156B0">
        <w:trPr>
          <w:cnfStyle w:val="000000010000" w:firstRow="0" w:lastRow="0" w:firstColumn="0" w:lastColumn="0" w:oddVBand="0" w:evenVBand="0" w:oddHBand="0" w:evenHBand="1" w:firstRowFirstColumn="0" w:firstRowLastColumn="0" w:lastRowFirstColumn="0" w:lastRowLastColumn="0"/>
        </w:trPr>
        <w:tc>
          <w:tcPr>
            <w:tcW w:w="7607" w:type="dxa"/>
          </w:tcPr>
          <w:p w:rsidR="00A156B0" w:rsidRPr="00A156B0" w:rsidRDefault="00A156B0" w:rsidP="00364653">
            <w:pPr>
              <w:pStyle w:val="TableTextEntries"/>
              <w:rPr>
                <w:caps/>
              </w:rPr>
            </w:pPr>
            <w:r w:rsidRPr="00A156B0">
              <w:rPr>
                <w:caps/>
              </w:rPr>
              <w:t>Objective 1: Improving the delivery of basic education to the poor</w:t>
            </w:r>
          </w:p>
        </w:tc>
        <w:tc>
          <w:tcPr>
            <w:tcW w:w="1086" w:type="dxa"/>
            <w:shd w:val="clear" w:color="auto" w:fill="72AF2F"/>
            <w:noWrap/>
          </w:tcPr>
          <w:p w:rsidR="00A156B0" w:rsidRPr="00443639" w:rsidRDefault="00A156B0" w:rsidP="00364653">
            <w:pPr>
              <w:pStyle w:val="TableTextEntries"/>
              <w:jc w:val="center"/>
              <w:rPr>
                <w:color w:val="FFFFFF" w:themeColor="background1"/>
              </w:rPr>
            </w:pPr>
            <w:r w:rsidRPr="00443639">
              <w:rPr>
                <w:color w:val="FFFFFF" w:themeColor="background1"/>
              </w:rPr>
              <w:t>Green</w:t>
            </w:r>
          </w:p>
        </w:tc>
      </w:tr>
    </w:tbl>
    <w:p w:rsidR="00514415" w:rsidRDefault="00DA5CF9" w:rsidP="009172CD">
      <w:pPr>
        <w:pStyle w:val="ListBullet"/>
        <w:numPr>
          <w:ilvl w:val="0"/>
          <w:numId w:val="0"/>
        </w:numPr>
        <w:tabs>
          <w:tab w:val="clear" w:pos="284"/>
        </w:tabs>
      </w:pPr>
      <w:r w:rsidRPr="00FF186A" w:rsidDel="00216A33">
        <w:t>Educatio</w:t>
      </w:r>
      <w:r w:rsidRPr="00FF186A">
        <w:t>n remains the flagship sector of</w:t>
      </w:r>
      <w:r w:rsidRPr="00FF186A" w:rsidDel="00216A33">
        <w:t xml:space="preserve"> Australia’s aid program to </w:t>
      </w:r>
      <w:r w:rsidRPr="00FF186A">
        <w:t>Myanmar</w:t>
      </w:r>
      <w:r w:rsidRPr="00FF186A" w:rsidDel="00216A33">
        <w:t>.</w:t>
      </w:r>
      <w:r w:rsidRPr="00FF186A">
        <w:t xml:space="preserve"> </w:t>
      </w:r>
      <w:r>
        <w:t xml:space="preserve">In 2014-15 Australia provided immediate and tangible assistance to enable more girls and boys to attend school and receive a quality education. Simultaneously, we worked closely with the Myanmar Government to progress and embed its education reforms. </w:t>
      </w:r>
    </w:p>
    <w:p w:rsidR="00514415" w:rsidRDefault="00514415" w:rsidP="009172CD">
      <w:pPr>
        <w:pStyle w:val="ListBullet"/>
        <w:numPr>
          <w:ilvl w:val="0"/>
          <w:numId w:val="0"/>
        </w:numPr>
        <w:tabs>
          <w:tab w:val="clear" w:pos="284"/>
        </w:tabs>
      </w:pPr>
      <w:r>
        <w:t xml:space="preserve">Three major programs contribute to this objective: the Decentralising Funds to Schools Project </w:t>
      </w:r>
      <w:r w:rsidRPr="00752CE2">
        <w:t>($14 mi</w:t>
      </w:r>
      <w:r>
        <w:t xml:space="preserve">llion in 2014-15), in </w:t>
      </w:r>
      <w:r w:rsidR="008F66F7">
        <w:t>partnership with the World Bank</w:t>
      </w:r>
      <w:r w:rsidR="00EB2414">
        <w:t xml:space="preserve"> and the Myanmar Govern</w:t>
      </w:r>
      <w:r w:rsidR="000546B7">
        <w:t>ment,</w:t>
      </w:r>
      <w:r>
        <w:t xml:space="preserve"> which </w:t>
      </w:r>
      <w:r w:rsidR="00385593">
        <w:t>improved students’ access to quality education by providing school grants and stipends</w:t>
      </w:r>
      <w:r>
        <w:t xml:space="preserve">; the Myanmar Education Consortium </w:t>
      </w:r>
      <w:r w:rsidRPr="00752CE2">
        <w:t>(</w:t>
      </w:r>
      <w:r>
        <w:t xml:space="preserve">MEC, </w:t>
      </w:r>
      <w:r w:rsidRPr="00752CE2">
        <w:t>$9 million)</w:t>
      </w:r>
      <w:r>
        <w:t>, which</w:t>
      </w:r>
      <w:r w:rsidR="00385593">
        <w:t xml:space="preserve"> delivered complementary education services to ethnic communities and monastic schools</w:t>
      </w:r>
      <w:r>
        <w:t>; and the Quality Basic Education Program (QBEP)</w:t>
      </w:r>
      <w:r w:rsidR="00111FBA">
        <w:t>, implemented by UNICE</w:t>
      </w:r>
      <w:r w:rsidR="00385593">
        <w:t>F</w:t>
      </w:r>
      <w:r>
        <w:t>, which</w:t>
      </w:r>
      <w:r w:rsidR="00385593">
        <w:t xml:space="preserve"> assisted the Myanmar Government to progress education reforms</w:t>
      </w:r>
      <w:r>
        <w:t xml:space="preserve"> </w:t>
      </w:r>
      <w:r w:rsidR="00385593">
        <w:t>and improved the quality of education in primary schools.</w:t>
      </w:r>
      <w:r w:rsidR="00EB2414">
        <w:t xml:space="preserve"> </w:t>
      </w:r>
      <w:r w:rsidR="00385593">
        <w:t>QBEP did not receive Australian funding in 2014-15 due to underspending against its budget and DFAT’s decision to focus resources on more sustainable education investments.</w:t>
      </w:r>
    </w:p>
    <w:p w:rsidR="009172CD" w:rsidRDefault="009172CD" w:rsidP="009172CD">
      <w:pPr>
        <w:pStyle w:val="ListBullet"/>
        <w:numPr>
          <w:ilvl w:val="0"/>
          <w:numId w:val="0"/>
        </w:numPr>
        <w:tabs>
          <w:tab w:val="clear" w:pos="284"/>
        </w:tabs>
      </w:pPr>
      <w:r>
        <w:t xml:space="preserve">The education objective was rated green in 2014-15 based on improvements in children’s access to quality education and </w:t>
      </w:r>
      <w:r w:rsidRPr="00113D27">
        <w:t xml:space="preserve">continued good progress in </w:t>
      </w:r>
      <w:r w:rsidR="000546B7">
        <w:t>supporting</w:t>
      </w:r>
      <w:r w:rsidRPr="00113D27">
        <w:t xml:space="preserve"> the </w:t>
      </w:r>
      <w:r w:rsidR="00CA59F3">
        <w:t>Myanmar</w:t>
      </w:r>
      <w:r>
        <w:t xml:space="preserve"> Government’s </w:t>
      </w:r>
      <w:r w:rsidRPr="00113D27">
        <w:t>education reform agenda.</w:t>
      </w:r>
      <w:r>
        <w:t xml:space="preserve"> </w:t>
      </w:r>
      <w:r w:rsidR="00AF39F9">
        <w:t xml:space="preserve">The education program achieved its performance benchmark and </w:t>
      </w:r>
      <w:r w:rsidR="00CA59F3">
        <w:t>five out of six</w:t>
      </w:r>
      <w:r w:rsidR="00AF39F9">
        <w:t xml:space="preserve"> milestones against the program strategy</w:t>
      </w:r>
      <w:r w:rsidR="00D32EAF">
        <w:t xml:space="preserve"> were reached</w:t>
      </w:r>
      <w:r w:rsidR="00AF39F9">
        <w:t xml:space="preserve">. However, the Aid Quality Check (AQC) ratings for the three major education investments were mixed: </w:t>
      </w:r>
      <w:r w:rsidR="000546B7">
        <w:t>the Decentralising</w:t>
      </w:r>
      <w:r w:rsidR="00514415">
        <w:t xml:space="preserve"> Funds to Schools Project</w:t>
      </w:r>
      <w:r w:rsidR="00AF39F9">
        <w:t>, scored well; MEC had mixed results; and QBEP rated poorly following an independent evaluation in 2014. On balance, we assess</w:t>
      </w:r>
      <w:r w:rsidR="00111FBA">
        <w:t>ed</w:t>
      </w:r>
      <w:r w:rsidR="00AF39F9">
        <w:t xml:space="preserve"> that a green pe</w:t>
      </w:r>
      <w:r w:rsidR="007A77A4">
        <w:t xml:space="preserve">rformance rating </w:t>
      </w:r>
      <w:r w:rsidR="00111FBA">
        <w:t>wa</w:t>
      </w:r>
      <w:r w:rsidR="007A77A4">
        <w:t>s appropriate for three reasons: (1)</w:t>
      </w:r>
      <w:r w:rsidR="00AF39F9">
        <w:t xml:space="preserve"> </w:t>
      </w:r>
      <w:r w:rsidR="007A77A4">
        <w:t>the findings of the MEC independent review were largely positive; (2) partners ha</w:t>
      </w:r>
      <w:r w:rsidR="00623D36">
        <w:t>ve made good progress addressing</w:t>
      </w:r>
      <w:r w:rsidR="007A77A4">
        <w:t xml:space="preserve"> the findings of the MEC and QBEP reviews; and (3) </w:t>
      </w:r>
      <w:r w:rsidR="00623D36">
        <w:t xml:space="preserve">QBEP was a small component of the education portfolio in 2014-15 as </w:t>
      </w:r>
      <w:r w:rsidR="00AF39F9">
        <w:t xml:space="preserve">Australia did not provide </w:t>
      </w:r>
      <w:r w:rsidR="00FA3ABB">
        <w:t xml:space="preserve">additional </w:t>
      </w:r>
      <w:r w:rsidR="00AF39F9">
        <w:t>funding</w:t>
      </w:r>
      <w:r w:rsidR="00CA59F3">
        <w:t>.</w:t>
      </w:r>
    </w:p>
    <w:p w:rsidR="009172CD" w:rsidRPr="00A7194A" w:rsidRDefault="009172CD" w:rsidP="009172CD">
      <w:pPr>
        <w:pStyle w:val="ListBullet"/>
        <w:numPr>
          <w:ilvl w:val="0"/>
          <w:numId w:val="0"/>
        </w:numPr>
        <w:tabs>
          <w:tab w:val="clear" w:pos="284"/>
        </w:tabs>
        <w:rPr>
          <w:color w:val="00B0F0"/>
          <w:sz w:val="24"/>
        </w:rPr>
      </w:pPr>
      <w:r w:rsidRPr="00A7194A">
        <w:rPr>
          <w:color w:val="00B0F0"/>
          <w:sz w:val="24"/>
        </w:rPr>
        <w:t>Objective 1a: Improved quality of teaching and learning practices in basic education in government and complementary schools</w:t>
      </w:r>
    </w:p>
    <w:p w:rsidR="00B85014" w:rsidRDefault="00B85014" w:rsidP="009172CD">
      <w:pPr>
        <w:pStyle w:val="ListBullet"/>
        <w:numPr>
          <w:ilvl w:val="0"/>
          <w:numId w:val="0"/>
        </w:numPr>
        <w:tabs>
          <w:tab w:val="clear" w:pos="284"/>
        </w:tabs>
      </w:pPr>
      <w:r>
        <w:t>Australia’s investments focused on increasing access to basic education, after decades of low public investment denied a quality basic education to many of Myanmar’s 18 million children.</w:t>
      </w:r>
      <w:r w:rsidR="007963F8">
        <w:t xml:space="preserve"> We</w:t>
      </w:r>
      <w:r>
        <w:t xml:space="preserve"> also worked with partners to improve the quality of teaching and learning in Myanmar’s classrooms, as evidence shows this has a significant impact on students’ ability to contribute to a productive workforce and </w:t>
      </w:r>
      <w:r w:rsidR="007963F8" w:rsidRPr="008F4BAD">
        <w:t>reduce poverty</w:t>
      </w:r>
      <w:r w:rsidR="008F4BAD">
        <w:rPr>
          <w:rStyle w:val="EndnoteReference"/>
        </w:rPr>
        <w:endnoteReference w:id="15"/>
      </w:r>
      <w:r w:rsidR="00DA5CF9">
        <w:t>.</w:t>
      </w:r>
      <w:r w:rsidR="007963F8">
        <w:t xml:space="preserve"> Australia invested in both government and non-government schools, with the latter focused on supporting education for ethnic minority communities in conflict-affected areas.</w:t>
      </w:r>
    </w:p>
    <w:p w:rsidR="009172CD" w:rsidRDefault="009172CD" w:rsidP="009172CD">
      <w:pPr>
        <w:pStyle w:val="ListBullet"/>
        <w:numPr>
          <w:ilvl w:val="0"/>
          <w:numId w:val="0"/>
        </w:numPr>
        <w:tabs>
          <w:tab w:val="clear" w:pos="284"/>
        </w:tabs>
      </w:pPr>
      <w:r>
        <w:t xml:space="preserve">In 2014-15, </w:t>
      </w:r>
      <w:r w:rsidR="007963F8">
        <w:t xml:space="preserve">Australia increased access to education by enabling </w:t>
      </w:r>
      <w:r>
        <w:t xml:space="preserve">over </w:t>
      </w:r>
      <w:r w:rsidRPr="00BD4F75">
        <w:t>140</w:t>
      </w:r>
      <w:r>
        <w:t xml:space="preserve">,000 additional girls and boys </w:t>
      </w:r>
      <w:r w:rsidR="007963F8">
        <w:t>to enrol</w:t>
      </w:r>
      <w:r w:rsidRPr="00BD4F75">
        <w:t xml:space="preserve"> in school</w:t>
      </w:r>
      <w:r w:rsidR="000546B7">
        <w:t xml:space="preserve"> through QBEP and MEC</w:t>
      </w:r>
      <w:r>
        <w:t>.</w:t>
      </w:r>
      <w:r w:rsidR="00020208">
        <w:rPr>
          <w:rStyle w:val="EndnoteReference"/>
        </w:rPr>
        <w:endnoteReference w:id="16"/>
      </w:r>
      <w:r>
        <w:t xml:space="preserve"> In addition, nearly 49,000 children (51 per cent girls) accessed early childhood development services in 2014-15 (exceeding the program target of 32,600). An assessment of the net primary enrolment rate and survival rates to grade 5 in targeted townships was unavailable due to limitations in</w:t>
      </w:r>
      <w:r w:rsidR="00CA59F3">
        <w:t xml:space="preserve"> available</w:t>
      </w:r>
      <w:r>
        <w:t xml:space="preserve"> national data. </w:t>
      </w:r>
    </w:p>
    <w:p w:rsidR="009172CD" w:rsidRDefault="009172CD" w:rsidP="009172CD">
      <w:pPr>
        <w:pStyle w:val="ListBullet"/>
        <w:numPr>
          <w:ilvl w:val="0"/>
          <w:numId w:val="0"/>
        </w:numPr>
        <w:tabs>
          <w:tab w:val="clear" w:pos="284"/>
        </w:tabs>
      </w:pPr>
      <w:r>
        <w:t>Australia’s investments are also improving the</w:t>
      </w:r>
      <w:r w:rsidR="007963F8">
        <w:t xml:space="preserve"> quality of teaching and learning</w:t>
      </w:r>
      <w:r>
        <w:t xml:space="preserve"> in schools.</w:t>
      </w:r>
      <w:r w:rsidR="00111FBA">
        <w:t xml:space="preserve"> Through </w:t>
      </w:r>
      <w:r w:rsidR="000546B7">
        <w:t>QBEP and MEC</w:t>
      </w:r>
      <w:r w:rsidR="006C4402">
        <w:t xml:space="preserve"> </w:t>
      </w:r>
      <w:r w:rsidR="00111FBA">
        <w:t>w</w:t>
      </w:r>
      <w:r>
        <w:t>e helped 7,939 teachers and caregivers meet relevant competency levels in improved teaching methods</w:t>
      </w:r>
      <w:r w:rsidR="005A69E5">
        <w:t xml:space="preserve"> for basic education</w:t>
      </w:r>
      <w:r>
        <w:t xml:space="preserve"> (exceeding the 2014-15 target of </w:t>
      </w:r>
      <w:r>
        <w:lastRenderedPageBreak/>
        <w:t xml:space="preserve">7,026) in both government and non-government schools. In the latter, our support particularly focused on training teachers from local communities to help address teacher retention problems in these areas. We also provided 326,813 students with essential school supplies and textbooks, including in conflict-affected areas (exceeding the program target of 251,395). </w:t>
      </w:r>
    </w:p>
    <w:p w:rsidR="004776A2" w:rsidRDefault="004776A2" w:rsidP="009172CD">
      <w:pPr>
        <w:pStyle w:val="ListBullet"/>
        <w:numPr>
          <w:ilvl w:val="0"/>
          <w:numId w:val="0"/>
        </w:numPr>
        <w:tabs>
          <w:tab w:val="clear" w:pos="284"/>
        </w:tabs>
      </w:pPr>
      <w:r w:rsidRPr="00EB2414">
        <w:t>Since commencing in 2014</w:t>
      </w:r>
      <w:r w:rsidR="00D32EAF" w:rsidRPr="00EB2414">
        <w:t>,</w:t>
      </w:r>
      <w:r w:rsidRPr="00EB2414">
        <w:t xml:space="preserve"> the Decentralising Funds to Schools Project has had some initial success in providing access to quality education through the Myanmar Ministry of Education. It demonstrated the successful use of results-based financing, with the government meeting all disbursement-linked indicators. This included training over 40,000 school heads and the timely disbursement of the first tranche of grants to </w:t>
      </w:r>
      <w:r w:rsidR="0026543A" w:rsidRPr="00EB2414">
        <w:t xml:space="preserve">government </w:t>
      </w:r>
      <w:r w:rsidRPr="00EB2414">
        <w:t xml:space="preserve">schools in 229 townships. </w:t>
      </w:r>
      <w:r w:rsidR="00A10EFA" w:rsidRPr="00EB2414">
        <w:t xml:space="preserve">Australia’s grant funding leveraged increased investment in the program from the Myanmar Government, which has expanded the investment significantly. </w:t>
      </w:r>
      <w:r w:rsidRPr="00EB2414">
        <w:t xml:space="preserve">Secondly, early reporting suggests the project has contributed to improved school learning environments, reduced parents’ financial burden for schooling, and supported 36,910 poor children to continue their education. However, there remains scope to improve community involvement in the grant allocation, focus more on learning outcomes, </w:t>
      </w:r>
      <w:r w:rsidR="00EB2414" w:rsidRPr="00EB2414">
        <w:t xml:space="preserve">and </w:t>
      </w:r>
      <w:r w:rsidRPr="00EB2414">
        <w:t>adopt</w:t>
      </w:r>
      <w:r w:rsidR="00DA5CF9" w:rsidRPr="00EB2414">
        <w:t xml:space="preserve"> more</w:t>
      </w:r>
      <w:r w:rsidR="00EB2414" w:rsidRPr="00EB2414">
        <w:t xml:space="preserve"> conflict-sensitive approaches.</w:t>
      </w:r>
      <w:r w:rsidRPr="00AC0D76">
        <w:rPr>
          <w:color w:val="92D050"/>
        </w:rPr>
        <w:t xml:space="preserve">. </w:t>
      </w:r>
    </w:p>
    <w:p w:rsidR="009172CD" w:rsidRPr="00F1651E" w:rsidRDefault="0026543A" w:rsidP="009172CD">
      <w:pPr>
        <w:pStyle w:val="ListBullet"/>
        <w:numPr>
          <w:ilvl w:val="0"/>
          <w:numId w:val="0"/>
        </w:numPr>
        <w:tabs>
          <w:tab w:val="clear" w:pos="284"/>
        </w:tabs>
        <w:rPr>
          <w:szCs w:val="21"/>
          <w:lang w:eastAsia="en-US"/>
        </w:rPr>
      </w:pPr>
      <w:r w:rsidRPr="00EB2414">
        <w:rPr>
          <w:szCs w:val="21"/>
        </w:rPr>
        <w:t>MEC continued to deliver essential education services to ethnic communities, many of which are in conflict-affected areas. This program comple</w:t>
      </w:r>
      <w:r w:rsidR="00DA5CF9" w:rsidRPr="00EB2414">
        <w:rPr>
          <w:szCs w:val="21"/>
        </w:rPr>
        <w:t>ments Australia’s support to Myanmar’s government schools</w:t>
      </w:r>
      <w:r w:rsidRPr="00EB2414">
        <w:rPr>
          <w:szCs w:val="21"/>
        </w:rPr>
        <w:t xml:space="preserve"> and is critical to our credibility with ethnic leaders involved in the peace process. MEC has been highly inclusive by providing edu</w:t>
      </w:r>
      <w:r w:rsidR="008F4BAD" w:rsidRPr="00EB2414">
        <w:rPr>
          <w:szCs w:val="21"/>
        </w:rPr>
        <w:t>cation to</w:t>
      </w:r>
      <w:r w:rsidRPr="00EB2414">
        <w:rPr>
          <w:szCs w:val="21"/>
        </w:rPr>
        <w:t xml:space="preserve"> the hardest</w:t>
      </w:r>
      <w:r w:rsidR="00111FBA" w:rsidRPr="00EB2414">
        <w:rPr>
          <w:szCs w:val="21"/>
        </w:rPr>
        <w:t>-</w:t>
      </w:r>
      <w:r w:rsidRPr="00EB2414">
        <w:rPr>
          <w:szCs w:val="21"/>
        </w:rPr>
        <w:t>to</w:t>
      </w:r>
      <w:r w:rsidR="00111FBA" w:rsidRPr="00EB2414">
        <w:rPr>
          <w:szCs w:val="21"/>
        </w:rPr>
        <w:t>-</w:t>
      </w:r>
      <w:r w:rsidRPr="00EB2414">
        <w:rPr>
          <w:szCs w:val="21"/>
        </w:rPr>
        <w:t xml:space="preserve"> reach children in Myanmar</w:t>
      </w:r>
      <w:r w:rsidR="008F4BAD" w:rsidRPr="00EB2414">
        <w:rPr>
          <w:szCs w:val="21"/>
        </w:rPr>
        <w:t>. MEC</w:t>
      </w:r>
      <w:r w:rsidRPr="00EB2414">
        <w:rPr>
          <w:szCs w:val="21"/>
        </w:rPr>
        <w:t xml:space="preserve"> also</w:t>
      </w:r>
      <w:r w:rsidR="009172CD" w:rsidRPr="00EB2414">
        <w:rPr>
          <w:szCs w:val="21"/>
        </w:rPr>
        <w:t xml:space="preserve"> heightened its focus on </w:t>
      </w:r>
      <w:r w:rsidRPr="00EB2414">
        <w:rPr>
          <w:szCs w:val="21"/>
        </w:rPr>
        <w:t xml:space="preserve">disability in 2014-15 </w:t>
      </w:r>
      <w:r w:rsidR="00FB7532" w:rsidRPr="00EB2414">
        <w:rPr>
          <w:szCs w:val="21"/>
        </w:rPr>
        <w:t xml:space="preserve">by </w:t>
      </w:r>
      <w:r w:rsidRPr="00EB2414">
        <w:rPr>
          <w:szCs w:val="21"/>
        </w:rPr>
        <w:t>providing</w:t>
      </w:r>
      <w:r w:rsidR="004776A2" w:rsidRPr="00EB2414">
        <w:rPr>
          <w:szCs w:val="21"/>
        </w:rPr>
        <w:t xml:space="preserve"> </w:t>
      </w:r>
      <w:r w:rsidR="000E2D84" w:rsidRPr="00EB2414">
        <w:rPr>
          <w:szCs w:val="21"/>
        </w:rPr>
        <w:t>training on inclusive teaching methods</w:t>
      </w:r>
      <w:r w:rsidRPr="00EB2414">
        <w:rPr>
          <w:szCs w:val="21"/>
        </w:rPr>
        <w:t xml:space="preserve">, and providing </w:t>
      </w:r>
      <w:r w:rsidR="000E2D84" w:rsidRPr="00EB2414">
        <w:rPr>
          <w:szCs w:val="21"/>
        </w:rPr>
        <w:t xml:space="preserve">textbooks and teaching aids in alternative formats. </w:t>
      </w:r>
      <w:r w:rsidR="009172CD" w:rsidRPr="00EB2414">
        <w:rPr>
          <w:szCs w:val="21"/>
        </w:rPr>
        <w:t xml:space="preserve">Now </w:t>
      </w:r>
      <w:r w:rsidR="009172CD" w:rsidRPr="00EB2414">
        <w:rPr>
          <w:szCs w:val="21"/>
          <w:lang w:eastAsia="en-US"/>
        </w:rPr>
        <w:t>15 per cent of grant projects have a specific focus on children with disabilities.</w:t>
      </w:r>
      <w:r w:rsidR="009172CD" w:rsidRPr="00F1651E">
        <w:rPr>
          <w:szCs w:val="21"/>
          <w:lang w:eastAsia="en-US"/>
        </w:rPr>
        <w:t xml:space="preserve"> </w:t>
      </w:r>
    </w:p>
    <w:p w:rsidR="009172CD" w:rsidRDefault="009172CD" w:rsidP="009172CD">
      <w:pPr>
        <w:pStyle w:val="ListBullet"/>
        <w:numPr>
          <w:ilvl w:val="0"/>
          <w:numId w:val="0"/>
        </w:numPr>
        <w:tabs>
          <w:tab w:val="clear" w:pos="284"/>
        </w:tabs>
      </w:pPr>
      <w:r>
        <w:rPr>
          <w:lang w:val="en-GB"/>
        </w:rPr>
        <w:t>An independent mid-term review of MEC</w:t>
      </w:r>
      <w:r w:rsidR="00020208">
        <w:rPr>
          <w:lang w:val="en-GB"/>
        </w:rPr>
        <w:t xml:space="preserve"> found</w:t>
      </w:r>
      <w:r>
        <w:rPr>
          <w:lang w:val="en-GB"/>
        </w:rPr>
        <w:t xml:space="preserve"> that </w:t>
      </w:r>
      <w:r w:rsidR="00020208">
        <w:rPr>
          <w:lang w:val="en-GB"/>
        </w:rPr>
        <w:t>it was</w:t>
      </w:r>
      <w:r>
        <w:rPr>
          <w:lang w:val="en-GB"/>
        </w:rPr>
        <w:t xml:space="preserve"> lar</w:t>
      </w:r>
      <w:r w:rsidR="00020208">
        <w:rPr>
          <w:lang w:val="en-GB"/>
        </w:rPr>
        <w:t>gely on track or exceeding its</w:t>
      </w:r>
      <w:r>
        <w:rPr>
          <w:lang w:val="en-GB"/>
        </w:rPr>
        <w:t xml:space="preserve"> targets in </w:t>
      </w:r>
      <w:r w:rsidR="00020208">
        <w:rPr>
          <w:lang w:val="en-GB"/>
        </w:rPr>
        <w:t>providing education to children in hard-to-reach and conflict-affected areas in Myanmar. It also identified that, in order to continue delivering on its objectives in a rapidly evolving environment, MEC needed to focus its efforts where it could have the greatest impact</w:t>
      </w:r>
      <w:r w:rsidR="007A77A4">
        <w:rPr>
          <w:lang w:val="en-GB"/>
        </w:rPr>
        <w:t xml:space="preserve"> and strengthen</w:t>
      </w:r>
      <w:r>
        <w:rPr>
          <w:lang w:val="en-GB"/>
        </w:rPr>
        <w:t xml:space="preserve"> program governance and manag</w:t>
      </w:r>
      <w:r w:rsidR="007A77A4">
        <w:rPr>
          <w:lang w:val="en-GB"/>
        </w:rPr>
        <w:t xml:space="preserve">ement. </w:t>
      </w:r>
      <w:r>
        <w:rPr>
          <w:lang w:val="en-GB"/>
        </w:rPr>
        <w:t>MEC has res</w:t>
      </w:r>
      <w:r w:rsidR="007A77A4">
        <w:rPr>
          <w:lang w:val="en-GB"/>
        </w:rPr>
        <w:t xml:space="preserve">ponded positively </w:t>
      </w:r>
      <w:r>
        <w:rPr>
          <w:lang w:val="en-GB"/>
        </w:rPr>
        <w:t xml:space="preserve">and is working closely with donors to address these issues, including </w:t>
      </w:r>
      <w:r w:rsidR="004776A2">
        <w:t>by</w:t>
      </w:r>
      <w:r>
        <w:rPr>
          <w:lang w:val="en-GB"/>
        </w:rPr>
        <w:t xml:space="preserve"> focusing its support for non-government education systems in remote and conflict-affected areas in </w:t>
      </w:r>
      <w:r w:rsidR="00CA59F3">
        <w:rPr>
          <w:lang w:val="en-GB"/>
        </w:rPr>
        <w:t>Myanmar</w:t>
      </w:r>
      <w:r>
        <w:rPr>
          <w:lang w:val="en-GB"/>
        </w:rPr>
        <w:t>.</w:t>
      </w:r>
    </w:p>
    <w:p w:rsidR="005A69E5" w:rsidRDefault="005A69E5" w:rsidP="009172CD">
      <w:pPr>
        <w:pStyle w:val="ListBullet"/>
        <w:numPr>
          <w:ilvl w:val="0"/>
          <w:numId w:val="0"/>
        </w:numPr>
        <w:tabs>
          <w:tab w:val="clear" w:pos="284"/>
        </w:tabs>
      </w:pPr>
      <w:r>
        <w:t xml:space="preserve">A mid-term review of QBEP in 2014 found the program was unable to effectively respond to the rapidly changing context in </w:t>
      </w:r>
      <w:r w:rsidR="00CA59F3">
        <w:t>Myanmar</w:t>
      </w:r>
      <w:r>
        <w:t>, which impacted on its efficiency and effectiveness. In response, DFAT has worked with UNICEF, QBEP’s implementing partner</w:t>
      </w:r>
      <w:r w:rsidR="007F06C2">
        <w:t xml:space="preserve">, to </w:t>
      </w:r>
      <w:r>
        <w:t>revise the program objectives for 2015</w:t>
      </w:r>
      <w:r w:rsidR="007F06C2">
        <w:t xml:space="preserve">. QBEP is now helping the </w:t>
      </w:r>
      <w:r w:rsidR="00CA59F3">
        <w:t>Myanmar</w:t>
      </w:r>
      <w:r w:rsidR="007F06C2">
        <w:t xml:space="preserve"> Government to </w:t>
      </w:r>
      <w:r>
        <w:t xml:space="preserve">strengthen </w:t>
      </w:r>
      <w:r w:rsidR="007F06C2">
        <w:t>its</w:t>
      </w:r>
      <w:r>
        <w:t xml:space="preserve"> systems f</w:t>
      </w:r>
      <w:r w:rsidR="003F537C">
        <w:t>or supporting quality education</w:t>
      </w:r>
      <w:r w:rsidR="005F1051">
        <w:t>. QBEP</w:t>
      </w:r>
      <w:r w:rsidR="007F06C2">
        <w:t xml:space="preserve"> </w:t>
      </w:r>
      <w:r w:rsidR="00A10EFA">
        <w:t xml:space="preserve">did not receive </w:t>
      </w:r>
      <w:r w:rsidR="00FA3ABB">
        <w:t xml:space="preserve">additional </w:t>
      </w:r>
      <w:r w:rsidR="00A10EFA">
        <w:t xml:space="preserve">Australian funding in 2014-15 and </w:t>
      </w:r>
      <w:r w:rsidR="008551D6">
        <w:t>will conclude in June 2016</w:t>
      </w:r>
      <w:r>
        <w:t>.</w:t>
      </w:r>
    </w:p>
    <w:p w:rsidR="009172CD" w:rsidRPr="00A7194A" w:rsidRDefault="009172CD" w:rsidP="009172CD">
      <w:pPr>
        <w:pStyle w:val="ListBullet"/>
        <w:numPr>
          <w:ilvl w:val="0"/>
          <w:numId w:val="0"/>
        </w:numPr>
        <w:tabs>
          <w:tab w:val="clear" w:pos="284"/>
        </w:tabs>
        <w:rPr>
          <w:rFonts w:ascii="Helvetica" w:hAnsi="Helvetica" w:cs="Helvetica"/>
          <w:color w:val="00B0F0"/>
          <w:sz w:val="22"/>
          <w:szCs w:val="22"/>
        </w:rPr>
      </w:pPr>
      <w:r w:rsidRPr="00A7194A">
        <w:rPr>
          <w:rFonts w:ascii="Helvetica" w:hAnsi="Helvetica" w:cs="Helvetica"/>
          <w:color w:val="00B0F0"/>
          <w:sz w:val="22"/>
          <w:szCs w:val="22"/>
        </w:rPr>
        <w:t>Objective 1b: Implementati</w:t>
      </w:r>
      <w:r>
        <w:rPr>
          <w:rFonts w:ascii="Helvetica" w:hAnsi="Helvetica" w:cs="Helvetica"/>
          <w:color w:val="00B0F0"/>
          <w:sz w:val="22"/>
          <w:szCs w:val="22"/>
        </w:rPr>
        <w:t xml:space="preserve">on of the </w:t>
      </w:r>
      <w:r w:rsidR="00CA59F3">
        <w:rPr>
          <w:rFonts w:ascii="Helvetica" w:hAnsi="Helvetica" w:cs="Helvetica"/>
          <w:color w:val="00B0F0"/>
          <w:sz w:val="22"/>
          <w:szCs w:val="22"/>
        </w:rPr>
        <w:t>Myanmar</w:t>
      </w:r>
      <w:r w:rsidRPr="00A7194A">
        <w:rPr>
          <w:rFonts w:ascii="Helvetica" w:hAnsi="Helvetica" w:cs="Helvetica"/>
          <w:color w:val="00B0F0"/>
          <w:sz w:val="22"/>
          <w:szCs w:val="22"/>
        </w:rPr>
        <w:t xml:space="preserve"> </w:t>
      </w:r>
      <w:r w:rsidRPr="008F4BAD">
        <w:rPr>
          <w:rFonts w:ascii="Helvetica" w:hAnsi="Helvetica" w:cs="Helvetica"/>
          <w:color w:val="00B0F0"/>
          <w:sz w:val="22"/>
          <w:szCs w:val="22"/>
        </w:rPr>
        <w:t xml:space="preserve">Government’s </w:t>
      </w:r>
      <w:r w:rsidR="008F4BAD" w:rsidRPr="008F4BAD">
        <w:rPr>
          <w:rFonts w:ascii="Helvetica" w:hAnsi="Helvetica" w:cs="Helvetica"/>
          <w:color w:val="00B0F0"/>
          <w:sz w:val="22"/>
          <w:szCs w:val="22"/>
        </w:rPr>
        <w:t>Framework</w:t>
      </w:r>
      <w:r w:rsidRPr="00A7194A">
        <w:rPr>
          <w:rFonts w:ascii="Helvetica" w:hAnsi="Helvetica" w:cs="Helvetica"/>
          <w:color w:val="00B0F0"/>
          <w:sz w:val="22"/>
          <w:szCs w:val="22"/>
        </w:rPr>
        <w:t xml:space="preserve"> for Economic and Social Reform</w:t>
      </w:r>
    </w:p>
    <w:p w:rsidR="00687A6F" w:rsidRDefault="009172CD" w:rsidP="009172CD">
      <w:pPr>
        <w:pStyle w:val="ListBullet"/>
        <w:numPr>
          <w:ilvl w:val="0"/>
          <w:numId w:val="0"/>
        </w:numPr>
        <w:tabs>
          <w:tab w:val="clear" w:pos="284"/>
        </w:tabs>
      </w:pPr>
      <w:r>
        <w:t xml:space="preserve">In 2014-15, the </w:t>
      </w:r>
      <w:r w:rsidR="00CA59F3">
        <w:t>Myanmar</w:t>
      </w:r>
      <w:r>
        <w:t xml:space="preserve"> Government continued to demonstrate its commitment to an ambitious reform agenda in the education sector</w:t>
      </w:r>
      <w:r>
        <w:rPr>
          <w:rStyle w:val="EndnoteReference"/>
        </w:rPr>
        <w:endnoteReference w:id="17"/>
      </w:r>
      <w:r w:rsidR="00DA5CF9">
        <w:t>.</w:t>
      </w:r>
      <w:r>
        <w:t xml:space="preserve"> Australia has taken a lead amongst development partners in provi</w:t>
      </w:r>
      <w:r w:rsidR="00C21022">
        <w:t xml:space="preserve">ding practical assistance to these reforms. For example, Australia funded </w:t>
      </w:r>
      <w:r w:rsidRPr="004B0C05">
        <w:t>in-dep</w:t>
      </w:r>
      <w:r>
        <w:t>th and disaggregated analysis on</w:t>
      </w:r>
      <w:r w:rsidRPr="004B0C05">
        <w:t xml:space="preserve"> e</w:t>
      </w:r>
      <w:r>
        <w:t>ducation access, attainment,</w:t>
      </w:r>
      <w:r w:rsidRPr="004B0C05">
        <w:t xml:space="preserve"> reasons for dropout, </w:t>
      </w:r>
      <w:r w:rsidR="00C21022">
        <w:t xml:space="preserve">and </w:t>
      </w:r>
      <w:r w:rsidRPr="004B0C05">
        <w:t>house</w:t>
      </w:r>
      <w:r>
        <w:t>hold e</w:t>
      </w:r>
      <w:r w:rsidR="00C21022">
        <w:t>xpenditure burdens, which informed the preparation of Myanmar’s National Education Sector Plan</w:t>
      </w:r>
      <w:r w:rsidR="008F4BAD">
        <w:t xml:space="preserve"> (NESP)</w:t>
      </w:r>
      <w:r w:rsidR="00C21022">
        <w:t xml:space="preserve">. </w:t>
      </w:r>
      <w:r>
        <w:t>We continue</w:t>
      </w:r>
      <w:r w:rsidR="00C21022">
        <w:t>d</w:t>
      </w:r>
      <w:r>
        <w:t xml:space="preserve"> to</w:t>
      </w:r>
      <w:r w:rsidRPr="004B0C05">
        <w:t xml:space="preserve"> </w:t>
      </w:r>
      <w:r>
        <w:t>support the Ministry of Education to develop a cross-cutting Basic Education Curricul</w:t>
      </w:r>
      <w:r w:rsidR="00C21022">
        <w:t>um Framework and to engage a diverse range of stakeholders across its reform process.</w:t>
      </w:r>
    </w:p>
    <w:p w:rsidR="009172CD" w:rsidRDefault="00CA59F3" w:rsidP="009172CD">
      <w:pPr>
        <w:pStyle w:val="ListBullet"/>
        <w:numPr>
          <w:ilvl w:val="0"/>
          <w:numId w:val="0"/>
        </w:numPr>
        <w:tabs>
          <w:tab w:val="clear" w:pos="284"/>
        </w:tabs>
      </w:pPr>
      <w:r w:rsidRPr="00EB2414">
        <w:lastRenderedPageBreak/>
        <w:t>Myanmar</w:t>
      </w:r>
      <w:r w:rsidR="009172CD" w:rsidRPr="00EB2414">
        <w:t xml:space="preserve">’s Parliament passed an important </w:t>
      </w:r>
      <w:r w:rsidR="00111FBA" w:rsidRPr="00EB2414">
        <w:t xml:space="preserve">amendment </w:t>
      </w:r>
      <w:r w:rsidR="009172CD" w:rsidRPr="00EB2414">
        <w:t>to the National Educati</w:t>
      </w:r>
      <w:r w:rsidR="00EB2414" w:rsidRPr="00EB2414">
        <w:t>on Bill in June 2015 which made</w:t>
      </w:r>
      <w:r w:rsidR="009172CD" w:rsidRPr="00EB2414">
        <w:t xml:space="preserve"> positive steps towards inclusiveness and accountability. After public outcry against the National Education Law in September 2014, the </w:t>
      </w:r>
      <w:r w:rsidRPr="00EB2414">
        <w:t>Myanmar</w:t>
      </w:r>
      <w:r w:rsidR="009172CD" w:rsidRPr="00EB2414">
        <w:t xml:space="preserve"> Government asked Australia to provide technical assistance to review the law and coordinate donor comments, which provided important inp</w:t>
      </w:r>
      <w:r w:rsidR="008B3A36" w:rsidRPr="00EB2414">
        <w:t>ut to the Amendment</w:t>
      </w:r>
      <w:r w:rsidR="009172CD" w:rsidRPr="00EB2414">
        <w:t xml:space="preserve">. The amended Law enshrines the concept of free compulsory education, recognises that </w:t>
      </w:r>
      <w:r w:rsidR="008B3A36" w:rsidRPr="00EB2414">
        <w:t xml:space="preserve">regional differences should be reflected in a flexible national curriculum, </w:t>
      </w:r>
      <w:r w:rsidR="009172CD" w:rsidRPr="00EB2414">
        <w:t xml:space="preserve">and </w:t>
      </w:r>
      <w:r w:rsidR="008B3A36" w:rsidRPr="00EB2414">
        <w:t>highlights the importance of disability inclusive education.</w:t>
      </w:r>
      <w:r w:rsidR="008B3A36">
        <w:t xml:space="preserve"> </w:t>
      </w:r>
    </w:p>
    <w:p w:rsidR="009172CD" w:rsidRDefault="009172CD" w:rsidP="009172CD">
      <w:pPr>
        <w:pStyle w:val="ListBullet"/>
        <w:numPr>
          <w:ilvl w:val="0"/>
          <w:numId w:val="0"/>
        </w:numPr>
        <w:tabs>
          <w:tab w:val="clear" w:pos="284"/>
        </w:tabs>
      </w:pPr>
      <w:r>
        <w:t>Australia was the first grant donor to fund a government project (Decentralising Funds to Schools Project) using gove</w:t>
      </w:r>
      <w:r w:rsidR="008F4BAD">
        <w:t>rnment systems.</w:t>
      </w:r>
      <w:r w:rsidR="00925BD5">
        <w:t xml:space="preserve"> </w:t>
      </w:r>
      <w:r w:rsidR="008C60E8">
        <w:t>We</w:t>
      </w:r>
      <w:r w:rsidR="00925BD5">
        <w:t xml:space="preserve"> </w:t>
      </w:r>
      <w:r w:rsidR="00925BD5" w:rsidRPr="00925BD5">
        <w:t>u</w:t>
      </w:r>
      <w:r w:rsidR="008C60E8">
        <w:t>sed</w:t>
      </w:r>
      <w:r w:rsidRPr="00925BD5">
        <w:t xml:space="preserve"> </w:t>
      </w:r>
      <w:r w:rsidR="00A1612F" w:rsidRPr="00925BD5">
        <w:rPr>
          <w:szCs w:val="21"/>
          <w:lang w:eastAsia="en-US"/>
        </w:rPr>
        <w:t>results-</w:t>
      </w:r>
      <w:r w:rsidRPr="00925BD5">
        <w:rPr>
          <w:szCs w:val="21"/>
          <w:lang w:eastAsia="en-US"/>
        </w:rPr>
        <w:t>based financing</w:t>
      </w:r>
      <w:r w:rsidR="008C60E8">
        <w:rPr>
          <w:szCs w:val="21"/>
          <w:lang w:eastAsia="en-US"/>
        </w:rPr>
        <w:t xml:space="preserve"> to manage fiduciary risks</w:t>
      </w:r>
      <w:r w:rsidR="00925BD5" w:rsidRPr="00925BD5">
        <w:rPr>
          <w:szCs w:val="21"/>
          <w:lang w:eastAsia="en-US"/>
        </w:rPr>
        <w:t xml:space="preserve">, </w:t>
      </w:r>
      <w:r w:rsidRPr="00925BD5">
        <w:rPr>
          <w:szCs w:val="21"/>
          <w:lang w:eastAsia="en-US"/>
        </w:rPr>
        <w:t>ensure strong government ownership</w:t>
      </w:r>
      <w:r w:rsidR="008C60E8">
        <w:rPr>
          <w:szCs w:val="21"/>
          <w:lang w:eastAsia="en-US"/>
        </w:rPr>
        <w:t>,</w:t>
      </w:r>
      <w:r w:rsidRPr="00925BD5">
        <w:rPr>
          <w:szCs w:val="21"/>
          <w:lang w:eastAsia="en-US"/>
        </w:rPr>
        <w:t xml:space="preserve"> and leverage policy planning</w:t>
      </w:r>
      <w:r w:rsidR="00A10EFA" w:rsidRPr="00925BD5">
        <w:rPr>
          <w:szCs w:val="21"/>
          <w:lang w:eastAsia="en-US"/>
        </w:rPr>
        <w:t xml:space="preserve"> and </w:t>
      </w:r>
      <w:r w:rsidR="007D515A" w:rsidRPr="00925BD5">
        <w:rPr>
          <w:szCs w:val="21"/>
          <w:lang w:eastAsia="en-US"/>
        </w:rPr>
        <w:t xml:space="preserve">Myanmar </w:t>
      </w:r>
      <w:r w:rsidR="008F66F7" w:rsidRPr="00925BD5">
        <w:rPr>
          <w:szCs w:val="21"/>
          <w:lang w:eastAsia="en-US"/>
        </w:rPr>
        <w:t>G</w:t>
      </w:r>
      <w:r w:rsidR="00A10EFA" w:rsidRPr="00925BD5">
        <w:rPr>
          <w:szCs w:val="21"/>
          <w:lang w:eastAsia="en-US"/>
        </w:rPr>
        <w:t>overnment funding</w:t>
      </w:r>
      <w:r w:rsidRPr="00925BD5">
        <w:rPr>
          <w:szCs w:val="21"/>
          <w:lang w:eastAsia="en-US"/>
        </w:rPr>
        <w:t>.</w:t>
      </w:r>
      <w:r>
        <w:rPr>
          <w:szCs w:val="21"/>
          <w:lang w:eastAsia="en-US"/>
        </w:rPr>
        <w:t xml:space="preserve"> T</w:t>
      </w:r>
      <w:r>
        <w:t>his type of practical assist</w:t>
      </w:r>
      <w:r w:rsidR="008F4BAD">
        <w:t xml:space="preserve">ance has </w:t>
      </w:r>
      <w:r w:rsidR="00DA5CF9">
        <w:t>deepened</w:t>
      </w:r>
      <w:r w:rsidR="008F4BAD">
        <w:t xml:space="preserve"> our</w:t>
      </w:r>
      <w:r>
        <w:t xml:space="preserve"> strong re</w:t>
      </w:r>
      <w:r w:rsidR="008B3A36">
        <w:t xml:space="preserve">lationship with government. </w:t>
      </w:r>
    </w:p>
    <w:p w:rsidR="00BB5F4F" w:rsidRDefault="00BB5F4F" w:rsidP="006B03A8">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Health</w:t>
      </w:r>
    </w:p>
    <w:tbl>
      <w:tblPr>
        <w:tblStyle w:val="APPR"/>
        <w:tblW w:w="5000" w:type="pct"/>
        <w:tblLook w:val="0000" w:firstRow="0" w:lastRow="0" w:firstColumn="0" w:lastColumn="0" w:noHBand="0" w:noVBand="0"/>
      </w:tblPr>
      <w:tblGrid>
        <w:gridCol w:w="6234"/>
        <w:gridCol w:w="1026"/>
        <w:gridCol w:w="426"/>
        <w:gridCol w:w="1091"/>
      </w:tblGrid>
      <w:tr w:rsidR="00BB5F4F" w:rsidRPr="009D53C4" w:rsidTr="00231B52">
        <w:trPr>
          <w:cnfStyle w:val="000000010000" w:firstRow="0" w:lastRow="0" w:firstColumn="0" w:lastColumn="0" w:oddVBand="0" w:evenVBand="0" w:oddHBand="0" w:evenHBand="1" w:firstRowFirstColumn="0" w:firstRowLastColumn="0" w:lastRowFirstColumn="0" w:lastRowLastColumn="0"/>
        </w:trPr>
        <w:tc>
          <w:tcPr>
            <w:tcW w:w="6192" w:type="dxa"/>
          </w:tcPr>
          <w:p w:rsidR="00BB5F4F" w:rsidRPr="00290A94" w:rsidRDefault="00BB5F4F" w:rsidP="00BB5F4F">
            <w:pPr>
              <w:pStyle w:val="TableTextEntries"/>
              <w:spacing w:after="0"/>
            </w:pPr>
            <w:r>
              <w:t xml:space="preserve">OBJECTIVE </w:t>
            </w:r>
            <w:r w:rsidRPr="00290A94">
              <w:t>2. IMPROVING THE DELIVERY OF HEALTH SERVICES TO THE POOR</w:t>
            </w:r>
          </w:p>
        </w:tc>
        <w:tc>
          <w:tcPr>
            <w:tcW w:w="998" w:type="dxa"/>
            <w:shd w:val="clear" w:color="auto" w:fill="auto"/>
            <w:noWrap/>
          </w:tcPr>
          <w:p w:rsidR="00BB5F4F" w:rsidRPr="00443639" w:rsidRDefault="00BB5F4F" w:rsidP="00BB5F4F">
            <w:pPr>
              <w:pStyle w:val="TableTextEntries"/>
              <w:jc w:val="center"/>
              <w:rPr>
                <w:color w:val="FFFFFF" w:themeColor="background1"/>
              </w:rPr>
            </w:pPr>
          </w:p>
        </w:tc>
        <w:tc>
          <w:tcPr>
            <w:tcW w:w="398" w:type="dxa"/>
          </w:tcPr>
          <w:p w:rsidR="00BB5F4F" w:rsidRPr="00443639" w:rsidRDefault="00BB5F4F" w:rsidP="00BB5F4F">
            <w:pPr>
              <w:pStyle w:val="TableTextEntries"/>
              <w:jc w:val="center"/>
              <w:rPr>
                <w:color w:val="FFFFFF" w:themeColor="background1"/>
              </w:rPr>
            </w:pPr>
          </w:p>
        </w:tc>
        <w:tc>
          <w:tcPr>
            <w:tcW w:w="1049" w:type="dxa"/>
            <w:shd w:val="clear" w:color="auto" w:fill="72AF2F"/>
            <w:noWrap/>
          </w:tcPr>
          <w:p w:rsidR="00BB5F4F" w:rsidRPr="00443639" w:rsidRDefault="00BB5F4F" w:rsidP="00BB5F4F">
            <w:pPr>
              <w:pStyle w:val="TableTextEntries"/>
              <w:jc w:val="center"/>
              <w:rPr>
                <w:color w:val="FFFFFF" w:themeColor="background1"/>
              </w:rPr>
            </w:pPr>
            <w:r>
              <w:rPr>
                <w:color w:val="FFFFFF" w:themeColor="background1"/>
              </w:rPr>
              <w:t>Green</w:t>
            </w:r>
          </w:p>
        </w:tc>
      </w:tr>
    </w:tbl>
    <w:p w:rsidR="00BB5F4F" w:rsidRDefault="00231B52" w:rsidP="006B03A8">
      <w:pPr>
        <w:pStyle w:val="BodyText"/>
        <w:spacing w:before="120" w:after="120" w:line="260" w:lineRule="exact"/>
      </w:pPr>
      <w:r>
        <w:t>Australia’s investment contributed to improved access to health services across three components: maternal and child health; communicable diseases (HIV, TB and malaria); and supporting sustainable health services and a more robust health system in Myanmar. In doing so, the investment aligned with the Myanmar Government’s strategic health plan, which identified health system reform and improved access to health services – particularly for the rural poor – as critical priorities within its broader reform agenda. Accordingly, p</w:t>
      </w:r>
      <w:r w:rsidR="00BB5F4F">
        <w:t xml:space="preserve">rogress towards this </w:t>
      </w:r>
      <w:r w:rsidR="00BB5F4F" w:rsidRPr="0068479D">
        <w:t>objective is rated green</w:t>
      </w:r>
      <w:r>
        <w:t>.</w:t>
      </w:r>
      <w:r w:rsidR="00BB5F4F">
        <w:t xml:space="preserve"> </w:t>
      </w:r>
    </w:p>
    <w:p w:rsidR="00BB5F4F" w:rsidRDefault="00231B52" w:rsidP="006B03A8">
      <w:pPr>
        <w:pStyle w:val="BodyText"/>
        <w:spacing w:before="120" w:after="120" w:line="260" w:lineRule="exact"/>
      </w:pPr>
      <w:r>
        <w:t>Australia invested in Myanmar’s health sector through the Three Millennium Development Goal (3MDG) Fund</w:t>
      </w:r>
      <w:r w:rsidR="006D1C21">
        <w:t>.</w:t>
      </w:r>
      <w:r>
        <w:t xml:space="preserve"> </w:t>
      </w:r>
      <w:r w:rsidR="00BB5F4F">
        <w:t xml:space="preserve">3MDG was established as a multi-donor trust fund to provide funding and technical support to accelerate improvements in access to health services in </w:t>
      </w:r>
      <w:r w:rsidR="00CA59F3">
        <w:t>Myanmar</w:t>
      </w:r>
      <w:r w:rsidR="00BB5F4F">
        <w:t xml:space="preserve">’s poorest states and regions.  It is the largest source of funding for health system strengthening in </w:t>
      </w:r>
      <w:r w:rsidR="00CA59F3">
        <w:t>Myanmar</w:t>
      </w:r>
      <w:r w:rsidR="00FA3ABB">
        <w:t>, with commitments totalling more than USD330 million from 2012 to 2016.</w:t>
      </w:r>
      <w:r w:rsidR="004C3D1D">
        <w:t xml:space="preserve"> </w:t>
      </w:r>
      <w:r w:rsidR="00BB5F4F">
        <w:t>In 20</w:t>
      </w:r>
      <w:r w:rsidR="006044A2">
        <w:t xml:space="preserve">14-15, Australia provided over </w:t>
      </w:r>
      <w:r w:rsidR="00F1187E">
        <w:t xml:space="preserve">$10 million to 3MDG, </w:t>
      </w:r>
      <w:r w:rsidR="00D0024F">
        <w:t>making</w:t>
      </w:r>
      <w:r w:rsidR="00BB5F4F">
        <w:t xml:space="preserve"> us the second largest contributor with total fun</w:t>
      </w:r>
      <w:r w:rsidR="00D0024F">
        <w:t>ding of $46 million since 2012.</w:t>
      </w:r>
      <w:r w:rsidR="00BB5F4F">
        <w:t xml:space="preserve"> Australia </w:t>
      </w:r>
      <w:r w:rsidR="00D0024F">
        <w:t xml:space="preserve">chaired </w:t>
      </w:r>
      <w:r w:rsidR="00BB5F4F">
        <w:t xml:space="preserve">the 3MDG Fund Board in 2014-15.  </w:t>
      </w:r>
    </w:p>
    <w:p w:rsidR="00BB5F4F" w:rsidRDefault="00BB5F4F" w:rsidP="006B03A8">
      <w:pPr>
        <w:pStyle w:val="BodyText"/>
        <w:spacing w:before="120" w:after="120" w:line="260" w:lineRule="exact"/>
      </w:pPr>
      <w:r>
        <w:t xml:space="preserve">3MDG made progress on health system strengthening, including finalising an agreement with </w:t>
      </w:r>
      <w:r w:rsidR="008F66F7">
        <w:t xml:space="preserve">the </w:t>
      </w:r>
      <w:r>
        <w:t>Ministry of Health (MoH) to strengthen midwifery at the national level</w:t>
      </w:r>
      <w:r>
        <w:rPr>
          <w:rStyle w:val="EndnoteReference"/>
        </w:rPr>
        <w:endnoteReference w:id="18"/>
      </w:r>
      <w:r w:rsidR="008F66F7">
        <w:t xml:space="preserve">, under which it is aimed </w:t>
      </w:r>
      <w:r w:rsidR="00DB783C">
        <w:t>to deploy</w:t>
      </w:r>
      <w:r w:rsidR="00DB783C" w:rsidRPr="00DB783C">
        <w:t xml:space="preserve"> at least one basic health care provider per village. 3MDG </w:t>
      </w:r>
      <w:r w:rsidR="009A4596">
        <w:t xml:space="preserve">also </w:t>
      </w:r>
      <w:r w:rsidR="00DB783C" w:rsidRPr="00DB783C">
        <w:t xml:space="preserve">supported the development of a Human Resources for Health Strategy and </w:t>
      </w:r>
      <w:r w:rsidR="009A4596">
        <w:t>five year costed plan to help Mo</w:t>
      </w:r>
      <w:r w:rsidR="00DB783C" w:rsidRPr="00DB783C">
        <w:t xml:space="preserve">H manage the recruitment and mobilisation of health staff in a cost effective and sustainable way, and improved access to health care through the </w:t>
      </w:r>
      <w:r w:rsidR="009A4596">
        <w:t>construction of 66 rural health</w:t>
      </w:r>
      <w:r w:rsidR="00DB783C" w:rsidRPr="00DB783C">
        <w:t>care facilities</w:t>
      </w:r>
      <w:r w:rsidR="009A4596">
        <w:t>.</w:t>
      </w:r>
      <w:r w:rsidR="00DB783C" w:rsidRPr="00DB783C">
        <w:t xml:space="preserve"> </w:t>
      </w:r>
    </w:p>
    <w:p w:rsidR="00BB5F4F" w:rsidRDefault="00BB5F4F" w:rsidP="006B03A8">
      <w:pPr>
        <w:pStyle w:val="BodyText"/>
        <w:spacing w:before="120" w:after="120" w:line="260" w:lineRule="exact"/>
      </w:pPr>
      <w:r>
        <w:t xml:space="preserve">A Strategic Review of 3MDG was undertaken in 2014.  It recommended 3MDG establish more regular and systematic dialogue with </w:t>
      </w:r>
      <w:r w:rsidR="00CA59F3">
        <w:t>Myanmar</w:t>
      </w:r>
      <w:r>
        <w:t xml:space="preserve">’s MoH.  The Fund Board has since expanded its membership to include the MoH, and worked towards building greater MoH ownership and improving linkages with </w:t>
      </w:r>
      <w:r w:rsidR="00CA59F3">
        <w:t>Myanmar</w:t>
      </w:r>
      <w:r>
        <w:t xml:space="preserve">’s national health plan. As Chair of the Fund Board, Australia took a leadership role in engaging with the MoH, improving dialogue and facilitating consultation with the aim of promoting government ownership.   </w:t>
      </w:r>
    </w:p>
    <w:p w:rsidR="00BB5F4F" w:rsidRDefault="00BB5F4F" w:rsidP="006B03A8">
      <w:pPr>
        <w:pStyle w:val="BodyText"/>
        <w:spacing w:before="120" w:after="120" w:line="260" w:lineRule="exact"/>
      </w:pPr>
      <w:r>
        <w:t>Beyond 3MDG, Australia has advocated for more effective health assistance across the sector, serving as the bilateral donor representative for the Myanmar Health Sector Coordination Mechanism. Australia also helped inform government and donor planning and</w:t>
      </w:r>
      <w:r w:rsidR="00B36F8B">
        <w:t xml:space="preserve"> decision making by supporting</w:t>
      </w:r>
      <w:r>
        <w:t xml:space="preserve"> sector situational analyses, ‘the Health in Transition’ series. </w:t>
      </w:r>
    </w:p>
    <w:p w:rsidR="00BB5F4F" w:rsidRDefault="00BB5F4F" w:rsidP="006B03A8">
      <w:pPr>
        <w:pStyle w:val="BodyText"/>
        <w:spacing w:before="120" w:after="120" w:line="260" w:lineRule="exact"/>
      </w:pPr>
      <w:r>
        <w:lastRenderedPageBreak/>
        <w:t xml:space="preserve">In 2014-15, 3MDG’s effectiveness improved, with a number of targets reached across all three components.  While overall expenditure remained behind schedule, contracting and disbursements improved significantly.   </w:t>
      </w:r>
    </w:p>
    <w:p w:rsidR="00BB5F4F" w:rsidRDefault="00BB5F4F" w:rsidP="006B03A8">
      <w:pPr>
        <w:pStyle w:val="BodyText"/>
        <w:spacing w:before="120" w:after="120" w:line="260" w:lineRule="exact"/>
      </w:pPr>
      <w:r>
        <w:t>3MDG also increased private sector engagement in 2014-15, including through an innovative partnership with international telecommunications provider Ooredoo to provide mobile healt</w:t>
      </w:r>
      <w:r w:rsidR="00EB1BF2">
        <w:t>h messaging services</w:t>
      </w:r>
      <w:r>
        <w:t xml:space="preserve"> on nutritional needs for mothers and children. </w:t>
      </w:r>
      <w:r w:rsidR="00DB783C">
        <w:t>This increased</w:t>
      </w:r>
      <w:r w:rsidR="00DB783C" w:rsidRPr="00DB783C">
        <w:t> the distribution o</w:t>
      </w:r>
      <w:r w:rsidR="00A07EBA">
        <w:t>f important health information</w:t>
      </w:r>
      <w:r w:rsidR="00DB783C" w:rsidRPr="00DB783C">
        <w:t xml:space="preserve">. </w:t>
      </w:r>
      <w:r w:rsidRPr="00F765DB">
        <w:t>Population Services International and Marie Stopes International</w:t>
      </w:r>
      <w:r>
        <w:t xml:space="preserve"> were also funded to partner with the private sector in providing complementary reproductive health care services.</w:t>
      </w:r>
      <w:r w:rsidRPr="001D09EF">
        <w:t xml:space="preserve"> </w:t>
      </w:r>
      <w:r>
        <w:t>3MDG has contracted the University of California San Francisco to identify additional options for private sector engagement.</w:t>
      </w:r>
      <w:r w:rsidRPr="00F765DB">
        <w:t xml:space="preserve"> </w:t>
      </w:r>
      <w:r w:rsidR="00DB783C">
        <w:t>A</w:t>
      </w:r>
      <w:r w:rsidR="00DB783C" w:rsidRPr="00DB783C">
        <w:t xml:space="preserve">s many people in </w:t>
      </w:r>
      <w:r w:rsidR="00CA59F3">
        <w:t>Myanmar</w:t>
      </w:r>
      <w:r w:rsidR="00DB783C" w:rsidRPr="00DB783C">
        <w:t xml:space="preserve"> access health services through the private sector, these activities increase patient acc</w:t>
      </w:r>
      <w:r w:rsidR="00DB783C">
        <w:t>ess to quality assured products at a subsidis</w:t>
      </w:r>
      <w:r w:rsidR="00DB783C" w:rsidRPr="00DB783C">
        <w:t>ed rate.</w:t>
      </w:r>
    </w:p>
    <w:p w:rsidR="00F1187E" w:rsidRDefault="00F1187E" w:rsidP="006B03A8">
      <w:pPr>
        <w:pStyle w:val="BodyText"/>
        <w:spacing w:before="120" w:after="120" w:line="260" w:lineRule="exact"/>
      </w:pPr>
      <w:r>
        <w:t xml:space="preserve">In view of the reduction in funding to Australia’s bilateral aid program to </w:t>
      </w:r>
      <w:r w:rsidR="00CA59F3">
        <w:t>Myanmar</w:t>
      </w:r>
      <w:r>
        <w:t xml:space="preserve">, the </w:t>
      </w:r>
      <w:r w:rsidR="00811691">
        <w:t>presence of</w:t>
      </w:r>
      <w:r>
        <w:t xml:space="preserve"> other donors, and the need to consolidate the number of sectors we work in, DFAT decided not to make any further contributions to 3MDG from 2015.</w:t>
      </w:r>
      <w:r w:rsidR="00A1612F">
        <w:t xml:space="preserve"> This decision was not based on any perceived lack of performance in 3MDG’s work.</w:t>
      </w:r>
    </w:p>
    <w:p w:rsidR="00BB5F4F" w:rsidRPr="008A48C8" w:rsidRDefault="00BB5F4F" w:rsidP="006B03A8">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2.a: Increased access to and availability of essential maternal and child health services for the poorest and most vulnerable in targeted areas</w:t>
      </w:r>
    </w:p>
    <w:p w:rsidR="00BB5F4F" w:rsidRDefault="00BB5F4F" w:rsidP="006B03A8">
      <w:pPr>
        <w:pStyle w:val="BodyText"/>
        <w:spacing w:after="120" w:line="260" w:lineRule="exact"/>
      </w:pPr>
      <w:r>
        <w:t xml:space="preserve">Key Australian milestones related to maternal and child health (MNCH) services for the poorest and most vulnerable were on track.  By late 2014, MNCH services were being delivered in 30 target townships, reaching 3.5 million (against a target of 4.3 million people). </w:t>
      </w:r>
    </w:p>
    <w:p w:rsidR="00BB5F4F" w:rsidRPr="00DC7EE7" w:rsidRDefault="00BB5F4F" w:rsidP="006B03A8">
      <w:pPr>
        <w:pStyle w:val="BodyText"/>
        <w:spacing w:after="120" w:line="260" w:lineRule="exact"/>
      </w:pPr>
      <w:r>
        <w:t xml:space="preserve">Nearly 6,000 women delivered with support from skilled birth attendants and close to 2,800 women received emergency referral services, exceeding Australian’s performance benchmark of 2,500.  15,000 children under </w:t>
      </w:r>
      <w:r w:rsidR="004C3D1D">
        <w:t>the age of one completed immunisation schedules, meeting the revised performance benchmark and 3MDG target</w:t>
      </w:r>
      <w:r>
        <w:rPr>
          <w:rStyle w:val="EndnoteReference"/>
        </w:rPr>
        <w:endnoteReference w:id="19"/>
      </w:r>
      <w:r>
        <w:t>.</w:t>
      </w:r>
      <w:r w:rsidRPr="00F35EBA">
        <w:t xml:space="preserve"> </w:t>
      </w:r>
    </w:p>
    <w:p w:rsidR="00BB5F4F" w:rsidRPr="00155305" w:rsidRDefault="00BB5F4F" w:rsidP="006B03A8">
      <w:pPr>
        <w:pStyle w:val="BodyText"/>
        <w:spacing w:after="120" w:line="260" w:lineRule="exact"/>
      </w:pPr>
      <w:r>
        <w:t>In 2014-15, 3MDG further expanded its support to provide MNCH services into remote and conflict affected areas, including in Kayah, Shan and Chin States.  This complements Australia’s efforts to support the peace process by delivering improved services to conflict affected communities. Significant steps were also taken to align the work of 3MDG partners working in the Aye</w:t>
      </w:r>
      <w:r w:rsidR="006C4402">
        <w:t>ya</w:t>
      </w:r>
      <w:r>
        <w:t xml:space="preserve">rwaddy Delta with government services to promote government ownership and sustainability, through the ‘One Plan One Township’ initiative.  </w:t>
      </w:r>
    </w:p>
    <w:p w:rsidR="00BB5F4F" w:rsidRPr="008A48C8" w:rsidRDefault="00BB5F4F" w:rsidP="006B03A8">
      <w:pPr>
        <w:pStyle w:val="ListBullet"/>
        <w:numPr>
          <w:ilvl w:val="0"/>
          <w:numId w:val="0"/>
        </w:numPr>
        <w:spacing w:before="240" w:after="60" w:line="240" w:lineRule="auto"/>
        <w:rPr>
          <w:rFonts w:ascii="Helvetica" w:hAnsi="Helvetica" w:cs="Arial"/>
          <w:color w:val="007FAD"/>
          <w:kern w:val="28"/>
          <w:sz w:val="22"/>
          <w:szCs w:val="22"/>
        </w:rPr>
      </w:pPr>
      <w:r w:rsidRPr="008A48C8">
        <w:rPr>
          <w:rFonts w:ascii="Helvetica" w:hAnsi="Helvetica" w:cs="Arial"/>
          <w:color w:val="007FAD"/>
          <w:kern w:val="28"/>
          <w:sz w:val="22"/>
          <w:szCs w:val="22"/>
        </w:rPr>
        <w:t>Objective 2.b: Increased access to and availability of HIV, TB and malaria interventions</w:t>
      </w:r>
    </w:p>
    <w:p w:rsidR="00BB5F4F" w:rsidRDefault="00BB5F4F" w:rsidP="006B03A8">
      <w:pPr>
        <w:pStyle w:val="BodyText"/>
        <w:spacing w:after="120" w:line="260" w:lineRule="exact"/>
      </w:pPr>
      <w:r>
        <w:t>Progress was made in addressing communicable diseases, with increases in access to harm reduction services and drug-resistant malaria containment activities.</w:t>
      </w:r>
      <w:r w:rsidR="004C3D1D">
        <w:t xml:space="preserve"> Harm r</w:t>
      </w:r>
      <w:r>
        <w:t>eduction services</w:t>
      </w:r>
      <w:r w:rsidR="004C3D1D">
        <w:t xml:space="preserve"> and malaria control programs</w:t>
      </w:r>
      <w:r>
        <w:t xml:space="preserve"> </w:t>
      </w:r>
      <w:r w:rsidR="004C3D1D">
        <w:t xml:space="preserve">were delivered in 36 out of 52 priority townships, including high risk and migrant populations who would otherwise be without easy access to health care. </w:t>
      </w:r>
      <w:r w:rsidR="00FA3ABB">
        <w:t xml:space="preserve">From its support to the 3MDG Fund, </w:t>
      </w:r>
      <w:r w:rsidR="004C3D1D">
        <w:t>Australia</w:t>
      </w:r>
      <w:r w:rsidR="00FA3ABB">
        <w:t>n aid is attributed with</w:t>
      </w:r>
      <w:r w:rsidR="004C3D1D">
        <w:t xml:space="preserve"> support</w:t>
      </w:r>
      <w:r w:rsidR="00FA3ABB">
        <w:t>ing</w:t>
      </w:r>
      <w:r w:rsidR="004C3D1D">
        <w:t xml:space="preserve"> the treatment of over 11,000 confirmed malaria cases (75 per cent of</w:t>
      </w:r>
      <w:r w:rsidR="003F537C">
        <w:t xml:space="preserve"> Australia’s target of 14,600). 3MDG did not achieve its</w:t>
      </w:r>
      <w:r w:rsidR="004C3D1D">
        <w:t xml:space="preserve"> malaria targets </w:t>
      </w:r>
      <w:r w:rsidR="003F537C">
        <w:t xml:space="preserve">in 2014 due to </w:t>
      </w:r>
      <w:r w:rsidR="004C3D1D">
        <w:t>an overall reduction in malaria prevalence in priority areas,</w:t>
      </w:r>
      <w:r w:rsidR="003F537C">
        <w:t xml:space="preserve"> and therefore</w:t>
      </w:r>
      <w:r w:rsidR="004C3D1D">
        <w:t xml:space="preserve"> </w:t>
      </w:r>
      <w:r w:rsidR="008F54AC">
        <w:t xml:space="preserve">fewer </w:t>
      </w:r>
      <w:r w:rsidR="004C3D1D">
        <w:t>confirmed malaria cases requiring treatment.</w:t>
      </w:r>
      <w:r w:rsidR="004C3D1D" w:rsidRPr="003F537C">
        <w:rPr>
          <w:color w:val="92D050"/>
        </w:rPr>
        <w:t xml:space="preserve"> </w:t>
      </w:r>
    </w:p>
    <w:p w:rsidR="00BB5F4F" w:rsidRDefault="00BB5F4F" w:rsidP="006B03A8">
      <w:pPr>
        <w:pStyle w:val="BodyText"/>
        <w:spacing w:after="120" w:line="260" w:lineRule="exact"/>
      </w:pPr>
      <w:r>
        <w:t xml:space="preserve">A </w:t>
      </w:r>
      <w:r w:rsidR="00DA5CF9">
        <w:t>new TB program was</w:t>
      </w:r>
      <w:r>
        <w:t xml:space="preserve"> rolled out to 100 townships </w:t>
      </w:r>
      <w:r w:rsidR="00DA5CF9">
        <w:t xml:space="preserve">in 2014, and </w:t>
      </w:r>
      <w:r>
        <w:t>integrated TB screening into ma</w:t>
      </w:r>
      <w:r w:rsidR="00DA5CF9">
        <w:t>ternal and child health clinics. This</w:t>
      </w:r>
      <w:r>
        <w:t xml:space="preserve"> is the first TB initiative to </w:t>
      </w:r>
      <w:r w:rsidR="00DA5CF9">
        <w:t xml:space="preserve">implement </w:t>
      </w:r>
      <w:r>
        <w:t xml:space="preserve">a nationwide screening program undertaken through service delivery units such as antenatal and postnatal clinics. Through the national TB program 3MDG has promoted work on multi-drug resistant tuberculosis, treating 2,200 new patients. </w:t>
      </w:r>
    </w:p>
    <w:p w:rsidR="00925BD5" w:rsidRDefault="00925BD5" w:rsidP="00A156B0">
      <w:pPr>
        <w:pStyle w:val="ListBullet"/>
        <w:numPr>
          <w:ilvl w:val="0"/>
          <w:numId w:val="0"/>
        </w:numPr>
        <w:spacing w:before="240"/>
        <w:rPr>
          <w:rFonts w:ascii="Helvetica" w:hAnsi="Helvetica" w:cs="Arial"/>
          <w:b/>
          <w:color w:val="124486"/>
          <w:kern w:val="28"/>
          <w:sz w:val="22"/>
          <w:szCs w:val="22"/>
          <w:lang w:eastAsia="zh-CN"/>
        </w:rPr>
      </w:pPr>
    </w:p>
    <w:p w:rsidR="00A156B0" w:rsidRPr="00C62751" w:rsidRDefault="00A156B0" w:rsidP="00A156B0">
      <w:pPr>
        <w:pStyle w:val="ListBullet"/>
        <w:numPr>
          <w:ilvl w:val="0"/>
          <w:numId w:val="0"/>
        </w:numPr>
        <w:spacing w:before="240"/>
        <w:rPr>
          <w:rFonts w:ascii="Helvetica" w:hAnsi="Helvetica" w:cs="Arial"/>
          <w:b/>
          <w:color w:val="124486"/>
          <w:kern w:val="28"/>
          <w:sz w:val="22"/>
          <w:szCs w:val="22"/>
          <w:lang w:eastAsia="zh-CN"/>
        </w:rPr>
      </w:pPr>
      <w:r w:rsidRPr="00C62751">
        <w:rPr>
          <w:rFonts w:ascii="Helvetica" w:hAnsi="Helvetica" w:cs="Arial"/>
          <w:b/>
          <w:color w:val="124486"/>
          <w:kern w:val="28"/>
          <w:sz w:val="22"/>
          <w:szCs w:val="22"/>
          <w:lang w:eastAsia="zh-CN"/>
        </w:rPr>
        <w:lastRenderedPageBreak/>
        <w:t>Livelihoods</w:t>
      </w:r>
    </w:p>
    <w:tbl>
      <w:tblPr>
        <w:tblStyle w:val="APPR"/>
        <w:tblW w:w="5000" w:type="pct"/>
        <w:tblLook w:val="0000" w:firstRow="0" w:lastRow="0" w:firstColumn="0" w:lastColumn="0" w:noHBand="0" w:noVBand="0"/>
      </w:tblPr>
      <w:tblGrid>
        <w:gridCol w:w="6234"/>
        <w:gridCol w:w="1026"/>
        <w:gridCol w:w="426"/>
        <w:gridCol w:w="1091"/>
      </w:tblGrid>
      <w:tr w:rsidR="00A156B0" w:rsidRPr="009D53C4" w:rsidTr="00FA0F66">
        <w:trPr>
          <w:cnfStyle w:val="000000010000" w:firstRow="0" w:lastRow="0" w:firstColumn="0" w:lastColumn="0" w:oddVBand="0" w:evenVBand="0" w:oddHBand="0" w:evenHBand="1" w:firstRowFirstColumn="0" w:firstRowLastColumn="0" w:lastRowFirstColumn="0" w:lastRowLastColumn="0"/>
        </w:trPr>
        <w:tc>
          <w:tcPr>
            <w:tcW w:w="6192" w:type="dxa"/>
          </w:tcPr>
          <w:p w:rsidR="00A156B0" w:rsidRPr="00290A94" w:rsidRDefault="00A156B0" w:rsidP="00364653">
            <w:pPr>
              <w:pStyle w:val="TableTextEntries"/>
            </w:pPr>
            <w:r>
              <w:t xml:space="preserve">OBJECTIVE </w:t>
            </w:r>
            <w:r w:rsidRPr="00290A94">
              <w:t>3. IMPROVING THE LIVELIHOODS OF THE RURAL POOR</w:t>
            </w:r>
          </w:p>
        </w:tc>
        <w:tc>
          <w:tcPr>
            <w:tcW w:w="998" w:type="dxa"/>
            <w:shd w:val="clear" w:color="auto" w:fill="auto"/>
            <w:noWrap/>
          </w:tcPr>
          <w:p w:rsidR="00A156B0" w:rsidRPr="00443639" w:rsidRDefault="00A156B0" w:rsidP="00364653">
            <w:pPr>
              <w:pStyle w:val="TableTextEntries"/>
              <w:jc w:val="center"/>
              <w:rPr>
                <w:color w:val="FFFFFF" w:themeColor="background1"/>
              </w:rPr>
            </w:pPr>
          </w:p>
        </w:tc>
        <w:tc>
          <w:tcPr>
            <w:tcW w:w="398" w:type="dxa"/>
          </w:tcPr>
          <w:p w:rsidR="00A156B0" w:rsidRPr="00443639" w:rsidRDefault="00A156B0" w:rsidP="00364653">
            <w:pPr>
              <w:pStyle w:val="TableTextEntries"/>
              <w:jc w:val="center"/>
              <w:rPr>
                <w:color w:val="FFFFFF" w:themeColor="background1"/>
              </w:rPr>
            </w:pPr>
          </w:p>
        </w:tc>
        <w:tc>
          <w:tcPr>
            <w:tcW w:w="1049" w:type="dxa"/>
            <w:shd w:val="clear" w:color="auto" w:fill="F79646" w:themeFill="accent6"/>
            <w:noWrap/>
          </w:tcPr>
          <w:p w:rsidR="00A156B0" w:rsidRPr="00443639" w:rsidRDefault="00A156B0" w:rsidP="00364653">
            <w:pPr>
              <w:pStyle w:val="TableTextEntries"/>
              <w:jc w:val="center"/>
              <w:rPr>
                <w:color w:val="FFFFFF" w:themeColor="background1"/>
              </w:rPr>
            </w:pPr>
            <w:r>
              <w:rPr>
                <w:color w:val="FFFFFF" w:themeColor="background1"/>
              </w:rPr>
              <w:t>Amber</w:t>
            </w:r>
          </w:p>
        </w:tc>
      </w:tr>
    </w:tbl>
    <w:p w:rsidR="00FA0F66" w:rsidRDefault="00FA0F66" w:rsidP="00FA0F66">
      <w:pPr>
        <w:pStyle w:val="ListBullet"/>
        <w:numPr>
          <w:ilvl w:val="0"/>
          <w:numId w:val="0"/>
        </w:numPr>
        <w:spacing w:after="160"/>
      </w:pPr>
      <w:r>
        <w:t>In 2014-15 Australia invested $6.2 million in</w:t>
      </w:r>
      <w:r w:rsidR="008F54AC">
        <w:t xml:space="preserve"> an</w:t>
      </w:r>
      <w:r>
        <w:t xml:space="preserve"> agricultural devel</w:t>
      </w:r>
      <w:r w:rsidR="00DA5CF9">
        <w:t>opment and livelihoods program, recognising</w:t>
      </w:r>
      <w:r w:rsidRPr="0097224F">
        <w:t xml:space="preserve"> the importance of agri</w:t>
      </w:r>
      <w:r>
        <w:t>culture to the Myanmar economy. The activities have resulted in</w:t>
      </w:r>
      <w:r w:rsidRPr="0097224F">
        <w:t xml:space="preserve"> improved nutri</w:t>
      </w:r>
      <w:r w:rsidR="00DA5CF9">
        <w:t>tion and food security outcomes</w:t>
      </w:r>
      <w:r w:rsidRPr="0097224F">
        <w:t xml:space="preserve"> whi</w:t>
      </w:r>
      <w:r>
        <w:t>le assisting broader</w:t>
      </w:r>
      <w:r w:rsidRPr="0097224F">
        <w:t xml:space="preserve"> economic development by increasing employment, raising incomes and helping households build a buffer to external sho</w:t>
      </w:r>
      <w:r>
        <w:t xml:space="preserve">cks. </w:t>
      </w:r>
      <w:r w:rsidRPr="00615D43">
        <w:t xml:space="preserve">The rating for </w:t>
      </w:r>
      <w:r>
        <w:t>this</w:t>
      </w:r>
      <w:r w:rsidRPr="00615D43">
        <w:t xml:space="preserve"> objective remains amber </w:t>
      </w:r>
      <w:r>
        <w:t xml:space="preserve">in 2014-15, primarily </w:t>
      </w:r>
      <w:r w:rsidRPr="00615D43">
        <w:t xml:space="preserve">due to </w:t>
      </w:r>
      <w:r>
        <w:t xml:space="preserve">delays in </w:t>
      </w:r>
      <w:r w:rsidR="00DA5CF9">
        <w:t xml:space="preserve">the </w:t>
      </w:r>
      <w:r w:rsidR="00701F1B">
        <w:t>Australian Centre for International Agricultural Research (</w:t>
      </w:r>
      <w:r>
        <w:t>ACIAR</w:t>
      </w:r>
      <w:r w:rsidR="00701F1B">
        <w:t>)</w:t>
      </w:r>
      <w:r>
        <w:t xml:space="preserve"> translating agricultural research into practical support to improve the livelihoods of the rural poor. While performance in this sector has improved since 2013-14 and there are grounds for optimism, further work is required before a green rating can be awarded. We have identified measures to address the shortcomings, which</w:t>
      </w:r>
      <w:r w:rsidRPr="00615D43">
        <w:t xml:space="preserve"> </w:t>
      </w:r>
      <w:r>
        <w:t>are included in the management response.</w:t>
      </w:r>
    </w:p>
    <w:p w:rsidR="00F55720" w:rsidRDefault="00FA0F66" w:rsidP="00FA0F66">
      <w:pPr>
        <w:pStyle w:val="ListBullet"/>
        <w:numPr>
          <w:ilvl w:val="0"/>
          <w:numId w:val="0"/>
        </w:numPr>
        <w:spacing w:after="160"/>
      </w:pPr>
      <w:r>
        <w:t>Much of Australia’s support</w:t>
      </w:r>
      <w:r w:rsidRPr="000A128A">
        <w:t xml:space="preserve"> </w:t>
      </w:r>
      <w:r>
        <w:t>for livelihoods in Myanmar is delivered through a multi-donor program, t</w:t>
      </w:r>
      <w:r w:rsidRPr="000A128A">
        <w:t>he Livelihoods and Food Securit</w:t>
      </w:r>
      <w:r>
        <w:t>y Trust Fund (LIFT). Its goal is to sustainably reduce</w:t>
      </w:r>
      <w:r w:rsidRPr="000A128A">
        <w:t xml:space="preserve"> the number of people</w:t>
      </w:r>
      <w:r>
        <w:t xml:space="preserve"> in Myanmar</w:t>
      </w:r>
      <w:r w:rsidRPr="000A128A">
        <w:t xml:space="preserve"> living in poverty</w:t>
      </w:r>
      <w:r>
        <w:t xml:space="preserve"> and hunger, including in conflict-affected areas</w:t>
      </w:r>
      <w:r w:rsidRPr="000A128A">
        <w:t xml:space="preserve">. </w:t>
      </w:r>
      <w:r>
        <w:t xml:space="preserve">LIFT </w:t>
      </w:r>
      <w:r w:rsidRPr="00615D43">
        <w:t>has made a notable difference in add</w:t>
      </w:r>
      <w:r>
        <w:t xml:space="preserve">ressing rural poverty in Myanmar thanks to its </w:t>
      </w:r>
      <w:r w:rsidRPr="00615D43">
        <w:t xml:space="preserve">broad geographic coverage, with activities in 13 </w:t>
      </w:r>
      <w:r w:rsidR="00D32EAF">
        <w:t>s</w:t>
      </w:r>
      <w:r w:rsidRPr="00615D43">
        <w:t>tates</w:t>
      </w:r>
      <w:r>
        <w:t xml:space="preserve"> and </w:t>
      </w:r>
      <w:r w:rsidR="00D32EAF">
        <w:t>r</w:t>
      </w:r>
      <w:r w:rsidRPr="00615D43">
        <w:t xml:space="preserve">egions of </w:t>
      </w:r>
      <w:r>
        <w:t>Myanmar</w:t>
      </w:r>
      <w:r w:rsidRPr="00615D43">
        <w:t xml:space="preserve">. </w:t>
      </w:r>
      <w:r>
        <w:t xml:space="preserve">By 2016 it is expected that 5 per cent of Myanmar’s population will have received LIFT support. </w:t>
      </w:r>
      <w:r w:rsidRPr="00615D43">
        <w:t>LIFT has already achieved</w:t>
      </w:r>
      <w:r>
        <w:t xml:space="preserve"> or exceeded</w:t>
      </w:r>
      <w:r w:rsidRPr="00615D43">
        <w:t xml:space="preserve"> </w:t>
      </w:r>
      <w:r>
        <w:t>two thirds of its performance indicators.</w:t>
      </w:r>
      <w:r w:rsidRPr="00615D43">
        <w:t xml:space="preserve"> </w:t>
      </w:r>
    </w:p>
    <w:p w:rsidR="00FA0F66" w:rsidRDefault="00FA0F66" w:rsidP="00FA0F66">
      <w:pPr>
        <w:pStyle w:val="ListBullet"/>
        <w:numPr>
          <w:ilvl w:val="0"/>
          <w:numId w:val="0"/>
        </w:numPr>
        <w:spacing w:after="160"/>
      </w:pPr>
      <w:r>
        <w:t>Australia’s contribution has enabled LIFT to: increase incomes for 12,420 Myanmar households (target 11,700 by 2016); reduce food insecurity months for 22,680 people (target 21,600); increase or diversify food consumption for 8,730 households (target 21,600); and at least 5 per cent agricultural productivity gains for 11,970 households (target 11,700)</w:t>
      </w:r>
      <w:r>
        <w:rPr>
          <w:rStyle w:val="EndnoteReference"/>
        </w:rPr>
        <w:endnoteReference w:id="20"/>
      </w:r>
      <w:r w:rsidR="00701F1B">
        <w:t>.</w:t>
      </w:r>
      <w:r w:rsidR="00F55720" w:rsidRPr="00F55720">
        <w:t xml:space="preserve"> </w:t>
      </w:r>
      <w:r w:rsidR="00F55720">
        <w:t>Australia has also enabled 1</w:t>
      </w:r>
      <w:r w:rsidR="00F55720" w:rsidRPr="009821FB">
        <w:t xml:space="preserve">9,231 households </w:t>
      </w:r>
      <w:r w:rsidR="00F55720">
        <w:t>to access</w:t>
      </w:r>
      <w:r w:rsidR="00F55720" w:rsidRPr="009821FB">
        <w:t xml:space="preserve"> financial servic</w:t>
      </w:r>
      <w:r w:rsidR="00F55720">
        <w:t>es and markets through LIFT. This exceeded the target of 6,300 households following</w:t>
      </w:r>
      <w:r w:rsidR="00F55720" w:rsidRPr="009821FB">
        <w:t xml:space="preserve"> a decision by the LIFT </w:t>
      </w:r>
      <w:r w:rsidR="00F55720">
        <w:rPr>
          <w:iCs/>
        </w:rPr>
        <w:t>Fund Board</w:t>
      </w:r>
      <w:r w:rsidR="00F55720" w:rsidRPr="009821FB">
        <w:rPr>
          <w:iCs/>
        </w:rPr>
        <w:t xml:space="preserve"> to</w:t>
      </w:r>
      <w:r w:rsidR="00F55720">
        <w:rPr>
          <w:iCs/>
        </w:rPr>
        <w:t xml:space="preserve"> focus additional resources on financial inclusion.</w:t>
      </w:r>
    </w:p>
    <w:p w:rsidR="00FA0F66" w:rsidRDefault="00FA0F66" w:rsidP="00FA0F66">
      <w:pPr>
        <w:pStyle w:val="ListBullet"/>
        <w:numPr>
          <w:ilvl w:val="0"/>
          <w:numId w:val="0"/>
        </w:numPr>
        <w:spacing w:after="160"/>
      </w:pPr>
      <w:r>
        <w:t xml:space="preserve">Australia also funds the ACIAR </w:t>
      </w:r>
      <w:r w:rsidRPr="00DB2046">
        <w:t>Multidisciplinary Res</w:t>
      </w:r>
      <w:r>
        <w:t>earch Program for Food Security, which</w:t>
      </w:r>
      <w:r w:rsidRPr="00DB2046">
        <w:t xml:space="preserve"> aims to increase food production for small-holder farmers in the Ayeyarwa</w:t>
      </w:r>
      <w:r w:rsidR="006C4402">
        <w:t>d</w:t>
      </w:r>
      <w:r w:rsidRPr="00DB2046">
        <w:t xml:space="preserve">dy Delta and Central Dry Zone in </w:t>
      </w:r>
      <w:r>
        <w:t>Myanmar by applying</w:t>
      </w:r>
      <w:r w:rsidRPr="00DB2046">
        <w:t xml:space="preserve"> research to agricultural practices. </w:t>
      </w:r>
      <w:r>
        <w:t xml:space="preserve">The program has piloted low-cost technologies to increase fish productivity, with early results indicating a potential doubling of total gross production. Several new high-yielding varieties of legumes have been introduced to Myanmar and produced yield gains of between 50 and 152 per cent. ACIAR also supported </w:t>
      </w:r>
      <w:r w:rsidRPr="00D71721">
        <w:t>980 rice farmers to improve crop management practices and trial new crop varieties, the combined productivity benefit of which will be at least 40 per cent</w:t>
      </w:r>
      <w:r>
        <w:t xml:space="preserve">. </w:t>
      </w:r>
    </w:p>
    <w:p w:rsidR="00FA0F66" w:rsidRDefault="00FA0F66" w:rsidP="00FA0F66">
      <w:pPr>
        <w:pStyle w:val="ListBullet"/>
        <w:numPr>
          <w:ilvl w:val="0"/>
          <w:numId w:val="0"/>
        </w:numPr>
        <w:spacing w:after="160"/>
      </w:pPr>
      <w:r>
        <w:t xml:space="preserve">A mid-term review in June 2015 found the ACIAR program’s five activities were well implemented and achieved significant outputs, but have not operated effectively as an integrated multidisciplinary research program. While the program’s effectiveness improved since the last reporting period, the absence of an overarching monitoring and evaluation framework makes it difficult to capture its full impact. </w:t>
      </w:r>
      <w:r w:rsidRPr="000F5759">
        <w:t xml:space="preserve">There has also been </w:t>
      </w:r>
      <w:r w:rsidR="009C3898">
        <w:t>limited</w:t>
      </w:r>
      <w:r w:rsidRPr="000F5759">
        <w:t xml:space="preserve"> progress in translating research findings on increased production to practical measures to improve peoples’ livelihoods. This was largely due to delays in finalising an agreement with the Myanmar</w:t>
      </w:r>
      <w:r>
        <w:t xml:space="preserve"> Government to disseminate the research. This issue has now been resolved and </w:t>
      </w:r>
      <w:r w:rsidR="009C3898">
        <w:t>implementation</w:t>
      </w:r>
      <w:r>
        <w:t xml:space="preserve"> has </w:t>
      </w:r>
      <w:r w:rsidR="009C3898">
        <w:t xml:space="preserve">commenced. </w:t>
      </w:r>
    </w:p>
    <w:p w:rsidR="00FA0F66" w:rsidRDefault="00FA0F66" w:rsidP="00FA0F66">
      <w:pPr>
        <w:spacing w:after="160" w:line="280" w:lineRule="exact"/>
        <w:rPr>
          <w:rFonts w:ascii="Franklin Gothic Book" w:hAnsi="Franklin Gothic Book"/>
          <w:sz w:val="21"/>
          <w:szCs w:val="21"/>
        </w:rPr>
      </w:pPr>
      <w:r>
        <w:rPr>
          <w:rFonts w:ascii="Franklin Gothic Book" w:hAnsi="Franklin Gothic Book"/>
          <w:sz w:val="21"/>
          <w:szCs w:val="21"/>
        </w:rPr>
        <w:lastRenderedPageBreak/>
        <w:t xml:space="preserve">Australia’s third livelihoods investment in Myanmar is CARE’s </w:t>
      </w:r>
      <w:r w:rsidRPr="0030619F">
        <w:rPr>
          <w:rFonts w:ascii="Franklin Gothic Book" w:hAnsi="Franklin Gothic Book"/>
          <w:sz w:val="21"/>
          <w:szCs w:val="21"/>
        </w:rPr>
        <w:t>Strengthening Partnerships and Resilience of Communities (SPARC) in northern Rakhine State</w:t>
      </w:r>
      <w:r>
        <w:rPr>
          <w:rFonts w:ascii="Franklin Gothic Book" w:hAnsi="Franklin Gothic Book"/>
          <w:sz w:val="21"/>
          <w:szCs w:val="21"/>
        </w:rPr>
        <w:t>.</w:t>
      </w:r>
      <w:r w:rsidRPr="0030619F">
        <w:rPr>
          <w:rFonts w:ascii="Franklin Gothic Book" w:hAnsi="Franklin Gothic Book"/>
          <w:sz w:val="21"/>
          <w:szCs w:val="21"/>
        </w:rPr>
        <w:t xml:space="preserve"> </w:t>
      </w:r>
      <w:r>
        <w:rPr>
          <w:rFonts w:ascii="Franklin Gothic Book" w:hAnsi="Franklin Gothic Book"/>
          <w:sz w:val="21"/>
          <w:szCs w:val="21"/>
        </w:rPr>
        <w:t xml:space="preserve">The program assists vulnerable Rakhine and Rohingya communities to improve livelihoods by increasing food security and economic opportunities in one of the poorest and most remote parts of Myanmar. </w:t>
      </w:r>
      <w:r w:rsidRPr="0030619F">
        <w:rPr>
          <w:rFonts w:ascii="Franklin Gothic Book" w:hAnsi="Franklin Gothic Book"/>
          <w:sz w:val="21"/>
          <w:szCs w:val="21"/>
        </w:rPr>
        <w:t xml:space="preserve">The operating environment of northern Rakhine State is </w:t>
      </w:r>
      <w:r>
        <w:rPr>
          <w:rFonts w:ascii="Franklin Gothic Book" w:hAnsi="Franklin Gothic Book"/>
          <w:sz w:val="21"/>
          <w:szCs w:val="21"/>
        </w:rPr>
        <w:t>extremely difficult, and the implementation of SPARC has been delayed by inter-communal violence, ongoing restrictions on movement, and the complexities of engaging with government</w:t>
      </w:r>
      <w:r w:rsidR="00701F1B">
        <w:rPr>
          <w:rFonts w:ascii="Franklin Gothic Book" w:hAnsi="Franklin Gothic Book"/>
          <w:sz w:val="21"/>
          <w:szCs w:val="21"/>
        </w:rPr>
        <w:t xml:space="preserve"> in this area</w:t>
      </w:r>
      <w:r>
        <w:rPr>
          <w:rFonts w:ascii="Franklin Gothic Book" w:hAnsi="Franklin Gothic Book"/>
          <w:sz w:val="21"/>
          <w:szCs w:val="21"/>
        </w:rPr>
        <w:t>.</w:t>
      </w:r>
    </w:p>
    <w:p w:rsidR="00502DEB" w:rsidRPr="00FA0F66" w:rsidRDefault="00224BF5" w:rsidP="00FA0F66">
      <w:pPr>
        <w:spacing w:after="160" w:line="280" w:lineRule="exact"/>
        <w:rPr>
          <w:rFonts w:ascii="Franklin Gothic Book" w:hAnsi="Franklin Gothic Book"/>
          <w:sz w:val="21"/>
          <w:szCs w:val="21"/>
        </w:rPr>
      </w:pPr>
      <w:r w:rsidRPr="00687A6F">
        <w:rPr>
          <w:rFonts w:ascii="Franklin Gothic Book" w:hAnsi="Franklin Gothic Book"/>
          <w:sz w:val="21"/>
          <w:szCs w:val="21"/>
        </w:rPr>
        <w:t xml:space="preserve">SPARC has </w:t>
      </w:r>
      <w:r w:rsidR="00687A6F" w:rsidRPr="00687A6F">
        <w:rPr>
          <w:rFonts w:ascii="Franklin Gothic Book" w:hAnsi="Franklin Gothic Book"/>
          <w:sz w:val="21"/>
          <w:szCs w:val="21"/>
        </w:rPr>
        <w:t>adapted well</w:t>
      </w:r>
      <w:r w:rsidR="00FA0F66" w:rsidRPr="00687A6F">
        <w:rPr>
          <w:rFonts w:ascii="Franklin Gothic Book" w:hAnsi="Franklin Gothic Book"/>
          <w:sz w:val="21"/>
          <w:szCs w:val="21"/>
        </w:rPr>
        <w:t xml:space="preserve"> to the dynamic context. In May 2015 DFAT approved an extension of the program to 2017, in response to CARE’s comprehensive conflict analysis and recognition that it would take longer than initially anticipated to achieve the program’s results. In 2014-15 SPARC established 20 new community forestry nurseries, supported the management of existing community forestry plots for 2,728 households, and provided agricultural and financial assistance for 1,568 farming households to productively use land for both summer and winter crops.</w:t>
      </w:r>
      <w:r w:rsidR="00701F1B" w:rsidRPr="00687A6F">
        <w:rPr>
          <w:rFonts w:ascii="Franklin Gothic Book" w:hAnsi="Franklin Gothic Book"/>
          <w:sz w:val="21"/>
          <w:szCs w:val="21"/>
        </w:rPr>
        <w:t xml:space="preserve"> By increas</w:t>
      </w:r>
      <w:r w:rsidR="00FA0F66" w:rsidRPr="00687A6F">
        <w:rPr>
          <w:rFonts w:ascii="Franklin Gothic Book" w:hAnsi="Franklin Gothic Book"/>
          <w:sz w:val="21"/>
          <w:szCs w:val="21"/>
        </w:rPr>
        <w:t>ing access to plant seedlings and supporting annual post-harvest planting, SPARC contributed to improving the livelihoods of communities in northern Rakhine.</w:t>
      </w:r>
    </w:p>
    <w:p w:rsidR="0058069A" w:rsidRPr="00925BD5" w:rsidRDefault="00925BD5" w:rsidP="00925BD5">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Peace and humanitarian</w:t>
      </w:r>
    </w:p>
    <w:tbl>
      <w:tblPr>
        <w:tblStyle w:val="APPR"/>
        <w:tblW w:w="5000" w:type="pct"/>
        <w:tblLook w:val="0000" w:firstRow="0" w:lastRow="0" w:firstColumn="0" w:lastColumn="0" w:noHBand="0" w:noVBand="0"/>
      </w:tblPr>
      <w:tblGrid>
        <w:gridCol w:w="7649"/>
        <w:gridCol w:w="1128"/>
      </w:tblGrid>
      <w:tr w:rsidR="0058069A" w:rsidRPr="009D53C4" w:rsidTr="0058069A">
        <w:trPr>
          <w:cnfStyle w:val="000000010000" w:firstRow="0" w:lastRow="0" w:firstColumn="0" w:lastColumn="0" w:oddVBand="0" w:evenVBand="0" w:oddHBand="0" w:evenHBand="1" w:firstRowFirstColumn="0" w:firstRowLastColumn="0" w:lastRowFirstColumn="0" w:lastRowLastColumn="0"/>
        </w:trPr>
        <w:tc>
          <w:tcPr>
            <w:tcW w:w="7607" w:type="dxa"/>
          </w:tcPr>
          <w:p w:rsidR="0058069A" w:rsidRPr="0058069A" w:rsidRDefault="0058069A" w:rsidP="00364653">
            <w:pPr>
              <w:pStyle w:val="TableTextEntries"/>
              <w:rPr>
                <w:caps/>
              </w:rPr>
            </w:pPr>
            <w:r w:rsidRPr="0058069A">
              <w:rPr>
                <w:caps/>
              </w:rPr>
              <w:t>Objective 4: Addressing the needs of conflict and disaster affected people</w:t>
            </w:r>
          </w:p>
        </w:tc>
        <w:tc>
          <w:tcPr>
            <w:tcW w:w="1086" w:type="dxa"/>
            <w:shd w:val="clear" w:color="auto" w:fill="92D050"/>
            <w:noWrap/>
          </w:tcPr>
          <w:p w:rsidR="0058069A" w:rsidRPr="00443639" w:rsidRDefault="0058069A" w:rsidP="00364653">
            <w:pPr>
              <w:pStyle w:val="TableTextEntries"/>
              <w:jc w:val="center"/>
              <w:rPr>
                <w:color w:val="FFFFFF" w:themeColor="background1"/>
              </w:rPr>
            </w:pPr>
            <w:r>
              <w:rPr>
                <w:color w:val="FFFFFF" w:themeColor="background1"/>
              </w:rPr>
              <w:t>Green</w:t>
            </w:r>
          </w:p>
        </w:tc>
      </w:tr>
    </w:tbl>
    <w:p w:rsidR="0058069A" w:rsidRDefault="00701F1B" w:rsidP="0058069A">
      <w:pPr>
        <w:pStyle w:val="BodyText"/>
      </w:pPr>
      <w:r>
        <w:t>Australia’s aid program</w:t>
      </w:r>
      <w:r w:rsidRPr="00701F1B">
        <w:t xml:space="preserve"> </w:t>
      </w:r>
      <w:r>
        <w:t xml:space="preserve">continued to help build and sustain confidence in the locally-led peace process and helped meet the humanitarian and development needs of people affected by conflict in Myanmar. </w:t>
      </w:r>
      <w:r w:rsidR="00F0030F">
        <w:t xml:space="preserve">While the impact of international support for the peace process is difficult to assess due to the locally-owned nature of the process, we assess that Australia’s contribution was positive as we met both our performance benchmark and our target under the </w:t>
      </w:r>
      <w:r w:rsidR="00F0030F" w:rsidRPr="00F0030F">
        <w:rPr>
          <w:i/>
        </w:rPr>
        <w:t xml:space="preserve">Australia-Myanmar Aid Program Strategy </w:t>
      </w:r>
      <w:r w:rsidR="00F0030F">
        <w:t xml:space="preserve">in 2014-15.   </w:t>
      </w:r>
    </w:p>
    <w:p w:rsidR="0058069A" w:rsidRDefault="000F1C84" w:rsidP="0058069A">
      <w:pPr>
        <w:pStyle w:val="BodyText"/>
      </w:pPr>
      <w:r>
        <w:t xml:space="preserve">There was significant progress in negotiating a Nationwide Ceasefire Agreement </w:t>
      </w:r>
      <w:r w:rsidR="003D11E7">
        <w:t>(NCA) in 2014-15, including preliminary consensus on the t</w:t>
      </w:r>
      <w:r w:rsidR="00B750D8">
        <w:t>ext of the agreement in March.  This culminated in the Myanmar Government and eight ethnic armed organisations signing a partial NCA on 15 October</w:t>
      </w:r>
      <w:r w:rsidR="008F54AC">
        <w:t xml:space="preserve"> 2015</w:t>
      </w:r>
      <w:r w:rsidR="00B750D8">
        <w:t>. T</w:t>
      </w:r>
      <w:r w:rsidR="003D11E7">
        <w:t>he impact of the NCA</w:t>
      </w:r>
      <w:r w:rsidR="00B750D8">
        <w:t xml:space="preserve"> on non-signatories</w:t>
      </w:r>
      <w:r w:rsidR="003D11E7">
        <w:t xml:space="preserve"> is unclear and the critical </w:t>
      </w:r>
      <w:r w:rsidR="00B750D8">
        <w:t>political dialogue</w:t>
      </w:r>
      <w:r w:rsidR="003D11E7">
        <w:t xml:space="preserve"> phase </w:t>
      </w:r>
      <w:r w:rsidR="00B750D8">
        <w:t xml:space="preserve">will need to be progressed by the </w:t>
      </w:r>
      <w:r w:rsidR="003D11E7">
        <w:t>next government in 2016.</w:t>
      </w:r>
      <w:r>
        <w:t xml:space="preserve"> </w:t>
      </w:r>
    </w:p>
    <w:p w:rsidR="0058069A" w:rsidRDefault="0058069A" w:rsidP="0058069A">
      <w:pPr>
        <w:pStyle w:val="BodyText"/>
      </w:pPr>
      <w:r w:rsidRPr="00AC60AA">
        <w:t>Australian</w:t>
      </w:r>
      <w:r w:rsidR="006B191A">
        <w:t>-funded staffing support and training</w:t>
      </w:r>
      <w:r w:rsidRPr="00AC60AA">
        <w:t xml:space="preserve"> </w:t>
      </w:r>
      <w:r w:rsidR="006B191A">
        <w:t xml:space="preserve">increased </w:t>
      </w:r>
      <w:r w:rsidRPr="00AC60AA">
        <w:t xml:space="preserve">the </w:t>
      </w:r>
      <w:r>
        <w:t>ability</w:t>
      </w:r>
      <w:r w:rsidRPr="00AC60AA">
        <w:t xml:space="preserve"> of the </w:t>
      </w:r>
      <w:r w:rsidR="00CA59F3">
        <w:t>Myanmar</w:t>
      </w:r>
      <w:r w:rsidRPr="00AC60AA">
        <w:t xml:space="preserve"> Government and ethnic groups to engage effectively in the </w:t>
      </w:r>
      <w:r w:rsidR="00623A4A">
        <w:t xml:space="preserve">peace </w:t>
      </w:r>
      <w:r w:rsidRPr="00AC60AA">
        <w:t>process</w:t>
      </w:r>
      <w:r>
        <w:t xml:space="preserve">. </w:t>
      </w:r>
      <w:r w:rsidR="006B191A">
        <w:t>Australian advise</w:t>
      </w:r>
      <w:r w:rsidRPr="00AC60AA">
        <w:t>rs to the Myanmar Peace Cente</w:t>
      </w:r>
      <w:r>
        <w:t>r</w:t>
      </w:r>
      <w:r w:rsidRPr="00AC60AA">
        <w:t xml:space="preserve"> and support to ethnic groups</w:t>
      </w:r>
      <w:r>
        <w:t xml:space="preserve"> w</w:t>
      </w:r>
      <w:r w:rsidRPr="00AC60AA">
        <w:t>as</w:t>
      </w:r>
      <w:r>
        <w:t xml:space="preserve"> targeted to</w:t>
      </w:r>
      <w:r w:rsidRPr="00AC60AA">
        <w:t xml:space="preserve"> </w:t>
      </w:r>
      <w:r>
        <w:t xml:space="preserve">assist parties participate and </w:t>
      </w:r>
      <w:r w:rsidRPr="00AC60AA">
        <w:t>articulate their negotiating positions.</w:t>
      </w:r>
      <w:r>
        <w:t xml:space="preserve"> Through the Centre for Peace and Confli</w:t>
      </w:r>
      <w:r w:rsidR="00EB1BF2">
        <w:t xml:space="preserve">ct Studies, Australia </w:t>
      </w:r>
      <w:r>
        <w:t>supported efforts to ensure negotiations are informed</w:t>
      </w:r>
      <w:r w:rsidR="0047015C">
        <w:t xml:space="preserve"> by</w:t>
      </w:r>
      <w:r w:rsidR="00EB1BF2">
        <w:t xml:space="preserve"> the</w:t>
      </w:r>
      <w:r>
        <w:t xml:space="preserve"> views</w:t>
      </w:r>
      <w:r w:rsidR="0047015C">
        <w:t xml:space="preserve"> </w:t>
      </w:r>
      <w:r w:rsidR="00EB1BF2">
        <w:t xml:space="preserve">of </w:t>
      </w:r>
      <w:r w:rsidR="0047015C">
        <w:t>those who are outside the formal negotiation process, including foot soldiers from all sides.</w:t>
      </w:r>
      <w:r>
        <w:t xml:space="preserve"> </w:t>
      </w:r>
    </w:p>
    <w:p w:rsidR="0058069A" w:rsidRDefault="00687A6F" w:rsidP="0058069A">
      <w:pPr>
        <w:pStyle w:val="BodyText"/>
      </w:pPr>
      <w:r w:rsidRPr="00687A6F">
        <w:t xml:space="preserve">Australia </w:t>
      </w:r>
      <w:r w:rsidR="0058069A" w:rsidRPr="00687A6F">
        <w:t xml:space="preserve">continued to </w:t>
      </w:r>
      <w:r w:rsidRPr="00687A6F">
        <w:t>support</w:t>
      </w:r>
      <w:r w:rsidR="0058069A" w:rsidRPr="00687A6F">
        <w:t xml:space="preserve"> improvements for people in conf</w:t>
      </w:r>
      <w:r w:rsidRPr="00687A6F">
        <w:t>lict-affected areas. I</w:t>
      </w:r>
      <w:r w:rsidR="0058069A" w:rsidRPr="00687A6F">
        <w:t>n 2014</w:t>
      </w:r>
      <w:r w:rsidR="00BB77DF" w:rsidRPr="00687A6F">
        <w:t xml:space="preserve"> Australian funding enabled the</w:t>
      </w:r>
      <w:r w:rsidR="006C4402" w:rsidRPr="00687A6F">
        <w:t xml:space="preserve"> </w:t>
      </w:r>
      <w:r w:rsidR="0058069A" w:rsidRPr="00687A6F">
        <w:t xml:space="preserve">Norwegian Refugee Council </w:t>
      </w:r>
      <w:r w:rsidR="00BB77DF" w:rsidRPr="00687A6F">
        <w:t xml:space="preserve">to </w:t>
      </w:r>
      <w:r w:rsidRPr="00687A6F">
        <w:t>partner with the Myanmar Government in providing</w:t>
      </w:r>
      <w:r w:rsidR="0058069A" w:rsidRPr="00687A6F">
        <w:t xml:space="preserve"> national identity cards to 10,176 people (5,597 women) in southern Shan State. Around half of these people had never had a national ID</w:t>
      </w:r>
      <w:r w:rsidR="001826BD" w:rsidRPr="00687A6F">
        <w:t xml:space="preserve"> card</w:t>
      </w:r>
      <w:r w:rsidR="0058069A" w:rsidRPr="00687A6F">
        <w:t xml:space="preserve"> before, limiting their ability to </w:t>
      </w:r>
      <w:r w:rsidRPr="00687A6F">
        <w:t xml:space="preserve">fully </w:t>
      </w:r>
      <w:r w:rsidR="0058069A" w:rsidRPr="00687A6F">
        <w:t xml:space="preserve">access their rights. Initial </w:t>
      </w:r>
      <w:r w:rsidR="006B191A" w:rsidRPr="00687A6F">
        <w:t>surveys</w:t>
      </w:r>
      <w:r w:rsidR="0058069A" w:rsidRPr="00687A6F">
        <w:t xml:space="preserve"> fou</w:t>
      </w:r>
      <w:r w:rsidR="006B191A" w:rsidRPr="00687A6F">
        <w:t xml:space="preserve">nd that </w:t>
      </w:r>
      <w:r w:rsidR="0058069A" w:rsidRPr="00687A6F">
        <w:t>most women and men intend</w:t>
      </w:r>
      <w:r w:rsidR="006B191A" w:rsidRPr="00687A6F">
        <w:t>ed</w:t>
      </w:r>
      <w:r w:rsidR="0058069A" w:rsidRPr="00687A6F">
        <w:t xml:space="preserve"> to use their ID to register </w:t>
      </w:r>
      <w:r w:rsidR="006B191A" w:rsidRPr="00687A6F">
        <w:t>to vote in</w:t>
      </w:r>
      <w:r w:rsidR="0058069A" w:rsidRPr="00687A6F">
        <w:t xml:space="preserve"> the </w:t>
      </w:r>
      <w:r w:rsidR="00733AF3" w:rsidRPr="00687A6F">
        <w:t>2015</w:t>
      </w:r>
      <w:r w:rsidR="006B191A" w:rsidRPr="00687A6F">
        <w:t xml:space="preserve"> elections or enrol in higher education</w:t>
      </w:r>
      <w:r w:rsidR="0058069A" w:rsidRPr="00687A6F">
        <w:t>.</w:t>
      </w:r>
      <w:r w:rsidR="0058069A">
        <w:t xml:space="preserve"> </w:t>
      </w:r>
    </w:p>
    <w:p w:rsidR="0058069A" w:rsidRDefault="0058069A" w:rsidP="0058069A">
      <w:pPr>
        <w:pStyle w:val="BodyText"/>
      </w:pPr>
      <w:r>
        <w:t xml:space="preserve">In line with Australia’s support for </w:t>
      </w:r>
      <w:r w:rsidR="002B66E9">
        <w:t>implementing</w:t>
      </w:r>
      <w:r>
        <w:t xml:space="preserve"> UN Security Council Resolution 1325 on Women, P</w:t>
      </w:r>
      <w:r w:rsidR="00EB1BF2">
        <w:t>eace and Security</w:t>
      </w:r>
      <w:r>
        <w:t xml:space="preserve">, </w:t>
      </w:r>
      <w:r w:rsidRPr="00A1558C">
        <w:t xml:space="preserve">Australia </w:t>
      </w:r>
      <w:r>
        <w:t>conti</w:t>
      </w:r>
      <w:r w:rsidR="00EB1BF2">
        <w:t>nued to support</w:t>
      </w:r>
      <w:r>
        <w:t xml:space="preserve"> women’s involvement in the peace process. </w:t>
      </w:r>
      <w:r w:rsidR="002B66E9">
        <w:t>Australia supported</w:t>
      </w:r>
      <w:r w:rsidRPr="00A1558C">
        <w:t xml:space="preserve"> </w:t>
      </w:r>
      <w:r w:rsidR="002B66E9">
        <w:t xml:space="preserve">six women from </w:t>
      </w:r>
      <w:r w:rsidR="00CA59F3">
        <w:t>Myanmar</w:t>
      </w:r>
      <w:r w:rsidR="002B66E9">
        <w:t xml:space="preserve"> </w:t>
      </w:r>
      <w:r w:rsidRPr="00A1558C">
        <w:t xml:space="preserve">who have previous experience in peace </w:t>
      </w:r>
      <w:r w:rsidRPr="00A1558C">
        <w:lastRenderedPageBreak/>
        <w:t xml:space="preserve">and conflict work to </w:t>
      </w:r>
      <w:r w:rsidR="00A10EFA">
        <w:t>build</w:t>
      </w:r>
      <w:r w:rsidR="002B66E9">
        <w:t xml:space="preserve"> stronger leadership skills by </w:t>
      </w:r>
      <w:r w:rsidR="00A10EFA">
        <w:t>developing</w:t>
      </w:r>
      <w:r w:rsidR="002B66E9">
        <w:t xml:space="preserve"> </w:t>
      </w:r>
      <w:r w:rsidRPr="00A1558C">
        <w:t>technical skill</w:t>
      </w:r>
      <w:r w:rsidR="002B66E9">
        <w:t xml:space="preserve">s </w:t>
      </w:r>
      <w:r w:rsidR="00733AF3">
        <w:t>in</w:t>
      </w:r>
      <w:r w:rsidRPr="00A1558C">
        <w:t xml:space="preserve"> conflict</w:t>
      </w:r>
      <w:r w:rsidR="00733AF3">
        <w:t xml:space="preserve"> resolution, peace building and </w:t>
      </w:r>
      <w:r w:rsidRPr="00A1558C">
        <w:t>adv</w:t>
      </w:r>
      <w:r w:rsidR="00733AF3">
        <w:t>ocacy</w:t>
      </w:r>
      <w:r w:rsidRPr="00A1558C">
        <w:t xml:space="preserve">. </w:t>
      </w:r>
      <w:r w:rsidR="00A10EFA">
        <w:t>Australia provided funding to the</w:t>
      </w:r>
      <w:r w:rsidR="002B66E9">
        <w:t xml:space="preserve"> Shalom Foundation,</w:t>
      </w:r>
      <w:r w:rsidR="00A10EFA">
        <w:t xml:space="preserve"> which enabled</w:t>
      </w:r>
      <w:r w:rsidR="002B66E9">
        <w:t xml:space="preserve"> 69 women</w:t>
      </w:r>
      <w:r w:rsidR="00A10EFA">
        <w:t xml:space="preserve"> to</w:t>
      </w:r>
      <w:r w:rsidRPr="00A1558C">
        <w:t xml:space="preserve"> attend negotiation skills workshops to support them in their roles in the peace process. Shalom Foundation has also joined with four other local organisations to establish the Alliance for Gender</w:t>
      </w:r>
      <w:r w:rsidR="002B66E9">
        <w:t xml:space="preserve"> Inclusion in the Peace Process. This </w:t>
      </w:r>
      <w:r w:rsidRPr="00A1558C">
        <w:t>provides a platform for future advocacy on women's inclusion</w:t>
      </w:r>
      <w:r w:rsidR="002B66E9">
        <w:t xml:space="preserve"> in the peace process</w:t>
      </w:r>
      <w:r w:rsidRPr="00A1558C">
        <w:t>, particularly given likely openings stemming fro</w:t>
      </w:r>
      <w:r w:rsidR="00EB1BF2">
        <w:t>m the political dialogue</w:t>
      </w:r>
      <w:r w:rsidRPr="00A1558C">
        <w:t>.</w:t>
      </w:r>
      <w:r>
        <w:t xml:space="preserve"> </w:t>
      </w:r>
      <w:r w:rsidR="00BB77DF">
        <w:t>The program has made adequate progress to date, building on a low level of women’s participation in the pea</w:t>
      </w:r>
      <w:r w:rsidR="00AC0D76">
        <w:t>ce process and Myanmar politics</w:t>
      </w:r>
      <w:r w:rsidR="009D2645">
        <w:t>.</w:t>
      </w:r>
    </w:p>
    <w:p w:rsidR="009D2645" w:rsidRDefault="0058069A" w:rsidP="002E31DE">
      <w:pPr>
        <w:pStyle w:val="BodyText"/>
      </w:pPr>
      <w:r>
        <w:t>The reporting p</w:t>
      </w:r>
      <w:r w:rsidR="002B66E9">
        <w:t>eriod</w:t>
      </w:r>
      <w:r>
        <w:t xml:space="preserve"> saw increasing humanitarian needs across </w:t>
      </w:r>
      <w:r w:rsidR="00CA59F3">
        <w:t>Myanmar</w:t>
      </w:r>
      <w:r>
        <w:t xml:space="preserve"> due to the outbreak of violence in the country’s northeast and further deterioration in the conditions of existing displaced persons’ camps. </w:t>
      </w:r>
      <w:r w:rsidRPr="00991BE2">
        <w:t xml:space="preserve">The majority of internally displaced people living in camps </w:t>
      </w:r>
      <w:r>
        <w:t xml:space="preserve">remain </w:t>
      </w:r>
      <w:r w:rsidRPr="00991BE2">
        <w:t xml:space="preserve">almost entirely dependent on </w:t>
      </w:r>
      <w:r>
        <w:t>international</w:t>
      </w:r>
      <w:r w:rsidRPr="00991BE2">
        <w:t xml:space="preserve"> assistance to meet their basic needs. Although efforts are being made to find durable solutions, tensions in Rakhine and Kachin </w:t>
      </w:r>
      <w:r>
        <w:t xml:space="preserve">states </w:t>
      </w:r>
      <w:r w:rsidRPr="00991BE2">
        <w:t>remain</w:t>
      </w:r>
      <w:r w:rsidR="00CA59F3">
        <w:t>ed</w:t>
      </w:r>
      <w:r w:rsidRPr="00991BE2">
        <w:t xml:space="preserve"> high</w:t>
      </w:r>
      <w:r w:rsidR="00CA59F3">
        <w:t xml:space="preserve"> in 2014-15</w:t>
      </w:r>
      <w:r w:rsidRPr="00991BE2">
        <w:t>.</w:t>
      </w:r>
      <w:r w:rsidR="002E31DE">
        <w:t xml:space="preserve"> </w:t>
      </w:r>
    </w:p>
    <w:p w:rsidR="00C1085F" w:rsidRDefault="0058069A" w:rsidP="002E31DE">
      <w:pPr>
        <w:pStyle w:val="BodyText"/>
      </w:pPr>
      <w:r>
        <w:t xml:space="preserve">Australia continued to deliver effective and appropriate humanitarian assistance to those in need, in line with Australia’s Humanitarian Action Policy. In 2014-15, Australia provided $19 million in humanitarian funding to </w:t>
      </w:r>
      <w:r w:rsidR="00CA59F3">
        <w:t>Myanmar</w:t>
      </w:r>
      <w:r>
        <w:t>, which provided life-saving assistance</w:t>
      </w:r>
      <w:r w:rsidR="004D5370">
        <w:t xml:space="preserve"> such as food, water and shelter</w:t>
      </w:r>
      <w:r>
        <w:t xml:space="preserve"> for </w:t>
      </w:r>
      <w:r w:rsidRPr="00254EEB">
        <w:t>235,313 people</w:t>
      </w:r>
      <w:r>
        <w:t xml:space="preserve">. </w:t>
      </w:r>
      <w:r w:rsidRPr="00853E62">
        <w:t xml:space="preserve">Australia’s humanitarian funding was almost entirely allocated towards priorities identified in the </w:t>
      </w:r>
      <w:r>
        <w:t>UN Humanitarian</w:t>
      </w:r>
      <w:r w:rsidRPr="00853E62">
        <w:t xml:space="preserve"> Response Plan</w:t>
      </w:r>
      <w:r w:rsidR="00733AF3">
        <w:t>,</w:t>
      </w:r>
      <w:r w:rsidRPr="00853E62">
        <w:t xml:space="preserve"> indicating that it was closely aligned to national priorities and targeted needs.</w:t>
      </w:r>
      <w:r>
        <w:t xml:space="preserve"> </w:t>
      </w:r>
      <w:r w:rsidRPr="00254EEB">
        <w:t xml:space="preserve">At a critical time in </w:t>
      </w:r>
      <w:r w:rsidR="00CA59F3">
        <w:t>Myanmar</w:t>
      </w:r>
      <w:r w:rsidR="00EB1BF2">
        <w:t>’s transition, supporting</w:t>
      </w:r>
      <w:r w:rsidRPr="00254EEB">
        <w:t xml:space="preserve"> displaced</w:t>
      </w:r>
      <w:r w:rsidR="00EB1BF2">
        <w:t xml:space="preserve"> communities helps</w:t>
      </w:r>
      <w:r w:rsidRPr="00254EEB">
        <w:t xml:space="preserve"> maintain st</w:t>
      </w:r>
      <w:r w:rsidR="00EB1BF2">
        <w:t>ability and allows adequate</w:t>
      </w:r>
      <w:r w:rsidRPr="00254EEB">
        <w:t xml:space="preserve"> time for peace negotiations between the </w:t>
      </w:r>
      <w:r w:rsidR="00CA59F3">
        <w:t>Myanmar</w:t>
      </w:r>
      <w:r w:rsidR="0047015C">
        <w:t xml:space="preserve"> Government and ethnic groups</w:t>
      </w:r>
      <w:r>
        <w:t xml:space="preserve">. </w:t>
      </w:r>
    </w:p>
    <w:p w:rsidR="00964770" w:rsidRDefault="0058069A" w:rsidP="0058069A">
      <w:pPr>
        <w:pStyle w:val="BodyText"/>
        <w:spacing w:after="120" w:line="260" w:lineRule="exact"/>
      </w:pPr>
      <w:r>
        <w:t>Australia’s humanitarian assistance</w:t>
      </w:r>
      <w:r w:rsidR="001826BD">
        <w:t xml:space="preserve"> form</w:t>
      </w:r>
      <w:r w:rsidR="00733AF3">
        <w:t>s an integral part of our</w:t>
      </w:r>
      <w:r w:rsidR="001826BD">
        <w:t xml:space="preserve"> response to the situation in Rakhine State. It supports our diplomatic advocacy</w:t>
      </w:r>
      <w:r>
        <w:t xml:space="preserve"> to address the root causes of the situation and ensure the human rights of all communities in Rakhine State. </w:t>
      </w:r>
      <w:r w:rsidR="00733AF3">
        <w:t xml:space="preserve">An independent review of </w:t>
      </w:r>
      <w:r>
        <w:t>Australia’s assistance to the Thai</w:t>
      </w:r>
      <w:r>
        <w:noBreakHyphen/>
      </w:r>
      <w:r w:rsidR="00CA59F3">
        <w:t>Myanmar</w:t>
      </w:r>
      <w:r>
        <w:t xml:space="preserve"> border </w:t>
      </w:r>
      <w:r w:rsidR="00733AF3">
        <w:t xml:space="preserve">found </w:t>
      </w:r>
      <w:r w:rsidRPr="00853E62">
        <w:t>Australia’s response</w:t>
      </w:r>
      <w:r>
        <w:t xml:space="preserve"> was</w:t>
      </w:r>
      <w:r w:rsidRPr="00853E62">
        <w:t xml:space="preserve"> relevant and appropriate, and ha</w:t>
      </w:r>
      <w:r>
        <w:t>d</w:t>
      </w:r>
      <w:r w:rsidR="00733AF3">
        <w:t xml:space="preserve"> successfully adapted </w:t>
      </w:r>
      <w:r w:rsidRPr="00853E62">
        <w:t xml:space="preserve">to </w:t>
      </w:r>
      <w:r>
        <w:t>the changing context.</w:t>
      </w:r>
    </w:p>
    <w:p w:rsidR="00964770" w:rsidRDefault="00964770" w:rsidP="00964770">
      <w:pPr>
        <w:pStyle w:val="ListBullet"/>
        <w:numPr>
          <w:ilvl w:val="0"/>
          <w:numId w:val="0"/>
        </w:numPr>
        <w:spacing w:before="24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Governance</w:t>
      </w:r>
    </w:p>
    <w:tbl>
      <w:tblPr>
        <w:tblStyle w:val="APPR"/>
        <w:tblW w:w="5000" w:type="pct"/>
        <w:tblLook w:val="0000" w:firstRow="0" w:lastRow="0" w:firstColumn="0" w:lastColumn="0" w:noHBand="0" w:noVBand="0"/>
      </w:tblPr>
      <w:tblGrid>
        <w:gridCol w:w="6235"/>
        <w:gridCol w:w="1026"/>
        <w:gridCol w:w="426"/>
        <w:gridCol w:w="1090"/>
      </w:tblGrid>
      <w:tr w:rsidR="00964770" w:rsidRPr="009D53C4" w:rsidTr="00701F1B">
        <w:trPr>
          <w:cnfStyle w:val="000000010000" w:firstRow="0" w:lastRow="0" w:firstColumn="0" w:lastColumn="0" w:oddVBand="0" w:evenVBand="0" w:oddHBand="0" w:evenHBand="1" w:firstRowFirstColumn="0" w:firstRowLastColumn="0" w:lastRowFirstColumn="0" w:lastRowLastColumn="0"/>
        </w:trPr>
        <w:tc>
          <w:tcPr>
            <w:tcW w:w="6193" w:type="dxa"/>
          </w:tcPr>
          <w:p w:rsidR="00964770" w:rsidRPr="00290A94" w:rsidRDefault="00964770" w:rsidP="00964770">
            <w:pPr>
              <w:pStyle w:val="TableTextEntries"/>
            </w:pPr>
            <w:r>
              <w:t xml:space="preserve">OBJECTIVE </w:t>
            </w:r>
            <w:r w:rsidRPr="00290A94">
              <w:t>5. SUPPORTING REFORM AND IMPROVED GOVERNANCE</w:t>
            </w:r>
          </w:p>
        </w:tc>
        <w:tc>
          <w:tcPr>
            <w:tcW w:w="998" w:type="dxa"/>
            <w:shd w:val="clear" w:color="auto" w:fill="auto"/>
            <w:noWrap/>
          </w:tcPr>
          <w:p w:rsidR="00964770" w:rsidRPr="00443639" w:rsidRDefault="00964770" w:rsidP="00964770">
            <w:pPr>
              <w:pStyle w:val="TableTextEntries"/>
              <w:jc w:val="center"/>
              <w:rPr>
                <w:color w:val="FFFFFF" w:themeColor="background1"/>
              </w:rPr>
            </w:pPr>
          </w:p>
        </w:tc>
        <w:tc>
          <w:tcPr>
            <w:tcW w:w="398" w:type="dxa"/>
          </w:tcPr>
          <w:p w:rsidR="00964770" w:rsidRPr="00443639" w:rsidRDefault="00964770" w:rsidP="00964770">
            <w:pPr>
              <w:pStyle w:val="TableTextEntries"/>
              <w:jc w:val="center"/>
              <w:rPr>
                <w:color w:val="FFFFFF" w:themeColor="background1"/>
              </w:rPr>
            </w:pPr>
          </w:p>
        </w:tc>
        <w:tc>
          <w:tcPr>
            <w:tcW w:w="1048" w:type="dxa"/>
            <w:shd w:val="clear" w:color="auto" w:fill="92D050"/>
            <w:noWrap/>
          </w:tcPr>
          <w:p w:rsidR="00964770" w:rsidRPr="00443639" w:rsidRDefault="00964770" w:rsidP="00964770">
            <w:pPr>
              <w:pStyle w:val="TableTextEntries"/>
              <w:jc w:val="center"/>
              <w:rPr>
                <w:color w:val="FFFFFF" w:themeColor="background1"/>
              </w:rPr>
            </w:pPr>
            <w:r>
              <w:rPr>
                <w:color w:val="FFFFFF" w:themeColor="background1"/>
              </w:rPr>
              <w:t>Green</w:t>
            </w:r>
          </w:p>
        </w:tc>
      </w:tr>
    </w:tbl>
    <w:p w:rsidR="00964770" w:rsidRPr="00A07EBA" w:rsidRDefault="00B36F8B" w:rsidP="00964770">
      <w:pPr>
        <w:pStyle w:val="ListBullet"/>
        <w:numPr>
          <w:ilvl w:val="0"/>
          <w:numId w:val="0"/>
        </w:numPr>
        <w:spacing w:before="120" w:line="260" w:lineRule="exact"/>
      </w:pPr>
      <w:r>
        <w:t>Australia continued to</w:t>
      </w:r>
      <w:r w:rsidR="00701F1B">
        <w:t xml:space="preserve"> invest</w:t>
      </w:r>
      <w:r w:rsidR="002F2601">
        <w:t xml:space="preserve"> in Myanmar’s reform agenda. Our investments focused on strengthening Myanmar institutions to develop policies and deliver services, and supporting the transition to democracy.  </w:t>
      </w:r>
      <w:r w:rsidR="00C1085F">
        <w:t xml:space="preserve">The </w:t>
      </w:r>
      <w:r w:rsidR="00CA59F3">
        <w:t>Myanmar</w:t>
      </w:r>
      <w:r w:rsidR="00964770">
        <w:t xml:space="preserve"> Government’s ongoing advancement of its ambitious reform agenda, with the support of Australia and other development partners, enables </w:t>
      </w:r>
      <w:r w:rsidR="00964770" w:rsidRPr="00FC6C31">
        <w:t xml:space="preserve">Australia’s progress against </w:t>
      </w:r>
      <w:r w:rsidR="002F2601">
        <w:t>this</w:t>
      </w:r>
      <w:r w:rsidR="00964770" w:rsidRPr="00FC6C31">
        <w:t xml:space="preserve"> objective </w:t>
      </w:r>
      <w:r w:rsidR="00964770">
        <w:t>to maintain a</w:t>
      </w:r>
      <w:r w:rsidR="00964770" w:rsidRPr="00FC6C31">
        <w:t xml:space="preserve"> </w:t>
      </w:r>
      <w:r w:rsidR="00964770">
        <w:t xml:space="preserve">green rating. </w:t>
      </w:r>
      <w:r w:rsidR="002E31DE">
        <w:t>Australia’s responsive approach</w:t>
      </w:r>
      <w:r w:rsidR="00964770">
        <w:t xml:space="preserve"> to support</w:t>
      </w:r>
      <w:r w:rsidR="002E31DE">
        <w:t>ing</w:t>
      </w:r>
      <w:r w:rsidR="00964770">
        <w:t xml:space="preserve"> </w:t>
      </w:r>
      <w:r w:rsidR="00CA59F3">
        <w:t>Myanmar</w:t>
      </w:r>
      <w:r w:rsidR="00964770">
        <w:t xml:space="preserve">’s immediate reform priorities has paid dividends. The success of small pilot investments has created opportunities to participate in larger-scale initiatives that will be critical to growing </w:t>
      </w:r>
      <w:r w:rsidR="00CA59F3">
        <w:t>Myanmar</w:t>
      </w:r>
      <w:r w:rsidR="00964770">
        <w:t>’s economy and improving the lives of its people</w:t>
      </w:r>
      <w:r w:rsidR="00964770" w:rsidRPr="00893A58">
        <w:t xml:space="preserve">. </w:t>
      </w:r>
      <w:r w:rsidR="00160762">
        <w:t xml:space="preserve">It will also enable greater consolidation of Australia’s governance investments in </w:t>
      </w:r>
      <w:r w:rsidR="00CA59F3">
        <w:t>Myanmar</w:t>
      </w:r>
      <w:r w:rsidR="00160762">
        <w:t>.</w:t>
      </w:r>
    </w:p>
    <w:p w:rsidR="00D672FF" w:rsidRDefault="00D672FF" w:rsidP="00964770">
      <w:pPr>
        <w:spacing w:after="120" w:line="260" w:lineRule="exact"/>
        <w:rPr>
          <w:rFonts w:ascii="Franklin Gothic Book" w:hAnsi="Franklin Gothic Book"/>
          <w:sz w:val="21"/>
        </w:rPr>
      </w:pPr>
      <w:r>
        <w:rPr>
          <w:rFonts w:ascii="Franklin Gothic Book" w:hAnsi="Franklin Gothic Book"/>
          <w:sz w:val="21"/>
        </w:rPr>
        <w:t>Myanmar’s parliamentary e</w:t>
      </w:r>
      <w:r w:rsidRPr="001E51B7">
        <w:rPr>
          <w:rFonts w:ascii="Franklin Gothic Book" w:hAnsi="Franklin Gothic Book"/>
          <w:sz w:val="21"/>
        </w:rPr>
        <w:t xml:space="preserve">lections </w:t>
      </w:r>
      <w:r>
        <w:rPr>
          <w:rFonts w:ascii="Franklin Gothic Book" w:hAnsi="Franklin Gothic Book"/>
          <w:sz w:val="21"/>
        </w:rPr>
        <w:t>scheduled for</w:t>
      </w:r>
      <w:r w:rsidRPr="001E51B7">
        <w:rPr>
          <w:rFonts w:ascii="Franklin Gothic Book" w:hAnsi="Franklin Gothic Book"/>
          <w:sz w:val="21"/>
        </w:rPr>
        <w:t xml:space="preserve"> November 2015 will be a key milestone for </w:t>
      </w:r>
      <w:r>
        <w:rPr>
          <w:rFonts w:ascii="Franklin Gothic Book" w:hAnsi="Franklin Gothic Book"/>
          <w:sz w:val="21"/>
        </w:rPr>
        <w:t>its</w:t>
      </w:r>
      <w:r w:rsidRPr="001E51B7">
        <w:rPr>
          <w:rFonts w:ascii="Franklin Gothic Book" w:hAnsi="Franklin Gothic Book"/>
          <w:sz w:val="21"/>
        </w:rPr>
        <w:t xml:space="preserve"> transition to democracy.  Australia has been one of the key donors support</w:t>
      </w:r>
      <w:r>
        <w:rPr>
          <w:rFonts w:ascii="Franklin Gothic Book" w:hAnsi="Franklin Gothic Book"/>
          <w:sz w:val="21"/>
        </w:rPr>
        <w:t>ing</w:t>
      </w:r>
      <w:r w:rsidRPr="001E51B7">
        <w:rPr>
          <w:rFonts w:ascii="Franklin Gothic Book" w:hAnsi="Franklin Gothic Book"/>
          <w:sz w:val="21"/>
        </w:rPr>
        <w:t xml:space="preserve"> the preparation</w:t>
      </w:r>
      <w:r>
        <w:rPr>
          <w:rFonts w:ascii="Franklin Gothic Book" w:hAnsi="Franklin Gothic Book"/>
          <w:sz w:val="21"/>
        </w:rPr>
        <w:t>s</w:t>
      </w:r>
      <w:r w:rsidRPr="001E51B7">
        <w:rPr>
          <w:rFonts w:ascii="Franklin Gothic Book" w:hAnsi="Franklin Gothic Book"/>
          <w:sz w:val="21"/>
        </w:rPr>
        <w:t xml:space="preserve"> for this historic event, </w:t>
      </w:r>
      <w:r>
        <w:rPr>
          <w:rFonts w:ascii="Franklin Gothic Book" w:hAnsi="Franklin Gothic Book"/>
          <w:sz w:val="21"/>
        </w:rPr>
        <w:t xml:space="preserve">primarily </w:t>
      </w:r>
      <w:r w:rsidRPr="001E51B7">
        <w:rPr>
          <w:rFonts w:ascii="Franklin Gothic Book" w:hAnsi="Franklin Gothic Book"/>
          <w:sz w:val="21"/>
        </w:rPr>
        <w:t xml:space="preserve">through the International Foundation for Electoral Systems (IFES).  </w:t>
      </w:r>
      <w:r>
        <w:rPr>
          <w:rFonts w:ascii="Franklin Gothic Book" w:hAnsi="Franklin Gothic Book"/>
          <w:sz w:val="21"/>
        </w:rPr>
        <w:t>With the support</w:t>
      </w:r>
      <w:r w:rsidRPr="001E51B7">
        <w:rPr>
          <w:rFonts w:ascii="Franklin Gothic Book" w:hAnsi="Franklin Gothic Book"/>
          <w:sz w:val="21"/>
        </w:rPr>
        <w:t xml:space="preserve"> of Australia</w:t>
      </w:r>
      <w:r>
        <w:rPr>
          <w:rFonts w:ascii="Franklin Gothic Book" w:hAnsi="Franklin Gothic Book"/>
          <w:sz w:val="21"/>
        </w:rPr>
        <w:t xml:space="preserve"> and other donors, IFES built</w:t>
      </w:r>
      <w:r w:rsidRPr="001E51B7">
        <w:rPr>
          <w:rFonts w:ascii="Franklin Gothic Book" w:hAnsi="Franklin Gothic Book"/>
          <w:sz w:val="21"/>
        </w:rPr>
        <w:t xml:space="preserve"> the technical capacity</w:t>
      </w:r>
      <w:r>
        <w:rPr>
          <w:rFonts w:ascii="Franklin Gothic Book" w:hAnsi="Franklin Gothic Book"/>
          <w:sz w:val="21"/>
        </w:rPr>
        <w:t xml:space="preserve"> of Myanmar’s Union Election Commission (UEC) to operate effectively, </w:t>
      </w:r>
      <w:r w:rsidRPr="001E51B7">
        <w:rPr>
          <w:rFonts w:ascii="Franklin Gothic Book" w:hAnsi="Franklin Gothic Book"/>
          <w:sz w:val="21"/>
        </w:rPr>
        <w:t>conduct credible ele</w:t>
      </w:r>
      <w:r>
        <w:rPr>
          <w:rFonts w:ascii="Franklin Gothic Book" w:hAnsi="Franklin Gothic Book"/>
          <w:sz w:val="21"/>
        </w:rPr>
        <w:t>ctions, recruit a diverse and inclusive staff,</w:t>
      </w:r>
      <w:r w:rsidRPr="001E51B7">
        <w:rPr>
          <w:rFonts w:ascii="Franklin Gothic Book" w:hAnsi="Franklin Gothic Book"/>
          <w:sz w:val="21"/>
        </w:rPr>
        <w:t xml:space="preserve"> strengthen</w:t>
      </w:r>
      <w:r>
        <w:rPr>
          <w:rFonts w:ascii="Franklin Gothic Book" w:hAnsi="Franklin Gothic Book"/>
          <w:sz w:val="21"/>
        </w:rPr>
        <w:t xml:space="preserve"> marginalised citizens’ participation </w:t>
      </w:r>
      <w:r w:rsidRPr="001E51B7">
        <w:rPr>
          <w:rFonts w:ascii="Franklin Gothic Book" w:hAnsi="Franklin Gothic Book"/>
          <w:sz w:val="21"/>
        </w:rPr>
        <w:t>in key a</w:t>
      </w:r>
      <w:r>
        <w:rPr>
          <w:rFonts w:ascii="Franklin Gothic Book" w:hAnsi="Franklin Gothic Book"/>
          <w:sz w:val="21"/>
        </w:rPr>
        <w:t>spects of the electoral process,</w:t>
      </w:r>
      <w:r w:rsidRPr="001E51B7">
        <w:rPr>
          <w:rFonts w:ascii="Franklin Gothic Book" w:hAnsi="Franklin Gothic Book"/>
          <w:sz w:val="21"/>
        </w:rPr>
        <w:t xml:space="preserve"> and </w:t>
      </w:r>
      <w:r>
        <w:rPr>
          <w:rFonts w:ascii="Franklin Gothic Book" w:hAnsi="Franklin Gothic Book"/>
          <w:sz w:val="21"/>
        </w:rPr>
        <w:t>develop and implement</w:t>
      </w:r>
      <w:r w:rsidRPr="001E51B7">
        <w:rPr>
          <w:rFonts w:ascii="Franklin Gothic Book" w:hAnsi="Franklin Gothic Book"/>
          <w:sz w:val="21"/>
        </w:rPr>
        <w:t xml:space="preserve"> a </w:t>
      </w:r>
      <w:r>
        <w:rPr>
          <w:rFonts w:ascii="Franklin Gothic Book" w:hAnsi="Franklin Gothic Book"/>
          <w:sz w:val="21"/>
        </w:rPr>
        <w:t xml:space="preserve">new voter registration system.  </w:t>
      </w:r>
      <w:r>
        <w:rPr>
          <w:rFonts w:ascii="Franklin Gothic Book" w:hAnsi="Franklin Gothic Book"/>
          <w:sz w:val="21"/>
        </w:rPr>
        <w:lastRenderedPageBreak/>
        <w:t xml:space="preserve">In addition, the Australian Electoral Commission (AEC) located staff in UEC offices to provide technical advice on the training of poll workers, and is the only foreign government </w:t>
      </w:r>
      <w:r w:rsidR="00B36F8B">
        <w:rPr>
          <w:rFonts w:ascii="Franklin Gothic Book" w:hAnsi="Franklin Gothic Book"/>
          <w:sz w:val="21"/>
        </w:rPr>
        <w:t xml:space="preserve">agency </w:t>
      </w:r>
      <w:r>
        <w:rPr>
          <w:rFonts w:ascii="Franklin Gothic Book" w:hAnsi="Franklin Gothic Book"/>
          <w:sz w:val="21"/>
        </w:rPr>
        <w:t>with a peer-to-peer relationship with the UEC.</w:t>
      </w:r>
    </w:p>
    <w:p w:rsidR="00D672FF" w:rsidRDefault="00D672FF" w:rsidP="00964770">
      <w:pPr>
        <w:spacing w:after="120" w:line="260" w:lineRule="exact"/>
        <w:rPr>
          <w:rFonts w:ascii="Franklin Gothic Book" w:hAnsi="Franklin Gothic Book"/>
          <w:sz w:val="21"/>
        </w:rPr>
      </w:pPr>
      <w:r>
        <w:rPr>
          <w:rFonts w:ascii="Franklin Gothic Book" w:hAnsi="Franklin Gothic Book"/>
          <w:sz w:val="21"/>
        </w:rPr>
        <w:t>Australia’s support for</w:t>
      </w:r>
      <w:r w:rsidRPr="00BE6CF1">
        <w:rPr>
          <w:rFonts w:ascii="Franklin Gothic Book" w:hAnsi="Franklin Gothic Book"/>
          <w:sz w:val="21"/>
        </w:rPr>
        <w:t xml:space="preserve"> transparent, ac</w:t>
      </w:r>
      <w:r>
        <w:rPr>
          <w:rFonts w:ascii="Franklin Gothic Book" w:hAnsi="Franklin Gothic Book"/>
          <w:sz w:val="21"/>
        </w:rPr>
        <w:t>countable and responsive state institutions in Myanmar was delivered through our partnership with</w:t>
      </w:r>
      <w:r w:rsidRPr="00BE6CF1">
        <w:rPr>
          <w:rFonts w:ascii="Franklin Gothic Book" w:hAnsi="Franklin Gothic Book"/>
          <w:sz w:val="21"/>
        </w:rPr>
        <w:t xml:space="preserve"> the United Nations Development Programme’s (UNDP) democrati</w:t>
      </w:r>
      <w:r w:rsidR="00EB1BF2">
        <w:rPr>
          <w:rFonts w:ascii="Franklin Gothic Book" w:hAnsi="Franklin Gothic Book"/>
          <w:sz w:val="21"/>
        </w:rPr>
        <w:t>c governance program</w:t>
      </w:r>
      <w:r>
        <w:rPr>
          <w:rFonts w:ascii="Franklin Gothic Book" w:hAnsi="Franklin Gothic Book"/>
          <w:sz w:val="21"/>
        </w:rPr>
        <w:t>.</w:t>
      </w:r>
      <w:r w:rsidRPr="00BE6CF1">
        <w:rPr>
          <w:rFonts w:ascii="Franklin Gothic Book" w:hAnsi="Franklin Gothic Book"/>
          <w:sz w:val="21"/>
        </w:rPr>
        <w:t xml:space="preserve"> </w:t>
      </w:r>
      <w:r>
        <w:rPr>
          <w:rFonts w:ascii="Franklin Gothic Book" w:hAnsi="Franklin Gothic Book"/>
          <w:sz w:val="21"/>
        </w:rPr>
        <w:t xml:space="preserve">Program implementation was delayed, due in part to poor planning and understaffing, as well as other factors beyond UNDP’s control.  </w:t>
      </w:r>
      <w:r w:rsidR="00EB1BF2">
        <w:rPr>
          <w:rFonts w:ascii="Franklin Gothic Book" w:hAnsi="Franklin Gothic Book"/>
          <w:sz w:val="21"/>
        </w:rPr>
        <w:t>Despite this</w:t>
      </w:r>
      <w:r>
        <w:rPr>
          <w:rFonts w:ascii="Franklin Gothic Book" w:hAnsi="Franklin Gothic Book"/>
          <w:sz w:val="21"/>
        </w:rPr>
        <w:t xml:space="preserve"> there were positive outcomes over the reporting period. B</w:t>
      </w:r>
      <w:r w:rsidRPr="003B0819">
        <w:rPr>
          <w:rFonts w:ascii="Franklin Gothic Book" w:hAnsi="Franklin Gothic Book"/>
          <w:sz w:val="21"/>
        </w:rPr>
        <w:t>oth Parliament and the Office of the Supreme Court of the Union developed strategic plans</w:t>
      </w:r>
      <w:r>
        <w:rPr>
          <w:rFonts w:ascii="Franklin Gothic Book" w:hAnsi="Franklin Gothic Book"/>
          <w:sz w:val="21"/>
        </w:rPr>
        <w:t>. A</w:t>
      </w:r>
      <w:r w:rsidRPr="003B0819">
        <w:rPr>
          <w:rFonts w:ascii="Franklin Gothic Book" w:hAnsi="Franklin Gothic Book"/>
          <w:sz w:val="21"/>
        </w:rPr>
        <w:t xml:space="preserve"> Parliamentary Learning Centre </w:t>
      </w:r>
      <w:r>
        <w:rPr>
          <w:rFonts w:ascii="Franklin Gothic Book" w:hAnsi="Franklin Gothic Book"/>
          <w:sz w:val="21"/>
        </w:rPr>
        <w:t>has been established</w:t>
      </w:r>
      <w:r w:rsidRPr="003B0819">
        <w:rPr>
          <w:rFonts w:ascii="Franklin Gothic Book" w:hAnsi="Franklin Gothic Book"/>
          <w:sz w:val="21"/>
        </w:rPr>
        <w:t xml:space="preserve">; the Ministry of National Planning and Economic Development conducted a business census; and a model curriculum </w:t>
      </w:r>
      <w:r>
        <w:rPr>
          <w:rFonts w:ascii="Franklin Gothic Book" w:hAnsi="Franklin Gothic Book"/>
          <w:sz w:val="21"/>
        </w:rPr>
        <w:t xml:space="preserve">has been </w:t>
      </w:r>
      <w:r w:rsidRPr="003B0819">
        <w:rPr>
          <w:rFonts w:ascii="Franklin Gothic Book" w:hAnsi="Franklin Gothic Book"/>
          <w:sz w:val="21"/>
        </w:rPr>
        <w:t xml:space="preserve">developed </w:t>
      </w:r>
      <w:r>
        <w:rPr>
          <w:rFonts w:ascii="Franklin Gothic Book" w:hAnsi="Franklin Gothic Book"/>
          <w:sz w:val="21"/>
        </w:rPr>
        <w:t xml:space="preserve">for </w:t>
      </w:r>
      <w:r w:rsidRPr="003B0819">
        <w:rPr>
          <w:rFonts w:ascii="Franklin Gothic Book" w:hAnsi="Franklin Gothic Book"/>
          <w:sz w:val="21"/>
        </w:rPr>
        <w:t>pilot Rule of Law Centres</w:t>
      </w:r>
      <w:r>
        <w:rPr>
          <w:rFonts w:ascii="Franklin Gothic Book" w:hAnsi="Franklin Gothic Book"/>
          <w:sz w:val="21"/>
        </w:rPr>
        <w:t>.</w:t>
      </w:r>
      <w:r w:rsidRPr="008E0BA5">
        <w:rPr>
          <w:rFonts w:ascii="Franklin Gothic Book" w:hAnsi="Franklin Gothic Book"/>
          <w:color w:val="FF0000"/>
          <w:sz w:val="21"/>
        </w:rPr>
        <w:t xml:space="preserve"> </w:t>
      </w:r>
      <w:r>
        <w:rPr>
          <w:rFonts w:ascii="Franklin Gothic Book" w:hAnsi="Franklin Gothic Book"/>
          <w:sz w:val="21"/>
        </w:rPr>
        <w:t>By supporting legal practitioners, parliamentary staff and civil society organisations Australia is helping to strengthen the rule of law and democratic institutions in Myanmar.</w:t>
      </w:r>
    </w:p>
    <w:p w:rsidR="00964770" w:rsidRDefault="00964770" w:rsidP="00964770">
      <w:pPr>
        <w:spacing w:after="120" w:line="260" w:lineRule="exact"/>
        <w:rPr>
          <w:rFonts w:ascii="Franklin Gothic Book" w:hAnsi="Franklin Gothic Book"/>
          <w:sz w:val="21"/>
        </w:rPr>
      </w:pPr>
      <w:r>
        <w:rPr>
          <w:rFonts w:ascii="Franklin Gothic Book" w:hAnsi="Franklin Gothic Book"/>
          <w:sz w:val="21"/>
        </w:rPr>
        <w:t xml:space="preserve">Australia funded the World Bank to undertake </w:t>
      </w:r>
      <w:r w:rsidR="00CA59F3">
        <w:rPr>
          <w:rFonts w:ascii="Franklin Gothic Book" w:hAnsi="Franklin Gothic Book"/>
          <w:sz w:val="21"/>
        </w:rPr>
        <w:t>Myanmar</w:t>
      </w:r>
      <w:r w:rsidRPr="003B0819">
        <w:rPr>
          <w:rFonts w:ascii="Franklin Gothic Book" w:hAnsi="Franklin Gothic Book"/>
          <w:sz w:val="21"/>
        </w:rPr>
        <w:t xml:space="preserve">’s first Public Expenditure Review, which mapped out how the government finances, prioritises and </w:t>
      </w:r>
      <w:r>
        <w:rPr>
          <w:rFonts w:ascii="Franklin Gothic Book" w:hAnsi="Franklin Gothic Book"/>
          <w:sz w:val="21"/>
        </w:rPr>
        <w:t>impleme</w:t>
      </w:r>
      <w:r w:rsidR="00EB1BF2">
        <w:rPr>
          <w:rFonts w:ascii="Franklin Gothic Book" w:hAnsi="Franklin Gothic Book"/>
          <w:sz w:val="21"/>
        </w:rPr>
        <w:t>nts its spending. The Review</w:t>
      </w:r>
      <w:r w:rsidRPr="003B0819">
        <w:rPr>
          <w:rFonts w:ascii="Franklin Gothic Book" w:hAnsi="Franklin Gothic Book"/>
          <w:sz w:val="21"/>
        </w:rPr>
        <w:t xml:space="preserve"> significantly improved the evidence base for </w:t>
      </w:r>
      <w:r>
        <w:rPr>
          <w:rFonts w:ascii="Franklin Gothic Book" w:hAnsi="Franklin Gothic Book"/>
          <w:sz w:val="21"/>
        </w:rPr>
        <w:t>sound</w:t>
      </w:r>
      <w:r w:rsidRPr="003B0819">
        <w:rPr>
          <w:rFonts w:ascii="Franklin Gothic Book" w:hAnsi="Franklin Gothic Book"/>
          <w:sz w:val="21"/>
        </w:rPr>
        <w:t xml:space="preserve"> policy and programs</w:t>
      </w:r>
      <w:r>
        <w:rPr>
          <w:rFonts w:ascii="Franklin Gothic Book" w:hAnsi="Franklin Gothic Book"/>
          <w:sz w:val="21"/>
        </w:rPr>
        <w:t xml:space="preserve"> and supports greater transparency and accountability</w:t>
      </w:r>
      <w:r w:rsidRPr="003B0819">
        <w:rPr>
          <w:rFonts w:ascii="Franklin Gothic Book" w:hAnsi="Franklin Gothic Book"/>
          <w:sz w:val="21"/>
        </w:rPr>
        <w:t xml:space="preserve">. </w:t>
      </w:r>
      <w:r w:rsidR="00160762">
        <w:rPr>
          <w:rFonts w:ascii="Franklin Gothic Book" w:hAnsi="Franklin Gothic Book"/>
          <w:sz w:val="21"/>
        </w:rPr>
        <w:t>The Review has contributed to</w:t>
      </w:r>
      <w:r w:rsidRPr="003B0819">
        <w:rPr>
          <w:rFonts w:ascii="Franklin Gothic Book" w:hAnsi="Franklin Gothic Book"/>
          <w:sz w:val="21"/>
        </w:rPr>
        <w:t xml:space="preserve"> improved economic and social policy, including</w:t>
      </w:r>
      <w:r>
        <w:rPr>
          <w:rFonts w:ascii="Franklin Gothic Book" w:hAnsi="Franklin Gothic Book"/>
          <w:sz w:val="21"/>
        </w:rPr>
        <w:t xml:space="preserve"> that</w:t>
      </w:r>
      <w:r w:rsidRPr="003B0819">
        <w:rPr>
          <w:rFonts w:ascii="Franklin Gothic Book" w:hAnsi="Franklin Gothic Book"/>
          <w:sz w:val="21"/>
        </w:rPr>
        <w:t xml:space="preserve"> </w:t>
      </w:r>
      <w:r w:rsidR="00CA59F3">
        <w:rPr>
          <w:rFonts w:ascii="Franklin Gothic Book" w:hAnsi="Franklin Gothic Book"/>
          <w:sz w:val="21"/>
        </w:rPr>
        <w:t>Myanmar</w:t>
      </w:r>
      <w:r>
        <w:rPr>
          <w:rFonts w:ascii="Franklin Gothic Book" w:hAnsi="Franklin Gothic Book"/>
          <w:sz w:val="21"/>
        </w:rPr>
        <w:t>’s</w:t>
      </w:r>
      <w:r w:rsidRPr="003B0819">
        <w:rPr>
          <w:rFonts w:ascii="Franklin Gothic Book" w:hAnsi="Franklin Gothic Book"/>
          <w:sz w:val="21"/>
        </w:rPr>
        <w:t xml:space="preserve"> budget better reflects</w:t>
      </w:r>
      <w:r>
        <w:rPr>
          <w:rFonts w:ascii="Franklin Gothic Book" w:hAnsi="Franklin Gothic Book"/>
          <w:sz w:val="21"/>
        </w:rPr>
        <w:t xml:space="preserve"> the</w:t>
      </w:r>
      <w:r w:rsidRPr="003B0819">
        <w:rPr>
          <w:rFonts w:ascii="Franklin Gothic Book" w:hAnsi="Franklin Gothic Book"/>
          <w:sz w:val="21"/>
        </w:rPr>
        <w:t xml:space="preserve"> priorities </w:t>
      </w:r>
      <w:r>
        <w:rPr>
          <w:rFonts w:ascii="Franklin Gothic Book" w:hAnsi="Franklin Gothic Book"/>
          <w:sz w:val="21"/>
        </w:rPr>
        <w:t xml:space="preserve">established by the </w:t>
      </w:r>
      <w:r w:rsidR="00CA59F3">
        <w:rPr>
          <w:rFonts w:ascii="Franklin Gothic Book" w:hAnsi="Franklin Gothic Book"/>
          <w:sz w:val="21"/>
        </w:rPr>
        <w:t>Myanmar</w:t>
      </w:r>
      <w:r>
        <w:rPr>
          <w:rFonts w:ascii="Franklin Gothic Book" w:hAnsi="Franklin Gothic Book"/>
          <w:sz w:val="21"/>
        </w:rPr>
        <w:t xml:space="preserve"> Government </w:t>
      </w:r>
      <w:r w:rsidRPr="003B0819">
        <w:rPr>
          <w:rFonts w:ascii="Franklin Gothic Book" w:hAnsi="Franklin Gothic Book"/>
          <w:sz w:val="21"/>
        </w:rPr>
        <w:t xml:space="preserve">and </w:t>
      </w:r>
      <w:r>
        <w:rPr>
          <w:rFonts w:ascii="Franklin Gothic Book" w:hAnsi="Franklin Gothic Book"/>
          <w:sz w:val="21"/>
        </w:rPr>
        <w:t xml:space="preserve">that </w:t>
      </w:r>
      <w:r w:rsidRPr="003B0819">
        <w:rPr>
          <w:rFonts w:ascii="Franklin Gothic Book" w:hAnsi="Franklin Gothic Book"/>
          <w:sz w:val="21"/>
        </w:rPr>
        <w:t xml:space="preserve">line departments have </w:t>
      </w:r>
      <w:r>
        <w:rPr>
          <w:rFonts w:ascii="Franklin Gothic Book" w:hAnsi="Franklin Gothic Book"/>
          <w:sz w:val="21"/>
        </w:rPr>
        <w:t>displayed greater</w:t>
      </w:r>
      <w:r w:rsidRPr="003B0819">
        <w:rPr>
          <w:rFonts w:ascii="Franklin Gothic Book" w:hAnsi="Franklin Gothic Book"/>
          <w:sz w:val="21"/>
        </w:rPr>
        <w:t xml:space="preserve"> confidence in implementing work plans.</w:t>
      </w:r>
      <w:r w:rsidRPr="00893A58">
        <w:t xml:space="preserve"> </w:t>
      </w:r>
      <w:r>
        <w:rPr>
          <w:rFonts w:ascii="Franklin Gothic Book" w:hAnsi="Franklin Gothic Book"/>
          <w:sz w:val="21"/>
        </w:rPr>
        <w:t>Australia’s previous investments are also continuing to bear fruit. For example, p</w:t>
      </w:r>
      <w:r w:rsidRPr="003B0819">
        <w:rPr>
          <w:rFonts w:ascii="Franklin Gothic Book" w:hAnsi="Franklin Gothic Book"/>
          <w:sz w:val="21"/>
        </w:rPr>
        <w:t>reliminary census data has been used to implement the Compre</w:t>
      </w:r>
      <w:r>
        <w:rPr>
          <w:rFonts w:ascii="Franklin Gothic Book" w:hAnsi="Franklin Gothic Book"/>
          <w:sz w:val="21"/>
        </w:rPr>
        <w:t xml:space="preserve">hensive Education Sector Review, </w:t>
      </w:r>
      <w:r w:rsidRPr="003B0819">
        <w:rPr>
          <w:rFonts w:ascii="Franklin Gothic Book" w:hAnsi="Franklin Gothic Book"/>
          <w:sz w:val="21"/>
        </w:rPr>
        <w:t>a significant Australian investment in the educat</w:t>
      </w:r>
      <w:r>
        <w:rPr>
          <w:rFonts w:ascii="Franklin Gothic Book" w:hAnsi="Franklin Gothic Book"/>
          <w:sz w:val="21"/>
        </w:rPr>
        <w:t>ion sector.</w:t>
      </w:r>
    </w:p>
    <w:p w:rsidR="00964770" w:rsidRPr="00713439" w:rsidRDefault="00DE03E4" w:rsidP="00964770">
      <w:pPr>
        <w:spacing w:after="120" w:line="260" w:lineRule="exact"/>
        <w:rPr>
          <w:rFonts w:ascii="Franklin Gothic Book" w:hAnsi="Franklin Gothic Book"/>
          <w:sz w:val="21"/>
        </w:rPr>
      </w:pPr>
      <w:r w:rsidRPr="00687A6F">
        <w:rPr>
          <w:rFonts w:ascii="Franklin Gothic Book" w:hAnsi="Franklin Gothic Book"/>
          <w:sz w:val="21"/>
        </w:rPr>
        <w:t>In 2014-15</w:t>
      </w:r>
      <w:r w:rsidR="00964770" w:rsidRPr="00687A6F">
        <w:rPr>
          <w:rFonts w:ascii="Franklin Gothic Book" w:hAnsi="Franklin Gothic Book"/>
          <w:sz w:val="21"/>
        </w:rPr>
        <w:t xml:space="preserve"> Australia partnered with the International Finance Corporation to improve the enabling environment for trade and investment</w:t>
      </w:r>
      <w:r w:rsidR="00810478" w:rsidRPr="00687A6F">
        <w:rPr>
          <w:rFonts w:ascii="Franklin Gothic Book" w:hAnsi="Franklin Gothic Book"/>
          <w:sz w:val="21"/>
        </w:rPr>
        <w:t xml:space="preserve"> and help strengthen Myanmar’s economy</w:t>
      </w:r>
      <w:r w:rsidR="00964770" w:rsidRPr="00687A6F">
        <w:rPr>
          <w:rFonts w:ascii="Franklin Gothic Book" w:hAnsi="Franklin Gothic Book"/>
          <w:sz w:val="21"/>
        </w:rPr>
        <w:t xml:space="preserve">. </w:t>
      </w:r>
      <w:r w:rsidRPr="00687A6F">
        <w:rPr>
          <w:rFonts w:ascii="Franklin Gothic Book" w:hAnsi="Franklin Gothic Book"/>
          <w:sz w:val="21"/>
        </w:rPr>
        <w:t>This resulted in the development of</w:t>
      </w:r>
      <w:r w:rsidR="00964770" w:rsidRPr="00687A6F">
        <w:rPr>
          <w:rFonts w:ascii="Franklin Gothic Book" w:hAnsi="Franklin Gothic Book"/>
          <w:sz w:val="21"/>
        </w:rPr>
        <w:t xml:space="preserve"> a revised draft of the </w:t>
      </w:r>
      <w:r w:rsidR="00CA59F3" w:rsidRPr="00687A6F">
        <w:rPr>
          <w:rFonts w:ascii="Franklin Gothic Book" w:hAnsi="Franklin Gothic Book"/>
          <w:sz w:val="21"/>
        </w:rPr>
        <w:t>Myanmar</w:t>
      </w:r>
      <w:r w:rsidRPr="00687A6F">
        <w:rPr>
          <w:rFonts w:ascii="Franklin Gothic Book" w:hAnsi="Franklin Gothic Book"/>
          <w:sz w:val="21"/>
        </w:rPr>
        <w:t xml:space="preserve"> Government’s investment policy</w:t>
      </w:r>
      <w:r w:rsidR="00964770" w:rsidRPr="00687A6F">
        <w:rPr>
          <w:rFonts w:ascii="Franklin Gothic Book" w:hAnsi="Franklin Gothic Book"/>
          <w:sz w:val="21"/>
        </w:rPr>
        <w:t xml:space="preserve"> following consultations with the private sector, parliament and NGOs. The program helped develop an action plan for the Government’s task force on business and trade promotion, and is undertaking a Trade Facilitation Assessment. The program has also helped establish </w:t>
      </w:r>
      <w:r w:rsidR="00CA59F3" w:rsidRPr="00687A6F">
        <w:rPr>
          <w:rFonts w:ascii="Franklin Gothic Book" w:hAnsi="Franklin Gothic Book"/>
          <w:sz w:val="21"/>
        </w:rPr>
        <w:t>Myanmar</w:t>
      </w:r>
      <w:r w:rsidR="00687A6F">
        <w:rPr>
          <w:rFonts w:ascii="Franklin Gothic Book" w:hAnsi="Franklin Gothic Book"/>
          <w:sz w:val="21"/>
        </w:rPr>
        <w:t>’s business forum</w:t>
      </w:r>
      <w:r w:rsidR="00964770" w:rsidRPr="00687A6F">
        <w:rPr>
          <w:rFonts w:ascii="Franklin Gothic Book" w:hAnsi="Franklin Gothic Book"/>
          <w:sz w:val="21"/>
        </w:rPr>
        <w:t xml:space="preserve"> </w:t>
      </w:r>
      <w:r w:rsidR="00687A6F">
        <w:rPr>
          <w:rFonts w:ascii="Franklin Gothic Book" w:hAnsi="Franklin Gothic Book"/>
          <w:sz w:val="21"/>
        </w:rPr>
        <w:t xml:space="preserve">to </w:t>
      </w:r>
      <w:r w:rsidR="00964770" w:rsidRPr="00687A6F">
        <w:rPr>
          <w:rFonts w:ascii="Franklin Gothic Book" w:hAnsi="Franklin Gothic Book"/>
          <w:sz w:val="21"/>
        </w:rPr>
        <w:t>promote the views of the private sector to government</w:t>
      </w:r>
      <w:r w:rsidR="00B723D5" w:rsidRPr="00687A6F">
        <w:rPr>
          <w:rFonts w:ascii="Franklin Gothic Book" w:hAnsi="Franklin Gothic Book"/>
          <w:sz w:val="21"/>
        </w:rPr>
        <w:t>.</w:t>
      </w:r>
      <w:r w:rsidR="0047308A" w:rsidRPr="00687A6F">
        <w:rPr>
          <w:rFonts w:ascii="Calibri" w:hAnsi="Calibri" w:cs="Calibri"/>
          <w:color w:val="FF0000"/>
          <w:sz w:val="22"/>
          <w:szCs w:val="22"/>
        </w:rPr>
        <w:t xml:space="preserve"> </w:t>
      </w:r>
      <w:r w:rsidR="0047308A" w:rsidRPr="00687A6F">
        <w:rPr>
          <w:rFonts w:ascii="Franklin Gothic Book" w:hAnsi="Franklin Gothic Book"/>
          <w:sz w:val="21"/>
        </w:rPr>
        <w:t xml:space="preserve">This has already resulted in a number of business-friendly administrative reforms being introduced by government in direct response to barriers identified by business to their operations in </w:t>
      </w:r>
      <w:r w:rsidR="00CA59F3" w:rsidRPr="00687A6F">
        <w:rPr>
          <w:rFonts w:ascii="Franklin Gothic Book" w:hAnsi="Franklin Gothic Book"/>
          <w:sz w:val="21"/>
        </w:rPr>
        <w:t>Myanmar</w:t>
      </w:r>
      <w:r w:rsidR="0047308A" w:rsidRPr="00687A6F">
        <w:rPr>
          <w:rFonts w:ascii="Franklin Gothic Book" w:hAnsi="Franklin Gothic Book"/>
          <w:sz w:val="21"/>
        </w:rPr>
        <w:t xml:space="preserve">. </w:t>
      </w:r>
      <w:r w:rsidR="00964770" w:rsidRPr="00687A6F">
        <w:rPr>
          <w:rFonts w:ascii="Franklin Gothic Book" w:hAnsi="Franklin Gothic Book"/>
          <w:sz w:val="21"/>
        </w:rPr>
        <w:t xml:space="preserve"> The knowledge and relationships developed through this activity have enabled a further investment of up to $20 million over six years ($3 million in 2014-15) </w:t>
      </w:r>
      <w:r w:rsidR="004D5370" w:rsidRPr="00687A6F">
        <w:rPr>
          <w:rFonts w:ascii="Franklin Gothic Book" w:hAnsi="Franklin Gothic Book"/>
          <w:sz w:val="21"/>
        </w:rPr>
        <w:t>to</w:t>
      </w:r>
      <w:r w:rsidR="00964770" w:rsidRPr="00687A6F">
        <w:rPr>
          <w:rFonts w:ascii="Franklin Gothic Book" w:hAnsi="Franklin Gothic Book"/>
          <w:sz w:val="21"/>
        </w:rPr>
        <w:t xml:space="preserve"> boost investment, create jobs and facilitate trade in </w:t>
      </w:r>
      <w:r w:rsidR="00CA59F3" w:rsidRPr="00687A6F">
        <w:rPr>
          <w:rFonts w:ascii="Franklin Gothic Book" w:hAnsi="Franklin Gothic Book"/>
          <w:sz w:val="21"/>
        </w:rPr>
        <w:t>Myanmar</w:t>
      </w:r>
      <w:r w:rsidR="00964770" w:rsidRPr="00687A6F">
        <w:rPr>
          <w:rFonts w:ascii="Franklin Gothic Book" w:hAnsi="Franklin Gothic Book"/>
          <w:sz w:val="21"/>
        </w:rPr>
        <w:t>.</w:t>
      </w:r>
      <w:r w:rsidR="00964770">
        <w:rPr>
          <w:rFonts w:ascii="Franklin Gothic Book" w:hAnsi="Franklin Gothic Book"/>
          <w:sz w:val="21"/>
        </w:rPr>
        <w:t xml:space="preserve"> </w:t>
      </w:r>
    </w:p>
    <w:p w:rsidR="00BB5F4F" w:rsidRDefault="00BB5F4F" w:rsidP="00823FCA">
      <w:pPr>
        <w:pStyle w:val="Heading3"/>
        <w:rPr>
          <w:sz w:val="32"/>
          <w:szCs w:val="32"/>
        </w:rPr>
      </w:pPr>
      <w:r w:rsidRPr="00207A03">
        <w:t>Performance Benchmarks</w:t>
      </w:r>
      <w:r w:rsidRPr="009E38C1">
        <w:rPr>
          <w:sz w:val="32"/>
          <w:szCs w:val="32"/>
        </w:rPr>
        <w:tab/>
      </w:r>
    </w:p>
    <w:p w:rsidR="00392598" w:rsidRDefault="002F2601" w:rsidP="00392598">
      <w:pPr>
        <w:pStyle w:val="ListBullet"/>
        <w:numPr>
          <w:ilvl w:val="0"/>
          <w:numId w:val="0"/>
        </w:numPr>
        <w:tabs>
          <w:tab w:val="clear" w:pos="284"/>
        </w:tabs>
      </w:pPr>
      <w:r>
        <w:t>Aust</w:t>
      </w:r>
      <w:r w:rsidR="00600BEC">
        <w:t>ralia met all seven of its</w:t>
      </w:r>
      <w:r>
        <w:t xml:space="preserve"> performance benchmarks in 2014-15. </w:t>
      </w:r>
      <w:r w:rsidR="00392598">
        <w:t>We exceeded targets</w:t>
      </w:r>
      <w:r w:rsidR="007E0A88">
        <w:t xml:space="preserve"> in emergency obstetric services, issuing national identity cards to ethnic minority populations, and con</w:t>
      </w:r>
      <w:r w:rsidR="00B723D5">
        <w:t>solidating our program investments</w:t>
      </w:r>
      <w:r w:rsidR="007E0A88">
        <w:t xml:space="preserve">. </w:t>
      </w:r>
      <w:r>
        <w:t>In education, we were</w:t>
      </w:r>
      <w:r w:rsidR="007E0A88">
        <w:t xml:space="preserve"> unable to verify progress against our education performance indicator because the </w:t>
      </w:r>
      <w:r>
        <w:t>Myanmar Go</w:t>
      </w:r>
      <w:r w:rsidR="007E0A88">
        <w:t>vernment did not publish enrolment and completion statistics in the last year.</w:t>
      </w:r>
      <w:r w:rsidR="009925A3">
        <w:t xml:space="preserve"> </w:t>
      </w:r>
      <w:r w:rsidR="005106B7">
        <w:t>As an alternative, we used the number of additional girls and boys enrolled and access to early childhood services as proxy indicators.</w:t>
      </w:r>
      <w:r w:rsidR="00A10EFA">
        <w:t xml:space="preserve"> These proxies suggested Australia made a good contribution to increasing access to basic education in Myanmar.</w:t>
      </w:r>
      <w:r w:rsidR="00D672FF">
        <w:t xml:space="preserve"> Like all proxies these are imperfect, but we expect Myanmar’s education reporting will improve in the coming years and therefore reduce our reliance on proxies.</w:t>
      </w:r>
    </w:p>
    <w:p w:rsidR="00871208" w:rsidRDefault="009925A3" w:rsidP="009925A3">
      <w:pPr>
        <w:pStyle w:val="ListBullet"/>
        <w:numPr>
          <w:ilvl w:val="0"/>
          <w:numId w:val="0"/>
        </w:numPr>
        <w:tabs>
          <w:tab w:val="clear" w:pos="284"/>
        </w:tabs>
      </w:pPr>
      <w:r>
        <w:t xml:space="preserve">The performance benchmark relating to child immunisation schedules was revised down in December 2014 due to changes in population data released in the preliminary 2014 census. We met the revised performance benchmark. </w:t>
      </w:r>
    </w:p>
    <w:p w:rsidR="00BB5F4F" w:rsidRDefault="009925A3" w:rsidP="009925A3">
      <w:pPr>
        <w:pStyle w:val="ListBullet"/>
        <w:numPr>
          <w:ilvl w:val="0"/>
          <w:numId w:val="0"/>
        </w:numPr>
        <w:tabs>
          <w:tab w:val="clear" w:pos="284"/>
        </w:tabs>
      </w:pPr>
      <w:r>
        <w:lastRenderedPageBreak/>
        <w:t xml:space="preserve">An overview of </w:t>
      </w:r>
      <w:r w:rsidR="00BB5F4F">
        <w:t xml:space="preserve">achievements against each performance benchmark </w:t>
      </w:r>
      <w:r>
        <w:t>is at</w:t>
      </w:r>
      <w:r w:rsidR="00BB5F4F">
        <w:t xml:space="preserve"> </w:t>
      </w:r>
      <w:r w:rsidR="00BB5F4F" w:rsidRPr="00720485">
        <w:rPr>
          <w:b/>
        </w:rPr>
        <w:t xml:space="preserve">Annex </w:t>
      </w:r>
      <w:r w:rsidR="00BB5F4F">
        <w:rPr>
          <w:b/>
        </w:rPr>
        <w:t>B</w:t>
      </w:r>
      <w:r w:rsidR="00BB5F4F">
        <w:t xml:space="preserve">. </w:t>
      </w:r>
      <w:r w:rsidR="005106B7">
        <w:t xml:space="preserve">A new set of performance benchmarks has been included in the </w:t>
      </w:r>
      <w:r w:rsidR="00CA59F3">
        <w:t>Myanmar</w:t>
      </w:r>
      <w:r w:rsidR="002F2601">
        <w:t xml:space="preserve"> Aid Investment Plan 2015-19</w:t>
      </w:r>
      <w:r w:rsidR="005106B7">
        <w:t>.</w:t>
      </w:r>
    </w:p>
    <w:p w:rsidR="00BB5F4F" w:rsidRPr="001375E3" w:rsidRDefault="00BB5F4F" w:rsidP="00511A0F">
      <w:pPr>
        <w:pStyle w:val="Heading3"/>
        <w:rPr>
          <w:rStyle w:val="BodyTextChar"/>
          <w:b w:val="0"/>
          <w:color w:val="auto"/>
        </w:rPr>
      </w:pPr>
      <w:r w:rsidRPr="009E38C1">
        <w:t>Mutual Obligations</w:t>
      </w:r>
      <w:r w:rsidRPr="009E38C1">
        <w:rPr>
          <w:sz w:val="32"/>
          <w:szCs w:val="32"/>
        </w:rPr>
        <w:tab/>
      </w:r>
      <w:r>
        <w:tab/>
      </w:r>
      <w:r>
        <w:tab/>
      </w:r>
      <w:r>
        <w:tab/>
      </w:r>
    </w:p>
    <w:p w:rsidR="00BB5F4F" w:rsidRPr="00267D78" w:rsidRDefault="00BB5F4F" w:rsidP="00F35F08">
      <w:pPr>
        <w:pStyle w:val="ListBullet"/>
        <w:numPr>
          <w:ilvl w:val="0"/>
          <w:numId w:val="0"/>
        </w:numPr>
      </w:pPr>
      <w:r>
        <w:t xml:space="preserve">Australia has </w:t>
      </w:r>
      <w:r w:rsidRPr="00152BA9">
        <w:t>deliver</w:t>
      </w:r>
      <w:r>
        <w:t>ed</w:t>
      </w:r>
      <w:r w:rsidRPr="00152BA9">
        <w:t xml:space="preserve"> aid in line with </w:t>
      </w:r>
      <w:r>
        <w:t xml:space="preserve">the objectives of the </w:t>
      </w:r>
      <w:r w:rsidRPr="00B723D5">
        <w:rPr>
          <w:i/>
        </w:rPr>
        <w:t>Australia-Myanmar Aid Program Strategy 2012-15</w:t>
      </w:r>
      <w:r>
        <w:t xml:space="preserve">, in a way that is responsive to the </w:t>
      </w:r>
      <w:r w:rsidR="00CA59F3">
        <w:t>Myanmar</w:t>
      </w:r>
      <w:r w:rsidR="00A0337F">
        <w:t xml:space="preserve"> </w:t>
      </w:r>
      <w:r>
        <w:t xml:space="preserve">Government priorities. Australia </w:t>
      </w:r>
      <w:r w:rsidR="00A0337F">
        <w:t xml:space="preserve">worked with the </w:t>
      </w:r>
      <w:r w:rsidR="00CA59F3">
        <w:t>Myanmar</w:t>
      </w:r>
      <w:r w:rsidR="00A0337F">
        <w:t xml:space="preserve"> Government</w:t>
      </w:r>
      <w:r>
        <w:t xml:space="preserve"> to</w:t>
      </w:r>
      <w:r w:rsidR="00B723D5">
        <w:t xml:space="preserve"> progress ongoing reform effort</w:t>
      </w:r>
      <w:r w:rsidR="00EB1BF2">
        <w:t>s,</w:t>
      </w:r>
      <w:r>
        <w:t xml:space="preserve"> including </w:t>
      </w:r>
      <w:r w:rsidR="00B723D5">
        <w:t>preparation of</w:t>
      </w:r>
      <w:r>
        <w:t xml:space="preserve"> the </w:t>
      </w:r>
      <w:r w:rsidRPr="002F2601">
        <w:rPr>
          <w:i/>
        </w:rPr>
        <w:t>Strategic Development Priorities</w:t>
      </w:r>
      <w:r>
        <w:t xml:space="preserve"> and </w:t>
      </w:r>
      <w:r w:rsidRPr="002F2601">
        <w:rPr>
          <w:i/>
        </w:rPr>
        <w:t xml:space="preserve">National </w:t>
      </w:r>
      <w:r w:rsidR="002F2601" w:rsidRPr="002F2601">
        <w:rPr>
          <w:i/>
        </w:rPr>
        <w:t>Comprehensive Development Plan</w:t>
      </w:r>
      <w:r w:rsidR="00EB1BF2">
        <w:t xml:space="preserve">. This </w:t>
      </w:r>
      <w:r w:rsidR="00B723D5">
        <w:t>will</w:t>
      </w:r>
      <w:r>
        <w:t xml:space="preserve"> guide </w:t>
      </w:r>
      <w:r w:rsidR="00CA59F3">
        <w:t>Myanmar</w:t>
      </w:r>
      <w:r>
        <w:t xml:space="preserve">’s development priorities over the next five years. </w:t>
      </w:r>
    </w:p>
    <w:p w:rsidR="00BA4D3B" w:rsidRPr="00152BA9" w:rsidRDefault="00BA4D3B" w:rsidP="00F35F08">
      <w:pPr>
        <w:pStyle w:val="ListBullet"/>
        <w:numPr>
          <w:ilvl w:val="0"/>
          <w:numId w:val="0"/>
        </w:numPr>
      </w:pPr>
      <w:r>
        <w:t xml:space="preserve">Australia and Myanmar </w:t>
      </w:r>
      <w:r w:rsidR="00600BEC">
        <w:t>maintain</w:t>
      </w:r>
      <w:r w:rsidR="005F1051">
        <w:t xml:space="preserve"> </w:t>
      </w:r>
      <w:r w:rsidR="00600BEC">
        <w:t xml:space="preserve">a </w:t>
      </w:r>
      <w:r w:rsidR="005F1051">
        <w:t>mutual interest</w:t>
      </w:r>
      <w:r>
        <w:t xml:space="preserve"> in </w:t>
      </w:r>
      <w:r w:rsidR="005F1051">
        <w:t>supporting</w:t>
      </w:r>
      <w:r>
        <w:t xml:space="preserve"> a number of Myanmar’s development priorities. </w:t>
      </w:r>
      <w:r w:rsidR="00901B5B">
        <w:t xml:space="preserve">The Myanmar Government has made significant gains in economic and social policy and </w:t>
      </w:r>
      <w:r w:rsidR="00600BEC">
        <w:t>its</w:t>
      </w:r>
      <w:r w:rsidR="00901B5B" w:rsidRPr="003B0819">
        <w:t xml:space="preserve"> budget </w:t>
      </w:r>
      <w:r w:rsidR="00901B5B">
        <w:t xml:space="preserve">now </w:t>
      </w:r>
      <w:r w:rsidR="00901B5B" w:rsidRPr="003B0819">
        <w:t>better reflects</w:t>
      </w:r>
      <w:r w:rsidR="00901B5B">
        <w:t xml:space="preserve"> the</w:t>
      </w:r>
      <w:r w:rsidR="00901B5B" w:rsidRPr="003B0819">
        <w:t xml:space="preserve"> </w:t>
      </w:r>
      <w:r w:rsidR="00901B5B">
        <w:t xml:space="preserve">government’s priorities. For example, the Myanmar Government has increased </w:t>
      </w:r>
      <w:r w:rsidR="000E752E">
        <w:t xml:space="preserve">education </w:t>
      </w:r>
      <w:r w:rsidR="00901B5B">
        <w:t>funding by 30 per cent in 2015</w:t>
      </w:r>
      <w:r w:rsidR="00901B5B">
        <w:rPr>
          <w:rStyle w:val="EndnoteReference"/>
        </w:rPr>
        <w:endnoteReference w:id="21"/>
      </w:r>
      <w:r w:rsidR="002F2601">
        <w:t>.</w:t>
      </w:r>
      <w:r w:rsidR="00901B5B" w:rsidRPr="00901B5B">
        <w:t xml:space="preserve"> </w:t>
      </w:r>
      <w:r w:rsidR="00901B5B">
        <w:t xml:space="preserve">The Myanmar Government also made important progress </w:t>
      </w:r>
      <w:r w:rsidR="002F2601">
        <w:t>in the peace process by</w:t>
      </w:r>
      <w:r w:rsidR="00901B5B">
        <w:t xml:space="preserve"> negotiating a Nationwide Ceasefire Agreement in 2014-15.</w:t>
      </w:r>
    </w:p>
    <w:p w:rsidR="00BB5F4F" w:rsidRDefault="00BB5F4F" w:rsidP="00F35F08">
      <w:pPr>
        <w:pStyle w:val="ListBullet"/>
        <w:numPr>
          <w:ilvl w:val="0"/>
          <w:numId w:val="0"/>
        </w:numPr>
      </w:pPr>
      <w:r>
        <w:t xml:space="preserve">Australia and </w:t>
      </w:r>
      <w:r w:rsidR="00CA59F3">
        <w:t>Myanmar remained</w:t>
      </w:r>
      <w:r w:rsidR="00B750D8">
        <w:t xml:space="preserve"> committed to regular high-</w:t>
      </w:r>
      <w:r>
        <w:t>level consultations on aid, as agreed through our Memorandum of Understanding on Development Cooperation, signed i</w:t>
      </w:r>
      <w:r w:rsidR="00B750D8">
        <w:t>n January 2013. The second high-</w:t>
      </w:r>
      <w:r>
        <w:t>level consultations were held on 30 April 2015, with officials noting the strengthening of the relationship between Austr</w:t>
      </w:r>
      <w:r w:rsidR="001826BD">
        <w:t xml:space="preserve">alia and </w:t>
      </w:r>
      <w:r w:rsidR="00CA59F3">
        <w:t>Myanmar</w:t>
      </w:r>
      <w:r w:rsidR="001826BD">
        <w:t xml:space="preserve"> and the positive outcomes resulting from constructive development cooperation.</w:t>
      </w:r>
    </w:p>
    <w:p w:rsidR="00BB5F4F" w:rsidRPr="0007149C" w:rsidRDefault="00BB5F4F" w:rsidP="0007149C">
      <w:pPr>
        <w:pStyle w:val="Heading2"/>
        <w:rPr>
          <w:sz w:val="28"/>
        </w:rPr>
      </w:pPr>
      <w:r w:rsidRPr="0007149C">
        <w:rPr>
          <w:sz w:val="28"/>
        </w:rPr>
        <w:t xml:space="preserve">Program Quality and </w:t>
      </w:r>
      <w:r>
        <w:rPr>
          <w:sz w:val="28"/>
        </w:rPr>
        <w:t>Partner Performance</w:t>
      </w:r>
      <w:r w:rsidRPr="0007149C">
        <w:rPr>
          <w:sz w:val="28"/>
        </w:rPr>
        <w:t xml:space="preserve"> </w:t>
      </w:r>
    </w:p>
    <w:p w:rsidR="00BB5F4F" w:rsidRPr="00716EED" w:rsidRDefault="00BB5F4F" w:rsidP="00511A0F">
      <w:pPr>
        <w:pStyle w:val="Heading3"/>
      </w:pPr>
      <w:r w:rsidRPr="00716EED">
        <w:t>Overview</w:t>
      </w:r>
      <w:r w:rsidRPr="00716EED">
        <w:tab/>
      </w:r>
      <w:r w:rsidRPr="00716EED">
        <w:tab/>
      </w:r>
    </w:p>
    <w:p w:rsidR="0056793F" w:rsidRPr="005640F4" w:rsidRDefault="0056793F" w:rsidP="0056793F">
      <w:pPr>
        <w:spacing w:after="120" w:line="280" w:lineRule="exact"/>
        <w:rPr>
          <w:rFonts w:ascii="Franklin Gothic Book" w:eastAsia="Times New Roman" w:hAnsi="Franklin Gothic Book"/>
          <w:sz w:val="21"/>
        </w:rPr>
      </w:pPr>
      <w:r w:rsidRPr="00687A6F">
        <w:rPr>
          <w:rFonts w:ascii="Franklin Gothic Book" w:eastAsia="Times New Roman" w:hAnsi="Franklin Gothic Book"/>
          <w:sz w:val="21"/>
        </w:rPr>
        <w:t>Australi</w:t>
      </w:r>
      <w:r w:rsidR="00EB1BF2" w:rsidRPr="00687A6F">
        <w:rPr>
          <w:rFonts w:ascii="Franklin Gothic Book" w:eastAsia="Times New Roman" w:hAnsi="Franklin Gothic Book"/>
          <w:sz w:val="21"/>
        </w:rPr>
        <w:t>a’s aid program is in</w:t>
      </w:r>
      <w:r w:rsidRPr="00687A6F">
        <w:rPr>
          <w:rFonts w:ascii="Franklin Gothic Book" w:eastAsia="Times New Roman" w:hAnsi="Franklin Gothic Book"/>
          <w:sz w:val="21"/>
        </w:rPr>
        <w:t xml:space="preserve"> </w:t>
      </w:r>
      <w:r w:rsidR="0053773D" w:rsidRPr="00687A6F">
        <w:rPr>
          <w:rFonts w:ascii="Franklin Gothic Book" w:eastAsia="Times New Roman" w:hAnsi="Franklin Gothic Book"/>
          <w:sz w:val="21"/>
        </w:rPr>
        <w:t xml:space="preserve">transition </w:t>
      </w:r>
      <w:r w:rsidRPr="00687A6F">
        <w:rPr>
          <w:rFonts w:ascii="Franklin Gothic Book" w:eastAsia="Times New Roman" w:hAnsi="Franklin Gothic Book"/>
          <w:sz w:val="21"/>
        </w:rPr>
        <w:t xml:space="preserve">as we respond to the rapidly changing context in </w:t>
      </w:r>
      <w:r w:rsidR="00CA59F3" w:rsidRPr="00687A6F">
        <w:rPr>
          <w:rFonts w:ascii="Franklin Gothic Book" w:eastAsia="Times New Roman" w:hAnsi="Franklin Gothic Book"/>
          <w:sz w:val="21"/>
        </w:rPr>
        <w:t>Myanmar</w:t>
      </w:r>
      <w:r w:rsidR="006A7CD8" w:rsidRPr="00687A6F">
        <w:rPr>
          <w:rFonts w:ascii="Franklin Gothic Book" w:eastAsia="Times New Roman" w:hAnsi="Franklin Gothic Book"/>
          <w:sz w:val="21"/>
        </w:rPr>
        <w:t xml:space="preserve"> and implement a new strategy, the </w:t>
      </w:r>
      <w:r w:rsidR="006A7CD8" w:rsidRPr="00687A6F">
        <w:rPr>
          <w:rFonts w:ascii="Franklin Gothic Book" w:eastAsia="Times New Roman" w:hAnsi="Franklin Gothic Book"/>
          <w:i/>
          <w:sz w:val="21"/>
        </w:rPr>
        <w:t>Myanmar Aid Investment Plan 2015-19</w:t>
      </w:r>
      <w:r w:rsidR="006A7CD8" w:rsidRPr="00687A6F">
        <w:rPr>
          <w:rFonts w:ascii="Franklin Gothic Book" w:eastAsia="Times New Roman" w:hAnsi="Franklin Gothic Book"/>
          <w:sz w:val="21"/>
        </w:rPr>
        <w:t>.</w:t>
      </w:r>
      <w:r w:rsidRPr="00687A6F">
        <w:rPr>
          <w:rFonts w:ascii="Franklin Gothic Book" w:eastAsia="Times New Roman" w:hAnsi="Franklin Gothic Book"/>
          <w:sz w:val="21"/>
        </w:rPr>
        <w:t xml:space="preserve"> While our ability to respond flexibly is central to successful aid delivery at this juncture, </w:t>
      </w:r>
      <w:r w:rsidR="00871208" w:rsidRPr="00687A6F">
        <w:rPr>
          <w:rFonts w:ascii="Franklin Gothic Book" w:eastAsia="Times New Roman" w:hAnsi="Franklin Gothic Book"/>
          <w:sz w:val="21"/>
        </w:rPr>
        <w:t>that flexibility</w:t>
      </w:r>
      <w:r w:rsidRPr="00687A6F">
        <w:rPr>
          <w:rFonts w:ascii="Franklin Gothic Book" w:eastAsia="Times New Roman" w:hAnsi="Franklin Gothic Book"/>
          <w:sz w:val="21"/>
        </w:rPr>
        <w:t xml:space="preserve"> creates challenges for reporting agains</w:t>
      </w:r>
      <w:r w:rsidR="002F2601" w:rsidRPr="00687A6F">
        <w:rPr>
          <w:rFonts w:ascii="Franklin Gothic Book" w:eastAsia="Times New Roman" w:hAnsi="Franklin Gothic Book"/>
          <w:sz w:val="21"/>
        </w:rPr>
        <w:t>t the program’s performance a</w:t>
      </w:r>
      <w:r w:rsidRPr="00687A6F">
        <w:rPr>
          <w:rFonts w:ascii="Franklin Gothic Book" w:eastAsia="Times New Roman" w:hAnsi="Franklin Gothic Book"/>
          <w:sz w:val="21"/>
        </w:rPr>
        <w:t>sse</w:t>
      </w:r>
      <w:r w:rsidR="002F2601" w:rsidRPr="00687A6F">
        <w:rPr>
          <w:rFonts w:ascii="Franklin Gothic Book" w:eastAsia="Times New Roman" w:hAnsi="Franklin Gothic Book"/>
          <w:sz w:val="21"/>
        </w:rPr>
        <w:t>ssment f</w:t>
      </w:r>
      <w:r w:rsidR="007161A6" w:rsidRPr="00687A6F">
        <w:rPr>
          <w:rFonts w:ascii="Franklin Gothic Book" w:eastAsia="Times New Roman" w:hAnsi="Franklin Gothic Book"/>
          <w:sz w:val="21"/>
        </w:rPr>
        <w:t xml:space="preserve">ramework (PAF). The </w:t>
      </w:r>
      <w:r w:rsidR="007161A6" w:rsidRPr="00687A6F">
        <w:rPr>
          <w:rFonts w:ascii="Franklin Gothic Book" w:eastAsia="Times New Roman" w:hAnsi="Franklin Gothic Book"/>
          <w:i/>
          <w:sz w:val="21"/>
        </w:rPr>
        <w:t>Australia-Myanmar Aid Program Strategy</w:t>
      </w:r>
      <w:r w:rsidR="00B723D5" w:rsidRPr="00687A6F">
        <w:rPr>
          <w:rFonts w:ascii="Franklin Gothic Book" w:eastAsia="Times New Roman" w:hAnsi="Franklin Gothic Book"/>
          <w:i/>
          <w:sz w:val="21"/>
        </w:rPr>
        <w:t xml:space="preserve"> 2012-15</w:t>
      </w:r>
      <w:r w:rsidR="00687A6F" w:rsidRPr="00687A6F">
        <w:rPr>
          <w:rFonts w:ascii="Franklin Gothic Book" w:eastAsia="Times New Roman" w:hAnsi="Franklin Gothic Book"/>
          <w:sz w:val="21"/>
        </w:rPr>
        <w:t xml:space="preserve"> PAF guided</w:t>
      </w:r>
      <w:r w:rsidRPr="00687A6F">
        <w:rPr>
          <w:rFonts w:ascii="Franklin Gothic Book" w:eastAsia="Times New Roman" w:hAnsi="Franklin Gothic Book"/>
          <w:sz w:val="21"/>
        </w:rPr>
        <w:t xml:space="preserve"> performance reporting at a high level</w:t>
      </w:r>
      <w:r w:rsidR="007161A6" w:rsidRPr="00687A6F">
        <w:rPr>
          <w:rFonts w:ascii="Franklin Gothic Book" w:eastAsia="Times New Roman" w:hAnsi="Franklin Gothic Book"/>
          <w:sz w:val="21"/>
        </w:rPr>
        <w:t xml:space="preserve">, but some indicators are no longer relevant where our programs have shifted focus. There is a consequent disconnect between the PAF and programming realities. Further, in some instances we have set performance benchmarks or PAF indicators that pivot on the actions of the </w:t>
      </w:r>
      <w:r w:rsidR="00CA59F3" w:rsidRPr="00687A6F">
        <w:rPr>
          <w:rFonts w:ascii="Franklin Gothic Book" w:eastAsia="Times New Roman" w:hAnsi="Franklin Gothic Book"/>
          <w:sz w:val="21"/>
        </w:rPr>
        <w:t>Myanmar</w:t>
      </w:r>
      <w:r w:rsidR="007161A6" w:rsidRPr="00687A6F">
        <w:rPr>
          <w:rFonts w:ascii="Franklin Gothic Book" w:eastAsia="Times New Roman" w:hAnsi="Franklin Gothic Book"/>
          <w:sz w:val="21"/>
        </w:rPr>
        <w:t xml:space="preserve"> Government rather than Australia’s actions or contributions.</w:t>
      </w:r>
      <w:r w:rsidR="005640F4" w:rsidRPr="00687A6F">
        <w:rPr>
          <w:rFonts w:ascii="Franklin Gothic Book" w:eastAsia="Times New Roman" w:hAnsi="Franklin Gothic Book"/>
          <w:sz w:val="21"/>
        </w:rPr>
        <w:t xml:space="preserve"> Australia will aim to improve performance reporting in 2015-16 (see Management Responses below).</w:t>
      </w:r>
    </w:p>
    <w:p w:rsidR="0056793F" w:rsidRPr="00FF3B2D" w:rsidRDefault="007161A6" w:rsidP="0056793F">
      <w:pPr>
        <w:spacing w:after="120" w:line="280" w:lineRule="exact"/>
        <w:rPr>
          <w:rFonts w:ascii="Franklin Gothic Book" w:eastAsia="Times New Roman" w:hAnsi="Franklin Gothic Book"/>
          <w:sz w:val="21"/>
        </w:rPr>
      </w:pPr>
      <w:r w:rsidRPr="00FF3B2D">
        <w:rPr>
          <w:rFonts w:ascii="Franklin Gothic Book" w:eastAsia="Times New Roman" w:hAnsi="Franklin Gothic Book"/>
          <w:sz w:val="21"/>
        </w:rPr>
        <w:t>Inadequate data continues to hamper the efforts of Australia and other development partners to make evidence based programming decisions. A dear</w:t>
      </w:r>
      <w:r w:rsidR="00FF3B2D" w:rsidRPr="00FF3B2D">
        <w:rPr>
          <w:rFonts w:ascii="Franklin Gothic Book" w:eastAsia="Times New Roman" w:hAnsi="Franklin Gothic Book"/>
          <w:sz w:val="21"/>
        </w:rPr>
        <w:t xml:space="preserve">th of sex-disaggregated data in </w:t>
      </w:r>
      <w:r w:rsidR="00CA59F3">
        <w:rPr>
          <w:rFonts w:ascii="Franklin Gothic Book" w:eastAsia="Times New Roman" w:hAnsi="Franklin Gothic Book"/>
          <w:sz w:val="21"/>
        </w:rPr>
        <w:t>Myanmar</w:t>
      </w:r>
      <w:r w:rsidR="00FF3B2D" w:rsidRPr="00FF3B2D">
        <w:rPr>
          <w:rFonts w:ascii="Franklin Gothic Book" w:eastAsia="Times New Roman" w:hAnsi="Franklin Gothic Book"/>
          <w:sz w:val="21"/>
        </w:rPr>
        <w:t xml:space="preserve"> is particularly problematic</w:t>
      </w:r>
      <w:r w:rsidR="009C0005">
        <w:rPr>
          <w:rFonts w:ascii="Franklin Gothic Book" w:eastAsia="Times New Roman" w:hAnsi="Franklin Gothic Book"/>
          <w:sz w:val="21"/>
        </w:rPr>
        <w:t xml:space="preserve">. </w:t>
      </w:r>
      <w:r w:rsidRPr="00FF3B2D">
        <w:rPr>
          <w:rFonts w:ascii="Franklin Gothic Book" w:eastAsia="Times New Roman" w:hAnsi="Franklin Gothic Book"/>
          <w:sz w:val="21"/>
        </w:rPr>
        <w:t xml:space="preserve">Australia has </w:t>
      </w:r>
      <w:r w:rsidR="00FF3B2D" w:rsidRPr="00FF3B2D">
        <w:rPr>
          <w:rFonts w:ascii="Franklin Gothic Book" w:eastAsia="Times New Roman" w:hAnsi="Franklin Gothic Book"/>
          <w:sz w:val="21"/>
        </w:rPr>
        <w:t>worked to remedy this by investing</w:t>
      </w:r>
      <w:r w:rsidRPr="00FF3B2D">
        <w:rPr>
          <w:rFonts w:ascii="Franklin Gothic Book" w:eastAsia="Times New Roman" w:hAnsi="Franklin Gothic Book"/>
          <w:sz w:val="21"/>
        </w:rPr>
        <w:t xml:space="preserve"> in gender analyses in design and early implementation</w:t>
      </w:r>
      <w:r w:rsidR="009C0005">
        <w:rPr>
          <w:rFonts w:ascii="Franklin Gothic Book" w:eastAsia="Times New Roman" w:hAnsi="Franklin Gothic Book"/>
          <w:sz w:val="21"/>
        </w:rPr>
        <w:t xml:space="preserve"> for</w:t>
      </w:r>
      <w:r w:rsidRPr="00FF3B2D">
        <w:rPr>
          <w:rFonts w:ascii="Franklin Gothic Book" w:eastAsia="Times New Roman" w:hAnsi="Franklin Gothic Book"/>
          <w:sz w:val="21"/>
        </w:rPr>
        <w:t xml:space="preserve"> </w:t>
      </w:r>
      <w:r w:rsidR="009C0005">
        <w:rPr>
          <w:rFonts w:ascii="Franklin Gothic Book" w:eastAsia="Times New Roman" w:hAnsi="Franklin Gothic Book"/>
          <w:sz w:val="21"/>
        </w:rPr>
        <w:t xml:space="preserve">the Decentralising Funding to Schools Project and the IFC’s Investment Climate and Competitiveness </w:t>
      </w:r>
      <w:r w:rsidRPr="00FF3B2D">
        <w:rPr>
          <w:rFonts w:ascii="Franklin Gothic Book" w:eastAsia="Times New Roman" w:hAnsi="Franklin Gothic Book"/>
          <w:sz w:val="21"/>
        </w:rPr>
        <w:t>to help target interventions.</w:t>
      </w:r>
      <w:r w:rsidR="00EE254A">
        <w:rPr>
          <w:rFonts w:ascii="Franklin Gothic Book" w:eastAsia="Times New Roman" w:hAnsi="Franklin Gothic Book"/>
          <w:sz w:val="21"/>
        </w:rPr>
        <w:t xml:space="preserve"> </w:t>
      </w:r>
    </w:p>
    <w:p w:rsidR="00062B00" w:rsidRDefault="00FF3B2D" w:rsidP="00F5366C">
      <w:pPr>
        <w:spacing w:after="120" w:line="280" w:lineRule="exact"/>
        <w:rPr>
          <w:rFonts w:ascii="Franklin Gothic Book" w:eastAsia="Times New Roman" w:hAnsi="Franklin Gothic Book"/>
          <w:sz w:val="21"/>
        </w:rPr>
      </w:pPr>
      <w:r w:rsidRPr="00F5366C">
        <w:rPr>
          <w:rFonts w:ascii="Franklin Gothic Book" w:eastAsia="Times New Roman" w:hAnsi="Franklin Gothic Book"/>
          <w:sz w:val="21"/>
        </w:rPr>
        <w:t>Austra</w:t>
      </w:r>
      <w:r w:rsidR="002F2601">
        <w:rPr>
          <w:rFonts w:ascii="Franklin Gothic Book" w:eastAsia="Times New Roman" w:hAnsi="Franklin Gothic Book"/>
          <w:sz w:val="21"/>
        </w:rPr>
        <w:t>lia’s aid program evaluated six</w:t>
      </w:r>
      <w:r w:rsidRPr="00F5366C">
        <w:rPr>
          <w:rFonts w:ascii="Franklin Gothic Book" w:eastAsia="Times New Roman" w:hAnsi="Franklin Gothic Book"/>
          <w:sz w:val="21"/>
        </w:rPr>
        <w:t xml:space="preserve"> of its programs in </w:t>
      </w:r>
      <w:r w:rsidR="00CA59F3">
        <w:rPr>
          <w:rFonts w:ascii="Franklin Gothic Book" w:eastAsia="Times New Roman" w:hAnsi="Franklin Gothic Book"/>
          <w:sz w:val="21"/>
        </w:rPr>
        <w:t>Myanmar</w:t>
      </w:r>
      <w:r w:rsidRPr="00F5366C">
        <w:rPr>
          <w:rFonts w:ascii="Franklin Gothic Book" w:eastAsia="Times New Roman" w:hAnsi="Franklin Gothic Book"/>
          <w:sz w:val="21"/>
        </w:rPr>
        <w:t xml:space="preserve"> in 2014-15. The list of evaluations is at Annex C</w:t>
      </w:r>
      <w:r w:rsidR="005640F4">
        <w:rPr>
          <w:rFonts w:ascii="Franklin Gothic Book" w:eastAsia="Times New Roman" w:hAnsi="Franklin Gothic Book"/>
          <w:sz w:val="21"/>
        </w:rPr>
        <w:t>; all evaluations will be published in 2015 once finalised.</w:t>
      </w:r>
      <w:r w:rsidR="00062B00" w:rsidRPr="00F5366C">
        <w:rPr>
          <w:rFonts w:ascii="Franklin Gothic Book" w:eastAsia="Times New Roman" w:hAnsi="Franklin Gothic Book"/>
          <w:sz w:val="21"/>
        </w:rPr>
        <w:t xml:space="preserve"> The evaluations have shaped programming decisions. For example, mid-term reviews of two major education investments identified that our understanding of how change </w:t>
      </w:r>
      <w:r w:rsidR="00871208" w:rsidRPr="00F5366C">
        <w:rPr>
          <w:rFonts w:ascii="Franklin Gothic Book" w:eastAsia="Times New Roman" w:hAnsi="Franklin Gothic Book"/>
          <w:sz w:val="21"/>
        </w:rPr>
        <w:t>w</w:t>
      </w:r>
      <w:r w:rsidR="00871208">
        <w:rPr>
          <w:rFonts w:ascii="Franklin Gothic Book" w:eastAsia="Times New Roman" w:hAnsi="Franklin Gothic Book"/>
          <w:sz w:val="21"/>
        </w:rPr>
        <w:t>ould</w:t>
      </w:r>
      <w:r w:rsidR="00871208" w:rsidRPr="00F5366C">
        <w:rPr>
          <w:rFonts w:ascii="Franklin Gothic Book" w:eastAsia="Times New Roman" w:hAnsi="Franklin Gothic Book"/>
          <w:sz w:val="21"/>
        </w:rPr>
        <w:t xml:space="preserve"> </w:t>
      </w:r>
      <w:r w:rsidR="00062B00" w:rsidRPr="00F5366C">
        <w:rPr>
          <w:rFonts w:ascii="Franklin Gothic Book" w:eastAsia="Times New Roman" w:hAnsi="Franklin Gothic Book"/>
          <w:sz w:val="21"/>
        </w:rPr>
        <w:t xml:space="preserve">occur through these programs was outdated. </w:t>
      </w:r>
      <w:r w:rsidR="00F5366C" w:rsidRPr="00F5366C">
        <w:rPr>
          <w:rFonts w:ascii="Franklin Gothic Book" w:eastAsia="Times New Roman" w:hAnsi="Franklin Gothic Book"/>
          <w:sz w:val="21"/>
        </w:rPr>
        <w:t xml:space="preserve">In response, both programs have refined their program theories to clearly articulate their respective roles in supporting education services in </w:t>
      </w:r>
      <w:r w:rsidR="00CA59F3">
        <w:rPr>
          <w:rFonts w:ascii="Franklin Gothic Book" w:eastAsia="Times New Roman" w:hAnsi="Franklin Gothic Book"/>
          <w:sz w:val="21"/>
        </w:rPr>
        <w:t>Myanmar</w:t>
      </w:r>
      <w:r w:rsidR="00F5366C" w:rsidRPr="00F5366C">
        <w:rPr>
          <w:rFonts w:ascii="Franklin Gothic Book" w:eastAsia="Times New Roman" w:hAnsi="Franklin Gothic Book"/>
          <w:sz w:val="21"/>
        </w:rPr>
        <w:t xml:space="preserve">. </w:t>
      </w:r>
      <w:r w:rsidR="00EE254A">
        <w:rPr>
          <w:rFonts w:ascii="Franklin Gothic Book" w:eastAsia="Times New Roman" w:hAnsi="Franklin Gothic Book"/>
          <w:sz w:val="21"/>
        </w:rPr>
        <w:t xml:space="preserve">There </w:t>
      </w:r>
      <w:r w:rsidR="00EE254A">
        <w:rPr>
          <w:rFonts w:ascii="Franklin Gothic Book" w:eastAsia="Times New Roman" w:hAnsi="Franklin Gothic Book"/>
          <w:sz w:val="21"/>
        </w:rPr>
        <w:lastRenderedPageBreak/>
        <w:t xml:space="preserve">are currently </w:t>
      </w:r>
      <w:r w:rsidR="00023CB8">
        <w:rPr>
          <w:rFonts w:ascii="Franklin Gothic Book" w:eastAsia="Times New Roman" w:hAnsi="Franklin Gothic Book"/>
          <w:sz w:val="21"/>
        </w:rPr>
        <w:t>two</w:t>
      </w:r>
      <w:r w:rsidR="00062B00" w:rsidRPr="00F5366C">
        <w:rPr>
          <w:rFonts w:ascii="Franklin Gothic Book" w:eastAsia="Times New Roman" w:hAnsi="Franklin Gothic Book"/>
          <w:sz w:val="21"/>
        </w:rPr>
        <w:t xml:space="preserve"> </w:t>
      </w:r>
      <w:r w:rsidR="00BE7D6A">
        <w:rPr>
          <w:rFonts w:ascii="Franklin Gothic Book" w:eastAsia="Times New Roman" w:hAnsi="Franklin Gothic Book"/>
          <w:sz w:val="21"/>
        </w:rPr>
        <w:t>evaluations planned for 2015-16, covering Australia’s sup</w:t>
      </w:r>
      <w:r w:rsidR="00E53640">
        <w:rPr>
          <w:rFonts w:ascii="Franklin Gothic Book" w:eastAsia="Times New Roman" w:hAnsi="Franklin Gothic Book"/>
          <w:sz w:val="21"/>
        </w:rPr>
        <w:t>port for the peace process</w:t>
      </w:r>
      <w:r w:rsidR="00023CB8">
        <w:rPr>
          <w:rFonts w:ascii="Franklin Gothic Book" w:eastAsia="Times New Roman" w:hAnsi="Franklin Gothic Book"/>
          <w:sz w:val="21"/>
        </w:rPr>
        <w:t xml:space="preserve"> and</w:t>
      </w:r>
      <w:r w:rsidR="00E53640">
        <w:rPr>
          <w:rFonts w:ascii="Franklin Gothic Book" w:eastAsia="Times New Roman" w:hAnsi="Franklin Gothic Book"/>
          <w:sz w:val="21"/>
        </w:rPr>
        <w:t xml:space="preserve"> public financia</w:t>
      </w:r>
      <w:r w:rsidR="00023CB8">
        <w:rPr>
          <w:rFonts w:ascii="Franklin Gothic Book" w:eastAsia="Times New Roman" w:hAnsi="Franklin Gothic Book"/>
          <w:sz w:val="21"/>
        </w:rPr>
        <w:t>l management reforms</w:t>
      </w:r>
      <w:r w:rsidR="00BE7D6A">
        <w:rPr>
          <w:rFonts w:ascii="Franklin Gothic Book" w:eastAsia="Times New Roman" w:hAnsi="Franklin Gothic Book"/>
          <w:sz w:val="21"/>
        </w:rPr>
        <w:t>.</w:t>
      </w:r>
    </w:p>
    <w:p w:rsidR="00103D36" w:rsidRPr="00F5366C" w:rsidRDefault="00EE254A" w:rsidP="00F5366C">
      <w:pPr>
        <w:spacing w:after="120" w:line="280" w:lineRule="exact"/>
        <w:rPr>
          <w:rFonts w:ascii="Franklin Gothic Book" w:eastAsia="Times New Roman" w:hAnsi="Franklin Gothic Book"/>
          <w:sz w:val="21"/>
        </w:rPr>
      </w:pPr>
      <w:r w:rsidRPr="00A124D3">
        <w:rPr>
          <w:rFonts w:ascii="Franklin Gothic Book" w:eastAsia="Times New Roman" w:hAnsi="Franklin Gothic Book"/>
          <w:sz w:val="21"/>
        </w:rPr>
        <w:t xml:space="preserve">The </w:t>
      </w:r>
      <w:r w:rsidR="00CA59F3" w:rsidRPr="00A124D3">
        <w:rPr>
          <w:rFonts w:ascii="Franklin Gothic Book" w:eastAsia="Times New Roman" w:hAnsi="Franklin Gothic Book"/>
          <w:sz w:val="21"/>
        </w:rPr>
        <w:t>Myanmar</w:t>
      </w:r>
      <w:r w:rsidR="00103D36" w:rsidRPr="00A124D3">
        <w:rPr>
          <w:rFonts w:ascii="Franklin Gothic Book" w:eastAsia="Times New Roman" w:hAnsi="Franklin Gothic Book"/>
          <w:sz w:val="21"/>
        </w:rPr>
        <w:t xml:space="preserve"> program</w:t>
      </w:r>
      <w:r w:rsidR="005640F4" w:rsidRPr="005640F4">
        <w:rPr>
          <w:rFonts w:ascii="Franklin Gothic Book" w:eastAsia="Times New Roman" w:hAnsi="Franklin Gothic Book"/>
          <w:sz w:val="21"/>
        </w:rPr>
        <w:t xml:space="preserve"> </w:t>
      </w:r>
      <w:r w:rsidR="005640F4" w:rsidRPr="00A124D3">
        <w:rPr>
          <w:rFonts w:ascii="Franklin Gothic Book" w:eastAsia="Times New Roman" w:hAnsi="Franklin Gothic Book"/>
          <w:sz w:val="21"/>
        </w:rPr>
        <w:t>met the effectiveness standard</w:t>
      </w:r>
      <w:r w:rsidR="005640F4">
        <w:rPr>
          <w:rFonts w:ascii="Franklin Gothic Book" w:eastAsia="Times New Roman" w:hAnsi="Franklin Gothic Book"/>
          <w:sz w:val="21"/>
        </w:rPr>
        <w:t xml:space="preserve"> for</w:t>
      </w:r>
      <w:r w:rsidR="00A124D3" w:rsidRPr="00A124D3">
        <w:rPr>
          <w:rFonts w:ascii="Franklin Gothic Book" w:eastAsia="Times New Roman" w:hAnsi="Franklin Gothic Book"/>
          <w:sz w:val="21"/>
        </w:rPr>
        <w:t xml:space="preserve"> 70</w:t>
      </w:r>
      <w:r w:rsidRPr="00A124D3">
        <w:rPr>
          <w:rFonts w:ascii="Franklin Gothic Book" w:eastAsia="Times New Roman" w:hAnsi="Franklin Gothic Book"/>
          <w:sz w:val="21"/>
        </w:rPr>
        <w:t xml:space="preserve"> per cent of investments</w:t>
      </w:r>
      <w:r w:rsidR="005640F4">
        <w:rPr>
          <w:rFonts w:ascii="Franklin Gothic Book" w:eastAsia="Times New Roman" w:hAnsi="Franklin Gothic Book"/>
          <w:sz w:val="21"/>
        </w:rPr>
        <w:t xml:space="preserve">, </w:t>
      </w:r>
      <w:r w:rsidR="00A124D3" w:rsidRPr="00A124D3">
        <w:rPr>
          <w:rFonts w:ascii="Franklin Gothic Book" w:eastAsia="Times New Roman" w:hAnsi="Franklin Gothic Book"/>
          <w:sz w:val="21"/>
        </w:rPr>
        <w:t>and met the efficiency standard</w:t>
      </w:r>
      <w:r w:rsidR="005640F4">
        <w:rPr>
          <w:rFonts w:ascii="Franklin Gothic Book" w:eastAsia="Times New Roman" w:hAnsi="Franklin Gothic Book"/>
          <w:sz w:val="21"/>
        </w:rPr>
        <w:t xml:space="preserve"> for 80 per cent of investments</w:t>
      </w:r>
      <w:r w:rsidR="00A124D3" w:rsidRPr="00A124D3">
        <w:rPr>
          <w:rFonts w:ascii="Franklin Gothic Book" w:eastAsia="Times New Roman" w:hAnsi="Franklin Gothic Book"/>
          <w:sz w:val="21"/>
        </w:rPr>
        <w:t xml:space="preserve">. </w:t>
      </w:r>
      <w:r w:rsidR="002F2601">
        <w:rPr>
          <w:rFonts w:ascii="Franklin Gothic Book" w:eastAsia="Times New Roman" w:hAnsi="Franklin Gothic Book"/>
          <w:sz w:val="21"/>
        </w:rPr>
        <w:t>We have implemented measures</w:t>
      </w:r>
      <w:r w:rsidR="005640F4">
        <w:rPr>
          <w:rFonts w:ascii="Franklin Gothic Book" w:eastAsia="Times New Roman" w:hAnsi="Franklin Gothic Book"/>
          <w:sz w:val="21"/>
        </w:rPr>
        <w:t xml:space="preserve"> across our various aid investments</w:t>
      </w:r>
      <w:r w:rsidR="002F2601">
        <w:rPr>
          <w:rFonts w:ascii="Franklin Gothic Book" w:eastAsia="Times New Roman" w:hAnsi="Franklin Gothic Book"/>
          <w:sz w:val="21"/>
        </w:rPr>
        <w:t xml:space="preserve">, and </w:t>
      </w:r>
      <w:r w:rsidR="00103D36" w:rsidRPr="00023CB8">
        <w:rPr>
          <w:rFonts w:ascii="Franklin Gothic Book" w:eastAsia="Times New Roman" w:hAnsi="Franklin Gothic Book"/>
          <w:sz w:val="21"/>
        </w:rPr>
        <w:t>expect to meet the strategic target</w:t>
      </w:r>
      <w:r w:rsidR="005640F4">
        <w:rPr>
          <w:rFonts w:ascii="Franklin Gothic Book" w:eastAsia="Times New Roman" w:hAnsi="Franklin Gothic Book"/>
          <w:sz w:val="21"/>
        </w:rPr>
        <w:t xml:space="preserve"> of 85 per cent for both</w:t>
      </w:r>
      <w:r w:rsidR="00103D36" w:rsidRPr="00023CB8">
        <w:rPr>
          <w:rFonts w:ascii="Franklin Gothic Book" w:eastAsia="Times New Roman" w:hAnsi="Franklin Gothic Book"/>
          <w:sz w:val="21"/>
        </w:rPr>
        <w:t xml:space="preserve"> in the next reporting period.</w:t>
      </w:r>
    </w:p>
    <w:p w:rsidR="00BB2E70" w:rsidRPr="00F5366C" w:rsidRDefault="00F5366C" w:rsidP="0056793F">
      <w:pPr>
        <w:spacing w:after="120" w:line="280" w:lineRule="exact"/>
        <w:rPr>
          <w:rFonts w:ascii="Franklin Gothic Book" w:eastAsia="Times New Roman" w:hAnsi="Franklin Gothic Book"/>
          <w:sz w:val="21"/>
        </w:rPr>
      </w:pPr>
      <w:r w:rsidRPr="00F5366C">
        <w:rPr>
          <w:rFonts w:ascii="Franklin Gothic Book" w:eastAsia="Times New Roman" w:hAnsi="Franklin Gothic Book"/>
          <w:sz w:val="21"/>
        </w:rPr>
        <w:t>Consolidating program investments has continued to be a priori</w:t>
      </w:r>
      <w:r w:rsidR="00BE7D6A">
        <w:rPr>
          <w:rFonts w:ascii="Franklin Gothic Book" w:eastAsia="Times New Roman" w:hAnsi="Franklin Gothic Book"/>
          <w:sz w:val="21"/>
        </w:rPr>
        <w:t>ty in 2014-15</w:t>
      </w:r>
      <w:r w:rsidR="00EE254A">
        <w:rPr>
          <w:rFonts w:ascii="Franklin Gothic Book" w:eastAsia="Times New Roman" w:hAnsi="Franklin Gothic Book"/>
          <w:sz w:val="21"/>
        </w:rPr>
        <w:t>, in line with the aid program’s strategic target</w:t>
      </w:r>
      <w:r w:rsidR="00BE7D6A">
        <w:rPr>
          <w:rFonts w:ascii="Franklin Gothic Book" w:eastAsia="Times New Roman" w:hAnsi="Franklin Gothic Book"/>
          <w:sz w:val="21"/>
        </w:rPr>
        <w:t>. In June 2015 Australia</w:t>
      </w:r>
      <w:r w:rsidRPr="00F5366C">
        <w:rPr>
          <w:rFonts w:ascii="Franklin Gothic Book" w:eastAsia="Times New Roman" w:hAnsi="Franklin Gothic Book"/>
          <w:sz w:val="21"/>
        </w:rPr>
        <w:t xml:space="preserve"> decided </w:t>
      </w:r>
      <w:r w:rsidR="00BE7D6A">
        <w:rPr>
          <w:rFonts w:ascii="Franklin Gothic Book" w:eastAsia="Times New Roman" w:hAnsi="Franklin Gothic Book"/>
          <w:sz w:val="21"/>
        </w:rPr>
        <w:t xml:space="preserve">to </w:t>
      </w:r>
      <w:r w:rsidRPr="00F5366C">
        <w:rPr>
          <w:rFonts w:ascii="Franklin Gothic Book" w:eastAsia="Times New Roman" w:hAnsi="Franklin Gothic Book"/>
          <w:sz w:val="21"/>
        </w:rPr>
        <w:t>focus on fewer, high performing i</w:t>
      </w:r>
      <w:r w:rsidR="00BE7D6A">
        <w:rPr>
          <w:rFonts w:ascii="Franklin Gothic Book" w:eastAsia="Times New Roman" w:hAnsi="Franklin Gothic Book"/>
          <w:sz w:val="21"/>
        </w:rPr>
        <w:t>nvestments where our</w:t>
      </w:r>
      <w:r w:rsidRPr="00F5366C">
        <w:rPr>
          <w:rFonts w:ascii="Franklin Gothic Book" w:eastAsia="Times New Roman" w:hAnsi="Franklin Gothic Book"/>
          <w:sz w:val="21"/>
        </w:rPr>
        <w:t xml:space="preserve"> aid priorities and the </w:t>
      </w:r>
      <w:r w:rsidR="00CA59F3">
        <w:rPr>
          <w:rFonts w:ascii="Franklin Gothic Book" w:eastAsia="Times New Roman" w:hAnsi="Franklin Gothic Book"/>
          <w:sz w:val="21"/>
        </w:rPr>
        <w:t>Myanmar</w:t>
      </w:r>
      <w:r w:rsidRPr="00F5366C">
        <w:rPr>
          <w:rFonts w:ascii="Franklin Gothic Book" w:eastAsia="Times New Roman" w:hAnsi="Franklin Gothic Book"/>
          <w:sz w:val="21"/>
        </w:rPr>
        <w:t xml:space="preserve"> Government’s own d</w:t>
      </w:r>
      <w:r w:rsidR="009E5E45">
        <w:rPr>
          <w:rFonts w:ascii="Franklin Gothic Book" w:eastAsia="Times New Roman" w:hAnsi="Franklin Gothic Book"/>
          <w:sz w:val="21"/>
        </w:rPr>
        <w:t>evelopment goals coincide. Consequently</w:t>
      </w:r>
      <w:r w:rsidRPr="00F5366C">
        <w:rPr>
          <w:rFonts w:ascii="Franklin Gothic Book" w:eastAsia="Times New Roman" w:hAnsi="Franklin Gothic Book"/>
          <w:sz w:val="21"/>
        </w:rPr>
        <w:t xml:space="preserve"> Australia will withdraw from the health sector, where </w:t>
      </w:r>
      <w:r w:rsidR="009E5E45">
        <w:rPr>
          <w:rFonts w:ascii="Franklin Gothic Book" w:eastAsia="Times New Roman" w:hAnsi="Franklin Gothic Book"/>
          <w:sz w:val="21"/>
        </w:rPr>
        <w:t xml:space="preserve">other donors </w:t>
      </w:r>
      <w:r w:rsidR="00811691">
        <w:rPr>
          <w:rFonts w:ascii="Franklin Gothic Book" w:eastAsia="Times New Roman" w:hAnsi="Franklin Gothic Book"/>
          <w:sz w:val="21"/>
        </w:rPr>
        <w:t>are present</w:t>
      </w:r>
      <w:r w:rsidRPr="00F5366C">
        <w:rPr>
          <w:rFonts w:ascii="Franklin Gothic Book" w:eastAsia="Times New Roman" w:hAnsi="Franklin Gothic Book"/>
          <w:sz w:val="21"/>
        </w:rPr>
        <w:t xml:space="preserve">. </w:t>
      </w:r>
      <w:r w:rsidR="00266C8D">
        <w:rPr>
          <w:rFonts w:ascii="Franklin Gothic Book" w:eastAsia="Times New Roman" w:hAnsi="Franklin Gothic Book"/>
          <w:sz w:val="21"/>
        </w:rPr>
        <w:t xml:space="preserve">As of </w:t>
      </w:r>
      <w:r w:rsidRPr="00F5366C">
        <w:rPr>
          <w:rFonts w:ascii="Franklin Gothic Book" w:eastAsia="Times New Roman" w:hAnsi="Franklin Gothic Book"/>
          <w:sz w:val="21"/>
        </w:rPr>
        <w:t>July 2015, 24</w:t>
      </w:r>
      <w:r w:rsidR="00BB2E70" w:rsidRPr="00F5366C">
        <w:rPr>
          <w:rFonts w:ascii="Franklin Gothic Book" w:eastAsia="Times New Roman" w:hAnsi="Franklin Gothic Book"/>
          <w:sz w:val="21"/>
        </w:rPr>
        <w:t xml:space="preserve"> per cent </w:t>
      </w:r>
      <w:r w:rsidR="009E5E45">
        <w:rPr>
          <w:rFonts w:ascii="Franklin Gothic Book" w:eastAsia="Times New Roman" w:hAnsi="Franklin Gothic Book"/>
          <w:sz w:val="21"/>
        </w:rPr>
        <w:t>of investments are low value</w:t>
      </w:r>
      <w:r w:rsidR="00BB2E70" w:rsidRPr="00F5366C">
        <w:rPr>
          <w:rFonts w:ascii="Franklin Gothic Book" w:eastAsia="Times New Roman" w:hAnsi="Franklin Gothic Book"/>
          <w:sz w:val="21"/>
        </w:rPr>
        <w:t xml:space="preserve">, </w:t>
      </w:r>
      <w:r w:rsidR="00266C8D">
        <w:rPr>
          <w:rFonts w:ascii="Franklin Gothic Book" w:eastAsia="Times New Roman" w:hAnsi="Franklin Gothic Book"/>
          <w:sz w:val="21"/>
        </w:rPr>
        <w:t>a reduction</w:t>
      </w:r>
      <w:r w:rsidR="00BB2E70" w:rsidRPr="00F5366C">
        <w:rPr>
          <w:rFonts w:ascii="Franklin Gothic Book" w:eastAsia="Times New Roman" w:hAnsi="Franklin Gothic Book"/>
          <w:sz w:val="21"/>
        </w:rPr>
        <w:t xml:space="preserve"> from 38 per cent in September 2014. This surpasses the target that </w:t>
      </w:r>
      <w:r w:rsidR="008D2FD0">
        <w:rPr>
          <w:rFonts w:ascii="Franklin Gothic Book" w:eastAsia="Times New Roman" w:hAnsi="Franklin Gothic Book"/>
          <w:sz w:val="21"/>
        </w:rPr>
        <w:t>fewer</w:t>
      </w:r>
      <w:r w:rsidR="008D2FD0" w:rsidRPr="00F5366C">
        <w:rPr>
          <w:rFonts w:ascii="Franklin Gothic Book" w:eastAsia="Times New Roman" w:hAnsi="Franklin Gothic Book"/>
          <w:sz w:val="21"/>
        </w:rPr>
        <w:t xml:space="preserve"> </w:t>
      </w:r>
      <w:r w:rsidR="00BB2E70" w:rsidRPr="00F5366C">
        <w:rPr>
          <w:rFonts w:ascii="Franklin Gothic Book" w:eastAsia="Times New Roman" w:hAnsi="Franklin Gothic Book"/>
          <w:sz w:val="21"/>
        </w:rPr>
        <w:t xml:space="preserve">than one third of investments be low value. The percentage of programmed funds </w:t>
      </w:r>
      <w:r w:rsidR="009E5E45">
        <w:rPr>
          <w:rFonts w:ascii="Franklin Gothic Book" w:eastAsia="Times New Roman" w:hAnsi="Franklin Gothic Book"/>
          <w:sz w:val="21"/>
        </w:rPr>
        <w:t>in high value</w:t>
      </w:r>
      <w:r w:rsidR="00BB2E70" w:rsidRPr="00F5366C">
        <w:rPr>
          <w:rFonts w:ascii="Franklin Gothic Book" w:eastAsia="Times New Roman" w:hAnsi="Franklin Gothic Book"/>
          <w:sz w:val="21"/>
        </w:rPr>
        <w:t xml:space="preserve"> </w:t>
      </w:r>
      <w:r w:rsidRPr="00F5366C">
        <w:rPr>
          <w:rFonts w:ascii="Franklin Gothic Book" w:eastAsia="Times New Roman" w:hAnsi="Franklin Gothic Book"/>
          <w:sz w:val="21"/>
        </w:rPr>
        <w:t>investments is also on target at 90 per cent</w:t>
      </w:r>
      <w:r w:rsidR="00BB2E70" w:rsidRPr="00F5366C">
        <w:rPr>
          <w:rFonts w:ascii="Franklin Gothic Book" w:eastAsia="Times New Roman" w:hAnsi="Franklin Gothic Book"/>
          <w:sz w:val="21"/>
        </w:rPr>
        <w:t>.</w:t>
      </w:r>
    </w:p>
    <w:p w:rsidR="00EE254A" w:rsidRDefault="00BE7D6A" w:rsidP="00EE254A">
      <w:pPr>
        <w:pStyle w:val="ListBullet"/>
        <w:numPr>
          <w:ilvl w:val="0"/>
          <w:numId w:val="0"/>
        </w:numPr>
      </w:pPr>
      <w:r>
        <w:t>In 2014-15 the aid</w:t>
      </w:r>
      <w:r w:rsidR="0056793F" w:rsidRPr="00F5366C">
        <w:t xml:space="preserve"> program made a concerted eff</w:t>
      </w:r>
      <w:r w:rsidR="009E5E45">
        <w:t xml:space="preserve">ort to </w:t>
      </w:r>
      <w:r w:rsidR="008D2FD0">
        <w:t xml:space="preserve">improve </w:t>
      </w:r>
      <w:r w:rsidR="009E5E45">
        <w:t>understand</w:t>
      </w:r>
      <w:r w:rsidR="008D2FD0">
        <w:t>ing</w:t>
      </w:r>
      <w:r w:rsidR="0056793F" w:rsidRPr="00F5366C">
        <w:t xml:space="preserve"> and report</w:t>
      </w:r>
      <w:r w:rsidR="008D2FD0">
        <w:t>ing</w:t>
      </w:r>
      <w:r w:rsidR="0056793F" w:rsidRPr="00F5366C">
        <w:t xml:space="preserve"> on </w:t>
      </w:r>
      <w:r w:rsidR="00EE254A">
        <w:t xml:space="preserve">how women and men access the benefits of </w:t>
      </w:r>
      <w:r>
        <w:t>our investments</w:t>
      </w:r>
      <w:r w:rsidR="0056793F" w:rsidRPr="00F5366C">
        <w:t>.</w:t>
      </w:r>
      <w:r w:rsidR="00EE254A" w:rsidRPr="00EE254A">
        <w:t xml:space="preserve"> </w:t>
      </w:r>
      <w:r w:rsidR="00EE254A">
        <w:t xml:space="preserve">The program met the </w:t>
      </w:r>
      <w:r w:rsidR="000F1C84">
        <w:t xml:space="preserve">aid program’s </w:t>
      </w:r>
      <w:r w:rsidR="00EE254A">
        <w:t>strategic target for gender equality, with 80 per cent of investments receiving at least adequate ratings. While this demonstrates an improvement on previous years, we recognise there is still more we can do to improve gender equality and women’s empowerment.</w:t>
      </w:r>
    </w:p>
    <w:p w:rsidR="00907FD8" w:rsidRPr="00266C8D" w:rsidRDefault="0056793F" w:rsidP="006F3FD8">
      <w:pPr>
        <w:spacing w:after="120" w:line="280" w:lineRule="exact"/>
        <w:rPr>
          <w:rFonts w:ascii="Franklin Gothic Book" w:eastAsia="Times New Roman" w:hAnsi="Franklin Gothic Book"/>
          <w:sz w:val="21"/>
        </w:rPr>
      </w:pPr>
      <w:r w:rsidRPr="00687A6F">
        <w:rPr>
          <w:rFonts w:ascii="Franklin Gothic Book" w:eastAsia="Times New Roman" w:hAnsi="Franklin Gothic Book"/>
          <w:sz w:val="21"/>
        </w:rPr>
        <w:t>We have continued to main</w:t>
      </w:r>
      <w:r w:rsidR="00687A6F" w:rsidRPr="00687A6F">
        <w:rPr>
          <w:rFonts w:ascii="Franklin Gothic Book" w:eastAsia="Times New Roman" w:hAnsi="Franklin Gothic Book"/>
          <w:sz w:val="21"/>
        </w:rPr>
        <w:t>stream</w:t>
      </w:r>
      <w:r w:rsidRPr="00687A6F">
        <w:rPr>
          <w:rFonts w:ascii="Franklin Gothic Book" w:eastAsia="Times New Roman" w:hAnsi="Franklin Gothic Book"/>
          <w:sz w:val="21"/>
        </w:rPr>
        <w:t xml:space="preserve"> gender into all investments</w:t>
      </w:r>
      <w:r w:rsidR="00687A6F" w:rsidRPr="00687A6F">
        <w:rPr>
          <w:rFonts w:ascii="Franklin Gothic Book" w:eastAsia="Times New Roman" w:hAnsi="Franklin Gothic Book"/>
          <w:sz w:val="21"/>
        </w:rPr>
        <w:t xml:space="preserve"> with support from </w:t>
      </w:r>
      <w:r w:rsidRPr="00687A6F">
        <w:rPr>
          <w:rFonts w:ascii="Franklin Gothic Book" w:eastAsia="Times New Roman" w:hAnsi="Franklin Gothic Book"/>
          <w:sz w:val="21"/>
        </w:rPr>
        <w:t xml:space="preserve">DFAT’s Gender Principal </w:t>
      </w:r>
      <w:r w:rsidR="00687A6F" w:rsidRPr="00687A6F">
        <w:rPr>
          <w:rFonts w:ascii="Franklin Gothic Book" w:eastAsia="Times New Roman" w:hAnsi="Franklin Gothic Book"/>
          <w:sz w:val="21"/>
        </w:rPr>
        <w:t>Sector Specialist</w:t>
      </w:r>
      <w:r w:rsidRPr="00687A6F">
        <w:rPr>
          <w:rFonts w:ascii="Franklin Gothic Book" w:eastAsia="Times New Roman" w:hAnsi="Franklin Gothic Book"/>
          <w:sz w:val="21"/>
        </w:rPr>
        <w:t xml:space="preserve">.  Australia is preparing a comprehensive gender assessment of a new program to improve </w:t>
      </w:r>
      <w:r w:rsidR="00CA59F3" w:rsidRPr="00687A6F">
        <w:rPr>
          <w:rFonts w:ascii="Franklin Gothic Book" w:eastAsia="Times New Roman" w:hAnsi="Franklin Gothic Book"/>
          <w:sz w:val="21"/>
        </w:rPr>
        <w:t>Myanmar</w:t>
      </w:r>
      <w:r w:rsidRPr="00687A6F">
        <w:rPr>
          <w:rFonts w:ascii="Franklin Gothic Book" w:eastAsia="Times New Roman" w:hAnsi="Franklin Gothic Book"/>
          <w:sz w:val="21"/>
        </w:rPr>
        <w:t xml:space="preserve">’s investment climate to ensure women are appropriately targeted. DFAT has consistently advocated for improved </w:t>
      </w:r>
      <w:r w:rsidR="00BE7D6A" w:rsidRPr="00687A6F">
        <w:rPr>
          <w:rFonts w:ascii="Franklin Gothic Book" w:eastAsia="Times New Roman" w:hAnsi="Franklin Gothic Book"/>
          <w:sz w:val="21"/>
        </w:rPr>
        <w:t xml:space="preserve">performance on </w:t>
      </w:r>
      <w:r w:rsidRPr="00687A6F">
        <w:rPr>
          <w:rFonts w:ascii="Franklin Gothic Book" w:eastAsia="Times New Roman" w:hAnsi="Franklin Gothic Book"/>
          <w:sz w:val="21"/>
        </w:rPr>
        <w:t xml:space="preserve">gender equality with all our program partners, including </w:t>
      </w:r>
      <w:r w:rsidR="00BE7D6A" w:rsidRPr="00687A6F">
        <w:rPr>
          <w:rFonts w:ascii="Franklin Gothic Book" w:eastAsia="Times New Roman" w:hAnsi="Franklin Gothic Book"/>
          <w:sz w:val="21"/>
        </w:rPr>
        <w:t>improved</w:t>
      </w:r>
      <w:r w:rsidRPr="00687A6F">
        <w:rPr>
          <w:rFonts w:ascii="Franklin Gothic Book" w:eastAsia="Times New Roman" w:hAnsi="Franklin Gothic Book"/>
          <w:sz w:val="21"/>
        </w:rPr>
        <w:t xml:space="preserve"> reporting and collection of sex-disaggregated data. While our evidence base to support gender analysis a</w:t>
      </w:r>
      <w:r w:rsidR="00BE7D6A" w:rsidRPr="00687A6F">
        <w:rPr>
          <w:rFonts w:ascii="Franklin Gothic Book" w:eastAsia="Times New Roman" w:hAnsi="Franklin Gothic Book"/>
          <w:sz w:val="21"/>
        </w:rPr>
        <w:t>nd improve gender outcomes has been enhanced</w:t>
      </w:r>
      <w:r w:rsidRPr="00687A6F">
        <w:rPr>
          <w:rFonts w:ascii="Franklin Gothic Book" w:eastAsia="Times New Roman" w:hAnsi="Franklin Gothic Book"/>
          <w:sz w:val="21"/>
        </w:rPr>
        <w:t>, consistent and ongoing attention is required to embed good practices.</w:t>
      </w:r>
      <w:r w:rsidRPr="00F5366C">
        <w:rPr>
          <w:rFonts w:ascii="Franklin Gothic Book" w:eastAsia="Times New Roman" w:hAnsi="Franklin Gothic Book"/>
          <w:sz w:val="21"/>
        </w:rPr>
        <w:t xml:space="preserve"> </w:t>
      </w:r>
    </w:p>
    <w:p w:rsidR="00BB5F4F" w:rsidRPr="00180B19" w:rsidRDefault="00BB5F4F" w:rsidP="00511A0F">
      <w:pPr>
        <w:pStyle w:val="Heading3"/>
      </w:pPr>
      <w:r>
        <w:t xml:space="preserve">Analysis of Aid </w:t>
      </w:r>
      <w:r w:rsidRPr="00180B19">
        <w:t xml:space="preserve">Quality </w:t>
      </w:r>
      <w:r>
        <w:t>Checks (AQCs)</w:t>
      </w:r>
    </w:p>
    <w:p w:rsidR="00BB5F4F" w:rsidRDefault="00BB5F4F" w:rsidP="00F35F08">
      <w:pPr>
        <w:pStyle w:val="ListBullet"/>
        <w:numPr>
          <w:ilvl w:val="0"/>
          <w:numId w:val="0"/>
        </w:numPr>
        <w:tabs>
          <w:tab w:val="clear" w:pos="284"/>
        </w:tabs>
      </w:pPr>
      <w:r w:rsidRPr="00687A6F">
        <w:t xml:space="preserve">In 2014-15 </w:t>
      </w:r>
      <w:r w:rsidR="00600BEC" w:rsidRPr="00687A6F">
        <w:t>we completed AQCs for 11</w:t>
      </w:r>
      <w:r w:rsidRPr="00687A6F">
        <w:t xml:space="preserve"> investments. Ratings broadly remained the same as in 2013-14 though there was a</w:t>
      </w:r>
      <w:r w:rsidR="00920F3C" w:rsidRPr="00687A6F">
        <w:t>n</w:t>
      </w:r>
      <w:r w:rsidRPr="00687A6F">
        <w:t xml:space="preserve"> improvement in the performance of</w:t>
      </w:r>
      <w:r w:rsidR="002F2601" w:rsidRPr="00687A6F">
        <w:t xml:space="preserve"> ACIAR</w:t>
      </w:r>
      <w:r w:rsidR="003F537C" w:rsidRPr="00687A6F">
        <w:t>’s</w:t>
      </w:r>
      <w:r w:rsidRPr="00687A6F">
        <w:t xml:space="preserve"> </w:t>
      </w:r>
      <w:r w:rsidR="003F537C" w:rsidRPr="00687A6F">
        <w:t>research program</w:t>
      </w:r>
      <w:r w:rsidRPr="00687A6F">
        <w:t xml:space="preserve">, which had previously been recorded as an Investment Requiring Improvement. A summary of AQC ratings is at </w:t>
      </w:r>
      <w:r w:rsidRPr="00687A6F">
        <w:rPr>
          <w:b/>
        </w:rPr>
        <w:t>Annex D</w:t>
      </w:r>
      <w:r w:rsidRPr="00687A6F">
        <w:t>.</w:t>
      </w:r>
      <w:r w:rsidR="008D2FD0" w:rsidRPr="00687A6F">
        <w:t xml:space="preserve"> A rating of 4 or above is considered satisfactory</w:t>
      </w:r>
      <w:r w:rsidR="000E752E" w:rsidRPr="00687A6F">
        <w:t>.</w:t>
      </w:r>
    </w:p>
    <w:p w:rsidR="00920F3C" w:rsidRDefault="00BB5F4F" w:rsidP="00F35F08">
      <w:pPr>
        <w:pStyle w:val="ListBullet"/>
        <w:numPr>
          <w:ilvl w:val="0"/>
          <w:numId w:val="0"/>
        </w:numPr>
        <w:tabs>
          <w:tab w:val="clear" w:pos="284"/>
        </w:tabs>
      </w:pPr>
      <w:r>
        <w:t>The ACIAR research program recorded higher scores</w:t>
      </w:r>
      <w:r w:rsidR="000E752E">
        <w:t xml:space="preserve"> than last year</w:t>
      </w:r>
      <w:r>
        <w:t xml:space="preserve"> in relevance, effectiveness, efficiency and gender equality. </w:t>
      </w:r>
      <w:r w:rsidR="00920F3C">
        <w:t>Further details are included on page 8.</w:t>
      </w:r>
      <w:r w:rsidR="00FA0F66">
        <w:t xml:space="preserve"> </w:t>
      </w:r>
      <w:r w:rsidR="00920F3C">
        <w:t>In the education sector, MEC received scores of 3 for efficiency, sustainab</w:t>
      </w:r>
      <w:r w:rsidR="00FA0F66">
        <w:t>ility and gender equality, while all QBEP scores were below satisfactory.</w:t>
      </w:r>
      <w:r w:rsidR="00920F3C">
        <w:t xml:space="preserve"> </w:t>
      </w:r>
      <w:r w:rsidR="00FA0F66">
        <w:t xml:space="preserve">Details on MEC and QBEP are at page 5. </w:t>
      </w:r>
    </w:p>
    <w:p w:rsidR="00BB5F4F" w:rsidRDefault="00BB5F4F" w:rsidP="00F35F08">
      <w:pPr>
        <w:pStyle w:val="ListBullet"/>
        <w:numPr>
          <w:ilvl w:val="0"/>
          <w:numId w:val="0"/>
        </w:numPr>
        <w:tabs>
          <w:tab w:val="clear" w:pos="284"/>
        </w:tabs>
      </w:pPr>
      <w:r>
        <w:t>Advancing women’s economic empowerment and promoting gender equality remains a hi</w:t>
      </w:r>
      <w:r w:rsidR="002F2601">
        <w:t>gh priority for the aid program. There has also been significant progress in 2014-15: three out of four investments with a rating of 3 in 2013-14 received an adequate rating of 4. This shift was due to a greater focus on gender analysis in design and implementation that led to more targeted interventions, and building monitoring and evaluation systems that capture changes in gender engagement and strengthen sex-disaggregated reporting. H</w:t>
      </w:r>
      <w:r>
        <w:t>owever,</w:t>
      </w:r>
      <w:r w:rsidR="00600BEC">
        <w:t xml:space="preserve"> there is still room for improvement. </w:t>
      </w:r>
      <w:r>
        <w:t>The AQCs identified low levels of awareness of gender issues in some beneficiary communities, a lack of sex disaggregated reporting, and some implementing partners that were ‘gender aware’ rather tha</w:t>
      </w:r>
      <w:r w:rsidR="002F2601">
        <w:t xml:space="preserve">n challenging gender norms. </w:t>
      </w:r>
    </w:p>
    <w:p w:rsidR="00BB5F4F" w:rsidRDefault="00BB5F4F" w:rsidP="00511A0F">
      <w:pPr>
        <w:pStyle w:val="Heading3"/>
      </w:pPr>
      <w:r>
        <w:lastRenderedPageBreak/>
        <w:t>Performance of key delivery partners</w:t>
      </w:r>
    </w:p>
    <w:p w:rsidR="00BB5F4F" w:rsidRDefault="00BB5F4F" w:rsidP="00F35F08">
      <w:pPr>
        <w:pStyle w:val="ListBullet"/>
        <w:numPr>
          <w:ilvl w:val="0"/>
          <w:numId w:val="0"/>
        </w:numPr>
        <w:tabs>
          <w:tab w:val="clear" w:pos="284"/>
        </w:tabs>
      </w:pPr>
      <w:r>
        <w:t>The program completed nine Partner Performance Assessments in 2014-15: four for multilateral partners and five for NGOs. This section will focus on three major delivery partners: the World Bank, the UN Office for Project Services (UNOPS)</w:t>
      </w:r>
      <w:r w:rsidR="009E5E45">
        <w:t>, and Save the Children</w:t>
      </w:r>
      <w:r>
        <w:t>.</w:t>
      </w:r>
    </w:p>
    <w:p w:rsidR="00BB5F4F" w:rsidRDefault="00BB5F4F" w:rsidP="00F35F08">
      <w:pPr>
        <w:pStyle w:val="ListBullet"/>
        <w:numPr>
          <w:ilvl w:val="0"/>
          <w:numId w:val="0"/>
        </w:numPr>
        <w:tabs>
          <w:tab w:val="clear" w:pos="284"/>
        </w:tabs>
      </w:pPr>
      <w:r>
        <w:t xml:space="preserve">The re-engagement of the World Bank with </w:t>
      </w:r>
      <w:r w:rsidR="00CA59F3">
        <w:t>Myanmar</w:t>
      </w:r>
      <w:r>
        <w:t xml:space="preserve"> has presented welcome new opportunities to align</w:t>
      </w:r>
      <w:r w:rsidR="0016193B">
        <w:t xml:space="preserve"> donor</w:t>
      </w:r>
      <w:r>
        <w:t xml:space="preserve"> </w:t>
      </w:r>
      <w:r w:rsidR="0016193B">
        <w:t>investments and</w:t>
      </w:r>
      <w:r>
        <w:t xml:space="preserve"> leverage substantial chan</w:t>
      </w:r>
      <w:r w:rsidR="00A0337F">
        <w:t xml:space="preserve">ge in support of the </w:t>
      </w:r>
      <w:r w:rsidR="00CA59F3">
        <w:t>Myanmar</w:t>
      </w:r>
      <w:r w:rsidR="00A0337F">
        <w:t xml:space="preserve"> Government’s </w:t>
      </w:r>
      <w:r>
        <w:t>reform agenda. Through the Myanmar Partnership Multi-Donor Trust Fund, Australia is supporting major investments in education, public financial management and investment promotion. The Bank is delivering high</w:t>
      </w:r>
      <w:r w:rsidR="00B750D8">
        <w:t>-</w:t>
      </w:r>
      <w:r>
        <w:t>qua</w:t>
      </w:r>
      <w:r w:rsidR="009E5E45">
        <w:t>lity results in these programs by ensuring strong</w:t>
      </w:r>
      <w:r>
        <w:t xml:space="preserve"> </w:t>
      </w:r>
      <w:r w:rsidR="00CA59F3">
        <w:t>Myanmar</w:t>
      </w:r>
      <w:r w:rsidR="00A0337F">
        <w:t xml:space="preserve"> </w:t>
      </w:r>
      <w:r>
        <w:t>Government</w:t>
      </w:r>
      <w:r w:rsidR="009E5E45">
        <w:t xml:space="preserve"> ownership and working collaboratively with donors to improve harmonisation and alignment.</w:t>
      </w:r>
      <w:r>
        <w:t xml:space="preserve"> There is scope for the Bank to address gender issues </w:t>
      </w:r>
      <w:r w:rsidR="008D2FD0">
        <w:t xml:space="preserve">better </w:t>
      </w:r>
      <w:r>
        <w:t>in investment designs</w:t>
      </w:r>
      <w:r w:rsidR="00F07CCD">
        <w:t>, adopt conflict-sensitive approaches in implementation, and</w:t>
      </w:r>
      <w:r>
        <w:t xml:space="preserve"> foster greater in-country collaboration </w:t>
      </w:r>
      <w:r w:rsidR="00F07CCD">
        <w:t>by increasing resources in Yang</w:t>
      </w:r>
      <w:r>
        <w:t xml:space="preserve">on. </w:t>
      </w:r>
    </w:p>
    <w:p w:rsidR="00BB5F4F" w:rsidRDefault="00BB5F4F" w:rsidP="00F35F08">
      <w:pPr>
        <w:pStyle w:val="ListBullet"/>
        <w:numPr>
          <w:ilvl w:val="0"/>
          <w:numId w:val="0"/>
        </w:numPr>
        <w:tabs>
          <w:tab w:val="clear" w:pos="284"/>
        </w:tabs>
      </w:pPr>
      <w:r w:rsidRPr="003F537C">
        <w:t xml:space="preserve">UNOPS implements the 3MDG Fund on behalf of Australia and other donors. While the maternal and child health results and efforts to address HIV, </w:t>
      </w:r>
      <w:r w:rsidR="003F537C" w:rsidRPr="003F537C">
        <w:t>TB</w:t>
      </w:r>
      <w:r w:rsidRPr="003F537C">
        <w:t xml:space="preserve"> and malaria were on track, the</w:t>
      </w:r>
      <w:r w:rsidR="003F537C" w:rsidRPr="003F537C">
        <w:t xml:space="preserve"> program’s</w:t>
      </w:r>
      <w:r w:rsidRPr="003F537C">
        <w:t xml:space="preserve"> management did not meet donor expectations. In 2014-15 there were significant delays in the roll out of services and program reporting. However, UNOPS has a well-developed strategy to promote gender and disability inclusion, which has had a positive impact on programming.</w:t>
      </w:r>
    </w:p>
    <w:p w:rsidR="00BB5F4F" w:rsidRDefault="00BB5F4F" w:rsidP="00F35F08">
      <w:pPr>
        <w:pStyle w:val="ListBullet"/>
        <w:numPr>
          <w:ilvl w:val="0"/>
          <w:numId w:val="0"/>
        </w:numPr>
        <w:tabs>
          <w:tab w:val="clear" w:pos="284"/>
        </w:tabs>
      </w:pPr>
      <w:r>
        <w:t xml:space="preserve">Save the Children Australia (SCA) </w:t>
      </w:r>
      <w:r w:rsidR="00600BEC">
        <w:t>manages the implementation of MEC</w:t>
      </w:r>
      <w:r>
        <w:t>. SCA has supported effective collaboration and communication within MEC, with the program’s mid-term review noting MEC has influence within policy forums beyond its anticipated role. SCA has been highly responsive to the mid-term review and is working closely with par</w:t>
      </w:r>
      <w:r w:rsidR="0039240C">
        <w:t>tners to implement the findings, including by</w:t>
      </w:r>
      <w:r w:rsidR="0039240C" w:rsidRPr="0039240C">
        <w:t xml:space="preserve"> </w:t>
      </w:r>
      <w:r w:rsidR="0039240C">
        <w:t xml:space="preserve">revising MEC’s governance structure and refocusing the program. </w:t>
      </w:r>
    </w:p>
    <w:p w:rsidR="00BB5F4F" w:rsidRDefault="00BB5F4F" w:rsidP="00511A0F">
      <w:pPr>
        <w:pStyle w:val="Heading3"/>
      </w:pPr>
      <w:r>
        <w:t>Risks</w:t>
      </w:r>
    </w:p>
    <w:p w:rsidR="00BB5F4F" w:rsidRDefault="00BB5F4F" w:rsidP="00F35F08">
      <w:pPr>
        <w:pStyle w:val="Caption"/>
      </w:pPr>
      <w:r>
        <w:t>Table 3 Management of Key Risks to Achieving Objectives</w:t>
      </w:r>
    </w:p>
    <w:tbl>
      <w:tblPr>
        <w:tblStyle w:val="APPR"/>
        <w:tblW w:w="5000" w:type="pct"/>
        <w:tblLook w:val="0600" w:firstRow="0" w:lastRow="0" w:firstColumn="0" w:lastColumn="0" w:noHBand="1" w:noVBand="1"/>
      </w:tblPr>
      <w:tblGrid>
        <w:gridCol w:w="2049"/>
        <w:gridCol w:w="2277"/>
        <w:gridCol w:w="2330"/>
        <w:gridCol w:w="2121"/>
      </w:tblGrid>
      <w:tr w:rsidR="00BB5F4F" w:rsidRPr="00180B19" w:rsidTr="00F35F08">
        <w:tc>
          <w:tcPr>
            <w:tcW w:w="2007" w:type="dxa"/>
            <w:hideMark/>
          </w:tcPr>
          <w:p w:rsidR="00BB5F4F" w:rsidRPr="005023D9" w:rsidRDefault="00BB5F4F" w:rsidP="00F35F08">
            <w:pPr>
              <w:pStyle w:val="TableTextColumnHeading"/>
            </w:pPr>
            <w:r w:rsidRPr="005023D9">
              <w:t>Key risks</w:t>
            </w:r>
          </w:p>
        </w:tc>
        <w:tc>
          <w:tcPr>
            <w:tcW w:w="2249" w:type="dxa"/>
          </w:tcPr>
          <w:p w:rsidR="00BB5F4F" w:rsidRPr="005023D9" w:rsidRDefault="00BB5F4F" w:rsidP="00F35F08">
            <w:pPr>
              <w:pStyle w:val="TableTextColumnHeading"/>
            </w:pPr>
            <w:r w:rsidRPr="005023D9">
              <w:t>What actions were taken to manage the risks over the past year</w:t>
            </w:r>
            <w:r>
              <w:t>?</w:t>
            </w:r>
          </w:p>
        </w:tc>
        <w:tc>
          <w:tcPr>
            <w:tcW w:w="2302" w:type="dxa"/>
          </w:tcPr>
          <w:p w:rsidR="00BB5F4F" w:rsidRPr="005023D9" w:rsidRDefault="00BB5F4F" w:rsidP="00F35F08">
            <w:pPr>
              <w:pStyle w:val="TableTextColumnHeading"/>
            </w:pPr>
            <w:r w:rsidRPr="005023D9">
              <w:t>What further actions will be taken to manage the risks in the coming year</w:t>
            </w:r>
            <w:r>
              <w:t>?</w:t>
            </w:r>
          </w:p>
        </w:tc>
        <w:tc>
          <w:tcPr>
            <w:tcW w:w="2079" w:type="dxa"/>
          </w:tcPr>
          <w:p w:rsidR="00BB5F4F" w:rsidRPr="005023D9" w:rsidRDefault="00BB5F4F" w:rsidP="00F35F08">
            <w:pPr>
              <w:pStyle w:val="TableTextColumnHeading"/>
            </w:pPr>
            <w:r>
              <w:t>For emerging/ongoing risks provide a Risk Rating (low, medium, high, very high)</w:t>
            </w:r>
          </w:p>
        </w:tc>
      </w:tr>
      <w:tr w:rsidR="00BB5F4F" w:rsidRPr="00180B19" w:rsidTr="00F35F08">
        <w:tc>
          <w:tcPr>
            <w:tcW w:w="2007" w:type="dxa"/>
            <w:hideMark/>
          </w:tcPr>
          <w:p w:rsidR="00BB5F4F" w:rsidRPr="00384B95" w:rsidRDefault="00CA59F3" w:rsidP="00F35F08">
            <w:pPr>
              <w:pStyle w:val="ListBullet"/>
              <w:numPr>
                <w:ilvl w:val="0"/>
                <w:numId w:val="0"/>
              </w:numPr>
              <w:tabs>
                <w:tab w:val="left" w:pos="0"/>
              </w:tabs>
              <w:spacing w:after="0" w:line="240" w:lineRule="auto"/>
              <w:rPr>
                <w:sz w:val="16"/>
                <w:szCs w:val="16"/>
              </w:rPr>
            </w:pPr>
            <w:r>
              <w:rPr>
                <w:sz w:val="16"/>
                <w:szCs w:val="16"/>
              </w:rPr>
              <w:t>Myanmar</w:t>
            </w:r>
            <w:r w:rsidR="00BB5F4F">
              <w:rPr>
                <w:sz w:val="16"/>
                <w:szCs w:val="16"/>
              </w:rPr>
              <w:t>’s 2015 national parliamentary election</w:t>
            </w:r>
            <w:r w:rsidR="00D77B2A">
              <w:rPr>
                <w:sz w:val="16"/>
                <w:szCs w:val="16"/>
              </w:rPr>
              <w:t xml:space="preserve"> and transition to a new government reduces Australia’s ability to engage with government</w:t>
            </w:r>
            <w:r w:rsidR="00BB5F4F">
              <w:rPr>
                <w:sz w:val="16"/>
                <w:szCs w:val="16"/>
              </w:rPr>
              <w:t>,</w:t>
            </w:r>
            <w:r w:rsidR="00D77B2A">
              <w:rPr>
                <w:sz w:val="16"/>
                <w:szCs w:val="16"/>
              </w:rPr>
              <w:t xml:space="preserve"> creating challenges in implementing existing and new aid investments. </w:t>
            </w:r>
            <w:r w:rsidR="00BB5F4F">
              <w:rPr>
                <w:sz w:val="16"/>
                <w:szCs w:val="16"/>
              </w:rPr>
              <w:t xml:space="preserve"> </w:t>
            </w:r>
          </w:p>
          <w:p w:rsidR="00BB5F4F" w:rsidRPr="00384B95" w:rsidRDefault="00BB5F4F" w:rsidP="00F35F08">
            <w:pPr>
              <w:pStyle w:val="ListBullet"/>
              <w:numPr>
                <w:ilvl w:val="0"/>
                <w:numId w:val="0"/>
              </w:numPr>
              <w:tabs>
                <w:tab w:val="left" w:pos="0"/>
              </w:tabs>
              <w:spacing w:after="0" w:line="240" w:lineRule="auto"/>
              <w:rPr>
                <w:sz w:val="16"/>
                <w:szCs w:val="16"/>
              </w:rPr>
            </w:pPr>
          </w:p>
        </w:tc>
        <w:tc>
          <w:tcPr>
            <w:tcW w:w="2249" w:type="dxa"/>
          </w:tcPr>
          <w:p w:rsidR="00BB5F4F" w:rsidRPr="004C4A3E" w:rsidRDefault="00DE4A01" w:rsidP="00D77B2A">
            <w:pPr>
              <w:pStyle w:val="TableTextEntries"/>
            </w:pPr>
            <w:r>
              <w:t>Australia closely monitored</w:t>
            </w:r>
            <w:r w:rsidR="00BB5F4F">
              <w:t xml:space="preserve"> politi</w:t>
            </w:r>
            <w:r>
              <w:t>cal developments and maintained</w:t>
            </w:r>
            <w:r w:rsidR="00BB5F4F">
              <w:t xml:space="preserve"> relationships with government and oppo</w:t>
            </w:r>
            <w:r>
              <w:t>sition. The aid program supported</w:t>
            </w:r>
            <w:r w:rsidR="00BB5F4F">
              <w:t xml:space="preserve"> government and non-govern</w:t>
            </w:r>
            <w:r>
              <w:t>ment service providers and built</w:t>
            </w:r>
            <w:r w:rsidR="00BB5F4F">
              <w:t xml:space="preserve"> </w:t>
            </w:r>
            <w:r w:rsidR="00D77B2A">
              <w:t>flexibility into new program design schedules</w:t>
            </w:r>
            <w:r w:rsidR="00BB5F4F">
              <w:t>.</w:t>
            </w:r>
          </w:p>
        </w:tc>
        <w:tc>
          <w:tcPr>
            <w:tcW w:w="2302" w:type="dxa"/>
          </w:tcPr>
          <w:p w:rsidR="00BB5F4F" w:rsidRPr="004C4A3E" w:rsidRDefault="00BB5F4F" w:rsidP="00C03987">
            <w:pPr>
              <w:pStyle w:val="TableTextEntries"/>
            </w:pPr>
            <w:r>
              <w:t>Risk is sufficiently managed by existing controls. Waiting for a more predictable political situation would result in missed opportunities.</w:t>
            </w:r>
            <w:r w:rsidR="00DE4A01">
              <w:t xml:space="preserve"> Flexibility will be built into all new aid activities.</w:t>
            </w:r>
          </w:p>
        </w:tc>
        <w:tc>
          <w:tcPr>
            <w:tcW w:w="2079" w:type="dxa"/>
          </w:tcPr>
          <w:p w:rsidR="00BB5F4F" w:rsidRPr="004C4A3E" w:rsidRDefault="00BB5F4F" w:rsidP="00F35F08">
            <w:pPr>
              <w:pStyle w:val="TableTextEntries"/>
            </w:pPr>
            <w:r>
              <w:t>High</w:t>
            </w:r>
          </w:p>
        </w:tc>
      </w:tr>
      <w:tr w:rsidR="00BB5F4F" w:rsidRPr="00180B19" w:rsidTr="00F35F08">
        <w:tc>
          <w:tcPr>
            <w:tcW w:w="2007" w:type="dxa"/>
            <w:hideMark/>
          </w:tcPr>
          <w:p w:rsidR="00BB5F4F" w:rsidRPr="004C4A3E" w:rsidRDefault="00BB5F4F" w:rsidP="00A0337F">
            <w:pPr>
              <w:pStyle w:val="TableTextEntries"/>
            </w:pPr>
            <w:r>
              <w:t>Reform efforts stall or reverse, limiting Austral</w:t>
            </w:r>
            <w:r w:rsidR="00A0337F">
              <w:t xml:space="preserve">ia’s ability to engage with the </w:t>
            </w:r>
            <w:r w:rsidR="00CA59F3">
              <w:t>Myanmar</w:t>
            </w:r>
            <w:r w:rsidR="00A0337F">
              <w:t xml:space="preserve"> </w:t>
            </w:r>
            <w:r>
              <w:t>Government and/or NGOs on aid delivery or align assistance with Government priorities.</w:t>
            </w:r>
          </w:p>
        </w:tc>
        <w:tc>
          <w:tcPr>
            <w:tcW w:w="2249" w:type="dxa"/>
          </w:tcPr>
          <w:p w:rsidR="00BB5F4F" w:rsidRPr="004C4A3E" w:rsidRDefault="00DE4A01" w:rsidP="005640F4">
            <w:pPr>
              <w:pStyle w:val="TableTextEntries"/>
            </w:pPr>
            <w:r>
              <w:t>Australia’s</w:t>
            </w:r>
            <w:r w:rsidR="005640F4">
              <w:t xml:space="preserve"> policy of constructive engagement supported reform </w:t>
            </w:r>
            <w:r w:rsidR="006C4402">
              <w:t>momentum. Engagement</w:t>
            </w:r>
            <w:r>
              <w:t xml:space="preserve"> wa</w:t>
            </w:r>
            <w:r w:rsidR="00C03987">
              <w:t>s informed by close monitoring</w:t>
            </w:r>
            <w:r>
              <w:t>. Assistance was</w:t>
            </w:r>
            <w:r w:rsidR="00BB5F4F">
              <w:t xml:space="preserve"> aligned with government policies</w:t>
            </w:r>
            <w:r>
              <w:t xml:space="preserve"> </w:t>
            </w:r>
            <w:r w:rsidR="00BB5F4F">
              <w:t>/sy</w:t>
            </w:r>
            <w:r>
              <w:t>stems where possible, and built</w:t>
            </w:r>
            <w:r w:rsidR="00BB5F4F">
              <w:t xml:space="preserve"> capacity to progress reforms.</w:t>
            </w:r>
          </w:p>
        </w:tc>
        <w:tc>
          <w:tcPr>
            <w:tcW w:w="2302" w:type="dxa"/>
          </w:tcPr>
          <w:p w:rsidR="00BB5F4F" w:rsidRPr="004C4A3E" w:rsidRDefault="005640F4" w:rsidP="00F35F08">
            <w:pPr>
              <w:pStyle w:val="TableTextEntries"/>
            </w:pPr>
            <w:r>
              <w:t>A</w:t>
            </w:r>
            <w:r w:rsidR="00BB5F4F">
              <w:t>ssessments of government systems will inform any future investments with government.</w:t>
            </w:r>
          </w:p>
        </w:tc>
        <w:tc>
          <w:tcPr>
            <w:tcW w:w="2079" w:type="dxa"/>
          </w:tcPr>
          <w:p w:rsidR="00BB5F4F" w:rsidRPr="004C4A3E" w:rsidRDefault="00C03987" w:rsidP="00F35F08">
            <w:pPr>
              <w:pStyle w:val="TableTextEntries"/>
            </w:pPr>
            <w:r>
              <w:t>Moderate</w:t>
            </w:r>
          </w:p>
        </w:tc>
      </w:tr>
      <w:tr w:rsidR="00BB5F4F" w:rsidRPr="00180B19" w:rsidTr="00F35F08">
        <w:tc>
          <w:tcPr>
            <w:tcW w:w="2007" w:type="dxa"/>
          </w:tcPr>
          <w:p w:rsidR="00BB5F4F" w:rsidRPr="004C4A3E" w:rsidRDefault="00BB5F4F" w:rsidP="00F35F08">
            <w:pPr>
              <w:pStyle w:val="TableTextEntries"/>
            </w:pPr>
            <w:r>
              <w:lastRenderedPageBreak/>
              <w:t>Breakdown in peace talks results in escalated hostility and/or armed conflict, disrupting the delivery of aid activities; increasing displacement and humanitarian need in conflict areas.</w:t>
            </w:r>
          </w:p>
        </w:tc>
        <w:tc>
          <w:tcPr>
            <w:tcW w:w="2249" w:type="dxa"/>
          </w:tcPr>
          <w:p w:rsidR="00BB5F4F" w:rsidRPr="004C4A3E" w:rsidRDefault="00BB5F4F" w:rsidP="00DE4A01">
            <w:pPr>
              <w:pStyle w:val="TableTextEntries"/>
            </w:pPr>
            <w:r>
              <w:t>Aid investments support</w:t>
            </w:r>
            <w:r w:rsidR="00DE4A01">
              <w:t>ed</w:t>
            </w:r>
            <w:r>
              <w:t xml:space="preserve"> the peace process, and all interv</w:t>
            </w:r>
            <w:r w:rsidR="00DE4A01">
              <w:t>entions are conflict-sensitive. Australia supported</w:t>
            </w:r>
            <w:r>
              <w:t xml:space="preserve"> the gradual roll-out of services to conflict-affected area</w:t>
            </w:r>
            <w:r w:rsidR="00DE4A01">
              <w:t>s and retained</w:t>
            </w:r>
            <w:r>
              <w:t xml:space="preserve"> flexible funding for humanitarian needs.</w:t>
            </w:r>
          </w:p>
        </w:tc>
        <w:tc>
          <w:tcPr>
            <w:tcW w:w="2302" w:type="dxa"/>
          </w:tcPr>
          <w:p w:rsidR="00BB5F4F" w:rsidRPr="004C4A3E" w:rsidRDefault="00BB5F4F" w:rsidP="00DE4A01">
            <w:pPr>
              <w:pStyle w:val="TableTextEntries"/>
            </w:pPr>
            <w:r>
              <w:t xml:space="preserve">Strengthen the peace process through targeted interventions and prioritise tangible benefits for conflict-affected communities in line with </w:t>
            </w:r>
            <w:r w:rsidR="00CA59F3">
              <w:t>Myanmar</w:t>
            </w:r>
            <w:r w:rsidR="00A0337F">
              <w:t xml:space="preserve"> </w:t>
            </w:r>
            <w:r>
              <w:t>Government requests. Considering further support through a multi-donor peace fund.</w:t>
            </w:r>
          </w:p>
        </w:tc>
        <w:tc>
          <w:tcPr>
            <w:tcW w:w="2079" w:type="dxa"/>
          </w:tcPr>
          <w:p w:rsidR="00BB5F4F" w:rsidRPr="004C4A3E" w:rsidRDefault="00C03987" w:rsidP="00F35F08">
            <w:pPr>
              <w:pStyle w:val="TableTextEntries"/>
            </w:pPr>
            <w:r>
              <w:t>High</w:t>
            </w:r>
          </w:p>
        </w:tc>
      </w:tr>
      <w:tr w:rsidR="008E4C6D" w:rsidRPr="00180B19" w:rsidTr="00F35F08">
        <w:tc>
          <w:tcPr>
            <w:tcW w:w="2007" w:type="dxa"/>
          </w:tcPr>
          <w:p w:rsidR="008E4C6D" w:rsidRDefault="008E4C6D" w:rsidP="00F35F08">
            <w:pPr>
              <w:pStyle w:val="TableTextEntries"/>
            </w:pPr>
            <w:r>
              <w:t>Aid program resources are inadequate to manage the investment design workload in 2015-16</w:t>
            </w:r>
          </w:p>
        </w:tc>
        <w:tc>
          <w:tcPr>
            <w:tcW w:w="2249" w:type="dxa"/>
          </w:tcPr>
          <w:p w:rsidR="008E4C6D" w:rsidRDefault="008E4C6D" w:rsidP="008E4C6D">
            <w:pPr>
              <w:pStyle w:val="TableTextEntries"/>
            </w:pPr>
            <w:r>
              <w:t>Aid program managers have planned the investment pipeline and allocated resources flexibly between Post and Canberra.</w:t>
            </w:r>
          </w:p>
        </w:tc>
        <w:tc>
          <w:tcPr>
            <w:tcW w:w="2302" w:type="dxa"/>
          </w:tcPr>
          <w:p w:rsidR="008E4C6D" w:rsidRDefault="008E4C6D" w:rsidP="00DE4A01">
            <w:pPr>
              <w:pStyle w:val="TableTextEntries"/>
            </w:pPr>
            <w:r>
              <w:t>Continue to adjust investment pipeline and resourcing as required.</w:t>
            </w:r>
          </w:p>
        </w:tc>
        <w:tc>
          <w:tcPr>
            <w:tcW w:w="2079" w:type="dxa"/>
          </w:tcPr>
          <w:p w:rsidR="008E4C6D" w:rsidRDefault="008E4C6D" w:rsidP="00F35F08">
            <w:pPr>
              <w:pStyle w:val="TableTextEntries"/>
            </w:pPr>
            <w:r>
              <w:t>Moderate</w:t>
            </w:r>
          </w:p>
        </w:tc>
      </w:tr>
    </w:tbl>
    <w:p w:rsidR="00BB5F4F" w:rsidRPr="0007149C" w:rsidRDefault="00BB5F4F" w:rsidP="0007149C">
      <w:pPr>
        <w:pStyle w:val="Heading2"/>
        <w:rPr>
          <w:sz w:val="28"/>
        </w:rPr>
      </w:pPr>
      <w:r w:rsidRPr="002B5CF8">
        <w:rPr>
          <w:sz w:val="28"/>
        </w:rPr>
        <w:t>Management Responses</w:t>
      </w:r>
      <w:r w:rsidRPr="0007149C">
        <w:rPr>
          <w:sz w:val="28"/>
        </w:rPr>
        <w:tab/>
      </w:r>
      <w:r w:rsidRPr="0007149C">
        <w:rPr>
          <w:sz w:val="28"/>
        </w:rPr>
        <w:tab/>
      </w:r>
    </w:p>
    <w:p w:rsidR="00BB5F4F" w:rsidRDefault="002B5CF8" w:rsidP="002B5CF8">
      <w:pPr>
        <w:spacing w:after="120" w:line="280" w:lineRule="exact"/>
        <w:rPr>
          <w:rFonts w:ascii="Franklin Gothic Book" w:hAnsi="Franklin Gothic Book"/>
          <w:b/>
          <w:sz w:val="21"/>
          <w:szCs w:val="21"/>
        </w:rPr>
      </w:pPr>
      <w:r w:rsidRPr="00774747">
        <w:rPr>
          <w:rFonts w:ascii="Franklin Gothic Book" w:eastAsia="Times New Roman" w:hAnsi="Franklin Gothic Book"/>
          <w:sz w:val="21"/>
        </w:rPr>
        <w:t xml:space="preserve">All management responses from the previous </w:t>
      </w:r>
      <w:r w:rsidR="00C03987">
        <w:rPr>
          <w:rFonts w:ascii="Franklin Gothic Book" w:eastAsia="Times New Roman" w:hAnsi="Franklin Gothic Book"/>
          <w:sz w:val="21"/>
        </w:rPr>
        <w:t>report</w:t>
      </w:r>
      <w:r w:rsidRPr="00774747">
        <w:rPr>
          <w:rFonts w:ascii="Franklin Gothic Book" w:eastAsia="Times New Roman" w:hAnsi="Franklin Gothic Book"/>
          <w:sz w:val="21"/>
        </w:rPr>
        <w:t xml:space="preserve"> have been either fully or partly achieved. </w:t>
      </w:r>
      <w:r w:rsidR="00920F3C">
        <w:rPr>
          <w:rFonts w:ascii="Franklin Gothic Book" w:eastAsia="Times New Roman" w:hAnsi="Franklin Gothic Book"/>
          <w:sz w:val="21"/>
        </w:rPr>
        <w:t>More work is required to improve our livelihoods investments and address</w:t>
      </w:r>
      <w:r w:rsidRPr="00774747">
        <w:rPr>
          <w:rFonts w:ascii="Franklin Gothic Book" w:eastAsia="Times New Roman" w:hAnsi="Franklin Gothic Book"/>
          <w:sz w:val="21"/>
        </w:rPr>
        <w:t xml:space="preserve"> gender inequality with partners</w:t>
      </w:r>
      <w:r w:rsidRPr="002B5CF8">
        <w:rPr>
          <w:rFonts w:ascii="Franklin Gothic Book" w:eastAsia="Times New Roman" w:hAnsi="Franklin Gothic Book"/>
          <w:sz w:val="21"/>
          <w:szCs w:val="21"/>
        </w:rPr>
        <w:t>.</w:t>
      </w:r>
      <w:r>
        <w:rPr>
          <w:rFonts w:ascii="Franklin Gothic Book" w:eastAsia="Times New Roman" w:hAnsi="Franklin Gothic Book"/>
          <w:sz w:val="21"/>
          <w:szCs w:val="21"/>
        </w:rPr>
        <w:t xml:space="preserve"> </w:t>
      </w:r>
      <w:r w:rsidR="00BB5F4F" w:rsidRPr="002B5CF8">
        <w:rPr>
          <w:rFonts w:ascii="Franklin Gothic Book" w:hAnsi="Franklin Gothic Book"/>
          <w:sz w:val="21"/>
          <w:szCs w:val="21"/>
        </w:rPr>
        <w:t xml:space="preserve">A description of progress on management responses </w:t>
      </w:r>
      <w:r w:rsidR="001A52E5">
        <w:rPr>
          <w:rFonts w:ascii="Franklin Gothic Book" w:hAnsi="Franklin Gothic Book"/>
          <w:sz w:val="21"/>
          <w:szCs w:val="21"/>
        </w:rPr>
        <w:t>is</w:t>
      </w:r>
      <w:r w:rsidR="00BB5F4F" w:rsidRPr="002B5CF8">
        <w:rPr>
          <w:rFonts w:ascii="Franklin Gothic Book" w:hAnsi="Franklin Gothic Book"/>
          <w:sz w:val="21"/>
          <w:szCs w:val="21"/>
        </w:rPr>
        <w:t xml:space="preserve"> included </w:t>
      </w:r>
      <w:r w:rsidR="001A52E5">
        <w:rPr>
          <w:rFonts w:ascii="Franklin Gothic Book" w:hAnsi="Franklin Gothic Book"/>
          <w:sz w:val="21"/>
          <w:szCs w:val="21"/>
        </w:rPr>
        <w:t>at</w:t>
      </w:r>
      <w:r w:rsidR="00BB5F4F" w:rsidRPr="002B5CF8">
        <w:rPr>
          <w:rFonts w:ascii="Franklin Gothic Book" w:hAnsi="Franklin Gothic Book"/>
          <w:sz w:val="21"/>
          <w:szCs w:val="21"/>
        </w:rPr>
        <w:t xml:space="preserve"> </w:t>
      </w:r>
      <w:r w:rsidR="00BB5F4F" w:rsidRPr="002B5CF8">
        <w:rPr>
          <w:rFonts w:ascii="Franklin Gothic Book" w:hAnsi="Franklin Gothic Book"/>
          <w:b/>
          <w:sz w:val="21"/>
          <w:szCs w:val="21"/>
        </w:rPr>
        <w:t>Annex A.</w:t>
      </w:r>
    </w:p>
    <w:p w:rsidR="002B5CF8" w:rsidRDefault="006A7CD8" w:rsidP="002B5CF8">
      <w:pPr>
        <w:spacing w:after="120" w:line="280" w:lineRule="exact"/>
        <w:rPr>
          <w:rFonts w:ascii="Franklin Gothic Book" w:hAnsi="Franklin Gothic Book"/>
          <w:sz w:val="21"/>
          <w:szCs w:val="21"/>
        </w:rPr>
      </w:pPr>
      <w:r>
        <w:rPr>
          <w:rFonts w:ascii="Franklin Gothic Book" w:hAnsi="Franklin Gothic Book"/>
          <w:sz w:val="21"/>
          <w:szCs w:val="21"/>
        </w:rPr>
        <w:t>From</w:t>
      </w:r>
      <w:r w:rsidR="002B5CF8">
        <w:rPr>
          <w:rFonts w:ascii="Franklin Gothic Book" w:hAnsi="Franklin Gothic Book"/>
          <w:sz w:val="21"/>
          <w:szCs w:val="21"/>
        </w:rPr>
        <w:t xml:space="preserve"> 2015-1</w:t>
      </w:r>
      <w:r>
        <w:rPr>
          <w:rFonts w:ascii="Franklin Gothic Book" w:hAnsi="Franklin Gothic Book"/>
          <w:sz w:val="21"/>
          <w:szCs w:val="21"/>
        </w:rPr>
        <w:t xml:space="preserve">6, Australia’s aid program </w:t>
      </w:r>
      <w:r w:rsidR="002B5CF8">
        <w:rPr>
          <w:rFonts w:ascii="Franklin Gothic Book" w:hAnsi="Franklin Gothic Book"/>
          <w:sz w:val="21"/>
          <w:szCs w:val="21"/>
        </w:rPr>
        <w:t>will:</w:t>
      </w:r>
    </w:p>
    <w:p w:rsidR="00A94D42" w:rsidRPr="00A94D42" w:rsidRDefault="00A94D42" w:rsidP="002B5CF8">
      <w:pPr>
        <w:spacing w:after="120" w:line="280" w:lineRule="exact"/>
        <w:rPr>
          <w:rFonts w:ascii="Franklin Gothic Book" w:hAnsi="Franklin Gothic Book"/>
          <w:i/>
          <w:sz w:val="21"/>
          <w:szCs w:val="21"/>
        </w:rPr>
      </w:pPr>
      <w:r w:rsidRPr="00A94D42">
        <w:rPr>
          <w:rFonts w:ascii="Franklin Gothic Book" w:hAnsi="Franklin Gothic Book"/>
          <w:i/>
          <w:sz w:val="21"/>
          <w:szCs w:val="21"/>
        </w:rPr>
        <w:t>Strategic</w:t>
      </w:r>
    </w:p>
    <w:p w:rsidR="00C03987" w:rsidRDefault="008D2FD0" w:rsidP="002B5CF8">
      <w:pPr>
        <w:pStyle w:val="ListBullet"/>
        <w:tabs>
          <w:tab w:val="clear" w:pos="284"/>
        </w:tabs>
      </w:pPr>
      <w:r>
        <w:t xml:space="preserve">mitigate political risk by </w:t>
      </w:r>
      <w:r w:rsidR="008B0A7F">
        <w:t>work</w:t>
      </w:r>
      <w:r>
        <w:t>ing</w:t>
      </w:r>
      <w:r w:rsidR="008B0A7F">
        <w:t xml:space="preserve"> closely with the </w:t>
      </w:r>
      <w:r w:rsidR="00FA0F66">
        <w:t>next Myanmar Government to implement Australia’s aid program</w:t>
      </w:r>
    </w:p>
    <w:p w:rsidR="008B0A7F" w:rsidRDefault="008B0A7F" w:rsidP="002B5CF8">
      <w:pPr>
        <w:pStyle w:val="ListBullet"/>
        <w:tabs>
          <w:tab w:val="clear" w:pos="284"/>
        </w:tabs>
      </w:pPr>
      <w:r>
        <w:t>closely monitor and report on developments in the peace process, and recalibrate our investments as necessary</w:t>
      </w:r>
    </w:p>
    <w:p w:rsidR="00DE03E4" w:rsidRDefault="009E5E45" w:rsidP="002B5CF8">
      <w:pPr>
        <w:pStyle w:val="ListBullet"/>
        <w:tabs>
          <w:tab w:val="clear" w:pos="284"/>
        </w:tabs>
      </w:pPr>
      <w:r>
        <w:t xml:space="preserve">build closer links with the private sector, including by </w:t>
      </w:r>
      <w:r w:rsidR="0047308A">
        <w:t>using design and evaluation processes as opportunities to identify entry points</w:t>
      </w:r>
    </w:p>
    <w:p w:rsidR="00DE03E4" w:rsidRDefault="008B0A7F" w:rsidP="002B5CF8">
      <w:pPr>
        <w:pStyle w:val="ListBullet"/>
        <w:tabs>
          <w:tab w:val="clear" w:pos="284"/>
        </w:tabs>
      </w:pPr>
      <w:r>
        <w:t xml:space="preserve">continue to </w:t>
      </w:r>
      <w:r w:rsidR="0047308A">
        <w:t>strengthen program performance on gender equality</w:t>
      </w:r>
      <w:r>
        <w:t xml:space="preserve"> and women’s economic empowerment</w:t>
      </w:r>
      <w:r w:rsidR="0047308A">
        <w:t xml:space="preserve"> by including gender as a key evaluation question for all reviews in 2015-16</w:t>
      </w:r>
    </w:p>
    <w:p w:rsidR="00A94D42" w:rsidRPr="00A94D42" w:rsidRDefault="00A94D42" w:rsidP="00A94D42">
      <w:pPr>
        <w:pStyle w:val="ListBullet"/>
        <w:numPr>
          <w:ilvl w:val="0"/>
          <w:numId w:val="0"/>
        </w:numPr>
        <w:tabs>
          <w:tab w:val="clear" w:pos="284"/>
        </w:tabs>
        <w:rPr>
          <w:i/>
        </w:rPr>
      </w:pPr>
      <w:r w:rsidRPr="00A94D42">
        <w:rPr>
          <w:i/>
        </w:rPr>
        <w:t>Operational</w:t>
      </w:r>
    </w:p>
    <w:p w:rsidR="008B0A7F" w:rsidRDefault="008B0A7F" w:rsidP="008B0A7F">
      <w:pPr>
        <w:pStyle w:val="ListBullet"/>
        <w:tabs>
          <w:tab w:val="clear" w:pos="284"/>
        </w:tabs>
      </w:pPr>
      <w:r>
        <w:t xml:space="preserve">continue to </w:t>
      </w:r>
      <w:r w:rsidR="00DE03E4">
        <w:t xml:space="preserve">explore options </w:t>
      </w:r>
      <w:r w:rsidR="0039240C">
        <w:t xml:space="preserve">for </w:t>
      </w:r>
      <w:r w:rsidR="00DE03E4">
        <w:t>using government systems to deliver accountable and effective aid</w:t>
      </w:r>
      <w:r w:rsidR="0039240C">
        <w:t xml:space="preserve"> </w:t>
      </w:r>
      <w:r w:rsidR="0047308A">
        <w:t>by commencing work on an Assessment of National Systems</w:t>
      </w:r>
      <w:r w:rsidR="00DE03E4">
        <w:t xml:space="preserve"> </w:t>
      </w:r>
    </w:p>
    <w:p w:rsidR="008B0A7F" w:rsidRDefault="008B0A7F" w:rsidP="008B0A7F">
      <w:pPr>
        <w:pStyle w:val="ListBullet"/>
        <w:tabs>
          <w:tab w:val="clear" w:pos="284"/>
        </w:tabs>
      </w:pPr>
      <w:r>
        <w:t xml:space="preserve">improve program performance reporting by developing a targeted Performance Assessment Framework for the </w:t>
      </w:r>
      <w:r w:rsidR="00CA59F3">
        <w:t>Myanmar</w:t>
      </w:r>
      <w:r w:rsidR="009E5E45">
        <w:t xml:space="preserve"> Aid Investment Plan 2015-19</w:t>
      </w:r>
      <w:r>
        <w:t xml:space="preserve"> that explains Australia’s contribution, sets targets to assess adequacy of progress, and is reviewed six monthly to maintain relevance</w:t>
      </w:r>
    </w:p>
    <w:p w:rsidR="008B0A7F" w:rsidRDefault="008B0A7F" w:rsidP="008B0A7F">
      <w:pPr>
        <w:pStyle w:val="ListBullet"/>
        <w:tabs>
          <w:tab w:val="clear" w:pos="284"/>
        </w:tabs>
      </w:pPr>
      <w:r>
        <w:t xml:space="preserve">explore opportunities to </w:t>
      </w:r>
      <w:r w:rsidR="00FA0F66">
        <w:t>balance humanitarian assistance with</w:t>
      </w:r>
      <w:r>
        <w:t xml:space="preserve"> a greater development focus on education and livelihoods opportunities, particularly in Rakhine State</w:t>
      </w:r>
      <w:r w:rsidRPr="00D30999">
        <w:t xml:space="preserve"> </w:t>
      </w:r>
    </w:p>
    <w:p w:rsidR="00DE03E4" w:rsidRDefault="00AE13F5" w:rsidP="00DE03E4">
      <w:pPr>
        <w:pStyle w:val="ListBullet"/>
        <w:tabs>
          <w:tab w:val="clear" w:pos="284"/>
        </w:tabs>
      </w:pPr>
      <w:r>
        <w:t xml:space="preserve">support the Ministry of Education’s monitoring and evaluation systems to improve </w:t>
      </w:r>
      <w:r w:rsidR="00DE03E4">
        <w:t>data collection and</w:t>
      </w:r>
      <w:r w:rsidR="0047308A">
        <w:t xml:space="preserve"> its use in planning, including through the design of a new investment</w:t>
      </w:r>
    </w:p>
    <w:p w:rsidR="00DE03E4" w:rsidRDefault="00D30999" w:rsidP="00D30999">
      <w:pPr>
        <w:pStyle w:val="ListBullet"/>
        <w:tabs>
          <w:tab w:val="clear" w:pos="284"/>
        </w:tabs>
      </w:pPr>
      <w:r>
        <w:t xml:space="preserve">work with </w:t>
      </w:r>
      <w:r w:rsidR="008B0A7F">
        <w:t>implementing partners of livelihoods programs on program quality and performance</w:t>
      </w:r>
      <w:r w:rsidR="008E0BA5">
        <w:t xml:space="preserve"> and </w:t>
      </w:r>
      <w:r w:rsidR="006A7CD8">
        <w:t>revisit progress against</w:t>
      </w:r>
      <w:r w:rsidR="0047308A">
        <w:t xml:space="preserve"> </w:t>
      </w:r>
      <w:r w:rsidR="008E0BA5">
        <w:t xml:space="preserve">review </w:t>
      </w:r>
      <w:r w:rsidR="0047308A">
        <w:t>recommendations in six mont</w:t>
      </w:r>
      <w:r w:rsidR="009E5E45">
        <w:t>hs</w:t>
      </w:r>
      <w:r w:rsidR="0047308A">
        <w:t>.</w:t>
      </w:r>
    </w:p>
    <w:p w:rsidR="00D30999" w:rsidRPr="00416B02" w:rsidRDefault="00D30999" w:rsidP="00D30999">
      <w:pPr>
        <w:pStyle w:val="ListBullet"/>
        <w:numPr>
          <w:ilvl w:val="0"/>
          <w:numId w:val="0"/>
        </w:numPr>
        <w:tabs>
          <w:tab w:val="clear" w:pos="284"/>
        </w:tabs>
        <w:sectPr w:rsidR="00D30999" w:rsidRPr="00416B02" w:rsidSect="00D067D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381" w:right="1701" w:bottom="907" w:left="1701" w:header="850" w:footer="567" w:gutter="0"/>
          <w:pgNumType w:start="0"/>
          <w:cols w:space="720"/>
          <w:docGrid w:linePitch="326"/>
        </w:sectPr>
      </w:pPr>
    </w:p>
    <w:p w:rsidR="00BB5F4F" w:rsidRPr="007A5E18" w:rsidRDefault="00BB5F4F" w:rsidP="00B12DDC">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BB5F4F" w:rsidRPr="00180B19" w:rsidTr="00B12DDC">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80B19" w:rsidRDefault="00BB5F4F" w:rsidP="00B12DDC">
            <w:pPr>
              <w:pStyle w:val="TableTextColumnHeading"/>
              <w:tabs>
                <w:tab w:val="left" w:pos="1185"/>
              </w:tabs>
            </w:pPr>
            <w:r w:rsidRPr="00FE4491">
              <w:t xml:space="preserve">Management </w:t>
            </w:r>
            <w:r>
              <w:t>response</w:t>
            </w:r>
            <w:r w:rsidRPr="00FE4491">
              <w:t>s identified in 20</w:t>
            </w:r>
            <w:r>
              <w:t>13-</w:t>
            </w:r>
            <w:r w:rsidRPr="00FE4491">
              <w:t>1</w:t>
            </w:r>
            <w:r>
              <w:t>4</w:t>
            </w:r>
            <w:r w:rsidRPr="00FE4491">
              <w:t xml:space="preserve"> </w:t>
            </w:r>
            <w:r>
              <w:t>APPR</w:t>
            </w:r>
            <w:r>
              <w:tab/>
            </w:r>
          </w:p>
        </w:tc>
        <w:tc>
          <w:tcPr>
            <w:tcW w:w="964" w:type="dxa"/>
          </w:tcPr>
          <w:p w:rsidR="00BB5F4F" w:rsidRPr="00180B19" w:rsidRDefault="00BB5F4F" w:rsidP="00B12DDC">
            <w:pPr>
              <w:pStyle w:val="TableTextColumnHeading"/>
            </w:pPr>
            <w:r w:rsidRPr="00FE4491">
              <w:t>Rating</w:t>
            </w:r>
          </w:p>
        </w:tc>
        <w:tc>
          <w:tcPr>
            <w:tcW w:w="6896" w:type="dxa"/>
          </w:tcPr>
          <w:p w:rsidR="00BB5F4F" w:rsidRPr="00180B19" w:rsidRDefault="00BB5F4F" w:rsidP="00B12DDC">
            <w:pPr>
              <w:pStyle w:val="TableTextColumnHeading"/>
            </w:pPr>
            <w:r w:rsidRPr="00FE4491">
              <w:t xml:space="preserve">Progress made in </w:t>
            </w:r>
            <w:r>
              <w:t>2014-5</w:t>
            </w:r>
          </w:p>
        </w:tc>
      </w:tr>
      <w:tr w:rsidR="00BB5F4F" w:rsidRPr="00180B19" w:rsidTr="00B12DDC">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 xml:space="preserve">Complete education program design aligning to Myanmar Government reform agenda and Australia’s priorities. Extend program to meet identified national gaps in service delivery while promoting an inclusive national education system. Consider the ongoing effectiveness of trust funds and other partners in responding to the rapidly changing education sector in </w:t>
            </w:r>
            <w:r w:rsidR="00CA59F3">
              <w:t>Myanmar</w:t>
            </w:r>
            <w:r>
              <w:t>.</w:t>
            </w:r>
          </w:p>
        </w:tc>
        <w:tc>
          <w:tcPr>
            <w:tcW w:w="964" w:type="dxa"/>
            <w:shd w:val="clear" w:color="auto" w:fill="E36C0A" w:themeFill="accent6" w:themeFillShade="BF"/>
          </w:tcPr>
          <w:p w:rsidR="00BB5F4F" w:rsidRPr="00443639" w:rsidRDefault="00BB5F4F" w:rsidP="00B12DDC">
            <w:pPr>
              <w:pStyle w:val="TableTextEntries"/>
              <w:jc w:val="center"/>
              <w:rPr>
                <w:color w:val="FFFFFF" w:themeColor="background1"/>
              </w:rPr>
            </w:pPr>
            <w:r>
              <w:rPr>
                <w:color w:val="FFFFFF" w:themeColor="background1"/>
              </w:rPr>
              <w:t>Partly achieved</w:t>
            </w:r>
          </w:p>
        </w:tc>
        <w:tc>
          <w:tcPr>
            <w:tcW w:w="6896" w:type="dxa"/>
          </w:tcPr>
          <w:p w:rsidR="00BB5F4F" w:rsidRPr="00905C86" w:rsidRDefault="00BB5F4F" w:rsidP="0047308A">
            <w:pPr>
              <w:pStyle w:val="TableTextEntries"/>
              <w:rPr>
                <w:color w:val="000000" w:themeColor="text1"/>
              </w:rPr>
            </w:pPr>
            <w:r w:rsidRPr="00907688">
              <w:rPr>
                <w:color w:val="000000" w:themeColor="text1"/>
              </w:rPr>
              <w:t xml:space="preserve">The </w:t>
            </w:r>
            <w:r w:rsidR="00CA59F3">
              <w:rPr>
                <w:color w:val="000000" w:themeColor="text1"/>
              </w:rPr>
              <w:t>Myanmar</w:t>
            </w:r>
            <w:r w:rsidRPr="00907688">
              <w:rPr>
                <w:color w:val="000000" w:themeColor="text1"/>
              </w:rPr>
              <w:t xml:space="preserve"> Education Sector Investment Plan 2015-2020 was approved in July 2015, paving the way for specific investment designs to be finalised in 2015-16. The Plan outlines </w:t>
            </w:r>
            <w:r w:rsidR="0047308A">
              <w:rPr>
                <w:color w:val="000000" w:themeColor="text1"/>
              </w:rPr>
              <w:t>how we will use</w:t>
            </w:r>
            <w:r>
              <w:rPr>
                <w:color w:val="000000" w:themeColor="text1"/>
              </w:rPr>
              <w:t xml:space="preserve"> innovative results based financing through the World Bank.</w:t>
            </w:r>
            <w:r w:rsidRPr="00907688">
              <w:rPr>
                <w:color w:val="000000" w:themeColor="text1"/>
              </w:rPr>
              <w:t xml:space="preserve"> </w:t>
            </w:r>
            <w:r>
              <w:rPr>
                <w:color w:val="000000" w:themeColor="text1"/>
              </w:rPr>
              <w:t>We are a</w:t>
            </w:r>
            <w:r w:rsidRPr="00907688">
              <w:rPr>
                <w:color w:val="000000" w:themeColor="text1"/>
              </w:rPr>
              <w:t xml:space="preserve">ligning our activities with </w:t>
            </w:r>
            <w:r>
              <w:rPr>
                <w:color w:val="000000" w:themeColor="text1"/>
              </w:rPr>
              <w:t xml:space="preserve">the </w:t>
            </w:r>
            <w:r w:rsidR="00CA59F3">
              <w:rPr>
                <w:color w:val="000000" w:themeColor="text1"/>
              </w:rPr>
              <w:t>Myanmar</w:t>
            </w:r>
            <w:r w:rsidR="00195513">
              <w:rPr>
                <w:color w:val="000000" w:themeColor="text1"/>
              </w:rPr>
              <w:t xml:space="preserve"> </w:t>
            </w:r>
            <w:r>
              <w:rPr>
                <w:color w:val="000000" w:themeColor="text1"/>
              </w:rPr>
              <w:t>G</w:t>
            </w:r>
            <w:r w:rsidRPr="00907688">
              <w:rPr>
                <w:color w:val="000000" w:themeColor="text1"/>
              </w:rPr>
              <w:t>overnment</w:t>
            </w:r>
            <w:r w:rsidR="00195513">
              <w:rPr>
                <w:color w:val="000000" w:themeColor="text1"/>
              </w:rPr>
              <w:t xml:space="preserve">’s </w:t>
            </w:r>
            <w:r w:rsidRPr="00907688">
              <w:rPr>
                <w:color w:val="000000" w:themeColor="text1"/>
              </w:rPr>
              <w:t>reform agenda</w:t>
            </w:r>
            <w:r>
              <w:rPr>
                <w:color w:val="000000" w:themeColor="text1"/>
              </w:rPr>
              <w:t>, which is taking shape</w:t>
            </w:r>
            <w:r w:rsidRPr="00907688">
              <w:rPr>
                <w:color w:val="000000" w:themeColor="text1"/>
              </w:rPr>
              <w:t xml:space="preserve"> through</w:t>
            </w:r>
            <w:r>
              <w:rPr>
                <w:color w:val="000000" w:themeColor="text1"/>
              </w:rPr>
              <w:t xml:space="preserve"> the development of </w:t>
            </w:r>
            <w:r w:rsidR="00CA59F3">
              <w:rPr>
                <w:color w:val="000000" w:themeColor="text1"/>
              </w:rPr>
              <w:t>Myanmar</w:t>
            </w:r>
            <w:r>
              <w:rPr>
                <w:color w:val="000000" w:themeColor="text1"/>
              </w:rPr>
              <w:t>’s National Education Sector Plan.</w:t>
            </w:r>
          </w:p>
        </w:tc>
      </w:tr>
      <w:tr w:rsidR="00BB5F4F" w:rsidRPr="00180B19" w:rsidTr="009A4596">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Ensure Australia’s engagements in the health and livelihoods sectors are in line with the Myanmar Government’s reforms and benefit Australia’s bilateral relationship.</w:t>
            </w:r>
          </w:p>
        </w:tc>
        <w:tc>
          <w:tcPr>
            <w:tcW w:w="964" w:type="dxa"/>
            <w:shd w:val="clear" w:color="auto" w:fill="72AF2F"/>
          </w:tcPr>
          <w:p w:rsidR="00BB5F4F" w:rsidRPr="00443639" w:rsidRDefault="009A4596" w:rsidP="00B12DDC">
            <w:pPr>
              <w:pStyle w:val="TableTextEntries"/>
              <w:jc w:val="center"/>
              <w:rPr>
                <w:color w:val="FFFFFF" w:themeColor="background1"/>
              </w:rPr>
            </w:pPr>
            <w:r>
              <w:rPr>
                <w:color w:val="FFFFFF" w:themeColor="background1"/>
              </w:rPr>
              <w:t>A</w:t>
            </w:r>
            <w:r w:rsidR="0077387A">
              <w:rPr>
                <w:color w:val="FFFFFF" w:themeColor="background1"/>
              </w:rPr>
              <w:t>chieved</w:t>
            </w:r>
            <w:r w:rsidR="00BB5F4F" w:rsidRPr="00443639">
              <w:rPr>
                <w:color w:val="FFFFFF" w:themeColor="background1"/>
              </w:rPr>
              <w:fldChar w:fldCharType="begin"/>
            </w:r>
            <w:r w:rsidR="00BB5F4F" w:rsidRPr="00443639">
              <w:rPr>
                <w:color w:val="FFFFFF" w:themeColor="background1"/>
              </w:rPr>
              <w:instrText xml:space="preserve"> AUTOTEXTLIST  \s "Rating bullet"\t "Right click to choose a rating" \* MERGEFORMAT </w:instrText>
            </w:r>
            <w:r w:rsidR="00BB5F4F" w:rsidRPr="00443639">
              <w:rPr>
                <w:color w:val="FFFFFF" w:themeColor="background1"/>
              </w:rPr>
              <w:fldChar w:fldCharType="end"/>
            </w:r>
          </w:p>
        </w:tc>
        <w:tc>
          <w:tcPr>
            <w:tcW w:w="6896" w:type="dxa"/>
          </w:tcPr>
          <w:p w:rsidR="00BB5F4F" w:rsidRPr="00B30E77" w:rsidRDefault="00BE7D6A" w:rsidP="00BE7D6A">
            <w:pPr>
              <w:pStyle w:val="TableTextEntries"/>
              <w:rPr>
                <w:color w:val="92D050"/>
              </w:rPr>
            </w:pPr>
            <w:r>
              <w:t>The 3MDG Fund Board and the Ministry of Health engaged more closely to better align</w:t>
            </w:r>
            <w:r w:rsidR="00BB5F4F" w:rsidRPr="008E1EC9">
              <w:t xml:space="preserve"> the investment with the </w:t>
            </w:r>
            <w:r w:rsidR="00CA59F3">
              <w:t>Myanmar</w:t>
            </w:r>
            <w:r w:rsidR="00BB5F4F" w:rsidRPr="008E1EC9">
              <w:t xml:space="preserve"> Government’s strategic health plan</w:t>
            </w:r>
            <w:r w:rsidR="00BB5F4F">
              <w:t>.</w:t>
            </w:r>
            <w:r w:rsidR="0077387A">
              <w:t xml:space="preserve"> </w:t>
            </w:r>
            <w:r w:rsidR="0077387A" w:rsidRPr="0077387A">
              <w:t xml:space="preserve">LIFT has made significant progress in aligning with the </w:t>
            </w:r>
            <w:r w:rsidR="00CA59F3">
              <w:t>Myanmar</w:t>
            </w:r>
            <w:r w:rsidR="0077387A" w:rsidRPr="0077387A">
              <w:t xml:space="preserve"> Government’s economic reform agenda, finalising a new strategy that fo</w:t>
            </w:r>
            <w:r w:rsidR="0077387A">
              <w:t>cu</w:t>
            </w:r>
            <w:r w:rsidR="0077387A" w:rsidRPr="0077387A">
              <w:t xml:space="preserve">ses on improving the conditions of </w:t>
            </w:r>
            <w:r w:rsidR="00CA59F3">
              <w:t>Myanmar</w:t>
            </w:r>
            <w:r w:rsidR="0077387A" w:rsidRPr="0077387A">
              <w:t>’s smallholder farmers and the rural poor and linking with the Ministry of Livestock to launch the Government's Rural Development Strategy.</w:t>
            </w:r>
          </w:p>
        </w:tc>
      </w:tr>
      <w:tr w:rsidR="00BB5F4F" w:rsidRPr="00180B19" w:rsidTr="008E1EC9">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Allocate further resources to mainstream gender into existing programming and ensure program focal points are effectively skilled, undertake further gender analysis, update gender stocktake identifying actions to improve gender results, seek improved gender reporting and collection of sex-disaggregated data from partners and prioritise gender equality in emerging economic diplomacy programs.</w:t>
            </w:r>
          </w:p>
        </w:tc>
        <w:tc>
          <w:tcPr>
            <w:tcW w:w="964" w:type="dxa"/>
            <w:shd w:val="clear" w:color="auto" w:fill="E36C0A" w:themeFill="accent6" w:themeFillShade="BF"/>
          </w:tcPr>
          <w:p w:rsidR="00BB5F4F" w:rsidRPr="00443639" w:rsidRDefault="00BB5F4F" w:rsidP="00B12DDC">
            <w:pPr>
              <w:pStyle w:val="TableTextEntries"/>
              <w:jc w:val="center"/>
              <w:rPr>
                <w:color w:val="FFFFFF" w:themeColor="background1"/>
              </w:rPr>
            </w:pPr>
            <w:r>
              <w:rPr>
                <w:color w:val="FFFFFF" w:themeColor="background1"/>
              </w:rPr>
              <w:t>Partly achieved</w:t>
            </w:r>
          </w:p>
        </w:tc>
        <w:tc>
          <w:tcPr>
            <w:tcW w:w="6896" w:type="dxa"/>
          </w:tcPr>
          <w:p w:rsidR="00BB5F4F" w:rsidRPr="00D25F8F" w:rsidRDefault="00BB5F4F" w:rsidP="00E53640">
            <w:pPr>
              <w:pStyle w:val="TableTextEntries"/>
            </w:pPr>
            <w:r w:rsidRPr="008E1EC9">
              <w:t>The program has continued to focus on mainst</w:t>
            </w:r>
            <w:r w:rsidR="00BE7D6A">
              <w:t>reaming gender into all investments</w:t>
            </w:r>
            <w:r w:rsidRPr="008E1EC9">
              <w:t xml:space="preserve">, including a visit by the Gender Principle Sector Specialist to Post in February </w:t>
            </w:r>
            <w:r w:rsidR="00E53640">
              <w:t>2015</w:t>
            </w:r>
            <w:r w:rsidRPr="008E1EC9">
              <w:t>.</w:t>
            </w:r>
            <w:r w:rsidR="00E53640">
              <w:t xml:space="preserve"> While we have seen improved gender reporting from partners and met the gender</w:t>
            </w:r>
            <w:r w:rsidR="00600BEC">
              <w:t xml:space="preserve"> strategic target, there is more</w:t>
            </w:r>
            <w:r w:rsidR="00E53640">
              <w:t xml:space="preserve"> to do on gender analysis, skilling gender focal points, and prioritising gender in economic diplomacy activities.</w:t>
            </w:r>
          </w:p>
        </w:tc>
      </w:tr>
      <w:tr w:rsidR="00BB5F4F" w:rsidRPr="00180B19" w:rsidTr="00BE7D6A">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Revise and finalise governance strategy taking account of appropriateness and viability of reforms supported and alignment with Australia’s new aid policy.</w:t>
            </w:r>
          </w:p>
        </w:tc>
        <w:tc>
          <w:tcPr>
            <w:tcW w:w="964" w:type="dxa"/>
            <w:shd w:val="clear" w:color="auto" w:fill="72AF2F"/>
          </w:tcPr>
          <w:p w:rsidR="00BB5F4F" w:rsidRPr="00443639" w:rsidRDefault="00364653" w:rsidP="00B12DDC">
            <w:pPr>
              <w:pStyle w:val="TableTextEntries"/>
              <w:jc w:val="center"/>
              <w:rPr>
                <w:color w:val="FFFFFF" w:themeColor="background1"/>
              </w:rPr>
            </w:pPr>
            <w:r>
              <w:rPr>
                <w:color w:val="FFFFFF" w:themeColor="background1"/>
              </w:rPr>
              <w:t>Achieved</w:t>
            </w:r>
          </w:p>
        </w:tc>
        <w:tc>
          <w:tcPr>
            <w:tcW w:w="6896" w:type="dxa"/>
          </w:tcPr>
          <w:p w:rsidR="00BB5F4F" w:rsidRPr="00364653" w:rsidRDefault="00364653" w:rsidP="00B12DDC">
            <w:pPr>
              <w:pStyle w:val="TableTextEntries"/>
            </w:pPr>
            <w:r>
              <w:t xml:space="preserve">Following a streamlining of DFAT’s aid programming architecture, the draft governance strategy was adapted to become a governance guidance note and shaped subsequent programming. </w:t>
            </w:r>
          </w:p>
        </w:tc>
      </w:tr>
      <w:tr w:rsidR="00BB5F4F" w:rsidRPr="00180B19" w:rsidTr="007001F4">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 xml:space="preserve">Monitor progress </w:t>
            </w:r>
            <w:r w:rsidR="0051768D">
              <w:t>towards a Nationwide</w:t>
            </w:r>
            <w:r>
              <w:t xml:space="preserve"> Ceasefire Agreement and look for ways to consolidate our support to the peace process to limit fragmentation. Consideration will be given to closer alignment of Australian peacebuilding support with governance programs to rationalise management costs and reinforce complementary objectives.</w:t>
            </w:r>
          </w:p>
        </w:tc>
        <w:tc>
          <w:tcPr>
            <w:tcW w:w="964" w:type="dxa"/>
            <w:shd w:val="clear" w:color="auto" w:fill="72AF2F"/>
          </w:tcPr>
          <w:p w:rsidR="00BB5F4F" w:rsidRPr="00443639" w:rsidRDefault="007001F4" w:rsidP="00B12DDC">
            <w:pPr>
              <w:pStyle w:val="TableTextEntries"/>
              <w:jc w:val="center"/>
              <w:rPr>
                <w:color w:val="FFFFFF" w:themeColor="background1"/>
              </w:rPr>
            </w:pPr>
            <w:r>
              <w:rPr>
                <w:color w:val="FFFFFF" w:themeColor="background1"/>
              </w:rPr>
              <w:t>Achieved</w:t>
            </w:r>
          </w:p>
        </w:tc>
        <w:tc>
          <w:tcPr>
            <w:tcW w:w="6896" w:type="dxa"/>
          </w:tcPr>
          <w:p w:rsidR="00BB5F4F" w:rsidRPr="00BE7D6A" w:rsidRDefault="007001F4" w:rsidP="00B12DDC">
            <w:pPr>
              <w:pStyle w:val="TableTextEntries"/>
            </w:pPr>
            <w:r w:rsidRPr="007001F4">
              <w:t xml:space="preserve">We have continued to find ways to consolidate our support for the peace process where appropriate. Australia joined the Peace Support Fund, a multi-donor trust fund, that will help to coordinate international support to the peace process and offers a potential mechanism for Australia to reduce fragmentation. Australia has also been an active member of the design of the Joint Peace Fund in </w:t>
            </w:r>
            <w:r w:rsidR="00CA59F3">
              <w:t>Myanmar</w:t>
            </w:r>
            <w:r w:rsidRPr="007001F4">
              <w:t>.</w:t>
            </w:r>
          </w:p>
        </w:tc>
      </w:tr>
      <w:tr w:rsidR="00BB5F4F" w:rsidRPr="00180B19" w:rsidTr="0047308A">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Work with partners to ensure that programs take a conflict-sensitive approach to programs in post-conflict areas and sites of communal violence.</w:t>
            </w:r>
          </w:p>
        </w:tc>
        <w:tc>
          <w:tcPr>
            <w:tcW w:w="964" w:type="dxa"/>
            <w:shd w:val="clear" w:color="auto" w:fill="72AF2F"/>
          </w:tcPr>
          <w:p w:rsidR="00BB5F4F" w:rsidRDefault="0047308A" w:rsidP="00B12DDC">
            <w:pPr>
              <w:pStyle w:val="TableTextEntries"/>
              <w:jc w:val="center"/>
              <w:rPr>
                <w:color w:val="FFFFFF" w:themeColor="background1"/>
              </w:rPr>
            </w:pPr>
            <w:r>
              <w:rPr>
                <w:color w:val="FFFFFF" w:themeColor="background1"/>
              </w:rPr>
              <w:t>A</w:t>
            </w:r>
            <w:r w:rsidR="007001F4">
              <w:rPr>
                <w:color w:val="FFFFFF" w:themeColor="background1"/>
              </w:rPr>
              <w:t>chieved</w:t>
            </w:r>
          </w:p>
        </w:tc>
        <w:tc>
          <w:tcPr>
            <w:tcW w:w="6896" w:type="dxa"/>
          </w:tcPr>
          <w:p w:rsidR="00BB5F4F" w:rsidRPr="00B30E77" w:rsidRDefault="007001F4" w:rsidP="00B12DDC">
            <w:pPr>
              <w:pStyle w:val="TableTextEntries"/>
              <w:rPr>
                <w:color w:val="F79646" w:themeColor="accent6"/>
              </w:rPr>
            </w:pPr>
            <w:r w:rsidRPr="007001F4">
              <w:t>Australia provided training to partner organisations on conflict-sensitivity in the reporting period to help ensure programs in conflict-affected areas are appropriate.</w:t>
            </w:r>
          </w:p>
        </w:tc>
      </w:tr>
      <w:tr w:rsidR="00BB5F4F" w:rsidRPr="00180B19" w:rsidTr="002B5CF8">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rsidRPr="002B5CF8">
              <w:t>Continue to improve the evidence base for programs, particularly in conflict-affected areas, by supporting targeted analytical work.</w:t>
            </w:r>
          </w:p>
        </w:tc>
        <w:tc>
          <w:tcPr>
            <w:tcW w:w="964" w:type="dxa"/>
            <w:shd w:val="clear" w:color="auto" w:fill="72AF2F"/>
          </w:tcPr>
          <w:p w:rsidR="00BB5F4F" w:rsidRPr="00BB2E70" w:rsidRDefault="002B5CF8" w:rsidP="00B12DDC">
            <w:pPr>
              <w:pStyle w:val="TableTextEntries"/>
              <w:jc w:val="center"/>
              <w:rPr>
                <w:color w:val="FFFFFF" w:themeColor="background1"/>
              </w:rPr>
            </w:pPr>
            <w:r>
              <w:rPr>
                <w:color w:val="FFFFFF" w:themeColor="background1"/>
              </w:rPr>
              <w:t>Achieved</w:t>
            </w:r>
          </w:p>
        </w:tc>
        <w:tc>
          <w:tcPr>
            <w:tcW w:w="6896" w:type="dxa"/>
          </w:tcPr>
          <w:p w:rsidR="00BB5F4F" w:rsidRPr="00B30E77" w:rsidRDefault="00E55C2F" w:rsidP="00DB783C">
            <w:pPr>
              <w:pStyle w:val="TableTextEntries"/>
              <w:rPr>
                <w:color w:val="F79646" w:themeColor="accent6"/>
              </w:rPr>
            </w:pPr>
            <w:r w:rsidRPr="002B5CF8">
              <w:t xml:space="preserve">Australia has </w:t>
            </w:r>
            <w:r w:rsidR="002B5CF8" w:rsidRPr="002B5CF8">
              <w:t>supported analysis as part of investment designs and has also commissioned targeted analysis to suppo</w:t>
            </w:r>
            <w:r w:rsidR="00DB783C">
              <w:t xml:space="preserve">rt program interventions, including a political economy analysis that informed the </w:t>
            </w:r>
            <w:r w:rsidR="00CA59F3">
              <w:t>Myanmar</w:t>
            </w:r>
            <w:r w:rsidR="00DB783C">
              <w:t xml:space="preserve"> Aid Investment Plan. </w:t>
            </w:r>
          </w:p>
        </w:tc>
      </w:tr>
      <w:tr w:rsidR="00BB5F4F" w:rsidRPr="00180B19" w:rsidTr="0077387A">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 xml:space="preserve">Seek opportunities to increase Australia’s contribution to economic growth in </w:t>
            </w:r>
            <w:r w:rsidR="00CA59F3">
              <w:t>Myanmar</w:t>
            </w:r>
            <w:r>
              <w:t xml:space="preserve"> including through public/private partnerships.</w:t>
            </w:r>
          </w:p>
        </w:tc>
        <w:tc>
          <w:tcPr>
            <w:tcW w:w="964" w:type="dxa"/>
            <w:shd w:val="clear" w:color="auto" w:fill="72AF2F"/>
          </w:tcPr>
          <w:p w:rsidR="00BB5F4F" w:rsidRDefault="0077387A" w:rsidP="00B12DDC">
            <w:pPr>
              <w:pStyle w:val="TableTextEntries"/>
              <w:jc w:val="center"/>
              <w:rPr>
                <w:color w:val="FFFFFF" w:themeColor="background1"/>
              </w:rPr>
            </w:pPr>
            <w:r>
              <w:rPr>
                <w:color w:val="FFFFFF" w:themeColor="background1"/>
              </w:rPr>
              <w:t>Achieved</w:t>
            </w:r>
          </w:p>
        </w:tc>
        <w:tc>
          <w:tcPr>
            <w:tcW w:w="6896" w:type="dxa"/>
          </w:tcPr>
          <w:p w:rsidR="00BB5F4F" w:rsidRPr="00B30E77" w:rsidRDefault="0077387A" w:rsidP="00B12DDC">
            <w:pPr>
              <w:pStyle w:val="TableTextEntries"/>
              <w:rPr>
                <w:color w:val="F79646" w:themeColor="accent6"/>
              </w:rPr>
            </w:pPr>
            <w:r w:rsidRPr="0077387A">
              <w:t xml:space="preserve">Australia has significantly increased support for economic growth in </w:t>
            </w:r>
            <w:r w:rsidR="00CA59F3">
              <w:t>Myanmar</w:t>
            </w:r>
            <w:r w:rsidRPr="0077387A">
              <w:t xml:space="preserve"> in the reporting period. Building on the positive results of the pilot program implemented by the International Finance Corporation of the World Bank Group, we have invested up to $20 million over five years in the subsequent Investment Climate and Competitiveness Program. This is aimed at increasing investment, creating jobs and generating incomes for </w:t>
            </w:r>
            <w:r w:rsidR="00CA59F3">
              <w:t>Myanmar</w:t>
            </w:r>
            <w:r w:rsidRPr="0077387A">
              <w:t>’s people.</w:t>
            </w:r>
          </w:p>
        </w:tc>
      </w:tr>
      <w:tr w:rsidR="00BB5F4F" w:rsidRPr="00180B19" w:rsidTr="00600BEC">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lastRenderedPageBreak/>
              <w:t xml:space="preserve">Work with ACIAR to improve AQC ratings and establish the Multidisciplinary Research Program as Australia’s hallmark program of assistance to </w:t>
            </w:r>
            <w:r w:rsidR="00CA59F3">
              <w:t>Myanmar</w:t>
            </w:r>
            <w:r>
              <w:t>’s agricultural sector.</w:t>
            </w:r>
          </w:p>
        </w:tc>
        <w:tc>
          <w:tcPr>
            <w:tcW w:w="964" w:type="dxa"/>
            <w:shd w:val="clear" w:color="auto" w:fill="E36C0A" w:themeFill="accent6" w:themeFillShade="BF"/>
          </w:tcPr>
          <w:p w:rsidR="00BB5F4F" w:rsidRDefault="00600BEC" w:rsidP="00B12DDC">
            <w:pPr>
              <w:pStyle w:val="TableTextEntries"/>
              <w:jc w:val="center"/>
              <w:rPr>
                <w:color w:val="FFFFFF" w:themeColor="background1"/>
              </w:rPr>
            </w:pPr>
            <w:r>
              <w:rPr>
                <w:color w:val="FFFFFF" w:themeColor="background1"/>
              </w:rPr>
              <w:t>Partly a</w:t>
            </w:r>
            <w:r w:rsidR="0077387A">
              <w:rPr>
                <w:color w:val="FFFFFF" w:themeColor="background1"/>
              </w:rPr>
              <w:t>chieved</w:t>
            </w:r>
          </w:p>
        </w:tc>
        <w:tc>
          <w:tcPr>
            <w:tcW w:w="6896" w:type="dxa"/>
          </w:tcPr>
          <w:p w:rsidR="00BB5F4F" w:rsidRPr="00B30E77" w:rsidRDefault="0077387A" w:rsidP="00E53640">
            <w:pPr>
              <w:pStyle w:val="TableTextEntries"/>
              <w:rPr>
                <w:color w:val="F79646" w:themeColor="accent6"/>
              </w:rPr>
            </w:pPr>
            <w:r w:rsidRPr="0077387A">
              <w:t xml:space="preserve">ACIAR and DFAT undertook a joint mid-term review of the Multidisciplinary Research Program late in the reporting period. </w:t>
            </w:r>
            <w:r w:rsidR="00E53640">
              <w:t>The AQC scores improved, though further work is required, as per the new management response.</w:t>
            </w:r>
          </w:p>
        </w:tc>
      </w:tr>
      <w:tr w:rsidR="00BB5F4F" w:rsidRPr="00180B19" w:rsidTr="00BE7D6A">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Rangoon Post will continue to constructively engage with the Myanmar Government to monitor and manage political risks.</w:t>
            </w:r>
          </w:p>
        </w:tc>
        <w:tc>
          <w:tcPr>
            <w:tcW w:w="964" w:type="dxa"/>
            <w:shd w:val="clear" w:color="auto" w:fill="72AF2F"/>
          </w:tcPr>
          <w:p w:rsidR="00BB5F4F" w:rsidRDefault="00BE7D6A" w:rsidP="00B12DDC">
            <w:pPr>
              <w:pStyle w:val="TableTextEntries"/>
              <w:jc w:val="center"/>
              <w:rPr>
                <w:color w:val="FFFFFF" w:themeColor="background1"/>
              </w:rPr>
            </w:pPr>
            <w:r>
              <w:rPr>
                <w:color w:val="FFFFFF" w:themeColor="background1"/>
              </w:rPr>
              <w:t>Achieved</w:t>
            </w:r>
          </w:p>
        </w:tc>
        <w:tc>
          <w:tcPr>
            <w:tcW w:w="6896" w:type="dxa"/>
          </w:tcPr>
          <w:p w:rsidR="00BB5F4F" w:rsidRPr="00B30E77" w:rsidRDefault="00E55C2F" w:rsidP="00B12DDC">
            <w:pPr>
              <w:pStyle w:val="TableTextEntries"/>
              <w:rPr>
                <w:color w:val="F79646" w:themeColor="accent6"/>
              </w:rPr>
            </w:pPr>
            <w:r w:rsidRPr="00E55C2F">
              <w:t xml:space="preserve">In the lead up to the November 2015 elections in </w:t>
            </w:r>
            <w:r w:rsidR="00CA59F3">
              <w:t>Myanmar</w:t>
            </w:r>
            <w:r w:rsidRPr="00E55C2F">
              <w:t xml:space="preserve"> DFAT has engaged with the </w:t>
            </w:r>
            <w:r w:rsidR="00CA59F3">
              <w:t>Myanmar</w:t>
            </w:r>
            <w:r w:rsidRPr="00E55C2F">
              <w:t xml:space="preserve"> Government and other political leaders to manage political risks to the aid program.</w:t>
            </w:r>
          </w:p>
        </w:tc>
      </w:tr>
      <w:tr w:rsidR="00BB5F4F" w:rsidRPr="00180B19" w:rsidTr="001D52BE">
        <w:trPr>
          <w:cnfStyle w:val="000000010000" w:firstRow="0" w:lastRow="0" w:firstColumn="0" w:lastColumn="0" w:oddVBand="0" w:evenVBand="0" w:oddHBand="0" w:evenHBand="1" w:firstRowFirstColumn="0" w:firstRowLastColumn="0" w:lastRowFirstColumn="0" w:lastRowLastColumn="0"/>
        </w:trPr>
        <w:tc>
          <w:tcPr>
            <w:tcW w:w="6473" w:type="dxa"/>
          </w:tcPr>
          <w:p w:rsidR="00BB5F4F" w:rsidRPr="00100AA2" w:rsidRDefault="00BB5F4F" w:rsidP="00B12DDC">
            <w:pPr>
              <w:pStyle w:val="TableTextEntries"/>
            </w:pPr>
            <w:r>
              <w:t xml:space="preserve">Develop an Aid Investment Plan articulating Australia’s forward aid priorities, objectives and benchmarks by 1 July 2015. </w:t>
            </w:r>
          </w:p>
        </w:tc>
        <w:tc>
          <w:tcPr>
            <w:tcW w:w="964" w:type="dxa"/>
            <w:shd w:val="clear" w:color="auto" w:fill="E36C0A" w:themeFill="accent6" w:themeFillShade="BF"/>
          </w:tcPr>
          <w:p w:rsidR="00BB5F4F" w:rsidRDefault="00BB5F4F" w:rsidP="00B12DDC">
            <w:pPr>
              <w:pStyle w:val="TableTextEntries"/>
              <w:jc w:val="center"/>
              <w:rPr>
                <w:color w:val="FFFFFF" w:themeColor="background1"/>
              </w:rPr>
            </w:pPr>
            <w:r w:rsidRPr="00905C86">
              <w:rPr>
                <w:color w:val="FFFFFF" w:themeColor="background1"/>
              </w:rPr>
              <w:t>Partly achieved</w:t>
            </w:r>
          </w:p>
        </w:tc>
        <w:tc>
          <w:tcPr>
            <w:tcW w:w="6896" w:type="dxa"/>
          </w:tcPr>
          <w:p w:rsidR="00BB5F4F" w:rsidRPr="00905C86" w:rsidRDefault="00BB5F4F" w:rsidP="00600BEC">
            <w:pPr>
              <w:pStyle w:val="TableTextEntries"/>
              <w:rPr>
                <w:color w:val="000000" w:themeColor="text1"/>
              </w:rPr>
            </w:pPr>
            <w:r>
              <w:rPr>
                <w:color w:val="000000" w:themeColor="text1"/>
              </w:rPr>
              <w:t xml:space="preserve">An Aid Investment Plan </w:t>
            </w:r>
            <w:r w:rsidR="00600BEC">
              <w:rPr>
                <w:color w:val="000000" w:themeColor="text1"/>
              </w:rPr>
              <w:t>was</w:t>
            </w:r>
            <w:r>
              <w:rPr>
                <w:color w:val="000000" w:themeColor="text1"/>
              </w:rPr>
              <w:t xml:space="preserve"> finalised in September 2015.</w:t>
            </w:r>
          </w:p>
        </w:tc>
      </w:tr>
    </w:tbl>
    <w:p w:rsidR="00BB5F4F" w:rsidRPr="00FE4491" w:rsidRDefault="00BB5F4F" w:rsidP="00B12DDC">
      <w:pPr>
        <w:pStyle w:val="Note"/>
      </w:pPr>
      <w:r w:rsidRPr="00FE4491">
        <w:t xml:space="preserve">Note: </w:t>
      </w:r>
    </w:p>
    <w:p w:rsidR="00BB5F4F" w:rsidRPr="00671434" w:rsidRDefault="00BB5F4F" w:rsidP="00B12DDC">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BB5F4F" w:rsidRPr="00EA3BAD" w:rsidRDefault="00BB5F4F" w:rsidP="00B12DDC">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BB5F4F" w:rsidRPr="00B12DDC" w:rsidRDefault="00BB5F4F" w:rsidP="00B12DDC">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r>
        <w:rPr>
          <w:sz w:val="28"/>
        </w:rPr>
        <w:br w:type="page"/>
      </w:r>
    </w:p>
    <w:p w:rsidR="00BB5F4F" w:rsidRPr="00BE58DE" w:rsidRDefault="00BB5F4F" w:rsidP="00BE58DE">
      <w:pPr>
        <w:pStyle w:val="Heading2"/>
        <w:rPr>
          <w:sz w:val="28"/>
        </w:rPr>
      </w:pPr>
      <w:r w:rsidRPr="009E38C1">
        <w:rPr>
          <w:sz w:val="28"/>
        </w:rPr>
        <w:lastRenderedPageBreak/>
        <w:t>Annex</w:t>
      </w:r>
      <w:r>
        <w:rPr>
          <w:sz w:val="28"/>
        </w:rPr>
        <w:t xml:space="preserve"> B - Progress towards </w:t>
      </w:r>
      <w:r w:rsidRPr="009E38C1">
        <w:rPr>
          <w:sz w:val="28"/>
        </w:rPr>
        <w:t xml:space="preserve">Performance Benchmarks </w:t>
      </w:r>
      <w:r>
        <w:rPr>
          <w:sz w:val="28"/>
        </w:rPr>
        <w:t xml:space="preserve">in </w:t>
      </w:r>
      <w:r w:rsidRPr="009E38C1">
        <w:rPr>
          <w:sz w:val="28"/>
        </w:rPr>
        <w:t>2014 -15</w:t>
      </w:r>
    </w:p>
    <w:tbl>
      <w:tblPr>
        <w:tblStyle w:val="DFATTable"/>
        <w:tblW w:w="5000" w:type="pct"/>
        <w:tblLook w:val="04A0" w:firstRow="1" w:lastRow="0" w:firstColumn="1" w:lastColumn="0" w:noHBand="0" w:noVBand="1"/>
      </w:tblPr>
      <w:tblGrid>
        <w:gridCol w:w="2245"/>
        <w:gridCol w:w="3945"/>
        <w:gridCol w:w="1289"/>
        <w:gridCol w:w="6910"/>
      </w:tblGrid>
      <w:tr w:rsidR="00BB5F4F" w:rsidRPr="004F7D80" w:rsidTr="00E55C2F">
        <w:trPr>
          <w:tblHeader/>
        </w:trPr>
        <w:tc>
          <w:tcPr>
            <w:tcW w:w="780" w:type="pct"/>
            <w:tcMar>
              <w:top w:w="57" w:type="dxa"/>
              <w:bottom w:w="57" w:type="dxa"/>
            </w:tcMar>
          </w:tcPr>
          <w:p w:rsidR="00BB5F4F" w:rsidRPr="002749B6" w:rsidRDefault="00BB5F4F" w:rsidP="00E15678">
            <w:pPr>
              <w:pStyle w:val="TableHeading1"/>
            </w:pPr>
            <w:r>
              <w:t>Aid</w:t>
            </w:r>
            <w:r w:rsidRPr="002749B6">
              <w:t xml:space="preserve"> objective</w:t>
            </w:r>
          </w:p>
        </w:tc>
        <w:tc>
          <w:tcPr>
            <w:tcW w:w="1371" w:type="pct"/>
          </w:tcPr>
          <w:p w:rsidR="00BB5F4F" w:rsidRPr="002749B6" w:rsidRDefault="00BB5F4F" w:rsidP="00E15678">
            <w:pPr>
              <w:pStyle w:val="TableHeading1"/>
            </w:pPr>
            <w:r w:rsidRPr="002749B6">
              <w:t xml:space="preserve">2014-15 benchmark </w:t>
            </w:r>
          </w:p>
        </w:tc>
        <w:tc>
          <w:tcPr>
            <w:tcW w:w="448" w:type="pct"/>
            <w:tcBorders>
              <w:bottom w:val="nil"/>
            </w:tcBorders>
          </w:tcPr>
          <w:p w:rsidR="00BB5F4F" w:rsidRDefault="00BB5F4F" w:rsidP="00E15678">
            <w:pPr>
              <w:pStyle w:val="TableHeading1"/>
            </w:pPr>
            <w:r>
              <w:t>Rating</w:t>
            </w:r>
          </w:p>
        </w:tc>
        <w:tc>
          <w:tcPr>
            <w:tcW w:w="2401" w:type="pct"/>
          </w:tcPr>
          <w:p w:rsidR="00BB5F4F" w:rsidRPr="002749B6" w:rsidRDefault="00BB5F4F" w:rsidP="00E15678">
            <w:pPr>
              <w:pStyle w:val="TableHeading1"/>
            </w:pPr>
            <w:r>
              <w:t>Progress in 2014-15</w:t>
            </w:r>
          </w:p>
        </w:tc>
      </w:tr>
      <w:tr w:rsidR="00BB5F4F" w:rsidRPr="004F7D80" w:rsidTr="00E55C2F">
        <w:tc>
          <w:tcPr>
            <w:tcW w:w="780" w:type="pct"/>
            <w:tcMar>
              <w:top w:w="57" w:type="dxa"/>
              <w:bottom w:w="57" w:type="dxa"/>
            </w:tcMar>
          </w:tcPr>
          <w:p w:rsidR="00BB5F4F" w:rsidRPr="002749B6" w:rsidRDefault="00BB5F4F" w:rsidP="00E15678">
            <w:pPr>
              <w:pStyle w:val="TableTextEntries"/>
            </w:pPr>
            <w:r>
              <w:t>Improve quality of teaching and learning practices</w:t>
            </w:r>
          </w:p>
        </w:tc>
        <w:tc>
          <w:tcPr>
            <w:tcW w:w="1371" w:type="pct"/>
          </w:tcPr>
          <w:p w:rsidR="00BB5F4F" w:rsidRPr="002749B6" w:rsidRDefault="00BB5F4F" w:rsidP="00E15678">
            <w:pPr>
              <w:pStyle w:val="TableTextEntries"/>
            </w:pPr>
            <w:r>
              <w:t>Sustained gains in primary enrolment and completion and transition rates to middle school.</w:t>
            </w:r>
            <w:r w:rsidRPr="002749B6">
              <w:t xml:space="preserve">  </w:t>
            </w:r>
          </w:p>
        </w:tc>
        <w:tc>
          <w:tcPr>
            <w:tcW w:w="448" w:type="pct"/>
            <w:tcBorders>
              <w:top w:val="nil"/>
              <w:bottom w:val="nil"/>
            </w:tcBorders>
            <w:shd w:val="clear" w:color="auto" w:fill="72AF2F"/>
          </w:tcPr>
          <w:p w:rsidR="00BB5F4F" w:rsidRPr="00443639" w:rsidRDefault="00BB5F4F" w:rsidP="00E15678">
            <w:pPr>
              <w:pStyle w:val="TableTextEntries"/>
              <w:jc w:val="center"/>
              <w:rPr>
                <w:color w:val="FFFFFF" w:themeColor="background1"/>
              </w:rPr>
            </w:pPr>
            <w:r w:rsidRPr="00742ACA">
              <w:rPr>
                <w:color w:val="FFFFFF" w:themeColor="background1"/>
              </w:rPr>
              <w:t>Achieved</w:t>
            </w:r>
          </w:p>
        </w:tc>
        <w:tc>
          <w:tcPr>
            <w:tcW w:w="2401" w:type="pct"/>
          </w:tcPr>
          <w:p w:rsidR="00BB5F4F" w:rsidRPr="002749B6" w:rsidRDefault="001D52BE" w:rsidP="00E55C2F">
            <w:pPr>
              <w:pStyle w:val="TableTextEntries"/>
            </w:pPr>
            <w:r>
              <w:t xml:space="preserve">Assessment of enrolment and completion and transition rates was not possible in 2014-15 due to limitations in national data. </w:t>
            </w:r>
            <w:r w:rsidR="00E55C2F">
              <w:t xml:space="preserve">The number of Australian-funded additional enrolments in schools </w:t>
            </w:r>
            <w:r w:rsidR="00E53640">
              <w:t xml:space="preserve">(over 140,000) </w:t>
            </w:r>
            <w:r w:rsidR="00E55C2F">
              <w:t xml:space="preserve">and </w:t>
            </w:r>
            <w:r>
              <w:t>early chi</w:t>
            </w:r>
            <w:r w:rsidR="00E55C2F">
              <w:t>ldhood development services</w:t>
            </w:r>
            <w:r w:rsidR="00E53640">
              <w:t xml:space="preserve"> (49,000)</w:t>
            </w:r>
            <w:r w:rsidR="00E55C2F">
              <w:t xml:space="preserve"> has</w:t>
            </w:r>
            <w:r>
              <w:t xml:space="preserve"> been used as a proxy to indicate adequate progress.</w:t>
            </w:r>
          </w:p>
        </w:tc>
      </w:tr>
      <w:tr w:rsidR="00BB5F4F" w:rsidRPr="004F7D80" w:rsidTr="00DE4A01">
        <w:tc>
          <w:tcPr>
            <w:tcW w:w="780" w:type="pct"/>
            <w:tcMar>
              <w:top w:w="57" w:type="dxa"/>
              <w:bottom w:w="57" w:type="dxa"/>
            </w:tcMar>
          </w:tcPr>
          <w:p w:rsidR="00BB5F4F" w:rsidRDefault="001D52BE" w:rsidP="00E15678">
            <w:pPr>
              <w:pStyle w:val="TableTextEntries"/>
            </w:pPr>
            <w:r>
              <w:t>Improve child and maternal health outcomes</w:t>
            </w:r>
          </w:p>
        </w:tc>
        <w:tc>
          <w:tcPr>
            <w:tcW w:w="1371" w:type="pct"/>
          </w:tcPr>
          <w:p w:rsidR="00BB5F4F" w:rsidRDefault="00BB5F4F" w:rsidP="00E15678">
            <w:pPr>
              <w:pStyle w:val="TableTextEntries"/>
            </w:pPr>
            <w:r>
              <w:t>25,000 children under one year old immunised and 2,500 life-saving referrals for pregnant women who need emergency obstetric care.</w:t>
            </w:r>
          </w:p>
        </w:tc>
        <w:tc>
          <w:tcPr>
            <w:tcW w:w="448" w:type="pct"/>
            <w:tcBorders>
              <w:top w:val="nil"/>
              <w:bottom w:val="nil"/>
            </w:tcBorders>
            <w:shd w:val="clear" w:color="auto" w:fill="72AF2F"/>
          </w:tcPr>
          <w:p w:rsidR="00BB5F4F" w:rsidRDefault="00D507D9" w:rsidP="00E15678">
            <w:pPr>
              <w:pStyle w:val="TableTextEntries"/>
              <w:jc w:val="center"/>
              <w:rPr>
                <w:color w:val="FFFFFF" w:themeColor="background1"/>
              </w:rPr>
            </w:pPr>
            <w:r>
              <w:rPr>
                <w:color w:val="FFFFFF" w:themeColor="background1"/>
              </w:rPr>
              <w:t>Achieved</w:t>
            </w:r>
          </w:p>
        </w:tc>
        <w:tc>
          <w:tcPr>
            <w:tcW w:w="2401" w:type="pct"/>
          </w:tcPr>
          <w:p w:rsidR="00BB5F4F" w:rsidRDefault="001D52BE" w:rsidP="00D507D9">
            <w:pPr>
              <w:pStyle w:val="TableTextEntries"/>
            </w:pPr>
            <w:r>
              <w:t xml:space="preserve">Nearly 2,800 women received emergency referral services, exceeding our performance benchmark. 15,000 children under the age of one completed immunisation schedules. </w:t>
            </w:r>
            <w:r w:rsidR="00D507D9">
              <w:t xml:space="preserve">This exceeded the revised performance benchmark, which was adjusted in December 2014 </w:t>
            </w:r>
            <w:r w:rsidRPr="00DA701F">
              <w:rPr>
                <w:sz w:val="18"/>
                <w:szCs w:val="18"/>
              </w:rPr>
              <w:t xml:space="preserve">due to changes in population data released from the </w:t>
            </w:r>
            <w:r>
              <w:rPr>
                <w:sz w:val="18"/>
                <w:szCs w:val="18"/>
              </w:rPr>
              <w:t xml:space="preserve">2014 </w:t>
            </w:r>
            <w:r w:rsidRPr="00DA701F">
              <w:rPr>
                <w:sz w:val="18"/>
                <w:szCs w:val="18"/>
              </w:rPr>
              <w:t>Census report</w:t>
            </w:r>
            <w:r>
              <w:rPr>
                <w:sz w:val="18"/>
                <w:szCs w:val="18"/>
              </w:rPr>
              <w:t>.</w:t>
            </w:r>
          </w:p>
        </w:tc>
      </w:tr>
      <w:tr w:rsidR="00BB5F4F" w:rsidRPr="004F7D80" w:rsidTr="00DE4A01">
        <w:tc>
          <w:tcPr>
            <w:tcW w:w="780" w:type="pct"/>
            <w:tcMar>
              <w:top w:w="57" w:type="dxa"/>
              <w:bottom w:w="57" w:type="dxa"/>
            </w:tcMar>
          </w:tcPr>
          <w:p w:rsidR="00BB5F4F" w:rsidRPr="002749B6" w:rsidRDefault="00BB5F4F" w:rsidP="00E15678">
            <w:pPr>
              <w:pStyle w:val="TableTextEntries"/>
            </w:pPr>
            <w:r>
              <w:t xml:space="preserve">Increase access to markets, financial inclusion and opportunities for private sector development </w:t>
            </w:r>
          </w:p>
        </w:tc>
        <w:tc>
          <w:tcPr>
            <w:tcW w:w="1371" w:type="pct"/>
          </w:tcPr>
          <w:p w:rsidR="00BB5F4F" w:rsidRPr="002749B6" w:rsidRDefault="00BB5F4F" w:rsidP="00E15678">
            <w:pPr>
              <w:pStyle w:val="TableTextEntries"/>
            </w:pPr>
            <w:r w:rsidRPr="00600BEC">
              <w:t>6,300 households with increased access to financial services and markets.</w:t>
            </w:r>
          </w:p>
        </w:tc>
        <w:tc>
          <w:tcPr>
            <w:tcW w:w="448" w:type="pct"/>
            <w:tcBorders>
              <w:top w:val="nil"/>
              <w:bottom w:val="nil"/>
            </w:tcBorders>
            <w:shd w:val="clear" w:color="auto" w:fill="72AF2F"/>
          </w:tcPr>
          <w:p w:rsidR="00BB5F4F" w:rsidRPr="002749B6" w:rsidRDefault="00DE4A01" w:rsidP="00E15678">
            <w:pPr>
              <w:pStyle w:val="TableTextEntries"/>
              <w:jc w:val="center"/>
            </w:pPr>
            <w:r>
              <w:rPr>
                <w:color w:val="FFFFFF" w:themeColor="background1"/>
              </w:rPr>
              <w:t>Achieved</w:t>
            </w:r>
          </w:p>
        </w:tc>
        <w:tc>
          <w:tcPr>
            <w:tcW w:w="2401" w:type="pct"/>
          </w:tcPr>
          <w:p w:rsidR="00BB5F4F" w:rsidRPr="002749B6" w:rsidRDefault="00F55720" w:rsidP="00E15678">
            <w:pPr>
              <w:pStyle w:val="TableTextEntries"/>
            </w:pPr>
            <w:r>
              <w:t xml:space="preserve">19,231 households have increased access to financial services and markets through LIFT. The benchmark was exceeded due to a decision by the LIFT </w:t>
            </w:r>
            <w:r w:rsidRPr="009821FB">
              <w:t>Fund Board in 2013 to create a dedicated funding</w:t>
            </w:r>
            <w:r>
              <w:t xml:space="preserve"> window for financial inclusion, which</w:t>
            </w:r>
            <w:r w:rsidRPr="009821FB">
              <w:t xml:space="preserve"> led</w:t>
            </w:r>
            <w:r>
              <w:t xml:space="preserve"> </w:t>
            </w:r>
            <w:r w:rsidRPr="009821FB">
              <w:t>to an increase in the number of LIFT projects</w:t>
            </w:r>
            <w:r>
              <w:t xml:space="preserve"> </w:t>
            </w:r>
            <w:r w:rsidRPr="009821FB">
              <w:t>providing affordable financial services in LIFT</w:t>
            </w:r>
            <w:r>
              <w:t xml:space="preserve"> </w:t>
            </w:r>
            <w:r w:rsidRPr="009821FB">
              <w:t>operating areas</w:t>
            </w:r>
            <w:r>
              <w:t>.</w:t>
            </w:r>
          </w:p>
        </w:tc>
      </w:tr>
      <w:tr w:rsidR="00BB5F4F" w:rsidRPr="004F7D80" w:rsidTr="00E62D19">
        <w:tc>
          <w:tcPr>
            <w:tcW w:w="780" w:type="pct"/>
            <w:tcMar>
              <w:top w:w="57" w:type="dxa"/>
              <w:bottom w:w="57" w:type="dxa"/>
            </w:tcMar>
          </w:tcPr>
          <w:p w:rsidR="00BB5F4F" w:rsidRDefault="00BB5F4F" w:rsidP="00E15678">
            <w:pPr>
              <w:pStyle w:val="TableTextEntries"/>
            </w:pPr>
            <w:r>
              <w:t>Improve confidence in the peace process</w:t>
            </w:r>
          </w:p>
        </w:tc>
        <w:tc>
          <w:tcPr>
            <w:tcW w:w="1371" w:type="pct"/>
          </w:tcPr>
          <w:p w:rsidR="00BB5F4F" w:rsidRDefault="00BB5F4F" w:rsidP="00E15678">
            <w:pPr>
              <w:pStyle w:val="TableTextEntries"/>
            </w:pPr>
            <w:r>
              <w:t>7,000 people in ethnic minority populations in former conflict affected areas with citizen scrutiny cards.</w:t>
            </w:r>
          </w:p>
        </w:tc>
        <w:tc>
          <w:tcPr>
            <w:tcW w:w="448" w:type="pct"/>
            <w:tcBorders>
              <w:top w:val="nil"/>
              <w:bottom w:val="nil"/>
            </w:tcBorders>
            <w:shd w:val="clear" w:color="auto" w:fill="72AF2F"/>
          </w:tcPr>
          <w:p w:rsidR="00BB5F4F" w:rsidRDefault="00BB747C" w:rsidP="00E15678">
            <w:pPr>
              <w:pStyle w:val="TableTextEntries"/>
              <w:jc w:val="center"/>
              <w:rPr>
                <w:color w:val="FFFFFF" w:themeColor="background1"/>
              </w:rPr>
            </w:pPr>
            <w:r>
              <w:rPr>
                <w:color w:val="FFFFFF" w:themeColor="background1"/>
              </w:rPr>
              <w:t>Achieved</w:t>
            </w:r>
          </w:p>
        </w:tc>
        <w:tc>
          <w:tcPr>
            <w:tcW w:w="2401" w:type="pct"/>
          </w:tcPr>
          <w:p w:rsidR="00BB5F4F" w:rsidRDefault="00BB747C" w:rsidP="00E15678">
            <w:pPr>
              <w:pStyle w:val="TableTextEntries"/>
            </w:pPr>
            <w:r>
              <w:t>10,176 national identity cards were issued.</w:t>
            </w:r>
          </w:p>
        </w:tc>
      </w:tr>
      <w:tr w:rsidR="00BB5F4F" w:rsidRPr="004F7D80" w:rsidTr="00E55C2F">
        <w:tc>
          <w:tcPr>
            <w:tcW w:w="780" w:type="pct"/>
            <w:tcMar>
              <w:top w:w="57" w:type="dxa"/>
              <w:bottom w:w="57" w:type="dxa"/>
            </w:tcMar>
          </w:tcPr>
          <w:p w:rsidR="00BB5F4F" w:rsidRPr="002749B6" w:rsidRDefault="00BB5F4F" w:rsidP="00E15678">
            <w:pPr>
              <w:pStyle w:val="TableTextEntries"/>
            </w:pPr>
            <w:r>
              <w:t>Address humanitarian needs of people affected by conflict and natural disasters</w:t>
            </w:r>
          </w:p>
        </w:tc>
        <w:tc>
          <w:tcPr>
            <w:tcW w:w="1371" w:type="pct"/>
          </w:tcPr>
          <w:p w:rsidR="00BB5F4F" w:rsidRPr="002749B6" w:rsidRDefault="00BB5F4F" w:rsidP="00E15678">
            <w:pPr>
              <w:pStyle w:val="TableTextEntries"/>
            </w:pPr>
            <w:r>
              <w:t xml:space="preserve">Australian humanitarian assistance is effective and appropriate (as defined in Australia’s Humanitarian Action Policy and Protection in Humanitarian Action Framework). </w:t>
            </w:r>
          </w:p>
        </w:tc>
        <w:tc>
          <w:tcPr>
            <w:tcW w:w="448" w:type="pct"/>
            <w:tcBorders>
              <w:top w:val="nil"/>
              <w:bottom w:val="nil"/>
            </w:tcBorders>
            <w:shd w:val="clear" w:color="auto" w:fill="72AF2F"/>
          </w:tcPr>
          <w:p w:rsidR="00BB5F4F" w:rsidRPr="002749B6" w:rsidRDefault="00BB5F4F" w:rsidP="00E62D19">
            <w:pPr>
              <w:pStyle w:val="TableTextEntries"/>
              <w:jc w:val="center"/>
            </w:pPr>
            <w:r w:rsidRPr="00B92B2F">
              <w:rPr>
                <w:color w:val="FFFFFF" w:themeColor="background1"/>
              </w:rPr>
              <w:t>Achieved</w:t>
            </w:r>
          </w:p>
        </w:tc>
        <w:tc>
          <w:tcPr>
            <w:tcW w:w="2401" w:type="pct"/>
          </w:tcPr>
          <w:p w:rsidR="00BB5F4F" w:rsidRPr="002749B6" w:rsidRDefault="00E53640" w:rsidP="00E15678">
            <w:pPr>
              <w:pStyle w:val="TableTextEntries"/>
            </w:pPr>
            <w:r>
              <w:t xml:space="preserve">Independent evaluation of Australia’s humanitarian assistance to </w:t>
            </w:r>
            <w:r w:rsidR="00CA59F3">
              <w:t>Myanmar</w:t>
            </w:r>
            <w:r>
              <w:t xml:space="preserve"> in 2014 found it to be effective and appropriate. </w:t>
            </w:r>
          </w:p>
        </w:tc>
      </w:tr>
      <w:tr w:rsidR="00BB5F4F" w:rsidRPr="004F7D80" w:rsidTr="00E55C2F">
        <w:tc>
          <w:tcPr>
            <w:tcW w:w="780" w:type="pct"/>
            <w:tcMar>
              <w:top w:w="57" w:type="dxa"/>
              <w:bottom w:w="57" w:type="dxa"/>
            </w:tcMar>
          </w:tcPr>
          <w:p w:rsidR="00BB5F4F" w:rsidRDefault="00BB5F4F" w:rsidP="00E15678">
            <w:pPr>
              <w:pStyle w:val="TableTextEntries"/>
            </w:pPr>
            <w:r>
              <w:t>Strengthen institutions and support reforms which promote sustainable economic growth, democratisation and government accountability</w:t>
            </w:r>
          </w:p>
        </w:tc>
        <w:tc>
          <w:tcPr>
            <w:tcW w:w="1371" w:type="pct"/>
          </w:tcPr>
          <w:p w:rsidR="00BB5F4F" w:rsidRDefault="00BB5F4F" w:rsidP="00E15678">
            <w:pPr>
              <w:pStyle w:val="TableTextEntries"/>
            </w:pPr>
            <w:r>
              <w:t xml:space="preserve">Provisional and main census data and preliminary report disseminated; new voter registration system piloted; </w:t>
            </w:r>
            <w:r w:rsidR="00CA59F3">
              <w:t>Myanmar</w:t>
            </w:r>
            <w:r>
              <w:t xml:space="preserve">’s government starts to base budget allocations on policy, outputs and outcomes; </w:t>
            </w:r>
            <w:r w:rsidRPr="00364653">
              <w:t>medium-term fiscal framework started</w:t>
            </w:r>
            <w:r>
              <w:t>.</w:t>
            </w:r>
          </w:p>
        </w:tc>
        <w:tc>
          <w:tcPr>
            <w:tcW w:w="448" w:type="pct"/>
            <w:tcBorders>
              <w:top w:val="nil"/>
              <w:bottom w:val="nil"/>
            </w:tcBorders>
            <w:shd w:val="clear" w:color="auto" w:fill="72AF2F"/>
          </w:tcPr>
          <w:p w:rsidR="00BB5F4F" w:rsidRPr="00B92B2F" w:rsidRDefault="00364653" w:rsidP="00E54CF2">
            <w:pPr>
              <w:pStyle w:val="TableTextEntries"/>
              <w:jc w:val="center"/>
              <w:rPr>
                <w:color w:val="FFFFFF" w:themeColor="background1"/>
              </w:rPr>
            </w:pPr>
            <w:r>
              <w:rPr>
                <w:color w:val="FFFFFF" w:themeColor="background1"/>
              </w:rPr>
              <w:t>A</w:t>
            </w:r>
            <w:r w:rsidR="00E54CF2">
              <w:rPr>
                <w:color w:val="FFFFFF" w:themeColor="background1"/>
              </w:rPr>
              <w:t>chieved</w:t>
            </w:r>
          </w:p>
        </w:tc>
        <w:tc>
          <w:tcPr>
            <w:tcW w:w="2401" w:type="pct"/>
          </w:tcPr>
          <w:p w:rsidR="00BB5F4F" w:rsidRPr="002749B6" w:rsidRDefault="00E54CF2" w:rsidP="00E15678">
            <w:pPr>
              <w:pStyle w:val="TableTextEntries"/>
            </w:pPr>
            <w:r>
              <w:t>Provisional census data was released in October 2014</w:t>
            </w:r>
            <w:r w:rsidR="00364653">
              <w:t xml:space="preserve"> and the main data was released in May 2015. </w:t>
            </w:r>
            <w:r>
              <w:t>A new voter registration sys</w:t>
            </w:r>
            <w:r w:rsidR="00364653">
              <w:t>tem has been piloted. T</w:t>
            </w:r>
            <w:r>
              <w:t xml:space="preserve">he </w:t>
            </w:r>
            <w:r w:rsidR="00CA59F3">
              <w:t>Myanmar</w:t>
            </w:r>
            <w:r>
              <w:t xml:space="preserve"> Government has developed a budget that better reflects its economic and social policies and work plans</w:t>
            </w:r>
            <w:r w:rsidR="00364653">
              <w:t>, and is developing the Medium Term Fiscal Framework analysis.</w:t>
            </w:r>
          </w:p>
        </w:tc>
      </w:tr>
      <w:tr w:rsidR="00BB5F4F" w:rsidRPr="004F7D80" w:rsidTr="00E0534B">
        <w:tc>
          <w:tcPr>
            <w:tcW w:w="780" w:type="pct"/>
            <w:tcMar>
              <w:top w:w="57" w:type="dxa"/>
              <w:bottom w:w="57" w:type="dxa"/>
            </w:tcMar>
          </w:tcPr>
          <w:p w:rsidR="00BB5F4F" w:rsidRDefault="00BB5F4F" w:rsidP="00E15678">
            <w:pPr>
              <w:pStyle w:val="TableTextEntries"/>
            </w:pPr>
            <w:r>
              <w:t>Improved management efficiency through consolidation of investments</w:t>
            </w:r>
          </w:p>
        </w:tc>
        <w:tc>
          <w:tcPr>
            <w:tcW w:w="1371" w:type="pct"/>
          </w:tcPr>
          <w:p w:rsidR="00BB5F4F" w:rsidRDefault="00BB5F4F" w:rsidP="00E15678">
            <w:pPr>
              <w:pStyle w:val="TableTextEntries"/>
            </w:pPr>
            <w:r>
              <w:t>Less than one third of program investments are low value (un</w:t>
            </w:r>
            <w:r w:rsidR="00E62D19">
              <w:t>der $3</w:t>
            </w:r>
            <w:r w:rsidR="000A18AF">
              <w:t xml:space="preserve"> </w:t>
            </w:r>
            <w:r w:rsidR="00E62D19">
              <w:t>million) and more than 90 per cent</w:t>
            </w:r>
            <w:r>
              <w:t xml:space="preserve"> of programmed funds will be maintained in investments greater than $10 million.</w:t>
            </w:r>
          </w:p>
        </w:tc>
        <w:tc>
          <w:tcPr>
            <w:tcW w:w="448" w:type="pct"/>
            <w:tcBorders>
              <w:top w:val="nil"/>
              <w:bottom w:val="single" w:sz="12" w:space="0" w:color="auto"/>
            </w:tcBorders>
            <w:shd w:val="clear" w:color="auto" w:fill="72AF2F"/>
          </w:tcPr>
          <w:p w:rsidR="00BB5F4F" w:rsidRPr="00B92B2F" w:rsidRDefault="00E0534B" w:rsidP="00E0534B">
            <w:pPr>
              <w:pStyle w:val="TableTextEntries"/>
              <w:jc w:val="center"/>
              <w:rPr>
                <w:color w:val="FFFFFF" w:themeColor="background1"/>
              </w:rPr>
            </w:pPr>
            <w:r>
              <w:rPr>
                <w:color w:val="FFFFFF" w:themeColor="background1"/>
              </w:rPr>
              <w:t>Achieved</w:t>
            </w:r>
          </w:p>
        </w:tc>
        <w:tc>
          <w:tcPr>
            <w:tcW w:w="2401" w:type="pct"/>
          </w:tcPr>
          <w:p w:rsidR="00BB5F4F" w:rsidRPr="002749B6" w:rsidRDefault="00E0534B" w:rsidP="000A18AF">
            <w:pPr>
              <w:pStyle w:val="TableTextEntries"/>
            </w:pPr>
            <w:r>
              <w:t>24 per cent of investments are low value, reduced from 38 per cent in September 2014. The percentage of programmed funds i</w:t>
            </w:r>
            <w:r w:rsidR="000A18AF">
              <w:t xml:space="preserve">n high value </w:t>
            </w:r>
            <w:r>
              <w:t xml:space="preserve">investments </w:t>
            </w:r>
            <w:r w:rsidR="000A18AF">
              <w:t>is</w:t>
            </w:r>
            <w:r w:rsidR="00BB2E70">
              <w:t xml:space="preserve"> 90</w:t>
            </w:r>
            <w:r>
              <w:t xml:space="preserve"> per cen</w:t>
            </w:r>
            <w:r w:rsidR="000A18AF">
              <w:t>t</w:t>
            </w:r>
            <w:r>
              <w:t>.</w:t>
            </w:r>
          </w:p>
        </w:tc>
      </w:tr>
    </w:tbl>
    <w:p w:rsidR="00BB5F4F" w:rsidRPr="00FE4491" w:rsidRDefault="00BB5F4F" w:rsidP="00582C22">
      <w:pPr>
        <w:pStyle w:val="Note"/>
      </w:pPr>
      <w:r w:rsidRPr="00FE4491">
        <w:t xml:space="preserve">Note: </w:t>
      </w:r>
    </w:p>
    <w:p w:rsidR="00BB5F4F" w:rsidRPr="00671434" w:rsidRDefault="00BB5F4F"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BB5F4F" w:rsidRPr="00EA3BAD" w:rsidRDefault="00BB5F4F"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BB5F4F" w:rsidRDefault="00BB5F4F" w:rsidP="00582C2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BB5F4F" w:rsidRPr="00416B02" w:rsidRDefault="00BB5F4F" w:rsidP="00BE58DE">
      <w:pPr>
        <w:spacing w:after="200" w:line="276" w:lineRule="auto"/>
        <w:sectPr w:rsidR="00BB5F4F" w:rsidRPr="00416B02" w:rsidSect="000D733F">
          <w:headerReference w:type="even" r:id="rId17"/>
          <w:footerReference w:type="first" r:id="rId18"/>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BB5F4F" w:rsidRPr="009E38C1" w:rsidRDefault="00BB5F4F" w:rsidP="00416B02">
      <w:pPr>
        <w:pStyle w:val="Heading2"/>
        <w:rPr>
          <w:sz w:val="28"/>
        </w:rPr>
      </w:pPr>
      <w:r>
        <w:rPr>
          <w:sz w:val="28"/>
        </w:rPr>
        <w:lastRenderedPageBreak/>
        <w:t xml:space="preserve">Annex C - </w:t>
      </w:r>
      <w:r w:rsidRPr="009E38C1">
        <w:rPr>
          <w:sz w:val="28"/>
        </w:rPr>
        <w:t>Evaluation and Review Pipeline Planning</w:t>
      </w:r>
    </w:p>
    <w:p w:rsidR="00BB5F4F" w:rsidRPr="00071B95" w:rsidRDefault="00BB5F4F" w:rsidP="00416B02">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BB5F4F"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BB5F4F" w:rsidRPr="00071B95" w:rsidRDefault="00BB5F4F" w:rsidP="00E15678">
            <w:pPr>
              <w:pStyle w:val="TableTextColumnHeading"/>
              <w:rPr>
                <w:b/>
              </w:rPr>
            </w:pPr>
            <w:r w:rsidRPr="00071B95">
              <w:rPr>
                <w:b/>
              </w:rPr>
              <w:t xml:space="preserve">Name of </w:t>
            </w:r>
            <w:r>
              <w:rPr>
                <w:b/>
              </w:rPr>
              <w:t>Investment</w:t>
            </w:r>
          </w:p>
        </w:tc>
        <w:tc>
          <w:tcPr>
            <w:tcW w:w="1933" w:type="dxa"/>
          </w:tcPr>
          <w:p w:rsidR="00BB5F4F" w:rsidRPr="00071B95" w:rsidRDefault="00BB5F4F" w:rsidP="00E15678">
            <w:pPr>
              <w:pStyle w:val="TableTextColumnHeading"/>
              <w:rPr>
                <w:b/>
              </w:rPr>
            </w:pPr>
            <w:r>
              <w:rPr>
                <w:b/>
              </w:rPr>
              <w:t>AidW</w:t>
            </w:r>
            <w:r w:rsidRPr="00071B95">
              <w:rPr>
                <w:b/>
              </w:rPr>
              <w:t>orks number</w:t>
            </w:r>
          </w:p>
        </w:tc>
        <w:tc>
          <w:tcPr>
            <w:tcW w:w="2031" w:type="dxa"/>
          </w:tcPr>
          <w:p w:rsidR="00BB5F4F" w:rsidRPr="00071B95" w:rsidRDefault="00BB5F4F" w:rsidP="00E15678">
            <w:pPr>
              <w:pStyle w:val="TableTextColumnHeading"/>
              <w:rPr>
                <w:b/>
              </w:rPr>
            </w:pPr>
            <w:r>
              <w:rPr>
                <w:b/>
              </w:rPr>
              <w:t>Name of evaluation</w:t>
            </w:r>
          </w:p>
        </w:tc>
        <w:tc>
          <w:tcPr>
            <w:tcW w:w="1939" w:type="dxa"/>
          </w:tcPr>
          <w:p w:rsidR="00BB5F4F" w:rsidRPr="00071B95" w:rsidRDefault="00BB5F4F" w:rsidP="00E15678">
            <w:pPr>
              <w:pStyle w:val="TableTextColumnHeading"/>
              <w:rPr>
                <w:b/>
              </w:rPr>
            </w:pPr>
            <w:r w:rsidRPr="00071B95">
              <w:rPr>
                <w:b/>
              </w:rPr>
              <w:t xml:space="preserve">Date </w:t>
            </w:r>
            <w:r>
              <w:rPr>
                <w:b/>
              </w:rPr>
              <w:t>finalised</w:t>
            </w:r>
          </w:p>
        </w:tc>
        <w:tc>
          <w:tcPr>
            <w:tcW w:w="1921" w:type="dxa"/>
          </w:tcPr>
          <w:p w:rsidR="00BB5F4F" w:rsidRPr="00071B95" w:rsidRDefault="00BB5F4F" w:rsidP="00E15678">
            <w:pPr>
              <w:pStyle w:val="TableTextColumnHeading"/>
              <w:rPr>
                <w:b/>
              </w:rPr>
            </w:pPr>
            <w:r w:rsidRPr="00071B95">
              <w:rPr>
                <w:b/>
              </w:rPr>
              <w:t xml:space="preserve">Date Evaluation report Uploaded into </w:t>
            </w:r>
            <w:r>
              <w:rPr>
                <w:b/>
              </w:rPr>
              <w:t>AidW</w:t>
            </w:r>
            <w:r w:rsidRPr="00071B95">
              <w:rPr>
                <w:b/>
              </w:rPr>
              <w:t>orks</w:t>
            </w:r>
          </w:p>
        </w:tc>
        <w:tc>
          <w:tcPr>
            <w:tcW w:w="1743" w:type="dxa"/>
          </w:tcPr>
          <w:p w:rsidR="00BB5F4F" w:rsidRPr="00071B95" w:rsidRDefault="00BB5F4F" w:rsidP="00E15678">
            <w:pPr>
              <w:pStyle w:val="TableTextColumnHeading"/>
              <w:rPr>
                <w:b/>
              </w:rPr>
            </w:pPr>
            <w:r w:rsidRPr="00071B95">
              <w:rPr>
                <w:b/>
              </w:rPr>
              <w:t xml:space="preserve">Date Management response uploaded into </w:t>
            </w:r>
            <w:r>
              <w:rPr>
                <w:b/>
              </w:rPr>
              <w:t>AidW</w:t>
            </w:r>
            <w:r w:rsidRPr="00071B95">
              <w:rPr>
                <w:b/>
              </w:rPr>
              <w:t>orks</w:t>
            </w:r>
          </w:p>
        </w:tc>
        <w:tc>
          <w:tcPr>
            <w:tcW w:w="1503" w:type="dxa"/>
          </w:tcPr>
          <w:p w:rsidR="00BB5F4F" w:rsidRPr="00071B95" w:rsidRDefault="00BB5F4F" w:rsidP="00E15678">
            <w:pPr>
              <w:pStyle w:val="TableTextColumnHeading"/>
              <w:rPr>
                <w:b/>
              </w:rPr>
            </w:pPr>
            <w:r w:rsidRPr="00071B95">
              <w:rPr>
                <w:b/>
              </w:rPr>
              <w:t>Published on website</w:t>
            </w:r>
          </w:p>
        </w:tc>
      </w:tr>
      <w:tr w:rsidR="00BB5F4F"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BB5F4F" w:rsidRPr="00D507D9" w:rsidRDefault="00BB5F4F" w:rsidP="00E15678">
            <w:pPr>
              <w:pStyle w:val="TableTextEntries"/>
              <w:rPr>
                <w:b w:val="0"/>
              </w:rPr>
            </w:pPr>
          </w:p>
        </w:tc>
        <w:tc>
          <w:tcPr>
            <w:tcW w:w="1933" w:type="dxa"/>
          </w:tcPr>
          <w:p w:rsidR="00BB5F4F" w:rsidRPr="00D507D9" w:rsidRDefault="00BB5F4F" w:rsidP="00E15678">
            <w:pPr>
              <w:pStyle w:val="TableTextEntries"/>
              <w:rPr>
                <w:b w:val="0"/>
              </w:rPr>
            </w:pPr>
          </w:p>
        </w:tc>
        <w:tc>
          <w:tcPr>
            <w:tcW w:w="2031" w:type="dxa"/>
          </w:tcPr>
          <w:p w:rsidR="00BB5F4F" w:rsidRPr="00D507D9" w:rsidRDefault="00BB5F4F" w:rsidP="00E15678">
            <w:pPr>
              <w:pStyle w:val="TableTextEntries"/>
              <w:rPr>
                <w:b w:val="0"/>
              </w:rPr>
            </w:pPr>
          </w:p>
        </w:tc>
        <w:tc>
          <w:tcPr>
            <w:tcW w:w="1939" w:type="dxa"/>
          </w:tcPr>
          <w:p w:rsidR="00BB5F4F" w:rsidRPr="00D507D9" w:rsidRDefault="00BB5F4F" w:rsidP="00E15678">
            <w:pPr>
              <w:pStyle w:val="TableTextEntries"/>
              <w:rPr>
                <w:b w:val="0"/>
              </w:rPr>
            </w:pPr>
          </w:p>
        </w:tc>
        <w:tc>
          <w:tcPr>
            <w:tcW w:w="1921" w:type="dxa"/>
          </w:tcPr>
          <w:p w:rsidR="00BB5F4F" w:rsidRPr="00D507D9" w:rsidRDefault="00BB5F4F" w:rsidP="00E15678">
            <w:pPr>
              <w:pStyle w:val="TableTextEntries"/>
              <w:rPr>
                <w:b w:val="0"/>
              </w:rPr>
            </w:pPr>
          </w:p>
        </w:tc>
        <w:tc>
          <w:tcPr>
            <w:tcW w:w="1743" w:type="dxa"/>
          </w:tcPr>
          <w:p w:rsidR="00BB5F4F" w:rsidRPr="00D507D9" w:rsidRDefault="00BB5F4F" w:rsidP="00E15678">
            <w:pPr>
              <w:pStyle w:val="TableTextEntries"/>
              <w:rPr>
                <w:b w:val="0"/>
              </w:rPr>
            </w:pPr>
          </w:p>
        </w:tc>
        <w:tc>
          <w:tcPr>
            <w:tcW w:w="1503" w:type="dxa"/>
          </w:tcPr>
          <w:p w:rsidR="00BB5F4F" w:rsidRPr="00071B95" w:rsidRDefault="00BB5F4F" w:rsidP="00E15678">
            <w:pPr>
              <w:pStyle w:val="TableTextEntries"/>
              <w:rPr>
                <w:b w:val="0"/>
              </w:rPr>
            </w:pP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Pr="00D507D9" w:rsidRDefault="00742ACA" w:rsidP="007460BA">
            <w:pPr>
              <w:pStyle w:val="TableTextEntries"/>
              <w:rPr>
                <w:b w:val="0"/>
              </w:rPr>
            </w:pPr>
            <w:r>
              <w:rPr>
                <w:b w:val="0"/>
              </w:rPr>
              <w:t>Quality Basic Education Program</w:t>
            </w:r>
          </w:p>
        </w:tc>
        <w:tc>
          <w:tcPr>
            <w:tcW w:w="1933" w:type="dxa"/>
          </w:tcPr>
          <w:p w:rsidR="00742ACA" w:rsidRPr="00D507D9" w:rsidRDefault="00742ACA" w:rsidP="007460BA">
            <w:pPr>
              <w:pStyle w:val="TableTextEntries"/>
              <w:rPr>
                <w:b w:val="0"/>
              </w:rPr>
            </w:pPr>
            <w:r>
              <w:rPr>
                <w:b w:val="0"/>
              </w:rPr>
              <w:t>INK545</w:t>
            </w:r>
          </w:p>
        </w:tc>
        <w:tc>
          <w:tcPr>
            <w:tcW w:w="2031" w:type="dxa"/>
          </w:tcPr>
          <w:p w:rsidR="00742ACA" w:rsidRPr="001A308A" w:rsidRDefault="00742ACA" w:rsidP="007460BA">
            <w:pPr>
              <w:pStyle w:val="TableTextEntries"/>
              <w:rPr>
                <w:b w:val="0"/>
              </w:rPr>
            </w:pPr>
            <w:r>
              <w:rPr>
                <w:b w:val="0"/>
              </w:rPr>
              <w:t>Mid-term review</w:t>
            </w:r>
          </w:p>
        </w:tc>
        <w:tc>
          <w:tcPr>
            <w:tcW w:w="1939" w:type="dxa"/>
          </w:tcPr>
          <w:p w:rsidR="00742ACA" w:rsidRPr="001A308A" w:rsidRDefault="00742ACA" w:rsidP="007460BA">
            <w:pPr>
              <w:pStyle w:val="TableTextEntries"/>
              <w:rPr>
                <w:b w:val="0"/>
                <w:highlight w:val="yellow"/>
              </w:rPr>
            </w:pPr>
            <w:r w:rsidRPr="00742ACA">
              <w:rPr>
                <w:b w:val="0"/>
              </w:rPr>
              <w:t>August 2014</w:t>
            </w:r>
          </w:p>
        </w:tc>
        <w:tc>
          <w:tcPr>
            <w:tcW w:w="1921" w:type="dxa"/>
          </w:tcPr>
          <w:p w:rsidR="00742ACA" w:rsidRPr="001A308A" w:rsidRDefault="00E97059" w:rsidP="007460BA">
            <w:pPr>
              <w:pStyle w:val="TableTextEntries"/>
              <w:rPr>
                <w:b w:val="0"/>
                <w:highlight w:val="yellow"/>
              </w:rPr>
            </w:pPr>
            <w:r>
              <w:rPr>
                <w:b w:val="0"/>
              </w:rPr>
              <w:t>October</w:t>
            </w:r>
            <w:r w:rsidR="001C2D59">
              <w:rPr>
                <w:b w:val="0"/>
              </w:rPr>
              <w:t xml:space="preserve"> 20</w:t>
            </w:r>
            <w:r w:rsidR="00811691" w:rsidRPr="00811691">
              <w:rPr>
                <w:b w:val="0"/>
              </w:rPr>
              <w:t>15</w:t>
            </w:r>
          </w:p>
        </w:tc>
        <w:tc>
          <w:tcPr>
            <w:tcW w:w="1743" w:type="dxa"/>
          </w:tcPr>
          <w:p w:rsidR="00742ACA" w:rsidRPr="001A308A" w:rsidRDefault="001C2D59" w:rsidP="007460BA">
            <w:pPr>
              <w:pStyle w:val="TableTextEntries"/>
              <w:rPr>
                <w:b w:val="0"/>
                <w:highlight w:val="yellow"/>
              </w:rPr>
            </w:pPr>
            <w:r>
              <w:rPr>
                <w:b w:val="0"/>
              </w:rPr>
              <w:t>October 20</w:t>
            </w:r>
            <w:r w:rsidR="00811691" w:rsidRPr="00811691">
              <w:rPr>
                <w:b w:val="0"/>
              </w:rPr>
              <w:t>15</w:t>
            </w:r>
          </w:p>
        </w:tc>
        <w:tc>
          <w:tcPr>
            <w:tcW w:w="1503" w:type="dxa"/>
          </w:tcPr>
          <w:p w:rsidR="00742ACA" w:rsidRPr="001A308A" w:rsidRDefault="001C2D59" w:rsidP="007460BA">
            <w:pPr>
              <w:pStyle w:val="TableTextEntries"/>
              <w:rPr>
                <w:b w:val="0"/>
                <w:highlight w:val="yellow"/>
              </w:rPr>
            </w:pPr>
            <w:r>
              <w:rPr>
                <w:b w:val="0"/>
              </w:rPr>
              <w:t>October 2015</w:t>
            </w: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Default="00742ACA" w:rsidP="007460BA">
            <w:pPr>
              <w:pStyle w:val="TableTextEntries"/>
              <w:rPr>
                <w:b w:val="0"/>
              </w:rPr>
            </w:pPr>
            <w:r>
              <w:rPr>
                <w:b w:val="0"/>
              </w:rPr>
              <w:t>Assisting Myanmar’s Conflict Affected and Displaced</w:t>
            </w:r>
          </w:p>
        </w:tc>
        <w:tc>
          <w:tcPr>
            <w:tcW w:w="1933" w:type="dxa"/>
          </w:tcPr>
          <w:p w:rsidR="00742ACA" w:rsidRDefault="00742ACA" w:rsidP="007460BA">
            <w:pPr>
              <w:pStyle w:val="TableTextEntries"/>
              <w:rPr>
                <w:b w:val="0"/>
              </w:rPr>
            </w:pPr>
            <w:r>
              <w:rPr>
                <w:b w:val="0"/>
              </w:rPr>
              <w:t>INL008</w:t>
            </w:r>
          </w:p>
        </w:tc>
        <w:tc>
          <w:tcPr>
            <w:tcW w:w="2031" w:type="dxa"/>
          </w:tcPr>
          <w:p w:rsidR="00742ACA" w:rsidRDefault="00742ACA" w:rsidP="007460BA">
            <w:pPr>
              <w:pStyle w:val="TableTextEntries"/>
              <w:rPr>
                <w:b w:val="0"/>
                <w:highlight w:val="yellow"/>
              </w:rPr>
            </w:pPr>
            <w:r w:rsidRPr="00742ACA">
              <w:rPr>
                <w:b w:val="0"/>
              </w:rPr>
              <w:t>Mid-term review</w:t>
            </w:r>
          </w:p>
        </w:tc>
        <w:tc>
          <w:tcPr>
            <w:tcW w:w="1939" w:type="dxa"/>
          </w:tcPr>
          <w:p w:rsidR="00742ACA" w:rsidRPr="001A308A" w:rsidRDefault="00742ACA" w:rsidP="007460BA">
            <w:pPr>
              <w:pStyle w:val="TableTextEntries"/>
              <w:rPr>
                <w:b w:val="0"/>
                <w:highlight w:val="yellow"/>
              </w:rPr>
            </w:pPr>
            <w:r w:rsidRPr="00742ACA">
              <w:rPr>
                <w:b w:val="0"/>
              </w:rPr>
              <w:t>October 2014</w:t>
            </w:r>
          </w:p>
        </w:tc>
        <w:tc>
          <w:tcPr>
            <w:tcW w:w="1921" w:type="dxa"/>
          </w:tcPr>
          <w:p w:rsidR="00742ACA" w:rsidRPr="001A308A" w:rsidRDefault="00E97059" w:rsidP="007460BA">
            <w:pPr>
              <w:pStyle w:val="TableTextEntries"/>
              <w:rPr>
                <w:b w:val="0"/>
                <w:highlight w:val="yellow"/>
              </w:rPr>
            </w:pPr>
            <w:r>
              <w:rPr>
                <w:b w:val="0"/>
              </w:rPr>
              <w:t>October 20</w:t>
            </w:r>
            <w:r w:rsidR="00811691" w:rsidRPr="00811691">
              <w:rPr>
                <w:b w:val="0"/>
              </w:rPr>
              <w:t>15</w:t>
            </w:r>
          </w:p>
        </w:tc>
        <w:tc>
          <w:tcPr>
            <w:tcW w:w="1743" w:type="dxa"/>
          </w:tcPr>
          <w:p w:rsidR="00742ACA" w:rsidRPr="001A308A" w:rsidRDefault="00E97059" w:rsidP="007460BA">
            <w:pPr>
              <w:pStyle w:val="TableTextEntries"/>
              <w:rPr>
                <w:b w:val="0"/>
                <w:highlight w:val="yellow"/>
              </w:rPr>
            </w:pPr>
            <w:r>
              <w:rPr>
                <w:b w:val="0"/>
              </w:rPr>
              <w:t>October 20</w:t>
            </w:r>
            <w:r w:rsidR="00811691" w:rsidRPr="00811691">
              <w:rPr>
                <w:b w:val="0"/>
              </w:rPr>
              <w:t>15</w:t>
            </w:r>
          </w:p>
        </w:tc>
        <w:tc>
          <w:tcPr>
            <w:tcW w:w="1503" w:type="dxa"/>
          </w:tcPr>
          <w:p w:rsidR="00742ACA" w:rsidRPr="001A308A" w:rsidRDefault="001C2D59" w:rsidP="007460BA">
            <w:pPr>
              <w:pStyle w:val="TableTextEntries"/>
              <w:rPr>
                <w:b w:val="0"/>
                <w:highlight w:val="yellow"/>
              </w:rPr>
            </w:pPr>
            <w:r>
              <w:rPr>
                <w:b w:val="0"/>
              </w:rPr>
              <w:t>October 2015</w:t>
            </w: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Default="00742ACA" w:rsidP="007460BA">
            <w:pPr>
              <w:pStyle w:val="TableTextEntries"/>
              <w:rPr>
                <w:b w:val="0"/>
              </w:rPr>
            </w:pPr>
            <w:r>
              <w:rPr>
                <w:b w:val="0"/>
              </w:rPr>
              <w:t>Humanitarian and Peacebuilding Support in Myanmar</w:t>
            </w:r>
          </w:p>
        </w:tc>
        <w:tc>
          <w:tcPr>
            <w:tcW w:w="1933" w:type="dxa"/>
          </w:tcPr>
          <w:p w:rsidR="00742ACA" w:rsidRDefault="00742ACA" w:rsidP="007460BA">
            <w:pPr>
              <w:pStyle w:val="TableTextEntries"/>
              <w:rPr>
                <w:b w:val="0"/>
              </w:rPr>
            </w:pPr>
            <w:r>
              <w:rPr>
                <w:b w:val="0"/>
              </w:rPr>
              <w:t>INL443</w:t>
            </w:r>
          </w:p>
        </w:tc>
        <w:tc>
          <w:tcPr>
            <w:tcW w:w="2031" w:type="dxa"/>
          </w:tcPr>
          <w:p w:rsidR="00742ACA" w:rsidRPr="001A308A" w:rsidRDefault="00742ACA" w:rsidP="007460BA">
            <w:pPr>
              <w:pStyle w:val="TableTextEntries"/>
              <w:rPr>
                <w:b w:val="0"/>
                <w:highlight w:val="yellow"/>
              </w:rPr>
            </w:pPr>
            <w:r w:rsidRPr="00742ACA">
              <w:rPr>
                <w:b w:val="0"/>
              </w:rPr>
              <w:t>Independent evaluation</w:t>
            </w:r>
          </w:p>
        </w:tc>
        <w:tc>
          <w:tcPr>
            <w:tcW w:w="1939" w:type="dxa"/>
          </w:tcPr>
          <w:p w:rsidR="00742ACA" w:rsidRPr="001A308A" w:rsidRDefault="00742ACA" w:rsidP="007460BA">
            <w:pPr>
              <w:pStyle w:val="TableTextEntries"/>
              <w:rPr>
                <w:b w:val="0"/>
                <w:highlight w:val="yellow"/>
              </w:rPr>
            </w:pPr>
            <w:r w:rsidRPr="00742ACA">
              <w:rPr>
                <w:b w:val="0"/>
              </w:rPr>
              <w:t>December 2014</w:t>
            </w:r>
          </w:p>
        </w:tc>
        <w:tc>
          <w:tcPr>
            <w:tcW w:w="1921" w:type="dxa"/>
          </w:tcPr>
          <w:p w:rsidR="00742ACA" w:rsidRPr="00242863" w:rsidRDefault="00242863" w:rsidP="007460BA">
            <w:pPr>
              <w:pStyle w:val="TableTextEntries"/>
              <w:rPr>
                <w:b w:val="0"/>
              </w:rPr>
            </w:pPr>
            <w:r w:rsidRPr="00242863">
              <w:rPr>
                <w:b w:val="0"/>
              </w:rPr>
              <w:t>October 2015</w:t>
            </w:r>
          </w:p>
        </w:tc>
        <w:tc>
          <w:tcPr>
            <w:tcW w:w="1743" w:type="dxa"/>
          </w:tcPr>
          <w:p w:rsidR="00742ACA" w:rsidRPr="00242863" w:rsidRDefault="006A7797" w:rsidP="007460BA">
            <w:pPr>
              <w:pStyle w:val="TableTextEntries"/>
              <w:rPr>
                <w:b w:val="0"/>
              </w:rPr>
            </w:pPr>
            <w:r>
              <w:rPr>
                <w:b w:val="0"/>
              </w:rPr>
              <w:t xml:space="preserve">Scheduled for </w:t>
            </w:r>
            <w:r w:rsidR="00242863" w:rsidRPr="00242863">
              <w:rPr>
                <w:b w:val="0"/>
              </w:rPr>
              <w:t>December 2015</w:t>
            </w:r>
          </w:p>
        </w:tc>
        <w:tc>
          <w:tcPr>
            <w:tcW w:w="1503" w:type="dxa"/>
          </w:tcPr>
          <w:p w:rsidR="00742ACA" w:rsidRPr="00242863" w:rsidRDefault="006A7797" w:rsidP="007460BA">
            <w:pPr>
              <w:pStyle w:val="TableTextEntries"/>
              <w:rPr>
                <w:b w:val="0"/>
              </w:rPr>
            </w:pPr>
            <w:r>
              <w:rPr>
                <w:b w:val="0"/>
              </w:rPr>
              <w:t xml:space="preserve">Scheduled for </w:t>
            </w:r>
            <w:r w:rsidRPr="00242863">
              <w:rPr>
                <w:b w:val="0"/>
              </w:rPr>
              <w:t>December 2015</w:t>
            </w: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Pr="00D507D9" w:rsidRDefault="00742ACA" w:rsidP="00E15678">
            <w:pPr>
              <w:pStyle w:val="TableTextEntries"/>
              <w:rPr>
                <w:b w:val="0"/>
              </w:rPr>
            </w:pPr>
            <w:r>
              <w:rPr>
                <w:b w:val="0"/>
              </w:rPr>
              <w:t>Three Millennium Development Goals Fund</w:t>
            </w:r>
          </w:p>
        </w:tc>
        <w:tc>
          <w:tcPr>
            <w:tcW w:w="1933" w:type="dxa"/>
          </w:tcPr>
          <w:p w:rsidR="00742ACA" w:rsidRPr="00D507D9" w:rsidRDefault="00742ACA" w:rsidP="00E15678">
            <w:pPr>
              <w:pStyle w:val="TableTextEntries"/>
              <w:rPr>
                <w:b w:val="0"/>
              </w:rPr>
            </w:pPr>
            <w:r>
              <w:rPr>
                <w:b w:val="0"/>
              </w:rPr>
              <w:t>INK445</w:t>
            </w:r>
          </w:p>
        </w:tc>
        <w:tc>
          <w:tcPr>
            <w:tcW w:w="2031" w:type="dxa"/>
          </w:tcPr>
          <w:p w:rsidR="00742ACA" w:rsidRPr="00D507D9" w:rsidRDefault="00742ACA" w:rsidP="00742ACA">
            <w:pPr>
              <w:pStyle w:val="TableTextEntries"/>
              <w:rPr>
                <w:b w:val="0"/>
              </w:rPr>
            </w:pPr>
            <w:r>
              <w:rPr>
                <w:b w:val="0"/>
              </w:rPr>
              <w:t>Mid-term review</w:t>
            </w:r>
          </w:p>
        </w:tc>
        <w:tc>
          <w:tcPr>
            <w:tcW w:w="1939" w:type="dxa"/>
          </w:tcPr>
          <w:p w:rsidR="00742ACA" w:rsidRPr="00D507D9" w:rsidRDefault="00742ACA" w:rsidP="00E15678">
            <w:pPr>
              <w:pStyle w:val="TableTextEntries"/>
              <w:rPr>
                <w:b w:val="0"/>
              </w:rPr>
            </w:pPr>
            <w:r>
              <w:rPr>
                <w:b w:val="0"/>
              </w:rPr>
              <w:t>January 2015</w:t>
            </w:r>
          </w:p>
        </w:tc>
        <w:tc>
          <w:tcPr>
            <w:tcW w:w="1921" w:type="dxa"/>
          </w:tcPr>
          <w:p w:rsidR="00742ACA" w:rsidRPr="00742ACA" w:rsidRDefault="00E97059" w:rsidP="00E15678">
            <w:pPr>
              <w:pStyle w:val="TableTextEntries"/>
              <w:rPr>
                <w:b w:val="0"/>
                <w:highlight w:val="yellow"/>
              </w:rPr>
            </w:pPr>
            <w:r>
              <w:rPr>
                <w:b w:val="0"/>
              </w:rPr>
              <w:t>October 20</w:t>
            </w:r>
            <w:r w:rsidR="00811691" w:rsidRPr="00811691">
              <w:rPr>
                <w:b w:val="0"/>
              </w:rPr>
              <w:t>15</w:t>
            </w:r>
          </w:p>
        </w:tc>
        <w:tc>
          <w:tcPr>
            <w:tcW w:w="1743" w:type="dxa"/>
          </w:tcPr>
          <w:p w:rsidR="00742ACA" w:rsidRPr="00742ACA" w:rsidRDefault="00E97059" w:rsidP="00E15678">
            <w:pPr>
              <w:pStyle w:val="TableTextEntries"/>
              <w:rPr>
                <w:b w:val="0"/>
                <w:highlight w:val="yellow"/>
              </w:rPr>
            </w:pPr>
            <w:r>
              <w:rPr>
                <w:b w:val="0"/>
              </w:rPr>
              <w:t>October 2015</w:t>
            </w:r>
          </w:p>
        </w:tc>
        <w:tc>
          <w:tcPr>
            <w:tcW w:w="1503" w:type="dxa"/>
          </w:tcPr>
          <w:p w:rsidR="00742ACA" w:rsidRPr="00742ACA" w:rsidRDefault="00E97059" w:rsidP="00E15678">
            <w:pPr>
              <w:pStyle w:val="TableTextEntries"/>
              <w:rPr>
                <w:b w:val="0"/>
                <w:highlight w:val="yellow"/>
              </w:rPr>
            </w:pPr>
            <w:r>
              <w:rPr>
                <w:b w:val="0"/>
              </w:rPr>
              <w:t>October 2015</w:t>
            </w: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Default="00742ACA" w:rsidP="001A308A">
            <w:pPr>
              <w:pStyle w:val="TableTextEntries"/>
              <w:rPr>
                <w:b w:val="0"/>
              </w:rPr>
            </w:pPr>
            <w:r>
              <w:rPr>
                <w:b w:val="0"/>
              </w:rPr>
              <w:t>Myanmar Education Consortium</w:t>
            </w:r>
          </w:p>
        </w:tc>
        <w:tc>
          <w:tcPr>
            <w:tcW w:w="1933" w:type="dxa"/>
          </w:tcPr>
          <w:p w:rsidR="00742ACA" w:rsidRDefault="00742ACA" w:rsidP="00E15678">
            <w:pPr>
              <w:pStyle w:val="TableTextEntries"/>
              <w:rPr>
                <w:b w:val="0"/>
              </w:rPr>
            </w:pPr>
            <w:r>
              <w:rPr>
                <w:b w:val="0"/>
              </w:rPr>
              <w:t>INK545</w:t>
            </w:r>
          </w:p>
        </w:tc>
        <w:tc>
          <w:tcPr>
            <w:tcW w:w="2031" w:type="dxa"/>
          </w:tcPr>
          <w:p w:rsidR="00742ACA" w:rsidRDefault="00742ACA" w:rsidP="00E15678">
            <w:pPr>
              <w:pStyle w:val="TableTextEntries"/>
              <w:rPr>
                <w:b w:val="0"/>
              </w:rPr>
            </w:pPr>
            <w:r>
              <w:rPr>
                <w:b w:val="0"/>
              </w:rPr>
              <w:t>Mid-term review</w:t>
            </w:r>
          </w:p>
        </w:tc>
        <w:tc>
          <w:tcPr>
            <w:tcW w:w="1939" w:type="dxa"/>
          </w:tcPr>
          <w:p w:rsidR="00742ACA" w:rsidRDefault="00742ACA" w:rsidP="00E15678">
            <w:pPr>
              <w:pStyle w:val="TableTextEntries"/>
              <w:rPr>
                <w:b w:val="0"/>
              </w:rPr>
            </w:pPr>
            <w:r>
              <w:rPr>
                <w:b w:val="0"/>
              </w:rPr>
              <w:t>February 2015</w:t>
            </w:r>
          </w:p>
        </w:tc>
        <w:tc>
          <w:tcPr>
            <w:tcW w:w="1921" w:type="dxa"/>
          </w:tcPr>
          <w:p w:rsidR="00742ACA" w:rsidRPr="001A308A" w:rsidRDefault="00E97059" w:rsidP="00E97059">
            <w:pPr>
              <w:pStyle w:val="TableTextEntries"/>
              <w:rPr>
                <w:b w:val="0"/>
                <w:highlight w:val="yellow"/>
              </w:rPr>
            </w:pPr>
            <w:r>
              <w:rPr>
                <w:b w:val="0"/>
              </w:rPr>
              <w:t>October 20</w:t>
            </w:r>
            <w:r w:rsidR="00811691" w:rsidRPr="00811691">
              <w:rPr>
                <w:b w:val="0"/>
              </w:rPr>
              <w:t>15</w:t>
            </w:r>
          </w:p>
        </w:tc>
        <w:tc>
          <w:tcPr>
            <w:tcW w:w="1743" w:type="dxa"/>
          </w:tcPr>
          <w:p w:rsidR="00742ACA" w:rsidRPr="001A308A" w:rsidRDefault="00E97059" w:rsidP="00E15678">
            <w:pPr>
              <w:pStyle w:val="TableTextEntries"/>
              <w:rPr>
                <w:b w:val="0"/>
                <w:highlight w:val="yellow"/>
              </w:rPr>
            </w:pPr>
            <w:r>
              <w:rPr>
                <w:b w:val="0"/>
              </w:rPr>
              <w:t>October 20</w:t>
            </w:r>
            <w:r w:rsidR="00811691" w:rsidRPr="00811691">
              <w:rPr>
                <w:b w:val="0"/>
              </w:rPr>
              <w:t>15</w:t>
            </w:r>
          </w:p>
        </w:tc>
        <w:tc>
          <w:tcPr>
            <w:tcW w:w="1503" w:type="dxa"/>
          </w:tcPr>
          <w:p w:rsidR="00742ACA" w:rsidRPr="001A308A" w:rsidRDefault="00E97059" w:rsidP="00E15678">
            <w:pPr>
              <w:pStyle w:val="TableTextEntries"/>
              <w:rPr>
                <w:b w:val="0"/>
                <w:highlight w:val="yellow"/>
              </w:rPr>
            </w:pPr>
            <w:r>
              <w:rPr>
                <w:b w:val="0"/>
              </w:rPr>
              <w:t>October 20</w:t>
            </w:r>
            <w:r w:rsidR="00811691" w:rsidRPr="00811691">
              <w:rPr>
                <w:b w:val="0"/>
              </w:rPr>
              <w:t>15</w:t>
            </w:r>
          </w:p>
        </w:tc>
      </w:tr>
      <w:tr w:rsidR="00742ACA"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742ACA" w:rsidRPr="00D507D9" w:rsidRDefault="00742ACA" w:rsidP="007460BA">
            <w:pPr>
              <w:pStyle w:val="TableTextEntries"/>
              <w:rPr>
                <w:b w:val="0"/>
              </w:rPr>
            </w:pPr>
            <w:r>
              <w:rPr>
                <w:b w:val="0"/>
              </w:rPr>
              <w:t xml:space="preserve">ACIAR Multidisciplinary Research Program </w:t>
            </w:r>
            <w:r w:rsidR="00CA59F3">
              <w:rPr>
                <w:b w:val="0"/>
              </w:rPr>
              <w:t>Myanmar</w:t>
            </w:r>
          </w:p>
        </w:tc>
        <w:tc>
          <w:tcPr>
            <w:tcW w:w="1933" w:type="dxa"/>
          </w:tcPr>
          <w:p w:rsidR="00742ACA" w:rsidRPr="00D507D9" w:rsidRDefault="00742ACA" w:rsidP="007460BA">
            <w:pPr>
              <w:pStyle w:val="TableTextEntries"/>
              <w:rPr>
                <w:b w:val="0"/>
              </w:rPr>
            </w:pPr>
            <w:r>
              <w:rPr>
                <w:b w:val="0"/>
              </w:rPr>
              <w:t>INK149</w:t>
            </w:r>
          </w:p>
        </w:tc>
        <w:tc>
          <w:tcPr>
            <w:tcW w:w="2031" w:type="dxa"/>
          </w:tcPr>
          <w:p w:rsidR="00742ACA" w:rsidRPr="00D507D9" w:rsidRDefault="00742ACA" w:rsidP="007460BA">
            <w:pPr>
              <w:pStyle w:val="TableTextEntries"/>
              <w:rPr>
                <w:b w:val="0"/>
              </w:rPr>
            </w:pPr>
            <w:r>
              <w:rPr>
                <w:b w:val="0"/>
              </w:rPr>
              <w:t>Mid-term review</w:t>
            </w:r>
          </w:p>
        </w:tc>
        <w:tc>
          <w:tcPr>
            <w:tcW w:w="1939" w:type="dxa"/>
          </w:tcPr>
          <w:p w:rsidR="00742ACA" w:rsidRPr="00D507D9" w:rsidRDefault="00742ACA" w:rsidP="007460BA">
            <w:pPr>
              <w:pStyle w:val="TableTextEntries"/>
              <w:rPr>
                <w:b w:val="0"/>
              </w:rPr>
            </w:pPr>
            <w:r>
              <w:rPr>
                <w:b w:val="0"/>
              </w:rPr>
              <w:t>June 2015</w:t>
            </w:r>
          </w:p>
        </w:tc>
        <w:tc>
          <w:tcPr>
            <w:tcW w:w="1921" w:type="dxa"/>
          </w:tcPr>
          <w:p w:rsidR="00742ACA" w:rsidRPr="00D507D9" w:rsidRDefault="00E97059" w:rsidP="007460BA">
            <w:pPr>
              <w:pStyle w:val="TableTextEntries"/>
              <w:rPr>
                <w:b w:val="0"/>
              </w:rPr>
            </w:pPr>
            <w:r>
              <w:rPr>
                <w:b w:val="0"/>
              </w:rPr>
              <w:t>October 20</w:t>
            </w:r>
            <w:r w:rsidR="00C2120B">
              <w:rPr>
                <w:b w:val="0"/>
              </w:rPr>
              <w:t>15</w:t>
            </w:r>
          </w:p>
        </w:tc>
        <w:tc>
          <w:tcPr>
            <w:tcW w:w="1743" w:type="dxa"/>
          </w:tcPr>
          <w:p w:rsidR="00742ACA" w:rsidRPr="00D507D9" w:rsidRDefault="006A7797" w:rsidP="007460BA">
            <w:pPr>
              <w:pStyle w:val="TableTextEntries"/>
              <w:rPr>
                <w:b w:val="0"/>
              </w:rPr>
            </w:pPr>
            <w:r>
              <w:rPr>
                <w:b w:val="0"/>
              </w:rPr>
              <w:t xml:space="preserve">Scheduled for </w:t>
            </w:r>
            <w:r w:rsidRPr="00242863">
              <w:rPr>
                <w:b w:val="0"/>
              </w:rPr>
              <w:t>December 2015</w:t>
            </w:r>
          </w:p>
        </w:tc>
        <w:tc>
          <w:tcPr>
            <w:tcW w:w="1503" w:type="dxa"/>
          </w:tcPr>
          <w:p w:rsidR="00742ACA" w:rsidRPr="00071B95" w:rsidRDefault="006A7797" w:rsidP="007460BA">
            <w:pPr>
              <w:pStyle w:val="TableTextEntries"/>
              <w:rPr>
                <w:b w:val="0"/>
              </w:rPr>
            </w:pPr>
            <w:r>
              <w:rPr>
                <w:b w:val="0"/>
              </w:rPr>
              <w:t xml:space="preserve">Scheduled for </w:t>
            </w:r>
            <w:r w:rsidRPr="00242863">
              <w:rPr>
                <w:b w:val="0"/>
              </w:rPr>
              <w:t>December 2015</w:t>
            </w:r>
          </w:p>
        </w:tc>
      </w:tr>
    </w:tbl>
    <w:p w:rsidR="00BB5F4F" w:rsidRPr="00071B95" w:rsidRDefault="00BB5F4F" w:rsidP="00416B02">
      <w:pPr>
        <w:pStyle w:val="Heading3"/>
      </w:pPr>
      <w:r w:rsidRPr="00071B95">
        <w:t xml:space="preserve">List of evaluations planned in the next 12 months </w:t>
      </w:r>
    </w:p>
    <w:p w:rsidR="00BB5F4F" w:rsidRDefault="00BB5F4F" w:rsidP="00416B02">
      <w:pPr>
        <w:pStyle w:val="TableTextColumnHeading"/>
        <w:sectPr w:rsidR="00BB5F4F" w:rsidSect="00BD3ED6">
          <w:headerReference w:type="even" r:id="rId19"/>
          <w:footerReference w:type="first" r:id="rId20"/>
          <w:pgSz w:w="16838" w:h="11906" w:orient="landscape" w:code="9"/>
          <w:pgMar w:top="1440" w:right="1440" w:bottom="1440" w:left="1440"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BB5F4F" w:rsidRPr="00071B95" w:rsidTr="00E15678">
        <w:tc>
          <w:tcPr>
            <w:tcW w:w="2601" w:type="dxa"/>
          </w:tcPr>
          <w:p w:rsidR="00BB5F4F" w:rsidRPr="00071B95" w:rsidRDefault="00BB5F4F" w:rsidP="00E15678">
            <w:pPr>
              <w:pStyle w:val="TableTextColumnHeading"/>
            </w:pPr>
            <w:r w:rsidRPr="00071B95">
              <w:lastRenderedPageBreak/>
              <w:t xml:space="preserve">Name of </w:t>
            </w:r>
            <w:r>
              <w:t>Investment</w:t>
            </w:r>
          </w:p>
        </w:tc>
        <w:tc>
          <w:tcPr>
            <w:tcW w:w="2530" w:type="dxa"/>
          </w:tcPr>
          <w:p w:rsidR="00BB5F4F" w:rsidRPr="00071B95" w:rsidRDefault="00BB5F4F" w:rsidP="00E15678">
            <w:pPr>
              <w:pStyle w:val="TableTextColumnHeading"/>
            </w:pPr>
            <w:r>
              <w:t>AidW</w:t>
            </w:r>
            <w:r w:rsidRPr="00071B95">
              <w:t>orks number</w:t>
            </w:r>
          </w:p>
        </w:tc>
        <w:tc>
          <w:tcPr>
            <w:tcW w:w="2612" w:type="dxa"/>
          </w:tcPr>
          <w:p w:rsidR="00BB5F4F" w:rsidRPr="00071B95" w:rsidRDefault="00BB5F4F" w:rsidP="00E15678">
            <w:pPr>
              <w:pStyle w:val="TableTextColumnHeading"/>
            </w:pPr>
            <w:r w:rsidRPr="00071B95">
              <w:t>Type of evaluation</w:t>
            </w:r>
          </w:p>
        </w:tc>
        <w:tc>
          <w:tcPr>
            <w:tcW w:w="2612" w:type="dxa"/>
          </w:tcPr>
          <w:p w:rsidR="00BB5F4F" w:rsidRPr="00071B95" w:rsidRDefault="00BB5F4F" w:rsidP="00E15678">
            <w:pPr>
              <w:pStyle w:val="TableTextColumnHeading"/>
            </w:pPr>
            <w:r w:rsidRPr="00071B95">
              <w:t>Purpose of evaluation</w:t>
            </w:r>
          </w:p>
        </w:tc>
        <w:tc>
          <w:tcPr>
            <w:tcW w:w="2617" w:type="dxa"/>
          </w:tcPr>
          <w:p w:rsidR="00BB5F4F" w:rsidRPr="00071B95" w:rsidRDefault="00BB5F4F" w:rsidP="00E15678">
            <w:pPr>
              <w:pStyle w:val="TableTextColumnHeading"/>
            </w:pPr>
            <w:r w:rsidRPr="00071B95">
              <w:t>Expected completion date</w:t>
            </w:r>
          </w:p>
        </w:tc>
      </w:tr>
      <w:tr w:rsidR="00BB5F4F" w:rsidRPr="00071B95" w:rsidTr="00E15678">
        <w:tc>
          <w:tcPr>
            <w:tcW w:w="2601" w:type="dxa"/>
          </w:tcPr>
          <w:p w:rsidR="00BB5F4F" w:rsidRPr="003275D0" w:rsidRDefault="00742ACA" w:rsidP="00E15678">
            <w:pPr>
              <w:pStyle w:val="TableTextEntries"/>
            </w:pPr>
            <w:r w:rsidRPr="00742ACA">
              <w:t>Humanitarian and Peace building Support in Myanmar</w:t>
            </w:r>
          </w:p>
        </w:tc>
        <w:tc>
          <w:tcPr>
            <w:tcW w:w="2530" w:type="dxa"/>
          </w:tcPr>
          <w:p w:rsidR="00BB5F4F" w:rsidRPr="003275D0" w:rsidRDefault="00742ACA" w:rsidP="00E15678">
            <w:pPr>
              <w:pStyle w:val="TableTextEntries"/>
            </w:pPr>
            <w:r>
              <w:t>INK803</w:t>
            </w:r>
          </w:p>
        </w:tc>
        <w:tc>
          <w:tcPr>
            <w:tcW w:w="2612" w:type="dxa"/>
          </w:tcPr>
          <w:p w:rsidR="00BB5F4F" w:rsidRPr="003275D0" w:rsidRDefault="00742ACA" w:rsidP="00E15678">
            <w:pPr>
              <w:pStyle w:val="TableTextEntries"/>
            </w:pPr>
            <w:r>
              <w:t>Progress</w:t>
            </w:r>
          </w:p>
        </w:tc>
        <w:tc>
          <w:tcPr>
            <w:tcW w:w="2612" w:type="dxa"/>
          </w:tcPr>
          <w:p w:rsidR="00BB5F4F" w:rsidRPr="003275D0" w:rsidRDefault="00742ACA" w:rsidP="00E15678">
            <w:pPr>
              <w:pStyle w:val="TableTextEntries"/>
              <w:rPr>
                <w:color w:val="000000" w:themeColor="text1" w:themeShade="BF"/>
              </w:rPr>
            </w:pPr>
            <w:r w:rsidRPr="00742ACA">
              <w:rPr>
                <w:color w:val="000000" w:themeColor="text1" w:themeShade="BF"/>
              </w:rPr>
              <w:t>Evaluation of peace support activities to inform future programming.</w:t>
            </w:r>
          </w:p>
        </w:tc>
        <w:tc>
          <w:tcPr>
            <w:tcW w:w="2617" w:type="dxa"/>
          </w:tcPr>
          <w:p w:rsidR="00BB5F4F" w:rsidRPr="003275D0" w:rsidRDefault="00742ACA" w:rsidP="00E15678">
            <w:pPr>
              <w:pStyle w:val="TableTextEntries"/>
            </w:pPr>
            <w:r>
              <w:t>November 2015</w:t>
            </w:r>
          </w:p>
        </w:tc>
      </w:tr>
      <w:tr w:rsidR="00BB5F4F" w:rsidRPr="00071B95" w:rsidTr="00E15678">
        <w:tc>
          <w:tcPr>
            <w:tcW w:w="2601" w:type="dxa"/>
          </w:tcPr>
          <w:p w:rsidR="00BB5F4F" w:rsidRPr="00071B95" w:rsidRDefault="00023CB8" w:rsidP="00E15678">
            <w:pPr>
              <w:pStyle w:val="TableTextEntries"/>
            </w:pPr>
            <w:r>
              <w:t>Myanmar-Australia Partnership for Reform</w:t>
            </w:r>
          </w:p>
        </w:tc>
        <w:tc>
          <w:tcPr>
            <w:tcW w:w="2530" w:type="dxa"/>
          </w:tcPr>
          <w:p w:rsidR="00BB5F4F" w:rsidRPr="00071B95" w:rsidRDefault="00D64CF4" w:rsidP="00E15678">
            <w:pPr>
              <w:pStyle w:val="TableTextEntries"/>
            </w:pPr>
            <w:r>
              <w:t>INL</w:t>
            </w:r>
            <w:r w:rsidR="00023CB8">
              <w:t>035</w:t>
            </w:r>
          </w:p>
        </w:tc>
        <w:tc>
          <w:tcPr>
            <w:tcW w:w="2612" w:type="dxa"/>
          </w:tcPr>
          <w:p w:rsidR="00BB5F4F" w:rsidRPr="00071B95" w:rsidRDefault="00D64CF4" w:rsidP="00E15678">
            <w:pPr>
              <w:pStyle w:val="TableTextEntries"/>
            </w:pPr>
            <w:r>
              <w:t>Progress</w:t>
            </w:r>
          </w:p>
        </w:tc>
        <w:tc>
          <w:tcPr>
            <w:tcW w:w="2612" w:type="dxa"/>
          </w:tcPr>
          <w:p w:rsidR="00BB5F4F" w:rsidRPr="00071B95" w:rsidRDefault="00D64CF4" w:rsidP="00E15678">
            <w:pPr>
              <w:pStyle w:val="TableTextEntries"/>
            </w:pPr>
            <w:r>
              <w:t>Mid-term evaluation</w:t>
            </w:r>
          </w:p>
        </w:tc>
        <w:tc>
          <w:tcPr>
            <w:tcW w:w="2617" w:type="dxa"/>
          </w:tcPr>
          <w:p w:rsidR="00BB5F4F" w:rsidRPr="00071B95" w:rsidRDefault="00023CB8" w:rsidP="00E15678">
            <w:pPr>
              <w:pStyle w:val="TableTextEntries"/>
            </w:pPr>
            <w:r>
              <w:t xml:space="preserve">June </w:t>
            </w:r>
            <w:r w:rsidR="00D64CF4">
              <w:t>2016</w:t>
            </w:r>
          </w:p>
        </w:tc>
      </w:tr>
    </w:tbl>
    <w:p w:rsidR="00BB5F4F" w:rsidRDefault="00BB5F4F" w:rsidP="00416B02">
      <w:pPr>
        <w:rPr>
          <w:b/>
        </w:rPr>
        <w:sectPr w:rsidR="00BB5F4F" w:rsidSect="00BD3ED6">
          <w:footnotePr>
            <w:numRestart w:val="eachPage"/>
          </w:footnotePr>
          <w:type w:val="continuous"/>
          <w:pgSz w:w="16838" w:h="11906" w:orient="landscape" w:code="9"/>
          <w:pgMar w:top="1440" w:right="1440" w:bottom="1440" w:left="1440" w:header="709" w:footer="425" w:gutter="0"/>
          <w:cols w:space="708"/>
          <w:titlePg/>
          <w:docGrid w:linePitch="360"/>
        </w:sectPr>
      </w:pPr>
    </w:p>
    <w:p w:rsidR="00BB5F4F" w:rsidRDefault="00BB5F4F" w:rsidP="0057490F">
      <w:pPr>
        <w:pStyle w:val="Heading2"/>
        <w:tabs>
          <w:tab w:val="left" w:pos="1560"/>
        </w:tabs>
        <w:rPr>
          <w:sz w:val="28"/>
        </w:rPr>
      </w:pPr>
      <w:r>
        <w:rPr>
          <w:sz w:val="28"/>
        </w:rPr>
        <w:lastRenderedPageBreak/>
        <w:t xml:space="preserve">Annex D - Aid </w:t>
      </w:r>
      <w:r w:rsidRPr="009E38C1">
        <w:rPr>
          <w:sz w:val="28"/>
        </w:rPr>
        <w:t xml:space="preserve">Quality </w:t>
      </w:r>
      <w:r>
        <w:rPr>
          <w:sz w:val="28"/>
        </w:rPr>
        <w:t xml:space="preserve">Check </w:t>
      </w:r>
      <w:r w:rsidRPr="009E38C1">
        <w:rPr>
          <w:sz w:val="28"/>
        </w:rPr>
        <w:t>ratings</w:t>
      </w:r>
    </w:p>
    <w:p w:rsidR="00BB5F4F" w:rsidRDefault="00BB5F4F"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p>
    <w:p w:rsidR="00003E28" w:rsidRPr="00003E28" w:rsidRDefault="00003E28" w:rsidP="00003E28">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003E28">
        <w:rPr>
          <w:rFonts w:ascii="Helvetica" w:eastAsia="Times New Roman" w:hAnsi="Helvetica" w:cs="Arial"/>
          <w:b/>
          <w:color w:val="124486"/>
          <w:kern w:val="28"/>
          <w:sz w:val="22"/>
          <w:szCs w:val="22"/>
          <w:lang w:eastAsia="zh-CN"/>
        </w:rPr>
        <w:t>AQC ratings</w:t>
      </w:r>
    </w:p>
    <w:tbl>
      <w:tblPr>
        <w:tblStyle w:val="APPR1"/>
        <w:tblW w:w="5000" w:type="pct"/>
        <w:tblLook w:val="0000" w:firstRow="0" w:lastRow="0" w:firstColumn="0" w:lastColumn="0" w:noHBand="0" w:noVBand="0"/>
      </w:tblPr>
      <w:tblGrid>
        <w:gridCol w:w="2478"/>
        <w:gridCol w:w="1690"/>
        <w:gridCol w:w="1113"/>
        <w:gridCol w:w="1119"/>
        <w:gridCol w:w="1111"/>
        <w:gridCol w:w="1120"/>
        <w:gridCol w:w="1111"/>
        <w:gridCol w:w="1120"/>
        <w:gridCol w:w="1111"/>
        <w:gridCol w:w="2259"/>
      </w:tblGrid>
      <w:tr w:rsidR="00003E28" w:rsidRPr="00003E28" w:rsidTr="00076BC4">
        <w:trPr>
          <w:cnfStyle w:val="000000010000" w:firstRow="0" w:lastRow="0" w:firstColumn="0" w:lastColumn="0" w:oddVBand="0" w:evenVBand="0" w:oddHBand="0" w:evenHBand="1" w:firstRowFirstColumn="0" w:firstRowLastColumn="0" w:lastRowFirstColumn="0" w:lastRowLastColumn="0"/>
          <w:trHeight w:val="1413"/>
        </w:trPr>
        <w:tc>
          <w:tcPr>
            <w:tcW w:w="866" w:type="pct"/>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noProof/>
                <w:sz w:val="16"/>
                <w:szCs w:val="16"/>
              </w:rPr>
              <w:drawing>
                <wp:anchor distT="0" distB="0" distL="114300" distR="114300" simplePos="0" relativeHeight="251678720" behindDoc="0" locked="0" layoutInCell="1" allowOverlap="1" wp14:anchorId="16CDFA0E" wp14:editId="76FE9E1C">
                  <wp:simplePos x="0" y="0"/>
                  <wp:positionH relativeFrom="column">
                    <wp:posOffset>0</wp:posOffset>
                  </wp:positionH>
                  <wp:positionV relativeFrom="paragraph">
                    <wp:posOffset>0</wp:posOffset>
                  </wp:positionV>
                  <wp:extent cx="1857375" cy="228600"/>
                  <wp:effectExtent l="0" t="0" r="9525" b="0"/>
                  <wp:wrapNone/>
                  <wp:docPr id="18" name="Picture 1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E28">
              <w:rPr>
                <w:rFonts w:ascii="Franklin Gothic Medium" w:eastAsia="Times New Roman" w:hAnsi="Franklin Gothic Medium"/>
                <w:b/>
                <w:iCs/>
                <w:sz w:val="16"/>
                <w:szCs w:val="16"/>
                <w:lang w:eastAsia="en-US"/>
              </w:rPr>
              <w:t>Investment name</w:t>
            </w:r>
          </w:p>
        </w:tc>
        <w:tc>
          <w:tcPr>
            <w:tcW w:w="591"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Approved budget and duration</w:t>
            </w:r>
          </w:p>
        </w:tc>
        <w:tc>
          <w:tcPr>
            <w:tcW w:w="386"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AQC/QAI year</w:t>
            </w:r>
          </w:p>
        </w:tc>
        <w:tc>
          <w:tcPr>
            <w:tcW w:w="388"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Relevance</w:t>
            </w:r>
          </w:p>
        </w:tc>
        <w:tc>
          <w:tcPr>
            <w:tcW w:w="385"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Effectiveness</w:t>
            </w:r>
          </w:p>
        </w:tc>
        <w:tc>
          <w:tcPr>
            <w:tcW w:w="388"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Efficiency</w:t>
            </w:r>
          </w:p>
        </w:tc>
        <w:tc>
          <w:tcPr>
            <w:tcW w:w="385"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Monitoring and Evaluation</w:t>
            </w:r>
          </w:p>
        </w:tc>
        <w:tc>
          <w:tcPr>
            <w:tcW w:w="388"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Sustainability</w:t>
            </w:r>
          </w:p>
        </w:tc>
        <w:tc>
          <w:tcPr>
            <w:tcW w:w="385"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Gender equality</w:t>
            </w:r>
          </w:p>
        </w:tc>
        <w:tc>
          <w:tcPr>
            <w:tcW w:w="726" w:type="pct"/>
            <w:textDirection w:val="btLr"/>
          </w:tcPr>
          <w:p w:rsidR="00003E28" w:rsidRPr="00003E28" w:rsidRDefault="00003E28" w:rsidP="00003E28">
            <w:pPr>
              <w:keepLines/>
              <w:spacing w:before="80" w:after="80" w:line="200" w:lineRule="atLeast"/>
              <w:rPr>
                <w:rFonts w:ascii="Franklin Gothic Medium" w:eastAsia="Times New Roman" w:hAnsi="Franklin Gothic Medium"/>
                <w:b/>
                <w:iCs/>
                <w:sz w:val="16"/>
                <w:szCs w:val="16"/>
                <w:lang w:eastAsia="en-US"/>
              </w:rPr>
            </w:pPr>
            <w:r w:rsidRPr="00003E28">
              <w:rPr>
                <w:rFonts w:ascii="Franklin Gothic Medium" w:eastAsia="Times New Roman" w:hAnsi="Franklin Gothic Medium"/>
                <w:b/>
                <w:iCs/>
                <w:sz w:val="16"/>
                <w:szCs w:val="16"/>
                <w:lang w:eastAsia="en-US"/>
              </w:rPr>
              <w:t>Risks  and Safeguards</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CA59F3" w:rsidP="00003E28">
            <w:pPr>
              <w:keepLines/>
              <w:spacing w:before="40" w:after="40" w:line="200" w:lineRule="atLeast"/>
              <w:rPr>
                <w:rFonts w:ascii="Franklin Gothic Book" w:eastAsia="Times New Roman" w:hAnsi="Franklin Gothic Book"/>
                <w:iCs/>
                <w:sz w:val="16"/>
                <w:szCs w:val="16"/>
                <w:lang w:eastAsia="en-US"/>
              </w:rPr>
            </w:pPr>
            <w:r>
              <w:rPr>
                <w:rFonts w:ascii="Franklin Gothic Book" w:eastAsia="Times New Roman" w:hAnsi="Franklin Gothic Book"/>
                <w:iCs/>
                <w:sz w:val="16"/>
                <w:szCs w:val="16"/>
                <w:lang w:eastAsia="en-US"/>
              </w:rPr>
              <w:t>Myanmar</w:t>
            </w:r>
            <w:r w:rsidR="00003E28" w:rsidRPr="00003E28">
              <w:rPr>
                <w:rFonts w:ascii="Franklin Gothic Book" w:eastAsia="Times New Roman" w:hAnsi="Franklin Gothic Book"/>
                <w:iCs/>
                <w:sz w:val="16"/>
                <w:szCs w:val="16"/>
                <w:lang w:eastAsia="en-US"/>
              </w:rPr>
              <w:t xml:space="preserve"> School Grants and Stipends</w:t>
            </w:r>
            <w:r w:rsidR="000E752E">
              <w:rPr>
                <w:rFonts w:ascii="Franklin Gothic Book" w:eastAsia="Times New Roman" w:hAnsi="Franklin Gothic Book"/>
                <w:iCs/>
                <w:sz w:val="16"/>
                <w:szCs w:val="16"/>
                <w:lang w:eastAsia="en-US"/>
              </w:rPr>
              <w:t xml:space="preserve"> (Decentralising Funding to Schools Project)</w:t>
            </w:r>
          </w:p>
        </w:tc>
        <w:tc>
          <w:tcPr>
            <w:tcW w:w="591"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$25m, 2014-18</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6</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726" w:type="pct"/>
            <w:shd w:val="clear" w:color="auto" w:fill="72AF2F"/>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107" w:type="pct"/>
            <w:gridSpan w:val="7"/>
            <w:shd w:val="clear" w:color="auto" w:fill="DAEEF3" w:themeFill="accent5" w:themeFillTint="33"/>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Multi-Donor Education Fund Phase II (QBEP)</w:t>
            </w:r>
          </w:p>
        </w:tc>
        <w:tc>
          <w:tcPr>
            <w:tcW w:w="591"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$27.2m, 2012-15</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F00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w:t>
            </w:r>
          </w:p>
        </w:tc>
        <w:tc>
          <w:tcPr>
            <w:tcW w:w="726" w:type="pct"/>
            <w:shd w:val="clear" w:color="auto" w:fill="FFFF00"/>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107" w:type="pct"/>
            <w:gridSpan w:val="7"/>
            <w:shd w:val="clear" w:color="auto" w:fill="DAEEF3" w:themeFill="accent5" w:themeFillTint="33"/>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Myanmar Education Consortium</w:t>
            </w:r>
          </w:p>
        </w:tc>
        <w:tc>
          <w:tcPr>
            <w:tcW w:w="591"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$23m, 2013-17</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726" w:type="pct"/>
            <w:shd w:val="clear" w:color="auto" w:fill="FFFF00"/>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107" w:type="pct"/>
            <w:gridSpan w:val="7"/>
            <w:shd w:val="clear" w:color="auto" w:fill="DAEEF3" w:themeFill="accent5" w:themeFillTint="33"/>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Three MDGs Fund</w:t>
            </w:r>
          </w:p>
        </w:tc>
        <w:tc>
          <w:tcPr>
            <w:tcW w:w="591"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$100.6m, 2012-17</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6</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726" w:type="pct"/>
            <w:shd w:val="clear" w:color="auto" w:fill="72AF2F"/>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6</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726" w:type="pct"/>
            <w:shd w:val="clear" w:color="auto" w:fill="DAEEF3" w:themeFill="accent5" w:themeFillTint="33"/>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Livelihoods &amp; Food Security Trust Fund</w:t>
            </w:r>
          </w:p>
        </w:tc>
        <w:tc>
          <w:tcPr>
            <w:tcW w:w="591"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$19m, 2009-15</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726" w:type="pct"/>
            <w:shd w:val="clear" w:color="auto" w:fill="72AF2F"/>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726" w:type="pct"/>
            <w:shd w:val="clear" w:color="auto" w:fill="DAEEF3" w:themeFill="accent5" w:themeFillTint="33"/>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 xml:space="preserve">ACIAR Multidisciplinary Research Program </w:t>
            </w:r>
            <w:r w:rsidR="00CA59F3">
              <w:rPr>
                <w:rFonts w:ascii="Franklin Gothic Book" w:eastAsia="Times New Roman" w:hAnsi="Franklin Gothic Book"/>
                <w:iCs/>
                <w:sz w:val="16"/>
                <w:szCs w:val="16"/>
                <w:lang w:eastAsia="en-US"/>
              </w:rPr>
              <w:t>Myanmar</w:t>
            </w:r>
          </w:p>
        </w:tc>
        <w:tc>
          <w:tcPr>
            <w:tcW w:w="591"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$12m, 2011-16</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726" w:type="pct"/>
            <w:shd w:val="clear" w:color="auto" w:fill="FFFF00"/>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00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w:t>
            </w:r>
          </w:p>
        </w:tc>
        <w:tc>
          <w:tcPr>
            <w:tcW w:w="388" w:type="pct"/>
            <w:shd w:val="clear" w:color="auto" w:fill="FF00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00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w:t>
            </w:r>
          </w:p>
        </w:tc>
        <w:tc>
          <w:tcPr>
            <w:tcW w:w="726" w:type="pct"/>
            <w:shd w:val="clear" w:color="auto" w:fill="DAEEF3" w:themeFill="accent5" w:themeFillTint="33"/>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CARE SPARC</w:t>
            </w:r>
          </w:p>
        </w:tc>
        <w:tc>
          <w:tcPr>
            <w:tcW w:w="591"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$7.7m, 2010-17</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2014 AQC</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388"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3</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4</w:t>
            </w:r>
          </w:p>
        </w:tc>
        <w:tc>
          <w:tcPr>
            <w:tcW w:w="726" w:type="pct"/>
            <w:shd w:val="clear" w:color="auto" w:fill="72AF2F"/>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5</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2013 QAI</w:t>
            </w:r>
          </w:p>
        </w:tc>
        <w:tc>
          <w:tcPr>
            <w:tcW w:w="3107" w:type="pct"/>
            <w:gridSpan w:val="7"/>
            <w:shd w:val="clear" w:color="auto" w:fill="DAEEF3" w:themeFill="accent5" w:themeFillTint="33"/>
            <w:noWrap/>
          </w:tcPr>
          <w:p w:rsidR="00003E28" w:rsidRPr="00003E28" w:rsidRDefault="00003E28" w:rsidP="00003E28">
            <w:pPr>
              <w:keepLines/>
              <w:spacing w:before="40" w:after="40" w:line="200" w:lineRule="atLeast"/>
              <w:jc w:val="center"/>
              <w:rPr>
                <w:rFonts w:ascii="Franklin Gothic Book" w:eastAsia="Times New Roman" w:hAnsi="Franklin Gothic Book"/>
                <w:iCs/>
                <w:sz w:val="16"/>
                <w:szCs w:val="16"/>
                <w:lang w:eastAsia="en-US"/>
              </w:rPr>
            </w:pPr>
            <w:r w:rsidRPr="00003E28">
              <w:rPr>
                <w:rFonts w:ascii="Franklin Gothic Book" w:eastAsia="Times New Roman" w:hAnsi="Franklin Gothic Book"/>
                <w:iCs/>
                <w:sz w:val="16"/>
                <w:szCs w:val="16"/>
                <w:lang w:eastAsia="en-US"/>
              </w:rPr>
              <w:t>Exempt</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 xml:space="preserve">Humanitarian and Peacebuilding Support </w:t>
            </w:r>
            <w:r w:rsidR="00CA59F3">
              <w:rPr>
                <w:rFonts w:ascii="Franklin Gothic Book" w:eastAsia="Times New Roman" w:hAnsi="Franklin Gothic Book"/>
                <w:iCs/>
                <w:sz w:val="17"/>
                <w:szCs w:val="17"/>
                <w:lang w:eastAsia="en-US"/>
              </w:rPr>
              <w:t>Myanmar</w:t>
            </w:r>
          </w:p>
        </w:tc>
        <w:tc>
          <w:tcPr>
            <w:tcW w:w="591" w:type="pct"/>
            <w:vMerge w:val="restart"/>
          </w:tcPr>
          <w:p w:rsidR="00003E28" w:rsidRPr="00003E28" w:rsidRDefault="00995B83" w:rsidP="00003E28">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$21.3m, 2012-15</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726" w:type="pct"/>
            <w:shd w:val="clear" w:color="auto" w:fill="FFFF00"/>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2013 QAI</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5"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8" w:type="pct"/>
            <w:shd w:val="clear" w:color="auto" w:fill="FFFF00"/>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4</w:t>
            </w:r>
          </w:p>
        </w:tc>
        <w:tc>
          <w:tcPr>
            <w:tcW w:w="385" w:type="pct"/>
            <w:shd w:val="clear" w:color="auto" w:fill="F79646" w:themeFill="accent6"/>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3</w:t>
            </w:r>
          </w:p>
        </w:tc>
        <w:tc>
          <w:tcPr>
            <w:tcW w:w="726" w:type="pct"/>
            <w:shd w:val="clear" w:color="auto" w:fill="DAEEF3" w:themeFill="accent5" w:themeFillTint="33"/>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n/a</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val="restar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lastRenderedPageBreak/>
              <w:t>Supporting the Electoral Process</w:t>
            </w:r>
          </w:p>
        </w:tc>
        <w:tc>
          <w:tcPr>
            <w:tcW w:w="591" w:type="pct"/>
            <w:vMerge w:val="restart"/>
          </w:tcPr>
          <w:p w:rsidR="00003E28" w:rsidRPr="00003E28" w:rsidRDefault="00995B83" w:rsidP="00003E28">
            <w:pPr>
              <w:keepLines/>
              <w:spacing w:before="40" w:after="40" w:line="200" w:lineRule="atLeast"/>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$3m, 2014-16</w:t>
            </w: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2014 AQC</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6</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8"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385" w:type="pct"/>
            <w:shd w:val="clear" w:color="auto" w:fill="72AF2F"/>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c>
          <w:tcPr>
            <w:tcW w:w="726" w:type="pct"/>
            <w:shd w:val="clear" w:color="auto" w:fill="72AF2F"/>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5</w:t>
            </w:r>
          </w:p>
        </w:tc>
      </w:tr>
      <w:tr w:rsidR="00003E28" w:rsidRPr="00003E28" w:rsidTr="00076BC4">
        <w:trPr>
          <w:cnfStyle w:val="000000010000" w:firstRow="0" w:lastRow="0" w:firstColumn="0" w:lastColumn="0" w:oddVBand="0" w:evenVBand="0" w:oddHBand="0" w:evenHBand="1" w:firstRowFirstColumn="0" w:firstRowLastColumn="0" w:lastRowFirstColumn="0" w:lastRowLastColumn="0"/>
          <w:trHeight w:val="284"/>
        </w:trPr>
        <w:tc>
          <w:tcPr>
            <w:tcW w:w="866" w:type="pct"/>
            <w:vMerge/>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p>
        </w:tc>
        <w:tc>
          <w:tcPr>
            <w:tcW w:w="591" w:type="pct"/>
            <w:vMerge/>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p>
        </w:tc>
        <w:tc>
          <w:tcPr>
            <w:tcW w:w="386" w:type="pct"/>
          </w:tcPr>
          <w:p w:rsidR="00003E28" w:rsidRPr="00003E28" w:rsidRDefault="00003E28" w:rsidP="00003E28">
            <w:pPr>
              <w:keepLines/>
              <w:spacing w:before="40" w:after="40" w:line="200" w:lineRule="atLeast"/>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2013 QAI</w:t>
            </w:r>
          </w:p>
        </w:tc>
        <w:tc>
          <w:tcPr>
            <w:tcW w:w="3107" w:type="pct"/>
            <w:gridSpan w:val="7"/>
            <w:shd w:val="clear" w:color="auto" w:fill="DAEEF3" w:themeFill="accent5" w:themeFillTint="33"/>
            <w:noWrap/>
          </w:tcPr>
          <w:p w:rsidR="00003E28" w:rsidRPr="00003E28" w:rsidRDefault="00003E28" w:rsidP="00003E28">
            <w:pPr>
              <w:keepLines/>
              <w:spacing w:before="40" w:after="40" w:line="200" w:lineRule="atLeast"/>
              <w:jc w:val="center"/>
              <w:rPr>
                <w:rFonts w:ascii="Franklin Gothic Book" w:eastAsia="Times New Roman" w:hAnsi="Franklin Gothic Book"/>
                <w:iCs/>
                <w:sz w:val="17"/>
                <w:szCs w:val="17"/>
                <w:lang w:eastAsia="en-US"/>
              </w:rPr>
            </w:pPr>
            <w:r w:rsidRPr="00003E28">
              <w:rPr>
                <w:rFonts w:ascii="Franklin Gothic Book" w:eastAsia="Times New Roman" w:hAnsi="Franklin Gothic Book"/>
                <w:iCs/>
                <w:sz w:val="17"/>
                <w:szCs w:val="17"/>
                <w:lang w:eastAsia="en-US"/>
              </w:rPr>
              <w:t>n/a</w:t>
            </w:r>
          </w:p>
        </w:tc>
      </w:tr>
    </w:tbl>
    <w:p w:rsidR="00003E28" w:rsidRDefault="00003E28" w:rsidP="00416B02">
      <w:pPr>
        <w:pStyle w:val="BodyText"/>
      </w:pPr>
    </w:p>
    <w:p w:rsidR="00416B02" w:rsidRDefault="00416B02" w:rsidP="00416B02">
      <w:pPr>
        <w:pStyle w:val="Heading3"/>
      </w:pPr>
      <w:r>
        <w:t>HAQC ratings</w:t>
      </w:r>
    </w:p>
    <w:tbl>
      <w:tblPr>
        <w:tblStyle w:val="APPR"/>
        <w:tblW w:w="5000" w:type="pct"/>
        <w:tblLook w:val="0000" w:firstRow="0" w:lastRow="0" w:firstColumn="0" w:lastColumn="0" w:noHBand="0" w:noVBand="0"/>
      </w:tblPr>
      <w:tblGrid>
        <w:gridCol w:w="2622"/>
        <w:gridCol w:w="1903"/>
        <w:gridCol w:w="1213"/>
        <w:gridCol w:w="1210"/>
        <w:gridCol w:w="1215"/>
        <w:gridCol w:w="1213"/>
        <w:gridCol w:w="1215"/>
        <w:gridCol w:w="1213"/>
        <w:gridCol w:w="1214"/>
        <w:gridCol w:w="1214"/>
      </w:tblGrid>
      <w:tr w:rsidR="005C310A" w:rsidRPr="00FE4491" w:rsidTr="009506D3">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5C310A" w:rsidRPr="00FE4491" w:rsidRDefault="005C310A" w:rsidP="00E15678">
            <w:pPr>
              <w:pStyle w:val="TableTextColumnHeading"/>
            </w:pPr>
            <w:r w:rsidRPr="00FE4491">
              <w:rPr>
                <w:noProof/>
                <w:lang w:eastAsia="en-AU"/>
              </w:rPr>
              <w:drawing>
                <wp:anchor distT="0" distB="0" distL="114300" distR="114300" simplePos="0" relativeHeight="251671552" behindDoc="0" locked="0" layoutInCell="1" allowOverlap="1" wp14:anchorId="21048CC3" wp14:editId="4698E098">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5C310A" w:rsidRPr="00FE4491" w:rsidRDefault="005C310A" w:rsidP="00E15678">
            <w:pPr>
              <w:pStyle w:val="TableTextColumnHeading"/>
            </w:pPr>
            <w:r w:rsidRPr="00FE4491">
              <w:t>Approved budget and duration</w:t>
            </w:r>
          </w:p>
        </w:tc>
        <w:tc>
          <w:tcPr>
            <w:tcW w:w="416" w:type="pct"/>
            <w:textDirection w:val="btLr"/>
          </w:tcPr>
          <w:p w:rsidR="005C310A" w:rsidRPr="00FE4491" w:rsidRDefault="005C310A" w:rsidP="00E15678">
            <w:pPr>
              <w:pStyle w:val="TableTextColumnHeading"/>
            </w:pPr>
            <w:r w:rsidRPr="00FE4491">
              <w:t>Relevance</w:t>
            </w:r>
          </w:p>
        </w:tc>
        <w:tc>
          <w:tcPr>
            <w:tcW w:w="415" w:type="pct"/>
            <w:textDirection w:val="btLr"/>
          </w:tcPr>
          <w:p w:rsidR="005C310A" w:rsidRPr="00FE4491" w:rsidRDefault="005C310A" w:rsidP="00E15678">
            <w:pPr>
              <w:pStyle w:val="TableTextColumnHeading"/>
            </w:pPr>
            <w:r w:rsidRPr="00FE4491">
              <w:t>Effectiveness</w:t>
            </w:r>
          </w:p>
        </w:tc>
        <w:tc>
          <w:tcPr>
            <w:tcW w:w="417" w:type="pct"/>
            <w:textDirection w:val="btLr"/>
          </w:tcPr>
          <w:p w:rsidR="005C310A" w:rsidRPr="00FE4491" w:rsidRDefault="005C310A" w:rsidP="00E15678">
            <w:pPr>
              <w:pStyle w:val="TableTextColumnHeading"/>
            </w:pPr>
            <w:r w:rsidRPr="00FE4491">
              <w:t>Efficiency</w:t>
            </w:r>
          </w:p>
        </w:tc>
        <w:tc>
          <w:tcPr>
            <w:tcW w:w="416" w:type="pct"/>
            <w:textDirection w:val="btLr"/>
          </w:tcPr>
          <w:p w:rsidR="005C310A" w:rsidRPr="00FE4491" w:rsidRDefault="005C310A" w:rsidP="00E15678">
            <w:pPr>
              <w:pStyle w:val="TableTextColumnHeading"/>
            </w:pPr>
            <w:r w:rsidRPr="00FE4491">
              <w:t>Monitoring and Evaluation</w:t>
            </w:r>
          </w:p>
        </w:tc>
        <w:tc>
          <w:tcPr>
            <w:tcW w:w="417" w:type="pct"/>
            <w:textDirection w:val="btLr"/>
          </w:tcPr>
          <w:p w:rsidR="005C310A" w:rsidRPr="00FE4491" w:rsidRDefault="005C310A" w:rsidP="00E15678">
            <w:pPr>
              <w:pStyle w:val="TableTextColumnHeading"/>
            </w:pPr>
            <w:r>
              <w:t>Connectedness</w:t>
            </w:r>
          </w:p>
        </w:tc>
        <w:tc>
          <w:tcPr>
            <w:tcW w:w="416" w:type="pct"/>
            <w:textDirection w:val="btLr"/>
          </w:tcPr>
          <w:p w:rsidR="005C310A" w:rsidRPr="00FE4491" w:rsidRDefault="005C310A" w:rsidP="00E15678">
            <w:pPr>
              <w:pStyle w:val="TableTextColumnHeading"/>
            </w:pPr>
            <w:r>
              <w:t xml:space="preserve">Protection </w:t>
            </w:r>
          </w:p>
        </w:tc>
        <w:tc>
          <w:tcPr>
            <w:tcW w:w="417" w:type="pct"/>
            <w:textDirection w:val="btLr"/>
          </w:tcPr>
          <w:p w:rsidR="005C310A" w:rsidRPr="00FE4491" w:rsidRDefault="005C310A" w:rsidP="00E15678">
            <w:pPr>
              <w:pStyle w:val="TableTextColumnHeading"/>
            </w:pPr>
            <w:r w:rsidRPr="00FE4491">
              <w:t>Gender equality</w:t>
            </w:r>
            <w:r>
              <w:t xml:space="preserve"> </w:t>
            </w:r>
          </w:p>
        </w:tc>
        <w:tc>
          <w:tcPr>
            <w:tcW w:w="412" w:type="pct"/>
            <w:textDirection w:val="btLr"/>
          </w:tcPr>
          <w:p w:rsidR="005C310A" w:rsidRPr="00FE4491" w:rsidRDefault="005C310A" w:rsidP="00E15678">
            <w:pPr>
              <w:pStyle w:val="TableTextColumnHeading"/>
            </w:pPr>
            <w:r>
              <w:t>Risks  and Safeguards</w:t>
            </w:r>
          </w:p>
        </w:tc>
      </w:tr>
      <w:tr w:rsidR="005C310A" w:rsidRPr="009D53C4" w:rsidTr="007001F4">
        <w:trPr>
          <w:cnfStyle w:val="000000010000" w:firstRow="0" w:lastRow="0" w:firstColumn="0" w:lastColumn="0" w:oddVBand="0" w:evenVBand="0" w:oddHBand="0" w:evenHBand="1" w:firstRowFirstColumn="0" w:firstRowLastColumn="0" w:lastRowFirstColumn="0" w:lastRowLastColumn="0"/>
          <w:trHeight w:val="284"/>
        </w:trPr>
        <w:tc>
          <w:tcPr>
            <w:tcW w:w="906" w:type="pct"/>
          </w:tcPr>
          <w:p w:rsidR="005C310A" w:rsidRPr="00FE4491" w:rsidRDefault="009506D3" w:rsidP="00E15678">
            <w:pPr>
              <w:pStyle w:val="TableTextEntries"/>
            </w:pPr>
            <w:r>
              <w:t>Assisting Myanmar’s Conflict-Affected and Displaced</w:t>
            </w:r>
          </w:p>
        </w:tc>
        <w:tc>
          <w:tcPr>
            <w:tcW w:w="658" w:type="pct"/>
          </w:tcPr>
          <w:p w:rsidR="009506D3" w:rsidRPr="00FE4491" w:rsidRDefault="00B7303A" w:rsidP="00E15678">
            <w:pPr>
              <w:pStyle w:val="TableTextEntries"/>
            </w:pPr>
            <w:r>
              <w:t xml:space="preserve">$28m, </w:t>
            </w:r>
            <w:r w:rsidR="009506D3">
              <w:t>2013-16</w:t>
            </w:r>
          </w:p>
        </w:tc>
        <w:tc>
          <w:tcPr>
            <w:tcW w:w="416" w:type="pct"/>
            <w:shd w:val="clear" w:color="auto" w:fill="72AF2F"/>
            <w:noWrap/>
          </w:tcPr>
          <w:p w:rsidR="005C310A" w:rsidRPr="00FE4491" w:rsidRDefault="009506D3" w:rsidP="009506D3">
            <w:pPr>
              <w:pStyle w:val="TableTextEntries"/>
            </w:pPr>
            <w:r>
              <w:t xml:space="preserve">   6</w:t>
            </w:r>
          </w:p>
        </w:tc>
        <w:tc>
          <w:tcPr>
            <w:tcW w:w="415" w:type="pct"/>
            <w:shd w:val="clear" w:color="auto" w:fill="72AF2F"/>
            <w:noWrap/>
          </w:tcPr>
          <w:p w:rsidR="005C310A" w:rsidRPr="00FE4491" w:rsidRDefault="009506D3" w:rsidP="009506D3">
            <w:pPr>
              <w:pStyle w:val="TableTextEntries"/>
            </w:pPr>
            <w:r>
              <w:t xml:space="preserve">   5</w:t>
            </w:r>
          </w:p>
        </w:tc>
        <w:tc>
          <w:tcPr>
            <w:tcW w:w="417" w:type="pct"/>
            <w:shd w:val="clear" w:color="auto" w:fill="72AF2F"/>
            <w:noWrap/>
          </w:tcPr>
          <w:p w:rsidR="005C310A" w:rsidRPr="00FE4491" w:rsidRDefault="009506D3" w:rsidP="009506D3">
            <w:pPr>
              <w:pStyle w:val="TableTextEntries"/>
            </w:pPr>
            <w:r>
              <w:t xml:space="preserve">   6</w:t>
            </w:r>
          </w:p>
        </w:tc>
        <w:tc>
          <w:tcPr>
            <w:tcW w:w="416" w:type="pct"/>
            <w:shd w:val="clear" w:color="auto" w:fill="72AF2F"/>
            <w:noWrap/>
          </w:tcPr>
          <w:p w:rsidR="005C310A" w:rsidRPr="00FE4491" w:rsidRDefault="009506D3" w:rsidP="009506D3">
            <w:pPr>
              <w:pStyle w:val="TableTextEntries"/>
            </w:pPr>
            <w:r>
              <w:t xml:space="preserve">   5</w:t>
            </w:r>
          </w:p>
        </w:tc>
        <w:tc>
          <w:tcPr>
            <w:tcW w:w="417" w:type="pct"/>
            <w:shd w:val="clear" w:color="auto" w:fill="72AF2F"/>
            <w:noWrap/>
          </w:tcPr>
          <w:p w:rsidR="005C310A" w:rsidRPr="00FE4491" w:rsidRDefault="009506D3" w:rsidP="009506D3">
            <w:pPr>
              <w:pStyle w:val="TableTextEntries"/>
            </w:pPr>
            <w:r>
              <w:t xml:space="preserve">   6</w:t>
            </w:r>
          </w:p>
        </w:tc>
        <w:tc>
          <w:tcPr>
            <w:tcW w:w="416" w:type="pct"/>
            <w:shd w:val="clear" w:color="auto" w:fill="FFFF00"/>
            <w:noWrap/>
          </w:tcPr>
          <w:p w:rsidR="005C310A" w:rsidRPr="00FE4491" w:rsidRDefault="009506D3" w:rsidP="009506D3">
            <w:pPr>
              <w:pStyle w:val="TableTextEntries"/>
            </w:pPr>
            <w:r>
              <w:t xml:space="preserve">   4</w:t>
            </w:r>
          </w:p>
        </w:tc>
        <w:tc>
          <w:tcPr>
            <w:tcW w:w="417" w:type="pct"/>
            <w:shd w:val="clear" w:color="auto" w:fill="FFFF00"/>
          </w:tcPr>
          <w:p w:rsidR="005C310A" w:rsidRPr="00FE4491" w:rsidRDefault="009506D3" w:rsidP="009506D3">
            <w:pPr>
              <w:pStyle w:val="TableTextEntries"/>
            </w:pPr>
            <w:r>
              <w:t xml:space="preserve">   4</w:t>
            </w:r>
          </w:p>
        </w:tc>
        <w:tc>
          <w:tcPr>
            <w:tcW w:w="412" w:type="pct"/>
            <w:shd w:val="clear" w:color="auto" w:fill="72AF2F"/>
          </w:tcPr>
          <w:p w:rsidR="005C310A" w:rsidRPr="00FE4491" w:rsidRDefault="009506D3" w:rsidP="009506D3">
            <w:pPr>
              <w:pStyle w:val="TableTextEntries"/>
            </w:pPr>
            <w:r>
              <w:t xml:space="preserve">   5</w:t>
            </w:r>
          </w:p>
        </w:tc>
      </w:tr>
    </w:tbl>
    <w:p w:rsidR="00416B02" w:rsidRDefault="00416B02" w:rsidP="00416B02">
      <w:pPr>
        <w:pStyle w:val="Heading3"/>
      </w:pPr>
      <w:r>
        <w:t>FAQC ratings</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Pr>
      <w:tblGrid>
        <w:gridCol w:w="2619"/>
        <w:gridCol w:w="1903"/>
        <w:gridCol w:w="1215"/>
        <w:gridCol w:w="1213"/>
        <w:gridCol w:w="1215"/>
        <w:gridCol w:w="1213"/>
        <w:gridCol w:w="1214"/>
        <w:gridCol w:w="1212"/>
        <w:gridCol w:w="1214"/>
        <w:gridCol w:w="1214"/>
      </w:tblGrid>
      <w:tr w:rsidR="004A7988" w:rsidRPr="009D53C4" w:rsidTr="00E724B3">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A7988" w:rsidRPr="00FE4491" w:rsidRDefault="004A7988" w:rsidP="00E15678">
            <w:pPr>
              <w:pStyle w:val="TableTextColumnHeading"/>
            </w:pPr>
            <w:r w:rsidRPr="00FE4491">
              <w:rPr>
                <w:noProof/>
                <w:lang w:eastAsia="en-AU"/>
              </w:rPr>
              <w:drawing>
                <wp:anchor distT="0" distB="0" distL="114300" distR="114300" simplePos="0" relativeHeight="251673600" behindDoc="0" locked="0" layoutInCell="1" allowOverlap="1" wp14:anchorId="71ECF331" wp14:editId="2A3AA60C">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8" w:type="pct"/>
            <w:textDirection w:val="btLr"/>
          </w:tcPr>
          <w:p w:rsidR="004A7988" w:rsidRPr="00FE4491" w:rsidRDefault="004A7988" w:rsidP="00E15678">
            <w:pPr>
              <w:pStyle w:val="TableTextColumnHeading"/>
            </w:pPr>
            <w:r w:rsidRPr="00FE4491">
              <w:t>Approved budget and duration</w:t>
            </w:r>
          </w:p>
        </w:tc>
        <w:tc>
          <w:tcPr>
            <w:tcW w:w="417" w:type="pct"/>
            <w:noWrap/>
            <w:textDirection w:val="btLr"/>
          </w:tcPr>
          <w:p w:rsidR="004A7988" w:rsidRPr="00FE4491" w:rsidRDefault="004A7988" w:rsidP="00E15678">
            <w:pPr>
              <w:pStyle w:val="TableTextColumnHeading"/>
            </w:pPr>
            <w:r>
              <w:t>Overall rating</w:t>
            </w:r>
          </w:p>
        </w:tc>
        <w:tc>
          <w:tcPr>
            <w:tcW w:w="416" w:type="pct"/>
            <w:noWrap/>
            <w:textDirection w:val="btLr"/>
          </w:tcPr>
          <w:p w:rsidR="004A7988" w:rsidRPr="00FE4491" w:rsidRDefault="004A7988" w:rsidP="00E15678">
            <w:pPr>
              <w:pStyle w:val="TableTextColumnHeading"/>
            </w:pPr>
            <w:r w:rsidRPr="00FE4491">
              <w:t>Relevance</w:t>
            </w:r>
          </w:p>
        </w:tc>
        <w:tc>
          <w:tcPr>
            <w:tcW w:w="417" w:type="pct"/>
            <w:noWrap/>
            <w:textDirection w:val="btLr"/>
          </w:tcPr>
          <w:p w:rsidR="004A7988" w:rsidRPr="00FE4491" w:rsidRDefault="004A7988" w:rsidP="00E15678">
            <w:pPr>
              <w:pStyle w:val="TableTextColumnHeading"/>
            </w:pPr>
            <w:r w:rsidRPr="00FE4491">
              <w:t>Effectiveness</w:t>
            </w:r>
          </w:p>
        </w:tc>
        <w:tc>
          <w:tcPr>
            <w:tcW w:w="416" w:type="pct"/>
            <w:noWrap/>
            <w:textDirection w:val="btLr"/>
          </w:tcPr>
          <w:p w:rsidR="004A7988" w:rsidRPr="00FE4491" w:rsidRDefault="004A7988" w:rsidP="00E15678">
            <w:pPr>
              <w:pStyle w:val="TableTextColumnHeading"/>
            </w:pPr>
            <w:r w:rsidRPr="00FE4491">
              <w:t>Efficiency</w:t>
            </w:r>
          </w:p>
        </w:tc>
        <w:tc>
          <w:tcPr>
            <w:tcW w:w="417" w:type="pct"/>
            <w:noWrap/>
            <w:textDirection w:val="btLr"/>
          </w:tcPr>
          <w:p w:rsidR="004A7988" w:rsidRPr="00FE4491" w:rsidRDefault="004A7988" w:rsidP="00E15678">
            <w:pPr>
              <w:pStyle w:val="TableTextColumnHeading"/>
            </w:pPr>
            <w:r w:rsidRPr="00FE4491">
              <w:t>Monitoring and Evaluation</w:t>
            </w:r>
          </w:p>
        </w:tc>
        <w:tc>
          <w:tcPr>
            <w:tcW w:w="416" w:type="pct"/>
            <w:noWrap/>
            <w:textDirection w:val="btLr"/>
          </w:tcPr>
          <w:p w:rsidR="004A7988" w:rsidRPr="00FE4491" w:rsidRDefault="004A7988" w:rsidP="00E15678">
            <w:pPr>
              <w:pStyle w:val="TableTextColumnHeading"/>
            </w:pPr>
            <w:r w:rsidRPr="00FE4491">
              <w:t>Sustainability</w:t>
            </w:r>
          </w:p>
        </w:tc>
        <w:tc>
          <w:tcPr>
            <w:tcW w:w="417" w:type="pct"/>
            <w:textDirection w:val="btLr"/>
          </w:tcPr>
          <w:p w:rsidR="004A7988" w:rsidRPr="00FE4491" w:rsidRDefault="004A7988" w:rsidP="00E15678">
            <w:pPr>
              <w:pStyle w:val="TableTextColumnHeading"/>
            </w:pPr>
            <w:r w:rsidRPr="00FE4491">
              <w:t>Gender equality</w:t>
            </w:r>
          </w:p>
        </w:tc>
        <w:tc>
          <w:tcPr>
            <w:tcW w:w="412" w:type="pct"/>
            <w:textDirection w:val="btLr"/>
          </w:tcPr>
          <w:p w:rsidR="004A7988" w:rsidRPr="00FE4491" w:rsidRDefault="004A7988" w:rsidP="00E15678">
            <w:pPr>
              <w:pStyle w:val="TableTextColumnHeading"/>
            </w:pPr>
            <w:r>
              <w:t>Risks  and Safeguards</w:t>
            </w:r>
          </w:p>
        </w:tc>
      </w:tr>
      <w:tr w:rsidR="004A7988" w:rsidRPr="009D53C4" w:rsidTr="007001F4">
        <w:trPr>
          <w:cnfStyle w:val="000000010000" w:firstRow="0" w:lastRow="0" w:firstColumn="0" w:lastColumn="0" w:oddVBand="0" w:evenVBand="0" w:oddHBand="0" w:evenHBand="1" w:firstRowFirstColumn="0" w:firstRowLastColumn="0" w:lastRowFirstColumn="0" w:lastRowLastColumn="0"/>
          <w:trHeight w:val="323"/>
        </w:trPr>
        <w:tc>
          <w:tcPr>
            <w:tcW w:w="905" w:type="pct"/>
          </w:tcPr>
          <w:p w:rsidR="004A7988" w:rsidRPr="00FE4491" w:rsidRDefault="00E724B3" w:rsidP="00E15678">
            <w:pPr>
              <w:pStyle w:val="TableTextEntries"/>
            </w:pPr>
            <w:r>
              <w:t>Myanmar-Australia Partnership for Reform</w:t>
            </w:r>
          </w:p>
        </w:tc>
        <w:tc>
          <w:tcPr>
            <w:tcW w:w="658" w:type="pct"/>
          </w:tcPr>
          <w:p w:rsidR="004A7988" w:rsidRPr="00FE4491" w:rsidRDefault="00B7303A" w:rsidP="00E15678">
            <w:pPr>
              <w:pStyle w:val="TableTextEntries"/>
            </w:pPr>
            <w:r>
              <w:t xml:space="preserve">$12.9m, </w:t>
            </w:r>
            <w:r w:rsidR="00844E98">
              <w:t>2013-15</w:t>
            </w:r>
          </w:p>
        </w:tc>
        <w:tc>
          <w:tcPr>
            <w:tcW w:w="417" w:type="pct"/>
            <w:shd w:val="clear" w:color="auto" w:fill="FFFF00"/>
            <w:noWrap/>
          </w:tcPr>
          <w:p w:rsidR="004A7988" w:rsidRPr="00FE4491" w:rsidRDefault="00006205" w:rsidP="00006205">
            <w:pPr>
              <w:pStyle w:val="TableTextEntries"/>
            </w:pPr>
            <w:r>
              <w:t xml:space="preserve">   4</w:t>
            </w:r>
          </w:p>
        </w:tc>
        <w:tc>
          <w:tcPr>
            <w:tcW w:w="416" w:type="pct"/>
            <w:shd w:val="clear" w:color="auto" w:fill="72AF2F"/>
            <w:noWrap/>
          </w:tcPr>
          <w:p w:rsidR="004A7988" w:rsidRPr="00FE4491" w:rsidRDefault="00006205" w:rsidP="00006205">
            <w:pPr>
              <w:pStyle w:val="TableTextEntries"/>
            </w:pPr>
            <w:r>
              <w:t xml:space="preserve">   5</w:t>
            </w:r>
          </w:p>
        </w:tc>
        <w:tc>
          <w:tcPr>
            <w:tcW w:w="417" w:type="pct"/>
            <w:shd w:val="clear" w:color="auto" w:fill="FFFF00"/>
            <w:noWrap/>
          </w:tcPr>
          <w:p w:rsidR="004A7988" w:rsidRPr="00FE4491" w:rsidRDefault="00006205" w:rsidP="00006205">
            <w:pPr>
              <w:pStyle w:val="TableTextEntries"/>
            </w:pPr>
            <w:r>
              <w:t xml:space="preserve">   4</w:t>
            </w:r>
          </w:p>
        </w:tc>
        <w:tc>
          <w:tcPr>
            <w:tcW w:w="416" w:type="pct"/>
            <w:shd w:val="clear" w:color="auto" w:fill="FFFF00"/>
            <w:noWrap/>
          </w:tcPr>
          <w:p w:rsidR="004A7988" w:rsidRPr="00FE4491" w:rsidRDefault="00006205" w:rsidP="00006205">
            <w:pPr>
              <w:pStyle w:val="TableTextEntries"/>
            </w:pPr>
            <w:r>
              <w:t xml:space="preserve">   4</w:t>
            </w:r>
          </w:p>
        </w:tc>
        <w:tc>
          <w:tcPr>
            <w:tcW w:w="417" w:type="pct"/>
            <w:shd w:val="clear" w:color="auto" w:fill="FFFF00"/>
            <w:noWrap/>
          </w:tcPr>
          <w:p w:rsidR="004A7988" w:rsidRPr="00FE4491" w:rsidRDefault="00006205" w:rsidP="00006205">
            <w:pPr>
              <w:pStyle w:val="TableTextEntries"/>
            </w:pPr>
            <w:r>
              <w:t xml:space="preserve">  4</w:t>
            </w:r>
          </w:p>
        </w:tc>
        <w:tc>
          <w:tcPr>
            <w:tcW w:w="416" w:type="pct"/>
            <w:shd w:val="clear" w:color="auto" w:fill="72AF2F"/>
            <w:noWrap/>
          </w:tcPr>
          <w:p w:rsidR="004A7988" w:rsidRPr="00FE4491" w:rsidRDefault="00006205" w:rsidP="00006205">
            <w:pPr>
              <w:pStyle w:val="TableTextEntries"/>
            </w:pPr>
            <w:r>
              <w:t xml:space="preserve">   5</w:t>
            </w:r>
          </w:p>
        </w:tc>
        <w:tc>
          <w:tcPr>
            <w:tcW w:w="417" w:type="pct"/>
            <w:shd w:val="clear" w:color="auto" w:fill="FFFF00"/>
          </w:tcPr>
          <w:p w:rsidR="004A7988" w:rsidRPr="00FE4491" w:rsidRDefault="00006205" w:rsidP="00006205">
            <w:pPr>
              <w:pStyle w:val="TableTextEntries"/>
            </w:pPr>
            <w:r>
              <w:t xml:space="preserve">   4</w:t>
            </w:r>
          </w:p>
        </w:tc>
        <w:tc>
          <w:tcPr>
            <w:tcW w:w="412" w:type="pct"/>
            <w:shd w:val="clear" w:color="auto" w:fill="FFFF00"/>
          </w:tcPr>
          <w:p w:rsidR="004A7988" w:rsidRPr="00FE4491" w:rsidRDefault="00006205" w:rsidP="00006205">
            <w:pPr>
              <w:pStyle w:val="TableTextEntries"/>
            </w:pPr>
            <w:r>
              <w:t xml:space="preserve">   4</w:t>
            </w:r>
          </w:p>
        </w:tc>
      </w:tr>
    </w:tbl>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516D93" w:rsidRDefault="00416B02" w:rsidP="00B7303A">
      <w:pPr>
        <w:pStyle w:val="Note"/>
      </w:pPr>
      <w:r w:rsidRPr="000774FD">
        <w:rPr>
          <w:color w:val="FF0000"/>
        </w:rPr>
        <w:sym w:font="Webdings" w:char="F067"/>
      </w:r>
      <w:r>
        <w:t xml:space="preserve"> = 1 = Very poor; does not satisfy criteria in many major areas</w:t>
      </w:r>
    </w:p>
    <w:p w:rsidR="00A257DF" w:rsidRPr="00A257DF" w:rsidRDefault="00A257DF" w:rsidP="00A257DF">
      <w:pPr>
        <w:pStyle w:val="BodyText"/>
      </w:pPr>
    </w:p>
    <w:sectPr w:rsidR="00A257DF" w:rsidRPr="00A257DF" w:rsidSect="00BD3ED6">
      <w:headerReference w:type="even" r:id="rId21"/>
      <w:footerReference w:type="first" r:id="rId22"/>
      <w:pgSz w:w="16840" w:h="11907" w:orient="landscape" w:code="9"/>
      <w:pgMar w:top="1440" w:right="1440" w:bottom="1440" w:left="1440"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91" w:rsidRDefault="00811691" w:rsidP="0050529F">
      <w:r>
        <w:separator/>
      </w:r>
    </w:p>
    <w:p w:rsidR="00811691" w:rsidRDefault="00811691"/>
    <w:p w:rsidR="00811691" w:rsidRDefault="00811691"/>
    <w:p w:rsidR="00811691" w:rsidRDefault="00811691"/>
    <w:p w:rsidR="00811691" w:rsidRDefault="00811691"/>
    <w:p w:rsidR="00811691" w:rsidRDefault="00811691"/>
    <w:p w:rsidR="00811691" w:rsidRDefault="00811691"/>
  </w:endnote>
  <w:endnote w:type="continuationSeparator" w:id="0">
    <w:p w:rsidR="00811691" w:rsidRDefault="00811691" w:rsidP="0050529F">
      <w:r>
        <w:continuationSeparator/>
      </w:r>
    </w:p>
    <w:p w:rsidR="00811691" w:rsidRDefault="00811691"/>
    <w:p w:rsidR="00811691" w:rsidRDefault="00811691"/>
    <w:p w:rsidR="00811691" w:rsidRDefault="00811691"/>
    <w:p w:rsidR="00811691" w:rsidRDefault="00811691"/>
    <w:p w:rsidR="00811691" w:rsidRDefault="00811691"/>
    <w:p w:rsidR="00811691" w:rsidRDefault="00811691"/>
  </w:endnote>
  <w:endnote w:id="1">
    <w:p w:rsidR="00811691" w:rsidRPr="00D64CF4" w:rsidRDefault="00811691" w:rsidP="007D7844">
      <w:pPr>
        <w:pStyle w:val="EndnoteText"/>
        <w:rPr>
          <w:sz w:val="20"/>
        </w:rPr>
      </w:pPr>
      <w:r w:rsidRPr="00D64CF4">
        <w:rPr>
          <w:rStyle w:val="EndnoteReference"/>
          <w:sz w:val="20"/>
        </w:rPr>
        <w:endnoteRef/>
      </w:r>
      <w:r w:rsidRPr="00D64CF4">
        <w:rPr>
          <w:sz w:val="20"/>
        </w:rPr>
        <w:t xml:space="preserve"> </w:t>
      </w:r>
      <w:r>
        <w:rPr>
          <w:sz w:val="20"/>
        </w:rPr>
        <w:t xml:space="preserve">Myanmar’s education spending increased </w:t>
      </w:r>
      <w:r w:rsidRPr="00D64CF4">
        <w:rPr>
          <w:sz w:val="20"/>
        </w:rPr>
        <w:t>from US$1 billion in 2013</w:t>
      </w:r>
      <w:r>
        <w:rPr>
          <w:sz w:val="20"/>
        </w:rPr>
        <w:t>-14 to US$1.3 billion in 2014-15; health spending increased by 6.8 per cent from 2014-15 to 2015-16.</w:t>
      </w:r>
    </w:p>
  </w:endnote>
  <w:endnote w:id="2">
    <w:p w:rsidR="00811691" w:rsidRPr="00D64CF4" w:rsidRDefault="00811691">
      <w:pPr>
        <w:pStyle w:val="EndnoteText"/>
        <w:rPr>
          <w:sz w:val="20"/>
        </w:rPr>
      </w:pPr>
      <w:r w:rsidRPr="00D64CF4">
        <w:rPr>
          <w:rStyle w:val="EndnoteReference"/>
          <w:sz w:val="20"/>
        </w:rPr>
        <w:endnoteRef/>
      </w:r>
      <w:r w:rsidRPr="00D64CF4">
        <w:rPr>
          <w:sz w:val="20"/>
        </w:rPr>
        <w:t xml:space="preserve"> World Bank’s Systematic Country Diagnostic, p.11-12 para 6: </w:t>
      </w:r>
      <w:hyperlink r:id="rId1" w:history="1">
        <w:r w:rsidRPr="00D64CF4">
          <w:rPr>
            <w:rStyle w:val="Hyperlink"/>
          </w:rPr>
          <w:t>http://documents.worldbank.org/curated/en/2014/11/23025474/myanmar-systematic-country-diagnostic-ending-poverty-boosting-shared-prosperity-time-transition</w:t>
        </w:r>
      </w:hyperlink>
      <w:r w:rsidRPr="00D64CF4">
        <w:rPr>
          <w:sz w:val="20"/>
        </w:rPr>
        <w:t xml:space="preserve"> </w:t>
      </w:r>
    </w:p>
  </w:endnote>
  <w:endnote w:id="3">
    <w:p w:rsidR="00811691" w:rsidRPr="00D64CF4" w:rsidRDefault="00811691" w:rsidP="00F33941">
      <w:pPr>
        <w:pStyle w:val="EndnoteText"/>
        <w:rPr>
          <w:sz w:val="20"/>
        </w:rPr>
      </w:pPr>
      <w:r w:rsidRPr="00D64CF4">
        <w:rPr>
          <w:rStyle w:val="EndnoteReference"/>
          <w:sz w:val="20"/>
        </w:rPr>
        <w:endnoteRef/>
      </w:r>
      <w:r w:rsidRPr="00D64CF4">
        <w:rPr>
          <w:sz w:val="20"/>
        </w:rPr>
        <w:t xml:space="preserve"> UNDP – Integrated Household Living Conditions Assessment – II; Poverty Profile, February 2011.</w:t>
      </w:r>
    </w:p>
  </w:endnote>
  <w:endnote w:id="4">
    <w:p w:rsidR="00811691" w:rsidRPr="00D64CF4" w:rsidRDefault="00811691" w:rsidP="00F35F08">
      <w:pPr>
        <w:pStyle w:val="EndnoteText"/>
        <w:rPr>
          <w:sz w:val="20"/>
        </w:rPr>
      </w:pPr>
      <w:r w:rsidRPr="00D64CF4">
        <w:rPr>
          <w:rStyle w:val="EndnoteReference"/>
          <w:sz w:val="20"/>
        </w:rPr>
        <w:endnoteRef/>
      </w:r>
      <w:r w:rsidRPr="00D64CF4">
        <w:rPr>
          <w:sz w:val="20"/>
        </w:rPr>
        <w:t xml:space="preserve"> Ministry of  National Planning and Economic Development and Ministry of Health, </w:t>
      </w:r>
      <w:r w:rsidRPr="00D64CF4">
        <w:rPr>
          <w:i/>
          <w:sz w:val="20"/>
        </w:rPr>
        <w:t>Myanmar Multiple Indicator Cluster Survey 2009-2010 Final Report</w:t>
      </w:r>
      <w:r w:rsidRPr="00D64CF4">
        <w:rPr>
          <w:sz w:val="20"/>
        </w:rPr>
        <w:t>, Nay Pyi Taw, Myanmar, 2011.</w:t>
      </w:r>
    </w:p>
  </w:endnote>
  <w:endnote w:id="5">
    <w:p w:rsidR="00811691" w:rsidRPr="00D64CF4" w:rsidRDefault="00811691" w:rsidP="00F35F08">
      <w:pPr>
        <w:pStyle w:val="EndnoteText"/>
        <w:rPr>
          <w:sz w:val="20"/>
        </w:rPr>
      </w:pPr>
      <w:r w:rsidRPr="00D64CF4">
        <w:rPr>
          <w:rStyle w:val="EndnoteReference"/>
          <w:sz w:val="20"/>
        </w:rPr>
        <w:endnoteRef/>
      </w:r>
      <w:r w:rsidRPr="00D64CF4">
        <w:rPr>
          <w:sz w:val="20"/>
        </w:rPr>
        <w:t xml:space="preserve"> World Bank Group, World Development Indicators database, </w:t>
      </w:r>
      <w:r w:rsidRPr="00D64CF4">
        <w:rPr>
          <w:i/>
          <w:sz w:val="20"/>
        </w:rPr>
        <w:t>Gross National Income per capita 2014, Atlas method and PPP</w:t>
      </w:r>
      <w:r w:rsidRPr="00D64CF4">
        <w:rPr>
          <w:sz w:val="20"/>
        </w:rPr>
        <w:t xml:space="preserve">, 1 July 2015: databank.worldbank.org/data/download/GNIPC.pdf </w:t>
      </w:r>
    </w:p>
  </w:endnote>
  <w:endnote w:id="6">
    <w:p w:rsidR="00811691" w:rsidRDefault="00811691" w:rsidP="00077F8F">
      <w:pPr>
        <w:pStyle w:val="EndnoteText"/>
      </w:pPr>
      <w:r>
        <w:rPr>
          <w:rStyle w:val="EndnoteReference"/>
          <w:sz w:val="20"/>
        </w:rPr>
        <w:endnoteRef/>
      </w:r>
      <w:r>
        <w:rPr>
          <w:sz w:val="20"/>
        </w:rPr>
        <w:t xml:space="preserve"> United Nations Office for the Coordination of Humanitarian Affairs, </w:t>
      </w:r>
      <w:r>
        <w:rPr>
          <w:i/>
          <w:sz w:val="20"/>
        </w:rPr>
        <w:t>2015 Humanitarian Response Plan: Myanmar</w:t>
      </w:r>
      <w:r>
        <w:rPr>
          <w:sz w:val="20"/>
        </w:rPr>
        <w:t>. http://reliefweb.int/sites/reliefweb.int/files/resources/2015%20Myanmar%20Humanitarian%20Response%20Plan_0.pdf.</w:t>
      </w:r>
    </w:p>
  </w:endnote>
  <w:endnote w:id="7">
    <w:p w:rsidR="00811691" w:rsidRDefault="00811691" w:rsidP="00077F8F">
      <w:pPr>
        <w:pStyle w:val="EndnoteText"/>
      </w:pPr>
      <w:r>
        <w:rPr>
          <w:rStyle w:val="EndnoteReference"/>
          <w:sz w:val="20"/>
        </w:rPr>
        <w:endnoteRef/>
      </w:r>
      <w:r>
        <w:rPr>
          <w:sz w:val="20"/>
        </w:rPr>
        <w:t xml:space="preserve"> The Border Consortium, Refugee and IDP Camp Populations: June 2015: </w:t>
      </w:r>
      <w:hyperlink r:id="rId2" w:history="1">
        <w:r>
          <w:rPr>
            <w:rStyle w:val="Hyperlink"/>
            <w:color w:val="000000"/>
          </w:rPr>
          <w:t>http://www.theborderconsortium.org/resources/key-resources/</w:t>
        </w:r>
      </w:hyperlink>
      <w:r>
        <w:rPr>
          <w:sz w:val="20"/>
        </w:rPr>
        <w:t xml:space="preserve"> </w:t>
      </w:r>
    </w:p>
  </w:endnote>
  <w:endnote w:id="8">
    <w:p w:rsidR="00811691" w:rsidRPr="00D64CF4" w:rsidRDefault="00811691" w:rsidP="00076BC4">
      <w:pPr>
        <w:pStyle w:val="EndnoteText"/>
        <w:rPr>
          <w:sz w:val="20"/>
        </w:rPr>
      </w:pPr>
      <w:r w:rsidRPr="00D64CF4">
        <w:rPr>
          <w:rStyle w:val="EndnoteReference"/>
          <w:sz w:val="20"/>
        </w:rPr>
        <w:endnoteRef/>
      </w:r>
      <w:r w:rsidRPr="00D64CF4">
        <w:rPr>
          <w:sz w:val="20"/>
        </w:rPr>
        <w:t xml:space="preserve"> Department of Foreign Affairs and Trade (2015), Performance of Australian Aid 2013-14: dfat.gov.au/about-us/.../performance-of-australian-aid-2013-14.pdf </w:t>
      </w:r>
    </w:p>
  </w:endnote>
  <w:endnote w:id="9">
    <w:p w:rsidR="00811691" w:rsidRPr="00D64CF4" w:rsidRDefault="00811691" w:rsidP="00F35F08">
      <w:pPr>
        <w:pStyle w:val="EndnoteText"/>
        <w:rPr>
          <w:sz w:val="20"/>
        </w:rPr>
      </w:pPr>
      <w:r w:rsidRPr="00D64CF4">
        <w:rPr>
          <w:rStyle w:val="EndnoteReference"/>
          <w:sz w:val="20"/>
        </w:rPr>
        <w:endnoteRef/>
      </w:r>
      <w:r w:rsidRPr="00D64CF4">
        <w:rPr>
          <w:sz w:val="20"/>
        </w:rPr>
        <w:t xml:space="preserve"> World Bank Group, World Development Indicators database, 2015: </w:t>
      </w:r>
      <w:hyperlink r:id="rId3" w:anchor="cp_wdi" w:history="1">
        <w:r w:rsidRPr="00D64CF4">
          <w:rPr>
            <w:rStyle w:val="Hyperlink"/>
          </w:rPr>
          <w:t>http://data.worldbank.org/country/myanmar#cp_wdi</w:t>
        </w:r>
      </w:hyperlink>
      <w:r w:rsidRPr="00D64CF4">
        <w:rPr>
          <w:sz w:val="20"/>
        </w:rPr>
        <w:t xml:space="preserve"> </w:t>
      </w:r>
    </w:p>
  </w:endnote>
  <w:endnote w:id="10">
    <w:p w:rsidR="00811691" w:rsidRPr="00D64CF4" w:rsidRDefault="00811691">
      <w:pPr>
        <w:pStyle w:val="EndnoteText"/>
        <w:rPr>
          <w:sz w:val="20"/>
        </w:rPr>
      </w:pPr>
      <w:r w:rsidRPr="00D64CF4">
        <w:rPr>
          <w:rStyle w:val="EndnoteReference"/>
          <w:sz w:val="20"/>
        </w:rPr>
        <w:endnoteRef/>
      </w:r>
      <w:r w:rsidRPr="00D64CF4">
        <w:rPr>
          <w:sz w:val="20"/>
        </w:rPr>
        <w:t xml:space="preserve"> JICA Annual Report 2014: </w:t>
      </w:r>
      <w:hyperlink r:id="rId4" w:history="1">
        <w:r w:rsidRPr="00D64CF4">
          <w:rPr>
            <w:rStyle w:val="Hyperlink"/>
          </w:rPr>
          <w:t>http://www.jica.go.jp/english/publications/reports/annual/2014/c8h0vm000090s8nn-att/2014_08.pdf</w:t>
        </w:r>
      </w:hyperlink>
      <w:r w:rsidRPr="00D64CF4">
        <w:rPr>
          <w:sz w:val="20"/>
        </w:rPr>
        <w:t xml:space="preserve">. Japan provided ¥22,996 million in development assistance, including grants, loans and technical assistance. This </w:t>
      </w:r>
      <w:r>
        <w:rPr>
          <w:sz w:val="20"/>
        </w:rPr>
        <w:t>converts to approximately AUD262</w:t>
      </w:r>
      <w:r w:rsidRPr="00D64CF4">
        <w:rPr>
          <w:sz w:val="20"/>
        </w:rPr>
        <w:t xml:space="preserve"> million (using exchange rate of 1 </w:t>
      </w:r>
      <w:r>
        <w:rPr>
          <w:sz w:val="20"/>
        </w:rPr>
        <w:t>JPY = 0.0113726</w:t>
      </w:r>
      <w:r w:rsidRPr="00D64CF4">
        <w:rPr>
          <w:sz w:val="20"/>
        </w:rPr>
        <w:t xml:space="preserve"> AUD, as per </w:t>
      </w:r>
      <w:hyperlink r:id="rId5" w:history="1">
        <w:r w:rsidRPr="00D64CF4">
          <w:rPr>
            <w:rStyle w:val="Hyperlink"/>
          </w:rPr>
          <w:t>www.xe.com</w:t>
        </w:r>
      </w:hyperlink>
      <w:r>
        <w:rPr>
          <w:sz w:val="20"/>
        </w:rPr>
        <w:t xml:space="preserve"> rates on 12 October</w:t>
      </w:r>
      <w:r w:rsidRPr="00D64CF4">
        <w:rPr>
          <w:sz w:val="20"/>
        </w:rPr>
        <w:t xml:space="preserve"> 2015).</w:t>
      </w:r>
    </w:p>
  </w:endnote>
  <w:endnote w:id="11">
    <w:p w:rsidR="00811691" w:rsidRPr="00D64CF4" w:rsidRDefault="00811691" w:rsidP="00F35F08">
      <w:pPr>
        <w:pStyle w:val="EndnoteText"/>
        <w:rPr>
          <w:sz w:val="20"/>
        </w:rPr>
      </w:pPr>
      <w:r w:rsidRPr="00D64CF4">
        <w:rPr>
          <w:rStyle w:val="EndnoteReference"/>
          <w:sz w:val="20"/>
        </w:rPr>
        <w:endnoteRef/>
      </w:r>
      <w:r w:rsidRPr="00D64CF4">
        <w:rPr>
          <w:sz w:val="20"/>
        </w:rPr>
        <w:t xml:space="preserve"> ReliefWeb, 2014: </w:t>
      </w:r>
      <w:hyperlink r:id="rId6" w:history="1">
        <w:r w:rsidRPr="00D64CF4">
          <w:rPr>
            <w:rStyle w:val="Hyperlink"/>
          </w:rPr>
          <w:t>http://reliefweb.int/report/myanmar/france-give-100-million-euro-development-aid-2015</w:t>
        </w:r>
      </w:hyperlink>
      <w:r>
        <w:rPr>
          <w:rStyle w:val="Hyperlink"/>
        </w:rPr>
        <w:t xml:space="preserve">. </w:t>
      </w:r>
      <w:r w:rsidRPr="00510D1D">
        <w:rPr>
          <w:rStyle w:val="Hyperlink"/>
          <w:rFonts w:ascii="Franklin Gothic Medium" w:hAnsi="Franklin Gothic Medium"/>
          <w:color w:val="auto"/>
        </w:rPr>
        <w:t>€</w:t>
      </w:r>
      <w:r w:rsidRPr="00510D1D">
        <w:rPr>
          <w:rStyle w:val="Hyperlink"/>
          <w:color w:val="auto"/>
        </w:rPr>
        <w:t>100 million converted to approximately AUD155 million, based on</w:t>
      </w:r>
      <w:r w:rsidRPr="00510D1D">
        <w:rPr>
          <w:sz w:val="20"/>
        </w:rPr>
        <w:t xml:space="preserve"> </w:t>
      </w:r>
      <w:r>
        <w:rPr>
          <w:sz w:val="20"/>
        </w:rPr>
        <w:t xml:space="preserve">exchange rate of 1 EUR = 1.55312 AUD (source: </w:t>
      </w:r>
      <w:hyperlink r:id="rId7" w:history="1">
        <w:r w:rsidRPr="00CA1402">
          <w:rPr>
            <w:rStyle w:val="Hyperlink"/>
          </w:rPr>
          <w:t>www.xe.com</w:t>
        </w:r>
      </w:hyperlink>
      <w:r>
        <w:rPr>
          <w:sz w:val="20"/>
        </w:rPr>
        <w:t>, 12 October 2015).</w:t>
      </w:r>
    </w:p>
  </w:endnote>
  <w:endnote w:id="12">
    <w:p w:rsidR="00811691" w:rsidRPr="00D64CF4" w:rsidRDefault="00811691" w:rsidP="00510D1D">
      <w:pPr>
        <w:pStyle w:val="EndnoteText"/>
        <w:rPr>
          <w:sz w:val="20"/>
        </w:rPr>
      </w:pPr>
      <w:r w:rsidRPr="00D64CF4">
        <w:rPr>
          <w:rStyle w:val="EndnoteReference"/>
          <w:sz w:val="20"/>
        </w:rPr>
        <w:endnoteRef/>
      </w:r>
      <w:r w:rsidRPr="00D64CF4">
        <w:rPr>
          <w:sz w:val="20"/>
        </w:rPr>
        <w:t xml:space="preserve"> European Union: </w:t>
      </w:r>
      <w:hyperlink r:id="rId8" w:history="1">
        <w:r w:rsidRPr="00D64CF4">
          <w:rPr>
            <w:rStyle w:val="Hyperlink"/>
          </w:rPr>
          <w:t>https://ec.europa.eu/europeaid/countries/myanmarburma_en</w:t>
        </w:r>
      </w:hyperlink>
      <w:r>
        <w:rPr>
          <w:sz w:val="20"/>
        </w:rPr>
        <w:t xml:space="preserve">. </w:t>
      </w:r>
      <w:r>
        <w:rPr>
          <w:rFonts w:ascii="Franklin Gothic Medium" w:hAnsi="Franklin Gothic Medium"/>
          <w:sz w:val="20"/>
        </w:rPr>
        <w:t>€</w:t>
      </w:r>
      <w:r>
        <w:rPr>
          <w:sz w:val="20"/>
        </w:rPr>
        <w:t xml:space="preserve">90 million converted to approximately AUD140 million, based on exchange rate of 1 EUR = 1.55312 AUD (source: </w:t>
      </w:r>
      <w:hyperlink r:id="rId9" w:history="1">
        <w:r w:rsidRPr="00CA1402">
          <w:rPr>
            <w:rStyle w:val="Hyperlink"/>
          </w:rPr>
          <w:t>www.xe.com</w:t>
        </w:r>
      </w:hyperlink>
      <w:r>
        <w:rPr>
          <w:sz w:val="20"/>
        </w:rPr>
        <w:t>, 12 October 2015).</w:t>
      </w:r>
    </w:p>
  </w:endnote>
  <w:endnote w:id="13">
    <w:p w:rsidR="00811691" w:rsidRPr="00D64CF4" w:rsidRDefault="00811691" w:rsidP="00F35F08">
      <w:pPr>
        <w:pStyle w:val="EndnoteText"/>
        <w:rPr>
          <w:sz w:val="20"/>
        </w:rPr>
      </w:pPr>
      <w:r w:rsidRPr="00D64CF4">
        <w:rPr>
          <w:rStyle w:val="EndnoteReference"/>
          <w:sz w:val="20"/>
        </w:rPr>
        <w:endnoteRef/>
      </w:r>
      <w:r w:rsidRPr="00D64CF4">
        <w:rPr>
          <w:sz w:val="20"/>
        </w:rPr>
        <w:t xml:space="preserve"> United Kingdom Department for International Development, 2014: </w:t>
      </w:r>
      <w:hyperlink r:id="rId10" w:history="1">
        <w:r w:rsidRPr="00D64CF4">
          <w:rPr>
            <w:rStyle w:val="Hyperlink"/>
          </w:rPr>
          <w:t>https://www.gov.uk/government/publications/dfid-burma-operational-plan-2014</w:t>
        </w:r>
      </w:hyperlink>
      <w:r>
        <w:rPr>
          <w:rStyle w:val="Hyperlink"/>
        </w:rPr>
        <w:t xml:space="preserve">. </w:t>
      </w:r>
      <w:r w:rsidRPr="00510D1D">
        <w:rPr>
          <w:rStyle w:val="Hyperlink"/>
          <w:rFonts w:ascii="Franklin Gothic Medium" w:hAnsi="Franklin Gothic Medium"/>
          <w:color w:val="auto"/>
        </w:rPr>
        <w:t>£</w:t>
      </w:r>
      <w:r w:rsidRPr="00510D1D">
        <w:rPr>
          <w:rStyle w:val="Hyperlink"/>
          <w:color w:val="auto"/>
        </w:rPr>
        <w:t xml:space="preserve">65 million converted to approximately AUD136 million, based on exchange rate of 1 GBP </w:t>
      </w:r>
      <w:r>
        <w:rPr>
          <w:rStyle w:val="Hyperlink"/>
        </w:rPr>
        <w:t>=</w:t>
      </w:r>
      <w:r w:rsidRPr="00D64CF4">
        <w:rPr>
          <w:sz w:val="20"/>
        </w:rPr>
        <w:t xml:space="preserve"> </w:t>
      </w:r>
      <w:r>
        <w:rPr>
          <w:sz w:val="20"/>
        </w:rPr>
        <w:t xml:space="preserve">2.09321 AUD (source: </w:t>
      </w:r>
      <w:hyperlink r:id="rId11" w:history="1">
        <w:r w:rsidRPr="00CA1402">
          <w:rPr>
            <w:rStyle w:val="Hyperlink"/>
          </w:rPr>
          <w:t>www.xe.com</w:t>
        </w:r>
      </w:hyperlink>
      <w:r>
        <w:rPr>
          <w:sz w:val="20"/>
        </w:rPr>
        <w:t>, 12 October 2015).</w:t>
      </w:r>
    </w:p>
  </w:endnote>
  <w:endnote w:id="14">
    <w:p w:rsidR="00811691" w:rsidRPr="00D64CF4" w:rsidRDefault="00811691">
      <w:pPr>
        <w:pStyle w:val="EndnoteText"/>
        <w:rPr>
          <w:sz w:val="20"/>
        </w:rPr>
      </w:pPr>
      <w:r w:rsidRPr="00D64CF4">
        <w:rPr>
          <w:rStyle w:val="EndnoteReference"/>
          <w:sz w:val="20"/>
        </w:rPr>
        <w:endnoteRef/>
      </w:r>
      <w:r w:rsidRPr="00D64CF4">
        <w:rPr>
          <w:sz w:val="20"/>
        </w:rPr>
        <w:t xml:space="preserve"> United States Department of State, Congressional Budget Justification: Department of State, Foreign Operations and Related Programs, Fiscal Year 2015, p. 87: </w:t>
      </w:r>
      <w:hyperlink r:id="rId12" w:history="1">
        <w:r w:rsidRPr="00D64CF4">
          <w:rPr>
            <w:rStyle w:val="Hyperlink"/>
          </w:rPr>
          <w:t>https://www.google.com.au/url?sa=t&amp;rct=j&amp;q=&amp;esrc=s&amp;frm=1&amp;source=web&amp;cd=3&amp;ved=0CCwQFjACahUKEwj6hdvY_q7HAhWD4qYKHY5wAbQ&amp;url=https%3A%2F%2Fwww.usaid.gov%2Fsites%2Fdefault%2Ffiles%2Fdocuments%2F9276%2F222898.pdf&amp;ei=FjzRVfoig8WbBY7hhaAL&amp;usg=AFQjCNFmrH9AyQH7u7kJ1DaKymvQBdmGMQ&amp;bvm=bv.99804247,d.dGY</w:t>
        </w:r>
      </w:hyperlink>
      <w:r>
        <w:rPr>
          <w:rStyle w:val="Hyperlink"/>
        </w:rPr>
        <w:t xml:space="preserve">. </w:t>
      </w:r>
      <w:r w:rsidRPr="00510D1D">
        <w:rPr>
          <w:rStyle w:val="Hyperlink"/>
          <w:color w:val="auto"/>
        </w:rPr>
        <w:t>USD58.7 million converted to approximately AUD80 million</w:t>
      </w:r>
      <w:r>
        <w:rPr>
          <w:sz w:val="20"/>
        </w:rPr>
        <w:t xml:space="preserve">, based on exchange rate of 1 USD = 1.36636 AUD (source: </w:t>
      </w:r>
      <w:hyperlink r:id="rId13" w:history="1">
        <w:r w:rsidRPr="00CA1402">
          <w:rPr>
            <w:rStyle w:val="Hyperlink"/>
          </w:rPr>
          <w:t>www.xe.com</w:t>
        </w:r>
      </w:hyperlink>
      <w:r>
        <w:rPr>
          <w:sz w:val="20"/>
        </w:rPr>
        <w:t>, 12 October 2015).</w:t>
      </w:r>
    </w:p>
  </w:endnote>
  <w:endnote w:id="15">
    <w:p w:rsidR="00811691" w:rsidRPr="008F4BAD" w:rsidRDefault="00811691">
      <w:pPr>
        <w:pStyle w:val="EndnoteText"/>
        <w:rPr>
          <w:lang w:val="en-US"/>
        </w:rPr>
      </w:pPr>
      <w:r>
        <w:rPr>
          <w:rStyle w:val="EndnoteReference"/>
        </w:rPr>
        <w:endnoteRef/>
      </w:r>
      <w:r>
        <w:t xml:space="preserve"> </w:t>
      </w:r>
      <w:r w:rsidRPr="008F4BAD">
        <w:rPr>
          <w:sz w:val="20"/>
          <w:lang w:val="en-US"/>
        </w:rPr>
        <w:t xml:space="preserve">Hanushek and Woessman, </w:t>
      </w:r>
      <w:r w:rsidRPr="008F4BAD">
        <w:rPr>
          <w:i/>
          <w:sz w:val="20"/>
          <w:lang w:val="en-US"/>
        </w:rPr>
        <w:t>Background paper for EFA Global Monitoring Report 2012</w:t>
      </w:r>
      <w:r w:rsidRPr="008F4BAD">
        <w:rPr>
          <w:sz w:val="20"/>
          <w:lang w:val="en-US"/>
        </w:rPr>
        <w:t>, 2012, cited in Teaching and Learning: Achieving Equality for All: EFA Global Monitoring Report 2013/14, United Nations Educational, Scientific and Cultural Organization (UNESCO), Paris, 2014, p. 144</w:t>
      </w:r>
    </w:p>
  </w:endnote>
  <w:endnote w:id="16">
    <w:p w:rsidR="00811691" w:rsidRPr="00020208" w:rsidRDefault="00811691">
      <w:pPr>
        <w:pStyle w:val="EndnoteText"/>
        <w:rPr>
          <w:sz w:val="20"/>
          <w:lang w:val="en-US"/>
        </w:rPr>
      </w:pPr>
      <w:r>
        <w:rPr>
          <w:rStyle w:val="EndnoteReference"/>
        </w:rPr>
        <w:endnoteRef/>
      </w:r>
      <w:r>
        <w:t xml:space="preserve"> </w:t>
      </w:r>
      <w:r w:rsidRPr="00020208">
        <w:rPr>
          <w:sz w:val="20"/>
          <w:lang w:val="en-US"/>
        </w:rPr>
        <w:t>Of these 140,000 additional students, only 380 were reported to have disabilities (0.2 per cent). This is well below the estimated 15 per cent of a given population that has some form of disability. This may reflect underestimates resulting from the method of collection, as well as low actual enrolments for children with disabilities.</w:t>
      </w:r>
    </w:p>
  </w:endnote>
  <w:endnote w:id="17">
    <w:p w:rsidR="00811691" w:rsidRDefault="00811691">
      <w:pPr>
        <w:pStyle w:val="EndnoteText"/>
      </w:pPr>
      <w:r>
        <w:rPr>
          <w:rStyle w:val="EndnoteReference"/>
        </w:rPr>
        <w:endnoteRef/>
      </w:r>
      <w:r>
        <w:t xml:space="preserve"> </w:t>
      </w:r>
      <w:r>
        <w:rPr>
          <w:sz w:val="20"/>
        </w:rPr>
        <w:t>Including</w:t>
      </w:r>
      <w:r w:rsidRPr="00020208">
        <w:rPr>
          <w:sz w:val="20"/>
        </w:rPr>
        <w:t xml:space="preserve"> hiring 60,000 daily wage teachers; restructuring the Ministry of Education; increasing government spending by 30 per cent</w:t>
      </w:r>
      <w:r>
        <w:rPr>
          <w:sz w:val="20"/>
        </w:rPr>
        <w:t>,</w:t>
      </w:r>
      <w:r w:rsidRPr="00020208">
        <w:rPr>
          <w:sz w:val="20"/>
        </w:rPr>
        <w:t xml:space="preserve"> and making significant progress in developing a costed five-year National Education Sector Plan (NESP) after finalising the Comprehensive Education Sector Review in 2014</w:t>
      </w:r>
      <w:r>
        <w:t>.</w:t>
      </w:r>
    </w:p>
  </w:endnote>
  <w:endnote w:id="18">
    <w:p w:rsidR="00811691" w:rsidRPr="00D64CF4" w:rsidRDefault="00811691" w:rsidP="006B03A8">
      <w:pPr>
        <w:pStyle w:val="EndnoteText"/>
        <w:rPr>
          <w:sz w:val="20"/>
        </w:rPr>
      </w:pPr>
      <w:r w:rsidRPr="00D64CF4">
        <w:rPr>
          <w:rStyle w:val="EndnoteReference"/>
          <w:sz w:val="20"/>
        </w:rPr>
        <w:endnoteRef/>
      </w:r>
      <w:r w:rsidRPr="00D64CF4">
        <w:rPr>
          <w:sz w:val="20"/>
        </w:rPr>
        <w:t xml:space="preserve"> 1588 auxiliary midwives from 77 townships were enrolled in the training by the December 2014.</w:t>
      </w:r>
    </w:p>
  </w:endnote>
  <w:endnote w:id="19">
    <w:p w:rsidR="00811691" w:rsidRPr="00D64CF4" w:rsidRDefault="00811691" w:rsidP="006B03A8">
      <w:pPr>
        <w:pStyle w:val="EndnoteText"/>
        <w:rPr>
          <w:sz w:val="20"/>
        </w:rPr>
      </w:pPr>
      <w:r w:rsidRPr="00D64CF4">
        <w:rPr>
          <w:rStyle w:val="EndnoteReference"/>
          <w:sz w:val="20"/>
        </w:rPr>
        <w:endnoteRef/>
      </w:r>
      <w:r w:rsidRPr="00D64CF4">
        <w:rPr>
          <w:sz w:val="20"/>
        </w:rPr>
        <w:t xml:space="preserve"> All 3 MDG logframe targets were reduced in December 2014 due to changes in population data released from the Census report in 2014. </w:t>
      </w:r>
    </w:p>
  </w:endnote>
  <w:endnote w:id="20">
    <w:p w:rsidR="00811691" w:rsidRPr="00D64CF4" w:rsidRDefault="00811691" w:rsidP="00FA0F66">
      <w:pPr>
        <w:pStyle w:val="EndnoteText"/>
        <w:rPr>
          <w:sz w:val="20"/>
        </w:rPr>
      </w:pPr>
    </w:p>
  </w:endnote>
  <w:endnote w:id="21">
    <w:p w:rsidR="00811691" w:rsidRPr="00600BEC" w:rsidRDefault="00811691" w:rsidP="00901B5B">
      <w:pPr>
        <w:pStyle w:val="EndnoteText"/>
        <w:rPr>
          <w:sz w:val="20"/>
        </w:rPr>
      </w:pPr>
      <w:r w:rsidRPr="00600BEC">
        <w:rPr>
          <w:rStyle w:val="EndnoteReference"/>
          <w:sz w:val="20"/>
        </w:rPr>
        <w:endnoteRef/>
      </w:r>
      <w:r w:rsidRPr="00600BEC">
        <w:rPr>
          <w:sz w:val="20"/>
        </w:rPr>
        <w:t xml:space="preserve"> </w:t>
      </w:r>
      <w:hyperlink r:id="rId14" w:history="1">
        <w:r w:rsidRPr="00600BEC">
          <w:rPr>
            <w:rStyle w:val="Hyperlink"/>
          </w:rPr>
          <w:t>http://www.irrawaddy.org/burma/govt-proposes-20-budget-rise-boosting-education-defense-health.html</w:t>
        </w:r>
      </w:hyperlink>
      <w:r w:rsidRPr="00600BEC">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83" w:rsidRDefault="00131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94971"/>
      <w:docPartObj>
        <w:docPartGallery w:val="Page Numbers (Bottom of Page)"/>
        <w:docPartUnique/>
      </w:docPartObj>
    </w:sdtPr>
    <w:sdtEndPr>
      <w:rPr>
        <w:noProof/>
      </w:rPr>
    </w:sdtEndPr>
    <w:sdtContent>
      <w:p w:rsidR="00811691" w:rsidRDefault="00811691">
        <w:pPr>
          <w:pStyle w:val="Footer"/>
          <w:jc w:val="right"/>
        </w:pPr>
        <w:r>
          <w:fldChar w:fldCharType="begin"/>
        </w:r>
        <w:r>
          <w:instrText xml:space="preserve"> PAGE   \* MERGEFORMAT </w:instrText>
        </w:r>
        <w:r>
          <w:fldChar w:fldCharType="separate"/>
        </w:r>
        <w:r w:rsidR="00131D83">
          <w:rPr>
            <w:noProof/>
          </w:rPr>
          <w:t>23</w:t>
        </w:r>
        <w:r>
          <w:rPr>
            <w:noProof/>
          </w:rPr>
          <w:fldChar w:fldCharType="end"/>
        </w:r>
      </w:p>
    </w:sdtContent>
  </w:sdt>
  <w:p w:rsidR="00811691" w:rsidRDefault="008116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83" w:rsidRDefault="00131D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Pr="004C4A3E" w:rsidRDefault="0081169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32992" behindDoc="1" locked="1" layoutInCell="1" allowOverlap="1" wp14:anchorId="7ECA2DBC" wp14:editId="2D497FA8">
              <wp:simplePos x="0" y="0"/>
              <wp:positionH relativeFrom="page">
                <wp:posOffset>0</wp:posOffset>
              </wp:positionH>
              <wp:positionV relativeFrom="page">
                <wp:posOffset>8533130</wp:posOffset>
              </wp:positionV>
              <wp:extent cx="7380000" cy="2181600"/>
              <wp:effectExtent l="0" t="0" r="0" b="9525"/>
              <wp:wrapNone/>
              <wp:docPr id="9" name="Rectangle 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AusAID web address graphic" style="position:absolute;margin-left:0;margin-top:671.9pt;width:581.1pt;height:171.8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LQWm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rC0Fp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131D83">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131D83">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31968" behindDoc="1" locked="0" layoutInCell="1" allowOverlap="1" wp14:anchorId="2D2C7AC6" wp14:editId="1E6ED12D">
              <wp:simplePos x="0" y="0"/>
              <wp:positionH relativeFrom="column">
                <wp:posOffset>0</wp:posOffset>
              </wp:positionH>
              <wp:positionV relativeFrom="paragraph">
                <wp:posOffset>8498840</wp:posOffset>
              </wp:positionV>
              <wp:extent cx="7379970" cy="2181860"/>
              <wp:effectExtent l="0" t="2540" r="1905" b="0"/>
              <wp:wrapNone/>
              <wp:docPr id="10" name="Rectangle 1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l7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YsJey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0944" behindDoc="1" locked="0" layoutInCell="1" allowOverlap="1" wp14:anchorId="1C5B7D9F" wp14:editId="7CEF012B">
              <wp:simplePos x="0" y="0"/>
              <wp:positionH relativeFrom="column">
                <wp:posOffset>0</wp:posOffset>
              </wp:positionH>
              <wp:positionV relativeFrom="paragraph">
                <wp:posOffset>8498840</wp:posOffset>
              </wp:positionV>
              <wp:extent cx="7379970" cy="2181860"/>
              <wp:effectExtent l="0" t="2540" r="1905" b="0"/>
              <wp:wrapNone/>
              <wp:docPr id="13" name="Rectangle 1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MoR+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G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xTKEf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Pr="004C4A3E" w:rsidRDefault="0081169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36064" behindDoc="1" locked="1" layoutInCell="1" allowOverlap="1" wp14:anchorId="1D78B110" wp14:editId="3A2D62B1">
              <wp:simplePos x="0" y="0"/>
              <wp:positionH relativeFrom="page">
                <wp:posOffset>0</wp:posOffset>
              </wp:positionH>
              <wp:positionV relativeFrom="page">
                <wp:posOffset>8533130</wp:posOffset>
              </wp:positionV>
              <wp:extent cx="7380000" cy="2181600"/>
              <wp:effectExtent l="0" t="0" r="0" b="9525"/>
              <wp:wrapNone/>
              <wp:docPr id="15" name="Rectangle 1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AID web address graphic" style="position:absolute;margin-left:0;margin-top:671.9pt;width:581.1pt;height:171.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Bj8+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2cGPz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755F1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35040" behindDoc="1" locked="0" layoutInCell="1" allowOverlap="1" wp14:anchorId="1E00A43A" wp14:editId="19A90164">
              <wp:simplePos x="0" y="0"/>
              <wp:positionH relativeFrom="column">
                <wp:posOffset>0</wp:posOffset>
              </wp:positionH>
              <wp:positionV relativeFrom="paragraph">
                <wp:posOffset>8498840</wp:posOffset>
              </wp:positionV>
              <wp:extent cx="7379970" cy="2181860"/>
              <wp:effectExtent l="0" t="2540" r="1905" b="0"/>
              <wp:wrapNone/>
              <wp:docPr id="1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Piz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LT4sz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4016" behindDoc="1" locked="0" layoutInCell="1" allowOverlap="1" wp14:anchorId="03A71546" wp14:editId="3BE7DDE5">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Pr="004C4A3E" w:rsidRDefault="00811691"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14EAD28A" wp14:editId="0F9BB594">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755F1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64B979D1" wp14:editId="3A83209E">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53871122" wp14:editId="7FA926FB">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91" w:rsidRDefault="00811691" w:rsidP="0050529F">
      <w:r>
        <w:separator/>
      </w:r>
    </w:p>
    <w:p w:rsidR="00811691" w:rsidRDefault="00811691"/>
    <w:p w:rsidR="00811691" w:rsidRDefault="00811691"/>
    <w:p w:rsidR="00811691" w:rsidRDefault="00811691"/>
    <w:p w:rsidR="00811691" w:rsidRDefault="00811691"/>
    <w:p w:rsidR="00811691" w:rsidRDefault="00811691"/>
    <w:p w:rsidR="00811691" w:rsidRDefault="00811691"/>
  </w:footnote>
  <w:footnote w:type="continuationSeparator" w:id="0">
    <w:p w:rsidR="00811691" w:rsidRDefault="00811691" w:rsidP="0050529F">
      <w:r>
        <w:continuationSeparator/>
      </w:r>
    </w:p>
    <w:p w:rsidR="00811691" w:rsidRDefault="00811691"/>
    <w:p w:rsidR="00811691" w:rsidRDefault="00811691"/>
    <w:p w:rsidR="00811691" w:rsidRDefault="00811691"/>
    <w:p w:rsidR="00811691" w:rsidRDefault="00811691"/>
    <w:p w:rsidR="00811691" w:rsidRDefault="00811691"/>
    <w:p w:rsidR="00811691" w:rsidRDefault="00811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83" w:rsidRDefault="00131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83" w:rsidRDefault="00131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83" w:rsidRDefault="00131D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Default="008116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Default="008116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91" w:rsidRDefault="00811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A24246"/>
    <w:multiLevelType w:val="hybridMultilevel"/>
    <w:tmpl w:val="94D2E0AA"/>
    <w:lvl w:ilvl="0" w:tplc="65A006A4">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A5451"/>
    <w:multiLevelType w:val="hybridMultilevel"/>
    <w:tmpl w:val="52AE48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D756B8"/>
    <w:multiLevelType w:val="hybridMultilevel"/>
    <w:tmpl w:val="97367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2B838A1"/>
    <w:multiLevelType w:val="hybridMultilevel"/>
    <w:tmpl w:val="27CC43C6"/>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D4166"/>
    <w:multiLevelType w:val="hybridMultilevel"/>
    <w:tmpl w:val="7234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CA534F"/>
    <w:multiLevelType w:val="hybridMultilevel"/>
    <w:tmpl w:val="ADDEAA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790D3E83"/>
    <w:multiLevelType w:val="hybridMultilevel"/>
    <w:tmpl w:val="F47832F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8"/>
  </w:num>
  <w:num w:numId="4">
    <w:abstractNumId w:val="18"/>
  </w:num>
  <w:num w:numId="5">
    <w:abstractNumId w:val="17"/>
  </w:num>
  <w:num w:numId="6">
    <w:abstractNumId w:val="15"/>
  </w:num>
  <w:num w:numId="7">
    <w:abstractNumId w:val="23"/>
  </w:num>
  <w:num w:numId="8">
    <w:abstractNumId w:val="7"/>
  </w:num>
  <w:num w:numId="9">
    <w:abstractNumId w:val="10"/>
  </w:num>
  <w:num w:numId="10">
    <w:abstractNumId w:val="26"/>
  </w:num>
  <w:num w:numId="11">
    <w:abstractNumId w:val="27"/>
  </w:num>
  <w:num w:numId="12">
    <w:abstractNumId w:val="0"/>
  </w:num>
  <w:num w:numId="13">
    <w:abstractNumId w:val="3"/>
  </w:num>
  <w:num w:numId="14">
    <w:abstractNumId w:val="21"/>
  </w:num>
  <w:num w:numId="15">
    <w:abstractNumId w:val="1"/>
  </w:num>
  <w:num w:numId="16">
    <w:abstractNumId w:val="14"/>
  </w:num>
  <w:num w:numId="17">
    <w:abstractNumId w:val="12"/>
  </w:num>
  <w:num w:numId="18">
    <w:abstractNumId w:val="9"/>
  </w:num>
  <w:num w:numId="19">
    <w:abstractNumId w:val="27"/>
  </w:num>
  <w:num w:numId="20">
    <w:abstractNumId w:val="16"/>
  </w:num>
  <w:num w:numId="21">
    <w:abstractNumId w:val="22"/>
  </w:num>
  <w:num w:numId="22">
    <w:abstractNumId w:val="27"/>
  </w:num>
  <w:num w:numId="23">
    <w:abstractNumId w:val="27"/>
  </w:num>
  <w:num w:numId="24">
    <w:abstractNumId w:val="27"/>
  </w:num>
  <w:num w:numId="25">
    <w:abstractNumId w:val="4"/>
  </w:num>
  <w:num w:numId="26">
    <w:abstractNumId w:val="24"/>
  </w:num>
  <w:num w:numId="27">
    <w:abstractNumId w:val="2"/>
  </w:num>
  <w:num w:numId="28">
    <w:abstractNumId w:val="11"/>
  </w:num>
  <w:num w:numId="29">
    <w:abstractNumId w:val="25"/>
  </w:num>
  <w:num w:numId="30">
    <w:abstractNumId w:val="27"/>
  </w:num>
  <w:num w:numId="31">
    <w:abstractNumId w:val="27"/>
  </w:num>
  <w:num w:numId="32">
    <w:abstractNumId w:val="5"/>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3E28"/>
    <w:rsid w:val="00004E18"/>
    <w:rsid w:val="00006205"/>
    <w:rsid w:val="00007E94"/>
    <w:rsid w:val="000142A2"/>
    <w:rsid w:val="000143D9"/>
    <w:rsid w:val="00020121"/>
    <w:rsid w:val="00020208"/>
    <w:rsid w:val="00021A9E"/>
    <w:rsid w:val="00022E4B"/>
    <w:rsid w:val="0002353A"/>
    <w:rsid w:val="00023CB8"/>
    <w:rsid w:val="00027629"/>
    <w:rsid w:val="00030111"/>
    <w:rsid w:val="00031100"/>
    <w:rsid w:val="00031EB5"/>
    <w:rsid w:val="0003231A"/>
    <w:rsid w:val="0003274C"/>
    <w:rsid w:val="0003290B"/>
    <w:rsid w:val="00040AF6"/>
    <w:rsid w:val="00041363"/>
    <w:rsid w:val="000426DF"/>
    <w:rsid w:val="00046A1A"/>
    <w:rsid w:val="000529AD"/>
    <w:rsid w:val="000546B7"/>
    <w:rsid w:val="0005506B"/>
    <w:rsid w:val="000550B0"/>
    <w:rsid w:val="00055E78"/>
    <w:rsid w:val="0005637C"/>
    <w:rsid w:val="00057589"/>
    <w:rsid w:val="00057D09"/>
    <w:rsid w:val="00062B00"/>
    <w:rsid w:val="0007149C"/>
    <w:rsid w:val="00071B95"/>
    <w:rsid w:val="0007395B"/>
    <w:rsid w:val="000745E2"/>
    <w:rsid w:val="00076BC4"/>
    <w:rsid w:val="0007703B"/>
    <w:rsid w:val="000774FD"/>
    <w:rsid w:val="00077F8F"/>
    <w:rsid w:val="000818C0"/>
    <w:rsid w:val="00081F4E"/>
    <w:rsid w:val="000905A8"/>
    <w:rsid w:val="00091878"/>
    <w:rsid w:val="000957FC"/>
    <w:rsid w:val="00095CF5"/>
    <w:rsid w:val="000979A0"/>
    <w:rsid w:val="00097B02"/>
    <w:rsid w:val="000A1618"/>
    <w:rsid w:val="000A18AF"/>
    <w:rsid w:val="000A4247"/>
    <w:rsid w:val="000A714B"/>
    <w:rsid w:val="000B0391"/>
    <w:rsid w:val="000B3121"/>
    <w:rsid w:val="000B68F6"/>
    <w:rsid w:val="000B6BE5"/>
    <w:rsid w:val="000B6FEA"/>
    <w:rsid w:val="000B75E8"/>
    <w:rsid w:val="000C258A"/>
    <w:rsid w:val="000C29BF"/>
    <w:rsid w:val="000C4A7A"/>
    <w:rsid w:val="000C6080"/>
    <w:rsid w:val="000C60A8"/>
    <w:rsid w:val="000D151B"/>
    <w:rsid w:val="000D1993"/>
    <w:rsid w:val="000D23A9"/>
    <w:rsid w:val="000D2CDD"/>
    <w:rsid w:val="000D733F"/>
    <w:rsid w:val="000D7952"/>
    <w:rsid w:val="000E2D84"/>
    <w:rsid w:val="000E4573"/>
    <w:rsid w:val="000E7297"/>
    <w:rsid w:val="000E752E"/>
    <w:rsid w:val="000E7A8D"/>
    <w:rsid w:val="000F1C84"/>
    <w:rsid w:val="000F25CD"/>
    <w:rsid w:val="000F2D94"/>
    <w:rsid w:val="000F2E58"/>
    <w:rsid w:val="00100485"/>
    <w:rsid w:val="00100AA2"/>
    <w:rsid w:val="00103D36"/>
    <w:rsid w:val="00106185"/>
    <w:rsid w:val="00106BDC"/>
    <w:rsid w:val="0010729C"/>
    <w:rsid w:val="00111FBA"/>
    <w:rsid w:val="00112E97"/>
    <w:rsid w:val="001139DE"/>
    <w:rsid w:val="00114751"/>
    <w:rsid w:val="001154CA"/>
    <w:rsid w:val="001171DE"/>
    <w:rsid w:val="00120FC7"/>
    <w:rsid w:val="00122038"/>
    <w:rsid w:val="00122299"/>
    <w:rsid w:val="001227C3"/>
    <w:rsid w:val="0012429A"/>
    <w:rsid w:val="00125002"/>
    <w:rsid w:val="001258C6"/>
    <w:rsid w:val="0012793C"/>
    <w:rsid w:val="00131D83"/>
    <w:rsid w:val="00131FF0"/>
    <w:rsid w:val="00132003"/>
    <w:rsid w:val="00132643"/>
    <w:rsid w:val="00133AAD"/>
    <w:rsid w:val="00135806"/>
    <w:rsid w:val="001366B4"/>
    <w:rsid w:val="00136CC1"/>
    <w:rsid w:val="001375E3"/>
    <w:rsid w:val="00141A30"/>
    <w:rsid w:val="00143053"/>
    <w:rsid w:val="0014411B"/>
    <w:rsid w:val="001448E7"/>
    <w:rsid w:val="00147846"/>
    <w:rsid w:val="0015043E"/>
    <w:rsid w:val="00152DFD"/>
    <w:rsid w:val="00154EF9"/>
    <w:rsid w:val="00157858"/>
    <w:rsid w:val="00160762"/>
    <w:rsid w:val="001612CE"/>
    <w:rsid w:val="0016193B"/>
    <w:rsid w:val="001624FB"/>
    <w:rsid w:val="0016544D"/>
    <w:rsid w:val="001657F1"/>
    <w:rsid w:val="00167331"/>
    <w:rsid w:val="0016740F"/>
    <w:rsid w:val="00171BB2"/>
    <w:rsid w:val="00173C6E"/>
    <w:rsid w:val="0017555E"/>
    <w:rsid w:val="00175E4C"/>
    <w:rsid w:val="001772FD"/>
    <w:rsid w:val="00177FF9"/>
    <w:rsid w:val="00180B19"/>
    <w:rsid w:val="00180F3A"/>
    <w:rsid w:val="0018196F"/>
    <w:rsid w:val="00181B58"/>
    <w:rsid w:val="001826BD"/>
    <w:rsid w:val="001829BB"/>
    <w:rsid w:val="0018305E"/>
    <w:rsid w:val="0018353A"/>
    <w:rsid w:val="0018471E"/>
    <w:rsid w:val="00192498"/>
    <w:rsid w:val="001943B6"/>
    <w:rsid w:val="00194806"/>
    <w:rsid w:val="00195513"/>
    <w:rsid w:val="00197B05"/>
    <w:rsid w:val="001A308A"/>
    <w:rsid w:val="001A374B"/>
    <w:rsid w:val="001A52E5"/>
    <w:rsid w:val="001B1A0C"/>
    <w:rsid w:val="001B2948"/>
    <w:rsid w:val="001B3E96"/>
    <w:rsid w:val="001B41CD"/>
    <w:rsid w:val="001B714C"/>
    <w:rsid w:val="001C1EA0"/>
    <w:rsid w:val="001C2D59"/>
    <w:rsid w:val="001C31B9"/>
    <w:rsid w:val="001C507E"/>
    <w:rsid w:val="001C700E"/>
    <w:rsid w:val="001C7117"/>
    <w:rsid w:val="001C745A"/>
    <w:rsid w:val="001C7DDD"/>
    <w:rsid w:val="001D20FC"/>
    <w:rsid w:val="001D210A"/>
    <w:rsid w:val="001D52BE"/>
    <w:rsid w:val="001D6059"/>
    <w:rsid w:val="001D6515"/>
    <w:rsid w:val="001D7E98"/>
    <w:rsid w:val="001E4BDE"/>
    <w:rsid w:val="001E6635"/>
    <w:rsid w:val="001E6C02"/>
    <w:rsid w:val="001F12A2"/>
    <w:rsid w:val="001F13F9"/>
    <w:rsid w:val="001F3093"/>
    <w:rsid w:val="001F5CB1"/>
    <w:rsid w:val="001F61A8"/>
    <w:rsid w:val="001F7480"/>
    <w:rsid w:val="00201174"/>
    <w:rsid w:val="00202880"/>
    <w:rsid w:val="00202E4E"/>
    <w:rsid w:val="00203BCC"/>
    <w:rsid w:val="00204E78"/>
    <w:rsid w:val="00205E0B"/>
    <w:rsid w:val="00205F2B"/>
    <w:rsid w:val="00207A03"/>
    <w:rsid w:val="002115BD"/>
    <w:rsid w:val="002126BA"/>
    <w:rsid w:val="00212B27"/>
    <w:rsid w:val="0021515C"/>
    <w:rsid w:val="002165E8"/>
    <w:rsid w:val="002227A9"/>
    <w:rsid w:val="00223901"/>
    <w:rsid w:val="00224BF5"/>
    <w:rsid w:val="00226DEE"/>
    <w:rsid w:val="0022724E"/>
    <w:rsid w:val="00231B52"/>
    <w:rsid w:val="00231D45"/>
    <w:rsid w:val="002335A9"/>
    <w:rsid w:val="002343CF"/>
    <w:rsid w:val="00235D29"/>
    <w:rsid w:val="002363D9"/>
    <w:rsid w:val="00236B8C"/>
    <w:rsid w:val="002373C6"/>
    <w:rsid w:val="00237C4B"/>
    <w:rsid w:val="0024009A"/>
    <w:rsid w:val="00240D59"/>
    <w:rsid w:val="00242863"/>
    <w:rsid w:val="00242C0A"/>
    <w:rsid w:val="002441D5"/>
    <w:rsid w:val="00246E5F"/>
    <w:rsid w:val="00254374"/>
    <w:rsid w:val="00255C91"/>
    <w:rsid w:val="00261E78"/>
    <w:rsid w:val="00263F5F"/>
    <w:rsid w:val="0026543A"/>
    <w:rsid w:val="002660AA"/>
    <w:rsid w:val="00266C8D"/>
    <w:rsid w:val="00270898"/>
    <w:rsid w:val="002722E1"/>
    <w:rsid w:val="00272AF0"/>
    <w:rsid w:val="00273C6F"/>
    <w:rsid w:val="00275C42"/>
    <w:rsid w:val="00282FEF"/>
    <w:rsid w:val="002849B4"/>
    <w:rsid w:val="002911A4"/>
    <w:rsid w:val="00291F1C"/>
    <w:rsid w:val="00297FA7"/>
    <w:rsid w:val="002A15F4"/>
    <w:rsid w:val="002A1935"/>
    <w:rsid w:val="002A1A79"/>
    <w:rsid w:val="002A21D1"/>
    <w:rsid w:val="002A22F7"/>
    <w:rsid w:val="002A2EE3"/>
    <w:rsid w:val="002A3696"/>
    <w:rsid w:val="002A449A"/>
    <w:rsid w:val="002A4D70"/>
    <w:rsid w:val="002B1CB1"/>
    <w:rsid w:val="002B1F66"/>
    <w:rsid w:val="002B31B3"/>
    <w:rsid w:val="002B433A"/>
    <w:rsid w:val="002B5CF8"/>
    <w:rsid w:val="002B61A8"/>
    <w:rsid w:val="002B66E9"/>
    <w:rsid w:val="002B6EBE"/>
    <w:rsid w:val="002B79D4"/>
    <w:rsid w:val="002C1E00"/>
    <w:rsid w:val="002C5722"/>
    <w:rsid w:val="002C639B"/>
    <w:rsid w:val="002D090E"/>
    <w:rsid w:val="002D1328"/>
    <w:rsid w:val="002D4CF6"/>
    <w:rsid w:val="002D5D7B"/>
    <w:rsid w:val="002D6914"/>
    <w:rsid w:val="002D6DF0"/>
    <w:rsid w:val="002D7FFA"/>
    <w:rsid w:val="002E31DE"/>
    <w:rsid w:val="002E3B38"/>
    <w:rsid w:val="002E55EA"/>
    <w:rsid w:val="002E5604"/>
    <w:rsid w:val="002F2601"/>
    <w:rsid w:val="002F2E20"/>
    <w:rsid w:val="002F479A"/>
    <w:rsid w:val="002F54F3"/>
    <w:rsid w:val="002F5A14"/>
    <w:rsid w:val="002F6586"/>
    <w:rsid w:val="00303038"/>
    <w:rsid w:val="0030318A"/>
    <w:rsid w:val="00306734"/>
    <w:rsid w:val="00310426"/>
    <w:rsid w:val="00310974"/>
    <w:rsid w:val="00313E45"/>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26BE"/>
    <w:rsid w:val="003327F8"/>
    <w:rsid w:val="00335F19"/>
    <w:rsid w:val="003363C7"/>
    <w:rsid w:val="00341177"/>
    <w:rsid w:val="00341311"/>
    <w:rsid w:val="00342BF7"/>
    <w:rsid w:val="00343B25"/>
    <w:rsid w:val="00345B8E"/>
    <w:rsid w:val="00346B8F"/>
    <w:rsid w:val="00351ACA"/>
    <w:rsid w:val="00352AE5"/>
    <w:rsid w:val="00357648"/>
    <w:rsid w:val="00357AF7"/>
    <w:rsid w:val="00360662"/>
    <w:rsid w:val="00364653"/>
    <w:rsid w:val="00365FA2"/>
    <w:rsid w:val="00371F53"/>
    <w:rsid w:val="00372D2E"/>
    <w:rsid w:val="00372E1B"/>
    <w:rsid w:val="003743C8"/>
    <w:rsid w:val="0038058B"/>
    <w:rsid w:val="00383294"/>
    <w:rsid w:val="00383F3F"/>
    <w:rsid w:val="00384342"/>
    <w:rsid w:val="003849ED"/>
    <w:rsid w:val="00385593"/>
    <w:rsid w:val="00385A4C"/>
    <w:rsid w:val="0038760E"/>
    <w:rsid w:val="0039240C"/>
    <w:rsid w:val="00392598"/>
    <w:rsid w:val="00392981"/>
    <w:rsid w:val="00394F10"/>
    <w:rsid w:val="00395CFA"/>
    <w:rsid w:val="00396504"/>
    <w:rsid w:val="003A2059"/>
    <w:rsid w:val="003A27D2"/>
    <w:rsid w:val="003A2D7B"/>
    <w:rsid w:val="003A344F"/>
    <w:rsid w:val="003A74BF"/>
    <w:rsid w:val="003B122C"/>
    <w:rsid w:val="003B2756"/>
    <w:rsid w:val="003B5F7E"/>
    <w:rsid w:val="003C000A"/>
    <w:rsid w:val="003C1FF5"/>
    <w:rsid w:val="003C288C"/>
    <w:rsid w:val="003C31EE"/>
    <w:rsid w:val="003C6E17"/>
    <w:rsid w:val="003C7721"/>
    <w:rsid w:val="003D081D"/>
    <w:rsid w:val="003D11E7"/>
    <w:rsid w:val="003D20D2"/>
    <w:rsid w:val="003D2E2F"/>
    <w:rsid w:val="003D44F4"/>
    <w:rsid w:val="003D668C"/>
    <w:rsid w:val="003E0E66"/>
    <w:rsid w:val="003E4982"/>
    <w:rsid w:val="003E63B3"/>
    <w:rsid w:val="003E6E05"/>
    <w:rsid w:val="003E7AA9"/>
    <w:rsid w:val="003F537C"/>
    <w:rsid w:val="00401255"/>
    <w:rsid w:val="00403152"/>
    <w:rsid w:val="00403AAA"/>
    <w:rsid w:val="00405831"/>
    <w:rsid w:val="00406000"/>
    <w:rsid w:val="00412707"/>
    <w:rsid w:val="00413539"/>
    <w:rsid w:val="0041396D"/>
    <w:rsid w:val="00415A92"/>
    <w:rsid w:val="00416B02"/>
    <w:rsid w:val="0041730D"/>
    <w:rsid w:val="00420E02"/>
    <w:rsid w:val="004228CD"/>
    <w:rsid w:val="004242D2"/>
    <w:rsid w:val="0042527A"/>
    <w:rsid w:val="00426354"/>
    <w:rsid w:val="004309E9"/>
    <w:rsid w:val="00436BA1"/>
    <w:rsid w:val="00437C95"/>
    <w:rsid w:val="00441E77"/>
    <w:rsid w:val="00443639"/>
    <w:rsid w:val="004450BD"/>
    <w:rsid w:val="004453CE"/>
    <w:rsid w:val="00445A3B"/>
    <w:rsid w:val="00445C4E"/>
    <w:rsid w:val="00445FE0"/>
    <w:rsid w:val="00446742"/>
    <w:rsid w:val="00451A9F"/>
    <w:rsid w:val="0045475F"/>
    <w:rsid w:val="0045669C"/>
    <w:rsid w:val="00462000"/>
    <w:rsid w:val="00466C98"/>
    <w:rsid w:val="00467C3F"/>
    <w:rsid w:val="00467CE4"/>
    <w:rsid w:val="0047015C"/>
    <w:rsid w:val="0047308A"/>
    <w:rsid w:val="0047710F"/>
    <w:rsid w:val="004776A2"/>
    <w:rsid w:val="00481777"/>
    <w:rsid w:val="00490BDE"/>
    <w:rsid w:val="00494504"/>
    <w:rsid w:val="004957EC"/>
    <w:rsid w:val="00496F8D"/>
    <w:rsid w:val="004A2EC3"/>
    <w:rsid w:val="004A568F"/>
    <w:rsid w:val="004A7400"/>
    <w:rsid w:val="004A7988"/>
    <w:rsid w:val="004B201A"/>
    <w:rsid w:val="004B41B9"/>
    <w:rsid w:val="004B4A44"/>
    <w:rsid w:val="004B64F3"/>
    <w:rsid w:val="004C33EA"/>
    <w:rsid w:val="004C36CF"/>
    <w:rsid w:val="004C3D1D"/>
    <w:rsid w:val="004C4A3E"/>
    <w:rsid w:val="004C4CA7"/>
    <w:rsid w:val="004C59EA"/>
    <w:rsid w:val="004C65C6"/>
    <w:rsid w:val="004C660D"/>
    <w:rsid w:val="004C7E92"/>
    <w:rsid w:val="004D0699"/>
    <w:rsid w:val="004D1529"/>
    <w:rsid w:val="004D19CE"/>
    <w:rsid w:val="004D23F6"/>
    <w:rsid w:val="004D2ED0"/>
    <w:rsid w:val="004D4522"/>
    <w:rsid w:val="004D5370"/>
    <w:rsid w:val="004D71DE"/>
    <w:rsid w:val="004D740B"/>
    <w:rsid w:val="004E01E9"/>
    <w:rsid w:val="004E1E24"/>
    <w:rsid w:val="004E3E40"/>
    <w:rsid w:val="004E570D"/>
    <w:rsid w:val="004E6400"/>
    <w:rsid w:val="004E642E"/>
    <w:rsid w:val="004E6924"/>
    <w:rsid w:val="004E6A61"/>
    <w:rsid w:val="004E6E33"/>
    <w:rsid w:val="004E702A"/>
    <w:rsid w:val="004F0C2D"/>
    <w:rsid w:val="004F2D4C"/>
    <w:rsid w:val="004F3D7E"/>
    <w:rsid w:val="004F4630"/>
    <w:rsid w:val="004F521E"/>
    <w:rsid w:val="004F5B84"/>
    <w:rsid w:val="004F6FEE"/>
    <w:rsid w:val="00500EB4"/>
    <w:rsid w:val="00501CD2"/>
    <w:rsid w:val="00502DEB"/>
    <w:rsid w:val="00503974"/>
    <w:rsid w:val="0050439B"/>
    <w:rsid w:val="0050529F"/>
    <w:rsid w:val="00506A51"/>
    <w:rsid w:val="005106B7"/>
    <w:rsid w:val="00510D1D"/>
    <w:rsid w:val="005110C3"/>
    <w:rsid w:val="00511A0F"/>
    <w:rsid w:val="00514415"/>
    <w:rsid w:val="00514B5E"/>
    <w:rsid w:val="005157C1"/>
    <w:rsid w:val="00515954"/>
    <w:rsid w:val="00515B83"/>
    <w:rsid w:val="00515E3D"/>
    <w:rsid w:val="00516D93"/>
    <w:rsid w:val="0051768D"/>
    <w:rsid w:val="005208AC"/>
    <w:rsid w:val="00521C34"/>
    <w:rsid w:val="0052286C"/>
    <w:rsid w:val="00522AB9"/>
    <w:rsid w:val="005265B9"/>
    <w:rsid w:val="005307E8"/>
    <w:rsid w:val="0053175E"/>
    <w:rsid w:val="00533533"/>
    <w:rsid w:val="00534C95"/>
    <w:rsid w:val="00534CCB"/>
    <w:rsid w:val="00535C99"/>
    <w:rsid w:val="00535E24"/>
    <w:rsid w:val="0053773D"/>
    <w:rsid w:val="00537E02"/>
    <w:rsid w:val="00542718"/>
    <w:rsid w:val="00543224"/>
    <w:rsid w:val="005440F6"/>
    <w:rsid w:val="00544CCD"/>
    <w:rsid w:val="0054557A"/>
    <w:rsid w:val="00546DD6"/>
    <w:rsid w:val="00547869"/>
    <w:rsid w:val="0055172C"/>
    <w:rsid w:val="0055569F"/>
    <w:rsid w:val="0055771D"/>
    <w:rsid w:val="005609B0"/>
    <w:rsid w:val="00560D15"/>
    <w:rsid w:val="005640F4"/>
    <w:rsid w:val="00565055"/>
    <w:rsid w:val="00565635"/>
    <w:rsid w:val="0056793F"/>
    <w:rsid w:val="00567FCF"/>
    <w:rsid w:val="00570765"/>
    <w:rsid w:val="00570A53"/>
    <w:rsid w:val="00571521"/>
    <w:rsid w:val="005732BD"/>
    <w:rsid w:val="005733F9"/>
    <w:rsid w:val="00573E59"/>
    <w:rsid w:val="0057490F"/>
    <w:rsid w:val="00575295"/>
    <w:rsid w:val="00575AD2"/>
    <w:rsid w:val="0058069A"/>
    <w:rsid w:val="00581979"/>
    <w:rsid w:val="00581C01"/>
    <w:rsid w:val="0058242D"/>
    <w:rsid w:val="00582C22"/>
    <w:rsid w:val="005845CB"/>
    <w:rsid w:val="0058498A"/>
    <w:rsid w:val="00586350"/>
    <w:rsid w:val="00586CDB"/>
    <w:rsid w:val="00587BA6"/>
    <w:rsid w:val="005901D2"/>
    <w:rsid w:val="0059419C"/>
    <w:rsid w:val="0059461A"/>
    <w:rsid w:val="00597520"/>
    <w:rsid w:val="005A18C5"/>
    <w:rsid w:val="005A241F"/>
    <w:rsid w:val="005A3ED5"/>
    <w:rsid w:val="005A511C"/>
    <w:rsid w:val="005A5945"/>
    <w:rsid w:val="005A69E5"/>
    <w:rsid w:val="005A7CF6"/>
    <w:rsid w:val="005B42EE"/>
    <w:rsid w:val="005B4F7A"/>
    <w:rsid w:val="005B537E"/>
    <w:rsid w:val="005B7C71"/>
    <w:rsid w:val="005C310A"/>
    <w:rsid w:val="005C4A6B"/>
    <w:rsid w:val="005C661F"/>
    <w:rsid w:val="005D2A59"/>
    <w:rsid w:val="005E214F"/>
    <w:rsid w:val="005F0C00"/>
    <w:rsid w:val="005F1051"/>
    <w:rsid w:val="005F15ED"/>
    <w:rsid w:val="005F33F2"/>
    <w:rsid w:val="005F460C"/>
    <w:rsid w:val="005F51F6"/>
    <w:rsid w:val="005F74D0"/>
    <w:rsid w:val="00600404"/>
    <w:rsid w:val="00600BEC"/>
    <w:rsid w:val="0060117A"/>
    <w:rsid w:val="006044A2"/>
    <w:rsid w:val="00612E14"/>
    <w:rsid w:val="00617F30"/>
    <w:rsid w:val="006231CF"/>
    <w:rsid w:val="00623A4A"/>
    <w:rsid w:val="00623D36"/>
    <w:rsid w:val="0062598A"/>
    <w:rsid w:val="00625A52"/>
    <w:rsid w:val="0062686B"/>
    <w:rsid w:val="00633A74"/>
    <w:rsid w:val="00637549"/>
    <w:rsid w:val="00640293"/>
    <w:rsid w:val="00642A6F"/>
    <w:rsid w:val="00642E50"/>
    <w:rsid w:val="00643B5A"/>
    <w:rsid w:val="00646049"/>
    <w:rsid w:val="00647FBA"/>
    <w:rsid w:val="0065268F"/>
    <w:rsid w:val="0065391A"/>
    <w:rsid w:val="0065679C"/>
    <w:rsid w:val="00657108"/>
    <w:rsid w:val="00663306"/>
    <w:rsid w:val="00663909"/>
    <w:rsid w:val="00663E95"/>
    <w:rsid w:val="006659FF"/>
    <w:rsid w:val="006671BC"/>
    <w:rsid w:val="0067299B"/>
    <w:rsid w:val="00673287"/>
    <w:rsid w:val="00674A45"/>
    <w:rsid w:val="00677707"/>
    <w:rsid w:val="00680679"/>
    <w:rsid w:val="0068146D"/>
    <w:rsid w:val="00682DB1"/>
    <w:rsid w:val="00683FFB"/>
    <w:rsid w:val="0068768A"/>
    <w:rsid w:val="00687A6F"/>
    <w:rsid w:val="00687B2F"/>
    <w:rsid w:val="00690BEA"/>
    <w:rsid w:val="00695279"/>
    <w:rsid w:val="00697C69"/>
    <w:rsid w:val="006A0A59"/>
    <w:rsid w:val="006A5742"/>
    <w:rsid w:val="006A7797"/>
    <w:rsid w:val="006A7CD8"/>
    <w:rsid w:val="006B03A8"/>
    <w:rsid w:val="006B0F12"/>
    <w:rsid w:val="006B191A"/>
    <w:rsid w:val="006B33A7"/>
    <w:rsid w:val="006B3948"/>
    <w:rsid w:val="006C1260"/>
    <w:rsid w:val="006C2232"/>
    <w:rsid w:val="006C4402"/>
    <w:rsid w:val="006C6800"/>
    <w:rsid w:val="006D0BC5"/>
    <w:rsid w:val="006D1C21"/>
    <w:rsid w:val="006D2239"/>
    <w:rsid w:val="006D2CF2"/>
    <w:rsid w:val="006D2E37"/>
    <w:rsid w:val="006D34C3"/>
    <w:rsid w:val="006D4A15"/>
    <w:rsid w:val="006E0699"/>
    <w:rsid w:val="006E327C"/>
    <w:rsid w:val="006E7795"/>
    <w:rsid w:val="006E7E9F"/>
    <w:rsid w:val="006E7FA8"/>
    <w:rsid w:val="006F00DB"/>
    <w:rsid w:val="006F3FD8"/>
    <w:rsid w:val="006F4623"/>
    <w:rsid w:val="006F4B40"/>
    <w:rsid w:val="007001F4"/>
    <w:rsid w:val="00701F1B"/>
    <w:rsid w:val="00701FEA"/>
    <w:rsid w:val="007040D1"/>
    <w:rsid w:val="00705A00"/>
    <w:rsid w:val="007069F7"/>
    <w:rsid w:val="00706DE1"/>
    <w:rsid w:val="00710059"/>
    <w:rsid w:val="00710337"/>
    <w:rsid w:val="007110C9"/>
    <w:rsid w:val="00712349"/>
    <w:rsid w:val="00712FCE"/>
    <w:rsid w:val="007131CA"/>
    <w:rsid w:val="00714BA3"/>
    <w:rsid w:val="00715180"/>
    <w:rsid w:val="0071537B"/>
    <w:rsid w:val="007161A6"/>
    <w:rsid w:val="007167AE"/>
    <w:rsid w:val="00716EED"/>
    <w:rsid w:val="00720485"/>
    <w:rsid w:val="00721098"/>
    <w:rsid w:val="0072495B"/>
    <w:rsid w:val="007311E0"/>
    <w:rsid w:val="00733AF3"/>
    <w:rsid w:val="007360D3"/>
    <w:rsid w:val="0073644C"/>
    <w:rsid w:val="00736D2D"/>
    <w:rsid w:val="00737641"/>
    <w:rsid w:val="00737C72"/>
    <w:rsid w:val="00740F0B"/>
    <w:rsid w:val="00742ACA"/>
    <w:rsid w:val="007452F9"/>
    <w:rsid w:val="007460BA"/>
    <w:rsid w:val="0074660C"/>
    <w:rsid w:val="00747B69"/>
    <w:rsid w:val="00750E77"/>
    <w:rsid w:val="00751449"/>
    <w:rsid w:val="00755D95"/>
    <w:rsid w:val="00755F1A"/>
    <w:rsid w:val="00756B0E"/>
    <w:rsid w:val="00757BAA"/>
    <w:rsid w:val="00761434"/>
    <w:rsid w:val="00762B9C"/>
    <w:rsid w:val="00763999"/>
    <w:rsid w:val="00766491"/>
    <w:rsid w:val="00766BCF"/>
    <w:rsid w:val="00767F39"/>
    <w:rsid w:val="007705BC"/>
    <w:rsid w:val="007726E1"/>
    <w:rsid w:val="0077387A"/>
    <w:rsid w:val="00774747"/>
    <w:rsid w:val="00774F4B"/>
    <w:rsid w:val="0079256F"/>
    <w:rsid w:val="00792FC9"/>
    <w:rsid w:val="0079307B"/>
    <w:rsid w:val="007941CF"/>
    <w:rsid w:val="007963F8"/>
    <w:rsid w:val="00796F48"/>
    <w:rsid w:val="007A2A5E"/>
    <w:rsid w:val="007A3C6A"/>
    <w:rsid w:val="007A5821"/>
    <w:rsid w:val="007A6B87"/>
    <w:rsid w:val="007A77A4"/>
    <w:rsid w:val="007B0EBF"/>
    <w:rsid w:val="007B12EF"/>
    <w:rsid w:val="007B51E2"/>
    <w:rsid w:val="007B6F81"/>
    <w:rsid w:val="007C08B4"/>
    <w:rsid w:val="007D0A64"/>
    <w:rsid w:val="007D515A"/>
    <w:rsid w:val="007D5D8D"/>
    <w:rsid w:val="007D608D"/>
    <w:rsid w:val="007D7844"/>
    <w:rsid w:val="007D7EE0"/>
    <w:rsid w:val="007E0A88"/>
    <w:rsid w:val="007E10A5"/>
    <w:rsid w:val="007E2A95"/>
    <w:rsid w:val="007E3D71"/>
    <w:rsid w:val="007F0036"/>
    <w:rsid w:val="007F06C2"/>
    <w:rsid w:val="007F2841"/>
    <w:rsid w:val="007F3E30"/>
    <w:rsid w:val="0080096B"/>
    <w:rsid w:val="00800B90"/>
    <w:rsid w:val="00802A66"/>
    <w:rsid w:val="00805ADD"/>
    <w:rsid w:val="008103A0"/>
    <w:rsid w:val="00810478"/>
    <w:rsid w:val="00810DE3"/>
    <w:rsid w:val="00811691"/>
    <w:rsid w:val="00821541"/>
    <w:rsid w:val="00821A06"/>
    <w:rsid w:val="008220F3"/>
    <w:rsid w:val="00822273"/>
    <w:rsid w:val="008235DB"/>
    <w:rsid w:val="00823FCA"/>
    <w:rsid w:val="00826FE4"/>
    <w:rsid w:val="00827103"/>
    <w:rsid w:val="00830647"/>
    <w:rsid w:val="00830E80"/>
    <w:rsid w:val="00832911"/>
    <w:rsid w:val="00832AD3"/>
    <w:rsid w:val="00833071"/>
    <w:rsid w:val="00833EB7"/>
    <w:rsid w:val="0084092F"/>
    <w:rsid w:val="00843333"/>
    <w:rsid w:val="00844854"/>
    <w:rsid w:val="00844C87"/>
    <w:rsid w:val="00844E98"/>
    <w:rsid w:val="00845E3F"/>
    <w:rsid w:val="00850A87"/>
    <w:rsid w:val="008532FB"/>
    <w:rsid w:val="008540F0"/>
    <w:rsid w:val="008551D6"/>
    <w:rsid w:val="008568C0"/>
    <w:rsid w:val="00864874"/>
    <w:rsid w:val="00871208"/>
    <w:rsid w:val="00871CA1"/>
    <w:rsid w:val="00874F47"/>
    <w:rsid w:val="00877D87"/>
    <w:rsid w:val="00880255"/>
    <w:rsid w:val="008810FA"/>
    <w:rsid w:val="00883066"/>
    <w:rsid w:val="00884878"/>
    <w:rsid w:val="00885B9C"/>
    <w:rsid w:val="00886D18"/>
    <w:rsid w:val="00887B22"/>
    <w:rsid w:val="00892303"/>
    <w:rsid w:val="00892992"/>
    <w:rsid w:val="00896927"/>
    <w:rsid w:val="00897E16"/>
    <w:rsid w:val="008A144E"/>
    <w:rsid w:val="008A310A"/>
    <w:rsid w:val="008A6603"/>
    <w:rsid w:val="008B0A7F"/>
    <w:rsid w:val="008B3990"/>
    <w:rsid w:val="008B3A36"/>
    <w:rsid w:val="008B5F65"/>
    <w:rsid w:val="008C0FBD"/>
    <w:rsid w:val="008C1B09"/>
    <w:rsid w:val="008C4903"/>
    <w:rsid w:val="008C5617"/>
    <w:rsid w:val="008C5BA9"/>
    <w:rsid w:val="008C60E8"/>
    <w:rsid w:val="008C6687"/>
    <w:rsid w:val="008C70BD"/>
    <w:rsid w:val="008C7764"/>
    <w:rsid w:val="008C79C7"/>
    <w:rsid w:val="008C7AC8"/>
    <w:rsid w:val="008D0242"/>
    <w:rsid w:val="008D23EE"/>
    <w:rsid w:val="008D27EF"/>
    <w:rsid w:val="008D280D"/>
    <w:rsid w:val="008D28DF"/>
    <w:rsid w:val="008D2DC8"/>
    <w:rsid w:val="008D2FD0"/>
    <w:rsid w:val="008D34F9"/>
    <w:rsid w:val="008D3D46"/>
    <w:rsid w:val="008D745E"/>
    <w:rsid w:val="008E0BA5"/>
    <w:rsid w:val="008E1EC9"/>
    <w:rsid w:val="008E29AB"/>
    <w:rsid w:val="008E44A5"/>
    <w:rsid w:val="008E4C6D"/>
    <w:rsid w:val="008E4EF2"/>
    <w:rsid w:val="008E5FDC"/>
    <w:rsid w:val="008F06F2"/>
    <w:rsid w:val="008F1E28"/>
    <w:rsid w:val="008F4BAD"/>
    <w:rsid w:val="008F4C4B"/>
    <w:rsid w:val="008F54AC"/>
    <w:rsid w:val="008F5D80"/>
    <w:rsid w:val="008F66F7"/>
    <w:rsid w:val="008F7B8C"/>
    <w:rsid w:val="009006D2"/>
    <w:rsid w:val="00901B5B"/>
    <w:rsid w:val="00906A81"/>
    <w:rsid w:val="00907688"/>
    <w:rsid w:val="00907FD8"/>
    <w:rsid w:val="009103F3"/>
    <w:rsid w:val="009126A4"/>
    <w:rsid w:val="009163AF"/>
    <w:rsid w:val="00916D52"/>
    <w:rsid w:val="009172CD"/>
    <w:rsid w:val="00920F3C"/>
    <w:rsid w:val="00923D3D"/>
    <w:rsid w:val="00924CCB"/>
    <w:rsid w:val="0092520A"/>
    <w:rsid w:val="00925BD5"/>
    <w:rsid w:val="00927978"/>
    <w:rsid w:val="00932FAD"/>
    <w:rsid w:val="00936ECF"/>
    <w:rsid w:val="00937307"/>
    <w:rsid w:val="009445BA"/>
    <w:rsid w:val="00945130"/>
    <w:rsid w:val="00945B0A"/>
    <w:rsid w:val="00945D12"/>
    <w:rsid w:val="00946F68"/>
    <w:rsid w:val="009475F3"/>
    <w:rsid w:val="00947810"/>
    <w:rsid w:val="009506D3"/>
    <w:rsid w:val="00951562"/>
    <w:rsid w:val="00951651"/>
    <w:rsid w:val="00953CAB"/>
    <w:rsid w:val="00954EF3"/>
    <w:rsid w:val="0095603B"/>
    <w:rsid w:val="00957948"/>
    <w:rsid w:val="00961790"/>
    <w:rsid w:val="00964770"/>
    <w:rsid w:val="009668EF"/>
    <w:rsid w:val="0096728E"/>
    <w:rsid w:val="009713CF"/>
    <w:rsid w:val="0097224F"/>
    <w:rsid w:val="009729A9"/>
    <w:rsid w:val="009761F8"/>
    <w:rsid w:val="00976AF1"/>
    <w:rsid w:val="00976FB3"/>
    <w:rsid w:val="0098030D"/>
    <w:rsid w:val="00981B13"/>
    <w:rsid w:val="00981E62"/>
    <w:rsid w:val="00982B99"/>
    <w:rsid w:val="009925A3"/>
    <w:rsid w:val="009928E1"/>
    <w:rsid w:val="0099488A"/>
    <w:rsid w:val="00994D57"/>
    <w:rsid w:val="00995B83"/>
    <w:rsid w:val="00996460"/>
    <w:rsid w:val="0099677B"/>
    <w:rsid w:val="009A1E07"/>
    <w:rsid w:val="009A25EB"/>
    <w:rsid w:val="009A290D"/>
    <w:rsid w:val="009A4596"/>
    <w:rsid w:val="009B5190"/>
    <w:rsid w:val="009B5381"/>
    <w:rsid w:val="009B654F"/>
    <w:rsid w:val="009C0005"/>
    <w:rsid w:val="009C018A"/>
    <w:rsid w:val="009C16DF"/>
    <w:rsid w:val="009C1FDC"/>
    <w:rsid w:val="009C2407"/>
    <w:rsid w:val="009C3898"/>
    <w:rsid w:val="009C4804"/>
    <w:rsid w:val="009D104E"/>
    <w:rsid w:val="009D1FDF"/>
    <w:rsid w:val="009D2645"/>
    <w:rsid w:val="009D3524"/>
    <w:rsid w:val="009D5236"/>
    <w:rsid w:val="009E1667"/>
    <w:rsid w:val="009E1CA8"/>
    <w:rsid w:val="009E28E1"/>
    <w:rsid w:val="009E38C1"/>
    <w:rsid w:val="009E5E45"/>
    <w:rsid w:val="009E6780"/>
    <w:rsid w:val="009E79EC"/>
    <w:rsid w:val="009F3569"/>
    <w:rsid w:val="009F4D99"/>
    <w:rsid w:val="009F50F0"/>
    <w:rsid w:val="00A01327"/>
    <w:rsid w:val="00A018E7"/>
    <w:rsid w:val="00A028B2"/>
    <w:rsid w:val="00A0337F"/>
    <w:rsid w:val="00A03911"/>
    <w:rsid w:val="00A05140"/>
    <w:rsid w:val="00A06FC9"/>
    <w:rsid w:val="00A07EBA"/>
    <w:rsid w:val="00A10DE1"/>
    <w:rsid w:val="00A10EFA"/>
    <w:rsid w:val="00A11D59"/>
    <w:rsid w:val="00A1221D"/>
    <w:rsid w:val="00A123C7"/>
    <w:rsid w:val="00A124D3"/>
    <w:rsid w:val="00A13029"/>
    <w:rsid w:val="00A14E44"/>
    <w:rsid w:val="00A14E66"/>
    <w:rsid w:val="00A154EB"/>
    <w:rsid w:val="00A156B0"/>
    <w:rsid w:val="00A1612F"/>
    <w:rsid w:val="00A20730"/>
    <w:rsid w:val="00A22538"/>
    <w:rsid w:val="00A232AC"/>
    <w:rsid w:val="00A257DF"/>
    <w:rsid w:val="00A27E2B"/>
    <w:rsid w:val="00A33B7B"/>
    <w:rsid w:val="00A34039"/>
    <w:rsid w:val="00A347F9"/>
    <w:rsid w:val="00A3552E"/>
    <w:rsid w:val="00A35E94"/>
    <w:rsid w:val="00A36449"/>
    <w:rsid w:val="00A414EE"/>
    <w:rsid w:val="00A417FA"/>
    <w:rsid w:val="00A42760"/>
    <w:rsid w:val="00A435EC"/>
    <w:rsid w:val="00A439D8"/>
    <w:rsid w:val="00A43C9A"/>
    <w:rsid w:val="00A443C7"/>
    <w:rsid w:val="00A458B3"/>
    <w:rsid w:val="00A45B60"/>
    <w:rsid w:val="00A45E73"/>
    <w:rsid w:val="00A52DC4"/>
    <w:rsid w:val="00A5551F"/>
    <w:rsid w:val="00A61B0C"/>
    <w:rsid w:val="00A62E17"/>
    <w:rsid w:val="00A65CAA"/>
    <w:rsid w:val="00A662CF"/>
    <w:rsid w:val="00A7194A"/>
    <w:rsid w:val="00A75DBC"/>
    <w:rsid w:val="00A766FD"/>
    <w:rsid w:val="00A80353"/>
    <w:rsid w:val="00A820E7"/>
    <w:rsid w:val="00A82DF8"/>
    <w:rsid w:val="00A9333E"/>
    <w:rsid w:val="00A94D42"/>
    <w:rsid w:val="00A94EC5"/>
    <w:rsid w:val="00A9554E"/>
    <w:rsid w:val="00A969A0"/>
    <w:rsid w:val="00AA31F2"/>
    <w:rsid w:val="00AA406C"/>
    <w:rsid w:val="00AA4F9F"/>
    <w:rsid w:val="00AA5E1B"/>
    <w:rsid w:val="00AA6DFB"/>
    <w:rsid w:val="00AA7256"/>
    <w:rsid w:val="00AB0987"/>
    <w:rsid w:val="00AB0FD3"/>
    <w:rsid w:val="00AB3900"/>
    <w:rsid w:val="00AB7215"/>
    <w:rsid w:val="00AC005D"/>
    <w:rsid w:val="00AC06F2"/>
    <w:rsid w:val="00AC0D76"/>
    <w:rsid w:val="00AC14DE"/>
    <w:rsid w:val="00AC56C2"/>
    <w:rsid w:val="00AC5E19"/>
    <w:rsid w:val="00AC6F49"/>
    <w:rsid w:val="00AD2723"/>
    <w:rsid w:val="00AD445D"/>
    <w:rsid w:val="00AD6F47"/>
    <w:rsid w:val="00AE13F5"/>
    <w:rsid w:val="00AE2781"/>
    <w:rsid w:val="00AE5C52"/>
    <w:rsid w:val="00AE6D76"/>
    <w:rsid w:val="00AE6E0A"/>
    <w:rsid w:val="00AE7A7F"/>
    <w:rsid w:val="00AF045F"/>
    <w:rsid w:val="00AF0FA2"/>
    <w:rsid w:val="00AF0FDD"/>
    <w:rsid w:val="00AF39F9"/>
    <w:rsid w:val="00AF5A70"/>
    <w:rsid w:val="00AF5C5C"/>
    <w:rsid w:val="00B03FB1"/>
    <w:rsid w:val="00B12DDC"/>
    <w:rsid w:val="00B15829"/>
    <w:rsid w:val="00B16BCA"/>
    <w:rsid w:val="00B17A9D"/>
    <w:rsid w:val="00B206FA"/>
    <w:rsid w:val="00B21C2F"/>
    <w:rsid w:val="00B249B7"/>
    <w:rsid w:val="00B2764E"/>
    <w:rsid w:val="00B300DD"/>
    <w:rsid w:val="00B30E77"/>
    <w:rsid w:val="00B33F27"/>
    <w:rsid w:val="00B34B88"/>
    <w:rsid w:val="00B36F8B"/>
    <w:rsid w:val="00B37A25"/>
    <w:rsid w:val="00B44032"/>
    <w:rsid w:val="00B456CC"/>
    <w:rsid w:val="00B478EF"/>
    <w:rsid w:val="00B47CB9"/>
    <w:rsid w:val="00B5131A"/>
    <w:rsid w:val="00B51BAD"/>
    <w:rsid w:val="00B53E4E"/>
    <w:rsid w:val="00B55BE4"/>
    <w:rsid w:val="00B564A3"/>
    <w:rsid w:val="00B56514"/>
    <w:rsid w:val="00B56551"/>
    <w:rsid w:val="00B57AE9"/>
    <w:rsid w:val="00B57CA2"/>
    <w:rsid w:val="00B638BD"/>
    <w:rsid w:val="00B65EB5"/>
    <w:rsid w:val="00B66555"/>
    <w:rsid w:val="00B71672"/>
    <w:rsid w:val="00B723D5"/>
    <w:rsid w:val="00B72CEC"/>
    <w:rsid w:val="00B7303A"/>
    <w:rsid w:val="00B73156"/>
    <w:rsid w:val="00B73650"/>
    <w:rsid w:val="00B74929"/>
    <w:rsid w:val="00B750D8"/>
    <w:rsid w:val="00B7716B"/>
    <w:rsid w:val="00B777E6"/>
    <w:rsid w:val="00B80134"/>
    <w:rsid w:val="00B80707"/>
    <w:rsid w:val="00B85014"/>
    <w:rsid w:val="00B861D4"/>
    <w:rsid w:val="00B8737A"/>
    <w:rsid w:val="00B87675"/>
    <w:rsid w:val="00B910DF"/>
    <w:rsid w:val="00B922B9"/>
    <w:rsid w:val="00B92B2F"/>
    <w:rsid w:val="00B95043"/>
    <w:rsid w:val="00B9749F"/>
    <w:rsid w:val="00BA1465"/>
    <w:rsid w:val="00BA3026"/>
    <w:rsid w:val="00BA3EFF"/>
    <w:rsid w:val="00BA4972"/>
    <w:rsid w:val="00BA4D3B"/>
    <w:rsid w:val="00BA5FE7"/>
    <w:rsid w:val="00BB1C24"/>
    <w:rsid w:val="00BB2580"/>
    <w:rsid w:val="00BB27EC"/>
    <w:rsid w:val="00BB2E70"/>
    <w:rsid w:val="00BB36D7"/>
    <w:rsid w:val="00BB37EE"/>
    <w:rsid w:val="00BB530B"/>
    <w:rsid w:val="00BB58D3"/>
    <w:rsid w:val="00BB5F4F"/>
    <w:rsid w:val="00BB747C"/>
    <w:rsid w:val="00BB77DF"/>
    <w:rsid w:val="00BC179B"/>
    <w:rsid w:val="00BC432E"/>
    <w:rsid w:val="00BC6774"/>
    <w:rsid w:val="00BC6C8B"/>
    <w:rsid w:val="00BC6EEF"/>
    <w:rsid w:val="00BC7980"/>
    <w:rsid w:val="00BD28C5"/>
    <w:rsid w:val="00BD2FEE"/>
    <w:rsid w:val="00BD3ED6"/>
    <w:rsid w:val="00BD4D43"/>
    <w:rsid w:val="00BD63CA"/>
    <w:rsid w:val="00BD7695"/>
    <w:rsid w:val="00BE0D5C"/>
    <w:rsid w:val="00BE0EE1"/>
    <w:rsid w:val="00BE4BDF"/>
    <w:rsid w:val="00BE58DE"/>
    <w:rsid w:val="00BE5FED"/>
    <w:rsid w:val="00BE65E4"/>
    <w:rsid w:val="00BE7D6A"/>
    <w:rsid w:val="00BE7D81"/>
    <w:rsid w:val="00BF0AA7"/>
    <w:rsid w:val="00BF2F97"/>
    <w:rsid w:val="00C00765"/>
    <w:rsid w:val="00C00E26"/>
    <w:rsid w:val="00C03987"/>
    <w:rsid w:val="00C03A2E"/>
    <w:rsid w:val="00C06287"/>
    <w:rsid w:val="00C1085F"/>
    <w:rsid w:val="00C12309"/>
    <w:rsid w:val="00C20D5E"/>
    <w:rsid w:val="00C21022"/>
    <w:rsid w:val="00C2120B"/>
    <w:rsid w:val="00C23583"/>
    <w:rsid w:val="00C312CC"/>
    <w:rsid w:val="00C36C67"/>
    <w:rsid w:val="00C4066A"/>
    <w:rsid w:val="00C40D0E"/>
    <w:rsid w:val="00C469FC"/>
    <w:rsid w:val="00C46B7B"/>
    <w:rsid w:val="00C51DF7"/>
    <w:rsid w:val="00C5255D"/>
    <w:rsid w:val="00C56BAB"/>
    <w:rsid w:val="00C57E14"/>
    <w:rsid w:val="00C602B7"/>
    <w:rsid w:val="00C60D92"/>
    <w:rsid w:val="00C65930"/>
    <w:rsid w:val="00C75AB0"/>
    <w:rsid w:val="00C82AA4"/>
    <w:rsid w:val="00C8305C"/>
    <w:rsid w:val="00C844D6"/>
    <w:rsid w:val="00C85FF6"/>
    <w:rsid w:val="00C9326B"/>
    <w:rsid w:val="00C93BE8"/>
    <w:rsid w:val="00C94419"/>
    <w:rsid w:val="00C95691"/>
    <w:rsid w:val="00C96A47"/>
    <w:rsid w:val="00C96FD5"/>
    <w:rsid w:val="00C970CE"/>
    <w:rsid w:val="00CA113C"/>
    <w:rsid w:val="00CA15DE"/>
    <w:rsid w:val="00CA1ECD"/>
    <w:rsid w:val="00CA4C7F"/>
    <w:rsid w:val="00CA59F3"/>
    <w:rsid w:val="00CA73B3"/>
    <w:rsid w:val="00CB1255"/>
    <w:rsid w:val="00CB13B7"/>
    <w:rsid w:val="00CB7087"/>
    <w:rsid w:val="00CB723D"/>
    <w:rsid w:val="00CC41EE"/>
    <w:rsid w:val="00CD01CD"/>
    <w:rsid w:val="00CD061B"/>
    <w:rsid w:val="00CD0BF5"/>
    <w:rsid w:val="00CD0FA4"/>
    <w:rsid w:val="00CD1089"/>
    <w:rsid w:val="00CD1BCD"/>
    <w:rsid w:val="00CD41F8"/>
    <w:rsid w:val="00CD6D61"/>
    <w:rsid w:val="00CD7D66"/>
    <w:rsid w:val="00CD7FFC"/>
    <w:rsid w:val="00CE1DFB"/>
    <w:rsid w:val="00CE2C6E"/>
    <w:rsid w:val="00CE2D75"/>
    <w:rsid w:val="00CE6C66"/>
    <w:rsid w:val="00CE799B"/>
    <w:rsid w:val="00CF046A"/>
    <w:rsid w:val="00CF321C"/>
    <w:rsid w:val="00CF4FE6"/>
    <w:rsid w:val="00CF556F"/>
    <w:rsid w:val="00CF5974"/>
    <w:rsid w:val="00D0024F"/>
    <w:rsid w:val="00D0030F"/>
    <w:rsid w:val="00D00591"/>
    <w:rsid w:val="00D0445F"/>
    <w:rsid w:val="00D0608D"/>
    <w:rsid w:val="00D061D5"/>
    <w:rsid w:val="00D067D9"/>
    <w:rsid w:val="00D06E87"/>
    <w:rsid w:val="00D06EFC"/>
    <w:rsid w:val="00D074BF"/>
    <w:rsid w:val="00D1197E"/>
    <w:rsid w:val="00D122E5"/>
    <w:rsid w:val="00D1619E"/>
    <w:rsid w:val="00D206B3"/>
    <w:rsid w:val="00D219C1"/>
    <w:rsid w:val="00D22C33"/>
    <w:rsid w:val="00D25F8F"/>
    <w:rsid w:val="00D27373"/>
    <w:rsid w:val="00D30999"/>
    <w:rsid w:val="00D30C00"/>
    <w:rsid w:val="00D32833"/>
    <w:rsid w:val="00D32EAF"/>
    <w:rsid w:val="00D33DA7"/>
    <w:rsid w:val="00D3456D"/>
    <w:rsid w:val="00D3507E"/>
    <w:rsid w:val="00D354D0"/>
    <w:rsid w:val="00D41D9A"/>
    <w:rsid w:val="00D461E5"/>
    <w:rsid w:val="00D472D8"/>
    <w:rsid w:val="00D507D9"/>
    <w:rsid w:val="00D5255B"/>
    <w:rsid w:val="00D538F6"/>
    <w:rsid w:val="00D5457D"/>
    <w:rsid w:val="00D54EF5"/>
    <w:rsid w:val="00D551E2"/>
    <w:rsid w:val="00D564B3"/>
    <w:rsid w:val="00D56FF4"/>
    <w:rsid w:val="00D615A6"/>
    <w:rsid w:val="00D61E55"/>
    <w:rsid w:val="00D6213A"/>
    <w:rsid w:val="00D64CF4"/>
    <w:rsid w:val="00D672FF"/>
    <w:rsid w:val="00D70223"/>
    <w:rsid w:val="00D71721"/>
    <w:rsid w:val="00D72D6E"/>
    <w:rsid w:val="00D73760"/>
    <w:rsid w:val="00D74036"/>
    <w:rsid w:val="00D753D8"/>
    <w:rsid w:val="00D763C0"/>
    <w:rsid w:val="00D77B2A"/>
    <w:rsid w:val="00D802BD"/>
    <w:rsid w:val="00D808EE"/>
    <w:rsid w:val="00D872D9"/>
    <w:rsid w:val="00D87A84"/>
    <w:rsid w:val="00D87FE7"/>
    <w:rsid w:val="00D91885"/>
    <w:rsid w:val="00D93663"/>
    <w:rsid w:val="00D94097"/>
    <w:rsid w:val="00D95DDC"/>
    <w:rsid w:val="00D96B60"/>
    <w:rsid w:val="00DA0634"/>
    <w:rsid w:val="00DA157D"/>
    <w:rsid w:val="00DA3E6F"/>
    <w:rsid w:val="00DA5CF9"/>
    <w:rsid w:val="00DA62C5"/>
    <w:rsid w:val="00DA7CB8"/>
    <w:rsid w:val="00DA7DA7"/>
    <w:rsid w:val="00DB0410"/>
    <w:rsid w:val="00DB0871"/>
    <w:rsid w:val="00DB0CB2"/>
    <w:rsid w:val="00DB2F1B"/>
    <w:rsid w:val="00DB4242"/>
    <w:rsid w:val="00DB43BA"/>
    <w:rsid w:val="00DB783C"/>
    <w:rsid w:val="00DC08BC"/>
    <w:rsid w:val="00DC1F63"/>
    <w:rsid w:val="00DC231E"/>
    <w:rsid w:val="00DD1011"/>
    <w:rsid w:val="00DE03E4"/>
    <w:rsid w:val="00DE221F"/>
    <w:rsid w:val="00DE3A2A"/>
    <w:rsid w:val="00DE47C8"/>
    <w:rsid w:val="00DE4A01"/>
    <w:rsid w:val="00DE55E6"/>
    <w:rsid w:val="00DE5DBB"/>
    <w:rsid w:val="00DF169D"/>
    <w:rsid w:val="00DF7AE1"/>
    <w:rsid w:val="00E0241F"/>
    <w:rsid w:val="00E03B65"/>
    <w:rsid w:val="00E04482"/>
    <w:rsid w:val="00E04D37"/>
    <w:rsid w:val="00E0534B"/>
    <w:rsid w:val="00E05840"/>
    <w:rsid w:val="00E07968"/>
    <w:rsid w:val="00E10BA8"/>
    <w:rsid w:val="00E11E86"/>
    <w:rsid w:val="00E12448"/>
    <w:rsid w:val="00E13D4A"/>
    <w:rsid w:val="00E14683"/>
    <w:rsid w:val="00E15678"/>
    <w:rsid w:val="00E207DB"/>
    <w:rsid w:val="00E21EFB"/>
    <w:rsid w:val="00E2267F"/>
    <w:rsid w:val="00E235D4"/>
    <w:rsid w:val="00E25FBA"/>
    <w:rsid w:val="00E270B7"/>
    <w:rsid w:val="00E27C9F"/>
    <w:rsid w:val="00E33575"/>
    <w:rsid w:val="00E34AF8"/>
    <w:rsid w:val="00E36A50"/>
    <w:rsid w:val="00E41B22"/>
    <w:rsid w:val="00E43C87"/>
    <w:rsid w:val="00E44BDB"/>
    <w:rsid w:val="00E457BF"/>
    <w:rsid w:val="00E528EB"/>
    <w:rsid w:val="00E53640"/>
    <w:rsid w:val="00E5370B"/>
    <w:rsid w:val="00E54CF2"/>
    <w:rsid w:val="00E55C2F"/>
    <w:rsid w:val="00E560EA"/>
    <w:rsid w:val="00E56811"/>
    <w:rsid w:val="00E56A3E"/>
    <w:rsid w:val="00E6139F"/>
    <w:rsid w:val="00E61E1E"/>
    <w:rsid w:val="00E62387"/>
    <w:rsid w:val="00E62D19"/>
    <w:rsid w:val="00E64B3B"/>
    <w:rsid w:val="00E67D97"/>
    <w:rsid w:val="00E71A05"/>
    <w:rsid w:val="00E724B3"/>
    <w:rsid w:val="00E742BC"/>
    <w:rsid w:val="00E80AB0"/>
    <w:rsid w:val="00E83106"/>
    <w:rsid w:val="00E8435E"/>
    <w:rsid w:val="00E90B9D"/>
    <w:rsid w:val="00E923F1"/>
    <w:rsid w:val="00E93684"/>
    <w:rsid w:val="00E93762"/>
    <w:rsid w:val="00E96A6F"/>
    <w:rsid w:val="00E97059"/>
    <w:rsid w:val="00EA1B79"/>
    <w:rsid w:val="00EA42B1"/>
    <w:rsid w:val="00EA4BDE"/>
    <w:rsid w:val="00EA667B"/>
    <w:rsid w:val="00EA6D03"/>
    <w:rsid w:val="00EB0D89"/>
    <w:rsid w:val="00EB1BF2"/>
    <w:rsid w:val="00EB1D3D"/>
    <w:rsid w:val="00EB2414"/>
    <w:rsid w:val="00EB3D8A"/>
    <w:rsid w:val="00EB4AF9"/>
    <w:rsid w:val="00EB6139"/>
    <w:rsid w:val="00EB711D"/>
    <w:rsid w:val="00EB7C77"/>
    <w:rsid w:val="00EC0476"/>
    <w:rsid w:val="00EC71ED"/>
    <w:rsid w:val="00EC7486"/>
    <w:rsid w:val="00ED04F4"/>
    <w:rsid w:val="00ED2536"/>
    <w:rsid w:val="00ED27A5"/>
    <w:rsid w:val="00ED6790"/>
    <w:rsid w:val="00ED7B38"/>
    <w:rsid w:val="00EE0057"/>
    <w:rsid w:val="00EE0E84"/>
    <w:rsid w:val="00EE120A"/>
    <w:rsid w:val="00EE208F"/>
    <w:rsid w:val="00EE254A"/>
    <w:rsid w:val="00EE308D"/>
    <w:rsid w:val="00EE44C9"/>
    <w:rsid w:val="00EF087C"/>
    <w:rsid w:val="00EF2769"/>
    <w:rsid w:val="00EF366A"/>
    <w:rsid w:val="00EF4DF3"/>
    <w:rsid w:val="00EF7CCD"/>
    <w:rsid w:val="00F0030F"/>
    <w:rsid w:val="00F02F28"/>
    <w:rsid w:val="00F0799D"/>
    <w:rsid w:val="00F07CCD"/>
    <w:rsid w:val="00F1187E"/>
    <w:rsid w:val="00F12744"/>
    <w:rsid w:val="00F13F24"/>
    <w:rsid w:val="00F1419E"/>
    <w:rsid w:val="00F1472A"/>
    <w:rsid w:val="00F16EEB"/>
    <w:rsid w:val="00F209D8"/>
    <w:rsid w:val="00F27ED1"/>
    <w:rsid w:val="00F30CF8"/>
    <w:rsid w:val="00F31315"/>
    <w:rsid w:val="00F3321E"/>
    <w:rsid w:val="00F33941"/>
    <w:rsid w:val="00F35F08"/>
    <w:rsid w:val="00F36BFC"/>
    <w:rsid w:val="00F40408"/>
    <w:rsid w:val="00F42301"/>
    <w:rsid w:val="00F42F5E"/>
    <w:rsid w:val="00F43B6E"/>
    <w:rsid w:val="00F43BA3"/>
    <w:rsid w:val="00F45626"/>
    <w:rsid w:val="00F46297"/>
    <w:rsid w:val="00F46ABC"/>
    <w:rsid w:val="00F5172B"/>
    <w:rsid w:val="00F53655"/>
    <w:rsid w:val="00F5366C"/>
    <w:rsid w:val="00F53C1E"/>
    <w:rsid w:val="00F55290"/>
    <w:rsid w:val="00F55720"/>
    <w:rsid w:val="00F55956"/>
    <w:rsid w:val="00F56CA9"/>
    <w:rsid w:val="00F6071E"/>
    <w:rsid w:val="00F614AD"/>
    <w:rsid w:val="00F616C5"/>
    <w:rsid w:val="00F62CFC"/>
    <w:rsid w:val="00F639E2"/>
    <w:rsid w:val="00F65284"/>
    <w:rsid w:val="00F711FF"/>
    <w:rsid w:val="00F71512"/>
    <w:rsid w:val="00F72B0F"/>
    <w:rsid w:val="00F74363"/>
    <w:rsid w:val="00F74FA5"/>
    <w:rsid w:val="00F7658C"/>
    <w:rsid w:val="00F769FF"/>
    <w:rsid w:val="00F76E0B"/>
    <w:rsid w:val="00F77E6A"/>
    <w:rsid w:val="00F81D93"/>
    <w:rsid w:val="00F831FB"/>
    <w:rsid w:val="00F86C62"/>
    <w:rsid w:val="00F87B17"/>
    <w:rsid w:val="00F907B5"/>
    <w:rsid w:val="00F93164"/>
    <w:rsid w:val="00F93332"/>
    <w:rsid w:val="00F940A3"/>
    <w:rsid w:val="00F9413F"/>
    <w:rsid w:val="00F94A2D"/>
    <w:rsid w:val="00F94D21"/>
    <w:rsid w:val="00F94F18"/>
    <w:rsid w:val="00FA0F66"/>
    <w:rsid w:val="00FA11D0"/>
    <w:rsid w:val="00FA14EB"/>
    <w:rsid w:val="00FA344A"/>
    <w:rsid w:val="00FA39DE"/>
    <w:rsid w:val="00FA3ABB"/>
    <w:rsid w:val="00FA406D"/>
    <w:rsid w:val="00FA44DE"/>
    <w:rsid w:val="00FA4570"/>
    <w:rsid w:val="00FA690F"/>
    <w:rsid w:val="00FB32E0"/>
    <w:rsid w:val="00FB3748"/>
    <w:rsid w:val="00FB5056"/>
    <w:rsid w:val="00FB70A9"/>
    <w:rsid w:val="00FB7532"/>
    <w:rsid w:val="00FC015B"/>
    <w:rsid w:val="00FC019D"/>
    <w:rsid w:val="00FC19A6"/>
    <w:rsid w:val="00FC23A6"/>
    <w:rsid w:val="00FC2E8D"/>
    <w:rsid w:val="00FC3C87"/>
    <w:rsid w:val="00FD0CB0"/>
    <w:rsid w:val="00FD112E"/>
    <w:rsid w:val="00FD1315"/>
    <w:rsid w:val="00FD19F3"/>
    <w:rsid w:val="00FD595B"/>
    <w:rsid w:val="00FD7228"/>
    <w:rsid w:val="00FD78BA"/>
    <w:rsid w:val="00FD7BD8"/>
    <w:rsid w:val="00FE1536"/>
    <w:rsid w:val="00FE25EE"/>
    <w:rsid w:val="00FE4491"/>
    <w:rsid w:val="00FE5718"/>
    <w:rsid w:val="00FE68CD"/>
    <w:rsid w:val="00FF061A"/>
    <w:rsid w:val="00FF186A"/>
    <w:rsid w:val="00FF2137"/>
    <w:rsid w:val="00FF2D07"/>
    <w:rsid w:val="00FF3B2D"/>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OOTNOTES,fn,single space,ADB,Texto nota pie Car,ft Car,ft Car Car,Texto nota pie2,ft1,ft Car Car Car1,Texto nota pie Car2,ft Car Car2,ft Car Car Car,Geneva 9,Font: Geneva 9,Boston 10,f,Char4,ALTS FOOTNOTE,Footnote Text 1,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ft Char,FOOTNOTES Char,fn Char,single space Char,ADB Char,Texto nota pie Car Char,ft Car Char,ft Car Car Char,Texto nota pie2 Char,ft1 Char,ft Car Car Car1 Char,Texto nota pie Car2 Char,ft Car Car2 Char,ft Car Car Car Char,f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16 Point,Superscript 6 Point,footnote ref,BVI fnr,fr,Fußnotenzeichen DISS,(NECG) Footnote Reference,Ref,de nota al pie,Footnote text,Footnote + Arial,10 pt,Black,SUPERS,Char Char Char Char Car Char,脚注引用"/>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003E2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caption" w:qFormat="1"/>
    <w:lsdException w:name="table of figures"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uiPriority w:val="99"/>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uiPriority w:val="99"/>
    <w:rsid w:val="009E79EC"/>
    <w:rPr>
      <w:rFonts w:ascii="Franklin Gothic Book" w:eastAsia="Times New Roman" w:hAnsi="Franklin Gothic Book" w:cs="Times New Roman"/>
      <w:sz w:val="21"/>
      <w:szCs w:val="20"/>
    </w:rPr>
  </w:style>
  <w:style w:type="character" w:styleId="EndnoteReference">
    <w:name w:val="endnote reference"/>
    <w:uiPriority w:val="99"/>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OOTNOTES,fn,single space,ADB,Texto nota pie Car,ft Car,ft Car Car,Texto nota pie2,ft1,ft Car Car Car1,Texto nota pie Car2,ft Car Car2,ft Car Car Car,Geneva 9,Font: Geneva 9,Boston 10,f,Char4,ALTS FOOTNOTE,Footnote Text 1,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ft Char,FOOTNOTES Char,fn Char,single space Char,ADB Char,Texto nota pie Car Char,ft Car Char,ft Car Car Char,Texto nota pie2 Char,ft1 Char,ft Car Car Car1 Char,Texto nota pie Car2 Char,ft Car Car2 Char,ft Car Car Car Char,f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16 Point,Superscript 6 Point,footnote ref,BVI fnr,fr,Fußnotenzeichen DISS,(NECG) Footnote Reference,Ref,de nota al pie,Footnote text,Footnote + Arial,10 pt,Black,SUPERS,Char Char Char Char Car Char,脚注引用"/>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1">
    <w:name w:val="APPR1"/>
    <w:basedOn w:val="TableNormal"/>
    <w:uiPriority w:val="99"/>
    <w:rsid w:val="00003E2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260">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07185912">
      <w:bodyDiv w:val="1"/>
      <w:marLeft w:val="0"/>
      <w:marRight w:val="0"/>
      <w:marTop w:val="0"/>
      <w:marBottom w:val="0"/>
      <w:divBdr>
        <w:top w:val="none" w:sz="0" w:space="0" w:color="auto"/>
        <w:left w:val="none" w:sz="0" w:space="0" w:color="auto"/>
        <w:bottom w:val="none" w:sz="0" w:space="0" w:color="auto"/>
        <w:right w:val="none" w:sz="0" w:space="0" w:color="auto"/>
      </w:divBdr>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154771">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ec.europa.eu/europeaid/countries/myanmarburma_en" TargetMode="External"/><Relationship Id="rId13" Type="http://schemas.openxmlformats.org/officeDocument/2006/relationships/hyperlink" Target="http://www.xe.com" TargetMode="External"/><Relationship Id="rId3" Type="http://schemas.openxmlformats.org/officeDocument/2006/relationships/hyperlink" Target="http://data.worldbank.org/country/myanmar" TargetMode="External"/><Relationship Id="rId7" Type="http://schemas.openxmlformats.org/officeDocument/2006/relationships/hyperlink" Target="http://www.xe.com" TargetMode="External"/><Relationship Id="rId12" Type="http://schemas.openxmlformats.org/officeDocument/2006/relationships/hyperlink" Target="https://www.google.com.au/url?sa=t&amp;rct=j&amp;q=&amp;esrc=s&amp;frm=1&amp;source=web&amp;cd=3&amp;ved=0CCwQFjACahUKEwj6hdvY_q7HAhWD4qYKHY5wAbQ&amp;url=https%3A%2F%2Fwww.usaid.gov%2Fsites%2Fdefault%2Ffiles%2Fdocuments%2F9276%2F222898.pdf&amp;ei=FjzRVfoig8WbBY7hhaAL&amp;usg=AFQjCNFmrH9AyQH7u7kJ1DaKymvQBdmGMQ&amp;bvm=bv.99804247,d.dGY" TargetMode="External"/><Relationship Id="rId2" Type="http://schemas.openxmlformats.org/officeDocument/2006/relationships/hyperlink" Target="http://www.theborderconsortium.org/resources/key-resources/" TargetMode="External"/><Relationship Id="rId1" Type="http://schemas.openxmlformats.org/officeDocument/2006/relationships/hyperlink" Target="http://documents.worldbank.org/curated/en/2014/11/23025474/myanmar-systematic-country-diagnostic-ending-poverty-boosting-shared-prosperity-time-transition" TargetMode="External"/><Relationship Id="rId6" Type="http://schemas.openxmlformats.org/officeDocument/2006/relationships/hyperlink" Target="http://reliefweb.int/report/myanmar/france-give-100-million-euro-development-aid-2015" TargetMode="External"/><Relationship Id="rId11" Type="http://schemas.openxmlformats.org/officeDocument/2006/relationships/hyperlink" Target="http://www.xe.com" TargetMode="External"/><Relationship Id="rId5" Type="http://schemas.openxmlformats.org/officeDocument/2006/relationships/hyperlink" Target="http://www.xe.com" TargetMode="External"/><Relationship Id="rId10" Type="http://schemas.openxmlformats.org/officeDocument/2006/relationships/hyperlink" Target="https://www.gov.uk/government/publications/dfid-burma-operational-plan-2014" TargetMode="External"/><Relationship Id="rId4" Type="http://schemas.openxmlformats.org/officeDocument/2006/relationships/hyperlink" Target="http://www.jica.go.jp/english/publications/reports/annual/2014/c8h0vm000090s8nn-att/2014_08.pdf" TargetMode="External"/><Relationship Id="rId9" Type="http://schemas.openxmlformats.org/officeDocument/2006/relationships/hyperlink" Target="http://www.xe.com" TargetMode="External"/><Relationship Id="rId14" Type="http://schemas.openxmlformats.org/officeDocument/2006/relationships/hyperlink" Target="http://www.irrawaddy.org/burma/govt-proposes-20-budget-rise-boosting-education-defense-health.html"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8A0A-8927-4F47-B1E0-E11028E096C3}"/>
</file>

<file path=customXml/itemProps2.xml><?xml version="1.0" encoding="utf-8"?>
<ds:datastoreItem xmlns:ds="http://schemas.openxmlformats.org/officeDocument/2006/customXml" ds:itemID="{5C08472D-DDA7-4C64-9850-0E3C4036B8CB}"/>
</file>

<file path=customXml/itemProps3.xml><?xml version="1.0" encoding="utf-8"?>
<ds:datastoreItem xmlns:ds="http://schemas.openxmlformats.org/officeDocument/2006/customXml" ds:itemID="{1D59BC5A-AE89-4F72-859D-2C7C234AD870}"/>
</file>

<file path=customXml/itemProps4.xml><?xml version="1.0" encoding="utf-8"?>
<ds:datastoreItem xmlns:ds="http://schemas.openxmlformats.org/officeDocument/2006/customXml" ds:itemID="{3F58976C-3156-4DBE-8DCB-384DBC66363F}"/>
</file>

<file path=docProps/app.xml><?xml version="1.0" encoding="utf-8"?>
<Properties xmlns="http://schemas.openxmlformats.org/officeDocument/2006/extended-properties" xmlns:vt="http://schemas.openxmlformats.org/officeDocument/2006/docPropsVTypes">
  <Template>D9A26D58</Template>
  <TotalTime>0</TotalTime>
  <Pages>24</Pages>
  <Words>10072</Words>
  <Characters>57411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2015-10-27T03:57:00Z</dcterms:created>
  <dcterms:modified xsi:type="dcterms:W3CDTF">2015-10-27T03:57:00Z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