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66" w:rsidRDefault="00454766" w:rsidP="00454766">
      <w:pPr>
        <w:spacing w:before="0"/>
        <w:rPr>
          <w:rFonts w:cs="Arial"/>
        </w:rPr>
      </w:pPr>
      <w:bookmarkStart w:id="0" w:name="_GoBack"/>
      <w:bookmarkEnd w:id="0"/>
    </w:p>
    <w:p w:rsidR="001638B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1638BB">
        <w:rPr>
          <w:sz w:val="24"/>
          <w:lang w:eastAsia="en-AU"/>
        </w:rPr>
        <w:t xml:space="preserve">Sustaining and Scaling </w:t>
      </w:r>
    </w:p>
    <w:p w:rsidR="00C657FB" w:rsidRDefault="001638B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Pro-poor Urban Water and Sanitation Services in Maputo</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C657FB" w:rsidRPr="00F43CEC" w:rsidRDefault="001638BB" w:rsidP="00175FFC">
            <w:pPr>
              <w:pStyle w:val="Table-normal-text"/>
              <w:spacing w:before="120" w:after="120"/>
              <w:rPr>
                <w:b/>
              </w:rPr>
            </w:pPr>
            <w:r>
              <w:rPr>
                <w:b/>
              </w:rPr>
              <w:t>Sustaining and scaling pro-poor urban WATSAN in Maputo, Mozambique</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AidWorks initiative number</w:t>
            </w:r>
          </w:p>
        </w:tc>
        <w:tc>
          <w:tcPr>
            <w:tcW w:w="7229" w:type="dxa"/>
            <w:gridSpan w:val="3"/>
            <w:shd w:val="clear" w:color="auto" w:fill="auto"/>
          </w:tcPr>
          <w:p w:rsidR="00C657FB" w:rsidRPr="00F2320B" w:rsidRDefault="001638BB" w:rsidP="00175FFC">
            <w:pPr>
              <w:pStyle w:val="Table-normal-text"/>
            </w:pPr>
            <w:r>
              <w:t>INK348, Activity 12A237</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1638BB" w:rsidP="00175FFC">
            <w:pPr>
              <w:pStyle w:val="Table-normal-text"/>
            </w:pPr>
            <w:r>
              <w:t>1 April 2012</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1638BB" w:rsidP="00175FFC">
            <w:pPr>
              <w:pStyle w:val="Table-normal-text"/>
            </w:pPr>
            <w:r>
              <w:t>30 June 2014</w:t>
            </w:r>
            <w:r w:rsidR="002D151B">
              <w:t xml:space="preserve"> </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2D151B" w:rsidP="00175FFC">
            <w:pPr>
              <w:pStyle w:val="Table-normal-text"/>
            </w:pPr>
            <w:r>
              <w:t>$3,000,000</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C657FB" w:rsidP="00175FFC">
            <w:pPr>
              <w:pStyle w:val="Table-normal-text"/>
            </w:pP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2D151B" w:rsidP="00175FFC">
            <w:pPr>
              <w:pStyle w:val="Table-normal-text"/>
            </w:pPr>
            <w:r>
              <w:t>Water and Sanitation for the Urban Poor (WSUP)</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2D151B" w:rsidRDefault="002D151B" w:rsidP="00175FFC">
            <w:pPr>
              <w:pStyle w:val="Table-normal-text"/>
            </w:pPr>
            <w:r>
              <w:t>Water and Sanitation for the Urban Poor (WSUP)</w:t>
            </w:r>
          </w:p>
          <w:p w:rsidR="00650D31" w:rsidRDefault="00650D31" w:rsidP="00175FFC">
            <w:pPr>
              <w:pStyle w:val="Table-normal-text"/>
              <w:rPr>
                <w:u w:val="single"/>
              </w:rPr>
            </w:pPr>
            <w:r w:rsidRPr="00650D31">
              <w:rPr>
                <w:u w:val="single"/>
              </w:rPr>
              <w:t>Mozambican Government</w:t>
            </w:r>
            <w:r>
              <w:rPr>
                <w:u w:val="single"/>
              </w:rPr>
              <w:t xml:space="preserve"> Agencies:</w:t>
            </w:r>
          </w:p>
          <w:p w:rsidR="00C657FB" w:rsidRDefault="002D151B" w:rsidP="00650D31">
            <w:pPr>
              <w:pStyle w:val="Table-normal-text"/>
              <w:numPr>
                <w:ilvl w:val="0"/>
                <w:numId w:val="43"/>
              </w:numPr>
            </w:pPr>
            <w:r>
              <w:t xml:space="preserve">Office of Water and Sanitation Infrastructure ( AIAS), </w:t>
            </w:r>
          </w:p>
          <w:p w:rsidR="002D151B" w:rsidRDefault="00650D31" w:rsidP="00650D31">
            <w:pPr>
              <w:pStyle w:val="Table-normal-text"/>
              <w:numPr>
                <w:ilvl w:val="0"/>
                <w:numId w:val="43"/>
              </w:numPr>
            </w:pPr>
            <w:r>
              <w:t>Maputo Water Department (AdeM)</w:t>
            </w:r>
          </w:p>
          <w:p w:rsidR="00650D31" w:rsidRDefault="00650D31" w:rsidP="00650D31">
            <w:pPr>
              <w:pStyle w:val="Table-normal-text"/>
              <w:numPr>
                <w:ilvl w:val="0"/>
                <w:numId w:val="43"/>
              </w:numPr>
            </w:pPr>
            <w:r>
              <w:t>Water Regulatory Council (CRA)</w:t>
            </w:r>
          </w:p>
          <w:p w:rsidR="00650D31" w:rsidRDefault="00650D31" w:rsidP="00650D31">
            <w:pPr>
              <w:pStyle w:val="Table-normal-text"/>
              <w:numPr>
                <w:ilvl w:val="0"/>
                <w:numId w:val="43"/>
              </w:numPr>
            </w:pPr>
            <w:r>
              <w:t>National Directorate of Water (DNA)</w:t>
            </w:r>
          </w:p>
          <w:p w:rsidR="00650D31" w:rsidRDefault="00650D31" w:rsidP="00650D31">
            <w:pPr>
              <w:pStyle w:val="Table-normal-text"/>
              <w:numPr>
                <w:ilvl w:val="0"/>
                <w:numId w:val="43"/>
              </w:numPr>
            </w:pPr>
            <w:r>
              <w:t>Water Supply Investment &amp; Assets Fund (FIPAG)</w:t>
            </w:r>
          </w:p>
          <w:p w:rsidR="00650D31" w:rsidRDefault="00650D31" w:rsidP="00650D31">
            <w:pPr>
              <w:pStyle w:val="Table-normal-text"/>
              <w:numPr>
                <w:ilvl w:val="0"/>
                <w:numId w:val="43"/>
              </w:numPr>
            </w:pPr>
            <w:r>
              <w:t>Maputo City Council (CMM)</w:t>
            </w:r>
          </w:p>
          <w:p w:rsidR="00B975F2" w:rsidRPr="00F2320B" w:rsidRDefault="00650D31" w:rsidP="00B975F2">
            <w:pPr>
              <w:pStyle w:val="Table-normal-text"/>
              <w:numPr>
                <w:ilvl w:val="0"/>
                <w:numId w:val="43"/>
              </w:numPr>
            </w:pPr>
            <w:r>
              <w:t>Water and Sa</w:t>
            </w:r>
            <w:r w:rsidR="00B975F2">
              <w:t>nitation Department of CMM (DAS)</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F2320B" w:rsidRDefault="002D151B" w:rsidP="00175FFC">
            <w:pPr>
              <w:pStyle w:val="Table-normal-text"/>
            </w:pPr>
            <w:r>
              <w:t>Mozambique</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2D151B" w:rsidP="00175FFC">
            <w:pPr>
              <w:pStyle w:val="Table-normal-text"/>
            </w:pPr>
            <w:r>
              <w:t>Water and sanitation</w:t>
            </w:r>
          </w:p>
        </w:tc>
      </w:tr>
      <w:tr w:rsidR="00C657FB" w:rsidRPr="00F43CEC" w:rsidTr="00AF73E0">
        <w:trPr>
          <w:cantSplit/>
          <w:trHeight w:val="1217"/>
        </w:trPr>
        <w:tc>
          <w:tcPr>
            <w:tcW w:w="2660" w:type="dxa"/>
            <w:shd w:val="clear" w:color="auto" w:fill="auto"/>
          </w:tcPr>
          <w:p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rsidR="00C657FB" w:rsidRPr="00F2320B" w:rsidRDefault="00AF73E0" w:rsidP="00AF73E0">
            <w:pPr>
              <w:tabs>
                <w:tab w:val="left" w:pos="-4678"/>
              </w:tabs>
              <w:spacing w:before="0" w:after="60" w:line="276" w:lineRule="auto"/>
            </w:pPr>
            <w:r w:rsidRPr="00AF73E0">
              <w:rPr>
                <w:rFonts w:cs="Arial"/>
                <w:szCs w:val="20"/>
                <w:lang w:eastAsia="en-AU"/>
              </w:rPr>
              <w:t>For phase I: to lay the foundations for and initiate a process of adoption of effective, sustainable and scalable models of pro-poor urban water and sanitation service delivery by service providers and the local / national government in Maputo City and Matola City by March 2014.</w:t>
            </w:r>
          </w:p>
        </w:tc>
      </w:tr>
    </w:tbl>
    <w:p w:rsidR="00C657FB" w:rsidRDefault="00C657FB" w:rsidP="00C657FB">
      <w:pPr>
        <w:pStyle w:val="Heading2"/>
      </w:pPr>
      <w:r>
        <w:t>Evaluation Summary</w:t>
      </w:r>
    </w:p>
    <w:p w:rsidR="00D2144B" w:rsidRDefault="00C657FB" w:rsidP="00AF73E0">
      <w:pPr>
        <w:spacing w:after="120"/>
        <w:rPr>
          <w:rFonts w:cs="Arial"/>
          <w:szCs w:val="20"/>
          <w:lang w:eastAsia="en-AU"/>
        </w:rPr>
      </w:pPr>
      <w:r w:rsidRPr="00123C3E">
        <w:rPr>
          <w:b/>
        </w:rPr>
        <w:t>Evaluation Objective:</w:t>
      </w:r>
      <w:r>
        <w:rPr>
          <w:b/>
        </w:rPr>
        <w:t xml:space="preserve"> </w:t>
      </w:r>
      <w:r w:rsidR="00AF73E0" w:rsidRPr="00AF73E0">
        <w:rPr>
          <w:rFonts w:cs="Arial"/>
          <w:szCs w:val="20"/>
          <w:lang w:eastAsia="en-AU"/>
        </w:rPr>
        <w:t xml:space="preserve">The purposes of this external, independent evaluation </w:t>
      </w:r>
      <w:r w:rsidR="00AF73E0">
        <w:rPr>
          <w:rFonts w:cs="Arial"/>
          <w:szCs w:val="20"/>
          <w:lang w:eastAsia="en-AU"/>
        </w:rPr>
        <w:t>we</w:t>
      </w:r>
      <w:r w:rsidR="00AF73E0" w:rsidRPr="00AF73E0">
        <w:rPr>
          <w:rFonts w:cs="Arial"/>
          <w:szCs w:val="20"/>
          <w:lang w:eastAsia="en-AU"/>
        </w:rPr>
        <w:t xml:space="preserve">re: </w:t>
      </w:r>
      <w:r w:rsidR="00D2144B">
        <w:rPr>
          <w:rFonts w:cs="Arial"/>
          <w:szCs w:val="20"/>
          <w:lang w:eastAsia="en-AU"/>
        </w:rPr>
        <w:t xml:space="preserve"> </w:t>
      </w:r>
      <w:r w:rsidR="00AF73E0" w:rsidRPr="00AF73E0">
        <w:rPr>
          <w:rFonts w:cs="Arial"/>
          <w:szCs w:val="20"/>
          <w:lang w:eastAsia="en-AU"/>
        </w:rPr>
        <w:t xml:space="preserve">to support </w:t>
      </w:r>
      <w:r w:rsidR="00352383">
        <w:rPr>
          <w:rFonts w:cs="Arial"/>
          <w:szCs w:val="20"/>
          <w:lang w:eastAsia="en-AU"/>
        </w:rPr>
        <w:t>DFAT</w:t>
      </w:r>
      <w:r w:rsidR="00AF73E0" w:rsidRPr="00AF73E0">
        <w:rPr>
          <w:rFonts w:cs="Arial"/>
          <w:szCs w:val="20"/>
          <w:lang w:eastAsia="en-AU"/>
        </w:rPr>
        <w:t>'s judgement o</w:t>
      </w:r>
      <w:r w:rsidR="00D2144B">
        <w:rPr>
          <w:rFonts w:cs="Arial"/>
          <w:szCs w:val="20"/>
          <w:lang w:eastAsia="en-AU"/>
        </w:rPr>
        <w:t xml:space="preserve">n the effectiveness of Phase I; </w:t>
      </w:r>
      <w:r w:rsidR="00AF73E0" w:rsidRPr="00AF73E0">
        <w:rPr>
          <w:rFonts w:cs="Arial"/>
          <w:szCs w:val="20"/>
          <w:lang w:eastAsia="en-AU"/>
        </w:rPr>
        <w:t xml:space="preserve">to serve as a basis for </w:t>
      </w:r>
      <w:r w:rsidR="00352383">
        <w:rPr>
          <w:rFonts w:cs="Arial"/>
          <w:szCs w:val="20"/>
          <w:lang w:eastAsia="en-AU"/>
        </w:rPr>
        <w:t>DFAT</w:t>
      </w:r>
      <w:r w:rsidR="00AF73E0" w:rsidRPr="00AF73E0">
        <w:rPr>
          <w:rFonts w:cs="Arial"/>
          <w:szCs w:val="20"/>
          <w:lang w:eastAsia="en-AU"/>
        </w:rPr>
        <w:t xml:space="preserve"> decision to proceed to Phase II and, subject to continuing with Phase II</w:t>
      </w:r>
      <w:r w:rsidR="00910DF7">
        <w:rPr>
          <w:rFonts w:cs="Arial"/>
          <w:szCs w:val="20"/>
          <w:lang w:eastAsia="en-AU"/>
        </w:rPr>
        <w:t>,</w:t>
      </w:r>
      <w:r w:rsidR="00AF73E0" w:rsidRPr="00AF73E0">
        <w:rPr>
          <w:rFonts w:cs="Arial"/>
          <w:szCs w:val="20"/>
          <w:lang w:eastAsia="en-AU"/>
        </w:rPr>
        <w:t xml:space="preserve"> make recommendations for Phase II planning. </w:t>
      </w:r>
    </w:p>
    <w:p w:rsidR="00D2144B" w:rsidRDefault="00AF73E0" w:rsidP="00AF73E0">
      <w:pPr>
        <w:spacing w:after="120"/>
        <w:rPr>
          <w:rFonts w:cs="Arial"/>
          <w:szCs w:val="20"/>
          <w:lang w:eastAsia="en-AU"/>
        </w:rPr>
      </w:pPr>
      <w:r w:rsidRPr="00AF73E0">
        <w:rPr>
          <w:rFonts w:cs="Arial"/>
          <w:szCs w:val="20"/>
          <w:lang w:eastAsia="en-AU"/>
        </w:rPr>
        <w:t>The evaluation framework facilitate</w:t>
      </w:r>
      <w:r w:rsidR="00D2144B">
        <w:rPr>
          <w:rFonts w:cs="Arial"/>
          <w:szCs w:val="20"/>
          <w:lang w:eastAsia="en-AU"/>
        </w:rPr>
        <w:t>d</w:t>
      </w:r>
      <w:r w:rsidRPr="00AF73E0">
        <w:rPr>
          <w:rFonts w:cs="Arial"/>
          <w:szCs w:val="20"/>
          <w:lang w:eastAsia="en-AU"/>
        </w:rPr>
        <w:t xml:space="preserve"> an assessment at program level and </w:t>
      </w:r>
      <w:r w:rsidR="00D2144B">
        <w:rPr>
          <w:rFonts w:cs="Arial"/>
          <w:szCs w:val="20"/>
          <w:lang w:eastAsia="en-AU"/>
        </w:rPr>
        <w:t xml:space="preserve">focussed on progress in </w:t>
      </w:r>
      <w:r w:rsidRPr="00AF73E0">
        <w:rPr>
          <w:rFonts w:cs="Arial"/>
          <w:szCs w:val="20"/>
          <w:lang w:eastAsia="en-AU"/>
        </w:rPr>
        <w:t xml:space="preserve">three areas: </w:t>
      </w:r>
    </w:p>
    <w:p w:rsidR="00D2144B" w:rsidRDefault="00AF73E0" w:rsidP="00AF73E0">
      <w:pPr>
        <w:spacing w:after="120"/>
        <w:rPr>
          <w:rFonts w:cs="Arial"/>
          <w:szCs w:val="20"/>
          <w:lang w:eastAsia="en-AU"/>
        </w:rPr>
      </w:pPr>
      <w:r w:rsidRPr="00AF73E0">
        <w:rPr>
          <w:rFonts w:cs="Arial"/>
          <w:szCs w:val="20"/>
          <w:lang w:eastAsia="en-AU"/>
        </w:rPr>
        <w:t xml:space="preserve">1) </w:t>
      </w:r>
      <w:r w:rsidR="00D2144B">
        <w:rPr>
          <w:rFonts w:cs="Arial"/>
          <w:szCs w:val="20"/>
          <w:lang w:eastAsia="en-AU"/>
        </w:rPr>
        <w:t>T</w:t>
      </w:r>
      <w:r w:rsidRPr="00AF73E0">
        <w:rPr>
          <w:rFonts w:cs="Arial"/>
          <w:szCs w:val="20"/>
          <w:lang w:eastAsia="en-AU"/>
        </w:rPr>
        <w:t xml:space="preserve">owards sustainability of pro-poor sanitation service delivery; </w:t>
      </w:r>
    </w:p>
    <w:p w:rsidR="00D2144B" w:rsidRDefault="00AF73E0" w:rsidP="00AF73E0">
      <w:pPr>
        <w:spacing w:after="120"/>
        <w:rPr>
          <w:rFonts w:cs="Arial"/>
          <w:szCs w:val="20"/>
          <w:lang w:eastAsia="en-AU"/>
        </w:rPr>
      </w:pPr>
      <w:r w:rsidRPr="00AF73E0">
        <w:rPr>
          <w:rFonts w:cs="Arial"/>
          <w:szCs w:val="20"/>
          <w:lang w:eastAsia="en-AU"/>
        </w:rPr>
        <w:t xml:space="preserve">2) Mainstreaming gender and disability inclusiveness (GDI); and </w:t>
      </w:r>
    </w:p>
    <w:p w:rsidR="00AF73E0" w:rsidRPr="00AF73E0" w:rsidRDefault="00AF73E0" w:rsidP="00AF73E0">
      <w:pPr>
        <w:spacing w:after="120"/>
        <w:rPr>
          <w:rFonts w:cs="Arial"/>
          <w:szCs w:val="20"/>
          <w:lang w:eastAsia="en-AU"/>
        </w:rPr>
      </w:pPr>
      <w:r w:rsidRPr="00AF73E0">
        <w:rPr>
          <w:rFonts w:cs="Arial"/>
          <w:szCs w:val="20"/>
          <w:lang w:eastAsia="en-AU"/>
        </w:rPr>
        <w:t>3) Strengthen</w:t>
      </w:r>
      <w:r w:rsidR="00D2144B">
        <w:rPr>
          <w:rFonts w:cs="Arial"/>
          <w:szCs w:val="20"/>
          <w:lang w:eastAsia="en-AU"/>
        </w:rPr>
        <w:t>ed</w:t>
      </w:r>
      <w:r w:rsidRPr="00AF73E0">
        <w:rPr>
          <w:rFonts w:cs="Arial"/>
          <w:szCs w:val="20"/>
          <w:lang w:eastAsia="en-AU"/>
        </w:rPr>
        <w:t xml:space="preserve"> capacities and </w:t>
      </w:r>
      <w:r w:rsidR="00D2144B">
        <w:rPr>
          <w:rFonts w:cs="Arial"/>
          <w:szCs w:val="20"/>
          <w:lang w:eastAsia="en-AU"/>
        </w:rPr>
        <w:t>the creation of</w:t>
      </w:r>
      <w:r w:rsidRPr="00AF73E0">
        <w:rPr>
          <w:rFonts w:cs="Arial"/>
          <w:szCs w:val="20"/>
          <w:lang w:eastAsia="en-AU"/>
        </w:rPr>
        <w:t xml:space="preserve"> opportunities for</w:t>
      </w:r>
      <w:r w:rsidR="00D2144B">
        <w:rPr>
          <w:rFonts w:cs="Arial"/>
          <w:szCs w:val="20"/>
          <w:lang w:eastAsia="en-AU"/>
        </w:rPr>
        <w:t xml:space="preserve"> achieving wider</w:t>
      </w:r>
      <w:r w:rsidRPr="00AF73E0">
        <w:rPr>
          <w:rFonts w:cs="Arial"/>
          <w:szCs w:val="20"/>
          <w:lang w:eastAsia="en-AU"/>
        </w:rPr>
        <w:t xml:space="preserve"> influenc</w:t>
      </w:r>
      <w:r w:rsidR="00D2144B">
        <w:rPr>
          <w:rFonts w:cs="Arial"/>
          <w:szCs w:val="20"/>
          <w:lang w:eastAsia="en-AU"/>
        </w:rPr>
        <w:t xml:space="preserve">e focused on the </w:t>
      </w:r>
      <w:r w:rsidR="00D2144B" w:rsidRPr="007D6C6F">
        <w:t xml:space="preserve">scope, quality and content of partnerships developed </w:t>
      </w:r>
      <w:r w:rsidR="00D2144B">
        <w:t xml:space="preserve">with all </w:t>
      </w:r>
      <w:r w:rsidR="00D2144B" w:rsidRPr="007D6C6F">
        <w:t xml:space="preserve">key </w:t>
      </w:r>
      <w:r w:rsidR="00D2144B">
        <w:t>stakeholders.</w:t>
      </w:r>
    </w:p>
    <w:p w:rsidR="00C657FB" w:rsidRPr="00123C3E" w:rsidRDefault="00C657FB" w:rsidP="00C657FB">
      <w:pPr>
        <w:rPr>
          <w:b/>
        </w:rPr>
      </w:pPr>
    </w:p>
    <w:p w:rsidR="002D151B" w:rsidRPr="00CF2CFA" w:rsidRDefault="00C657FB" w:rsidP="002D151B">
      <w:pPr>
        <w:rPr>
          <w:i/>
        </w:rPr>
      </w:pPr>
      <w:r w:rsidRPr="00123C3E">
        <w:rPr>
          <w:b/>
        </w:rPr>
        <w:lastRenderedPageBreak/>
        <w:t>Evaluation Completion Date:</w:t>
      </w:r>
      <w:r>
        <w:rPr>
          <w:b/>
        </w:rPr>
        <w:t xml:space="preserve"> </w:t>
      </w:r>
      <w:r w:rsidR="002D151B">
        <w:rPr>
          <w:b/>
        </w:rPr>
        <w:t xml:space="preserve"> 4 February 2014</w:t>
      </w:r>
      <w:r w:rsidR="002D151B">
        <w:t xml:space="preserve"> </w:t>
      </w:r>
      <w:r w:rsidR="002D151B" w:rsidRPr="00CF2CFA">
        <w:rPr>
          <w:b/>
          <w:i/>
        </w:rPr>
        <w:t>(the date when documentation from the peer review was finalised)</w:t>
      </w:r>
    </w:p>
    <w:p w:rsidR="002824B7" w:rsidRDefault="00C657FB" w:rsidP="002D151B">
      <w:r w:rsidRPr="00123C3E">
        <w:rPr>
          <w:b/>
        </w:rPr>
        <w:t>Evaluation Team:</w:t>
      </w:r>
      <w:r>
        <w:rPr>
          <w:b/>
        </w:rPr>
        <w:t xml:space="preserve"> </w:t>
      </w:r>
      <w:r w:rsidR="002D151B">
        <w:rPr>
          <w:b/>
        </w:rPr>
        <w:t xml:space="preserve"> </w:t>
      </w:r>
      <w:r w:rsidR="002D151B" w:rsidRPr="00D2144B">
        <w:t>Jacques-Edouard Tiberghien, consultant</w:t>
      </w:r>
      <w:r w:rsidRPr="00D2144B">
        <w:t xml:space="preserve"> and </w:t>
      </w:r>
      <w:r w:rsidR="00D2144B">
        <w:t>Matt Kellam who later handed over to Stacey Walker</w:t>
      </w:r>
      <w:r w:rsidR="002D151B" w:rsidRPr="00D2144B">
        <w:t>, Africa Branch, DFAT</w:t>
      </w:r>
    </w:p>
    <w:p w:rsidR="005E3939" w:rsidRPr="008B3156" w:rsidRDefault="00367DA3" w:rsidP="00D2144B">
      <w:pPr>
        <w:spacing w:before="240"/>
        <w:rPr>
          <w:b/>
          <w:sz w:val="22"/>
          <w:szCs w:val="22"/>
          <w:lang w:eastAsia="en-AU"/>
        </w:rPr>
      </w:pPr>
      <w:r w:rsidRPr="008B3156">
        <w:rPr>
          <w:b/>
          <w:sz w:val="22"/>
          <w:szCs w:val="22"/>
          <w:lang w:eastAsia="en-AU"/>
        </w:rPr>
        <w:t>AusAID’s response to the evaluation report</w:t>
      </w:r>
    </w:p>
    <w:p w:rsidR="00D2144B" w:rsidRDefault="00D2144B" w:rsidP="00D2144B">
      <w:pPr>
        <w:rPr>
          <w:szCs w:val="20"/>
        </w:rPr>
      </w:pPr>
      <w:r w:rsidRPr="00D2144B">
        <w:rPr>
          <w:szCs w:val="20"/>
        </w:rPr>
        <w:t>The Independent Evaluation was high quality and based on a sound evaluation methodology</w:t>
      </w:r>
      <w:r w:rsidR="00081651">
        <w:rPr>
          <w:szCs w:val="20"/>
        </w:rPr>
        <w:t xml:space="preserve"> and met the necessary quality standards</w:t>
      </w:r>
      <w:r w:rsidRPr="00D2144B">
        <w:rPr>
          <w:szCs w:val="20"/>
        </w:rPr>
        <w:t xml:space="preserve">. The evaluation report </w:t>
      </w:r>
      <w:r w:rsidRPr="003D249D">
        <w:t xml:space="preserve">demonstrates an understanding of the project and the complexities of improving water and sanitation services </w:t>
      </w:r>
      <w:r>
        <w:t>in the crowded peri-urban areas of Maputo</w:t>
      </w:r>
      <w:r w:rsidRPr="00D2144B">
        <w:rPr>
          <w:szCs w:val="20"/>
        </w:rPr>
        <w:t>.</w:t>
      </w:r>
    </w:p>
    <w:p w:rsidR="00D2144B" w:rsidRDefault="00D2144B" w:rsidP="00D2144B">
      <w:pPr>
        <w:rPr>
          <w:szCs w:val="20"/>
        </w:rPr>
      </w:pPr>
      <w:r>
        <w:rPr>
          <w:szCs w:val="20"/>
        </w:rPr>
        <w:t xml:space="preserve">The evaluation findings have been provided to WSUP and the Government of Mozambique partner agencies participating in the program, </w:t>
      </w:r>
      <w:r w:rsidR="00352383">
        <w:rPr>
          <w:szCs w:val="20"/>
        </w:rPr>
        <w:t>inclusive of FIPAG, AdeM, CRA, AIAS and the Maputo City Council.  All of these agencies</w:t>
      </w:r>
      <w:r>
        <w:rPr>
          <w:szCs w:val="20"/>
        </w:rPr>
        <w:t xml:space="preserve"> have endorsed the findings of the report and have strongly stated their support for WSUP’s work.</w:t>
      </w:r>
      <w:r w:rsidRPr="00D2144B">
        <w:rPr>
          <w:szCs w:val="20"/>
        </w:rPr>
        <w:t xml:space="preserve"> </w:t>
      </w:r>
      <w:r>
        <w:rPr>
          <w:szCs w:val="20"/>
        </w:rPr>
        <w:t>WSUP has since clarified a number of areas raised in the report</w:t>
      </w:r>
      <w:r w:rsidR="00352383">
        <w:rPr>
          <w:szCs w:val="20"/>
        </w:rPr>
        <w:t>,</w:t>
      </w:r>
      <w:r>
        <w:rPr>
          <w:szCs w:val="20"/>
        </w:rPr>
        <w:t xml:space="preserve"> but otherwise accepts the findings.</w:t>
      </w:r>
    </w:p>
    <w:p w:rsidR="00D2144B" w:rsidRDefault="00D2144B" w:rsidP="00D2144B">
      <w:pPr>
        <w:rPr>
          <w:szCs w:val="20"/>
        </w:rPr>
      </w:pPr>
      <w:r>
        <w:rPr>
          <w:szCs w:val="20"/>
        </w:rPr>
        <w:t>This evaluation report confirmed DFAT’s views gained from reports provided by WSUP</w:t>
      </w:r>
      <w:r w:rsidR="00AC3D25">
        <w:rPr>
          <w:szCs w:val="20"/>
        </w:rPr>
        <w:t xml:space="preserve"> and previous monitoring visits of an extremely high quality</w:t>
      </w:r>
      <w:r w:rsidR="00081651">
        <w:rPr>
          <w:szCs w:val="20"/>
        </w:rPr>
        <w:t xml:space="preserve"> program which is playing an important catalytic and influencing role.</w:t>
      </w:r>
      <w:r w:rsidR="00AC3D25">
        <w:rPr>
          <w:szCs w:val="20"/>
        </w:rPr>
        <w:t xml:space="preserve"> Despite working in the challenging environment of the poorest peri-urban areas of Maputo city and in very close partnership with government implementing agencies, local civil society organisations and the private sector, </w:t>
      </w:r>
      <w:r w:rsidR="00081651">
        <w:rPr>
          <w:szCs w:val="20"/>
        </w:rPr>
        <w:t>WSUP has</w:t>
      </w:r>
      <w:r w:rsidR="00AC3D25">
        <w:rPr>
          <w:szCs w:val="20"/>
        </w:rPr>
        <w:t xml:space="preserve"> achieved a great deal in a relatively short period of time, building a sound foundation on which to continue their program.  </w:t>
      </w:r>
      <w:r w:rsidR="00081651">
        <w:rPr>
          <w:szCs w:val="20"/>
        </w:rPr>
        <w:t>While WSUP has faced contextual challenges, it has responded to them creatively, establishing an innovative model for others to follow.</w:t>
      </w:r>
      <w:r w:rsidR="009649FF">
        <w:rPr>
          <w:szCs w:val="20"/>
        </w:rPr>
        <w:t xml:space="preserve"> </w:t>
      </w:r>
      <w:r w:rsidR="00AC3D25">
        <w:rPr>
          <w:szCs w:val="20"/>
        </w:rPr>
        <w:t xml:space="preserve">The purpose of the evaluation was to inform DFAT management decisions, specifically the funding of the proposed Phase II of the program in identifying any changes that could be considered </w:t>
      </w:r>
      <w:r w:rsidR="00081651">
        <w:rPr>
          <w:szCs w:val="20"/>
        </w:rPr>
        <w:t>to improve Phase II</w:t>
      </w:r>
      <w:r w:rsidR="00AC3D25">
        <w:rPr>
          <w:szCs w:val="20"/>
        </w:rPr>
        <w:t xml:space="preserve">. </w:t>
      </w:r>
    </w:p>
    <w:p w:rsidR="009649FF" w:rsidRDefault="009649FF" w:rsidP="009649FF">
      <w:pPr>
        <w:rPr>
          <w:szCs w:val="20"/>
        </w:rPr>
      </w:pPr>
      <w:r>
        <w:rPr>
          <w:szCs w:val="20"/>
        </w:rPr>
        <w:t>T</w:t>
      </w:r>
      <w:r w:rsidRPr="003D249D">
        <w:rPr>
          <w:szCs w:val="20"/>
        </w:rPr>
        <w:t xml:space="preserve">he evaluation has </w:t>
      </w:r>
      <w:r>
        <w:rPr>
          <w:szCs w:val="20"/>
        </w:rPr>
        <w:t xml:space="preserve">served </w:t>
      </w:r>
      <w:r w:rsidRPr="003D249D">
        <w:rPr>
          <w:szCs w:val="20"/>
        </w:rPr>
        <w:t xml:space="preserve">as a valuable tool to stocktake progress, recommend adjustments and create a platform to discuss issues and challenges with our implementing partner </w:t>
      </w:r>
      <w:r>
        <w:rPr>
          <w:szCs w:val="20"/>
        </w:rPr>
        <w:t>WSUP</w:t>
      </w:r>
      <w:r w:rsidRPr="003D249D">
        <w:rPr>
          <w:szCs w:val="20"/>
        </w:rPr>
        <w:t xml:space="preserve">, as well as Government of Mozambique (GoM) key </w:t>
      </w:r>
      <w:r>
        <w:rPr>
          <w:szCs w:val="20"/>
        </w:rPr>
        <w:t xml:space="preserve">stakeholders, especially AIAS, regarding service delivery of water supply and sanitation in the peri-urban areas around Maputo. </w:t>
      </w:r>
    </w:p>
    <w:p w:rsidR="009649FF" w:rsidRPr="00CF2CFA" w:rsidRDefault="009649FF" w:rsidP="009649FF">
      <w:pPr>
        <w:rPr>
          <w:szCs w:val="20"/>
        </w:rPr>
      </w:pPr>
      <w:r>
        <w:rPr>
          <w:rFonts w:cs="Arial"/>
        </w:rPr>
        <w:t>Since the evaluation was completed, t</w:t>
      </w:r>
      <w:r w:rsidRPr="003D249D">
        <w:rPr>
          <w:rFonts w:cs="Arial"/>
        </w:rPr>
        <w:t xml:space="preserve">he Australian Government </w:t>
      </w:r>
      <w:r>
        <w:rPr>
          <w:rFonts w:cs="Arial"/>
        </w:rPr>
        <w:t>has</w:t>
      </w:r>
      <w:r w:rsidRPr="003D249D">
        <w:rPr>
          <w:rFonts w:cs="Arial"/>
        </w:rPr>
        <w:t xml:space="preserve"> </w:t>
      </w:r>
      <w:r>
        <w:rPr>
          <w:rFonts w:cs="Arial"/>
        </w:rPr>
        <w:t xml:space="preserve">considered its policy and budget priorities for the aid program and </w:t>
      </w:r>
      <w:r w:rsidR="00D038F1">
        <w:rPr>
          <w:rFonts w:cs="Arial"/>
        </w:rPr>
        <w:t>due to budget constraints is unable</w:t>
      </w:r>
      <w:r w:rsidR="00352383">
        <w:rPr>
          <w:rFonts w:cs="Arial"/>
        </w:rPr>
        <w:t>, despite the positive findings of the evaluation,</w:t>
      </w:r>
      <w:r>
        <w:rPr>
          <w:rFonts w:cs="Arial"/>
        </w:rPr>
        <w:t xml:space="preserve"> to proceed with </w:t>
      </w:r>
      <w:r w:rsidRPr="003D249D">
        <w:rPr>
          <w:rFonts w:cs="Arial"/>
        </w:rPr>
        <w:t>support to Phase</w:t>
      </w:r>
      <w:r>
        <w:rPr>
          <w:rFonts w:cs="Arial"/>
        </w:rPr>
        <w:t xml:space="preserve"> II of WSUP’s program in Mozambique. </w:t>
      </w:r>
    </w:p>
    <w:p w:rsidR="00C657FB" w:rsidRDefault="00C657FB" w:rsidP="00C657FB">
      <w:pPr>
        <w:rPr>
          <w:rFonts w:cs="Arial"/>
        </w:rPr>
      </w:pPr>
    </w:p>
    <w:p w:rsidR="00367DA3" w:rsidRDefault="00367DA3" w:rsidP="00C657FB">
      <w:pPr>
        <w:rPr>
          <w:rFonts w:cs="Arial"/>
        </w:rPr>
      </w:pPr>
    </w:p>
    <w:p w:rsidR="00D2144B" w:rsidRDefault="00D2144B">
      <w:pPr>
        <w:spacing w:before="0"/>
        <w:rPr>
          <w:b/>
          <w:sz w:val="22"/>
          <w:szCs w:val="22"/>
          <w:lang w:eastAsia="en-AU"/>
        </w:rPr>
      </w:pPr>
      <w:r>
        <w:rPr>
          <w:b/>
          <w:sz w:val="22"/>
          <w:szCs w:val="22"/>
          <w:lang w:eastAsia="en-AU"/>
        </w:rPr>
        <w:br w:type="page"/>
      </w:r>
    </w:p>
    <w:p w:rsidR="00C657FB" w:rsidRPr="008B3156" w:rsidRDefault="00D2144B" w:rsidP="000D316D">
      <w:pPr>
        <w:rPr>
          <w:b/>
          <w:sz w:val="22"/>
          <w:szCs w:val="22"/>
          <w:lang w:eastAsia="en-AU"/>
        </w:rPr>
      </w:pPr>
      <w:r>
        <w:rPr>
          <w:b/>
          <w:sz w:val="22"/>
          <w:szCs w:val="22"/>
          <w:lang w:eastAsia="en-AU"/>
        </w:rPr>
        <w:lastRenderedPageBreak/>
        <w:t>DFAT’s</w:t>
      </w:r>
      <w:r w:rsidR="00DA5DFB">
        <w:rPr>
          <w:b/>
          <w:sz w:val="22"/>
          <w:szCs w:val="22"/>
          <w:lang w:eastAsia="en-AU"/>
        </w:rPr>
        <w:t xml:space="preserve"> </w:t>
      </w:r>
      <w:r w:rsidR="00F63B43" w:rsidRPr="008B3156">
        <w:rPr>
          <w:b/>
          <w:sz w:val="22"/>
          <w:szCs w:val="22"/>
          <w:lang w:eastAsia="en-AU"/>
        </w:rPr>
        <w:t>r</w:t>
      </w:r>
      <w:r w:rsidR="00C657FB" w:rsidRPr="008B3156">
        <w:rPr>
          <w:b/>
          <w:sz w:val="22"/>
          <w:szCs w:val="22"/>
          <w:lang w:eastAsia="en-AU"/>
        </w:rPr>
        <w:t>esponse to the specific rec</w:t>
      </w:r>
      <w:r w:rsidR="00367DA3" w:rsidRPr="008B3156">
        <w:rPr>
          <w:b/>
          <w:sz w:val="22"/>
          <w:szCs w:val="22"/>
          <w:lang w:eastAsia="en-AU"/>
        </w:rPr>
        <w:t>ommendations made in the report</w:t>
      </w:r>
    </w:p>
    <w:p w:rsidR="009649FF" w:rsidRPr="005A70F3" w:rsidRDefault="00B975F2" w:rsidP="009649FF">
      <w:pPr>
        <w:keepNext/>
        <w:keepLines/>
        <w:spacing w:before="200"/>
        <w:outlineLvl w:val="1"/>
        <w:rPr>
          <w:rFonts w:eastAsiaTheme="majorEastAsia" w:cs="Arial"/>
          <w:b/>
          <w:bCs/>
          <w:color w:val="4F81BD" w:themeColor="accent1"/>
          <w:szCs w:val="20"/>
          <w:lang w:eastAsia="en-AU"/>
        </w:rPr>
      </w:pPr>
      <w:r w:rsidRPr="005A70F3">
        <w:rPr>
          <w:rFonts w:eastAsiaTheme="majorEastAsia" w:cs="Arial"/>
          <w:b/>
          <w:bCs/>
          <w:szCs w:val="20"/>
          <w:lang w:eastAsia="en-AU"/>
        </w:rPr>
        <w:t>NOTE</w:t>
      </w:r>
      <w:r w:rsidRPr="005A70F3">
        <w:rPr>
          <w:rFonts w:eastAsiaTheme="majorEastAsia" w:cs="Arial"/>
          <w:b/>
          <w:bCs/>
          <w:color w:val="4F81BD" w:themeColor="accent1"/>
          <w:szCs w:val="20"/>
          <w:lang w:eastAsia="en-AU"/>
        </w:rPr>
        <w:t xml:space="preserve">: </w:t>
      </w:r>
      <w:r w:rsidRPr="005A70F3">
        <w:rPr>
          <w:rFonts w:cs="Arial"/>
          <w:szCs w:val="20"/>
          <w:lang w:eastAsia="en-AU"/>
        </w:rPr>
        <w:t xml:space="preserve">On 1 November 2013, AusAID was merged with the Department of Foreign Affairs and Trade (DFAT). The </w:t>
      </w:r>
      <w:r>
        <w:rPr>
          <w:rFonts w:cs="Arial"/>
          <w:szCs w:val="20"/>
          <w:lang w:eastAsia="en-AU"/>
        </w:rPr>
        <w:t>initial WSUP Evaluation r</w:t>
      </w:r>
      <w:r w:rsidRPr="005A70F3">
        <w:rPr>
          <w:rFonts w:cs="Arial"/>
          <w:szCs w:val="20"/>
          <w:lang w:eastAsia="en-AU"/>
        </w:rPr>
        <w:t xml:space="preserve">eport was </w:t>
      </w:r>
      <w:r>
        <w:rPr>
          <w:rFonts w:cs="Arial"/>
          <w:szCs w:val="20"/>
          <w:lang w:eastAsia="en-AU"/>
        </w:rPr>
        <w:t>submitted</w:t>
      </w:r>
      <w:r w:rsidRPr="005A70F3">
        <w:rPr>
          <w:rFonts w:cs="Arial"/>
          <w:szCs w:val="20"/>
          <w:lang w:eastAsia="en-AU"/>
        </w:rPr>
        <w:t xml:space="preserve"> prior to the merger and any reference to AusAID below refers to the Australia</w:t>
      </w:r>
      <w:r>
        <w:rPr>
          <w:rFonts w:cs="Arial"/>
          <w:szCs w:val="20"/>
          <w:lang w:eastAsia="en-AU"/>
        </w:rPr>
        <w:t>n</w:t>
      </w:r>
      <w:r w:rsidRPr="005A70F3">
        <w:rPr>
          <w:rFonts w:cs="Arial"/>
          <w:szCs w:val="20"/>
          <w:lang w:eastAsia="en-AU"/>
        </w:rPr>
        <w:t xml:space="preserve"> aid program </w:t>
      </w:r>
      <w:r w:rsidR="00D038F1">
        <w:rPr>
          <w:rFonts w:cs="Arial"/>
          <w:szCs w:val="20"/>
          <w:lang w:eastAsia="en-AU"/>
        </w:rPr>
        <w:t xml:space="preserve">managed by </w:t>
      </w:r>
      <w:r w:rsidRPr="005A70F3">
        <w:rPr>
          <w:rFonts w:cs="Arial"/>
          <w:szCs w:val="20"/>
          <w:lang w:eastAsia="en-AU"/>
        </w:rPr>
        <w:t>DFAT.</w:t>
      </w:r>
      <w:r>
        <w:rPr>
          <w:rFonts w:cs="Arial"/>
          <w:szCs w:val="20"/>
          <w:lang w:eastAsia="en-AU"/>
        </w:rPr>
        <w:t xml:space="preserve"> In January 2014, </w:t>
      </w:r>
      <w:r w:rsidR="00D038F1">
        <w:rPr>
          <w:rFonts w:cs="Arial"/>
          <w:szCs w:val="20"/>
          <w:lang w:eastAsia="en-AU"/>
        </w:rPr>
        <w:t xml:space="preserve">as a result of budget constraints, </w:t>
      </w:r>
      <w:r>
        <w:rPr>
          <w:rFonts w:cs="Arial"/>
          <w:szCs w:val="20"/>
          <w:lang w:eastAsia="en-AU"/>
        </w:rPr>
        <w:t xml:space="preserve">DFAT decided </w:t>
      </w:r>
      <w:r w:rsidR="00D038F1">
        <w:rPr>
          <w:rFonts w:cs="Arial"/>
          <w:szCs w:val="20"/>
          <w:lang w:eastAsia="en-AU"/>
        </w:rPr>
        <w:t xml:space="preserve">it was not able </w:t>
      </w:r>
      <w:r>
        <w:rPr>
          <w:rFonts w:cs="Arial"/>
          <w:szCs w:val="20"/>
          <w:lang w:eastAsia="en-AU"/>
        </w:rPr>
        <w:t xml:space="preserve">to proceed with funding any further phases </w:t>
      </w:r>
      <w:r w:rsidR="00DE14A7">
        <w:rPr>
          <w:rFonts w:cs="Arial"/>
          <w:szCs w:val="20"/>
          <w:lang w:eastAsia="en-AU"/>
        </w:rPr>
        <w:t>of</w:t>
      </w:r>
      <w:r>
        <w:rPr>
          <w:rFonts w:cs="Arial"/>
          <w:szCs w:val="20"/>
          <w:lang w:eastAsia="en-AU"/>
        </w:rPr>
        <w:t xml:space="preserve"> water and sanitation programs in Mozambique. </w:t>
      </w:r>
      <w:r w:rsidR="00DA5914">
        <w:rPr>
          <w:rFonts w:cs="Arial"/>
          <w:szCs w:val="20"/>
          <w:lang w:eastAsia="en-AU"/>
        </w:rPr>
        <w:t>O</w:t>
      </w:r>
      <w:r>
        <w:rPr>
          <w:rFonts w:cs="Arial"/>
          <w:szCs w:val="20"/>
          <w:lang w:eastAsia="en-AU"/>
        </w:rPr>
        <w:t xml:space="preserve">ne of the </w:t>
      </w:r>
      <w:r w:rsidR="009649FF">
        <w:rPr>
          <w:rFonts w:cs="Arial"/>
          <w:szCs w:val="20"/>
          <w:lang w:eastAsia="en-AU"/>
        </w:rPr>
        <w:t xml:space="preserve">original </w:t>
      </w:r>
      <w:r>
        <w:rPr>
          <w:rFonts w:cs="Arial"/>
          <w:szCs w:val="20"/>
          <w:lang w:eastAsia="en-AU"/>
        </w:rPr>
        <w:t xml:space="preserve">objectives of the evaluation </w:t>
      </w:r>
      <w:r w:rsidR="00DA5914">
        <w:rPr>
          <w:rFonts w:cs="Arial"/>
          <w:szCs w:val="20"/>
          <w:lang w:eastAsia="en-AU"/>
        </w:rPr>
        <w:t xml:space="preserve">was to inform the aid program’s decision to proceed to fund Phase II and to make recommendations for its planning. As a result, at this stage, these recommendations serve to assist WSUP in its planning </w:t>
      </w:r>
      <w:r w:rsidR="00910DF7">
        <w:rPr>
          <w:rFonts w:cs="Arial"/>
          <w:szCs w:val="20"/>
          <w:lang w:eastAsia="en-AU"/>
        </w:rPr>
        <w:t>for the continued</w:t>
      </w:r>
      <w:r w:rsidR="00DA5914">
        <w:rPr>
          <w:rFonts w:cs="Arial"/>
          <w:szCs w:val="20"/>
          <w:lang w:eastAsia="en-AU"/>
        </w:rPr>
        <w:t xml:space="preserve"> program</w:t>
      </w:r>
      <w:r w:rsidR="00910DF7">
        <w:rPr>
          <w:rFonts w:cs="Arial"/>
          <w:szCs w:val="20"/>
          <w:lang w:eastAsia="en-AU"/>
        </w:rPr>
        <w:t>,</w:t>
      </w:r>
      <w:r w:rsidR="00DA5914">
        <w:rPr>
          <w:rFonts w:cs="Arial"/>
          <w:szCs w:val="20"/>
          <w:lang w:eastAsia="en-AU"/>
        </w:rPr>
        <w:t xml:space="preserve"> should it succeed in seeking alternative funding.</w:t>
      </w:r>
      <w:r w:rsidR="009649FF">
        <w:rPr>
          <w:rFonts w:cs="Arial"/>
          <w:szCs w:val="20"/>
          <w:lang w:eastAsia="en-AU"/>
        </w:rPr>
        <w:t xml:space="preserve"> The management response has been framed within this context and prepared against the summary recommendations from the report.</w:t>
      </w:r>
    </w:p>
    <w:p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943"/>
        <w:gridCol w:w="2977"/>
        <w:gridCol w:w="2351"/>
        <w:gridCol w:w="1583"/>
      </w:tblGrid>
      <w:tr w:rsidR="00E6298A" w:rsidRPr="00E6298A" w:rsidTr="00324CB1">
        <w:trPr>
          <w:cantSplit/>
        </w:trPr>
        <w:tc>
          <w:tcPr>
            <w:tcW w:w="2943" w:type="dxa"/>
            <w:shd w:val="clear" w:color="auto" w:fill="FFEC9B"/>
            <w:vAlign w:val="center"/>
          </w:tcPr>
          <w:p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2977" w:type="dxa"/>
            <w:tcBorders>
              <w:righ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Response</w:t>
            </w:r>
          </w:p>
        </w:tc>
        <w:tc>
          <w:tcPr>
            <w:tcW w:w="2351" w:type="dxa"/>
            <w:tcBorders>
              <w:left w:val="single" w:sz="4" w:space="0" w:color="auto"/>
            </w:tcBorders>
            <w:shd w:val="clear" w:color="auto" w:fill="FFEC9B"/>
            <w:vAlign w:val="center"/>
          </w:tcPr>
          <w:p w:rsidR="00E6298A" w:rsidRPr="00E6298A" w:rsidRDefault="00E6298A" w:rsidP="001467C6">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rsidR="00E6298A" w:rsidRPr="00E6298A" w:rsidRDefault="00E6298A" w:rsidP="001467C6">
            <w:pPr>
              <w:spacing w:after="120"/>
              <w:jc w:val="center"/>
              <w:rPr>
                <w:rFonts w:cs="Arial"/>
                <w:szCs w:val="20"/>
              </w:rPr>
            </w:pPr>
            <w:r w:rsidRPr="00E6298A">
              <w:rPr>
                <w:b/>
                <w:szCs w:val="20"/>
              </w:rPr>
              <w:t>Responsibility</w:t>
            </w:r>
          </w:p>
        </w:tc>
      </w:tr>
      <w:tr w:rsidR="00E6298A" w:rsidRPr="00F43CEC" w:rsidTr="00324CB1">
        <w:trPr>
          <w:cantSplit/>
          <w:trHeight w:val="885"/>
        </w:trPr>
        <w:tc>
          <w:tcPr>
            <w:tcW w:w="2943" w:type="dxa"/>
            <w:shd w:val="clear" w:color="auto" w:fill="auto"/>
          </w:tcPr>
          <w:p w:rsidR="00026B35" w:rsidRPr="00026B35" w:rsidRDefault="00026B35" w:rsidP="00026B35">
            <w:pPr>
              <w:numPr>
                <w:ilvl w:val="0"/>
                <w:numId w:val="38"/>
              </w:numPr>
              <w:spacing w:after="120"/>
              <w:ind w:left="426" w:hanging="426"/>
              <w:rPr>
                <w:b/>
              </w:rPr>
            </w:pPr>
            <w:r w:rsidRPr="00026B35">
              <w:rPr>
                <w:b/>
              </w:rPr>
              <w:t>WSUP needs to establish mechanisms to mitigate the risks of delays caused by partners, prioritising recurrent risks such as management changes.</w:t>
            </w:r>
          </w:p>
          <w:p w:rsidR="00871069" w:rsidRPr="00632714" w:rsidRDefault="00871069" w:rsidP="00026B35">
            <w:pPr>
              <w:spacing w:after="120"/>
              <w:rPr>
                <w:b/>
              </w:rPr>
            </w:pPr>
          </w:p>
        </w:tc>
        <w:tc>
          <w:tcPr>
            <w:tcW w:w="2977" w:type="dxa"/>
            <w:tcBorders>
              <w:right w:val="single" w:sz="4" w:space="0" w:color="auto"/>
            </w:tcBorders>
            <w:shd w:val="clear" w:color="auto" w:fill="auto"/>
          </w:tcPr>
          <w:p w:rsidR="005922C5" w:rsidRPr="00026B35" w:rsidRDefault="00B975F2" w:rsidP="005922C5">
            <w:pPr>
              <w:spacing w:after="120"/>
              <w:rPr>
                <w:rFonts w:cs="Arial"/>
                <w:u w:val="single"/>
              </w:rPr>
            </w:pPr>
            <w:r w:rsidRPr="00026B35">
              <w:rPr>
                <w:rFonts w:cs="Arial"/>
                <w:u w:val="single"/>
              </w:rPr>
              <w:t>Agree-in-principle</w:t>
            </w:r>
          </w:p>
          <w:p w:rsidR="00E6298A" w:rsidRDefault="005922C5" w:rsidP="00175FFC">
            <w:pPr>
              <w:spacing w:after="120"/>
              <w:rPr>
                <w:rFonts w:cs="Arial"/>
              </w:rPr>
            </w:pPr>
            <w:r>
              <w:rPr>
                <w:rFonts w:cs="Arial"/>
              </w:rPr>
              <w:t xml:space="preserve">Encourage WSUP to maintain an active and regular reflection of program risks. </w:t>
            </w:r>
          </w:p>
          <w:p w:rsidR="005922C5" w:rsidRPr="00F43CEC" w:rsidRDefault="00DA5DFB" w:rsidP="003D51BC">
            <w:pPr>
              <w:spacing w:after="120"/>
              <w:rPr>
                <w:rFonts w:cs="Arial"/>
              </w:rPr>
            </w:pPr>
            <w:r>
              <w:rPr>
                <w:rFonts w:cs="Arial"/>
              </w:rPr>
              <w:t xml:space="preserve">The Department </w:t>
            </w:r>
            <w:r w:rsidR="005922C5">
              <w:rPr>
                <w:rFonts w:cs="Arial"/>
              </w:rPr>
              <w:t xml:space="preserve">acknowledges that timeframes for achieving program objectives are affected by </w:t>
            </w:r>
            <w:r w:rsidR="003D51BC">
              <w:rPr>
                <w:rFonts w:cs="Arial"/>
              </w:rPr>
              <w:t>matters often</w:t>
            </w:r>
            <w:r w:rsidR="005922C5">
              <w:rPr>
                <w:rFonts w:cs="Arial"/>
              </w:rPr>
              <w:t xml:space="preserve"> outside the control of WSUP.   </w:t>
            </w:r>
          </w:p>
        </w:tc>
        <w:tc>
          <w:tcPr>
            <w:tcW w:w="2351" w:type="dxa"/>
            <w:tcBorders>
              <w:left w:val="single" w:sz="4" w:space="0" w:color="auto"/>
            </w:tcBorders>
            <w:shd w:val="clear" w:color="auto" w:fill="auto"/>
          </w:tcPr>
          <w:p w:rsidR="003D51BC" w:rsidRDefault="003D51BC" w:rsidP="003D51BC">
            <w:pPr>
              <w:spacing w:after="120"/>
              <w:rPr>
                <w:rFonts w:cs="Arial"/>
              </w:rPr>
            </w:pPr>
            <w:r>
              <w:rPr>
                <w:rFonts w:cs="Arial"/>
              </w:rPr>
              <w:t>WSUP has been made aware of this recommendation for future programming.</w:t>
            </w:r>
          </w:p>
          <w:p w:rsidR="00981B32" w:rsidRPr="00F43CEC" w:rsidRDefault="00981B32" w:rsidP="008B5A14">
            <w:pPr>
              <w:spacing w:after="120"/>
              <w:rPr>
                <w:rFonts w:cs="Arial"/>
              </w:rPr>
            </w:pPr>
          </w:p>
        </w:tc>
        <w:tc>
          <w:tcPr>
            <w:tcW w:w="1583" w:type="dxa"/>
            <w:tcBorders>
              <w:left w:val="single" w:sz="4" w:space="0" w:color="auto"/>
            </w:tcBorders>
            <w:shd w:val="clear" w:color="auto" w:fill="auto"/>
          </w:tcPr>
          <w:p w:rsidR="00E6298A" w:rsidRPr="00F43CEC" w:rsidRDefault="00DE14A7" w:rsidP="006D2194">
            <w:pPr>
              <w:spacing w:after="120"/>
              <w:rPr>
                <w:rFonts w:cs="Arial"/>
              </w:rPr>
            </w:pPr>
            <w:r>
              <w:rPr>
                <w:rFonts w:cs="Arial"/>
              </w:rPr>
              <w:t>WSUP</w:t>
            </w:r>
          </w:p>
        </w:tc>
      </w:tr>
      <w:tr w:rsidR="00E6298A" w:rsidRPr="00F43CEC" w:rsidTr="00324CB1">
        <w:trPr>
          <w:cantSplit/>
          <w:trHeight w:val="885"/>
        </w:trPr>
        <w:tc>
          <w:tcPr>
            <w:tcW w:w="2943" w:type="dxa"/>
            <w:shd w:val="clear" w:color="auto" w:fill="auto"/>
          </w:tcPr>
          <w:p w:rsidR="00E6298A" w:rsidRPr="00026B35" w:rsidRDefault="00026B35" w:rsidP="00026B35">
            <w:pPr>
              <w:numPr>
                <w:ilvl w:val="0"/>
                <w:numId w:val="38"/>
              </w:numPr>
              <w:spacing w:after="120"/>
              <w:ind w:left="426" w:hanging="426"/>
              <w:rPr>
                <w:b/>
              </w:rPr>
            </w:pPr>
            <w:r w:rsidRPr="00026B35">
              <w:rPr>
                <w:b/>
              </w:rPr>
              <w:t>WSUP programme manager needs to dedicate more time to strategic networking. This shall help WSUP identify with CRA, AIAS, CMM, WSP and other relevant partners how to best foster institutional reform for sanitation in the coming months.</w:t>
            </w:r>
          </w:p>
        </w:tc>
        <w:tc>
          <w:tcPr>
            <w:tcW w:w="2977" w:type="dxa"/>
            <w:tcBorders>
              <w:right w:val="single" w:sz="4" w:space="0" w:color="auto"/>
            </w:tcBorders>
            <w:shd w:val="clear" w:color="auto" w:fill="auto"/>
          </w:tcPr>
          <w:p w:rsidR="005922C5" w:rsidRPr="00F43CEC" w:rsidRDefault="008B5A14" w:rsidP="005922C5">
            <w:pPr>
              <w:spacing w:after="120"/>
              <w:rPr>
                <w:rFonts w:cs="Arial"/>
              </w:rPr>
            </w:pPr>
            <w:r w:rsidRPr="00026B35">
              <w:rPr>
                <w:rFonts w:cs="Arial"/>
                <w:u w:val="single"/>
              </w:rPr>
              <w:t>Agree</w:t>
            </w:r>
            <w:r w:rsidR="00B975F2" w:rsidRPr="00026B35">
              <w:rPr>
                <w:rFonts w:cs="Arial"/>
                <w:u w:val="single"/>
              </w:rPr>
              <w:t>-in-principle</w:t>
            </w:r>
            <w:r>
              <w:rPr>
                <w:rFonts w:cs="Arial"/>
              </w:rPr>
              <w:t>.</w:t>
            </w:r>
          </w:p>
          <w:p w:rsidR="00981B32" w:rsidRDefault="006D2194" w:rsidP="00981B32">
            <w:pPr>
              <w:spacing w:after="120"/>
              <w:rPr>
                <w:rFonts w:cs="Arial"/>
              </w:rPr>
            </w:pPr>
            <w:r>
              <w:rPr>
                <w:rFonts w:cs="Arial"/>
              </w:rPr>
              <w:t xml:space="preserve">Increased senior WSUP attention in-country to developing stakeholder partnerships will </w:t>
            </w:r>
            <w:r w:rsidR="00981B32">
              <w:rPr>
                <w:rFonts w:cs="Arial"/>
              </w:rPr>
              <w:t xml:space="preserve">help move forward reform in areas critical to achieving program objectives. </w:t>
            </w:r>
          </w:p>
          <w:p w:rsidR="00E6298A" w:rsidRPr="00F43CEC" w:rsidRDefault="00981B32" w:rsidP="00981B32">
            <w:pPr>
              <w:spacing w:after="120"/>
              <w:rPr>
                <w:rFonts w:cs="Arial"/>
              </w:rPr>
            </w:pPr>
            <w:r>
              <w:rPr>
                <w:rFonts w:cs="Arial"/>
              </w:rPr>
              <w:t xml:space="preserve">This process of delegation should be accompanied by a set of clear expectation and delineation of tasks and responsibilities.  </w:t>
            </w:r>
            <w:r w:rsidR="006D2194">
              <w:rPr>
                <w:rFonts w:cs="Arial"/>
              </w:rPr>
              <w:t xml:space="preserve">  </w:t>
            </w:r>
          </w:p>
        </w:tc>
        <w:tc>
          <w:tcPr>
            <w:tcW w:w="2351" w:type="dxa"/>
            <w:tcBorders>
              <w:left w:val="single" w:sz="4" w:space="0" w:color="auto"/>
            </w:tcBorders>
            <w:shd w:val="clear" w:color="auto" w:fill="auto"/>
          </w:tcPr>
          <w:p w:rsidR="003D51BC" w:rsidRDefault="003D51BC" w:rsidP="003D51BC">
            <w:pPr>
              <w:spacing w:after="120"/>
              <w:rPr>
                <w:rFonts w:cs="Arial"/>
              </w:rPr>
            </w:pPr>
            <w:r>
              <w:rPr>
                <w:rFonts w:cs="Arial"/>
              </w:rPr>
              <w:t>WSUP has been made aware of this recommendation for future programming.</w:t>
            </w:r>
          </w:p>
          <w:p w:rsidR="00E6298A" w:rsidRPr="00F43CEC" w:rsidRDefault="00E6298A" w:rsidP="00981B32">
            <w:pPr>
              <w:spacing w:after="120"/>
              <w:rPr>
                <w:rFonts w:cs="Arial"/>
              </w:rPr>
            </w:pPr>
          </w:p>
        </w:tc>
        <w:tc>
          <w:tcPr>
            <w:tcW w:w="1583" w:type="dxa"/>
            <w:tcBorders>
              <w:left w:val="single" w:sz="4" w:space="0" w:color="auto"/>
            </w:tcBorders>
            <w:shd w:val="clear" w:color="auto" w:fill="auto"/>
          </w:tcPr>
          <w:p w:rsidR="00E6298A" w:rsidRPr="00F43CEC" w:rsidRDefault="00DE14A7" w:rsidP="00632714">
            <w:pPr>
              <w:spacing w:after="120"/>
              <w:rPr>
                <w:rFonts w:cs="Arial"/>
              </w:rPr>
            </w:pPr>
            <w:r>
              <w:rPr>
                <w:rFonts w:cs="Arial"/>
              </w:rPr>
              <w:t>WSUP</w:t>
            </w:r>
          </w:p>
        </w:tc>
      </w:tr>
      <w:tr w:rsidR="00871069" w:rsidRPr="00F43CEC" w:rsidTr="00324CB1">
        <w:trPr>
          <w:cantSplit/>
          <w:trHeight w:val="885"/>
        </w:trPr>
        <w:tc>
          <w:tcPr>
            <w:tcW w:w="2943" w:type="dxa"/>
            <w:shd w:val="clear" w:color="auto" w:fill="auto"/>
          </w:tcPr>
          <w:p w:rsidR="00026B35" w:rsidRPr="00026B35" w:rsidRDefault="00026B35" w:rsidP="00026B35">
            <w:pPr>
              <w:numPr>
                <w:ilvl w:val="0"/>
                <w:numId w:val="38"/>
              </w:numPr>
              <w:spacing w:after="120"/>
              <w:ind w:left="426" w:hanging="426"/>
              <w:rPr>
                <w:b/>
              </w:rPr>
            </w:pPr>
            <w:r w:rsidRPr="00026B35">
              <w:rPr>
                <w:b/>
              </w:rPr>
              <w:t xml:space="preserve">WSUP needs to find innovative ways to help CMM drive the country’s sanitation agenda locally. </w:t>
            </w:r>
          </w:p>
          <w:p w:rsidR="00871069" w:rsidRDefault="00871069" w:rsidP="00026B35">
            <w:pPr>
              <w:spacing w:after="120"/>
              <w:ind w:left="426"/>
              <w:rPr>
                <w:b/>
              </w:rPr>
            </w:pPr>
          </w:p>
        </w:tc>
        <w:tc>
          <w:tcPr>
            <w:tcW w:w="2977" w:type="dxa"/>
            <w:tcBorders>
              <w:right w:val="single" w:sz="4" w:space="0" w:color="auto"/>
            </w:tcBorders>
            <w:shd w:val="clear" w:color="auto" w:fill="auto"/>
          </w:tcPr>
          <w:p w:rsidR="00871069" w:rsidRDefault="001D504A" w:rsidP="00C263B2">
            <w:pPr>
              <w:spacing w:after="120"/>
              <w:rPr>
                <w:rFonts w:cs="Arial"/>
              </w:rPr>
            </w:pPr>
            <w:r w:rsidRPr="00026B35">
              <w:rPr>
                <w:rFonts w:cs="Arial"/>
                <w:u w:val="single"/>
              </w:rPr>
              <w:t>Agree in-principle</w:t>
            </w:r>
            <w:r>
              <w:rPr>
                <w:rFonts w:cs="Arial"/>
              </w:rPr>
              <w:t>.</w:t>
            </w:r>
          </w:p>
          <w:p w:rsidR="001D504A" w:rsidRPr="00F43CEC" w:rsidRDefault="00DE14A7" w:rsidP="00DE14A7">
            <w:pPr>
              <w:spacing w:after="120"/>
              <w:rPr>
                <w:rFonts w:cs="Arial"/>
              </w:rPr>
            </w:pPr>
            <w:r>
              <w:rPr>
                <w:rFonts w:cs="Arial"/>
              </w:rPr>
              <w:t>DFAT also recognises the</w:t>
            </w:r>
            <w:r w:rsidR="00B45195">
              <w:rPr>
                <w:rFonts w:cs="Arial"/>
              </w:rPr>
              <w:t xml:space="preserve"> importance </w:t>
            </w:r>
            <w:r>
              <w:rPr>
                <w:rFonts w:cs="Arial"/>
              </w:rPr>
              <w:t>of securing</w:t>
            </w:r>
            <w:r w:rsidR="00B45195">
              <w:rPr>
                <w:rFonts w:cs="Arial"/>
              </w:rPr>
              <w:t xml:space="preserve"> </w:t>
            </w:r>
            <w:r>
              <w:rPr>
                <w:rFonts w:cs="Arial"/>
              </w:rPr>
              <w:t>commitment</w:t>
            </w:r>
            <w:r w:rsidR="00B45195">
              <w:rPr>
                <w:rFonts w:cs="Arial"/>
              </w:rPr>
              <w:t xml:space="preserve"> from the Maputo Municipal Council and other key local stakeholders</w:t>
            </w:r>
            <w:r>
              <w:rPr>
                <w:rFonts w:cs="Arial"/>
              </w:rPr>
              <w:t xml:space="preserve"> in their r</w:t>
            </w:r>
            <w:r w:rsidR="00B45195">
              <w:rPr>
                <w:rFonts w:cs="Arial"/>
              </w:rPr>
              <w:t>ole to implement sector reforms</w:t>
            </w:r>
            <w:r>
              <w:rPr>
                <w:rFonts w:cs="Arial"/>
              </w:rPr>
              <w:t>. However, the report lacked advice and innovative ideas to assist WSUP in this challenging area.</w:t>
            </w:r>
            <w:r w:rsidR="00B45195">
              <w:rPr>
                <w:rFonts w:cs="Arial"/>
              </w:rPr>
              <w:t xml:space="preserve">   </w:t>
            </w:r>
          </w:p>
        </w:tc>
        <w:tc>
          <w:tcPr>
            <w:tcW w:w="2351" w:type="dxa"/>
            <w:tcBorders>
              <w:left w:val="single" w:sz="4" w:space="0" w:color="auto"/>
            </w:tcBorders>
            <w:shd w:val="clear" w:color="auto" w:fill="auto"/>
          </w:tcPr>
          <w:p w:rsidR="003D51BC" w:rsidRDefault="003D51BC" w:rsidP="003D51BC">
            <w:pPr>
              <w:spacing w:after="120"/>
              <w:rPr>
                <w:rFonts w:cs="Arial"/>
              </w:rPr>
            </w:pPr>
            <w:r>
              <w:rPr>
                <w:rFonts w:cs="Arial"/>
              </w:rPr>
              <w:t>WSUP has been made aware of this recommendation for future programming.</w:t>
            </w:r>
          </w:p>
          <w:p w:rsidR="00B45195" w:rsidRPr="00026B35" w:rsidRDefault="00B45195" w:rsidP="00632714">
            <w:pPr>
              <w:spacing w:after="120"/>
            </w:pPr>
          </w:p>
        </w:tc>
        <w:tc>
          <w:tcPr>
            <w:tcW w:w="1583" w:type="dxa"/>
            <w:tcBorders>
              <w:left w:val="single" w:sz="4" w:space="0" w:color="auto"/>
            </w:tcBorders>
            <w:shd w:val="clear" w:color="auto" w:fill="auto"/>
          </w:tcPr>
          <w:p w:rsidR="00871069" w:rsidRDefault="00B45195" w:rsidP="00632714">
            <w:pPr>
              <w:spacing w:after="120"/>
              <w:rPr>
                <w:rFonts w:cs="Arial"/>
              </w:rPr>
            </w:pPr>
            <w:r>
              <w:rPr>
                <w:rFonts w:cs="Arial"/>
              </w:rPr>
              <w:t>WSUP</w:t>
            </w:r>
          </w:p>
          <w:p w:rsidR="00D768C1" w:rsidRDefault="00D768C1" w:rsidP="00632714">
            <w:pPr>
              <w:spacing w:after="120"/>
              <w:rPr>
                <w:rFonts w:cs="Arial"/>
              </w:rPr>
            </w:pPr>
          </w:p>
          <w:p w:rsidR="00D768C1" w:rsidRDefault="00D768C1" w:rsidP="00632714">
            <w:pPr>
              <w:spacing w:after="120"/>
              <w:rPr>
                <w:rFonts w:cs="Arial"/>
              </w:rPr>
            </w:pPr>
          </w:p>
          <w:p w:rsidR="00D768C1" w:rsidRDefault="00D768C1" w:rsidP="00632714">
            <w:pPr>
              <w:spacing w:after="120"/>
              <w:rPr>
                <w:rFonts w:cs="Arial"/>
              </w:rPr>
            </w:pPr>
          </w:p>
          <w:p w:rsidR="00D768C1" w:rsidRDefault="00D768C1" w:rsidP="00632714">
            <w:pPr>
              <w:spacing w:after="120"/>
              <w:rPr>
                <w:rFonts w:cs="Arial"/>
              </w:rPr>
            </w:pPr>
          </w:p>
          <w:p w:rsidR="00D768C1" w:rsidRDefault="00D768C1" w:rsidP="00632714">
            <w:pPr>
              <w:spacing w:after="120"/>
              <w:rPr>
                <w:rFonts w:cs="Arial"/>
              </w:rPr>
            </w:pPr>
          </w:p>
          <w:p w:rsidR="00D768C1" w:rsidRDefault="00D768C1" w:rsidP="00632714">
            <w:pPr>
              <w:spacing w:after="120"/>
              <w:rPr>
                <w:rFonts w:cs="Arial"/>
              </w:rPr>
            </w:pPr>
          </w:p>
          <w:p w:rsidR="00D768C1" w:rsidRPr="00F43CEC" w:rsidRDefault="00D768C1" w:rsidP="00632714">
            <w:pPr>
              <w:spacing w:after="120"/>
              <w:rPr>
                <w:rFonts w:cs="Arial"/>
              </w:rPr>
            </w:pPr>
          </w:p>
        </w:tc>
      </w:tr>
      <w:tr w:rsidR="00871069" w:rsidRPr="00F43CEC" w:rsidTr="00324CB1">
        <w:trPr>
          <w:cantSplit/>
          <w:trHeight w:val="885"/>
        </w:trPr>
        <w:tc>
          <w:tcPr>
            <w:tcW w:w="2943" w:type="dxa"/>
            <w:shd w:val="clear" w:color="auto" w:fill="auto"/>
          </w:tcPr>
          <w:p w:rsidR="00361A48" w:rsidRPr="00026B35" w:rsidRDefault="00026B35" w:rsidP="00026B35">
            <w:pPr>
              <w:numPr>
                <w:ilvl w:val="0"/>
                <w:numId w:val="38"/>
              </w:numPr>
              <w:spacing w:after="120"/>
              <w:ind w:left="426" w:hanging="426"/>
              <w:rPr>
                <w:b/>
              </w:rPr>
            </w:pPr>
            <w:r w:rsidRPr="00026B35">
              <w:rPr>
                <w:b/>
              </w:rPr>
              <w:lastRenderedPageBreak/>
              <w:t xml:space="preserve">AusAID could productively seize the opportunity of the programme to help CRA establish a regulatory framework matching the conditions prevailing in other cities, by encouraging its partners in Mozambique to feed CRA with relevant data from outside Maputo. </w:t>
            </w:r>
          </w:p>
        </w:tc>
        <w:tc>
          <w:tcPr>
            <w:tcW w:w="2977" w:type="dxa"/>
            <w:tcBorders>
              <w:right w:val="single" w:sz="4" w:space="0" w:color="auto"/>
            </w:tcBorders>
            <w:shd w:val="clear" w:color="auto" w:fill="auto"/>
          </w:tcPr>
          <w:p w:rsidR="00871069" w:rsidRPr="00807D5F" w:rsidRDefault="001D504A" w:rsidP="00C263B2">
            <w:pPr>
              <w:spacing w:after="120"/>
              <w:rPr>
                <w:rFonts w:cs="Arial"/>
                <w:u w:val="single"/>
              </w:rPr>
            </w:pPr>
            <w:r w:rsidRPr="00807D5F">
              <w:rPr>
                <w:rFonts w:cs="Arial"/>
                <w:u w:val="single"/>
              </w:rPr>
              <w:t>Agree</w:t>
            </w:r>
            <w:r w:rsidR="00807D5F" w:rsidRPr="00807D5F">
              <w:rPr>
                <w:rFonts w:cs="Arial"/>
                <w:u w:val="single"/>
              </w:rPr>
              <w:t>-in-principle</w:t>
            </w:r>
          </w:p>
          <w:p w:rsidR="00090D20" w:rsidRDefault="00090D20" w:rsidP="00090D20">
            <w:pPr>
              <w:spacing w:after="120"/>
              <w:rPr>
                <w:rFonts w:cs="Arial"/>
              </w:rPr>
            </w:pPr>
            <w:r>
              <w:rPr>
                <w:rFonts w:cs="Arial"/>
              </w:rPr>
              <w:t>As part of</w:t>
            </w:r>
            <w:r w:rsidR="00807D5F">
              <w:rPr>
                <w:rFonts w:cs="Arial"/>
              </w:rPr>
              <w:t xml:space="preserve"> </w:t>
            </w:r>
            <w:r w:rsidR="00D038F1">
              <w:rPr>
                <w:rFonts w:cs="Arial"/>
              </w:rPr>
              <w:t xml:space="preserve">its engagement on water and sanitation in southern Africa, </w:t>
            </w:r>
            <w:r w:rsidR="00807D5F">
              <w:rPr>
                <w:rFonts w:cs="Arial"/>
              </w:rPr>
              <w:t>the aid program provided the opportunity for WASH partners in Mozambique</w:t>
            </w:r>
            <w:r w:rsidR="00D038F1">
              <w:rPr>
                <w:rFonts w:cs="Arial"/>
              </w:rPr>
              <w:t xml:space="preserve"> (and other partner countries)</w:t>
            </w:r>
            <w:r w:rsidR="00807D5F">
              <w:rPr>
                <w:rFonts w:cs="Arial"/>
              </w:rPr>
              <w:t xml:space="preserve"> to share information and learn from each other</w:t>
            </w:r>
            <w:r>
              <w:rPr>
                <w:rFonts w:cs="Arial"/>
              </w:rPr>
              <w:t xml:space="preserve">. </w:t>
            </w:r>
          </w:p>
          <w:p w:rsidR="00090D20" w:rsidRDefault="00090D20" w:rsidP="00090D20">
            <w:pPr>
              <w:spacing w:after="120"/>
              <w:rPr>
                <w:rFonts w:cs="Arial"/>
              </w:rPr>
            </w:pPr>
            <w:r>
              <w:rPr>
                <w:rFonts w:cs="Arial"/>
              </w:rPr>
              <w:t>DFAT recognises that implementing partners may have constraining factors to the sharing of data, including workload, legal issues and relevance.</w:t>
            </w:r>
          </w:p>
          <w:p w:rsidR="00090D20" w:rsidRPr="00F43CEC" w:rsidRDefault="00090D20" w:rsidP="00090D20">
            <w:pPr>
              <w:spacing w:after="120"/>
              <w:rPr>
                <w:rFonts w:cs="Arial"/>
              </w:rPr>
            </w:pPr>
            <w:r>
              <w:rPr>
                <w:rFonts w:cs="Arial"/>
              </w:rPr>
              <w:t xml:space="preserve">DFAT agrees that coordinated sharing of </w:t>
            </w:r>
            <w:r w:rsidRPr="00DE14A7">
              <w:rPr>
                <w:rFonts w:cs="Arial"/>
              </w:rPr>
              <w:t>relevant data</w:t>
            </w:r>
            <w:r>
              <w:rPr>
                <w:rFonts w:cs="Arial"/>
              </w:rPr>
              <w:t xml:space="preserve"> by all stakeholders is critical to give Government data which it can use to make more informed decisions. This is relevant not just for CRA, but all key sector stakeholders in the Government of Mozambique (GoM), including the asset manager, AIAS. </w:t>
            </w:r>
          </w:p>
        </w:tc>
        <w:tc>
          <w:tcPr>
            <w:tcW w:w="2351" w:type="dxa"/>
            <w:tcBorders>
              <w:left w:val="single" w:sz="4" w:space="0" w:color="auto"/>
            </w:tcBorders>
            <w:shd w:val="clear" w:color="auto" w:fill="auto"/>
          </w:tcPr>
          <w:p w:rsidR="00DE14A7" w:rsidRDefault="00DE14A7" w:rsidP="00807D5F">
            <w:pPr>
              <w:spacing w:after="120"/>
              <w:rPr>
                <w:rFonts w:cs="Arial"/>
              </w:rPr>
            </w:pPr>
            <w:r>
              <w:rPr>
                <w:rFonts w:cs="Arial"/>
              </w:rPr>
              <w:t>WSUP has been made aware of this recommendation for future programming.</w:t>
            </w:r>
          </w:p>
          <w:p w:rsidR="00871069" w:rsidRPr="00F43CEC" w:rsidRDefault="00DE14A7" w:rsidP="00807D5F">
            <w:pPr>
              <w:spacing w:after="120"/>
              <w:rPr>
                <w:rFonts w:cs="Arial"/>
              </w:rPr>
            </w:pPr>
            <w:r>
              <w:rPr>
                <w:rFonts w:cs="Arial"/>
              </w:rPr>
              <w:t>For the remainder of the program, DFAT will encourage existing implementing partners in Mozambique to more proactively share data either with the GoM directly and/or through donor coordination mechanisms, including the ‘Sanitation Platform’</w:t>
            </w:r>
          </w:p>
        </w:tc>
        <w:tc>
          <w:tcPr>
            <w:tcW w:w="1583" w:type="dxa"/>
            <w:tcBorders>
              <w:left w:val="single" w:sz="4" w:space="0" w:color="auto"/>
            </w:tcBorders>
            <w:shd w:val="clear" w:color="auto" w:fill="auto"/>
          </w:tcPr>
          <w:p w:rsidR="00871069" w:rsidRPr="00F43CEC" w:rsidRDefault="009D27AD" w:rsidP="00DE14A7">
            <w:pPr>
              <w:spacing w:after="120"/>
              <w:rPr>
                <w:rFonts w:cs="Arial"/>
              </w:rPr>
            </w:pPr>
            <w:r>
              <w:rPr>
                <w:rFonts w:cs="Arial"/>
              </w:rPr>
              <w:t>Pretoria Post</w:t>
            </w:r>
            <w:r w:rsidR="00DE14A7">
              <w:rPr>
                <w:rFonts w:cs="Arial"/>
              </w:rPr>
              <w:t>, WSUP and all WASH partners</w:t>
            </w:r>
          </w:p>
        </w:tc>
      </w:tr>
      <w:tr w:rsidR="00871069" w:rsidRPr="00F43CEC" w:rsidTr="00324CB1">
        <w:trPr>
          <w:cantSplit/>
          <w:trHeight w:val="4895"/>
        </w:trPr>
        <w:tc>
          <w:tcPr>
            <w:tcW w:w="2943" w:type="dxa"/>
            <w:shd w:val="clear" w:color="auto" w:fill="auto"/>
          </w:tcPr>
          <w:p w:rsidR="00026B35" w:rsidRPr="00026B35" w:rsidRDefault="00026B35" w:rsidP="00026B35">
            <w:pPr>
              <w:numPr>
                <w:ilvl w:val="0"/>
                <w:numId w:val="38"/>
              </w:numPr>
              <w:spacing w:after="120"/>
              <w:ind w:left="426" w:hanging="426"/>
              <w:rPr>
                <w:b/>
              </w:rPr>
            </w:pPr>
            <w:r w:rsidRPr="00026B35">
              <w:rPr>
                <w:b/>
              </w:rPr>
              <w:t>WSUP’s support to the regulator should include further study on price elasticity of demand for sanitation services, notably in relation to a sanitation tax. WSUP needs to foster and track access to latrines built under CLTS.</w:t>
            </w:r>
          </w:p>
          <w:p w:rsidR="00361A48" w:rsidRPr="00361A48" w:rsidRDefault="00361A48" w:rsidP="00B04569">
            <w:pPr>
              <w:spacing w:after="120"/>
              <w:ind w:left="426"/>
              <w:rPr>
                <w:b/>
              </w:rPr>
            </w:pPr>
          </w:p>
        </w:tc>
        <w:tc>
          <w:tcPr>
            <w:tcW w:w="2977" w:type="dxa"/>
            <w:tcBorders>
              <w:right w:val="single" w:sz="4" w:space="0" w:color="auto"/>
            </w:tcBorders>
            <w:shd w:val="clear" w:color="auto" w:fill="auto"/>
          </w:tcPr>
          <w:p w:rsidR="00871069" w:rsidRPr="00807D5F" w:rsidRDefault="00FD3A70" w:rsidP="00C263B2">
            <w:pPr>
              <w:spacing w:after="120"/>
              <w:rPr>
                <w:rFonts w:cs="Arial"/>
                <w:u w:val="single"/>
              </w:rPr>
            </w:pPr>
            <w:r w:rsidRPr="00807D5F">
              <w:rPr>
                <w:rFonts w:cs="Arial"/>
                <w:u w:val="single"/>
              </w:rPr>
              <w:t>Agree</w:t>
            </w:r>
            <w:r w:rsidR="00211A91" w:rsidRPr="00807D5F">
              <w:rPr>
                <w:rFonts w:cs="Arial"/>
                <w:u w:val="single"/>
              </w:rPr>
              <w:t>-</w:t>
            </w:r>
            <w:r w:rsidR="00DA5DFB" w:rsidRPr="00807D5F">
              <w:rPr>
                <w:rFonts w:cs="Arial"/>
                <w:u w:val="single"/>
              </w:rPr>
              <w:t>in-principle</w:t>
            </w:r>
            <w:r w:rsidRPr="00807D5F">
              <w:rPr>
                <w:rFonts w:cs="Arial"/>
                <w:u w:val="single"/>
              </w:rPr>
              <w:t xml:space="preserve"> </w:t>
            </w:r>
          </w:p>
          <w:p w:rsidR="00FD3A70" w:rsidRDefault="00FD3A70" w:rsidP="00C263B2">
            <w:pPr>
              <w:spacing w:after="120"/>
              <w:rPr>
                <w:rFonts w:cs="Arial"/>
              </w:rPr>
            </w:pPr>
            <w:r>
              <w:rPr>
                <w:rFonts w:cs="Arial"/>
              </w:rPr>
              <w:t xml:space="preserve">AusAID supports </w:t>
            </w:r>
            <w:r w:rsidR="00DA5DFB">
              <w:rPr>
                <w:rFonts w:cs="Arial"/>
              </w:rPr>
              <w:t xml:space="preserve">WSUP’s approach to sanitation </w:t>
            </w:r>
            <w:r w:rsidR="00090D20">
              <w:rPr>
                <w:rFonts w:cs="Arial"/>
              </w:rPr>
              <w:t>which includes</w:t>
            </w:r>
            <w:r w:rsidR="00DA5DFB">
              <w:rPr>
                <w:rFonts w:cs="Arial"/>
              </w:rPr>
              <w:t xml:space="preserve"> the entire chain of sanitation activities. </w:t>
            </w:r>
          </w:p>
          <w:p w:rsidR="003A6C53" w:rsidRPr="00F43CEC" w:rsidRDefault="003A6C53" w:rsidP="003A6C53">
            <w:pPr>
              <w:spacing w:after="120"/>
              <w:rPr>
                <w:rFonts w:cs="Arial"/>
              </w:rPr>
            </w:pPr>
            <w:r w:rsidRPr="003A6C53">
              <w:rPr>
                <w:rFonts w:cs="Arial"/>
              </w:rPr>
              <w:t>DFAT</w:t>
            </w:r>
            <w:r w:rsidR="00DA5DFB" w:rsidRPr="003A6C53">
              <w:rPr>
                <w:rFonts w:cs="Arial"/>
              </w:rPr>
              <w:t xml:space="preserve"> is concerned about evaluation findings concerning the viability and sustainability of the program’s hygiene and sanitation models. For example, the pricing of the sanitation infrastructure component is heavily subsid</w:t>
            </w:r>
            <w:r w:rsidRPr="003A6C53">
              <w:rPr>
                <w:rFonts w:cs="Arial"/>
              </w:rPr>
              <w:t>is</w:t>
            </w:r>
            <w:r w:rsidR="00DA5DFB" w:rsidRPr="003A6C53">
              <w:rPr>
                <w:rFonts w:cs="Arial"/>
              </w:rPr>
              <w:t>ed. Tar</w:t>
            </w:r>
            <w:r>
              <w:rPr>
                <w:rFonts w:cs="Arial"/>
              </w:rPr>
              <w:t>get outcomes for CLTS were reduced as take up was less than expected, in part due to pricing</w:t>
            </w:r>
            <w:r w:rsidR="00DA5DFB" w:rsidRPr="003A6C53">
              <w:rPr>
                <w:rFonts w:cs="Arial"/>
              </w:rPr>
              <w:t>.</w:t>
            </w:r>
            <w:r w:rsidR="00DA5DFB">
              <w:rPr>
                <w:rFonts w:cs="Arial"/>
              </w:rPr>
              <w:t xml:space="preserve"> </w:t>
            </w:r>
          </w:p>
        </w:tc>
        <w:tc>
          <w:tcPr>
            <w:tcW w:w="2351" w:type="dxa"/>
            <w:tcBorders>
              <w:left w:val="single" w:sz="4" w:space="0" w:color="auto"/>
            </w:tcBorders>
            <w:shd w:val="clear" w:color="auto" w:fill="auto"/>
          </w:tcPr>
          <w:p w:rsidR="003D51BC" w:rsidRDefault="003D51BC" w:rsidP="003D51BC">
            <w:pPr>
              <w:spacing w:after="120"/>
              <w:rPr>
                <w:rFonts w:cs="Arial"/>
              </w:rPr>
            </w:pPr>
            <w:r>
              <w:rPr>
                <w:rFonts w:cs="Arial"/>
              </w:rPr>
              <w:t>WSUP has been made aware of this recommendation for future programming.</w:t>
            </w:r>
          </w:p>
          <w:p w:rsidR="003A6C53" w:rsidRDefault="003A6C53" w:rsidP="003A6C53">
            <w:pPr>
              <w:spacing w:after="120"/>
              <w:rPr>
                <w:rFonts w:cs="Arial"/>
              </w:rPr>
            </w:pPr>
            <w:r>
              <w:rPr>
                <w:rFonts w:cs="Arial"/>
              </w:rPr>
              <w:t xml:space="preserve">  </w:t>
            </w:r>
          </w:p>
          <w:p w:rsidR="00871069" w:rsidRPr="00F43CEC" w:rsidRDefault="00871069" w:rsidP="00DE14A7">
            <w:pPr>
              <w:spacing w:after="120"/>
              <w:rPr>
                <w:rFonts w:cs="Arial"/>
              </w:rPr>
            </w:pPr>
          </w:p>
        </w:tc>
        <w:tc>
          <w:tcPr>
            <w:tcW w:w="1583" w:type="dxa"/>
            <w:tcBorders>
              <w:left w:val="single" w:sz="4" w:space="0" w:color="auto"/>
            </w:tcBorders>
            <w:shd w:val="clear" w:color="auto" w:fill="auto"/>
          </w:tcPr>
          <w:p w:rsidR="00871069" w:rsidRPr="00F43CEC" w:rsidRDefault="00DE14A7" w:rsidP="00632714">
            <w:pPr>
              <w:spacing w:after="120"/>
              <w:rPr>
                <w:rFonts w:cs="Arial"/>
              </w:rPr>
            </w:pPr>
            <w:r>
              <w:rPr>
                <w:rFonts w:cs="Arial"/>
              </w:rPr>
              <w:t>WSUP</w:t>
            </w:r>
          </w:p>
        </w:tc>
      </w:tr>
      <w:tr w:rsidR="00871069" w:rsidRPr="00F43CEC" w:rsidTr="00324CB1">
        <w:trPr>
          <w:cantSplit/>
          <w:trHeight w:val="885"/>
        </w:trPr>
        <w:tc>
          <w:tcPr>
            <w:tcW w:w="2943" w:type="dxa"/>
            <w:shd w:val="clear" w:color="auto" w:fill="auto"/>
          </w:tcPr>
          <w:p w:rsidR="00361A48" w:rsidRPr="001005B5" w:rsidRDefault="00026B35" w:rsidP="00913F20">
            <w:pPr>
              <w:numPr>
                <w:ilvl w:val="0"/>
                <w:numId w:val="38"/>
              </w:numPr>
              <w:spacing w:after="120"/>
              <w:ind w:left="426" w:hanging="426"/>
              <w:rPr>
                <w:b/>
              </w:rPr>
            </w:pPr>
            <w:r w:rsidRPr="00026B35">
              <w:rPr>
                <w:b/>
              </w:rPr>
              <w:lastRenderedPageBreak/>
              <w:t>The M&amp;E framework needs to include processes that allow for a better assessment of behaviour change and reveal the extent to which the participation of women and PWD leverages greater socioeconomic status and improves develop</w:t>
            </w:r>
            <w:r>
              <w:rPr>
                <w:b/>
              </w:rPr>
              <w:t>-</w:t>
            </w:r>
            <w:r w:rsidRPr="00026B35">
              <w:rPr>
                <w:b/>
              </w:rPr>
              <w:t>ment outcomes. Ensure that staff has the capacity required to collect and generate more and better data on outcomes around the empowerment of women and PWD.</w:t>
            </w:r>
          </w:p>
        </w:tc>
        <w:tc>
          <w:tcPr>
            <w:tcW w:w="2977" w:type="dxa"/>
            <w:tcBorders>
              <w:right w:val="single" w:sz="4" w:space="0" w:color="auto"/>
            </w:tcBorders>
            <w:shd w:val="clear" w:color="auto" w:fill="auto"/>
          </w:tcPr>
          <w:p w:rsidR="001005B5" w:rsidRPr="001005B5" w:rsidRDefault="001005B5" w:rsidP="003A6C53">
            <w:pPr>
              <w:spacing w:after="120"/>
              <w:rPr>
                <w:rFonts w:cs="Arial"/>
                <w:u w:val="single"/>
              </w:rPr>
            </w:pPr>
            <w:r w:rsidRPr="001005B5">
              <w:rPr>
                <w:rFonts w:cs="Arial"/>
                <w:u w:val="single"/>
              </w:rPr>
              <w:t>Agree-in-principle</w:t>
            </w:r>
          </w:p>
          <w:p w:rsidR="003A6C53" w:rsidRDefault="001005B5" w:rsidP="003A6C53">
            <w:pPr>
              <w:spacing w:after="120"/>
              <w:rPr>
                <w:rFonts w:cs="Arial"/>
              </w:rPr>
            </w:pPr>
            <w:r>
              <w:rPr>
                <w:rFonts w:cs="Arial"/>
              </w:rPr>
              <w:t>DFAT</w:t>
            </w:r>
            <w:r w:rsidR="003A6C53">
              <w:rPr>
                <w:rFonts w:cs="Arial"/>
              </w:rPr>
              <w:t xml:space="preserve"> felt that the report findings did not sufficiently support this recommendation</w:t>
            </w:r>
            <w:r>
              <w:rPr>
                <w:rFonts w:cs="Arial"/>
              </w:rPr>
              <w:t xml:space="preserve"> although </w:t>
            </w:r>
            <w:r w:rsidR="00D038F1">
              <w:rPr>
                <w:rFonts w:cs="Arial"/>
              </w:rPr>
              <w:t xml:space="preserve">the report </w:t>
            </w:r>
            <w:r>
              <w:rPr>
                <w:rFonts w:cs="Arial"/>
              </w:rPr>
              <w:t>did endorse WSUP’s inclusive approaches</w:t>
            </w:r>
            <w:r w:rsidR="003A6C53">
              <w:rPr>
                <w:rFonts w:cs="Arial"/>
              </w:rPr>
              <w:t xml:space="preserve">.   </w:t>
            </w:r>
          </w:p>
          <w:p w:rsidR="003A6C53" w:rsidRDefault="00BE6EA9" w:rsidP="003A6C53">
            <w:pPr>
              <w:spacing w:after="120"/>
              <w:rPr>
                <w:rFonts w:cs="Arial"/>
              </w:rPr>
            </w:pPr>
            <w:r>
              <w:rPr>
                <w:rFonts w:cs="Arial"/>
              </w:rPr>
              <w:t xml:space="preserve">Measuring behaviour change as a result of inclusive activities and advocacy is a common challenge for many programs that is rarely addressed well. DFAT would support WSUP focusing at this level in moving beyond </w:t>
            </w:r>
            <w:r w:rsidR="003A6C53">
              <w:rPr>
                <w:rFonts w:cs="Arial"/>
              </w:rPr>
              <w:t>advocacy messag</w:t>
            </w:r>
            <w:r>
              <w:rPr>
                <w:rFonts w:cs="Arial"/>
              </w:rPr>
              <w:t>ing</w:t>
            </w:r>
            <w:r w:rsidR="003A6C53">
              <w:rPr>
                <w:rFonts w:cs="Arial"/>
              </w:rPr>
              <w:t xml:space="preserve">.  </w:t>
            </w:r>
          </w:p>
          <w:p w:rsidR="00871069" w:rsidRPr="001005B5" w:rsidRDefault="00090D20" w:rsidP="001005B5">
            <w:pPr>
              <w:spacing w:after="120"/>
              <w:rPr>
                <w:rFonts w:cs="Arial"/>
              </w:rPr>
            </w:pPr>
            <w:r>
              <w:rPr>
                <w:rFonts w:cs="Arial"/>
              </w:rPr>
              <w:t xml:space="preserve">Monitoring and Evaluation (M&amp;E) are an essential part of tracking program performance and impact and should be strengthened where possible and resourced appropriately. </w:t>
            </w:r>
          </w:p>
        </w:tc>
        <w:tc>
          <w:tcPr>
            <w:tcW w:w="2351" w:type="dxa"/>
            <w:tcBorders>
              <w:left w:val="single" w:sz="4" w:space="0" w:color="auto"/>
            </w:tcBorders>
            <w:shd w:val="clear" w:color="auto" w:fill="auto"/>
          </w:tcPr>
          <w:p w:rsidR="00BE6EA9" w:rsidRDefault="00BE6EA9" w:rsidP="00BE6EA9">
            <w:pPr>
              <w:spacing w:after="120"/>
              <w:rPr>
                <w:rFonts w:cs="Arial"/>
              </w:rPr>
            </w:pPr>
            <w:r>
              <w:rPr>
                <w:rFonts w:cs="Arial"/>
              </w:rPr>
              <w:t>WSUP has been made aware of this recommendation for future programming.</w:t>
            </w:r>
          </w:p>
          <w:p w:rsidR="00871069" w:rsidRPr="00F43CEC" w:rsidRDefault="00871069" w:rsidP="00632714">
            <w:pPr>
              <w:spacing w:after="120"/>
              <w:rPr>
                <w:rFonts w:cs="Arial"/>
              </w:rPr>
            </w:pPr>
          </w:p>
        </w:tc>
        <w:tc>
          <w:tcPr>
            <w:tcW w:w="1583" w:type="dxa"/>
            <w:tcBorders>
              <w:left w:val="single" w:sz="4" w:space="0" w:color="auto"/>
            </w:tcBorders>
            <w:shd w:val="clear" w:color="auto" w:fill="auto"/>
          </w:tcPr>
          <w:p w:rsidR="00871069" w:rsidRPr="00F43CEC" w:rsidRDefault="00BE6EA9" w:rsidP="00632714">
            <w:pPr>
              <w:spacing w:after="120"/>
              <w:rPr>
                <w:rFonts w:cs="Arial"/>
              </w:rPr>
            </w:pPr>
            <w:r>
              <w:rPr>
                <w:rFonts w:cs="Arial"/>
              </w:rPr>
              <w:t>WSUP and partners</w:t>
            </w:r>
          </w:p>
        </w:tc>
      </w:tr>
      <w:tr w:rsidR="00871069" w:rsidRPr="00F43CEC" w:rsidTr="00324CB1">
        <w:trPr>
          <w:cantSplit/>
          <w:trHeight w:val="885"/>
        </w:trPr>
        <w:tc>
          <w:tcPr>
            <w:tcW w:w="2943" w:type="dxa"/>
            <w:shd w:val="clear" w:color="auto" w:fill="auto"/>
          </w:tcPr>
          <w:p w:rsidR="00361A48" w:rsidRPr="00026B35" w:rsidRDefault="00026B35" w:rsidP="00913F20">
            <w:pPr>
              <w:numPr>
                <w:ilvl w:val="0"/>
                <w:numId w:val="38"/>
              </w:numPr>
              <w:spacing w:after="120"/>
              <w:ind w:left="426" w:hanging="426"/>
              <w:rPr>
                <w:b/>
              </w:rPr>
            </w:pPr>
            <w:r w:rsidRPr="00026B35">
              <w:rPr>
                <w:b/>
              </w:rPr>
              <w:t>WSUP needs to share more explicitly in reports the specific advocacy objectives targeted by the programme through its activities and the progress made against these. Likewise, the capacity development assessments tracking organisational change and institutionalisation need to be integrated in annual and bi-annual reports.</w:t>
            </w:r>
          </w:p>
        </w:tc>
        <w:tc>
          <w:tcPr>
            <w:tcW w:w="2977" w:type="dxa"/>
            <w:tcBorders>
              <w:right w:val="single" w:sz="4" w:space="0" w:color="auto"/>
            </w:tcBorders>
            <w:shd w:val="clear" w:color="auto" w:fill="auto"/>
          </w:tcPr>
          <w:p w:rsidR="00871069" w:rsidRPr="003D51BC" w:rsidRDefault="00772D82" w:rsidP="00C263B2">
            <w:pPr>
              <w:spacing w:after="120"/>
              <w:rPr>
                <w:rFonts w:cs="Arial"/>
                <w:u w:val="single"/>
              </w:rPr>
            </w:pPr>
            <w:r w:rsidRPr="003D51BC">
              <w:rPr>
                <w:rFonts w:cs="Arial"/>
                <w:u w:val="single"/>
              </w:rPr>
              <w:t>Agree in-principle</w:t>
            </w:r>
            <w:r w:rsidR="007D2FB2" w:rsidRPr="003D51BC">
              <w:rPr>
                <w:rFonts w:cs="Arial"/>
                <w:u w:val="single"/>
              </w:rPr>
              <w:t>.</w:t>
            </w:r>
          </w:p>
          <w:p w:rsidR="003A6C53" w:rsidRDefault="001005B5" w:rsidP="003A6C53">
            <w:pPr>
              <w:spacing w:after="120"/>
              <w:rPr>
                <w:rFonts w:cs="Arial"/>
              </w:rPr>
            </w:pPr>
            <w:r>
              <w:rPr>
                <w:rFonts w:cs="Arial"/>
              </w:rPr>
              <w:t>Reporting needs to reflect the priority areas of the program in demonstrating progress made against them. WSUP has been innovative in its approach to capacity development and this information should be promoted in all its reporting.</w:t>
            </w:r>
          </w:p>
          <w:p w:rsidR="007B2107" w:rsidRPr="00F43CEC" w:rsidRDefault="007B2107" w:rsidP="003A6C53">
            <w:pPr>
              <w:spacing w:after="120"/>
              <w:rPr>
                <w:rFonts w:cs="Arial"/>
              </w:rPr>
            </w:pPr>
          </w:p>
        </w:tc>
        <w:tc>
          <w:tcPr>
            <w:tcW w:w="2351" w:type="dxa"/>
            <w:tcBorders>
              <w:left w:val="single" w:sz="4" w:space="0" w:color="auto"/>
            </w:tcBorders>
            <w:shd w:val="clear" w:color="auto" w:fill="auto"/>
          </w:tcPr>
          <w:p w:rsidR="003D51BC" w:rsidRDefault="003D51BC" w:rsidP="003D51BC">
            <w:pPr>
              <w:spacing w:after="120"/>
              <w:rPr>
                <w:rFonts w:cs="Arial"/>
              </w:rPr>
            </w:pPr>
            <w:r>
              <w:rPr>
                <w:rFonts w:cs="Arial"/>
              </w:rPr>
              <w:t>WSUP has been made aware of this recommendation for future programming.</w:t>
            </w:r>
          </w:p>
          <w:p w:rsidR="00871069" w:rsidRPr="00F43CEC" w:rsidRDefault="00871069" w:rsidP="007B2107">
            <w:pPr>
              <w:rPr>
                <w:rFonts w:cs="Arial"/>
              </w:rPr>
            </w:pPr>
          </w:p>
        </w:tc>
        <w:tc>
          <w:tcPr>
            <w:tcW w:w="1583" w:type="dxa"/>
            <w:tcBorders>
              <w:left w:val="single" w:sz="4" w:space="0" w:color="auto"/>
            </w:tcBorders>
            <w:shd w:val="clear" w:color="auto" w:fill="auto"/>
          </w:tcPr>
          <w:p w:rsidR="00871069" w:rsidRPr="00F43CEC" w:rsidRDefault="001005B5" w:rsidP="00632714">
            <w:pPr>
              <w:spacing w:after="120"/>
              <w:rPr>
                <w:rFonts w:cs="Arial"/>
              </w:rPr>
            </w:pPr>
            <w:r>
              <w:rPr>
                <w:rFonts w:cs="Arial"/>
              </w:rPr>
              <w:t>WSUP</w:t>
            </w:r>
          </w:p>
        </w:tc>
      </w:tr>
    </w:tbl>
    <w:p w:rsidR="00913F5E" w:rsidRPr="00913F5E" w:rsidRDefault="001E3D24" w:rsidP="00026B35">
      <w:pPr>
        <w:pStyle w:val="ListParagraph"/>
        <w:ind w:left="0"/>
      </w:pPr>
      <w:r>
        <w:t xml:space="preserve"> </w:t>
      </w: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27" w:rsidRDefault="00494C27">
      <w:pPr>
        <w:pStyle w:val="Table-list-number"/>
      </w:pPr>
      <w:r>
        <w:separator/>
      </w:r>
    </w:p>
  </w:endnote>
  <w:endnote w:type="continuationSeparator" w:id="0">
    <w:p w:rsidR="00494C27" w:rsidRDefault="00494C27">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80" w:rsidRDefault="00005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51" w:rsidRPr="00AE52D5" w:rsidRDefault="00081651" w:rsidP="00AE52D5">
    <w:pPr>
      <w:pStyle w:val="Footer"/>
      <w:pBdr>
        <w:top w:val="single" w:sz="4" w:space="7" w:color="333333"/>
      </w:pBdr>
      <w:tabs>
        <w:tab w:val="clear" w:pos="4153"/>
        <w:tab w:val="clear" w:pos="8306"/>
        <w:tab w:val="right" w:pos="9639"/>
      </w:tabs>
      <w:rPr>
        <w:rStyle w:val="PageNumber"/>
      </w:rPr>
    </w:pPr>
    <w:r w:rsidRPr="00AE52D5">
      <w:tab/>
      <w:t xml:space="preserve">page </w:t>
    </w:r>
    <w:r w:rsidR="00B27EC8" w:rsidRPr="00AE52D5">
      <w:rPr>
        <w:rStyle w:val="PageNumber"/>
      </w:rPr>
      <w:fldChar w:fldCharType="begin"/>
    </w:r>
    <w:r w:rsidRPr="00AE52D5">
      <w:rPr>
        <w:rStyle w:val="PageNumber"/>
      </w:rPr>
      <w:instrText xml:space="preserve"> PAGE </w:instrText>
    </w:r>
    <w:r w:rsidR="00B27EC8" w:rsidRPr="00AE52D5">
      <w:rPr>
        <w:rStyle w:val="PageNumber"/>
      </w:rPr>
      <w:fldChar w:fldCharType="separate"/>
    </w:r>
    <w:r w:rsidR="00042F3A">
      <w:rPr>
        <w:rStyle w:val="PageNumber"/>
        <w:noProof/>
      </w:rPr>
      <w:t>1</w:t>
    </w:r>
    <w:r w:rsidR="00B27EC8" w:rsidRPr="00AE52D5">
      <w:rPr>
        <w:rStyle w:val="PageNumber"/>
      </w:rPr>
      <w:fldChar w:fldCharType="end"/>
    </w:r>
    <w:r w:rsidRPr="00AE52D5">
      <w:rPr>
        <w:rStyle w:val="PageNumber"/>
      </w:rPr>
      <w:t xml:space="preserve"> of </w:t>
    </w:r>
    <w:r w:rsidR="00B27EC8" w:rsidRPr="00AE52D5">
      <w:rPr>
        <w:rStyle w:val="PageNumber"/>
      </w:rPr>
      <w:fldChar w:fldCharType="begin"/>
    </w:r>
    <w:r w:rsidRPr="00AE52D5">
      <w:rPr>
        <w:rStyle w:val="PageNumber"/>
      </w:rPr>
      <w:instrText xml:space="preserve"> NUMPAGES </w:instrText>
    </w:r>
    <w:r w:rsidR="00B27EC8" w:rsidRPr="00AE52D5">
      <w:rPr>
        <w:rStyle w:val="PageNumber"/>
      </w:rPr>
      <w:fldChar w:fldCharType="separate"/>
    </w:r>
    <w:r w:rsidR="00042F3A">
      <w:rPr>
        <w:rStyle w:val="PageNumber"/>
        <w:noProof/>
      </w:rPr>
      <w:t>5</w:t>
    </w:r>
    <w:r w:rsidR="00B27EC8" w:rsidRPr="00AE52D5">
      <w:rPr>
        <w:rStyle w:val="PageNumber"/>
      </w:rPr>
      <w:fldChar w:fldCharType="end"/>
    </w:r>
  </w:p>
  <w:p w:rsidR="00081651" w:rsidRPr="00AE52D5" w:rsidRDefault="00081651" w:rsidP="00005880">
    <w:pPr>
      <w:pStyle w:val="Footer"/>
      <w:pBdr>
        <w:top w:val="single" w:sz="4" w:space="7" w:color="333333"/>
      </w:pBdr>
      <w:tabs>
        <w:tab w:val="clear" w:pos="4153"/>
        <w:tab w:val="clear" w:pos="8306"/>
        <w:tab w:val="right" w:pos="9639"/>
      </w:tabs>
      <w:jc w:val="center"/>
    </w:pPr>
    <w:r w:rsidRPr="00AE52D5">
      <w:rPr>
        <w:rStyle w:val="PageNumber"/>
      </w:rPr>
      <w:t>UNCLASSIFIED</w:t>
    </w:r>
  </w:p>
  <w:p w:rsidR="00081651" w:rsidRPr="000815FC" w:rsidRDefault="00081651"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80" w:rsidRDefault="00005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27" w:rsidRDefault="00494C27">
      <w:pPr>
        <w:pStyle w:val="Table-list-number"/>
      </w:pPr>
      <w:r>
        <w:separator/>
      </w:r>
    </w:p>
  </w:footnote>
  <w:footnote w:type="continuationSeparator" w:id="0">
    <w:p w:rsidR="00494C27" w:rsidRDefault="00494C27">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80" w:rsidRDefault="00005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51" w:rsidRPr="00077243" w:rsidRDefault="00081651"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80" w:rsidRDefault="0000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AC9"/>
    <w:multiLevelType w:val="hybridMultilevel"/>
    <w:tmpl w:val="11ECD934"/>
    <w:lvl w:ilvl="0" w:tplc="C4882D00">
      <w:start w:val="1"/>
      <w:numFmt w:val="bullet"/>
      <w:lvlText w:val=""/>
      <w:lvlJc w:val="left"/>
      <w:pPr>
        <w:ind w:left="-351" w:hanging="360"/>
      </w:pPr>
      <w:rPr>
        <w:rFonts w:ascii="Symbol" w:hAnsi="Symbol" w:hint="default"/>
        <w:sz w:val="12"/>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3BA4B57"/>
    <w:multiLevelType w:val="hybridMultilevel"/>
    <w:tmpl w:val="F94457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4411543"/>
    <w:multiLevelType w:val="hybridMultilevel"/>
    <w:tmpl w:val="C7A48D36"/>
    <w:lvl w:ilvl="0" w:tplc="DD521FAE">
      <w:start w:val="2"/>
      <w:numFmt w:val="bullet"/>
      <w:lvlText w:val=""/>
      <w:lvlJc w:val="left"/>
      <w:pPr>
        <w:ind w:left="720" w:hanging="360"/>
      </w:pPr>
      <w:rPr>
        <w:rFonts w:ascii="Wingdings 3" w:eastAsia="Calibri" w:hAnsi="Wingdings 3"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1B3406"/>
    <w:multiLevelType w:val="hybridMultilevel"/>
    <w:tmpl w:val="4712E51A"/>
    <w:lvl w:ilvl="0" w:tplc="AF3059DA">
      <w:start w:val="1"/>
      <w:numFmt w:val="decimal"/>
      <w:lvlText w:val="%1."/>
      <w:lvlJc w:val="left"/>
      <w:pPr>
        <w:ind w:left="2771"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0914B8"/>
    <w:multiLevelType w:val="hybridMultilevel"/>
    <w:tmpl w:val="1E004E56"/>
    <w:lvl w:ilvl="0" w:tplc="29564784">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10"/>
  </w:num>
  <w:num w:numId="3">
    <w:abstractNumId w:val="18"/>
  </w:num>
  <w:num w:numId="4">
    <w:abstractNumId w:val="14"/>
  </w:num>
  <w:num w:numId="5">
    <w:abstractNumId w:val="31"/>
  </w:num>
  <w:num w:numId="6">
    <w:abstractNumId w:val="32"/>
  </w:num>
  <w:num w:numId="7">
    <w:abstractNumId w:val="2"/>
  </w:num>
  <w:num w:numId="8">
    <w:abstractNumId w:val="27"/>
  </w:num>
  <w:num w:numId="9">
    <w:abstractNumId w:val="4"/>
  </w:num>
  <w:num w:numId="10">
    <w:abstractNumId w:val="31"/>
  </w:num>
  <w:num w:numId="11">
    <w:abstractNumId w:val="31"/>
  </w:num>
  <w:num w:numId="12">
    <w:abstractNumId w:val="10"/>
  </w:num>
  <w:num w:numId="13">
    <w:abstractNumId w:val="18"/>
  </w:num>
  <w:num w:numId="14">
    <w:abstractNumId w:val="14"/>
  </w:num>
  <w:num w:numId="15">
    <w:abstractNumId w:val="14"/>
  </w:num>
  <w:num w:numId="16">
    <w:abstractNumId w:val="31"/>
  </w:num>
  <w:num w:numId="17">
    <w:abstractNumId w:val="32"/>
  </w:num>
  <w:num w:numId="18">
    <w:abstractNumId w:val="2"/>
  </w:num>
  <w:num w:numId="19">
    <w:abstractNumId w:val="3"/>
  </w:num>
  <w:num w:numId="20">
    <w:abstractNumId w:val="15"/>
  </w:num>
  <w:num w:numId="21">
    <w:abstractNumId w:val="30"/>
  </w:num>
  <w:num w:numId="22">
    <w:abstractNumId w:val="11"/>
  </w:num>
  <w:num w:numId="23">
    <w:abstractNumId w:val="1"/>
  </w:num>
  <w:num w:numId="24">
    <w:abstractNumId w:val="9"/>
  </w:num>
  <w:num w:numId="25">
    <w:abstractNumId w:val="25"/>
  </w:num>
  <w:num w:numId="26">
    <w:abstractNumId w:val="17"/>
  </w:num>
  <w:num w:numId="27">
    <w:abstractNumId w:val="12"/>
  </w:num>
  <w:num w:numId="28">
    <w:abstractNumId w:val="24"/>
  </w:num>
  <w:num w:numId="29">
    <w:abstractNumId w:val="20"/>
  </w:num>
  <w:num w:numId="30">
    <w:abstractNumId w:val="29"/>
  </w:num>
  <w:num w:numId="31">
    <w:abstractNumId w:val="26"/>
  </w:num>
  <w:num w:numId="32">
    <w:abstractNumId w:val="13"/>
  </w:num>
  <w:num w:numId="33">
    <w:abstractNumId w:val="21"/>
  </w:num>
  <w:num w:numId="34">
    <w:abstractNumId w:val="19"/>
  </w:num>
  <w:num w:numId="35">
    <w:abstractNumId w:val="16"/>
  </w:num>
  <w:num w:numId="36">
    <w:abstractNumId w:val="5"/>
  </w:num>
  <w:num w:numId="37">
    <w:abstractNumId w:val="34"/>
  </w:num>
  <w:num w:numId="38">
    <w:abstractNumId w:val="28"/>
  </w:num>
  <w:num w:numId="39">
    <w:abstractNumId w:val="6"/>
  </w:num>
  <w:num w:numId="40">
    <w:abstractNumId w:val="7"/>
  </w:num>
  <w:num w:numId="41">
    <w:abstractNumId w:val="8"/>
  </w:num>
  <w:num w:numId="42">
    <w:abstractNumId w:val="35"/>
  </w:num>
  <w:num w:numId="43">
    <w:abstractNumId w:val="22"/>
  </w:num>
  <w:num w:numId="44">
    <w:abstractNumId w:val="0"/>
  </w:num>
  <w:num w:numId="4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5880"/>
    <w:rsid w:val="00012070"/>
    <w:rsid w:val="00012E96"/>
    <w:rsid w:val="000135D5"/>
    <w:rsid w:val="00015371"/>
    <w:rsid w:val="000163BD"/>
    <w:rsid w:val="00026B35"/>
    <w:rsid w:val="000272E0"/>
    <w:rsid w:val="00031779"/>
    <w:rsid w:val="000412DD"/>
    <w:rsid w:val="00042F3A"/>
    <w:rsid w:val="00052316"/>
    <w:rsid w:val="00054700"/>
    <w:rsid w:val="00054F06"/>
    <w:rsid w:val="00067C95"/>
    <w:rsid w:val="0007162A"/>
    <w:rsid w:val="00071CEC"/>
    <w:rsid w:val="000728D3"/>
    <w:rsid w:val="000733A7"/>
    <w:rsid w:val="000765F5"/>
    <w:rsid w:val="00077243"/>
    <w:rsid w:val="000815FC"/>
    <w:rsid w:val="00081651"/>
    <w:rsid w:val="000869CE"/>
    <w:rsid w:val="00090D20"/>
    <w:rsid w:val="00094CE2"/>
    <w:rsid w:val="000A77DB"/>
    <w:rsid w:val="000B520A"/>
    <w:rsid w:val="000B7AFD"/>
    <w:rsid w:val="000C4574"/>
    <w:rsid w:val="000D316D"/>
    <w:rsid w:val="000D38AE"/>
    <w:rsid w:val="000E1475"/>
    <w:rsid w:val="000E1958"/>
    <w:rsid w:val="000F17A7"/>
    <w:rsid w:val="000F51D5"/>
    <w:rsid w:val="000F5FF5"/>
    <w:rsid w:val="0010006D"/>
    <w:rsid w:val="001005B5"/>
    <w:rsid w:val="00102362"/>
    <w:rsid w:val="00104963"/>
    <w:rsid w:val="001077BF"/>
    <w:rsid w:val="00112478"/>
    <w:rsid w:val="00113C84"/>
    <w:rsid w:val="00116D39"/>
    <w:rsid w:val="00121F43"/>
    <w:rsid w:val="001236CF"/>
    <w:rsid w:val="00123C3E"/>
    <w:rsid w:val="0012582F"/>
    <w:rsid w:val="00130716"/>
    <w:rsid w:val="00134B6C"/>
    <w:rsid w:val="001378B7"/>
    <w:rsid w:val="00140289"/>
    <w:rsid w:val="00144AF1"/>
    <w:rsid w:val="001461C8"/>
    <w:rsid w:val="001467C6"/>
    <w:rsid w:val="00151891"/>
    <w:rsid w:val="00153F2A"/>
    <w:rsid w:val="001614B0"/>
    <w:rsid w:val="001638BB"/>
    <w:rsid w:val="0016457C"/>
    <w:rsid w:val="00173632"/>
    <w:rsid w:val="00175FFC"/>
    <w:rsid w:val="00177AC0"/>
    <w:rsid w:val="00184728"/>
    <w:rsid w:val="001874BC"/>
    <w:rsid w:val="001917F6"/>
    <w:rsid w:val="001B1EE4"/>
    <w:rsid w:val="001B5DEE"/>
    <w:rsid w:val="001D504A"/>
    <w:rsid w:val="001D7353"/>
    <w:rsid w:val="001E3D24"/>
    <w:rsid w:val="001E4372"/>
    <w:rsid w:val="001E4FCC"/>
    <w:rsid w:val="001F548E"/>
    <w:rsid w:val="00201759"/>
    <w:rsid w:val="00206132"/>
    <w:rsid w:val="00206A5D"/>
    <w:rsid w:val="00211A91"/>
    <w:rsid w:val="00214F7F"/>
    <w:rsid w:val="00221D53"/>
    <w:rsid w:val="00223581"/>
    <w:rsid w:val="00232239"/>
    <w:rsid w:val="002425E0"/>
    <w:rsid w:val="00245265"/>
    <w:rsid w:val="00250414"/>
    <w:rsid w:val="00250CB9"/>
    <w:rsid w:val="002524DA"/>
    <w:rsid w:val="002546B7"/>
    <w:rsid w:val="00255DF0"/>
    <w:rsid w:val="00264366"/>
    <w:rsid w:val="00276F45"/>
    <w:rsid w:val="002824B7"/>
    <w:rsid w:val="002839B9"/>
    <w:rsid w:val="0029717D"/>
    <w:rsid w:val="002B2279"/>
    <w:rsid w:val="002B2BA6"/>
    <w:rsid w:val="002B5216"/>
    <w:rsid w:val="002C46D7"/>
    <w:rsid w:val="002D1173"/>
    <w:rsid w:val="002D151B"/>
    <w:rsid w:val="002D4C96"/>
    <w:rsid w:val="002E0EA2"/>
    <w:rsid w:val="002E673C"/>
    <w:rsid w:val="002E7065"/>
    <w:rsid w:val="002E7A09"/>
    <w:rsid w:val="002F001E"/>
    <w:rsid w:val="002F13CD"/>
    <w:rsid w:val="002F3803"/>
    <w:rsid w:val="0030264B"/>
    <w:rsid w:val="00310523"/>
    <w:rsid w:val="00310FA6"/>
    <w:rsid w:val="00324CB1"/>
    <w:rsid w:val="00326D2A"/>
    <w:rsid w:val="00334E51"/>
    <w:rsid w:val="00335D7B"/>
    <w:rsid w:val="00342870"/>
    <w:rsid w:val="00345F77"/>
    <w:rsid w:val="00350917"/>
    <w:rsid w:val="00352383"/>
    <w:rsid w:val="0035724B"/>
    <w:rsid w:val="00361A48"/>
    <w:rsid w:val="00367DA3"/>
    <w:rsid w:val="003719DB"/>
    <w:rsid w:val="00371B8D"/>
    <w:rsid w:val="00373EB2"/>
    <w:rsid w:val="0037535E"/>
    <w:rsid w:val="0039002F"/>
    <w:rsid w:val="00390A59"/>
    <w:rsid w:val="00394C72"/>
    <w:rsid w:val="00397F85"/>
    <w:rsid w:val="003A09AD"/>
    <w:rsid w:val="003A273C"/>
    <w:rsid w:val="003A36D5"/>
    <w:rsid w:val="003A4D26"/>
    <w:rsid w:val="003A6C53"/>
    <w:rsid w:val="003B518A"/>
    <w:rsid w:val="003C0A67"/>
    <w:rsid w:val="003C24EC"/>
    <w:rsid w:val="003C25ED"/>
    <w:rsid w:val="003D0C24"/>
    <w:rsid w:val="003D236A"/>
    <w:rsid w:val="003D4CAC"/>
    <w:rsid w:val="003D51B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499C"/>
    <w:rsid w:val="00406563"/>
    <w:rsid w:val="00406867"/>
    <w:rsid w:val="00406CD2"/>
    <w:rsid w:val="00411862"/>
    <w:rsid w:val="00415C6D"/>
    <w:rsid w:val="00416565"/>
    <w:rsid w:val="004221A5"/>
    <w:rsid w:val="00434134"/>
    <w:rsid w:val="00444D45"/>
    <w:rsid w:val="00454766"/>
    <w:rsid w:val="004555E2"/>
    <w:rsid w:val="00455F94"/>
    <w:rsid w:val="00456E9B"/>
    <w:rsid w:val="00461D80"/>
    <w:rsid w:val="00466CDA"/>
    <w:rsid w:val="004707CB"/>
    <w:rsid w:val="00473AA7"/>
    <w:rsid w:val="00476FDC"/>
    <w:rsid w:val="0047719C"/>
    <w:rsid w:val="00494C27"/>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672CB"/>
    <w:rsid w:val="00576EED"/>
    <w:rsid w:val="005829CA"/>
    <w:rsid w:val="00586B72"/>
    <w:rsid w:val="0059065C"/>
    <w:rsid w:val="005922C5"/>
    <w:rsid w:val="005928E6"/>
    <w:rsid w:val="00593DB7"/>
    <w:rsid w:val="0059519C"/>
    <w:rsid w:val="00596949"/>
    <w:rsid w:val="005A4455"/>
    <w:rsid w:val="005A47C3"/>
    <w:rsid w:val="005A6B4A"/>
    <w:rsid w:val="005A7156"/>
    <w:rsid w:val="005A7776"/>
    <w:rsid w:val="005D008B"/>
    <w:rsid w:val="005D3F4B"/>
    <w:rsid w:val="005E0F91"/>
    <w:rsid w:val="005E3939"/>
    <w:rsid w:val="006004F7"/>
    <w:rsid w:val="00611E1D"/>
    <w:rsid w:val="0061231E"/>
    <w:rsid w:val="00614E79"/>
    <w:rsid w:val="00614EC8"/>
    <w:rsid w:val="006153BC"/>
    <w:rsid w:val="00621211"/>
    <w:rsid w:val="006239DD"/>
    <w:rsid w:val="00630522"/>
    <w:rsid w:val="00632714"/>
    <w:rsid w:val="00636F15"/>
    <w:rsid w:val="00642F53"/>
    <w:rsid w:val="00650D31"/>
    <w:rsid w:val="00654BC0"/>
    <w:rsid w:val="00656E2F"/>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C7589"/>
    <w:rsid w:val="006D2194"/>
    <w:rsid w:val="006D31BA"/>
    <w:rsid w:val="006D7297"/>
    <w:rsid w:val="006E0843"/>
    <w:rsid w:val="006E08F6"/>
    <w:rsid w:val="007104C5"/>
    <w:rsid w:val="0072064D"/>
    <w:rsid w:val="007336DD"/>
    <w:rsid w:val="00743FDA"/>
    <w:rsid w:val="00744139"/>
    <w:rsid w:val="007478C2"/>
    <w:rsid w:val="00747B90"/>
    <w:rsid w:val="00755ECE"/>
    <w:rsid w:val="007617BD"/>
    <w:rsid w:val="00762F7B"/>
    <w:rsid w:val="00765931"/>
    <w:rsid w:val="00767EB4"/>
    <w:rsid w:val="007717B2"/>
    <w:rsid w:val="0077265D"/>
    <w:rsid w:val="00772D82"/>
    <w:rsid w:val="0077790F"/>
    <w:rsid w:val="007820D0"/>
    <w:rsid w:val="00783EFE"/>
    <w:rsid w:val="00783F58"/>
    <w:rsid w:val="007B042E"/>
    <w:rsid w:val="007B1F66"/>
    <w:rsid w:val="007B2107"/>
    <w:rsid w:val="007C0E48"/>
    <w:rsid w:val="007C5FAB"/>
    <w:rsid w:val="007D2631"/>
    <w:rsid w:val="007D2FB2"/>
    <w:rsid w:val="007E37A6"/>
    <w:rsid w:val="007E4E22"/>
    <w:rsid w:val="007E4FE8"/>
    <w:rsid w:val="007E60A1"/>
    <w:rsid w:val="007E694D"/>
    <w:rsid w:val="007F3EE5"/>
    <w:rsid w:val="00800650"/>
    <w:rsid w:val="00802A54"/>
    <w:rsid w:val="00804AEF"/>
    <w:rsid w:val="00804D49"/>
    <w:rsid w:val="00806888"/>
    <w:rsid w:val="00807D5F"/>
    <w:rsid w:val="00814D47"/>
    <w:rsid w:val="0081654C"/>
    <w:rsid w:val="00816584"/>
    <w:rsid w:val="00817570"/>
    <w:rsid w:val="00827619"/>
    <w:rsid w:val="00831FE2"/>
    <w:rsid w:val="00843412"/>
    <w:rsid w:val="00843D42"/>
    <w:rsid w:val="00845B17"/>
    <w:rsid w:val="00847FA2"/>
    <w:rsid w:val="00864A76"/>
    <w:rsid w:val="00871069"/>
    <w:rsid w:val="0087604D"/>
    <w:rsid w:val="00886689"/>
    <w:rsid w:val="00887304"/>
    <w:rsid w:val="00894472"/>
    <w:rsid w:val="008B3156"/>
    <w:rsid w:val="008B5A14"/>
    <w:rsid w:val="008B7666"/>
    <w:rsid w:val="008D105C"/>
    <w:rsid w:val="008D6B75"/>
    <w:rsid w:val="008D716B"/>
    <w:rsid w:val="008D7666"/>
    <w:rsid w:val="008E0C4C"/>
    <w:rsid w:val="008F36C7"/>
    <w:rsid w:val="00900615"/>
    <w:rsid w:val="00910DF7"/>
    <w:rsid w:val="0091135C"/>
    <w:rsid w:val="00913F20"/>
    <w:rsid w:val="00913F5E"/>
    <w:rsid w:val="00921CBF"/>
    <w:rsid w:val="00923B0C"/>
    <w:rsid w:val="009247FD"/>
    <w:rsid w:val="00933765"/>
    <w:rsid w:val="00936948"/>
    <w:rsid w:val="00944BC2"/>
    <w:rsid w:val="009526A3"/>
    <w:rsid w:val="00953FAD"/>
    <w:rsid w:val="0095688C"/>
    <w:rsid w:val="00963C76"/>
    <w:rsid w:val="00963FE5"/>
    <w:rsid w:val="009649FF"/>
    <w:rsid w:val="00967E18"/>
    <w:rsid w:val="00975EFF"/>
    <w:rsid w:val="00981B32"/>
    <w:rsid w:val="00982318"/>
    <w:rsid w:val="00983442"/>
    <w:rsid w:val="00987FB0"/>
    <w:rsid w:val="00993D41"/>
    <w:rsid w:val="009A4B0D"/>
    <w:rsid w:val="009B1EDE"/>
    <w:rsid w:val="009B4B2D"/>
    <w:rsid w:val="009B4EA4"/>
    <w:rsid w:val="009B6244"/>
    <w:rsid w:val="009B6A20"/>
    <w:rsid w:val="009C235A"/>
    <w:rsid w:val="009C34DA"/>
    <w:rsid w:val="009C73C2"/>
    <w:rsid w:val="009D27AD"/>
    <w:rsid w:val="009D62FF"/>
    <w:rsid w:val="009D6DE1"/>
    <w:rsid w:val="009D7187"/>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71362"/>
    <w:rsid w:val="00A75B48"/>
    <w:rsid w:val="00A75CD5"/>
    <w:rsid w:val="00A85757"/>
    <w:rsid w:val="00A91D3A"/>
    <w:rsid w:val="00A94B71"/>
    <w:rsid w:val="00AA4991"/>
    <w:rsid w:val="00AB6960"/>
    <w:rsid w:val="00AC3332"/>
    <w:rsid w:val="00AC3D25"/>
    <w:rsid w:val="00AD1B8A"/>
    <w:rsid w:val="00AE00DC"/>
    <w:rsid w:val="00AE250D"/>
    <w:rsid w:val="00AE52D5"/>
    <w:rsid w:val="00AE5F85"/>
    <w:rsid w:val="00AE7561"/>
    <w:rsid w:val="00AF1433"/>
    <w:rsid w:val="00AF367C"/>
    <w:rsid w:val="00AF4FCA"/>
    <w:rsid w:val="00AF73E0"/>
    <w:rsid w:val="00B008B4"/>
    <w:rsid w:val="00B04101"/>
    <w:rsid w:val="00B04569"/>
    <w:rsid w:val="00B045C1"/>
    <w:rsid w:val="00B06A1E"/>
    <w:rsid w:val="00B07AD5"/>
    <w:rsid w:val="00B11A4D"/>
    <w:rsid w:val="00B1675C"/>
    <w:rsid w:val="00B2593F"/>
    <w:rsid w:val="00B27EC8"/>
    <w:rsid w:val="00B35F23"/>
    <w:rsid w:val="00B362C7"/>
    <w:rsid w:val="00B369D1"/>
    <w:rsid w:val="00B41A17"/>
    <w:rsid w:val="00B432DE"/>
    <w:rsid w:val="00B4437C"/>
    <w:rsid w:val="00B45195"/>
    <w:rsid w:val="00B67F3E"/>
    <w:rsid w:val="00B75863"/>
    <w:rsid w:val="00B766F4"/>
    <w:rsid w:val="00B8200C"/>
    <w:rsid w:val="00B84249"/>
    <w:rsid w:val="00B86E2F"/>
    <w:rsid w:val="00B91940"/>
    <w:rsid w:val="00B93E67"/>
    <w:rsid w:val="00B9551F"/>
    <w:rsid w:val="00B975F2"/>
    <w:rsid w:val="00BA3C47"/>
    <w:rsid w:val="00BB2D69"/>
    <w:rsid w:val="00BB53D4"/>
    <w:rsid w:val="00BC2C84"/>
    <w:rsid w:val="00BC5D5C"/>
    <w:rsid w:val="00BE30B4"/>
    <w:rsid w:val="00BE6EA9"/>
    <w:rsid w:val="00BF3562"/>
    <w:rsid w:val="00BF3735"/>
    <w:rsid w:val="00C00100"/>
    <w:rsid w:val="00C01019"/>
    <w:rsid w:val="00C0509D"/>
    <w:rsid w:val="00C0520A"/>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C30D7"/>
    <w:rsid w:val="00CC5199"/>
    <w:rsid w:val="00CC7AE9"/>
    <w:rsid w:val="00CD0227"/>
    <w:rsid w:val="00CE0C47"/>
    <w:rsid w:val="00CF08F0"/>
    <w:rsid w:val="00CF6B4B"/>
    <w:rsid w:val="00D02F70"/>
    <w:rsid w:val="00D038F1"/>
    <w:rsid w:val="00D17961"/>
    <w:rsid w:val="00D2144B"/>
    <w:rsid w:val="00D273CD"/>
    <w:rsid w:val="00D30E6A"/>
    <w:rsid w:val="00D34B08"/>
    <w:rsid w:val="00D35C20"/>
    <w:rsid w:val="00D4711F"/>
    <w:rsid w:val="00D66ACD"/>
    <w:rsid w:val="00D709F8"/>
    <w:rsid w:val="00D721A2"/>
    <w:rsid w:val="00D72611"/>
    <w:rsid w:val="00D768C1"/>
    <w:rsid w:val="00D81AE0"/>
    <w:rsid w:val="00D82FCE"/>
    <w:rsid w:val="00D91610"/>
    <w:rsid w:val="00D9527A"/>
    <w:rsid w:val="00D95EB1"/>
    <w:rsid w:val="00D97C41"/>
    <w:rsid w:val="00DA5914"/>
    <w:rsid w:val="00DA5DFB"/>
    <w:rsid w:val="00DB1297"/>
    <w:rsid w:val="00DB20B2"/>
    <w:rsid w:val="00DC06C0"/>
    <w:rsid w:val="00DC4205"/>
    <w:rsid w:val="00DC5878"/>
    <w:rsid w:val="00DC60F7"/>
    <w:rsid w:val="00DC73A5"/>
    <w:rsid w:val="00DC7D35"/>
    <w:rsid w:val="00DE11AB"/>
    <w:rsid w:val="00DE14A7"/>
    <w:rsid w:val="00DE2470"/>
    <w:rsid w:val="00DF62D0"/>
    <w:rsid w:val="00E10870"/>
    <w:rsid w:val="00E12A1C"/>
    <w:rsid w:val="00E12F7B"/>
    <w:rsid w:val="00E1580A"/>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0A7F"/>
    <w:rsid w:val="00E9260F"/>
    <w:rsid w:val="00E9448D"/>
    <w:rsid w:val="00EA1AA0"/>
    <w:rsid w:val="00EA5124"/>
    <w:rsid w:val="00EA6987"/>
    <w:rsid w:val="00EA6FCD"/>
    <w:rsid w:val="00EB3E0E"/>
    <w:rsid w:val="00EB3F2D"/>
    <w:rsid w:val="00EB74F2"/>
    <w:rsid w:val="00EC262F"/>
    <w:rsid w:val="00EC54C2"/>
    <w:rsid w:val="00EC6A26"/>
    <w:rsid w:val="00ED1A79"/>
    <w:rsid w:val="00EF02B3"/>
    <w:rsid w:val="00EF116F"/>
    <w:rsid w:val="00EF51DB"/>
    <w:rsid w:val="00F00F21"/>
    <w:rsid w:val="00F01177"/>
    <w:rsid w:val="00F0610B"/>
    <w:rsid w:val="00F13AF9"/>
    <w:rsid w:val="00F22FFA"/>
    <w:rsid w:val="00F27473"/>
    <w:rsid w:val="00F31F3B"/>
    <w:rsid w:val="00F36188"/>
    <w:rsid w:val="00F3700D"/>
    <w:rsid w:val="00F37B61"/>
    <w:rsid w:val="00F37DD4"/>
    <w:rsid w:val="00F4512D"/>
    <w:rsid w:val="00F52AAB"/>
    <w:rsid w:val="00F52EA1"/>
    <w:rsid w:val="00F570DB"/>
    <w:rsid w:val="00F63B43"/>
    <w:rsid w:val="00F67830"/>
    <w:rsid w:val="00F931EC"/>
    <w:rsid w:val="00FA2BD3"/>
    <w:rsid w:val="00FA5AC3"/>
    <w:rsid w:val="00FB4715"/>
    <w:rsid w:val="00FC2E73"/>
    <w:rsid w:val="00FC32FD"/>
    <w:rsid w:val="00FD3A70"/>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aliases w:val="List Paragraph1,Recommendation,List Paragraph11,L,CV text,Table text,F5 List Paragraph,Dot pt,List Paragraph111,Medium Grid 1 - Accent 21,Numbered Paragraph"/>
    <w:basedOn w:val="Normal"/>
    <w:link w:val="ListParagraphChar"/>
    <w:uiPriority w:val="34"/>
    <w:qFormat/>
    <w:rsid w:val="006004F7"/>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
    <w:basedOn w:val="DefaultParagraphFont"/>
    <w:link w:val="ListParagraph"/>
    <w:uiPriority w:val="34"/>
    <w:locked/>
    <w:rsid w:val="008B5A14"/>
    <w:rPr>
      <w:rFonts w:ascii="Arial" w:hAnsi="Arial"/>
      <w:szCs w:val="24"/>
      <w:lang w:eastAsia="en-US"/>
    </w:rPr>
  </w:style>
  <w:style w:type="paragraph" w:styleId="FootnoteText">
    <w:name w:val="footnote text"/>
    <w:basedOn w:val="Normal"/>
    <w:link w:val="FootnoteTextChar"/>
    <w:uiPriority w:val="99"/>
    <w:unhideWhenUsed/>
    <w:rsid w:val="00B04569"/>
    <w:pPr>
      <w:spacing w:before="0"/>
    </w:pPr>
    <w:rPr>
      <w:rFonts w:ascii="Calibri" w:eastAsia="Calibri" w:hAnsi="Calibri"/>
      <w:szCs w:val="20"/>
      <w:lang w:val="en-GB"/>
    </w:rPr>
  </w:style>
  <w:style w:type="character" w:customStyle="1" w:styleId="FootnoteTextChar">
    <w:name w:val="Footnote Text Char"/>
    <w:basedOn w:val="DefaultParagraphFont"/>
    <w:link w:val="FootnoteText"/>
    <w:uiPriority w:val="99"/>
    <w:rsid w:val="00B04569"/>
    <w:rPr>
      <w:rFonts w:ascii="Calibri" w:eastAsia="Calibri" w:hAnsi="Calibri"/>
      <w:lang w:val="en-GB" w:eastAsia="en-US"/>
    </w:rPr>
  </w:style>
  <w:style w:type="character" w:styleId="FootnoteReference">
    <w:name w:val="footnote reference"/>
    <w:uiPriority w:val="99"/>
    <w:unhideWhenUsed/>
    <w:rsid w:val="00B04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aliases w:val="List Paragraph1,Recommendation,List Paragraph11,L,CV text,Table text,F5 List Paragraph,Dot pt,List Paragraph111,Medium Grid 1 - Accent 21,Numbered Paragraph"/>
    <w:basedOn w:val="Normal"/>
    <w:link w:val="ListParagraphChar"/>
    <w:uiPriority w:val="34"/>
    <w:qFormat/>
    <w:rsid w:val="006004F7"/>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
    <w:basedOn w:val="DefaultParagraphFont"/>
    <w:link w:val="ListParagraph"/>
    <w:uiPriority w:val="34"/>
    <w:locked/>
    <w:rsid w:val="008B5A14"/>
    <w:rPr>
      <w:rFonts w:ascii="Arial" w:hAnsi="Arial"/>
      <w:szCs w:val="24"/>
      <w:lang w:eastAsia="en-US"/>
    </w:rPr>
  </w:style>
  <w:style w:type="paragraph" w:styleId="FootnoteText">
    <w:name w:val="footnote text"/>
    <w:basedOn w:val="Normal"/>
    <w:link w:val="FootnoteTextChar"/>
    <w:uiPriority w:val="99"/>
    <w:unhideWhenUsed/>
    <w:rsid w:val="00B04569"/>
    <w:pPr>
      <w:spacing w:before="0"/>
    </w:pPr>
    <w:rPr>
      <w:rFonts w:ascii="Calibri" w:eastAsia="Calibri" w:hAnsi="Calibri"/>
      <w:szCs w:val="20"/>
      <w:lang w:val="en-GB"/>
    </w:rPr>
  </w:style>
  <w:style w:type="character" w:customStyle="1" w:styleId="FootnoteTextChar">
    <w:name w:val="Footnote Text Char"/>
    <w:basedOn w:val="DefaultParagraphFont"/>
    <w:link w:val="FootnoteText"/>
    <w:uiPriority w:val="99"/>
    <w:rsid w:val="00B04569"/>
    <w:rPr>
      <w:rFonts w:ascii="Calibri" w:eastAsia="Calibri" w:hAnsi="Calibri"/>
      <w:lang w:val="en-GB" w:eastAsia="en-US"/>
    </w:rPr>
  </w:style>
  <w:style w:type="character" w:styleId="FootnoteReference">
    <w:name w:val="footnote reference"/>
    <w:uiPriority w:val="99"/>
    <w:unhideWhenUsed/>
    <w:rsid w:val="00B0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1011">
      <w:bodyDiv w:val="1"/>
      <w:marLeft w:val="0"/>
      <w:marRight w:val="0"/>
      <w:marTop w:val="0"/>
      <w:marBottom w:val="0"/>
      <w:divBdr>
        <w:top w:val="none" w:sz="0" w:space="0" w:color="auto"/>
        <w:left w:val="none" w:sz="0" w:space="0" w:color="auto"/>
        <w:bottom w:val="none" w:sz="0" w:space="0" w:color="auto"/>
        <w:right w:val="none" w:sz="0" w:space="0" w:color="auto"/>
      </w:divBdr>
    </w:div>
    <w:div w:id="167449519">
      <w:bodyDiv w:val="1"/>
      <w:marLeft w:val="0"/>
      <w:marRight w:val="0"/>
      <w:marTop w:val="0"/>
      <w:marBottom w:val="0"/>
      <w:divBdr>
        <w:top w:val="none" w:sz="0" w:space="0" w:color="auto"/>
        <w:left w:val="none" w:sz="0" w:space="0" w:color="auto"/>
        <w:bottom w:val="none" w:sz="0" w:space="0" w:color="auto"/>
        <w:right w:val="none" w:sz="0" w:space="0" w:color="auto"/>
      </w:divBdr>
    </w:div>
    <w:div w:id="256402882">
      <w:bodyDiv w:val="1"/>
      <w:marLeft w:val="0"/>
      <w:marRight w:val="0"/>
      <w:marTop w:val="0"/>
      <w:marBottom w:val="0"/>
      <w:divBdr>
        <w:top w:val="none" w:sz="0" w:space="0" w:color="auto"/>
        <w:left w:val="none" w:sz="0" w:space="0" w:color="auto"/>
        <w:bottom w:val="none" w:sz="0" w:space="0" w:color="auto"/>
        <w:right w:val="none" w:sz="0" w:space="0" w:color="auto"/>
      </w:divBdr>
    </w:div>
    <w:div w:id="362874787">
      <w:bodyDiv w:val="1"/>
      <w:marLeft w:val="0"/>
      <w:marRight w:val="0"/>
      <w:marTop w:val="0"/>
      <w:marBottom w:val="0"/>
      <w:divBdr>
        <w:top w:val="none" w:sz="0" w:space="0" w:color="auto"/>
        <w:left w:val="none" w:sz="0" w:space="0" w:color="auto"/>
        <w:bottom w:val="none" w:sz="0" w:space="0" w:color="auto"/>
        <w:right w:val="none" w:sz="0" w:space="0" w:color="auto"/>
      </w:divBdr>
    </w:div>
    <w:div w:id="640620798">
      <w:bodyDiv w:val="1"/>
      <w:marLeft w:val="0"/>
      <w:marRight w:val="0"/>
      <w:marTop w:val="0"/>
      <w:marBottom w:val="0"/>
      <w:divBdr>
        <w:top w:val="none" w:sz="0" w:space="0" w:color="auto"/>
        <w:left w:val="none" w:sz="0" w:space="0" w:color="auto"/>
        <w:bottom w:val="none" w:sz="0" w:space="0" w:color="auto"/>
        <w:right w:val="none" w:sz="0" w:space="0" w:color="auto"/>
      </w:divBdr>
    </w:div>
    <w:div w:id="759763167">
      <w:bodyDiv w:val="1"/>
      <w:marLeft w:val="0"/>
      <w:marRight w:val="0"/>
      <w:marTop w:val="0"/>
      <w:marBottom w:val="0"/>
      <w:divBdr>
        <w:top w:val="none" w:sz="0" w:space="0" w:color="auto"/>
        <w:left w:val="none" w:sz="0" w:space="0" w:color="auto"/>
        <w:bottom w:val="none" w:sz="0" w:space="0" w:color="auto"/>
        <w:right w:val="none" w:sz="0" w:space="0" w:color="auto"/>
      </w:divBdr>
    </w:div>
    <w:div w:id="856382233">
      <w:bodyDiv w:val="1"/>
      <w:marLeft w:val="0"/>
      <w:marRight w:val="0"/>
      <w:marTop w:val="0"/>
      <w:marBottom w:val="0"/>
      <w:divBdr>
        <w:top w:val="none" w:sz="0" w:space="0" w:color="auto"/>
        <w:left w:val="none" w:sz="0" w:space="0" w:color="auto"/>
        <w:bottom w:val="none" w:sz="0" w:space="0" w:color="auto"/>
        <w:right w:val="none" w:sz="0" w:space="0" w:color="auto"/>
      </w:divBdr>
    </w:div>
    <w:div w:id="974456970">
      <w:bodyDiv w:val="1"/>
      <w:marLeft w:val="0"/>
      <w:marRight w:val="0"/>
      <w:marTop w:val="0"/>
      <w:marBottom w:val="0"/>
      <w:divBdr>
        <w:top w:val="none" w:sz="0" w:space="0" w:color="auto"/>
        <w:left w:val="none" w:sz="0" w:space="0" w:color="auto"/>
        <w:bottom w:val="none" w:sz="0" w:space="0" w:color="auto"/>
        <w:right w:val="none" w:sz="0" w:space="0" w:color="auto"/>
      </w:divBdr>
    </w:div>
    <w:div w:id="1052312745">
      <w:bodyDiv w:val="1"/>
      <w:marLeft w:val="0"/>
      <w:marRight w:val="0"/>
      <w:marTop w:val="0"/>
      <w:marBottom w:val="0"/>
      <w:divBdr>
        <w:top w:val="none" w:sz="0" w:space="0" w:color="auto"/>
        <w:left w:val="none" w:sz="0" w:space="0" w:color="auto"/>
        <w:bottom w:val="none" w:sz="0" w:space="0" w:color="auto"/>
        <w:right w:val="none" w:sz="0" w:space="0" w:color="auto"/>
      </w:divBdr>
    </w:div>
    <w:div w:id="1084643414">
      <w:bodyDiv w:val="1"/>
      <w:marLeft w:val="0"/>
      <w:marRight w:val="0"/>
      <w:marTop w:val="0"/>
      <w:marBottom w:val="0"/>
      <w:divBdr>
        <w:top w:val="none" w:sz="0" w:space="0" w:color="auto"/>
        <w:left w:val="none" w:sz="0" w:space="0" w:color="auto"/>
        <w:bottom w:val="none" w:sz="0" w:space="0" w:color="auto"/>
        <w:right w:val="none" w:sz="0" w:space="0" w:color="auto"/>
      </w:divBdr>
    </w:div>
    <w:div w:id="1228490742">
      <w:bodyDiv w:val="1"/>
      <w:marLeft w:val="0"/>
      <w:marRight w:val="0"/>
      <w:marTop w:val="0"/>
      <w:marBottom w:val="0"/>
      <w:divBdr>
        <w:top w:val="none" w:sz="0" w:space="0" w:color="auto"/>
        <w:left w:val="none" w:sz="0" w:space="0" w:color="auto"/>
        <w:bottom w:val="none" w:sz="0" w:space="0" w:color="auto"/>
        <w:right w:val="none" w:sz="0" w:space="0" w:color="auto"/>
      </w:divBdr>
    </w:div>
    <w:div w:id="1243028992">
      <w:bodyDiv w:val="1"/>
      <w:marLeft w:val="0"/>
      <w:marRight w:val="0"/>
      <w:marTop w:val="0"/>
      <w:marBottom w:val="0"/>
      <w:divBdr>
        <w:top w:val="none" w:sz="0" w:space="0" w:color="auto"/>
        <w:left w:val="none" w:sz="0" w:space="0" w:color="auto"/>
        <w:bottom w:val="none" w:sz="0" w:space="0" w:color="auto"/>
        <w:right w:val="none" w:sz="0" w:space="0" w:color="auto"/>
      </w:divBdr>
    </w:div>
    <w:div w:id="1503082831">
      <w:bodyDiv w:val="1"/>
      <w:marLeft w:val="0"/>
      <w:marRight w:val="0"/>
      <w:marTop w:val="0"/>
      <w:marBottom w:val="0"/>
      <w:divBdr>
        <w:top w:val="none" w:sz="0" w:space="0" w:color="auto"/>
        <w:left w:val="none" w:sz="0" w:space="0" w:color="auto"/>
        <w:bottom w:val="none" w:sz="0" w:space="0" w:color="auto"/>
        <w:right w:val="none" w:sz="0" w:space="0" w:color="auto"/>
      </w:divBdr>
    </w:div>
    <w:div w:id="17132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9AACD-58C2-41D9-978A-EDBD05119EDD}"/>
</file>

<file path=customXml/itemProps2.xml><?xml version="1.0" encoding="utf-8"?>
<ds:datastoreItem xmlns:ds="http://schemas.openxmlformats.org/officeDocument/2006/customXml" ds:itemID="{6DA76C91-2E73-4FF3-B821-BB5FC58F1FE3}"/>
</file>

<file path=customXml/itemProps3.xml><?xml version="1.0" encoding="utf-8"?>
<ds:datastoreItem xmlns:ds="http://schemas.openxmlformats.org/officeDocument/2006/customXml" ds:itemID="{599F8F8B-E487-4FB1-A898-CE84EFFE738B}"/>
</file>

<file path=customXml/itemProps4.xml><?xml version="1.0" encoding="utf-8"?>
<ds:datastoreItem xmlns:ds="http://schemas.openxmlformats.org/officeDocument/2006/customXml" ds:itemID="{04BB440F-6AD4-4A4E-9B78-E28AEE5919E3}"/>
</file>

<file path=docProps/app.xml><?xml version="1.0" encoding="utf-8"?>
<Properties xmlns="http://schemas.openxmlformats.org/officeDocument/2006/extended-properties" xmlns:vt="http://schemas.openxmlformats.org/officeDocument/2006/docPropsVTypes">
  <Template>ABA82D48</Template>
  <TotalTime>0</TotalTime>
  <Pages>5</Pages>
  <Words>1610</Words>
  <Characters>9217</Characters>
  <Application>Microsoft Office Word</Application>
  <DocSecurity>0</DocSecurity>
  <Lines>184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2015-03-17T04:42:00Z</dcterms:created>
  <dcterms:modified xsi:type="dcterms:W3CDTF">2015-03-17T04:42:00Z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944600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