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8F" w:rsidRDefault="00714A8F" w:rsidP="00714A8F">
      <w:pPr>
        <w:pStyle w:val="ASIcoverline3"/>
        <w:jc w:val="center"/>
        <w:rPr>
          <w:color w:val="auto"/>
          <w:sz w:val="48"/>
          <w:szCs w:val="48"/>
        </w:rPr>
      </w:pPr>
      <w:bookmarkStart w:id="0" w:name="_GoBack"/>
      <w:bookmarkEnd w:id="0"/>
    </w:p>
    <w:p w:rsidR="00714A8F" w:rsidRDefault="00714A8F" w:rsidP="00714A8F">
      <w:pPr>
        <w:pStyle w:val="ASIcoverline3"/>
        <w:jc w:val="center"/>
        <w:rPr>
          <w:color w:val="auto"/>
          <w:sz w:val="48"/>
          <w:szCs w:val="48"/>
        </w:rPr>
      </w:pPr>
    </w:p>
    <w:p w:rsidR="00714A8F" w:rsidRDefault="00714A8F" w:rsidP="00714A8F">
      <w:pPr>
        <w:pStyle w:val="ASIcoverline3"/>
        <w:jc w:val="center"/>
        <w:rPr>
          <w:color w:val="auto"/>
          <w:sz w:val="48"/>
          <w:szCs w:val="48"/>
        </w:rPr>
      </w:pPr>
    </w:p>
    <w:p w:rsidR="008C4116" w:rsidRPr="008C4116" w:rsidRDefault="008C4116" w:rsidP="008C4116">
      <w:pPr>
        <w:jc w:val="center"/>
        <w:rPr>
          <w:color w:val="auto"/>
          <w:sz w:val="48"/>
          <w:szCs w:val="48"/>
          <w:lang w:val="en-AU"/>
        </w:rPr>
      </w:pPr>
      <w:bookmarkStart w:id="1" w:name="_Toc356710636"/>
      <w:bookmarkStart w:id="2" w:name="_Ref356728551"/>
      <w:bookmarkStart w:id="3" w:name="_Toc358030456"/>
      <w:bookmarkStart w:id="4" w:name="_Toc358034701"/>
      <w:bookmarkStart w:id="5" w:name="_Toc358101670"/>
      <w:bookmarkStart w:id="6" w:name="_Toc358102030"/>
      <w:bookmarkStart w:id="7" w:name="_Toc358102316"/>
      <w:bookmarkStart w:id="8" w:name="_Ref358213720"/>
      <w:bookmarkStart w:id="9" w:name="_Ref358214458"/>
      <w:bookmarkStart w:id="10" w:name="_Ref358214525"/>
      <w:bookmarkStart w:id="11" w:name="_Ref358214589"/>
      <w:bookmarkStart w:id="12" w:name="_Ref358215064"/>
      <w:bookmarkStart w:id="13" w:name="_Ref358358586"/>
      <w:bookmarkStart w:id="14" w:name="_Toc367959203"/>
      <w:bookmarkStart w:id="15" w:name="_Toc413669393"/>
      <w:r w:rsidRPr="008C4116">
        <w:rPr>
          <w:color w:val="auto"/>
          <w:sz w:val="48"/>
          <w:szCs w:val="48"/>
          <w:lang w:val="en-AU"/>
        </w:rPr>
        <w:t>Social And Gender</w:t>
      </w:r>
      <w:bookmarkEnd w:id="1"/>
      <w:bookmarkEnd w:id="2"/>
      <w:bookmarkEnd w:id="3"/>
      <w:bookmarkEnd w:id="4"/>
      <w:bookmarkEnd w:id="5"/>
      <w:bookmarkEnd w:id="6"/>
      <w:bookmarkEnd w:id="7"/>
      <w:bookmarkEnd w:id="8"/>
      <w:bookmarkEnd w:id="9"/>
      <w:bookmarkEnd w:id="10"/>
      <w:bookmarkEnd w:id="11"/>
      <w:bookmarkEnd w:id="12"/>
      <w:bookmarkEnd w:id="13"/>
      <w:bookmarkEnd w:id="14"/>
      <w:r w:rsidRPr="008C4116">
        <w:rPr>
          <w:color w:val="auto"/>
          <w:sz w:val="48"/>
          <w:szCs w:val="48"/>
          <w:lang w:val="en-AU"/>
        </w:rPr>
        <w:t>ed Impacts related to Mining</w:t>
      </w:r>
      <w:bookmarkEnd w:id="15"/>
      <w:r w:rsidRPr="008C4116">
        <w:rPr>
          <w:color w:val="auto"/>
          <w:sz w:val="48"/>
          <w:szCs w:val="48"/>
          <w:lang w:val="en-AU"/>
        </w:rPr>
        <w:t>, Mongolia</w:t>
      </w:r>
    </w:p>
    <w:p w:rsidR="00714A8F" w:rsidRPr="00105ABB" w:rsidRDefault="00714A8F" w:rsidP="00714A8F"/>
    <w:p w:rsidR="00714A8F" w:rsidRDefault="00714A8F" w:rsidP="00714A8F"/>
    <w:p w:rsidR="00714A8F" w:rsidRDefault="00714A8F" w:rsidP="00714A8F"/>
    <w:p w:rsidR="00714A8F" w:rsidRPr="003A7DDC" w:rsidRDefault="00932699" w:rsidP="00714A8F">
      <w:pPr>
        <w:jc w:val="center"/>
        <w:rPr>
          <w:color w:val="auto"/>
          <w:sz w:val="48"/>
          <w:szCs w:val="48"/>
        </w:rPr>
      </w:pPr>
      <w:r>
        <w:rPr>
          <w:color w:val="auto"/>
          <w:sz w:val="48"/>
          <w:szCs w:val="48"/>
        </w:rPr>
        <w:t>6</w:t>
      </w:r>
      <w:r w:rsidR="00A87679" w:rsidRPr="003A7DDC">
        <w:rPr>
          <w:color w:val="auto"/>
          <w:sz w:val="48"/>
          <w:szCs w:val="48"/>
        </w:rPr>
        <w:t xml:space="preserve"> </w:t>
      </w:r>
      <w:r>
        <w:rPr>
          <w:color w:val="auto"/>
          <w:sz w:val="48"/>
          <w:szCs w:val="48"/>
        </w:rPr>
        <w:t xml:space="preserve">April </w:t>
      </w:r>
      <w:r w:rsidR="00714A8F" w:rsidRPr="003A7DDC">
        <w:rPr>
          <w:color w:val="auto"/>
          <w:sz w:val="48"/>
          <w:szCs w:val="48"/>
        </w:rPr>
        <w:t>2015</w:t>
      </w:r>
    </w:p>
    <w:p w:rsidR="00714A8F" w:rsidRDefault="00714A8F" w:rsidP="00714A8F"/>
    <w:p w:rsidR="00714A8F" w:rsidRPr="003A7DDC" w:rsidRDefault="00714A8F" w:rsidP="00714A8F">
      <w:pPr>
        <w:rPr>
          <w:color w:val="auto"/>
          <w:sz w:val="48"/>
          <w:szCs w:val="48"/>
        </w:rPr>
      </w:pPr>
    </w:p>
    <w:p w:rsidR="00714A8F" w:rsidRPr="003A7DDC" w:rsidRDefault="00714A8F" w:rsidP="00714A8F">
      <w:pPr>
        <w:jc w:val="center"/>
        <w:rPr>
          <w:b/>
          <w:color w:val="auto"/>
          <w:sz w:val="48"/>
          <w:szCs w:val="48"/>
        </w:rPr>
      </w:pPr>
      <w:r w:rsidRPr="003A7DDC">
        <w:rPr>
          <w:b/>
          <w:color w:val="auto"/>
          <w:sz w:val="48"/>
          <w:szCs w:val="48"/>
        </w:rPr>
        <w:t>Prepared by:</w:t>
      </w:r>
    </w:p>
    <w:p w:rsidR="001309DB" w:rsidRDefault="00714A8F" w:rsidP="001309DB">
      <w:pPr>
        <w:jc w:val="center"/>
        <w:rPr>
          <w:color w:val="auto"/>
          <w:sz w:val="32"/>
          <w:szCs w:val="32"/>
        </w:rPr>
      </w:pPr>
      <w:r w:rsidRPr="003A7DDC">
        <w:rPr>
          <w:color w:val="auto"/>
          <w:sz w:val="32"/>
          <w:szCs w:val="32"/>
        </w:rPr>
        <w:t xml:space="preserve">Adam Smith International </w:t>
      </w:r>
    </w:p>
    <w:p w:rsidR="001309DB" w:rsidRDefault="001309DB" w:rsidP="001309DB">
      <w:pPr>
        <w:jc w:val="center"/>
        <w:rPr>
          <w:color w:val="auto"/>
          <w:sz w:val="32"/>
          <w:szCs w:val="32"/>
        </w:rPr>
      </w:pPr>
      <w:r>
        <w:rPr>
          <w:color w:val="auto"/>
          <w:sz w:val="32"/>
          <w:szCs w:val="32"/>
        </w:rPr>
        <w:t xml:space="preserve">Dr </w:t>
      </w:r>
      <w:r w:rsidRPr="003A7DDC">
        <w:rPr>
          <w:color w:val="auto"/>
          <w:sz w:val="32"/>
          <w:szCs w:val="32"/>
        </w:rPr>
        <w:t xml:space="preserve">Isabel Cane </w:t>
      </w:r>
    </w:p>
    <w:p w:rsidR="00714A8F" w:rsidRPr="003A7DDC" w:rsidRDefault="00714A8F" w:rsidP="00714A8F">
      <w:pPr>
        <w:jc w:val="center"/>
        <w:rPr>
          <w:color w:val="auto"/>
          <w:sz w:val="32"/>
          <w:szCs w:val="32"/>
        </w:rPr>
      </w:pPr>
    </w:p>
    <w:p w:rsidR="00932699" w:rsidRDefault="00932699" w:rsidP="003F0AAE"/>
    <w:p w:rsidR="00932699" w:rsidRPr="00932699" w:rsidRDefault="00932699"/>
    <w:p w:rsidR="00932699" w:rsidRDefault="00932699" w:rsidP="00184249">
      <w:pPr>
        <w:tabs>
          <w:tab w:val="left" w:pos="3180"/>
        </w:tabs>
      </w:pPr>
      <w:r>
        <w:tab/>
      </w:r>
    </w:p>
    <w:p w:rsidR="00932699" w:rsidRDefault="00932699" w:rsidP="00932699"/>
    <w:p w:rsidR="000618A3" w:rsidRDefault="000618A3"/>
    <w:p w:rsidR="000618A3" w:rsidRPr="000618A3" w:rsidRDefault="000618A3" w:rsidP="000618A3"/>
    <w:p w:rsidR="000618A3" w:rsidRDefault="000618A3" w:rsidP="000618A3">
      <w:pPr>
        <w:jc w:val="center"/>
      </w:pPr>
      <w:r w:rsidRPr="000618A3">
        <w:t>The views expressed in this document, and proposed recommendatio</w:t>
      </w:r>
      <w:r>
        <w:t>ns, are those of the consultant</w:t>
      </w:r>
      <w:r w:rsidRPr="000618A3">
        <w:t xml:space="preserve"> and do not necessarily reflect the views of the Australian Government or DFAT.</w:t>
      </w:r>
    </w:p>
    <w:p w:rsidR="000618A3" w:rsidRDefault="000618A3" w:rsidP="000618A3"/>
    <w:p w:rsidR="00A02A59" w:rsidRPr="000618A3" w:rsidRDefault="00A02A59" w:rsidP="000618A3">
      <w:pPr>
        <w:sectPr w:rsidR="00A02A59" w:rsidRPr="000618A3" w:rsidSect="00F64060">
          <w:headerReference w:type="even" r:id="rId9"/>
          <w:headerReference w:type="default" r:id="rId10"/>
          <w:footerReference w:type="even" r:id="rId11"/>
          <w:footerReference w:type="default" r:id="rId12"/>
          <w:headerReference w:type="first" r:id="rId13"/>
          <w:footerReference w:type="first" r:id="rId14"/>
          <w:pgSz w:w="11906" w:h="16838" w:code="9"/>
          <w:pgMar w:top="1247" w:right="567" w:bottom="1418" w:left="567" w:header="567" w:footer="1134" w:gutter="0"/>
          <w:cols w:space="340"/>
          <w:docGrid w:linePitch="360"/>
        </w:sectPr>
      </w:pPr>
    </w:p>
    <w:p w:rsidR="00BF0155" w:rsidRPr="00381F55" w:rsidRDefault="00BF0155" w:rsidP="00381F55">
      <w:pPr>
        <w:pStyle w:val="Heading1"/>
      </w:pPr>
      <w:bookmarkStart w:id="16" w:name="_Toc413674261"/>
      <w:bookmarkStart w:id="17" w:name="_Toc413681113"/>
      <w:bookmarkStart w:id="18" w:name="_Toc416161469"/>
      <w:r w:rsidRPr="00426617">
        <w:lastRenderedPageBreak/>
        <w:t>Table of Contents</w:t>
      </w:r>
      <w:bookmarkEnd w:id="16"/>
      <w:bookmarkEnd w:id="17"/>
      <w:bookmarkEnd w:id="18"/>
    </w:p>
    <w:p w:rsidR="00184249" w:rsidRDefault="008A5E0F">
      <w:pPr>
        <w:pStyle w:val="TOC1"/>
        <w:rPr>
          <w:rFonts w:asciiTheme="minorHAnsi" w:eastAsiaTheme="minorEastAsia" w:hAnsiTheme="minorHAnsi" w:cstheme="minorBidi"/>
          <w:b w:val="0"/>
          <w:color w:val="auto"/>
          <w:sz w:val="22"/>
          <w:szCs w:val="22"/>
          <w:lang w:val="en-AU" w:eastAsia="en-AU"/>
        </w:rPr>
      </w:pPr>
      <w:r w:rsidRPr="001309DB">
        <w:rPr>
          <w:color w:val="6D6E71" w:themeColor="text2"/>
        </w:rPr>
        <w:fldChar w:fldCharType="begin"/>
      </w:r>
      <w:r w:rsidRPr="001309DB">
        <w:rPr>
          <w:color w:val="6D6E71" w:themeColor="text2"/>
        </w:rPr>
        <w:instrText xml:space="preserve"> TOC \o "1-1" \h \z \t "Heading 2,2,Heading 3,3,ASI Subhead,3,ASI Section Page,1" </w:instrText>
      </w:r>
      <w:r w:rsidRPr="001309DB">
        <w:rPr>
          <w:color w:val="6D6E71" w:themeColor="text2"/>
        </w:rPr>
        <w:fldChar w:fldCharType="separate"/>
      </w:r>
    </w:p>
    <w:p w:rsidR="00184249" w:rsidRDefault="00527745">
      <w:pPr>
        <w:pStyle w:val="TOC2"/>
        <w:rPr>
          <w:rFonts w:asciiTheme="minorHAnsi" w:eastAsiaTheme="minorEastAsia" w:hAnsiTheme="minorHAnsi" w:cstheme="minorBidi"/>
          <w:color w:val="auto"/>
          <w:sz w:val="22"/>
          <w:szCs w:val="22"/>
          <w:lang w:val="en-AU" w:eastAsia="en-AU"/>
        </w:rPr>
      </w:pPr>
      <w:hyperlink w:anchor="_Toc416161470" w:history="1">
        <w:r w:rsidR="00184249" w:rsidRPr="00190BD7">
          <w:rPr>
            <w:rStyle w:val="Hyperlink"/>
          </w:rPr>
          <w:t>Introduction</w:t>
        </w:r>
        <w:r w:rsidR="00184249">
          <w:rPr>
            <w:webHidden/>
          </w:rPr>
          <w:tab/>
        </w:r>
        <w:r w:rsidR="00184249">
          <w:rPr>
            <w:webHidden/>
          </w:rPr>
          <w:fldChar w:fldCharType="begin"/>
        </w:r>
        <w:r w:rsidR="00184249">
          <w:rPr>
            <w:webHidden/>
          </w:rPr>
          <w:instrText xml:space="preserve"> PAGEREF _Toc416161470 \h </w:instrText>
        </w:r>
        <w:r w:rsidR="00184249">
          <w:rPr>
            <w:webHidden/>
          </w:rPr>
        </w:r>
        <w:r w:rsidR="00184249">
          <w:rPr>
            <w:webHidden/>
          </w:rPr>
          <w:fldChar w:fldCharType="separate"/>
        </w:r>
        <w:r w:rsidR="00184249">
          <w:rPr>
            <w:webHidden/>
          </w:rPr>
          <w:t>2</w:t>
        </w:r>
        <w:r w:rsidR="00184249">
          <w:rPr>
            <w:webHidden/>
          </w:rPr>
          <w:fldChar w:fldCharType="end"/>
        </w:r>
      </w:hyperlink>
    </w:p>
    <w:p w:rsidR="00184249" w:rsidRDefault="00527745">
      <w:pPr>
        <w:pStyle w:val="TOC3"/>
        <w:rPr>
          <w:rFonts w:asciiTheme="minorHAnsi" w:eastAsiaTheme="minorEastAsia" w:hAnsiTheme="minorHAnsi" w:cstheme="minorBidi"/>
          <w:color w:val="auto"/>
          <w:sz w:val="22"/>
          <w:szCs w:val="22"/>
          <w:lang w:val="en-AU" w:eastAsia="en-AU"/>
        </w:rPr>
      </w:pPr>
      <w:hyperlink w:anchor="_Toc416161471" w:history="1">
        <w:r w:rsidR="00184249" w:rsidRPr="00190BD7">
          <w:rPr>
            <w:rStyle w:val="Hyperlink"/>
          </w:rPr>
          <w:t>Reflections of Priorities</w:t>
        </w:r>
        <w:r w:rsidR="00184249">
          <w:rPr>
            <w:webHidden/>
          </w:rPr>
          <w:tab/>
        </w:r>
        <w:r w:rsidR="00184249">
          <w:rPr>
            <w:webHidden/>
          </w:rPr>
          <w:fldChar w:fldCharType="begin"/>
        </w:r>
        <w:r w:rsidR="00184249">
          <w:rPr>
            <w:webHidden/>
          </w:rPr>
          <w:instrText xml:space="preserve"> PAGEREF _Toc416161471 \h </w:instrText>
        </w:r>
        <w:r w:rsidR="00184249">
          <w:rPr>
            <w:webHidden/>
          </w:rPr>
        </w:r>
        <w:r w:rsidR="00184249">
          <w:rPr>
            <w:webHidden/>
          </w:rPr>
          <w:fldChar w:fldCharType="separate"/>
        </w:r>
        <w:r w:rsidR="00184249">
          <w:rPr>
            <w:webHidden/>
          </w:rPr>
          <w:t>2</w:t>
        </w:r>
        <w:r w:rsidR="00184249">
          <w:rPr>
            <w:webHidden/>
          </w:rPr>
          <w:fldChar w:fldCharType="end"/>
        </w:r>
      </w:hyperlink>
    </w:p>
    <w:p w:rsidR="00184249" w:rsidRDefault="00527745">
      <w:pPr>
        <w:pStyle w:val="TOC2"/>
        <w:rPr>
          <w:rFonts w:asciiTheme="minorHAnsi" w:eastAsiaTheme="minorEastAsia" w:hAnsiTheme="minorHAnsi" w:cstheme="minorBidi"/>
          <w:color w:val="auto"/>
          <w:sz w:val="22"/>
          <w:szCs w:val="22"/>
          <w:lang w:val="en-AU" w:eastAsia="en-AU"/>
        </w:rPr>
      </w:pPr>
      <w:hyperlink w:anchor="_Toc416161472" w:history="1">
        <w:r w:rsidR="00184249" w:rsidRPr="00190BD7">
          <w:rPr>
            <w:rStyle w:val="Hyperlink"/>
            <w:lang w:val="en-AU"/>
          </w:rPr>
          <w:t>Gender Context in Mongolia</w:t>
        </w:r>
        <w:r w:rsidR="00184249">
          <w:rPr>
            <w:webHidden/>
          </w:rPr>
          <w:tab/>
        </w:r>
        <w:r w:rsidR="00184249">
          <w:rPr>
            <w:webHidden/>
          </w:rPr>
          <w:fldChar w:fldCharType="begin"/>
        </w:r>
        <w:r w:rsidR="00184249">
          <w:rPr>
            <w:webHidden/>
          </w:rPr>
          <w:instrText xml:space="preserve"> PAGEREF _Toc416161472 \h </w:instrText>
        </w:r>
        <w:r w:rsidR="00184249">
          <w:rPr>
            <w:webHidden/>
          </w:rPr>
        </w:r>
        <w:r w:rsidR="00184249">
          <w:rPr>
            <w:webHidden/>
          </w:rPr>
          <w:fldChar w:fldCharType="separate"/>
        </w:r>
        <w:r w:rsidR="00184249">
          <w:rPr>
            <w:webHidden/>
          </w:rPr>
          <w:t>4</w:t>
        </w:r>
        <w:r w:rsidR="00184249">
          <w:rPr>
            <w:webHidden/>
          </w:rPr>
          <w:fldChar w:fldCharType="end"/>
        </w:r>
      </w:hyperlink>
    </w:p>
    <w:p w:rsidR="00184249" w:rsidRDefault="00527745">
      <w:pPr>
        <w:pStyle w:val="TOC3"/>
        <w:rPr>
          <w:rFonts w:asciiTheme="minorHAnsi" w:eastAsiaTheme="minorEastAsia" w:hAnsiTheme="minorHAnsi" w:cstheme="minorBidi"/>
          <w:color w:val="auto"/>
          <w:sz w:val="22"/>
          <w:szCs w:val="22"/>
          <w:lang w:val="en-AU" w:eastAsia="en-AU"/>
        </w:rPr>
      </w:pPr>
      <w:hyperlink w:anchor="_Toc416161473" w:history="1">
        <w:r w:rsidR="00184249" w:rsidRPr="00190BD7">
          <w:rPr>
            <w:rStyle w:val="Hyperlink"/>
          </w:rPr>
          <w:t>Gender Gap Statistics</w:t>
        </w:r>
        <w:r w:rsidR="00184249">
          <w:rPr>
            <w:webHidden/>
          </w:rPr>
          <w:tab/>
        </w:r>
        <w:r w:rsidR="00184249">
          <w:rPr>
            <w:webHidden/>
          </w:rPr>
          <w:fldChar w:fldCharType="begin"/>
        </w:r>
        <w:r w:rsidR="00184249">
          <w:rPr>
            <w:webHidden/>
          </w:rPr>
          <w:instrText xml:space="preserve"> PAGEREF _Toc416161473 \h </w:instrText>
        </w:r>
        <w:r w:rsidR="00184249">
          <w:rPr>
            <w:webHidden/>
          </w:rPr>
        </w:r>
        <w:r w:rsidR="00184249">
          <w:rPr>
            <w:webHidden/>
          </w:rPr>
          <w:fldChar w:fldCharType="separate"/>
        </w:r>
        <w:r w:rsidR="00184249">
          <w:rPr>
            <w:webHidden/>
          </w:rPr>
          <w:t>4</w:t>
        </w:r>
        <w:r w:rsidR="00184249">
          <w:rPr>
            <w:webHidden/>
          </w:rPr>
          <w:fldChar w:fldCharType="end"/>
        </w:r>
      </w:hyperlink>
    </w:p>
    <w:p w:rsidR="00184249" w:rsidRDefault="00527745">
      <w:pPr>
        <w:pStyle w:val="TOC2"/>
        <w:rPr>
          <w:rFonts w:asciiTheme="minorHAnsi" w:eastAsiaTheme="minorEastAsia" w:hAnsiTheme="minorHAnsi" w:cstheme="minorBidi"/>
          <w:color w:val="auto"/>
          <w:sz w:val="22"/>
          <w:szCs w:val="22"/>
          <w:lang w:val="en-AU" w:eastAsia="en-AU"/>
        </w:rPr>
      </w:pPr>
      <w:hyperlink w:anchor="_Toc416161474" w:history="1">
        <w:r w:rsidR="00184249" w:rsidRPr="00190BD7">
          <w:rPr>
            <w:rStyle w:val="Hyperlink"/>
            <w:lang w:val="en-AU"/>
          </w:rPr>
          <w:t>Mining in South Gobi, Mongolia</w:t>
        </w:r>
        <w:r w:rsidR="00184249">
          <w:rPr>
            <w:webHidden/>
          </w:rPr>
          <w:tab/>
        </w:r>
        <w:r w:rsidR="00184249">
          <w:rPr>
            <w:webHidden/>
          </w:rPr>
          <w:fldChar w:fldCharType="begin"/>
        </w:r>
        <w:r w:rsidR="00184249">
          <w:rPr>
            <w:webHidden/>
          </w:rPr>
          <w:instrText xml:space="preserve"> PAGEREF _Toc416161474 \h </w:instrText>
        </w:r>
        <w:r w:rsidR="00184249">
          <w:rPr>
            <w:webHidden/>
          </w:rPr>
        </w:r>
        <w:r w:rsidR="00184249">
          <w:rPr>
            <w:webHidden/>
          </w:rPr>
          <w:fldChar w:fldCharType="separate"/>
        </w:r>
        <w:r w:rsidR="00184249">
          <w:rPr>
            <w:webHidden/>
          </w:rPr>
          <w:t>5</w:t>
        </w:r>
        <w:r w:rsidR="00184249">
          <w:rPr>
            <w:webHidden/>
          </w:rPr>
          <w:fldChar w:fldCharType="end"/>
        </w:r>
      </w:hyperlink>
    </w:p>
    <w:p w:rsidR="00184249" w:rsidRDefault="00527745">
      <w:pPr>
        <w:pStyle w:val="TOC2"/>
        <w:rPr>
          <w:rFonts w:asciiTheme="minorHAnsi" w:eastAsiaTheme="minorEastAsia" w:hAnsiTheme="minorHAnsi" w:cstheme="minorBidi"/>
          <w:color w:val="auto"/>
          <w:sz w:val="22"/>
          <w:szCs w:val="22"/>
          <w:lang w:val="en-AU" w:eastAsia="en-AU"/>
        </w:rPr>
      </w:pPr>
      <w:hyperlink w:anchor="_Toc416161475" w:history="1">
        <w:r w:rsidR="00184249" w:rsidRPr="00190BD7">
          <w:rPr>
            <w:rStyle w:val="Hyperlink"/>
            <w:lang w:val="en-AU"/>
          </w:rPr>
          <w:t>Social and Gendered Impacts of Mining</w:t>
        </w:r>
        <w:r w:rsidR="00184249">
          <w:rPr>
            <w:webHidden/>
          </w:rPr>
          <w:tab/>
        </w:r>
        <w:r w:rsidR="00184249">
          <w:rPr>
            <w:webHidden/>
          </w:rPr>
          <w:fldChar w:fldCharType="begin"/>
        </w:r>
        <w:r w:rsidR="00184249">
          <w:rPr>
            <w:webHidden/>
          </w:rPr>
          <w:instrText xml:space="preserve"> PAGEREF _Toc416161475 \h </w:instrText>
        </w:r>
        <w:r w:rsidR="00184249">
          <w:rPr>
            <w:webHidden/>
          </w:rPr>
        </w:r>
        <w:r w:rsidR="00184249">
          <w:rPr>
            <w:webHidden/>
          </w:rPr>
          <w:fldChar w:fldCharType="separate"/>
        </w:r>
        <w:r w:rsidR="00184249">
          <w:rPr>
            <w:webHidden/>
          </w:rPr>
          <w:t>6</w:t>
        </w:r>
        <w:r w:rsidR="00184249">
          <w:rPr>
            <w:webHidden/>
          </w:rPr>
          <w:fldChar w:fldCharType="end"/>
        </w:r>
      </w:hyperlink>
    </w:p>
    <w:p w:rsidR="00184249" w:rsidRDefault="00527745">
      <w:pPr>
        <w:pStyle w:val="TOC3"/>
        <w:rPr>
          <w:rFonts w:asciiTheme="minorHAnsi" w:eastAsiaTheme="minorEastAsia" w:hAnsiTheme="minorHAnsi" w:cstheme="minorBidi"/>
          <w:color w:val="auto"/>
          <w:sz w:val="22"/>
          <w:szCs w:val="22"/>
          <w:lang w:val="en-AU" w:eastAsia="en-AU"/>
        </w:rPr>
      </w:pPr>
      <w:hyperlink w:anchor="_Toc416161476" w:history="1">
        <w:r w:rsidR="00184249" w:rsidRPr="00190BD7">
          <w:rPr>
            <w:rStyle w:val="Hyperlink"/>
            <w:lang w:val="en-AU"/>
          </w:rPr>
          <w:t>Women’s Employment in Mining</w:t>
        </w:r>
        <w:r w:rsidR="00184249">
          <w:rPr>
            <w:webHidden/>
          </w:rPr>
          <w:tab/>
        </w:r>
        <w:r w:rsidR="00184249">
          <w:rPr>
            <w:webHidden/>
          </w:rPr>
          <w:fldChar w:fldCharType="begin"/>
        </w:r>
        <w:r w:rsidR="00184249">
          <w:rPr>
            <w:webHidden/>
          </w:rPr>
          <w:instrText xml:space="preserve"> PAGEREF _Toc416161476 \h </w:instrText>
        </w:r>
        <w:r w:rsidR="00184249">
          <w:rPr>
            <w:webHidden/>
          </w:rPr>
        </w:r>
        <w:r w:rsidR="00184249">
          <w:rPr>
            <w:webHidden/>
          </w:rPr>
          <w:fldChar w:fldCharType="separate"/>
        </w:r>
        <w:r w:rsidR="00184249">
          <w:rPr>
            <w:webHidden/>
          </w:rPr>
          <w:t>6</w:t>
        </w:r>
        <w:r w:rsidR="00184249">
          <w:rPr>
            <w:webHidden/>
          </w:rPr>
          <w:fldChar w:fldCharType="end"/>
        </w:r>
      </w:hyperlink>
    </w:p>
    <w:p w:rsidR="00184249" w:rsidRDefault="00527745">
      <w:pPr>
        <w:pStyle w:val="TOC3"/>
        <w:rPr>
          <w:rFonts w:asciiTheme="minorHAnsi" w:eastAsiaTheme="minorEastAsia" w:hAnsiTheme="minorHAnsi" w:cstheme="minorBidi"/>
          <w:color w:val="auto"/>
          <w:sz w:val="22"/>
          <w:szCs w:val="22"/>
          <w:lang w:val="en-AU" w:eastAsia="en-AU"/>
        </w:rPr>
      </w:pPr>
      <w:hyperlink w:anchor="_Toc416161477" w:history="1">
        <w:r w:rsidR="00184249" w:rsidRPr="00190BD7">
          <w:rPr>
            <w:rStyle w:val="Hyperlink"/>
            <w:lang w:val="en-AU"/>
          </w:rPr>
          <w:t>Employment and Entreapenurship</w:t>
        </w:r>
        <w:r w:rsidR="00184249">
          <w:rPr>
            <w:webHidden/>
          </w:rPr>
          <w:tab/>
        </w:r>
        <w:r w:rsidR="00184249">
          <w:rPr>
            <w:webHidden/>
          </w:rPr>
          <w:fldChar w:fldCharType="begin"/>
        </w:r>
        <w:r w:rsidR="00184249">
          <w:rPr>
            <w:webHidden/>
          </w:rPr>
          <w:instrText xml:space="preserve"> PAGEREF _Toc416161477 \h </w:instrText>
        </w:r>
        <w:r w:rsidR="00184249">
          <w:rPr>
            <w:webHidden/>
          </w:rPr>
        </w:r>
        <w:r w:rsidR="00184249">
          <w:rPr>
            <w:webHidden/>
          </w:rPr>
          <w:fldChar w:fldCharType="separate"/>
        </w:r>
        <w:r w:rsidR="00184249">
          <w:rPr>
            <w:webHidden/>
          </w:rPr>
          <w:t>7</w:t>
        </w:r>
        <w:r w:rsidR="00184249">
          <w:rPr>
            <w:webHidden/>
          </w:rPr>
          <w:fldChar w:fldCharType="end"/>
        </w:r>
      </w:hyperlink>
    </w:p>
    <w:p w:rsidR="00184249" w:rsidRDefault="00527745">
      <w:pPr>
        <w:pStyle w:val="TOC3"/>
        <w:rPr>
          <w:rFonts w:asciiTheme="minorHAnsi" w:eastAsiaTheme="minorEastAsia" w:hAnsiTheme="minorHAnsi" w:cstheme="minorBidi"/>
          <w:color w:val="auto"/>
          <w:sz w:val="22"/>
          <w:szCs w:val="22"/>
          <w:lang w:val="en-AU" w:eastAsia="en-AU"/>
        </w:rPr>
      </w:pPr>
      <w:hyperlink w:anchor="_Toc416161478" w:history="1">
        <w:r w:rsidR="00184249" w:rsidRPr="00190BD7">
          <w:rPr>
            <w:rStyle w:val="Hyperlink"/>
            <w:lang w:val="en-AU"/>
          </w:rPr>
          <w:t>Population Influx</w:t>
        </w:r>
        <w:r w:rsidR="00184249">
          <w:rPr>
            <w:webHidden/>
          </w:rPr>
          <w:tab/>
        </w:r>
        <w:r w:rsidR="00184249">
          <w:rPr>
            <w:webHidden/>
          </w:rPr>
          <w:fldChar w:fldCharType="begin"/>
        </w:r>
        <w:r w:rsidR="00184249">
          <w:rPr>
            <w:webHidden/>
          </w:rPr>
          <w:instrText xml:space="preserve"> PAGEREF _Toc416161478 \h </w:instrText>
        </w:r>
        <w:r w:rsidR="00184249">
          <w:rPr>
            <w:webHidden/>
          </w:rPr>
        </w:r>
        <w:r w:rsidR="00184249">
          <w:rPr>
            <w:webHidden/>
          </w:rPr>
          <w:fldChar w:fldCharType="separate"/>
        </w:r>
        <w:r w:rsidR="00184249">
          <w:rPr>
            <w:webHidden/>
          </w:rPr>
          <w:t>8</w:t>
        </w:r>
        <w:r w:rsidR="00184249">
          <w:rPr>
            <w:webHidden/>
          </w:rPr>
          <w:fldChar w:fldCharType="end"/>
        </w:r>
      </w:hyperlink>
    </w:p>
    <w:p w:rsidR="00184249" w:rsidRDefault="00527745">
      <w:pPr>
        <w:pStyle w:val="TOC3"/>
        <w:rPr>
          <w:rFonts w:asciiTheme="minorHAnsi" w:eastAsiaTheme="minorEastAsia" w:hAnsiTheme="minorHAnsi" w:cstheme="minorBidi"/>
          <w:color w:val="auto"/>
          <w:sz w:val="22"/>
          <w:szCs w:val="22"/>
          <w:lang w:val="en-AU" w:eastAsia="en-AU"/>
        </w:rPr>
      </w:pPr>
      <w:hyperlink w:anchor="_Toc416161479" w:history="1">
        <w:r w:rsidR="00184249" w:rsidRPr="00190BD7">
          <w:rPr>
            <w:rStyle w:val="Hyperlink"/>
            <w:lang w:val="en-AU"/>
          </w:rPr>
          <w:t>Gender Based Violence (GBV) and Mining</w:t>
        </w:r>
        <w:r w:rsidR="00184249">
          <w:rPr>
            <w:webHidden/>
          </w:rPr>
          <w:tab/>
        </w:r>
        <w:r w:rsidR="00184249">
          <w:rPr>
            <w:webHidden/>
          </w:rPr>
          <w:fldChar w:fldCharType="begin"/>
        </w:r>
        <w:r w:rsidR="00184249">
          <w:rPr>
            <w:webHidden/>
          </w:rPr>
          <w:instrText xml:space="preserve"> PAGEREF _Toc416161479 \h </w:instrText>
        </w:r>
        <w:r w:rsidR="00184249">
          <w:rPr>
            <w:webHidden/>
          </w:rPr>
        </w:r>
        <w:r w:rsidR="00184249">
          <w:rPr>
            <w:webHidden/>
          </w:rPr>
          <w:fldChar w:fldCharType="separate"/>
        </w:r>
        <w:r w:rsidR="00184249">
          <w:rPr>
            <w:webHidden/>
          </w:rPr>
          <w:t>10</w:t>
        </w:r>
        <w:r w:rsidR="00184249">
          <w:rPr>
            <w:webHidden/>
          </w:rPr>
          <w:fldChar w:fldCharType="end"/>
        </w:r>
      </w:hyperlink>
    </w:p>
    <w:p w:rsidR="00184249" w:rsidRDefault="00527745">
      <w:pPr>
        <w:pStyle w:val="TOC3"/>
        <w:rPr>
          <w:rFonts w:asciiTheme="minorHAnsi" w:eastAsiaTheme="minorEastAsia" w:hAnsiTheme="minorHAnsi" w:cstheme="minorBidi"/>
          <w:color w:val="auto"/>
          <w:sz w:val="22"/>
          <w:szCs w:val="22"/>
          <w:lang w:val="en-AU" w:eastAsia="en-AU"/>
        </w:rPr>
      </w:pPr>
      <w:hyperlink w:anchor="_Toc416161480" w:history="1">
        <w:r w:rsidR="00184249" w:rsidRPr="00190BD7">
          <w:rPr>
            <w:rStyle w:val="Hyperlink"/>
            <w:lang w:val="en-AU"/>
          </w:rPr>
          <w:t>HIV/STDs</w:t>
        </w:r>
        <w:r w:rsidR="00184249">
          <w:rPr>
            <w:webHidden/>
          </w:rPr>
          <w:tab/>
        </w:r>
        <w:r w:rsidR="00184249">
          <w:rPr>
            <w:webHidden/>
          </w:rPr>
          <w:fldChar w:fldCharType="begin"/>
        </w:r>
        <w:r w:rsidR="00184249">
          <w:rPr>
            <w:webHidden/>
          </w:rPr>
          <w:instrText xml:space="preserve"> PAGEREF _Toc416161480 \h </w:instrText>
        </w:r>
        <w:r w:rsidR="00184249">
          <w:rPr>
            <w:webHidden/>
          </w:rPr>
        </w:r>
        <w:r w:rsidR="00184249">
          <w:rPr>
            <w:webHidden/>
          </w:rPr>
          <w:fldChar w:fldCharType="separate"/>
        </w:r>
        <w:r w:rsidR="00184249">
          <w:rPr>
            <w:webHidden/>
          </w:rPr>
          <w:t>10</w:t>
        </w:r>
        <w:r w:rsidR="00184249">
          <w:rPr>
            <w:webHidden/>
          </w:rPr>
          <w:fldChar w:fldCharType="end"/>
        </w:r>
      </w:hyperlink>
    </w:p>
    <w:p w:rsidR="00184249" w:rsidRDefault="00527745">
      <w:pPr>
        <w:pStyle w:val="TOC2"/>
        <w:rPr>
          <w:rFonts w:asciiTheme="minorHAnsi" w:eastAsiaTheme="minorEastAsia" w:hAnsiTheme="minorHAnsi" w:cstheme="minorBidi"/>
          <w:color w:val="auto"/>
          <w:sz w:val="22"/>
          <w:szCs w:val="22"/>
          <w:lang w:val="en-AU" w:eastAsia="en-AU"/>
        </w:rPr>
      </w:pPr>
      <w:hyperlink w:anchor="_Toc416161481" w:history="1">
        <w:r w:rsidR="00184249" w:rsidRPr="00190BD7">
          <w:rPr>
            <w:rStyle w:val="Hyperlink"/>
            <w:lang w:val="en-AU"/>
          </w:rPr>
          <w:t>Concluding Remarks</w:t>
        </w:r>
        <w:r w:rsidR="00184249">
          <w:rPr>
            <w:webHidden/>
          </w:rPr>
          <w:tab/>
        </w:r>
        <w:r w:rsidR="00184249">
          <w:rPr>
            <w:webHidden/>
          </w:rPr>
          <w:fldChar w:fldCharType="begin"/>
        </w:r>
        <w:r w:rsidR="00184249">
          <w:rPr>
            <w:webHidden/>
          </w:rPr>
          <w:instrText xml:space="preserve"> PAGEREF _Toc416161481 \h </w:instrText>
        </w:r>
        <w:r w:rsidR="00184249">
          <w:rPr>
            <w:webHidden/>
          </w:rPr>
        </w:r>
        <w:r w:rsidR="00184249">
          <w:rPr>
            <w:webHidden/>
          </w:rPr>
          <w:fldChar w:fldCharType="separate"/>
        </w:r>
        <w:r w:rsidR="00184249">
          <w:rPr>
            <w:webHidden/>
          </w:rPr>
          <w:t>11</w:t>
        </w:r>
        <w:r w:rsidR="00184249">
          <w:rPr>
            <w:webHidden/>
          </w:rPr>
          <w:fldChar w:fldCharType="end"/>
        </w:r>
      </w:hyperlink>
    </w:p>
    <w:p w:rsidR="00184249" w:rsidRDefault="00527745">
      <w:pPr>
        <w:pStyle w:val="TOC2"/>
        <w:rPr>
          <w:rFonts w:asciiTheme="minorHAnsi" w:eastAsiaTheme="minorEastAsia" w:hAnsiTheme="minorHAnsi" w:cstheme="minorBidi"/>
          <w:color w:val="auto"/>
          <w:sz w:val="22"/>
          <w:szCs w:val="22"/>
          <w:lang w:val="en-AU" w:eastAsia="en-AU"/>
        </w:rPr>
      </w:pPr>
      <w:hyperlink w:anchor="_Toc416161482" w:history="1">
        <w:r w:rsidR="00184249" w:rsidRPr="00190BD7">
          <w:rPr>
            <w:rStyle w:val="Hyperlink"/>
            <w:lang w:val="en-AU" w:bidi="en-US"/>
          </w:rPr>
          <w:t>Recommendations</w:t>
        </w:r>
        <w:r w:rsidR="00184249">
          <w:rPr>
            <w:webHidden/>
          </w:rPr>
          <w:tab/>
        </w:r>
        <w:r w:rsidR="00184249">
          <w:rPr>
            <w:webHidden/>
          </w:rPr>
          <w:fldChar w:fldCharType="begin"/>
        </w:r>
        <w:r w:rsidR="00184249">
          <w:rPr>
            <w:webHidden/>
          </w:rPr>
          <w:instrText xml:space="preserve"> PAGEREF _Toc416161482 \h </w:instrText>
        </w:r>
        <w:r w:rsidR="00184249">
          <w:rPr>
            <w:webHidden/>
          </w:rPr>
        </w:r>
        <w:r w:rsidR="00184249">
          <w:rPr>
            <w:webHidden/>
          </w:rPr>
          <w:fldChar w:fldCharType="separate"/>
        </w:r>
        <w:r w:rsidR="00184249">
          <w:rPr>
            <w:webHidden/>
          </w:rPr>
          <w:t>11</w:t>
        </w:r>
        <w:r w:rsidR="00184249">
          <w:rPr>
            <w:webHidden/>
          </w:rPr>
          <w:fldChar w:fldCharType="end"/>
        </w:r>
      </w:hyperlink>
    </w:p>
    <w:p w:rsidR="00184249" w:rsidRDefault="00527745">
      <w:pPr>
        <w:pStyle w:val="TOC2"/>
        <w:rPr>
          <w:rFonts w:asciiTheme="minorHAnsi" w:eastAsiaTheme="minorEastAsia" w:hAnsiTheme="minorHAnsi" w:cstheme="minorBidi"/>
          <w:color w:val="auto"/>
          <w:sz w:val="22"/>
          <w:szCs w:val="22"/>
          <w:lang w:val="en-AU" w:eastAsia="en-AU"/>
        </w:rPr>
      </w:pPr>
      <w:hyperlink w:anchor="_Toc416161483" w:history="1">
        <w:r w:rsidR="00184249" w:rsidRPr="00190BD7">
          <w:rPr>
            <w:rStyle w:val="Hyperlink"/>
            <w:lang w:val="en-AU"/>
          </w:rPr>
          <w:t>References</w:t>
        </w:r>
        <w:r w:rsidR="00184249">
          <w:rPr>
            <w:webHidden/>
          </w:rPr>
          <w:tab/>
        </w:r>
        <w:r w:rsidR="00184249">
          <w:rPr>
            <w:webHidden/>
          </w:rPr>
          <w:fldChar w:fldCharType="begin"/>
        </w:r>
        <w:r w:rsidR="00184249">
          <w:rPr>
            <w:webHidden/>
          </w:rPr>
          <w:instrText xml:space="preserve"> PAGEREF _Toc416161483 \h </w:instrText>
        </w:r>
        <w:r w:rsidR="00184249">
          <w:rPr>
            <w:webHidden/>
          </w:rPr>
        </w:r>
        <w:r w:rsidR="00184249">
          <w:rPr>
            <w:webHidden/>
          </w:rPr>
          <w:fldChar w:fldCharType="separate"/>
        </w:r>
        <w:r w:rsidR="00184249">
          <w:rPr>
            <w:webHidden/>
          </w:rPr>
          <w:t>13</w:t>
        </w:r>
        <w:r w:rsidR="00184249">
          <w:rPr>
            <w:webHidden/>
          </w:rPr>
          <w:fldChar w:fldCharType="end"/>
        </w:r>
      </w:hyperlink>
    </w:p>
    <w:p w:rsidR="00BF0155" w:rsidRPr="00BF0155" w:rsidRDefault="008A5E0F" w:rsidP="001309DB">
      <w:pPr>
        <w:pStyle w:val="TOC1"/>
        <w:spacing w:before="60" w:after="60" w:line="240" w:lineRule="auto"/>
      </w:pPr>
      <w:r w:rsidRPr="001309DB">
        <w:rPr>
          <w:color w:val="6D6E71" w:themeColor="text2"/>
        </w:rPr>
        <w:fldChar w:fldCharType="end"/>
      </w:r>
    </w:p>
    <w:p w:rsidR="00BF0155" w:rsidRPr="00BF0155" w:rsidRDefault="00BF0155" w:rsidP="00BF0155">
      <w:pPr>
        <w:rPr>
          <w:b/>
        </w:rPr>
      </w:pPr>
    </w:p>
    <w:p w:rsidR="00714A8F" w:rsidRDefault="00714A8F" w:rsidP="00714A8F">
      <w:pPr>
        <w:pStyle w:val="Heading2"/>
      </w:pPr>
      <w:r>
        <w:br w:type="page"/>
      </w:r>
    </w:p>
    <w:p w:rsidR="00934BA4" w:rsidRPr="00714A8F" w:rsidRDefault="00C97B51" w:rsidP="00714A8F">
      <w:pPr>
        <w:pStyle w:val="Heading2"/>
      </w:pPr>
      <w:bookmarkStart w:id="19" w:name="_Toc416161470"/>
      <w:r w:rsidRPr="00714A8F">
        <w:lastRenderedPageBreak/>
        <w:t>Introduction</w:t>
      </w:r>
      <w:bookmarkEnd w:id="19"/>
    </w:p>
    <w:p w:rsidR="008C4116" w:rsidRPr="008C4116" w:rsidRDefault="008C4116" w:rsidP="008C4116">
      <w:pPr>
        <w:pStyle w:val="ASIBodyCopy"/>
        <w:rPr>
          <w:i/>
          <w:lang w:val="en-AU"/>
        </w:rPr>
      </w:pPr>
      <w:r w:rsidRPr="008C4116">
        <w:rPr>
          <w:lang w:val="en-AU"/>
        </w:rPr>
        <w:t xml:space="preserve">Evidence suggests that women often withstand the worst of the negative social impacts from mining (Macdonald and Rowland 2002; </w:t>
      </w:r>
      <w:proofErr w:type="spellStart"/>
      <w:r w:rsidRPr="008C4116">
        <w:rPr>
          <w:lang w:val="en-AU"/>
        </w:rPr>
        <w:t>Lahiri</w:t>
      </w:r>
      <w:r w:rsidRPr="008C4116">
        <w:rPr>
          <w:rFonts w:ascii="Cambria Math" w:hAnsi="Cambria Math" w:cs="Cambria Math"/>
          <w:lang w:val="en-AU"/>
        </w:rPr>
        <w:t>‐</w:t>
      </w:r>
      <w:r w:rsidRPr="008C4116">
        <w:rPr>
          <w:lang w:val="en-AU"/>
        </w:rPr>
        <w:t>Dutt</w:t>
      </w:r>
      <w:proofErr w:type="spellEnd"/>
      <w:r w:rsidRPr="008C4116">
        <w:rPr>
          <w:lang w:val="en-AU"/>
        </w:rPr>
        <w:t xml:space="preserve"> 2011).The purpose of this document is to describe the social and gendered impacts of mining in Mongolia. This updated report was requested due to the economic and political changes witnessed since the original report was written in 2012. The original paper draws on analysis conducted during Concept development of the design, specifically </w:t>
      </w:r>
      <w:r w:rsidRPr="008C4116">
        <w:rPr>
          <w:i/>
          <w:lang w:val="en-AU"/>
        </w:rPr>
        <w:t>AMEP Concept Note, 26 July 2012</w:t>
      </w:r>
      <w:r w:rsidRPr="008C4116">
        <w:rPr>
          <w:lang w:val="en-AU"/>
        </w:rPr>
        <w:t xml:space="preserve"> and the </w:t>
      </w:r>
      <w:r w:rsidRPr="008C4116">
        <w:rPr>
          <w:i/>
          <w:lang w:val="en-AU"/>
        </w:rPr>
        <w:t xml:space="preserve">AMEP Scoping Mission Final Report. </w:t>
      </w:r>
    </w:p>
    <w:p w:rsidR="008C4116" w:rsidRPr="008C4116" w:rsidRDefault="008C4116" w:rsidP="008C4116">
      <w:pPr>
        <w:pStyle w:val="ASIBodyCopy"/>
        <w:rPr>
          <w:lang w:val="en-AU"/>
        </w:rPr>
      </w:pPr>
      <w:r w:rsidRPr="008C4116">
        <w:rPr>
          <w:lang w:val="en-AU"/>
        </w:rPr>
        <w:t>In terms of the Social and Gender impacts, the advice drawn from the Scoping and Concept reports recommended a focus on the South Gobi Province, in the vicinity of the large industrial mines.</w:t>
      </w:r>
      <w:r w:rsidRPr="008C4116">
        <w:rPr>
          <w:vertAlign w:val="superscript"/>
          <w:lang w:val="en-AU"/>
        </w:rPr>
        <w:footnoteReference w:id="2"/>
      </w:r>
      <w:r w:rsidRPr="008C4116">
        <w:rPr>
          <w:lang w:val="en-AU"/>
        </w:rPr>
        <w:t xml:space="preserve"> Therefore, the initial Design Mission field work concentrated on key stakeholder engagement in this area, including interviews at Oyu Tolgoi and UHG Mines, and with their Head Office personnel, administration and community representatives in Khanbogd (42km from Oyu Tolgoi), Tsogttsetsii (directly adjacent to UHG) and Dalanzadgad, the provincial capital. </w:t>
      </w:r>
    </w:p>
    <w:p w:rsidR="008C4116" w:rsidRDefault="008C4116" w:rsidP="008C4116">
      <w:pPr>
        <w:pStyle w:val="ASIBodyCopy"/>
        <w:rPr>
          <w:lang w:val="en-AU"/>
        </w:rPr>
      </w:pPr>
      <w:r w:rsidRPr="008C4116">
        <w:rPr>
          <w:lang w:val="en-AU"/>
        </w:rPr>
        <w:t xml:space="preserve">The update of this original analysis is drawn from additional meetings held in Ulaanbaatar made during the 2015 Aid Investment Plan (AIP) mission to Mongolia with Mongolian gender-based Non-Government Organisations (NGOs), International NGOs with offices in Mongolia and donor agencies such as the World Bank, UNFPA, GIZ, SDC, ADB, and government agencies. Furthermore, the paper adds new material from the accompanying report, </w:t>
      </w:r>
      <w:r w:rsidRPr="008C4116">
        <w:rPr>
          <w:i/>
          <w:lang w:val="en-AU"/>
        </w:rPr>
        <w:t>Analysis of economic, political and social issues that support or hinder growth and poverty reduction in Mongolia</w:t>
      </w:r>
      <w:r w:rsidRPr="008C4116">
        <w:rPr>
          <w:lang w:val="en-AU"/>
        </w:rPr>
        <w:t>. Likewise more recent research and reports are drawn on to produce findings in the report.</w:t>
      </w:r>
    </w:p>
    <w:p w:rsidR="005B13CE" w:rsidRPr="008C4116" w:rsidRDefault="005B13CE" w:rsidP="00184249">
      <w:pPr>
        <w:pStyle w:val="ASIBulletPoint"/>
        <w:numPr>
          <w:ilvl w:val="0"/>
          <w:numId w:val="0"/>
        </w:numPr>
        <w:jc w:val="both"/>
        <w:rPr>
          <w:lang w:val="en-AU"/>
        </w:rPr>
      </w:pPr>
      <w:r w:rsidRPr="004F5BFC">
        <w:rPr>
          <w:lang w:val="en-AU"/>
        </w:rPr>
        <w:t>During the</w:t>
      </w:r>
      <w:r>
        <w:rPr>
          <w:lang w:val="en-AU"/>
        </w:rPr>
        <w:t xml:space="preserve"> original</w:t>
      </w:r>
      <w:r w:rsidRPr="004F5BFC">
        <w:rPr>
          <w:lang w:val="en-AU"/>
        </w:rPr>
        <w:t xml:space="preserve"> Design Mission, members of the team were able to visit three of the five districts of South Gobi Province that have been nominated for special focus for AMEP.  These districts are Dalanzadgad, Tsogttsetsii and Khanbogd.  We were unable to visit the other two proposed focus districts of Bayan-Ovoo and Manlai, although both are considered part of the direct impact zones of the UHG and Oyu Tolgoi Mines.  In all three places, the team were able to speak to district administration officials with responsibility for health and social welfare issues, women’s organisations, and a range of other key informants such as teachers, businesspeople and livestock experts.  We were also able to interview the Community Relations teams of both Oyu Tolgoi and Ukhaa Khudag Mines.  </w:t>
      </w:r>
    </w:p>
    <w:p w:rsidR="00C97B51" w:rsidRDefault="008C4116" w:rsidP="008C4116">
      <w:pPr>
        <w:pStyle w:val="ASIBodyCopy"/>
        <w:rPr>
          <w:lang w:val="en-US"/>
        </w:rPr>
      </w:pPr>
      <w:r w:rsidRPr="008C4116">
        <w:rPr>
          <w:lang w:val="en-AU"/>
        </w:rPr>
        <w:t>When the initial report was drafted in 2012</w:t>
      </w:r>
      <w:r w:rsidR="00A02A59">
        <w:rPr>
          <w:lang w:val="en-AU"/>
        </w:rPr>
        <w:t>,</w:t>
      </w:r>
      <w:r w:rsidRPr="008C4116">
        <w:rPr>
          <w:lang w:val="en-AU"/>
        </w:rPr>
        <w:t xml:space="preserve"> Mongolia was undergoing rapid economic growth, primarily based on its vast minerals wealth. However, a fall in commodity prices, coupled with government instability has produced a slowdown of foreign direct investment (FDI) and a slump in economic growth. Further, in 2012 both Oyu Tolgoi and Tawan Tolgoi were in the construction phases of mining, which is associated with higher peaks in economic activity and employment. In contrast, in 2015 many mining operations have shut down or are in caretaker mode. Therefore, the social and gendered impacts of mining in Mongolia have shifted since the original report. The document will build on the initial analysis and update new observations that are relevant to affected communities and groups. </w:t>
      </w:r>
      <w:r w:rsidR="005B13CE" w:rsidRPr="004F5BFC">
        <w:rPr>
          <w:lang w:val="en-AU"/>
        </w:rPr>
        <w:t xml:space="preserve">The primary findings of the missions have been collated under the following headings: Women’s Employment and Mining, Population influx and Local Governance. </w:t>
      </w:r>
      <w:r w:rsidRPr="008C4116">
        <w:rPr>
          <w:lang w:val="en-AU"/>
        </w:rPr>
        <w:t>Finally, recommendations for mainstreaming gender in regards to the new economic and political environment will be made in each section.</w:t>
      </w:r>
    </w:p>
    <w:p w:rsidR="00C97B51" w:rsidRDefault="008C4116" w:rsidP="008C4116">
      <w:pPr>
        <w:pStyle w:val="Heading3"/>
      </w:pPr>
      <w:bookmarkStart w:id="20" w:name="_Toc416161471"/>
      <w:r>
        <w:t>Reflections of Priorities</w:t>
      </w:r>
      <w:bookmarkEnd w:id="20"/>
      <w:r>
        <w:t xml:space="preserve"> </w:t>
      </w:r>
    </w:p>
    <w:p w:rsidR="008C4116" w:rsidRPr="008C4116" w:rsidRDefault="008C4116" w:rsidP="008C4116">
      <w:pPr>
        <w:rPr>
          <w:lang w:val="en-AU"/>
        </w:rPr>
      </w:pPr>
      <w:r w:rsidRPr="008C4116">
        <w:rPr>
          <w:lang w:val="en-AU"/>
        </w:rPr>
        <w:t xml:space="preserve">In the Concept Note, the priority activities for Component 3 of the </w:t>
      </w:r>
      <w:r w:rsidRPr="008C4116">
        <w:rPr>
          <w:i/>
          <w:lang w:val="en-AU"/>
        </w:rPr>
        <w:t>Australia Mongolia Extractives Program</w:t>
      </w:r>
      <w:r w:rsidRPr="008C4116">
        <w:rPr>
          <w:lang w:val="en-AU"/>
        </w:rPr>
        <w:t xml:space="preserve"> were:</w:t>
      </w:r>
      <w:r w:rsidRPr="008C4116">
        <w:rPr>
          <w:vertAlign w:val="superscript"/>
          <w:lang w:val="en-AU"/>
        </w:rPr>
        <w:footnoteReference w:id="3"/>
      </w:r>
    </w:p>
    <w:p w:rsidR="008C4116" w:rsidRDefault="008C4116" w:rsidP="008C4116">
      <w:pPr>
        <w:pStyle w:val="ASIBulletPoint"/>
      </w:pPr>
      <w:r>
        <w:t xml:space="preserve">High Priority </w:t>
      </w:r>
    </w:p>
    <w:p w:rsidR="008C4116" w:rsidRDefault="008C4116" w:rsidP="00591C9C">
      <w:pPr>
        <w:pStyle w:val="ASIBulletPoint"/>
        <w:numPr>
          <w:ilvl w:val="1"/>
          <w:numId w:val="5"/>
        </w:numPr>
      </w:pPr>
      <w:r w:rsidRPr="008C4116">
        <w:t>Prevent and Reduce: gender-based violence, and HIV/AIDS and exploitative prostitution in mining communities</w:t>
      </w:r>
    </w:p>
    <w:p w:rsidR="008C4116" w:rsidRDefault="008C4116" w:rsidP="008C4116">
      <w:pPr>
        <w:pStyle w:val="ASIBulletPoint"/>
      </w:pPr>
      <w:r>
        <w:t xml:space="preserve">Medium Priority </w:t>
      </w:r>
    </w:p>
    <w:p w:rsidR="008C4116" w:rsidRPr="008C4116" w:rsidRDefault="008C4116" w:rsidP="00591C9C">
      <w:pPr>
        <w:pStyle w:val="ASIBulletPoint"/>
        <w:numPr>
          <w:ilvl w:val="1"/>
          <w:numId w:val="5"/>
        </w:numPr>
      </w:pPr>
      <w:r w:rsidRPr="008C4116">
        <w:t>Improve women’s participation in mining related employment</w:t>
      </w:r>
    </w:p>
    <w:p w:rsidR="008C4116" w:rsidRDefault="008C4116" w:rsidP="00591C9C">
      <w:pPr>
        <w:pStyle w:val="ASIBulletPoint"/>
        <w:numPr>
          <w:ilvl w:val="1"/>
          <w:numId w:val="5"/>
        </w:numPr>
      </w:pPr>
      <w:r>
        <w:t>Support NGOs and Community Based Organisations (CBOs) to engage with government to ensure equitable and transparent distribution of benefits from mining</w:t>
      </w:r>
    </w:p>
    <w:p w:rsidR="008C4116" w:rsidRDefault="008C4116" w:rsidP="00591C9C">
      <w:pPr>
        <w:pStyle w:val="ASIBulletPoint"/>
        <w:numPr>
          <w:ilvl w:val="1"/>
          <w:numId w:val="5"/>
        </w:numPr>
      </w:pPr>
      <w:r>
        <w:t>Social Impact Assessment regulations</w:t>
      </w:r>
    </w:p>
    <w:p w:rsidR="008C4116" w:rsidRDefault="008C4116" w:rsidP="008C4116">
      <w:pPr>
        <w:pStyle w:val="ASIBulletPoint"/>
      </w:pPr>
      <w:r>
        <w:lastRenderedPageBreak/>
        <w:t>Low Priority</w:t>
      </w:r>
    </w:p>
    <w:p w:rsidR="008C4116" w:rsidRDefault="008C4116" w:rsidP="00591C9C">
      <w:pPr>
        <w:pStyle w:val="ASIBulletPoint"/>
        <w:numPr>
          <w:ilvl w:val="1"/>
          <w:numId w:val="5"/>
        </w:numPr>
      </w:pPr>
      <w:r>
        <w:t>Building the skills of sum residents to be able to develop small businesses</w:t>
      </w:r>
    </w:p>
    <w:p w:rsidR="008C4116" w:rsidRDefault="008C4116" w:rsidP="00591C9C">
      <w:pPr>
        <w:pStyle w:val="ASIBulletPoint"/>
        <w:numPr>
          <w:ilvl w:val="1"/>
          <w:numId w:val="5"/>
        </w:numPr>
      </w:pPr>
      <w:r>
        <w:t>Partnering with The Asia Foundation on artisanal and small-scale mining (ASM) and mining community development</w:t>
      </w:r>
    </w:p>
    <w:p w:rsidR="008C4116" w:rsidRDefault="008C4116" w:rsidP="00591C9C">
      <w:pPr>
        <w:pStyle w:val="ASIBulletPoint"/>
        <w:numPr>
          <w:ilvl w:val="1"/>
          <w:numId w:val="5"/>
        </w:numPr>
      </w:pPr>
      <w:r>
        <w:t>Assistance to ASM miners to reduce child labour</w:t>
      </w:r>
    </w:p>
    <w:p w:rsidR="008C4116" w:rsidRDefault="008C4116" w:rsidP="00591C9C">
      <w:pPr>
        <w:pStyle w:val="ASIBulletPoint"/>
        <w:numPr>
          <w:ilvl w:val="1"/>
          <w:numId w:val="5"/>
        </w:numPr>
      </w:pPr>
      <w:r>
        <w:t>Mining companies and Corporate Social Responsibility (CSR)</w:t>
      </w:r>
    </w:p>
    <w:p w:rsidR="008C4116" w:rsidRDefault="008C4116" w:rsidP="00591C9C">
      <w:pPr>
        <w:pStyle w:val="ASIBulletPoint"/>
        <w:numPr>
          <w:ilvl w:val="1"/>
          <w:numId w:val="5"/>
        </w:numPr>
      </w:pPr>
      <w:r>
        <w:t>Community engagement on regional development and government service delivery</w:t>
      </w:r>
    </w:p>
    <w:p w:rsidR="008C4116" w:rsidRPr="008C4116" w:rsidRDefault="008C4116" w:rsidP="00240553">
      <w:pPr>
        <w:pStyle w:val="ASIBodyCopy"/>
        <w:rPr>
          <w:lang w:val="en-AU"/>
        </w:rPr>
      </w:pPr>
      <w:r w:rsidRPr="008C4116">
        <w:rPr>
          <w:lang w:val="en-AU"/>
        </w:rPr>
        <w:t>The AIP team considered all of these identified activities during the course of the mission and discussed them extensively with key stakeholders. As an initial decision was made to focus on large-scale mining rather than artisanal mining, the proposed ASM activities listed above were not pursued with vigour</w:t>
      </w:r>
      <w:r w:rsidR="00FD42DB">
        <w:rPr>
          <w:lang w:val="en-AU"/>
        </w:rPr>
        <w:t>;</w:t>
      </w:r>
      <w:r w:rsidRPr="008C4116">
        <w:rPr>
          <w:lang w:val="en-AU"/>
        </w:rPr>
        <w:t xml:space="preserve"> </w:t>
      </w:r>
      <w:r w:rsidR="00FD42DB">
        <w:rPr>
          <w:lang w:val="en-AU"/>
        </w:rPr>
        <w:t>h</w:t>
      </w:r>
      <w:r w:rsidRPr="008C4116">
        <w:rPr>
          <w:lang w:val="en-AU"/>
        </w:rPr>
        <w:t>owever</w:t>
      </w:r>
      <w:r w:rsidR="00A02A59">
        <w:rPr>
          <w:lang w:val="en-AU"/>
        </w:rPr>
        <w:t>,</w:t>
      </w:r>
      <w:r w:rsidRPr="008C4116">
        <w:rPr>
          <w:lang w:val="en-AU"/>
        </w:rPr>
        <w:t xml:space="preserve"> they were discussed in overall terms. Further, due to DFAT’s new focus on the private sector to build and harness development outcomes</w:t>
      </w:r>
      <w:r w:rsidR="00FD42DB">
        <w:rPr>
          <w:lang w:val="en-AU"/>
        </w:rPr>
        <w:t>,</w:t>
      </w:r>
      <w:r w:rsidRPr="008C4116">
        <w:rPr>
          <w:lang w:val="en-AU"/>
        </w:rPr>
        <w:t xml:space="preserve"> </w:t>
      </w:r>
      <w:r w:rsidR="00FD42DB">
        <w:rPr>
          <w:lang w:val="en-AU"/>
        </w:rPr>
        <w:t>t</w:t>
      </w:r>
      <w:r w:rsidRPr="008C4116">
        <w:rPr>
          <w:lang w:val="en-AU"/>
        </w:rPr>
        <w:t xml:space="preserve">he team also discussed CSR programs with two of the major mining companies in the South Gobi region - Turquoise Hill Pty LTD of Oyu </w:t>
      </w:r>
      <w:proofErr w:type="spellStart"/>
      <w:r w:rsidRPr="008C4116">
        <w:rPr>
          <w:lang w:val="en-AU"/>
        </w:rPr>
        <w:t>Tolgoi</w:t>
      </w:r>
      <w:proofErr w:type="spellEnd"/>
      <w:r w:rsidRPr="008C4116">
        <w:rPr>
          <w:lang w:val="en-AU"/>
        </w:rPr>
        <w:t xml:space="preserve"> mine and </w:t>
      </w:r>
      <w:proofErr w:type="spellStart"/>
      <w:r w:rsidRPr="008C4116">
        <w:rPr>
          <w:lang w:val="en-AU"/>
        </w:rPr>
        <w:t>Erdenes</w:t>
      </w:r>
      <w:proofErr w:type="spellEnd"/>
      <w:r w:rsidRPr="008C4116">
        <w:rPr>
          <w:lang w:val="en-AU"/>
        </w:rPr>
        <w:t xml:space="preserve"> </w:t>
      </w:r>
      <w:proofErr w:type="spellStart"/>
      <w:r w:rsidRPr="008C4116">
        <w:rPr>
          <w:lang w:val="en-AU"/>
        </w:rPr>
        <w:t>Tawan</w:t>
      </w:r>
      <w:proofErr w:type="spellEnd"/>
      <w:r w:rsidRPr="008C4116">
        <w:rPr>
          <w:lang w:val="en-AU"/>
        </w:rPr>
        <w:t xml:space="preserve"> </w:t>
      </w:r>
      <w:proofErr w:type="spellStart"/>
      <w:r w:rsidRPr="008C4116">
        <w:rPr>
          <w:lang w:val="en-AU"/>
        </w:rPr>
        <w:t>Tolgoi</w:t>
      </w:r>
      <w:proofErr w:type="spellEnd"/>
      <w:r w:rsidRPr="008C4116">
        <w:rPr>
          <w:lang w:val="en-AU"/>
        </w:rPr>
        <w:t xml:space="preserve"> of </w:t>
      </w:r>
      <w:proofErr w:type="spellStart"/>
      <w:r w:rsidRPr="008C4116">
        <w:rPr>
          <w:lang w:val="en-AU"/>
        </w:rPr>
        <w:t>Tawan</w:t>
      </w:r>
      <w:proofErr w:type="spellEnd"/>
      <w:r w:rsidRPr="008C4116">
        <w:rPr>
          <w:lang w:val="en-AU"/>
        </w:rPr>
        <w:t xml:space="preserve"> </w:t>
      </w:r>
      <w:proofErr w:type="spellStart"/>
      <w:r w:rsidRPr="008C4116">
        <w:rPr>
          <w:lang w:val="en-AU"/>
        </w:rPr>
        <w:t>Tolgoi</w:t>
      </w:r>
      <w:proofErr w:type="spellEnd"/>
      <w:r w:rsidRPr="008C4116">
        <w:rPr>
          <w:lang w:val="en-AU"/>
        </w:rPr>
        <w:t xml:space="preserve"> mine.</w:t>
      </w:r>
    </w:p>
    <w:p w:rsidR="008C4116" w:rsidRPr="008C4116" w:rsidRDefault="008C4116" w:rsidP="00240553">
      <w:pPr>
        <w:pStyle w:val="ASIBodyCopy"/>
        <w:rPr>
          <w:lang w:val="en-AU"/>
        </w:rPr>
      </w:pPr>
      <w:r w:rsidRPr="008C4116">
        <w:rPr>
          <w:lang w:val="en-AU"/>
        </w:rPr>
        <w:t>Thus, the remaining priority activities taken forward from the Concept Note into the Design Mission were:</w:t>
      </w:r>
    </w:p>
    <w:p w:rsidR="008C4116" w:rsidRDefault="008C4116" w:rsidP="00240553">
      <w:pPr>
        <w:pStyle w:val="ASIBulletPoint"/>
        <w:jc w:val="both"/>
      </w:pPr>
      <w:r>
        <w:t>High Priority</w:t>
      </w:r>
    </w:p>
    <w:p w:rsidR="008C4116" w:rsidRDefault="008C4116" w:rsidP="00591C9C">
      <w:pPr>
        <w:pStyle w:val="ASIBulletPoint"/>
        <w:numPr>
          <w:ilvl w:val="1"/>
          <w:numId w:val="5"/>
        </w:numPr>
        <w:jc w:val="both"/>
      </w:pPr>
      <w:r>
        <w:t>Prevent and Reduce: gender-based violence, and HIV/AIDS and exploitative prostitution in mining communities</w:t>
      </w:r>
    </w:p>
    <w:p w:rsidR="008C4116" w:rsidRDefault="008C4116" w:rsidP="00240553">
      <w:pPr>
        <w:pStyle w:val="ASIBulletPoint"/>
        <w:jc w:val="both"/>
      </w:pPr>
      <w:r>
        <w:t>Medium Priority</w:t>
      </w:r>
    </w:p>
    <w:p w:rsidR="008C4116" w:rsidRDefault="008C4116" w:rsidP="00591C9C">
      <w:pPr>
        <w:pStyle w:val="ASIBulletPoint"/>
        <w:numPr>
          <w:ilvl w:val="1"/>
          <w:numId w:val="5"/>
        </w:numPr>
        <w:jc w:val="both"/>
      </w:pPr>
      <w:r>
        <w:t>Improve women’s participation in mining related employment</w:t>
      </w:r>
    </w:p>
    <w:p w:rsidR="008C4116" w:rsidRDefault="008C4116" w:rsidP="00591C9C">
      <w:pPr>
        <w:pStyle w:val="ASIBulletPoint"/>
        <w:numPr>
          <w:ilvl w:val="1"/>
          <w:numId w:val="5"/>
        </w:numPr>
        <w:jc w:val="both"/>
      </w:pPr>
      <w:r>
        <w:t>Support NGOs and CBOs to engage with government to ensure equitable and transparent distribution of benefits from mining</w:t>
      </w:r>
    </w:p>
    <w:p w:rsidR="008C4116" w:rsidRDefault="008C4116" w:rsidP="00591C9C">
      <w:pPr>
        <w:pStyle w:val="ASIBulletPoint"/>
        <w:numPr>
          <w:ilvl w:val="1"/>
          <w:numId w:val="5"/>
        </w:numPr>
        <w:jc w:val="both"/>
      </w:pPr>
      <w:r>
        <w:t>Social Impact Assessment regulations</w:t>
      </w:r>
    </w:p>
    <w:p w:rsidR="008C4116" w:rsidRDefault="008C4116" w:rsidP="00240553">
      <w:pPr>
        <w:pStyle w:val="ASIBulletPoint"/>
        <w:jc w:val="both"/>
      </w:pPr>
      <w:r>
        <w:t>Low Priority</w:t>
      </w:r>
    </w:p>
    <w:p w:rsidR="008C4116" w:rsidRDefault="008C4116" w:rsidP="00591C9C">
      <w:pPr>
        <w:pStyle w:val="ASIBulletPoint"/>
        <w:numPr>
          <w:ilvl w:val="1"/>
          <w:numId w:val="5"/>
        </w:numPr>
        <w:jc w:val="both"/>
      </w:pPr>
      <w:r>
        <w:t>Building the skills of sum residents to be able to develop small businesses</w:t>
      </w:r>
    </w:p>
    <w:p w:rsidR="008C4116" w:rsidRDefault="008C4116" w:rsidP="00591C9C">
      <w:pPr>
        <w:pStyle w:val="ASIBulletPoint"/>
        <w:numPr>
          <w:ilvl w:val="1"/>
          <w:numId w:val="5"/>
        </w:numPr>
        <w:jc w:val="both"/>
      </w:pPr>
      <w:r>
        <w:t>Mining companies and Corporate Social Responsibility</w:t>
      </w:r>
    </w:p>
    <w:p w:rsidR="008C4116" w:rsidRDefault="008C4116" w:rsidP="00591C9C">
      <w:pPr>
        <w:pStyle w:val="ASIBulletPoint"/>
        <w:numPr>
          <w:ilvl w:val="1"/>
          <w:numId w:val="5"/>
        </w:numPr>
        <w:jc w:val="both"/>
      </w:pPr>
      <w:r>
        <w:t>Community engagement on regional development and government service delivery</w:t>
      </w:r>
    </w:p>
    <w:p w:rsidR="008C4116" w:rsidRPr="008C4116" w:rsidRDefault="008C4116" w:rsidP="00240553">
      <w:pPr>
        <w:pStyle w:val="ASIBulletPoint"/>
        <w:numPr>
          <w:ilvl w:val="0"/>
          <w:numId w:val="0"/>
        </w:numPr>
        <w:jc w:val="both"/>
        <w:rPr>
          <w:lang w:val="en-AU"/>
        </w:rPr>
      </w:pPr>
      <w:r w:rsidRPr="008C4116">
        <w:rPr>
          <w:lang w:val="en-AU"/>
        </w:rPr>
        <w:t>In light of the dramatic growth and retraction of the sector, another thematic concern was observed during the AIP mission, namely:</w:t>
      </w:r>
    </w:p>
    <w:p w:rsidR="008C4116" w:rsidRDefault="008C4116" w:rsidP="00591C9C">
      <w:pPr>
        <w:pStyle w:val="ASIBulletPoint"/>
        <w:numPr>
          <w:ilvl w:val="3"/>
          <w:numId w:val="5"/>
        </w:numPr>
        <w:jc w:val="both"/>
      </w:pPr>
      <w:r w:rsidRPr="008C4116">
        <w:t xml:space="preserve">Growing economic disparities between those whom are benefitting from mining and those whom are not, creating entrenched and growing inter-generational poverty for vulnerable groups (women, disabled, older women, expropriated herders and Single-headed households). </w:t>
      </w:r>
    </w:p>
    <w:p w:rsidR="008C4116" w:rsidRPr="008C4116" w:rsidRDefault="008C4116" w:rsidP="002D3280">
      <w:pPr>
        <w:pStyle w:val="ASIBulletPoint"/>
        <w:numPr>
          <w:ilvl w:val="0"/>
          <w:numId w:val="0"/>
        </w:numPr>
        <w:jc w:val="both"/>
        <w:rPr>
          <w:lang w:val="en-AU"/>
        </w:rPr>
      </w:pPr>
      <w:r w:rsidRPr="008C4116">
        <w:rPr>
          <w:lang w:val="en-AU"/>
        </w:rPr>
        <w:t xml:space="preserve">Interviews and in-depth discussions with key stakeholders during the initial field mission confirmed that the activities listed above were indeed important for the purposes of managing the main social risks for mining communities in Mongolia. </w:t>
      </w:r>
    </w:p>
    <w:p w:rsidR="008C4116" w:rsidRPr="008C4116" w:rsidRDefault="008C4116" w:rsidP="002D3280">
      <w:pPr>
        <w:pStyle w:val="ASIBulletPoint"/>
        <w:numPr>
          <w:ilvl w:val="0"/>
          <w:numId w:val="0"/>
        </w:numPr>
        <w:jc w:val="both"/>
        <w:rPr>
          <w:lang w:val="en-AU"/>
        </w:rPr>
      </w:pPr>
      <w:r w:rsidRPr="008C4116">
        <w:rPr>
          <w:lang w:val="en-NZ"/>
        </w:rPr>
        <w:t>After further reflection and analysis, the importance of these priority activities was adjusted (see Table 1)</w:t>
      </w:r>
      <w:r w:rsidRPr="008C4116">
        <w:rPr>
          <w:lang w:val="en-AU"/>
        </w:rPr>
        <w:t xml:space="preserve">, accompanied by brief explanatory comments. </w:t>
      </w:r>
      <w:r w:rsidRPr="008C4116">
        <w:rPr>
          <w:lang w:val="en-NZ"/>
        </w:rPr>
        <w:t>The reordered high and medium priority activities are all discussed in greater detail in the rest of the report, after the context-setting sections.</w:t>
      </w:r>
    </w:p>
    <w:p w:rsidR="008C4116" w:rsidRPr="001309DB" w:rsidRDefault="002D3280" w:rsidP="001309DB">
      <w:pPr>
        <w:pStyle w:val="ASIBulletPoint"/>
        <w:numPr>
          <w:ilvl w:val="0"/>
          <w:numId w:val="0"/>
        </w:numPr>
        <w:spacing w:after="0" w:line="240" w:lineRule="auto"/>
        <w:rPr>
          <w:b/>
          <w:bCs/>
          <w:lang w:val="en-AU"/>
        </w:rPr>
      </w:pPr>
      <w:r w:rsidRPr="001309DB">
        <w:rPr>
          <w:b/>
          <w:bCs/>
          <w:lang w:val="en-AU"/>
        </w:rPr>
        <w:t>Table 1: Explanation of Priority Activities Reflecting Stakeholder Concerns</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6783"/>
      </w:tblGrid>
      <w:tr w:rsidR="002D3280" w:rsidRPr="002D3280" w:rsidTr="002D3280">
        <w:tc>
          <w:tcPr>
            <w:tcW w:w="0" w:type="auto"/>
            <w:gridSpan w:val="2"/>
            <w:shd w:val="clear" w:color="auto" w:fill="D3BF96" w:themeFill="accent3"/>
          </w:tcPr>
          <w:p w:rsidR="002D3280" w:rsidRPr="001309DB" w:rsidRDefault="002D3280" w:rsidP="002D3280">
            <w:pPr>
              <w:pStyle w:val="ASIBulletPoint"/>
              <w:numPr>
                <w:ilvl w:val="0"/>
                <w:numId w:val="0"/>
              </w:numPr>
              <w:spacing w:before="60" w:after="60" w:line="240" w:lineRule="auto"/>
              <w:rPr>
                <w:b/>
                <w:bCs/>
                <w:lang w:val="en-NZ"/>
              </w:rPr>
            </w:pPr>
            <w:r w:rsidRPr="001309DB">
              <w:rPr>
                <w:b/>
                <w:bCs/>
                <w:color w:val="auto"/>
                <w:lang w:val="en-NZ"/>
              </w:rPr>
              <w:t>HIGH PRIORITY</w:t>
            </w:r>
          </w:p>
        </w:tc>
      </w:tr>
      <w:tr w:rsidR="002D3280" w:rsidRPr="002D3280" w:rsidTr="002D3280">
        <w:tc>
          <w:tcPr>
            <w:tcW w:w="0" w:type="auto"/>
            <w:shd w:val="clear" w:color="auto" w:fill="E4D8BF" w:themeFill="accent3" w:themeFillTint="99"/>
          </w:tcPr>
          <w:p w:rsidR="002D3280" w:rsidRPr="001309DB" w:rsidRDefault="002D3280" w:rsidP="002D3280">
            <w:pPr>
              <w:pStyle w:val="ASIBulletPoint"/>
              <w:numPr>
                <w:ilvl w:val="0"/>
                <w:numId w:val="0"/>
              </w:numPr>
              <w:spacing w:before="60" w:after="60" w:line="240" w:lineRule="auto"/>
              <w:rPr>
                <w:b/>
                <w:bCs/>
                <w:color w:val="auto"/>
                <w:lang w:val="en-NZ"/>
              </w:rPr>
            </w:pPr>
            <w:r w:rsidRPr="001309DB">
              <w:rPr>
                <w:b/>
                <w:bCs/>
                <w:color w:val="auto"/>
                <w:lang w:val="en-NZ"/>
              </w:rPr>
              <w:t>Priority Activities</w:t>
            </w:r>
          </w:p>
        </w:tc>
        <w:tc>
          <w:tcPr>
            <w:tcW w:w="0" w:type="auto"/>
            <w:shd w:val="clear" w:color="auto" w:fill="E4D8BF" w:themeFill="accent3" w:themeFillTint="99"/>
          </w:tcPr>
          <w:p w:rsidR="002D3280" w:rsidRPr="001309DB" w:rsidRDefault="002D3280" w:rsidP="002D3280">
            <w:pPr>
              <w:pStyle w:val="ASIBulletPoint"/>
              <w:numPr>
                <w:ilvl w:val="0"/>
                <w:numId w:val="0"/>
              </w:numPr>
              <w:spacing w:before="60" w:after="60" w:line="240" w:lineRule="auto"/>
              <w:rPr>
                <w:b/>
                <w:bCs/>
                <w:color w:val="auto"/>
                <w:lang w:val="en-NZ"/>
              </w:rPr>
            </w:pPr>
            <w:r w:rsidRPr="001309DB">
              <w:rPr>
                <w:b/>
                <w:bCs/>
                <w:color w:val="auto"/>
                <w:lang w:val="en-NZ"/>
              </w:rPr>
              <w:t>Comments</w:t>
            </w:r>
          </w:p>
        </w:tc>
      </w:tr>
      <w:tr w:rsidR="002D3280" w:rsidRPr="002D3280" w:rsidTr="004206E1">
        <w:tc>
          <w:tcPr>
            <w:tcW w:w="0" w:type="auto"/>
            <w:shd w:val="clear" w:color="auto" w:fill="E4D8BF" w:themeFill="accent3" w:themeFillTint="99"/>
          </w:tcPr>
          <w:p w:rsidR="002D3280" w:rsidRPr="00C3338A" w:rsidRDefault="002D3280" w:rsidP="002D3280">
            <w:pPr>
              <w:pStyle w:val="ASIBulletPoint"/>
              <w:numPr>
                <w:ilvl w:val="0"/>
                <w:numId w:val="0"/>
              </w:numPr>
              <w:spacing w:before="60" w:after="60" w:line="240" w:lineRule="auto"/>
              <w:rPr>
                <w:bCs/>
                <w:lang w:val="en-NZ"/>
              </w:rPr>
            </w:pPr>
            <w:r w:rsidRPr="00C3338A">
              <w:rPr>
                <w:bCs/>
                <w:lang w:val="en-NZ"/>
              </w:rPr>
              <w:t xml:space="preserve">Building the skills of </w:t>
            </w:r>
            <w:r w:rsidRPr="00C3338A">
              <w:rPr>
                <w:bCs/>
                <w:i/>
                <w:lang w:val="en-NZ"/>
              </w:rPr>
              <w:t>sum</w:t>
            </w:r>
            <w:r w:rsidRPr="00C3338A">
              <w:rPr>
                <w:bCs/>
                <w:lang w:val="en-NZ"/>
              </w:rPr>
              <w:t xml:space="preserve"> residents to be able to develop small businesses </w:t>
            </w:r>
          </w:p>
        </w:tc>
        <w:tc>
          <w:tcPr>
            <w:tcW w:w="0" w:type="auto"/>
          </w:tcPr>
          <w:p w:rsidR="002D3280" w:rsidRPr="004206E1" w:rsidRDefault="002D3280" w:rsidP="002D3280">
            <w:pPr>
              <w:pStyle w:val="ASIBulletPoint"/>
              <w:numPr>
                <w:ilvl w:val="0"/>
                <w:numId w:val="0"/>
              </w:numPr>
              <w:spacing w:before="60" w:after="60" w:line="240" w:lineRule="auto"/>
              <w:rPr>
                <w:bCs/>
                <w:lang w:val="en-NZ"/>
              </w:rPr>
            </w:pPr>
            <w:r w:rsidRPr="004206E1">
              <w:rPr>
                <w:bCs/>
                <w:lang w:val="en-NZ"/>
              </w:rPr>
              <w:t xml:space="preserve">Particularly for indirect economic activities for the ‘have </w:t>
            </w:r>
            <w:proofErr w:type="spellStart"/>
            <w:r w:rsidRPr="004206E1">
              <w:rPr>
                <w:bCs/>
                <w:lang w:val="en-NZ"/>
              </w:rPr>
              <w:t>nots</w:t>
            </w:r>
            <w:proofErr w:type="spellEnd"/>
            <w:r w:rsidRPr="004206E1">
              <w:rPr>
                <w:bCs/>
                <w:lang w:val="en-NZ"/>
              </w:rPr>
              <w:t>’, but also to enhance mining procurement performance</w:t>
            </w:r>
          </w:p>
        </w:tc>
      </w:tr>
      <w:tr w:rsidR="002D3280" w:rsidRPr="002D3280" w:rsidTr="004206E1">
        <w:tc>
          <w:tcPr>
            <w:tcW w:w="0" w:type="auto"/>
            <w:shd w:val="clear" w:color="auto" w:fill="E4D8BF" w:themeFill="accent3" w:themeFillTint="99"/>
          </w:tcPr>
          <w:p w:rsidR="002D3280" w:rsidRPr="004206E1" w:rsidRDefault="002D3280" w:rsidP="002D3280">
            <w:pPr>
              <w:pStyle w:val="ASIBulletPoint"/>
              <w:numPr>
                <w:ilvl w:val="0"/>
                <w:numId w:val="0"/>
              </w:numPr>
              <w:spacing w:before="60" w:after="60" w:line="240" w:lineRule="auto"/>
              <w:rPr>
                <w:bCs/>
                <w:lang w:val="en-NZ"/>
              </w:rPr>
            </w:pPr>
            <w:r w:rsidRPr="004206E1">
              <w:rPr>
                <w:bCs/>
                <w:lang w:val="en-NZ"/>
              </w:rPr>
              <w:t xml:space="preserve">Improve women’s participation in mining related employment </w:t>
            </w:r>
          </w:p>
        </w:tc>
        <w:tc>
          <w:tcPr>
            <w:tcW w:w="0" w:type="auto"/>
            <w:shd w:val="clear" w:color="auto" w:fill="FFFFFF" w:themeFill="background1"/>
          </w:tcPr>
          <w:p w:rsidR="002D3280" w:rsidRPr="004206E1" w:rsidRDefault="002D3280" w:rsidP="002D3280">
            <w:pPr>
              <w:pStyle w:val="ASIBulletPoint"/>
              <w:numPr>
                <w:ilvl w:val="0"/>
                <w:numId w:val="0"/>
              </w:numPr>
              <w:spacing w:before="60" w:after="60" w:line="240" w:lineRule="auto"/>
              <w:rPr>
                <w:bCs/>
                <w:lang w:val="en-NZ"/>
              </w:rPr>
            </w:pPr>
            <w:r w:rsidRPr="004206E1">
              <w:rPr>
                <w:bCs/>
                <w:lang w:val="en-NZ"/>
              </w:rPr>
              <w:t>Encouraging more girls to study mining-related subjects, especially at TVET</w:t>
            </w:r>
          </w:p>
        </w:tc>
      </w:tr>
      <w:tr w:rsidR="002D3280" w:rsidRPr="002D3280" w:rsidTr="004206E1">
        <w:tc>
          <w:tcPr>
            <w:tcW w:w="0" w:type="auto"/>
            <w:shd w:val="clear" w:color="auto" w:fill="E4D8BF" w:themeFill="accent3" w:themeFillTint="99"/>
          </w:tcPr>
          <w:p w:rsidR="002D3280" w:rsidRPr="00C3338A" w:rsidRDefault="002D3280" w:rsidP="002D3280">
            <w:pPr>
              <w:pStyle w:val="ASIBulletPoint"/>
              <w:numPr>
                <w:ilvl w:val="0"/>
                <w:numId w:val="0"/>
              </w:numPr>
              <w:spacing w:before="60" w:after="60" w:line="240" w:lineRule="auto"/>
              <w:rPr>
                <w:bCs/>
                <w:lang w:val="en-NZ"/>
              </w:rPr>
            </w:pPr>
            <w:r w:rsidRPr="00C3338A">
              <w:rPr>
                <w:bCs/>
                <w:lang w:val="en-NZ"/>
              </w:rPr>
              <w:lastRenderedPageBreak/>
              <w:t xml:space="preserve">Support NGOs and CBOs to engage with government to ensure equitable and transparent distribution of benefits from mining </w:t>
            </w:r>
          </w:p>
        </w:tc>
        <w:tc>
          <w:tcPr>
            <w:tcW w:w="0" w:type="auto"/>
          </w:tcPr>
          <w:p w:rsidR="002D3280" w:rsidRPr="004206E1" w:rsidRDefault="002D3280" w:rsidP="00FA2C36">
            <w:pPr>
              <w:pStyle w:val="ASIBulletPoint"/>
              <w:numPr>
                <w:ilvl w:val="0"/>
                <w:numId w:val="0"/>
              </w:numPr>
              <w:spacing w:before="60" w:after="60" w:line="240" w:lineRule="auto"/>
              <w:rPr>
                <w:bCs/>
                <w:lang w:val="en-NZ"/>
              </w:rPr>
            </w:pPr>
            <w:r w:rsidRPr="004206E1">
              <w:rPr>
                <w:bCs/>
                <w:lang w:val="en-NZ"/>
              </w:rPr>
              <w:t>Capacity-building for Mongolian NGOs urgently needed to enable them to compete with international agencies for funding and perform their societal roles</w:t>
            </w:r>
          </w:p>
        </w:tc>
      </w:tr>
      <w:tr w:rsidR="002D3280" w:rsidRPr="002D3280" w:rsidTr="002D3280">
        <w:tc>
          <w:tcPr>
            <w:tcW w:w="0" w:type="auto"/>
            <w:gridSpan w:val="2"/>
            <w:shd w:val="clear" w:color="auto" w:fill="D3BF96" w:themeFill="accent3"/>
          </w:tcPr>
          <w:p w:rsidR="002D3280" w:rsidRPr="002D3280" w:rsidRDefault="002D3280" w:rsidP="002D3280">
            <w:pPr>
              <w:pStyle w:val="ASIBulletPoint"/>
              <w:numPr>
                <w:ilvl w:val="0"/>
                <w:numId w:val="0"/>
              </w:numPr>
              <w:spacing w:before="60" w:after="60" w:line="240" w:lineRule="auto"/>
              <w:rPr>
                <w:b/>
                <w:bCs/>
                <w:lang w:val="en-NZ"/>
              </w:rPr>
            </w:pPr>
            <w:r w:rsidRPr="001309DB">
              <w:rPr>
                <w:b/>
                <w:bCs/>
                <w:color w:val="auto"/>
                <w:lang w:val="en-NZ"/>
              </w:rPr>
              <w:t>MEDIUM PRIORITY</w:t>
            </w:r>
          </w:p>
        </w:tc>
      </w:tr>
      <w:tr w:rsidR="002D3280" w:rsidRPr="002D3280" w:rsidTr="004206E1">
        <w:tc>
          <w:tcPr>
            <w:tcW w:w="0" w:type="auto"/>
            <w:shd w:val="clear" w:color="auto" w:fill="E4D8BF" w:themeFill="accent3" w:themeFillTint="99"/>
          </w:tcPr>
          <w:p w:rsidR="002D3280" w:rsidRPr="00C3338A" w:rsidRDefault="002D3280" w:rsidP="002D3280">
            <w:pPr>
              <w:pStyle w:val="ASIBulletPoint"/>
              <w:numPr>
                <w:ilvl w:val="0"/>
                <w:numId w:val="0"/>
              </w:numPr>
              <w:spacing w:before="60" w:after="60" w:line="240" w:lineRule="auto"/>
              <w:rPr>
                <w:bCs/>
                <w:lang w:val="en-NZ"/>
              </w:rPr>
            </w:pPr>
            <w:r w:rsidRPr="00C3338A">
              <w:rPr>
                <w:bCs/>
                <w:lang w:val="en-NZ"/>
              </w:rPr>
              <w:t xml:space="preserve">Prevent and Reduce: gender-based violence (GBV), and HIV/AIDS and exploitative prostitution in mining communities </w:t>
            </w:r>
          </w:p>
        </w:tc>
        <w:tc>
          <w:tcPr>
            <w:tcW w:w="0" w:type="auto"/>
          </w:tcPr>
          <w:p w:rsidR="002D3280" w:rsidRPr="00C3338A" w:rsidRDefault="002D3280" w:rsidP="002D3280">
            <w:pPr>
              <w:pStyle w:val="ASIBulletPoint"/>
              <w:numPr>
                <w:ilvl w:val="0"/>
                <w:numId w:val="0"/>
              </w:numPr>
              <w:spacing w:before="60" w:after="60" w:line="240" w:lineRule="auto"/>
              <w:rPr>
                <w:bCs/>
                <w:lang w:val="en-NZ"/>
              </w:rPr>
            </w:pPr>
            <w:r w:rsidRPr="00C3338A">
              <w:rPr>
                <w:bCs/>
                <w:lang w:val="en-NZ"/>
              </w:rPr>
              <w:t>HIV/AIDS and other healthy lifestyle issues considered to be important.  Requests were made from UNFPA, NCGE and gender based NGOs into developing more information and capacity of stakeholders to engage with these issues</w:t>
            </w:r>
          </w:p>
        </w:tc>
      </w:tr>
      <w:tr w:rsidR="002D3280" w:rsidRPr="002D3280" w:rsidTr="004206E1">
        <w:tc>
          <w:tcPr>
            <w:tcW w:w="0" w:type="auto"/>
            <w:shd w:val="clear" w:color="auto" w:fill="E4D8BF" w:themeFill="accent3" w:themeFillTint="99"/>
          </w:tcPr>
          <w:p w:rsidR="002D3280" w:rsidRPr="004206E1" w:rsidRDefault="002D3280" w:rsidP="002D3280">
            <w:pPr>
              <w:pStyle w:val="ASIBulletPoint"/>
              <w:numPr>
                <w:ilvl w:val="0"/>
                <w:numId w:val="0"/>
              </w:numPr>
              <w:spacing w:before="60" w:after="60" w:line="240" w:lineRule="auto"/>
              <w:rPr>
                <w:bCs/>
                <w:lang w:val="en-NZ"/>
              </w:rPr>
            </w:pPr>
            <w:r w:rsidRPr="004206E1">
              <w:rPr>
                <w:bCs/>
                <w:lang w:val="en-NZ"/>
              </w:rPr>
              <w:t xml:space="preserve">Community engagement on regional development and government service delivery </w:t>
            </w:r>
          </w:p>
        </w:tc>
        <w:tc>
          <w:tcPr>
            <w:tcW w:w="0" w:type="auto"/>
            <w:shd w:val="clear" w:color="auto" w:fill="FFFFFF" w:themeFill="background1"/>
          </w:tcPr>
          <w:p w:rsidR="002D3280" w:rsidRPr="004206E1" w:rsidRDefault="002D3280" w:rsidP="002D3280">
            <w:pPr>
              <w:pStyle w:val="ASIBulletPoint"/>
              <w:numPr>
                <w:ilvl w:val="0"/>
                <w:numId w:val="0"/>
              </w:numPr>
              <w:spacing w:before="60" w:after="60" w:line="240" w:lineRule="auto"/>
              <w:rPr>
                <w:bCs/>
                <w:lang w:val="en-NZ"/>
              </w:rPr>
            </w:pPr>
            <w:r w:rsidRPr="004206E1">
              <w:rPr>
                <w:bCs/>
                <w:lang w:val="en-NZ"/>
              </w:rPr>
              <w:t>See multi-stakeholder engagement and participatory processes option described in Governance Annex.</w:t>
            </w:r>
          </w:p>
        </w:tc>
      </w:tr>
      <w:tr w:rsidR="002D3280" w:rsidRPr="002D3280" w:rsidTr="002D3280">
        <w:tc>
          <w:tcPr>
            <w:tcW w:w="0" w:type="auto"/>
            <w:gridSpan w:val="2"/>
            <w:shd w:val="clear" w:color="auto" w:fill="D3BF96" w:themeFill="accent3"/>
          </w:tcPr>
          <w:p w:rsidR="002D3280" w:rsidRPr="002D3280" w:rsidRDefault="002D3280" w:rsidP="002D3280">
            <w:pPr>
              <w:pStyle w:val="ASIBulletPoint"/>
              <w:numPr>
                <w:ilvl w:val="0"/>
                <w:numId w:val="0"/>
              </w:numPr>
              <w:spacing w:before="60" w:after="60" w:line="240" w:lineRule="auto"/>
              <w:rPr>
                <w:b/>
                <w:bCs/>
                <w:lang w:val="en-NZ"/>
              </w:rPr>
            </w:pPr>
            <w:r w:rsidRPr="001309DB">
              <w:rPr>
                <w:b/>
                <w:bCs/>
                <w:color w:val="auto"/>
                <w:lang w:val="en-NZ"/>
              </w:rPr>
              <w:t>LOW PRIORITY</w:t>
            </w:r>
          </w:p>
        </w:tc>
      </w:tr>
      <w:tr w:rsidR="002D3280" w:rsidRPr="002D3280" w:rsidTr="004206E1">
        <w:tc>
          <w:tcPr>
            <w:tcW w:w="0" w:type="auto"/>
            <w:shd w:val="clear" w:color="auto" w:fill="E4D8BF" w:themeFill="accent3" w:themeFillTint="99"/>
          </w:tcPr>
          <w:p w:rsidR="002D3280" w:rsidRPr="004206E1" w:rsidRDefault="002D3280" w:rsidP="002D3280">
            <w:pPr>
              <w:pStyle w:val="ASIBulletPoint"/>
              <w:numPr>
                <w:ilvl w:val="0"/>
                <w:numId w:val="0"/>
              </w:numPr>
              <w:spacing w:before="60" w:after="60" w:line="240" w:lineRule="auto"/>
              <w:rPr>
                <w:bCs/>
                <w:lang w:val="en-NZ"/>
              </w:rPr>
            </w:pPr>
            <w:r w:rsidRPr="004206E1">
              <w:rPr>
                <w:bCs/>
                <w:lang w:val="en-NZ"/>
              </w:rPr>
              <w:t xml:space="preserve">Social Impact Assessment regulations </w:t>
            </w:r>
          </w:p>
        </w:tc>
        <w:tc>
          <w:tcPr>
            <w:tcW w:w="0" w:type="auto"/>
            <w:shd w:val="clear" w:color="auto" w:fill="FFFFFF" w:themeFill="background1"/>
          </w:tcPr>
          <w:p w:rsidR="002D3280" w:rsidRPr="004206E1" w:rsidRDefault="002D3280" w:rsidP="002D3280">
            <w:pPr>
              <w:pStyle w:val="ASIBulletPoint"/>
              <w:numPr>
                <w:ilvl w:val="0"/>
                <w:numId w:val="0"/>
              </w:numPr>
              <w:spacing w:before="60" w:after="60" w:line="240" w:lineRule="auto"/>
              <w:rPr>
                <w:bCs/>
                <w:lang w:val="en-NZ"/>
              </w:rPr>
            </w:pPr>
            <w:r w:rsidRPr="004206E1">
              <w:rPr>
                <w:bCs/>
                <w:lang w:val="en-NZ"/>
              </w:rPr>
              <w:t>Could be fitted in with other Governance activities</w:t>
            </w:r>
          </w:p>
        </w:tc>
      </w:tr>
      <w:tr w:rsidR="002D3280" w:rsidRPr="002D3280" w:rsidTr="004206E1">
        <w:tc>
          <w:tcPr>
            <w:tcW w:w="0" w:type="auto"/>
            <w:shd w:val="clear" w:color="auto" w:fill="E4D8BF" w:themeFill="accent3" w:themeFillTint="99"/>
          </w:tcPr>
          <w:p w:rsidR="002D3280" w:rsidRPr="00C3338A" w:rsidRDefault="002D3280" w:rsidP="002D3280">
            <w:pPr>
              <w:pStyle w:val="ASIBulletPoint"/>
              <w:numPr>
                <w:ilvl w:val="0"/>
                <w:numId w:val="0"/>
              </w:numPr>
              <w:spacing w:before="60" w:after="60" w:line="240" w:lineRule="auto"/>
              <w:rPr>
                <w:bCs/>
                <w:lang w:val="en-NZ"/>
              </w:rPr>
            </w:pPr>
            <w:r w:rsidRPr="00C3338A">
              <w:rPr>
                <w:bCs/>
                <w:lang w:val="en-NZ"/>
              </w:rPr>
              <w:t>Mining companies and Corporate Social Responsibility</w:t>
            </w:r>
          </w:p>
        </w:tc>
        <w:tc>
          <w:tcPr>
            <w:tcW w:w="0" w:type="auto"/>
          </w:tcPr>
          <w:p w:rsidR="002D3280" w:rsidRPr="00C3338A" w:rsidRDefault="002D3280" w:rsidP="004206E1">
            <w:pPr>
              <w:rPr>
                <w:lang w:val="en-NZ"/>
              </w:rPr>
            </w:pPr>
            <w:r w:rsidRPr="00C3338A">
              <w:rPr>
                <w:lang w:val="en-NZ"/>
              </w:rPr>
              <w:t>Most of the companies in the South Gobi region have international standards and audits of CSR programs. More could be done to partner with private sector on joint development projects.</w:t>
            </w:r>
          </w:p>
        </w:tc>
      </w:tr>
    </w:tbl>
    <w:p w:rsidR="002D3280" w:rsidRPr="002D3280" w:rsidRDefault="002D3280" w:rsidP="002D3280">
      <w:pPr>
        <w:pStyle w:val="Heading2"/>
        <w:rPr>
          <w:lang w:val="en-AU"/>
        </w:rPr>
      </w:pPr>
      <w:bookmarkStart w:id="21" w:name="_Toc416161472"/>
      <w:r>
        <w:rPr>
          <w:lang w:val="en-AU"/>
        </w:rPr>
        <w:t>Gender Context in Mongolia</w:t>
      </w:r>
      <w:bookmarkEnd w:id="21"/>
      <w:r>
        <w:rPr>
          <w:lang w:val="en-AU"/>
        </w:rPr>
        <w:t xml:space="preserve"> </w:t>
      </w:r>
    </w:p>
    <w:p w:rsidR="002D3280" w:rsidRPr="002D3280" w:rsidRDefault="002D3280" w:rsidP="00184249">
      <w:pPr>
        <w:pStyle w:val="ASIBodyCopy"/>
        <w:rPr>
          <w:lang w:val="en-AU"/>
        </w:rPr>
      </w:pPr>
      <w:r w:rsidRPr="002D3280">
        <w:rPr>
          <w:lang w:val="en-AU"/>
        </w:rPr>
        <w:t>Due to a long history of herding, socialism and the then peaceful transition to democracy women and men in Mongolia are perceived as relatively equal to many neighbouring Asian countries and indeed often rate higher on the Gender Gap index th</w:t>
      </w:r>
      <w:r w:rsidR="00FD42DB">
        <w:rPr>
          <w:lang w:val="en-AU"/>
        </w:rPr>
        <w:t>a</w:t>
      </w:r>
      <w:r w:rsidRPr="002D3280">
        <w:rPr>
          <w:lang w:val="en-AU"/>
        </w:rPr>
        <w:t xml:space="preserve">n Australia (see Table 2).  Mongolia ratified the United Nations Convention on the Elimination of All Forms of Discrimination </w:t>
      </w:r>
      <w:proofErr w:type="gramStart"/>
      <w:r w:rsidRPr="002D3280">
        <w:rPr>
          <w:lang w:val="en-AU"/>
        </w:rPr>
        <w:t>Against</w:t>
      </w:r>
      <w:proofErr w:type="gramEnd"/>
      <w:r w:rsidRPr="002D3280">
        <w:rPr>
          <w:lang w:val="en-AU"/>
        </w:rPr>
        <w:t xml:space="preserve"> Women (CEDAW) in 1981 and the Optional Protocols in 2002.  After years of lobbying by Mongolian women’s NGOs, the Parliament of Mongolia unanimously adopted a </w:t>
      </w:r>
      <w:hyperlink r:id="rId15" w:history="1">
        <w:r w:rsidRPr="002D3280">
          <w:rPr>
            <w:rStyle w:val="Hyperlink"/>
            <w:lang w:val="en-AU"/>
          </w:rPr>
          <w:t xml:space="preserve">Domestic Violence Law </w:t>
        </w:r>
      </w:hyperlink>
      <w:r w:rsidRPr="002D3280">
        <w:rPr>
          <w:lang w:val="en-AU"/>
        </w:rPr>
        <w:t>on 13 May 2004.  In 2011, a national law for the Promotion of Gender Equality was approved and supported by an implementation strategy and Action Plan for the years 2013-2016. This strategy and plan is overseen by the National Committee on Gender Equality (NCGE), which is chaired by the Prime Minister.</w:t>
      </w:r>
      <w:r w:rsidRPr="002D3280">
        <w:rPr>
          <w:vertAlign w:val="superscript"/>
          <w:lang w:val="en-AU"/>
        </w:rPr>
        <w:footnoteReference w:id="4"/>
      </w:r>
      <w:r w:rsidRPr="002D3280">
        <w:rPr>
          <w:lang w:val="en-AU"/>
        </w:rPr>
        <w:t xml:space="preserve"> The NCGE has created ‘focal points’ in each of Mongolia’s provinces, i.e.  </w:t>
      </w:r>
      <w:r w:rsidR="00FD42DB">
        <w:rPr>
          <w:lang w:val="en-AU"/>
        </w:rPr>
        <w:t>C</w:t>
      </w:r>
      <w:r w:rsidRPr="002D3280">
        <w:rPr>
          <w:lang w:val="en-AU"/>
        </w:rPr>
        <w:t>ivil servants who receive a 30 per cent salary supplement to enable them to work on implementing the Gender Equality Law. The ‘reverse gender gap’ continues to be observed in Mongolia. The ‘reverse gender gap’ sees a greater rate of Mongolian girls receiv</w:t>
      </w:r>
      <w:r w:rsidR="00FD42DB">
        <w:rPr>
          <w:lang w:val="en-AU"/>
        </w:rPr>
        <w:t>ing</w:t>
      </w:r>
      <w:r w:rsidRPr="002D3280">
        <w:rPr>
          <w:lang w:val="en-AU"/>
        </w:rPr>
        <w:t xml:space="preserve"> a higher education than boys; however</w:t>
      </w:r>
      <w:r w:rsidR="00FD42DB">
        <w:rPr>
          <w:lang w:val="en-AU"/>
        </w:rPr>
        <w:t>,</w:t>
      </w:r>
      <w:r w:rsidRPr="002D3280">
        <w:rPr>
          <w:lang w:val="en-AU"/>
        </w:rPr>
        <w:t xml:space="preserve"> higher education does not transpire to equal employment opportunities, pay or positions of power.</w:t>
      </w:r>
    </w:p>
    <w:p w:rsidR="00970B42" w:rsidRDefault="00970B42" w:rsidP="00970B42">
      <w:pPr>
        <w:pStyle w:val="Heading3"/>
      </w:pPr>
      <w:bookmarkStart w:id="22" w:name="_Toc416161473"/>
      <w:r>
        <w:t>Gender Gap Statistics</w:t>
      </w:r>
      <w:bookmarkEnd w:id="22"/>
    </w:p>
    <w:p w:rsidR="00970B42" w:rsidRDefault="00970B42" w:rsidP="00184249">
      <w:pPr>
        <w:pStyle w:val="ASIBodyCopy"/>
        <w:rPr>
          <w:b/>
          <w:bCs/>
          <w:i/>
          <w:lang w:val="en-AU"/>
        </w:rPr>
      </w:pPr>
      <w:r w:rsidRPr="000859E8">
        <w:rPr>
          <w:lang w:val="en-AU"/>
        </w:rPr>
        <w:t xml:space="preserve">Mongolia </w:t>
      </w:r>
      <w:r>
        <w:rPr>
          <w:lang w:val="en-AU"/>
        </w:rPr>
        <w:t xml:space="preserve">performs highly </w:t>
      </w:r>
      <w:r w:rsidRPr="000859E8">
        <w:rPr>
          <w:lang w:val="en-AU"/>
        </w:rPr>
        <w:t>against various indices, such as the Millennium Development Goals and Human Development Index, particularly those indicators related to education and employment</w:t>
      </w:r>
      <w:r>
        <w:rPr>
          <w:lang w:val="en-AU"/>
        </w:rPr>
        <w:t xml:space="preserve">. </w:t>
      </w:r>
      <w:r w:rsidRPr="000859E8">
        <w:rPr>
          <w:lang w:val="en-AU"/>
        </w:rPr>
        <w:t xml:space="preserve">In another index </w:t>
      </w:r>
      <w:r>
        <w:rPr>
          <w:lang w:val="en-AU"/>
        </w:rPr>
        <w:t>(</w:t>
      </w:r>
      <w:r w:rsidRPr="000859E8">
        <w:rPr>
          <w:lang w:val="en-AU"/>
        </w:rPr>
        <w:t>th</w:t>
      </w:r>
      <w:r>
        <w:rPr>
          <w:lang w:val="en-AU"/>
        </w:rPr>
        <w:t xml:space="preserve">e Global Gender Gap Report, </w:t>
      </w:r>
      <w:r w:rsidRPr="00184249">
        <w:rPr>
          <w:b/>
          <w:lang w:val="en-AU"/>
        </w:rPr>
        <w:t>2014</w:t>
      </w:r>
      <w:r>
        <w:rPr>
          <w:lang w:val="en-AU"/>
        </w:rPr>
        <w:t>)</w:t>
      </w:r>
      <w:r w:rsidRPr="000859E8">
        <w:rPr>
          <w:lang w:val="en-AU"/>
        </w:rPr>
        <w:t xml:space="preserve">, although </w:t>
      </w:r>
      <w:r>
        <w:rPr>
          <w:lang w:val="en-AU"/>
        </w:rPr>
        <w:t xml:space="preserve">Mongolia was ranked overall </w:t>
      </w:r>
      <w:r w:rsidRPr="00184249">
        <w:rPr>
          <w:b/>
          <w:lang w:val="en-AU"/>
        </w:rPr>
        <w:t>42</w:t>
      </w:r>
      <w:r w:rsidRPr="000859E8">
        <w:rPr>
          <w:lang w:val="en-AU"/>
        </w:rPr>
        <w:t xml:space="preserve"> out of </w:t>
      </w:r>
      <w:r w:rsidRPr="00184249">
        <w:rPr>
          <w:b/>
          <w:lang w:val="en-AU"/>
        </w:rPr>
        <w:t xml:space="preserve">142 </w:t>
      </w:r>
      <w:r w:rsidRPr="000859E8">
        <w:rPr>
          <w:lang w:val="en-AU"/>
        </w:rPr>
        <w:t>co</w:t>
      </w:r>
      <w:r>
        <w:rPr>
          <w:lang w:val="en-AU"/>
        </w:rPr>
        <w:t xml:space="preserve">untries (Australia was ranked </w:t>
      </w:r>
      <w:r w:rsidRPr="00184249">
        <w:rPr>
          <w:b/>
          <w:lang w:val="en-AU"/>
        </w:rPr>
        <w:t>24</w:t>
      </w:r>
      <w:r w:rsidRPr="000859E8">
        <w:rPr>
          <w:lang w:val="en-AU"/>
        </w:rPr>
        <w:t>)</w:t>
      </w:r>
      <w:r>
        <w:rPr>
          <w:lang w:val="en-AU"/>
        </w:rPr>
        <w:t>;</w:t>
      </w:r>
      <w:r w:rsidRPr="000859E8">
        <w:rPr>
          <w:lang w:val="en-AU"/>
        </w:rPr>
        <w:t xml:space="preserve"> </w:t>
      </w:r>
      <w:r>
        <w:rPr>
          <w:lang w:val="en-AU"/>
        </w:rPr>
        <w:t>the country</w:t>
      </w:r>
      <w:r w:rsidRPr="000859E8">
        <w:rPr>
          <w:lang w:val="en-AU"/>
        </w:rPr>
        <w:t xml:space="preserve"> ranks </w:t>
      </w:r>
      <w:r w:rsidRPr="00184249">
        <w:rPr>
          <w:b/>
          <w:lang w:val="en-AU"/>
        </w:rPr>
        <w:t>eighteenth</w:t>
      </w:r>
      <w:r w:rsidRPr="000859E8">
        <w:rPr>
          <w:lang w:val="en-AU"/>
        </w:rPr>
        <w:t xml:space="preserve"> for proportions of female legislators, senior officials and managers, </w:t>
      </w:r>
      <w:r w:rsidRPr="00184249">
        <w:rPr>
          <w:b/>
          <w:lang w:val="en-AU"/>
        </w:rPr>
        <w:t>first</w:t>
      </w:r>
      <w:r w:rsidRPr="000859E8">
        <w:rPr>
          <w:lang w:val="en-AU"/>
        </w:rPr>
        <w:t xml:space="preserve"> for female </w:t>
      </w:r>
      <w:r>
        <w:rPr>
          <w:lang w:val="en-AU"/>
        </w:rPr>
        <w:t xml:space="preserve">literacy, healthy life expectancy </w:t>
      </w:r>
      <w:r w:rsidRPr="000859E8">
        <w:rPr>
          <w:lang w:val="en-AU"/>
        </w:rPr>
        <w:t xml:space="preserve">and </w:t>
      </w:r>
      <w:r>
        <w:rPr>
          <w:lang w:val="en-AU"/>
        </w:rPr>
        <w:t>p</w:t>
      </w:r>
      <w:r w:rsidRPr="00807C92">
        <w:rPr>
          <w:lang w:val="en-AU"/>
        </w:rPr>
        <w:t>rofessional and technical workers</w:t>
      </w:r>
      <w:r>
        <w:rPr>
          <w:lang w:val="en-AU"/>
        </w:rPr>
        <w:t xml:space="preserve">, and </w:t>
      </w:r>
      <w:r w:rsidRPr="00184249">
        <w:rPr>
          <w:b/>
          <w:lang w:val="en-AU"/>
        </w:rPr>
        <w:t>second</w:t>
      </w:r>
      <w:r w:rsidRPr="000859E8">
        <w:rPr>
          <w:lang w:val="en-AU"/>
        </w:rPr>
        <w:t xml:space="preserve"> for wage equality for similar work</w:t>
      </w:r>
      <w:r>
        <w:rPr>
          <w:lang w:val="en-AU"/>
        </w:rPr>
        <w:t xml:space="preserve">. </w:t>
      </w:r>
      <w:r w:rsidRPr="000859E8">
        <w:rPr>
          <w:lang w:val="en-AU"/>
        </w:rPr>
        <w:t>Indeed, Mongolia outranks Australia on some of these measures</w:t>
      </w:r>
      <w:r>
        <w:rPr>
          <w:lang w:val="en-AU"/>
        </w:rPr>
        <w:t xml:space="preserve">. </w:t>
      </w:r>
      <w:r w:rsidRPr="00083049">
        <w:rPr>
          <w:lang w:val="en-AU"/>
        </w:rPr>
        <w:t>The below data helps contextualise the status of Mongolian women compared to Mongolian men, against a developed country (Australia) benchmark</w:t>
      </w:r>
      <w:r w:rsidR="00CD2B46">
        <w:rPr>
          <w:lang w:val="en-AU"/>
        </w:rPr>
        <w:t>.</w:t>
      </w:r>
      <w:r w:rsidRPr="00083049">
        <w:rPr>
          <w:lang w:val="en-AU"/>
        </w:rPr>
        <w:t xml:space="preserve"> </w:t>
      </w:r>
    </w:p>
    <w:p w:rsidR="00970B42" w:rsidRPr="001309DB" w:rsidRDefault="00970B42" w:rsidP="00970B42">
      <w:pPr>
        <w:pStyle w:val="ASIBulletPoint"/>
        <w:numPr>
          <w:ilvl w:val="0"/>
          <w:numId w:val="0"/>
        </w:numPr>
        <w:rPr>
          <w:b/>
          <w:bCs/>
          <w:lang w:val="en-AU"/>
        </w:rPr>
      </w:pPr>
      <w:r w:rsidRPr="001309DB">
        <w:rPr>
          <w:b/>
          <w:bCs/>
          <w:lang w:val="en-AU"/>
        </w:rPr>
        <w:t>Table 2: Comparative Gender Gap Indicators</w:t>
      </w:r>
      <w:r>
        <w:rPr>
          <w:b/>
          <w:bCs/>
          <w:lang w:val="en-AU"/>
        </w:rPr>
        <w:t xml:space="preserve"> for Mongolia and Australia </w:t>
      </w:r>
      <w:r w:rsidRPr="00184249">
        <w:rPr>
          <w:b/>
          <w:bCs/>
          <w:lang w:val="en-AU"/>
        </w:rPr>
        <w:t>2014</w:t>
      </w:r>
      <w:r w:rsidRPr="00184249">
        <w:rPr>
          <w:b/>
          <w:bCs/>
          <w:vertAlign w:val="superscript"/>
          <w:lang w:val="en-AU"/>
        </w:rPr>
        <w:footnoteReference w:id="5"/>
      </w:r>
    </w:p>
    <w:tbl>
      <w:tblPr>
        <w:tblStyle w:val="ColorfulGrid-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8"/>
        <w:gridCol w:w="2198"/>
        <w:gridCol w:w="2198"/>
      </w:tblGrid>
      <w:tr w:rsidR="00970B42" w:rsidRPr="00C57759" w:rsidTr="00184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970B42" w:rsidRPr="00C57759" w:rsidRDefault="00970B42" w:rsidP="00A02A59">
            <w:pPr>
              <w:spacing w:line="276" w:lineRule="auto"/>
              <w:rPr>
                <w:color w:val="auto"/>
                <w:szCs w:val="18"/>
                <w:lang w:val="en-NZ"/>
              </w:rPr>
            </w:pPr>
            <w:r w:rsidRPr="00C57759">
              <w:rPr>
                <w:color w:val="auto"/>
                <w:szCs w:val="18"/>
                <w:lang w:val="en-NZ"/>
              </w:rPr>
              <w:t>Labour Force Participation</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p>
        </w:tc>
        <w:tc>
          <w:tcPr>
            <w:tcW w:w="1000" w:type="pct"/>
            <w:shd w:val="clear" w:color="auto" w:fill="E4D8BF" w:themeFill="accent3" w:themeFillTint="99"/>
            <w:vAlign w:val="center"/>
          </w:tcPr>
          <w:p w:rsidR="00970B42" w:rsidRPr="00C57759" w:rsidRDefault="00970B42" w:rsidP="00D723F6">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C57759">
              <w:rPr>
                <w:color w:val="auto"/>
                <w:szCs w:val="18"/>
                <w:lang w:val="en-NZ"/>
              </w:rPr>
              <w:t>Female</w:t>
            </w:r>
          </w:p>
        </w:tc>
        <w:tc>
          <w:tcPr>
            <w:tcW w:w="1000" w:type="pct"/>
            <w:shd w:val="clear" w:color="auto" w:fill="E4D8BF" w:themeFill="accent3" w:themeFillTint="99"/>
            <w:vAlign w:val="center"/>
          </w:tcPr>
          <w:p w:rsidR="00970B42" w:rsidRPr="00C57759" w:rsidRDefault="00970B42">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C57759">
              <w:rPr>
                <w:color w:val="auto"/>
                <w:szCs w:val="18"/>
                <w:lang w:val="en-NZ"/>
              </w:rPr>
              <w:t>Male</w:t>
            </w:r>
          </w:p>
        </w:tc>
        <w:tc>
          <w:tcPr>
            <w:tcW w:w="1000" w:type="pct"/>
            <w:shd w:val="clear" w:color="auto" w:fill="E4D8BF" w:themeFill="accent3" w:themeFillTint="99"/>
            <w:vAlign w:val="center"/>
          </w:tcPr>
          <w:p w:rsidR="00970B42" w:rsidRPr="00C57759" w:rsidRDefault="00970B42">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C57759">
              <w:rPr>
                <w:color w:val="auto"/>
                <w:szCs w:val="18"/>
                <w:lang w:val="en-NZ"/>
              </w:rPr>
              <w:t>F:M ratio</w:t>
            </w:r>
          </w:p>
        </w:tc>
        <w:tc>
          <w:tcPr>
            <w:tcW w:w="1001" w:type="pct"/>
            <w:shd w:val="clear" w:color="auto" w:fill="E4D8BF" w:themeFill="accent3" w:themeFillTint="99"/>
            <w:vAlign w:val="center"/>
          </w:tcPr>
          <w:p w:rsidR="00970B42" w:rsidRPr="00C57759" w:rsidRDefault="00970B42">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C57759">
              <w:rPr>
                <w:color w:val="auto"/>
                <w:szCs w:val="18"/>
                <w:lang w:val="en-NZ"/>
              </w:rPr>
              <w:t>Rank / 135</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Mongolia</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59</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71</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0.83</w:t>
            </w:r>
          </w:p>
        </w:tc>
        <w:tc>
          <w:tcPr>
            <w:tcW w:w="1001"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58</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Australia</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70</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83</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0.85</w:t>
            </w:r>
          </w:p>
        </w:tc>
        <w:tc>
          <w:tcPr>
            <w:tcW w:w="1001"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51</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970B42" w:rsidRPr="00C57759" w:rsidRDefault="00970B42" w:rsidP="00A02A59">
            <w:pPr>
              <w:spacing w:line="276" w:lineRule="auto"/>
              <w:rPr>
                <w:color w:val="auto"/>
                <w:szCs w:val="18"/>
                <w:lang w:val="en-NZ"/>
              </w:rPr>
            </w:pPr>
            <w:r w:rsidRPr="00C57759">
              <w:rPr>
                <w:b/>
                <w:bCs/>
                <w:color w:val="auto"/>
                <w:szCs w:val="18"/>
                <w:lang w:val="en-NZ"/>
              </w:rPr>
              <w:t>Legislators, senior officials, managers</w:t>
            </w:r>
            <w:r w:rsidRPr="00184249">
              <w:rPr>
                <w:b/>
                <w:bCs/>
                <w:color w:val="auto"/>
                <w:szCs w:val="18"/>
                <w:lang w:val="en-NZ"/>
              </w:rPr>
              <w:t>*</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Mongolia</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42</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58</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0.72</w:t>
            </w:r>
          </w:p>
        </w:tc>
        <w:tc>
          <w:tcPr>
            <w:tcW w:w="1001"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18</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lastRenderedPageBreak/>
              <w:t>Australia</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36</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64</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0.57</w:t>
            </w:r>
          </w:p>
        </w:tc>
        <w:tc>
          <w:tcPr>
            <w:tcW w:w="1001"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40</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970B42" w:rsidRPr="00C57759" w:rsidRDefault="00970B42" w:rsidP="00A02A59">
            <w:pPr>
              <w:spacing w:line="276" w:lineRule="auto"/>
              <w:rPr>
                <w:color w:val="auto"/>
                <w:szCs w:val="18"/>
                <w:lang w:val="en-NZ"/>
              </w:rPr>
            </w:pPr>
            <w:r w:rsidRPr="00C57759">
              <w:rPr>
                <w:b/>
                <w:bCs/>
                <w:color w:val="auto"/>
                <w:szCs w:val="18"/>
                <w:lang w:val="en-NZ"/>
              </w:rPr>
              <w:t>Professional and technical workers</w:t>
            </w:r>
            <w:r w:rsidRPr="00184249">
              <w:rPr>
                <w:b/>
                <w:bCs/>
                <w:color w:val="auto"/>
                <w:szCs w:val="18"/>
                <w:lang w:val="en-NZ"/>
              </w:rPr>
              <w:t>*</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Mongolia</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62</w:t>
            </w:r>
          </w:p>
        </w:tc>
        <w:tc>
          <w:tcPr>
            <w:tcW w:w="1000" w:type="pct"/>
            <w:shd w:val="clear" w:color="auto" w:fill="FFFFFF"/>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38</w:t>
            </w:r>
          </w:p>
        </w:tc>
        <w:tc>
          <w:tcPr>
            <w:tcW w:w="1000" w:type="pct"/>
            <w:shd w:val="clear" w:color="auto" w:fill="FFFFFF"/>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1.64</w:t>
            </w:r>
          </w:p>
        </w:tc>
        <w:tc>
          <w:tcPr>
            <w:tcW w:w="1001" w:type="pct"/>
            <w:shd w:val="clear" w:color="auto" w:fill="FFFFFF"/>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Australia</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51</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49</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1.03</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970B42" w:rsidRPr="00C57759" w:rsidRDefault="00970B42" w:rsidP="00A02A59">
            <w:pPr>
              <w:spacing w:line="276" w:lineRule="auto"/>
              <w:rPr>
                <w:color w:val="auto"/>
                <w:szCs w:val="18"/>
                <w:lang w:val="en-NZ"/>
              </w:rPr>
            </w:pPr>
            <w:r w:rsidRPr="00C57759">
              <w:rPr>
                <w:b/>
                <w:bCs/>
                <w:color w:val="auto"/>
                <w:szCs w:val="18"/>
                <w:lang w:val="en-NZ"/>
              </w:rPr>
              <w:t>Literacy rate</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Mongolia</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98</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98</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1.00</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Australia</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99</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99</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1.00</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970B42" w:rsidRPr="00C57759" w:rsidRDefault="00970B42" w:rsidP="00A02A59">
            <w:pPr>
              <w:spacing w:line="276" w:lineRule="auto"/>
              <w:rPr>
                <w:color w:val="auto"/>
                <w:szCs w:val="18"/>
                <w:lang w:val="en-NZ"/>
              </w:rPr>
            </w:pPr>
            <w:r w:rsidRPr="00C57759">
              <w:rPr>
                <w:b/>
                <w:bCs/>
                <w:color w:val="auto"/>
                <w:szCs w:val="18"/>
                <w:lang w:val="en-NZ"/>
              </w:rPr>
              <w:t>Healthy Life Expectancy</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Mongolia</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63</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56</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1.13</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Australia</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73</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69</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1.06</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62</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970B42" w:rsidRPr="00C57759" w:rsidRDefault="00970B42" w:rsidP="00A02A59">
            <w:pPr>
              <w:spacing w:line="276" w:lineRule="auto"/>
              <w:rPr>
                <w:color w:val="auto"/>
                <w:szCs w:val="18"/>
                <w:lang w:val="en-NZ"/>
              </w:rPr>
            </w:pPr>
            <w:r w:rsidRPr="00C57759">
              <w:rPr>
                <w:b/>
                <w:bCs/>
                <w:color w:val="auto"/>
                <w:szCs w:val="18"/>
                <w:lang w:val="en-NZ"/>
              </w:rPr>
              <w:t>Women in Parliament</w:t>
            </w:r>
            <w:r w:rsidRPr="00184249">
              <w:rPr>
                <w:b/>
                <w:bCs/>
                <w:color w:val="auto"/>
                <w:szCs w:val="18"/>
                <w:lang w:val="en-NZ"/>
              </w:rPr>
              <w:t>*</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Mongolia</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15</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85</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0.17</w:t>
            </w:r>
          </w:p>
        </w:tc>
        <w:tc>
          <w:tcPr>
            <w:tcW w:w="1000" w:type="pct"/>
            <w:shd w:val="clear" w:color="auto" w:fill="FFFFFF"/>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96</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Australia</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26</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74</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0.35</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45</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970B42" w:rsidRPr="00C57759" w:rsidRDefault="00970B42" w:rsidP="00A02A59">
            <w:pPr>
              <w:spacing w:line="276" w:lineRule="auto"/>
              <w:rPr>
                <w:color w:val="auto"/>
                <w:szCs w:val="18"/>
                <w:lang w:val="en-NZ"/>
              </w:rPr>
            </w:pPr>
            <w:r w:rsidRPr="00C57759">
              <w:rPr>
                <w:b/>
                <w:bCs/>
                <w:color w:val="auto"/>
                <w:szCs w:val="18"/>
                <w:lang w:val="en-NZ"/>
              </w:rPr>
              <w:t>Women in Ministerial Positions</w:t>
            </w:r>
            <w:r w:rsidRPr="00184249">
              <w:rPr>
                <w:b/>
                <w:bCs/>
                <w:color w:val="auto"/>
                <w:szCs w:val="18"/>
                <w:lang w:val="en-NZ"/>
              </w:rPr>
              <w:t>*</w:t>
            </w:r>
          </w:p>
        </w:tc>
      </w:tr>
      <w:tr w:rsidR="00970B42" w:rsidRPr="00C57759" w:rsidTr="00184249">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Mongolia</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17</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83</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0.20</w:t>
            </w:r>
          </w:p>
        </w:tc>
        <w:tc>
          <w:tcPr>
            <w:tcW w:w="1000" w:type="pct"/>
            <w:shd w:val="clear" w:color="auto" w:fill="auto"/>
          </w:tcPr>
          <w:p w:rsidR="00970B42" w:rsidRPr="00C57759" w:rsidRDefault="00970B42" w:rsidP="00A02A59">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66</w:t>
            </w:r>
          </w:p>
        </w:tc>
      </w:tr>
      <w:tr w:rsidR="00970B42" w:rsidRPr="00C57759" w:rsidTr="0018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4D8BF" w:themeFill="accent3" w:themeFillTint="99"/>
          </w:tcPr>
          <w:p w:rsidR="00970B42" w:rsidRPr="00C57759" w:rsidRDefault="00970B42" w:rsidP="00A02A59">
            <w:pPr>
              <w:spacing w:line="276" w:lineRule="auto"/>
              <w:rPr>
                <w:color w:val="auto"/>
                <w:szCs w:val="18"/>
                <w:lang w:val="en-NZ"/>
              </w:rPr>
            </w:pPr>
            <w:r w:rsidRPr="00C57759">
              <w:rPr>
                <w:color w:val="auto"/>
                <w:szCs w:val="18"/>
                <w:lang w:val="en-NZ"/>
              </w:rPr>
              <w:t>Australia</w:t>
            </w:r>
          </w:p>
        </w:tc>
        <w:tc>
          <w:tcPr>
            <w:tcW w:w="1000" w:type="pct"/>
            <w:shd w:val="clear" w:color="auto" w:fill="FFFFFF" w:themeFill="background1"/>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17</w:t>
            </w:r>
          </w:p>
        </w:tc>
        <w:tc>
          <w:tcPr>
            <w:tcW w:w="1000" w:type="pct"/>
            <w:shd w:val="clear" w:color="auto" w:fill="FFFFFF" w:themeFill="background1"/>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83</w:t>
            </w:r>
          </w:p>
        </w:tc>
        <w:tc>
          <w:tcPr>
            <w:tcW w:w="1000" w:type="pct"/>
            <w:shd w:val="clear" w:color="auto" w:fill="FFFFFF" w:themeFill="background1"/>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0.21</w:t>
            </w:r>
          </w:p>
        </w:tc>
        <w:tc>
          <w:tcPr>
            <w:tcW w:w="1000" w:type="pct"/>
            <w:shd w:val="clear" w:color="auto" w:fill="FFFFFF" w:themeFill="background1"/>
          </w:tcPr>
          <w:p w:rsidR="00970B42" w:rsidRPr="00C57759" w:rsidRDefault="00970B42" w:rsidP="00A02A59">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65</w:t>
            </w:r>
          </w:p>
        </w:tc>
      </w:tr>
    </w:tbl>
    <w:p w:rsidR="00970B42" w:rsidRPr="00484CF8" w:rsidRDefault="00970B42" w:rsidP="00970B42">
      <w:pPr>
        <w:pStyle w:val="ASIBulletPoint"/>
        <w:numPr>
          <w:ilvl w:val="0"/>
          <w:numId w:val="0"/>
        </w:numPr>
        <w:rPr>
          <w:sz w:val="16"/>
          <w:lang w:val="en-AU"/>
        </w:rPr>
      </w:pPr>
      <w:r w:rsidRPr="00184249">
        <w:rPr>
          <w:sz w:val="16"/>
          <w:lang w:val="en-AU"/>
        </w:rPr>
        <w:t>*These categories are assessed against the whole of the population (male and female)</w:t>
      </w:r>
      <w:r w:rsidRPr="00D723F6">
        <w:rPr>
          <w:sz w:val="16"/>
          <w:lang w:val="en-AU"/>
        </w:rPr>
        <w:t>.</w:t>
      </w:r>
    </w:p>
    <w:tbl>
      <w:tblPr>
        <w:tblStyle w:val="ColorfulGrid-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4615"/>
        <w:gridCol w:w="1481"/>
        <w:gridCol w:w="1756"/>
      </w:tblGrid>
      <w:tr w:rsidR="00970B42" w:rsidRPr="00D853F1" w:rsidTr="00A02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pct"/>
            <w:shd w:val="clear" w:color="auto" w:fill="D3BF96" w:themeFill="accent3"/>
            <w:vAlign w:val="bottom"/>
          </w:tcPr>
          <w:p w:rsidR="00970B42" w:rsidRPr="001309DB" w:rsidRDefault="00970B42" w:rsidP="00A02A59">
            <w:pPr>
              <w:pStyle w:val="ASIBulletPoint"/>
              <w:numPr>
                <w:ilvl w:val="0"/>
                <w:numId w:val="0"/>
              </w:numPr>
              <w:spacing w:before="60" w:line="276" w:lineRule="auto"/>
              <w:rPr>
                <w:color w:val="auto"/>
                <w:lang w:val="en-NZ"/>
              </w:rPr>
            </w:pPr>
            <w:r w:rsidRPr="001309DB">
              <w:rPr>
                <w:bCs w:val="0"/>
                <w:color w:val="auto"/>
                <w:lang w:val="en-NZ"/>
              </w:rPr>
              <w:t>Wage Equality Survey</w:t>
            </w:r>
          </w:p>
        </w:tc>
        <w:tc>
          <w:tcPr>
            <w:tcW w:w="2100" w:type="pct"/>
            <w:shd w:val="clear" w:color="auto" w:fill="D3BF96" w:themeFill="accent3"/>
            <w:vAlign w:val="bottom"/>
          </w:tcPr>
          <w:p w:rsidR="00970B42" w:rsidRPr="001309DB" w:rsidRDefault="00970B42" w:rsidP="00A02A59">
            <w:pPr>
              <w:pStyle w:val="ASIBulletPoint"/>
              <w:numPr>
                <w:ilvl w:val="0"/>
                <w:numId w:val="0"/>
              </w:numPr>
              <w:spacing w:before="60" w:line="276" w:lineRule="auto"/>
              <w:cnfStyle w:val="100000000000" w:firstRow="1" w:lastRow="0" w:firstColumn="0" w:lastColumn="0" w:oddVBand="0" w:evenVBand="0" w:oddHBand="0" w:evenHBand="0" w:firstRowFirstColumn="0" w:firstRowLastColumn="0" w:lastRowFirstColumn="0" w:lastRowLastColumn="0"/>
              <w:rPr>
                <w:bCs w:val="0"/>
                <w:color w:val="auto"/>
                <w:lang w:val="en-NZ"/>
              </w:rPr>
            </w:pPr>
            <w:r w:rsidRPr="001309DB">
              <w:rPr>
                <w:bCs w:val="0"/>
                <w:color w:val="auto"/>
                <w:lang w:val="en-NZ"/>
              </w:rPr>
              <w:t>Result (7 = equality, 1 = unequal)</w:t>
            </w:r>
          </w:p>
        </w:tc>
        <w:tc>
          <w:tcPr>
            <w:tcW w:w="674" w:type="pct"/>
            <w:shd w:val="clear" w:color="auto" w:fill="D3BF96" w:themeFill="accent3"/>
            <w:vAlign w:val="bottom"/>
          </w:tcPr>
          <w:p w:rsidR="00970B42" w:rsidRPr="001309DB" w:rsidRDefault="00970B42" w:rsidP="00A02A59">
            <w:pPr>
              <w:pStyle w:val="ASIBulletPoint"/>
              <w:numPr>
                <w:ilvl w:val="0"/>
                <w:numId w:val="0"/>
              </w:numPr>
              <w:spacing w:before="60" w:line="276" w:lineRule="auto"/>
              <w:cnfStyle w:val="100000000000" w:firstRow="1" w:lastRow="0" w:firstColumn="0" w:lastColumn="0" w:oddVBand="0" w:evenVBand="0" w:oddHBand="0" w:evenHBand="0" w:firstRowFirstColumn="0" w:firstRowLastColumn="0" w:lastRowFirstColumn="0" w:lastRowLastColumn="0"/>
              <w:rPr>
                <w:bCs w:val="0"/>
                <w:color w:val="auto"/>
                <w:lang w:val="en-NZ"/>
              </w:rPr>
            </w:pPr>
            <w:r w:rsidRPr="001309DB">
              <w:rPr>
                <w:bCs w:val="0"/>
                <w:color w:val="auto"/>
                <w:lang w:val="en-NZ"/>
              </w:rPr>
              <w:t>F:M ratio</w:t>
            </w:r>
          </w:p>
        </w:tc>
        <w:tc>
          <w:tcPr>
            <w:tcW w:w="799" w:type="pct"/>
            <w:shd w:val="clear" w:color="auto" w:fill="D3BF96" w:themeFill="accent3"/>
            <w:vAlign w:val="bottom"/>
          </w:tcPr>
          <w:p w:rsidR="00970B42" w:rsidRPr="001309DB" w:rsidRDefault="00970B42" w:rsidP="00A02A59">
            <w:pPr>
              <w:pStyle w:val="ASIBulletPoint"/>
              <w:numPr>
                <w:ilvl w:val="0"/>
                <w:numId w:val="0"/>
              </w:numPr>
              <w:spacing w:before="60" w:line="276" w:lineRule="auto"/>
              <w:cnfStyle w:val="100000000000" w:firstRow="1" w:lastRow="0" w:firstColumn="0" w:lastColumn="0" w:oddVBand="0" w:evenVBand="0" w:oddHBand="0" w:evenHBand="0" w:firstRowFirstColumn="0" w:firstRowLastColumn="0" w:lastRowFirstColumn="0" w:lastRowLastColumn="0"/>
              <w:rPr>
                <w:bCs w:val="0"/>
                <w:color w:val="auto"/>
                <w:lang w:val="en-NZ"/>
              </w:rPr>
            </w:pPr>
            <w:r w:rsidRPr="001309DB">
              <w:rPr>
                <w:bCs w:val="0"/>
                <w:color w:val="auto"/>
                <w:lang w:val="en-NZ"/>
              </w:rPr>
              <w:t>Rank / 135</w:t>
            </w:r>
          </w:p>
        </w:tc>
      </w:tr>
      <w:tr w:rsidR="00970B42" w:rsidRPr="00D853F1" w:rsidTr="00A02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pct"/>
            <w:shd w:val="clear" w:color="auto" w:fill="E4D8BF" w:themeFill="accent3" w:themeFillTint="99"/>
            <w:vAlign w:val="bottom"/>
          </w:tcPr>
          <w:p w:rsidR="00970B42" w:rsidRPr="001309DB" w:rsidRDefault="00970B42" w:rsidP="00A02A59">
            <w:pPr>
              <w:pStyle w:val="ASIBulletPoint"/>
              <w:numPr>
                <w:ilvl w:val="0"/>
                <w:numId w:val="0"/>
              </w:numPr>
              <w:spacing w:before="60" w:line="360" w:lineRule="auto"/>
              <w:rPr>
                <w:color w:val="auto"/>
                <w:lang w:val="en-NZ"/>
              </w:rPr>
            </w:pPr>
            <w:r w:rsidRPr="001309DB">
              <w:rPr>
                <w:color w:val="auto"/>
                <w:lang w:val="en-NZ"/>
              </w:rPr>
              <w:t>Mongolia</w:t>
            </w:r>
          </w:p>
        </w:tc>
        <w:tc>
          <w:tcPr>
            <w:tcW w:w="2100" w:type="pct"/>
            <w:shd w:val="clear" w:color="auto" w:fill="FFFFFF" w:themeFill="background1"/>
            <w:vAlign w:val="bottom"/>
          </w:tcPr>
          <w:p w:rsidR="00970B42" w:rsidRPr="00D853F1" w:rsidRDefault="00970B42" w:rsidP="00A02A59">
            <w:pPr>
              <w:pStyle w:val="ASIBulletPoint"/>
              <w:numPr>
                <w:ilvl w:val="0"/>
                <w:numId w:val="0"/>
              </w:numPr>
              <w:spacing w:before="60" w:line="36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Pr>
                <w:color w:val="808080" w:themeColor="background1" w:themeShade="80"/>
                <w:lang w:val="en-NZ"/>
              </w:rPr>
              <w:t>5.73</w:t>
            </w:r>
          </w:p>
        </w:tc>
        <w:tc>
          <w:tcPr>
            <w:tcW w:w="674" w:type="pct"/>
            <w:shd w:val="clear" w:color="auto" w:fill="FFFFFF" w:themeFill="background1"/>
            <w:vAlign w:val="bottom"/>
          </w:tcPr>
          <w:p w:rsidR="00970B42" w:rsidRPr="00D853F1" w:rsidRDefault="00970B42" w:rsidP="00A02A59">
            <w:pPr>
              <w:pStyle w:val="ASIBulletPoint"/>
              <w:numPr>
                <w:ilvl w:val="0"/>
                <w:numId w:val="0"/>
              </w:numPr>
              <w:spacing w:before="60" w:line="36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Pr>
                <w:color w:val="808080" w:themeColor="background1" w:themeShade="80"/>
                <w:lang w:val="en-NZ"/>
              </w:rPr>
              <w:t>0.82</w:t>
            </w:r>
          </w:p>
        </w:tc>
        <w:tc>
          <w:tcPr>
            <w:tcW w:w="799" w:type="pct"/>
            <w:shd w:val="clear" w:color="auto" w:fill="FFFFFF" w:themeFill="background1"/>
            <w:vAlign w:val="bottom"/>
          </w:tcPr>
          <w:p w:rsidR="00970B42" w:rsidRPr="00D853F1" w:rsidRDefault="00970B42" w:rsidP="00A02A59">
            <w:pPr>
              <w:pStyle w:val="ASIBulletPoint"/>
              <w:numPr>
                <w:ilvl w:val="0"/>
                <w:numId w:val="0"/>
              </w:numPr>
              <w:spacing w:before="60" w:line="36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Pr>
                <w:color w:val="808080" w:themeColor="background1" w:themeShade="80"/>
                <w:lang w:val="en-NZ"/>
              </w:rPr>
              <w:t>2</w:t>
            </w:r>
          </w:p>
        </w:tc>
      </w:tr>
      <w:tr w:rsidR="00970B42" w:rsidRPr="00D853F1" w:rsidTr="00184249">
        <w:tc>
          <w:tcPr>
            <w:cnfStyle w:val="001000000000" w:firstRow="0" w:lastRow="0" w:firstColumn="1" w:lastColumn="0" w:oddVBand="0" w:evenVBand="0" w:oddHBand="0" w:evenHBand="0" w:firstRowFirstColumn="0" w:firstRowLastColumn="0" w:lastRowFirstColumn="0" w:lastRowLastColumn="0"/>
            <w:tcW w:w="1427" w:type="pct"/>
            <w:shd w:val="clear" w:color="auto" w:fill="E4D8BF" w:themeFill="accent3" w:themeFillTint="99"/>
            <w:vAlign w:val="bottom"/>
          </w:tcPr>
          <w:p w:rsidR="00970B42" w:rsidRPr="001309DB" w:rsidRDefault="00970B42" w:rsidP="00A02A59">
            <w:pPr>
              <w:pStyle w:val="ASIBulletPoint"/>
              <w:numPr>
                <w:ilvl w:val="0"/>
                <w:numId w:val="0"/>
              </w:numPr>
              <w:spacing w:before="60" w:line="360" w:lineRule="auto"/>
              <w:rPr>
                <w:color w:val="auto"/>
                <w:lang w:val="en-NZ"/>
              </w:rPr>
            </w:pPr>
            <w:r w:rsidRPr="001309DB">
              <w:rPr>
                <w:color w:val="auto"/>
                <w:lang w:val="en-NZ"/>
              </w:rPr>
              <w:t>Australia</w:t>
            </w:r>
          </w:p>
        </w:tc>
        <w:tc>
          <w:tcPr>
            <w:tcW w:w="2100" w:type="pct"/>
            <w:shd w:val="clear" w:color="auto" w:fill="FFFFFF" w:themeFill="background1"/>
            <w:vAlign w:val="bottom"/>
          </w:tcPr>
          <w:p w:rsidR="00970B42" w:rsidRPr="00D853F1" w:rsidRDefault="00970B42" w:rsidP="00A02A59">
            <w:pPr>
              <w:pStyle w:val="ASIBulletPoint"/>
              <w:numPr>
                <w:ilvl w:val="0"/>
                <w:numId w:val="0"/>
              </w:numPr>
              <w:spacing w:before="60" w:line="36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Pr>
                <w:color w:val="808080" w:themeColor="background1" w:themeShade="80"/>
                <w:lang w:val="en-NZ"/>
              </w:rPr>
              <w:t>4.62</w:t>
            </w:r>
          </w:p>
        </w:tc>
        <w:tc>
          <w:tcPr>
            <w:tcW w:w="674" w:type="pct"/>
            <w:shd w:val="clear" w:color="auto" w:fill="FFFFFF" w:themeFill="background1"/>
            <w:vAlign w:val="bottom"/>
          </w:tcPr>
          <w:p w:rsidR="00970B42" w:rsidRPr="00D853F1" w:rsidRDefault="00970B42" w:rsidP="00A02A59">
            <w:pPr>
              <w:pStyle w:val="ASIBulletPoint"/>
              <w:numPr>
                <w:ilvl w:val="0"/>
                <w:numId w:val="0"/>
              </w:numPr>
              <w:spacing w:before="60" w:line="36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Pr>
                <w:color w:val="808080" w:themeColor="background1" w:themeShade="80"/>
                <w:lang w:val="en-NZ"/>
              </w:rPr>
              <w:t>0.66</w:t>
            </w:r>
          </w:p>
        </w:tc>
        <w:tc>
          <w:tcPr>
            <w:tcW w:w="799" w:type="pct"/>
            <w:shd w:val="clear" w:color="auto" w:fill="FFFFFF" w:themeFill="background1"/>
            <w:vAlign w:val="bottom"/>
          </w:tcPr>
          <w:p w:rsidR="00970B42" w:rsidRPr="00D853F1" w:rsidRDefault="00970B42" w:rsidP="00A02A59">
            <w:pPr>
              <w:pStyle w:val="ASIBulletPoint"/>
              <w:numPr>
                <w:ilvl w:val="0"/>
                <w:numId w:val="0"/>
              </w:numPr>
              <w:spacing w:before="60" w:line="36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Pr>
                <w:color w:val="808080" w:themeColor="background1" w:themeShade="80"/>
                <w:lang w:val="en-NZ"/>
              </w:rPr>
              <w:t>63</w:t>
            </w:r>
          </w:p>
        </w:tc>
      </w:tr>
    </w:tbl>
    <w:p w:rsidR="00970B42" w:rsidRPr="00D853F1" w:rsidRDefault="00970B42" w:rsidP="00970B42">
      <w:pPr>
        <w:pStyle w:val="ASIBodyCopy"/>
        <w:rPr>
          <w:lang w:val="en-AU"/>
        </w:rPr>
      </w:pPr>
      <w:r w:rsidRPr="00D853F1">
        <w:rPr>
          <w:lang w:val="en-AU"/>
        </w:rPr>
        <w:t>A selection of the gender gap statistics are shown above.  It is important to remember that these are measures of the gap between men and women in a particular country, not measurements of absolute situations. For example, although Mongolia ranks higher than Australia on the gender gap for healthy life expectancy, overall Australians have a higher life expectancy than Mongolians, both men and women. Similarly, the wage equality survey places Mongolians higher than Australians, although the actual wages earned by Mongolians are considerably lower than those of Australians.</w:t>
      </w:r>
    </w:p>
    <w:p w:rsidR="002D3280" w:rsidRDefault="00D853F1" w:rsidP="00D853F1">
      <w:pPr>
        <w:pStyle w:val="ASIBodyCopy"/>
        <w:rPr>
          <w:lang w:val="en-AU"/>
        </w:rPr>
      </w:pPr>
      <w:r w:rsidRPr="00D853F1">
        <w:rPr>
          <w:lang w:val="en-AU"/>
        </w:rPr>
        <w:t>Although Mongolian women are able to compete globally on an educational basis and on obtaining middle-ranking employment, they perform poorly on measures of maternal health and positions of power. Evidence suggests that although higher ratios of women are educated, far fewer women are employed in management and decision making roles. Finally, the recent Government of Mongolia , Beijing +20 report noted that the pay gap between men and women has grown for women from 93 percent that of men to currently 86 percent (Government of Mongolia, 2014</w:t>
      </w:r>
    </w:p>
    <w:p w:rsidR="002D3280" w:rsidRDefault="00D853F1" w:rsidP="004F5BFC">
      <w:pPr>
        <w:pStyle w:val="Heading2"/>
        <w:rPr>
          <w:lang w:val="en-AU"/>
        </w:rPr>
      </w:pPr>
      <w:bookmarkStart w:id="23" w:name="_Toc416161474"/>
      <w:r>
        <w:rPr>
          <w:lang w:val="en-AU"/>
        </w:rPr>
        <w:t>Mining in South Gobi, Mongolia</w:t>
      </w:r>
      <w:bookmarkEnd w:id="23"/>
      <w:r>
        <w:rPr>
          <w:lang w:val="en-AU"/>
        </w:rPr>
        <w:t xml:space="preserve"> </w:t>
      </w:r>
    </w:p>
    <w:p w:rsidR="004F5BFC" w:rsidRPr="004F5BFC" w:rsidRDefault="004F5BFC" w:rsidP="004F5BFC">
      <w:pPr>
        <w:pStyle w:val="ASIBulletPoint"/>
        <w:numPr>
          <w:ilvl w:val="0"/>
          <w:numId w:val="0"/>
        </w:numPr>
        <w:jc w:val="both"/>
        <w:rPr>
          <w:lang w:val="en-AU"/>
        </w:rPr>
      </w:pPr>
      <w:r w:rsidRPr="004F5BFC">
        <w:rPr>
          <w:lang w:val="en-AU"/>
        </w:rPr>
        <w:t>Although Mongolia was categorized as a lower middle income country in 2008, the distribution and accessibility of the countries growth is not widespread. Higher rates of poverty are identified in the rural areas, and greatly depend on seasons (</w:t>
      </w:r>
      <w:r w:rsidRPr="004F5BFC">
        <w:rPr>
          <w:i/>
          <w:lang w:val="en-AU"/>
        </w:rPr>
        <w:t>Dzud</w:t>
      </w:r>
      <w:r w:rsidRPr="004F5BFC">
        <w:rPr>
          <w:lang w:val="en-AU"/>
        </w:rPr>
        <w:t>) and the individual and households socioeconomic differences. The impacts of mining on a country are frequently unevenly distributed, and this is true of Mongolia. The Gobi provinces, and especially South Gobi Province, have a heavy concentration of active and planned mining projects (as shown in table 3) that will operate far into the future and have the potential to improve the lives of women and men, if managed responsibly.</w:t>
      </w:r>
    </w:p>
    <w:p w:rsidR="004F5BFC" w:rsidRPr="004F5BFC" w:rsidRDefault="004F5BFC" w:rsidP="004F5BFC">
      <w:pPr>
        <w:pStyle w:val="ASIBulletPoint"/>
        <w:numPr>
          <w:ilvl w:val="0"/>
          <w:numId w:val="0"/>
        </w:numPr>
        <w:jc w:val="both"/>
        <w:rPr>
          <w:lang w:val="en-AU"/>
        </w:rPr>
      </w:pPr>
      <w:r w:rsidRPr="004F5BFC">
        <w:rPr>
          <w:lang w:val="en-AU"/>
        </w:rPr>
        <w:t xml:space="preserve">The five districts of South Gobi Province that the Design Team </w:t>
      </w:r>
      <w:proofErr w:type="gramStart"/>
      <w:r w:rsidRPr="004F5BFC">
        <w:rPr>
          <w:lang w:val="en-AU"/>
        </w:rPr>
        <w:t>have</w:t>
      </w:r>
      <w:proofErr w:type="gramEnd"/>
      <w:r w:rsidRPr="004F5BFC">
        <w:rPr>
          <w:lang w:val="en-AU"/>
        </w:rPr>
        <w:t xml:space="preserve"> nominated for special focus for the AMEP are: </w:t>
      </w:r>
    </w:p>
    <w:p w:rsidR="004F5BFC" w:rsidRPr="004F5BFC" w:rsidRDefault="004F5BFC" w:rsidP="00591C9C">
      <w:pPr>
        <w:pStyle w:val="ASIBulletPoint"/>
        <w:numPr>
          <w:ilvl w:val="1"/>
          <w:numId w:val="5"/>
        </w:numPr>
        <w:jc w:val="both"/>
      </w:pPr>
      <w:r w:rsidRPr="004F5BFC">
        <w:t xml:space="preserve">Dalanzadgad - the provincial capital </w:t>
      </w:r>
    </w:p>
    <w:p w:rsidR="004F5BFC" w:rsidRPr="004F5BFC" w:rsidRDefault="004F5BFC" w:rsidP="00591C9C">
      <w:pPr>
        <w:pStyle w:val="ASIBulletPoint"/>
        <w:numPr>
          <w:ilvl w:val="1"/>
          <w:numId w:val="5"/>
        </w:numPr>
        <w:jc w:val="both"/>
      </w:pPr>
      <w:r w:rsidRPr="004F5BFC">
        <w:t xml:space="preserve">Tsogttsetsii - where Energy Resources Ukhaa Khudag or UHG Coal Mine is located and the Tavan Tolgoi Coal mine. Once developed, the Tavan Tolgoi mine will be one of the world’s largest coal </w:t>
      </w:r>
      <w:r w:rsidR="00471923" w:rsidRPr="004F5BFC">
        <w:t>mines</w:t>
      </w:r>
      <w:r w:rsidRPr="004F5BFC">
        <w:t>.</w:t>
      </w:r>
      <w:r w:rsidRPr="00184249">
        <w:rPr>
          <w:vertAlign w:val="superscript"/>
        </w:rPr>
        <w:footnoteReference w:id="6"/>
      </w:r>
    </w:p>
    <w:p w:rsidR="004F5BFC" w:rsidRPr="004F5BFC" w:rsidRDefault="004F5BFC" w:rsidP="00591C9C">
      <w:pPr>
        <w:pStyle w:val="ASIBulletPoint"/>
        <w:numPr>
          <w:ilvl w:val="1"/>
          <w:numId w:val="5"/>
        </w:numPr>
        <w:jc w:val="both"/>
      </w:pPr>
      <w:r w:rsidRPr="004F5BFC">
        <w:t xml:space="preserve">Khanbogd, the closest neighbouring community to the Oyu Tolgoi Mine; and </w:t>
      </w:r>
    </w:p>
    <w:p w:rsidR="004F5BFC" w:rsidRPr="004F5BFC" w:rsidRDefault="004F5BFC" w:rsidP="00591C9C">
      <w:pPr>
        <w:pStyle w:val="ASIBulletPoint"/>
        <w:numPr>
          <w:ilvl w:val="1"/>
          <w:numId w:val="5"/>
        </w:numPr>
        <w:jc w:val="both"/>
      </w:pPr>
      <w:r w:rsidRPr="004F5BFC">
        <w:lastRenderedPageBreak/>
        <w:t xml:space="preserve">Bayan-Ovoo and Manlai - direct impact districts of both UHG and Oyu Tolgoi Mines. </w:t>
      </w:r>
    </w:p>
    <w:p w:rsidR="004F5BFC" w:rsidRPr="00E91E98" w:rsidRDefault="004F5BFC" w:rsidP="004F5BFC">
      <w:pPr>
        <w:jc w:val="both"/>
      </w:pPr>
      <w:r w:rsidRPr="00A01969">
        <w:t>The cumulative impacts of these and other existing or proposed mines in the southern Gobi region combine to produce a heavily impacted mining zone.</w:t>
      </w:r>
    </w:p>
    <w:p w:rsidR="004F5BFC" w:rsidRPr="001309DB" w:rsidRDefault="004F5BFC" w:rsidP="004F5BFC">
      <w:pPr>
        <w:pStyle w:val="ASIBulletPoint"/>
        <w:numPr>
          <w:ilvl w:val="0"/>
          <w:numId w:val="0"/>
        </w:numPr>
        <w:rPr>
          <w:b/>
          <w:bCs/>
          <w:lang w:val="en-AU"/>
        </w:rPr>
      </w:pPr>
      <w:r w:rsidRPr="001309DB">
        <w:rPr>
          <w:b/>
          <w:bCs/>
          <w:lang w:val="en-AU"/>
        </w:rPr>
        <w:t xml:space="preserve">Table 3: </w:t>
      </w:r>
      <w:r w:rsidRPr="001309DB">
        <w:rPr>
          <w:b/>
          <w:bCs/>
          <w:iCs/>
          <w:lang w:val="en-AU"/>
        </w:rPr>
        <w:t>Large-scale Operational and Planned Mines in South Gobi Province</w:t>
      </w:r>
      <w:r w:rsidRPr="001309DB">
        <w:rPr>
          <w:b/>
          <w:bCs/>
          <w:iCs/>
          <w:vertAlign w:val="superscript"/>
          <w:lang w:val="en-AU"/>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2"/>
        <w:gridCol w:w="1722"/>
        <w:gridCol w:w="1722"/>
        <w:gridCol w:w="1722"/>
        <w:gridCol w:w="1722"/>
        <w:gridCol w:w="1722"/>
      </w:tblGrid>
      <w:tr w:rsidR="004F5BFC" w:rsidRPr="004F5BFC" w:rsidTr="004F5BFC">
        <w:trPr>
          <w:trHeight w:val="217"/>
        </w:trPr>
        <w:tc>
          <w:tcPr>
            <w:tcW w:w="1722" w:type="dxa"/>
            <w:shd w:val="clear" w:color="auto" w:fill="D3BF96" w:themeFill="accent3"/>
            <w:vAlign w:val="center"/>
          </w:tcPr>
          <w:p w:rsidR="004F5BFC" w:rsidRPr="001309DB" w:rsidRDefault="004F5BFC" w:rsidP="004F5BFC">
            <w:pPr>
              <w:pStyle w:val="ASIBulletPoint"/>
              <w:numPr>
                <w:ilvl w:val="0"/>
                <w:numId w:val="0"/>
              </w:numPr>
              <w:spacing w:before="60" w:after="60" w:line="240" w:lineRule="auto"/>
              <w:jc w:val="center"/>
              <w:rPr>
                <w:b/>
                <w:bCs/>
                <w:color w:val="auto"/>
                <w:lang w:val="en-NZ"/>
              </w:rPr>
            </w:pPr>
            <w:r w:rsidRPr="001309DB">
              <w:rPr>
                <w:b/>
                <w:bCs/>
                <w:color w:val="auto"/>
                <w:lang w:val="en-NZ"/>
              </w:rPr>
              <w:t>Mine</w:t>
            </w:r>
          </w:p>
        </w:tc>
        <w:tc>
          <w:tcPr>
            <w:tcW w:w="1722" w:type="dxa"/>
            <w:shd w:val="clear" w:color="auto" w:fill="D3BF96" w:themeFill="accent3"/>
            <w:vAlign w:val="center"/>
          </w:tcPr>
          <w:p w:rsidR="004F5BFC" w:rsidRPr="001309DB" w:rsidRDefault="004F5BFC" w:rsidP="004F5BFC">
            <w:pPr>
              <w:pStyle w:val="ASIBulletPoint"/>
              <w:numPr>
                <w:ilvl w:val="0"/>
                <w:numId w:val="0"/>
              </w:numPr>
              <w:spacing w:before="60" w:after="60" w:line="240" w:lineRule="auto"/>
              <w:jc w:val="center"/>
              <w:rPr>
                <w:b/>
                <w:bCs/>
                <w:color w:val="auto"/>
                <w:lang w:val="en-NZ"/>
              </w:rPr>
            </w:pPr>
            <w:r w:rsidRPr="001309DB">
              <w:rPr>
                <w:b/>
                <w:bCs/>
                <w:color w:val="auto"/>
                <w:lang w:val="en-NZ"/>
              </w:rPr>
              <w:t>Commodity</w:t>
            </w:r>
          </w:p>
        </w:tc>
        <w:tc>
          <w:tcPr>
            <w:tcW w:w="1722" w:type="dxa"/>
            <w:shd w:val="clear" w:color="auto" w:fill="D3BF96" w:themeFill="accent3"/>
            <w:vAlign w:val="center"/>
          </w:tcPr>
          <w:p w:rsidR="004F5BFC" w:rsidRPr="001309DB" w:rsidRDefault="004F5BFC" w:rsidP="004F5BFC">
            <w:pPr>
              <w:pStyle w:val="ASIBulletPoint"/>
              <w:numPr>
                <w:ilvl w:val="0"/>
                <w:numId w:val="0"/>
              </w:numPr>
              <w:spacing w:before="60" w:after="60" w:line="240" w:lineRule="auto"/>
              <w:jc w:val="center"/>
              <w:rPr>
                <w:b/>
                <w:bCs/>
                <w:color w:val="auto"/>
                <w:lang w:val="en-NZ"/>
              </w:rPr>
            </w:pPr>
            <w:r w:rsidRPr="001309DB">
              <w:rPr>
                <w:b/>
                <w:bCs/>
                <w:color w:val="auto"/>
                <w:lang w:val="en-NZ"/>
              </w:rPr>
              <w:t>Mine Life (yrs)</w:t>
            </w:r>
          </w:p>
        </w:tc>
        <w:tc>
          <w:tcPr>
            <w:tcW w:w="1722" w:type="dxa"/>
            <w:shd w:val="clear" w:color="auto" w:fill="D3BF96" w:themeFill="accent3"/>
            <w:vAlign w:val="center"/>
          </w:tcPr>
          <w:p w:rsidR="004F5BFC" w:rsidRPr="001309DB" w:rsidRDefault="004F5BFC" w:rsidP="004F5BFC">
            <w:pPr>
              <w:pStyle w:val="ASIBulletPoint"/>
              <w:numPr>
                <w:ilvl w:val="0"/>
                <w:numId w:val="0"/>
              </w:numPr>
              <w:spacing w:before="60" w:after="60" w:line="240" w:lineRule="auto"/>
              <w:jc w:val="center"/>
              <w:rPr>
                <w:b/>
                <w:bCs/>
                <w:color w:val="auto"/>
                <w:lang w:val="en-NZ"/>
              </w:rPr>
            </w:pPr>
            <w:r w:rsidRPr="001309DB">
              <w:rPr>
                <w:b/>
                <w:bCs/>
                <w:color w:val="auto"/>
                <w:lang w:val="en-NZ"/>
              </w:rPr>
              <w:t>Production</w:t>
            </w:r>
          </w:p>
          <w:p w:rsidR="004F5BFC" w:rsidRPr="001309DB" w:rsidRDefault="004F5BFC" w:rsidP="004F5BFC">
            <w:pPr>
              <w:pStyle w:val="ASIBulletPoint"/>
              <w:numPr>
                <w:ilvl w:val="0"/>
                <w:numId w:val="0"/>
              </w:numPr>
              <w:spacing w:before="60" w:after="60" w:line="240" w:lineRule="auto"/>
              <w:jc w:val="center"/>
              <w:rPr>
                <w:b/>
                <w:bCs/>
                <w:color w:val="auto"/>
                <w:lang w:val="en-NZ"/>
              </w:rPr>
            </w:pPr>
            <w:r w:rsidRPr="001309DB">
              <w:rPr>
                <w:b/>
                <w:bCs/>
                <w:color w:val="auto"/>
                <w:lang w:val="en-NZ"/>
              </w:rPr>
              <w:t>(000 tonnes/</w:t>
            </w:r>
            <w:proofErr w:type="spellStart"/>
            <w:r w:rsidRPr="001309DB">
              <w:rPr>
                <w:b/>
                <w:bCs/>
                <w:color w:val="auto"/>
                <w:lang w:val="en-NZ"/>
              </w:rPr>
              <w:t>yr</w:t>
            </w:r>
            <w:proofErr w:type="spellEnd"/>
            <w:r w:rsidRPr="001309DB">
              <w:rPr>
                <w:b/>
                <w:bCs/>
                <w:color w:val="auto"/>
                <w:lang w:val="en-NZ"/>
              </w:rPr>
              <w:t>)</w:t>
            </w:r>
          </w:p>
        </w:tc>
        <w:tc>
          <w:tcPr>
            <w:tcW w:w="1722" w:type="dxa"/>
            <w:shd w:val="clear" w:color="auto" w:fill="D3BF96" w:themeFill="accent3"/>
            <w:vAlign w:val="center"/>
          </w:tcPr>
          <w:p w:rsidR="004F5BFC" w:rsidRPr="001309DB" w:rsidRDefault="004F5BFC" w:rsidP="004F5BFC">
            <w:pPr>
              <w:pStyle w:val="ASIBulletPoint"/>
              <w:numPr>
                <w:ilvl w:val="0"/>
                <w:numId w:val="0"/>
              </w:numPr>
              <w:spacing w:before="60" w:after="60" w:line="240" w:lineRule="auto"/>
              <w:jc w:val="center"/>
              <w:rPr>
                <w:b/>
                <w:bCs/>
                <w:color w:val="auto"/>
                <w:lang w:val="en-NZ"/>
              </w:rPr>
            </w:pPr>
            <w:r w:rsidRPr="001309DB">
              <w:rPr>
                <w:b/>
                <w:bCs/>
                <w:color w:val="auto"/>
                <w:lang w:val="en-NZ"/>
              </w:rPr>
              <w:t>Estimated Direct Employment</w:t>
            </w:r>
          </w:p>
        </w:tc>
        <w:tc>
          <w:tcPr>
            <w:tcW w:w="1722" w:type="dxa"/>
            <w:shd w:val="clear" w:color="auto" w:fill="D3BF96" w:themeFill="accent3"/>
            <w:vAlign w:val="center"/>
          </w:tcPr>
          <w:p w:rsidR="004F5BFC" w:rsidRPr="001309DB" w:rsidRDefault="004F5BFC" w:rsidP="004F5BFC">
            <w:pPr>
              <w:pStyle w:val="ASIBulletPoint"/>
              <w:numPr>
                <w:ilvl w:val="0"/>
                <w:numId w:val="0"/>
              </w:numPr>
              <w:spacing w:before="60" w:after="60" w:line="240" w:lineRule="auto"/>
              <w:jc w:val="center"/>
              <w:rPr>
                <w:b/>
                <w:bCs/>
                <w:color w:val="auto"/>
                <w:lang w:val="en-NZ"/>
              </w:rPr>
            </w:pPr>
            <w:r w:rsidRPr="001309DB">
              <w:rPr>
                <w:b/>
                <w:bCs/>
                <w:color w:val="auto"/>
                <w:lang w:val="en-NZ"/>
              </w:rPr>
              <w:t>Estimated Start Date</w:t>
            </w:r>
          </w:p>
        </w:tc>
      </w:tr>
      <w:tr w:rsidR="004F5BFC" w:rsidRPr="004F5BFC" w:rsidTr="00C3338A">
        <w:trPr>
          <w:trHeight w:val="85"/>
        </w:trPr>
        <w:tc>
          <w:tcPr>
            <w:tcW w:w="1722" w:type="dxa"/>
            <w:shd w:val="clear" w:color="auto" w:fill="E4D8BF" w:themeFill="accent3" w:themeFillTint="99"/>
          </w:tcPr>
          <w:p w:rsidR="004F5BFC" w:rsidRPr="001309DB" w:rsidRDefault="004F5BFC" w:rsidP="004F5BFC">
            <w:pPr>
              <w:pStyle w:val="ASIBulletPoint"/>
              <w:numPr>
                <w:ilvl w:val="0"/>
                <w:numId w:val="0"/>
              </w:numPr>
              <w:spacing w:before="60" w:after="60" w:line="240" w:lineRule="auto"/>
              <w:rPr>
                <w:b/>
                <w:bCs/>
                <w:color w:val="auto"/>
                <w:lang w:val="en-NZ"/>
              </w:rPr>
            </w:pPr>
            <w:r w:rsidRPr="001309DB">
              <w:rPr>
                <w:b/>
                <w:bCs/>
                <w:color w:val="auto"/>
                <w:lang w:val="en-NZ"/>
              </w:rPr>
              <w:t xml:space="preserve">Tavan Tolgoi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Coal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15,000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1,500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2012 </w:t>
            </w:r>
          </w:p>
        </w:tc>
      </w:tr>
      <w:tr w:rsidR="004F5BFC" w:rsidRPr="004F5BFC" w:rsidTr="00C3338A">
        <w:trPr>
          <w:trHeight w:val="85"/>
        </w:trPr>
        <w:tc>
          <w:tcPr>
            <w:tcW w:w="1722" w:type="dxa"/>
            <w:shd w:val="clear" w:color="auto" w:fill="E4D8BF" w:themeFill="accent3" w:themeFillTint="99"/>
          </w:tcPr>
          <w:p w:rsidR="004F5BFC" w:rsidRPr="001309DB" w:rsidRDefault="004F5BFC" w:rsidP="004F5BFC">
            <w:pPr>
              <w:pStyle w:val="ASIBulletPoint"/>
              <w:numPr>
                <w:ilvl w:val="0"/>
                <w:numId w:val="0"/>
              </w:numPr>
              <w:spacing w:before="60" w:after="60" w:line="240" w:lineRule="auto"/>
              <w:rPr>
                <w:b/>
                <w:bCs/>
                <w:color w:val="auto"/>
                <w:lang w:val="en-NZ"/>
              </w:rPr>
            </w:pPr>
            <w:r w:rsidRPr="001309DB">
              <w:rPr>
                <w:b/>
                <w:bCs/>
                <w:color w:val="auto"/>
                <w:lang w:val="en-NZ"/>
              </w:rPr>
              <w:t xml:space="preserve">Uhaahudag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Coal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40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10,000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1,000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2009 </w:t>
            </w:r>
          </w:p>
        </w:tc>
      </w:tr>
      <w:tr w:rsidR="004F5BFC" w:rsidRPr="004F5BFC" w:rsidTr="00C3338A">
        <w:trPr>
          <w:trHeight w:val="85"/>
        </w:trPr>
        <w:tc>
          <w:tcPr>
            <w:tcW w:w="1722" w:type="dxa"/>
            <w:shd w:val="clear" w:color="auto" w:fill="E4D8BF" w:themeFill="accent3" w:themeFillTint="99"/>
          </w:tcPr>
          <w:p w:rsidR="004F5BFC" w:rsidRPr="001309DB" w:rsidRDefault="004F5BFC" w:rsidP="004F5BFC">
            <w:pPr>
              <w:pStyle w:val="ASIBulletPoint"/>
              <w:numPr>
                <w:ilvl w:val="0"/>
                <w:numId w:val="0"/>
              </w:numPr>
              <w:spacing w:before="60" w:after="60" w:line="240" w:lineRule="auto"/>
              <w:rPr>
                <w:b/>
                <w:bCs/>
                <w:color w:val="auto"/>
                <w:lang w:val="en-NZ"/>
              </w:rPr>
            </w:pPr>
            <w:r w:rsidRPr="001309DB">
              <w:rPr>
                <w:b/>
                <w:bCs/>
                <w:color w:val="auto"/>
                <w:lang w:val="en-NZ"/>
              </w:rPr>
              <w:t xml:space="preserve">Baruun Naran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Coal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6,000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500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2012 </w:t>
            </w:r>
          </w:p>
        </w:tc>
      </w:tr>
      <w:tr w:rsidR="004F5BFC" w:rsidRPr="004F5BFC" w:rsidTr="00C3338A">
        <w:trPr>
          <w:trHeight w:val="85"/>
        </w:trPr>
        <w:tc>
          <w:tcPr>
            <w:tcW w:w="1722" w:type="dxa"/>
            <w:shd w:val="clear" w:color="auto" w:fill="E4D8BF" w:themeFill="accent3" w:themeFillTint="99"/>
          </w:tcPr>
          <w:p w:rsidR="004F5BFC" w:rsidRPr="001309DB" w:rsidRDefault="004F5BFC" w:rsidP="004F5BFC">
            <w:pPr>
              <w:pStyle w:val="ASIBulletPoint"/>
              <w:numPr>
                <w:ilvl w:val="0"/>
                <w:numId w:val="0"/>
              </w:numPr>
              <w:spacing w:before="60" w:after="60" w:line="240" w:lineRule="auto"/>
              <w:rPr>
                <w:b/>
                <w:bCs/>
                <w:color w:val="auto"/>
                <w:lang w:val="en-NZ"/>
              </w:rPr>
            </w:pPr>
            <w:r w:rsidRPr="001309DB">
              <w:rPr>
                <w:b/>
                <w:bCs/>
                <w:color w:val="auto"/>
                <w:lang w:val="en-NZ"/>
              </w:rPr>
              <w:t xml:space="preserve">Tsagaan Tolgoi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Coal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150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2015 </w:t>
            </w:r>
          </w:p>
        </w:tc>
      </w:tr>
      <w:tr w:rsidR="004F5BFC" w:rsidRPr="004F5BFC" w:rsidTr="00C3338A">
        <w:trPr>
          <w:trHeight w:val="85"/>
        </w:trPr>
        <w:tc>
          <w:tcPr>
            <w:tcW w:w="1722" w:type="dxa"/>
            <w:shd w:val="clear" w:color="auto" w:fill="E4D8BF" w:themeFill="accent3" w:themeFillTint="99"/>
          </w:tcPr>
          <w:p w:rsidR="004F5BFC" w:rsidRPr="001309DB" w:rsidRDefault="004F5BFC" w:rsidP="004F5BFC">
            <w:pPr>
              <w:pStyle w:val="ASIBulletPoint"/>
              <w:numPr>
                <w:ilvl w:val="0"/>
                <w:numId w:val="0"/>
              </w:numPr>
              <w:spacing w:before="60" w:after="60" w:line="240" w:lineRule="auto"/>
              <w:rPr>
                <w:b/>
                <w:bCs/>
                <w:color w:val="auto"/>
                <w:lang w:val="en-NZ"/>
              </w:rPr>
            </w:pPr>
            <w:proofErr w:type="spellStart"/>
            <w:r w:rsidRPr="001309DB">
              <w:rPr>
                <w:b/>
                <w:bCs/>
                <w:color w:val="auto"/>
                <w:lang w:val="en-NZ"/>
              </w:rPr>
              <w:t>Nariin</w:t>
            </w:r>
            <w:proofErr w:type="spellEnd"/>
            <w:r w:rsidRPr="001309DB">
              <w:rPr>
                <w:b/>
                <w:bCs/>
                <w:color w:val="auto"/>
                <w:lang w:val="en-NZ"/>
              </w:rPr>
              <w:t xml:space="preserve"> </w:t>
            </w:r>
            <w:proofErr w:type="spellStart"/>
            <w:r w:rsidRPr="001309DB">
              <w:rPr>
                <w:b/>
                <w:bCs/>
                <w:color w:val="auto"/>
                <w:lang w:val="en-NZ"/>
              </w:rPr>
              <w:t>Sukhait</w:t>
            </w:r>
            <w:proofErr w:type="spellEnd"/>
            <w:r w:rsidRPr="001309DB">
              <w:rPr>
                <w:b/>
                <w:bCs/>
                <w:color w:val="auto"/>
                <w:lang w:val="en-NZ"/>
              </w:rPr>
              <w:t xml:space="preserve">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Coal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40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12,000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150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2003 </w:t>
            </w:r>
          </w:p>
        </w:tc>
      </w:tr>
      <w:tr w:rsidR="004F5BFC" w:rsidRPr="004F5BFC" w:rsidTr="00C3338A">
        <w:trPr>
          <w:trHeight w:val="85"/>
        </w:trPr>
        <w:tc>
          <w:tcPr>
            <w:tcW w:w="1722" w:type="dxa"/>
            <w:shd w:val="clear" w:color="auto" w:fill="E4D8BF" w:themeFill="accent3" w:themeFillTint="99"/>
          </w:tcPr>
          <w:p w:rsidR="004F5BFC" w:rsidRPr="001309DB" w:rsidRDefault="004F5BFC" w:rsidP="004F5BFC">
            <w:pPr>
              <w:pStyle w:val="ASIBulletPoint"/>
              <w:numPr>
                <w:ilvl w:val="0"/>
                <w:numId w:val="0"/>
              </w:numPr>
              <w:spacing w:before="60" w:after="60" w:line="240" w:lineRule="auto"/>
              <w:rPr>
                <w:b/>
                <w:bCs/>
                <w:color w:val="auto"/>
                <w:lang w:val="en-NZ"/>
              </w:rPr>
            </w:pPr>
            <w:r w:rsidRPr="001309DB">
              <w:rPr>
                <w:b/>
                <w:bCs/>
                <w:color w:val="auto"/>
                <w:lang w:val="en-NZ"/>
              </w:rPr>
              <w:t xml:space="preserve">Ovoot Tolgoi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Coal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50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5,000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400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2008 </w:t>
            </w:r>
          </w:p>
        </w:tc>
      </w:tr>
      <w:tr w:rsidR="004F5BFC" w:rsidRPr="004F5BFC" w:rsidTr="00C3338A">
        <w:trPr>
          <w:trHeight w:val="85"/>
        </w:trPr>
        <w:tc>
          <w:tcPr>
            <w:tcW w:w="1722" w:type="dxa"/>
            <w:shd w:val="clear" w:color="auto" w:fill="E4D8BF" w:themeFill="accent3" w:themeFillTint="99"/>
          </w:tcPr>
          <w:p w:rsidR="004F5BFC" w:rsidRPr="001309DB" w:rsidRDefault="004F5BFC" w:rsidP="004F5BFC">
            <w:pPr>
              <w:pStyle w:val="ASIBulletPoint"/>
              <w:numPr>
                <w:ilvl w:val="0"/>
                <w:numId w:val="0"/>
              </w:numPr>
              <w:spacing w:before="60" w:after="60" w:line="240" w:lineRule="auto"/>
              <w:rPr>
                <w:b/>
                <w:bCs/>
                <w:color w:val="auto"/>
                <w:lang w:val="en-NZ"/>
              </w:rPr>
            </w:pPr>
            <w:r w:rsidRPr="001309DB">
              <w:rPr>
                <w:b/>
                <w:bCs/>
                <w:color w:val="auto"/>
                <w:lang w:val="en-NZ"/>
              </w:rPr>
              <w:t xml:space="preserve">Oyu Tolgoi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Copper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50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4,000 </w:t>
            </w:r>
          </w:p>
        </w:tc>
        <w:tc>
          <w:tcPr>
            <w:tcW w:w="1722" w:type="dxa"/>
          </w:tcPr>
          <w:p w:rsidR="004F5BFC" w:rsidRPr="004F5BFC" w:rsidRDefault="004F5BFC" w:rsidP="004F5BFC">
            <w:pPr>
              <w:pStyle w:val="ASIBulletPoint"/>
              <w:numPr>
                <w:ilvl w:val="0"/>
                <w:numId w:val="0"/>
              </w:numPr>
              <w:spacing w:before="60" w:after="60" w:line="240" w:lineRule="auto"/>
              <w:rPr>
                <w:lang w:val="en-NZ"/>
              </w:rPr>
            </w:pPr>
            <w:r w:rsidRPr="004F5BFC">
              <w:rPr>
                <w:lang w:val="en-NZ"/>
              </w:rPr>
              <w:t xml:space="preserve">2012 </w:t>
            </w:r>
          </w:p>
        </w:tc>
      </w:tr>
    </w:tbl>
    <w:p w:rsidR="004F5BFC" w:rsidRDefault="004F5BFC" w:rsidP="004F5BFC">
      <w:pPr>
        <w:pStyle w:val="Heading2"/>
        <w:rPr>
          <w:lang w:val="en-AU"/>
        </w:rPr>
      </w:pPr>
      <w:bookmarkStart w:id="24" w:name="_Toc416161475"/>
      <w:r>
        <w:rPr>
          <w:lang w:val="en-AU"/>
        </w:rPr>
        <w:t>Social and Gendered Impacts of Mining</w:t>
      </w:r>
      <w:bookmarkEnd w:id="24"/>
      <w:r>
        <w:rPr>
          <w:lang w:val="en-AU"/>
        </w:rPr>
        <w:t xml:space="preserve"> </w:t>
      </w:r>
    </w:p>
    <w:p w:rsidR="004F5BFC" w:rsidRDefault="004F5BFC" w:rsidP="004F5BFC">
      <w:pPr>
        <w:pStyle w:val="Heading3"/>
        <w:rPr>
          <w:lang w:val="en-AU"/>
        </w:rPr>
      </w:pPr>
      <w:bookmarkStart w:id="25" w:name="_Toc416161476"/>
      <w:r>
        <w:rPr>
          <w:lang w:val="en-AU"/>
        </w:rPr>
        <w:t>Women’s Employment in Mining</w:t>
      </w:r>
      <w:bookmarkEnd w:id="25"/>
      <w:r>
        <w:rPr>
          <w:lang w:val="en-AU"/>
        </w:rPr>
        <w:t xml:space="preserve"> </w:t>
      </w:r>
    </w:p>
    <w:p w:rsidR="004F5BFC" w:rsidRPr="004F5BFC" w:rsidRDefault="004F5BFC" w:rsidP="004F5BFC">
      <w:pPr>
        <w:pStyle w:val="ASIBulletPoint"/>
        <w:numPr>
          <w:ilvl w:val="0"/>
          <w:numId w:val="0"/>
        </w:numPr>
        <w:jc w:val="both"/>
        <w:rPr>
          <w:lang w:val="en-AU"/>
        </w:rPr>
      </w:pPr>
      <w:r w:rsidRPr="004F5BFC">
        <w:rPr>
          <w:lang w:val="en-AU"/>
        </w:rPr>
        <w:t xml:space="preserve">Although a majority of Mongolian women are in professional fields, such as the civil service, medicine, veterinary science, and teaching, they do not occupy a majority of traditionally male dominated fields or positions of power. Further, gender segregation in the workplace contributes to economic barriers for women. </w:t>
      </w:r>
      <w:r w:rsidR="005B13CE">
        <w:rPr>
          <w:lang w:val="en-AU"/>
        </w:rPr>
        <w:t xml:space="preserve">The 2013 </w:t>
      </w:r>
      <w:r w:rsidR="005B13CE">
        <w:rPr>
          <w:i/>
          <w:lang w:val="en-AU"/>
        </w:rPr>
        <w:t xml:space="preserve">Strategy for Mongolia </w:t>
      </w:r>
      <w:r w:rsidRPr="004F5BFC">
        <w:rPr>
          <w:lang w:val="en-AU"/>
        </w:rPr>
        <w:t>report by the European Bank for Reconstruction and Development, explains</w:t>
      </w:r>
    </w:p>
    <w:p w:rsidR="004F5BFC" w:rsidRPr="004F5BFC" w:rsidRDefault="004F5BFC" w:rsidP="004F5BFC">
      <w:pPr>
        <w:pStyle w:val="ASIBulletPoint"/>
        <w:numPr>
          <w:ilvl w:val="0"/>
          <w:numId w:val="0"/>
        </w:numPr>
        <w:ind w:left="720"/>
        <w:jc w:val="both"/>
        <w:rPr>
          <w:lang w:val="en-AU"/>
        </w:rPr>
      </w:pPr>
      <w:r w:rsidRPr="004F5BFC">
        <w:rPr>
          <w:i/>
          <w:lang w:val="en-AU"/>
        </w:rPr>
        <w:t>There are gender differences in fields of study. For example, while 82 per cent of all graduates in the field of education were females, only 35 per cent of graduates in services, and 40 per cent of graduates in engineering, manufacturing and construction were female, respectively.</w:t>
      </w:r>
      <w:r w:rsidR="00BE5402">
        <w:rPr>
          <w:i/>
          <w:lang w:val="en-AU"/>
        </w:rPr>
        <w:t xml:space="preserve"> </w:t>
      </w:r>
      <w:r w:rsidRPr="004F5BFC">
        <w:rPr>
          <w:i/>
          <w:lang w:val="en-AU"/>
        </w:rPr>
        <w:t>This gender segregation in education results in occupational segregation in the labour market (EBRD, 2013).</w:t>
      </w:r>
    </w:p>
    <w:p w:rsidR="004F5BFC" w:rsidRPr="00184249" w:rsidRDefault="004F5BFC" w:rsidP="004F5BFC">
      <w:pPr>
        <w:pStyle w:val="ASIBulletPoint"/>
        <w:numPr>
          <w:ilvl w:val="0"/>
          <w:numId w:val="0"/>
        </w:numPr>
        <w:jc w:val="both"/>
      </w:pPr>
      <w:r w:rsidRPr="004F5BFC">
        <w:rPr>
          <w:lang w:val="en-AU"/>
        </w:rPr>
        <w:t>Due to the pervasive gender stereotyping</w:t>
      </w:r>
      <w:r w:rsidR="00471923">
        <w:rPr>
          <w:lang w:val="en-AU"/>
        </w:rPr>
        <w:t>,</w:t>
      </w:r>
      <w:r w:rsidRPr="004F5BFC">
        <w:rPr>
          <w:lang w:val="en-AU"/>
        </w:rPr>
        <w:t xml:space="preserve"> many leadership roles and economically beneficial industries, like mining and construction are predominantly occupied by men. </w:t>
      </w:r>
      <w:r w:rsidR="00BE5402">
        <w:rPr>
          <w:lang w:val="en-AU"/>
        </w:rPr>
        <w:t xml:space="preserve">Mining </w:t>
      </w:r>
      <w:r w:rsidR="008E3D7F">
        <w:rPr>
          <w:lang w:val="en-AU"/>
        </w:rPr>
        <w:t>is</w:t>
      </w:r>
      <w:r w:rsidR="00BE5402">
        <w:t xml:space="preserve"> traditionally a male-dominated industry and many </w:t>
      </w:r>
      <w:r w:rsidR="008E3D7F">
        <w:t>areas of employment</w:t>
      </w:r>
      <w:r w:rsidR="00BE5402">
        <w:t xml:space="preserve"> are sti</w:t>
      </w:r>
      <w:r w:rsidR="008E3D7F">
        <w:t>l</w:t>
      </w:r>
      <w:r w:rsidR="00BE5402">
        <w:t>l</w:t>
      </w:r>
      <w:r w:rsidR="008E3D7F">
        <w:t xml:space="preserve"> difficult for women to participate in a meaningful way. The following barriers were identified; absence of family-friendly workplace policies, sexual harassment and discrimination, a lack of career pathways and leadership roles, and finally a lack of support and mentoring</w:t>
      </w:r>
      <w:r w:rsidR="00471923">
        <w:t>.</w:t>
      </w:r>
      <w:r w:rsidR="008E3D7F">
        <w:t xml:space="preserve"> </w:t>
      </w:r>
      <w:r w:rsidRPr="004F5BFC">
        <w:rPr>
          <w:lang w:val="en-AU"/>
        </w:rPr>
        <w:t>Coupled with these barriers for women, cultural norms, and outdated socialist laws prohibit women from working in certain types of mining activities</w:t>
      </w:r>
      <w:r w:rsidRPr="004F5BFC">
        <w:rPr>
          <w:vertAlign w:val="superscript"/>
          <w:lang w:val="en-AU"/>
        </w:rPr>
        <w:footnoteReference w:id="8"/>
      </w:r>
      <w:r w:rsidR="00A340E3">
        <w:rPr>
          <w:lang w:val="en-AU"/>
        </w:rPr>
        <w:t>.</w:t>
      </w:r>
      <w:r w:rsidRPr="004F5BFC">
        <w:rPr>
          <w:lang w:val="en-AU"/>
        </w:rPr>
        <w:t xml:space="preserve"> In the context of Mongolia</w:t>
      </w:r>
      <w:r w:rsidR="00471923">
        <w:rPr>
          <w:lang w:val="en-AU"/>
        </w:rPr>
        <w:t>,</w:t>
      </w:r>
      <w:r w:rsidRPr="004F5BFC">
        <w:rPr>
          <w:lang w:val="en-AU"/>
        </w:rPr>
        <w:t xml:space="preserve"> where mining is predicted to become the primary industry</w:t>
      </w:r>
      <w:r w:rsidR="00471923">
        <w:rPr>
          <w:lang w:val="en-AU"/>
        </w:rPr>
        <w:t>,</w:t>
      </w:r>
      <w:r w:rsidRPr="004F5BFC">
        <w:rPr>
          <w:lang w:val="en-AU"/>
        </w:rPr>
        <w:t xml:space="preserve"> it is vital that current gender stereotypes and segregation in employment are addressed, to ensure women have equal access to economic opportunities.</w:t>
      </w:r>
    </w:p>
    <w:p w:rsidR="004F5BFC" w:rsidRPr="004F5BFC" w:rsidRDefault="004F5BFC" w:rsidP="004F5BFC">
      <w:pPr>
        <w:pStyle w:val="ASIBulletPoint"/>
        <w:numPr>
          <w:ilvl w:val="0"/>
          <w:numId w:val="0"/>
        </w:numPr>
        <w:jc w:val="both"/>
        <w:rPr>
          <w:lang w:val="en-AU"/>
        </w:rPr>
      </w:pPr>
      <w:r w:rsidRPr="004F5BFC">
        <w:rPr>
          <w:lang w:val="en-AU"/>
        </w:rPr>
        <w:t>Employment in mining, mining related activities and Small to Medium Enterprises (SMEs)</w:t>
      </w:r>
      <w:r w:rsidR="00471923">
        <w:rPr>
          <w:lang w:val="en-AU"/>
        </w:rPr>
        <w:t>,</w:t>
      </w:r>
      <w:r w:rsidRPr="004F5BFC">
        <w:rPr>
          <w:lang w:val="en-AU"/>
        </w:rPr>
        <w:t xml:space="preserve"> connected to the mining industry serve as one of the highest potential </w:t>
      </w:r>
      <w:r w:rsidR="005B13CE">
        <w:rPr>
          <w:lang w:val="en-AU"/>
        </w:rPr>
        <w:t xml:space="preserve">economic </w:t>
      </w:r>
      <w:r w:rsidRPr="004F5BFC">
        <w:rPr>
          <w:lang w:val="en-AU"/>
        </w:rPr>
        <w:t xml:space="preserve">benefits from </w:t>
      </w:r>
      <w:r w:rsidR="005B13CE">
        <w:rPr>
          <w:lang w:val="en-AU"/>
        </w:rPr>
        <w:t>the sector</w:t>
      </w:r>
      <w:r w:rsidRPr="004F5BFC">
        <w:rPr>
          <w:lang w:val="en-AU"/>
        </w:rPr>
        <w:t xml:space="preserve">. </w:t>
      </w:r>
      <w:r w:rsidR="00030097">
        <w:rPr>
          <w:lang w:val="en-AU"/>
        </w:rPr>
        <w:t xml:space="preserve">Evidence suggests that increasing numbers of female students are enrolling in mining related fields in undergraduate studies.  </w:t>
      </w:r>
    </w:p>
    <w:p w:rsidR="002D3280" w:rsidRPr="00E178ED" w:rsidRDefault="00E178ED" w:rsidP="008C4116">
      <w:pPr>
        <w:pStyle w:val="ASIBulletPoint"/>
        <w:numPr>
          <w:ilvl w:val="0"/>
          <w:numId w:val="0"/>
        </w:numPr>
        <w:ind w:left="210" w:hanging="210"/>
        <w:rPr>
          <w:rFonts w:cs="Arial"/>
          <w:b/>
          <w:bCs/>
          <w:noProof/>
          <w:szCs w:val="26"/>
          <w:lang w:val="en-AU"/>
        </w:rPr>
      </w:pPr>
      <w:r w:rsidRPr="00E178ED">
        <w:rPr>
          <w:rFonts w:cs="Arial"/>
          <w:b/>
          <w:bCs/>
          <w:noProof/>
          <w:szCs w:val="26"/>
          <w:lang w:val="en-AU"/>
        </w:rPr>
        <w:t>Direct Mine Employment</w:t>
      </w:r>
    </w:p>
    <w:p w:rsidR="002D3280" w:rsidRPr="00E178ED" w:rsidRDefault="00E178ED" w:rsidP="00E178ED">
      <w:pPr>
        <w:pStyle w:val="ASIBulletPoint"/>
        <w:numPr>
          <w:ilvl w:val="0"/>
          <w:numId w:val="0"/>
        </w:numPr>
        <w:jc w:val="both"/>
        <w:rPr>
          <w:lang w:val="en-AU"/>
        </w:rPr>
      </w:pPr>
      <w:r w:rsidRPr="00E178ED">
        <w:rPr>
          <w:lang w:val="en-AU"/>
        </w:rPr>
        <w:t>Although to date there is a presence of women in the resources sector, numbers are comparatively lower than those of men. Table 4 shows that women’s employment at Oyu Tolgoi mine does not exceed 38</w:t>
      </w:r>
      <w:r w:rsidR="00471923">
        <w:rPr>
          <w:lang w:val="en-AU"/>
        </w:rPr>
        <w:t xml:space="preserve"> per cent</w:t>
      </w:r>
      <w:r w:rsidRPr="00E178ED">
        <w:rPr>
          <w:lang w:val="en-AU"/>
        </w:rPr>
        <w:t xml:space="preserve"> of the workforce in any category, and is frequently well under 20 per cent. When you consider how well Mongolian women fare in obtaining lower to middle-level employment nationwide, this is a very poor performance and leaves much room for improvement.</w:t>
      </w:r>
    </w:p>
    <w:p w:rsidR="00E178ED" w:rsidRPr="001309DB" w:rsidRDefault="00E178ED" w:rsidP="00E178ED">
      <w:pPr>
        <w:pStyle w:val="ASIBulletPoint"/>
        <w:numPr>
          <w:ilvl w:val="0"/>
          <w:numId w:val="0"/>
        </w:numPr>
        <w:rPr>
          <w:b/>
          <w:bCs/>
          <w:lang w:val="en-AU"/>
        </w:rPr>
      </w:pPr>
      <w:r w:rsidRPr="001309DB">
        <w:rPr>
          <w:b/>
          <w:bCs/>
          <w:lang w:val="en-AU"/>
        </w:rPr>
        <w:lastRenderedPageBreak/>
        <w:t>Table 4</w:t>
      </w:r>
      <w:r w:rsidRPr="001309DB">
        <w:rPr>
          <w:b/>
          <w:bCs/>
          <w:iCs/>
          <w:lang w:val="en-AU"/>
        </w:rPr>
        <w:t>: Number of employed by residential origin and gender, by November 30 2011</w:t>
      </w:r>
      <w:r w:rsidRPr="001309DB">
        <w:rPr>
          <w:b/>
          <w:bCs/>
          <w:iCs/>
          <w:vertAlign w:val="superscript"/>
          <w:lang w:val="en-AU"/>
        </w:rPr>
        <w:footnoteReference w:id="9"/>
      </w:r>
    </w:p>
    <w:tbl>
      <w:tblPr>
        <w:tblStyle w:val="ColorfulGrid-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362"/>
        <w:gridCol w:w="1362"/>
        <w:gridCol w:w="1362"/>
        <w:gridCol w:w="1363"/>
        <w:gridCol w:w="1450"/>
        <w:gridCol w:w="1363"/>
        <w:gridCol w:w="1363"/>
        <w:gridCol w:w="1363"/>
      </w:tblGrid>
      <w:tr w:rsidR="00E178ED" w:rsidRPr="00E178ED" w:rsidTr="00E178ED">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620" w:type="pct"/>
            <w:shd w:val="clear" w:color="auto" w:fill="D3BF96" w:themeFill="accent3"/>
            <w:vAlign w:val="center"/>
          </w:tcPr>
          <w:p w:rsidR="00E178ED" w:rsidRPr="001309DB" w:rsidRDefault="00E178ED" w:rsidP="00E178ED">
            <w:pPr>
              <w:pStyle w:val="ASIBulletPoint"/>
              <w:numPr>
                <w:ilvl w:val="0"/>
                <w:numId w:val="0"/>
              </w:numPr>
              <w:spacing w:before="60" w:after="60"/>
              <w:jc w:val="center"/>
              <w:rPr>
                <w:color w:val="auto"/>
                <w:lang w:val="en-NZ"/>
              </w:rPr>
            </w:pPr>
            <w:r w:rsidRPr="001309DB">
              <w:rPr>
                <w:color w:val="auto"/>
                <w:lang w:val="en-NZ"/>
              </w:rPr>
              <w:t>Gender</w:t>
            </w:r>
          </w:p>
        </w:tc>
        <w:tc>
          <w:tcPr>
            <w:tcW w:w="620" w:type="pct"/>
            <w:shd w:val="clear" w:color="auto" w:fill="D3BF96" w:themeFill="accent3"/>
            <w:vAlign w:val="center"/>
          </w:tcPr>
          <w:p w:rsidR="00E178ED" w:rsidRPr="001309DB" w:rsidRDefault="00E178ED" w:rsidP="00E178ED">
            <w:pPr>
              <w:pStyle w:val="ASIBulletPoint"/>
              <w:numPr>
                <w:ilvl w:val="0"/>
                <w:numId w:val="0"/>
              </w:numPr>
              <w:spacing w:before="60" w:after="60"/>
              <w:jc w:val="center"/>
              <w:cnfStyle w:val="100000000000" w:firstRow="1" w:lastRow="0" w:firstColumn="0" w:lastColumn="0" w:oddVBand="0" w:evenVBand="0" w:oddHBand="0" w:evenHBand="0" w:firstRowFirstColumn="0" w:firstRowLastColumn="0" w:lastRowFirstColumn="0" w:lastRowLastColumn="0"/>
              <w:rPr>
                <w:color w:val="auto"/>
                <w:lang w:val="en-NZ"/>
              </w:rPr>
            </w:pPr>
            <w:r w:rsidRPr="001309DB">
              <w:rPr>
                <w:color w:val="auto"/>
                <w:lang w:val="en-NZ"/>
              </w:rPr>
              <w:t>Khanbogd</w:t>
            </w:r>
          </w:p>
        </w:tc>
        <w:tc>
          <w:tcPr>
            <w:tcW w:w="620" w:type="pct"/>
            <w:shd w:val="clear" w:color="auto" w:fill="D3BF96" w:themeFill="accent3"/>
            <w:vAlign w:val="center"/>
          </w:tcPr>
          <w:p w:rsidR="00E178ED" w:rsidRPr="001309DB" w:rsidRDefault="00E178ED" w:rsidP="00E178ED">
            <w:pPr>
              <w:pStyle w:val="ASIBulletPoint"/>
              <w:numPr>
                <w:ilvl w:val="0"/>
                <w:numId w:val="0"/>
              </w:numPr>
              <w:spacing w:before="60" w:after="60"/>
              <w:jc w:val="center"/>
              <w:cnfStyle w:val="100000000000" w:firstRow="1" w:lastRow="0" w:firstColumn="0" w:lastColumn="0" w:oddVBand="0" w:evenVBand="0" w:oddHBand="0" w:evenHBand="0" w:firstRowFirstColumn="0" w:firstRowLastColumn="0" w:lastRowFirstColumn="0" w:lastRowLastColumn="0"/>
              <w:rPr>
                <w:color w:val="auto"/>
                <w:lang w:val="en-NZ"/>
              </w:rPr>
            </w:pPr>
            <w:r w:rsidRPr="001309DB">
              <w:rPr>
                <w:color w:val="auto"/>
                <w:lang w:val="en-NZ"/>
              </w:rPr>
              <w:t>Bayan Ovoo</w:t>
            </w:r>
          </w:p>
        </w:tc>
        <w:tc>
          <w:tcPr>
            <w:tcW w:w="620" w:type="pct"/>
            <w:shd w:val="clear" w:color="auto" w:fill="D3BF96" w:themeFill="accent3"/>
            <w:vAlign w:val="center"/>
          </w:tcPr>
          <w:p w:rsidR="00E178ED" w:rsidRPr="001309DB" w:rsidRDefault="00E178ED" w:rsidP="00E178ED">
            <w:pPr>
              <w:pStyle w:val="ASIBulletPoint"/>
              <w:numPr>
                <w:ilvl w:val="0"/>
                <w:numId w:val="0"/>
              </w:numPr>
              <w:spacing w:before="60" w:after="60"/>
              <w:jc w:val="center"/>
              <w:cnfStyle w:val="100000000000" w:firstRow="1" w:lastRow="0" w:firstColumn="0" w:lastColumn="0" w:oddVBand="0" w:evenVBand="0" w:oddHBand="0" w:evenHBand="0" w:firstRowFirstColumn="0" w:firstRowLastColumn="0" w:lastRowFirstColumn="0" w:lastRowLastColumn="0"/>
              <w:rPr>
                <w:color w:val="auto"/>
                <w:lang w:val="en-NZ"/>
              </w:rPr>
            </w:pPr>
            <w:r w:rsidRPr="001309DB">
              <w:rPr>
                <w:color w:val="auto"/>
                <w:lang w:val="en-NZ"/>
              </w:rPr>
              <w:t>Manlai</w:t>
            </w:r>
          </w:p>
        </w:tc>
        <w:tc>
          <w:tcPr>
            <w:tcW w:w="660" w:type="pct"/>
            <w:shd w:val="clear" w:color="auto" w:fill="D3BF96" w:themeFill="accent3"/>
            <w:vAlign w:val="center"/>
          </w:tcPr>
          <w:p w:rsidR="00E178ED" w:rsidRPr="001309DB" w:rsidRDefault="00E178ED" w:rsidP="00E178ED">
            <w:pPr>
              <w:pStyle w:val="ASIBulletPoint"/>
              <w:numPr>
                <w:ilvl w:val="0"/>
                <w:numId w:val="0"/>
              </w:numPr>
              <w:spacing w:before="60" w:after="60"/>
              <w:jc w:val="center"/>
              <w:cnfStyle w:val="100000000000" w:firstRow="1" w:lastRow="0" w:firstColumn="0" w:lastColumn="0" w:oddVBand="0" w:evenVBand="0" w:oddHBand="0" w:evenHBand="0" w:firstRowFirstColumn="0" w:firstRowLastColumn="0" w:lastRowFirstColumn="0" w:lastRowLastColumn="0"/>
              <w:rPr>
                <w:color w:val="auto"/>
                <w:lang w:val="en-NZ"/>
              </w:rPr>
            </w:pPr>
            <w:r w:rsidRPr="001309DB">
              <w:rPr>
                <w:color w:val="auto"/>
                <w:lang w:val="en-NZ"/>
              </w:rPr>
              <w:t>Dalanzadgad</w:t>
            </w:r>
          </w:p>
        </w:tc>
        <w:tc>
          <w:tcPr>
            <w:tcW w:w="620" w:type="pct"/>
            <w:shd w:val="clear" w:color="auto" w:fill="D3BF96" w:themeFill="accent3"/>
            <w:vAlign w:val="center"/>
          </w:tcPr>
          <w:p w:rsidR="00E178ED" w:rsidRPr="001309DB" w:rsidRDefault="00E178ED" w:rsidP="00E178ED">
            <w:pPr>
              <w:pStyle w:val="ASIBulletPoint"/>
              <w:numPr>
                <w:ilvl w:val="0"/>
                <w:numId w:val="0"/>
              </w:numPr>
              <w:spacing w:before="60" w:after="60"/>
              <w:jc w:val="center"/>
              <w:cnfStyle w:val="100000000000" w:firstRow="1" w:lastRow="0" w:firstColumn="0" w:lastColumn="0" w:oddVBand="0" w:evenVBand="0" w:oddHBand="0" w:evenHBand="0" w:firstRowFirstColumn="0" w:firstRowLastColumn="0" w:lastRowFirstColumn="0" w:lastRowLastColumn="0"/>
              <w:rPr>
                <w:color w:val="auto"/>
                <w:lang w:val="en-NZ"/>
              </w:rPr>
            </w:pPr>
            <w:r w:rsidRPr="001309DB">
              <w:rPr>
                <w:color w:val="auto"/>
                <w:lang w:val="en-NZ"/>
              </w:rPr>
              <w:t>South Gobi</w:t>
            </w:r>
          </w:p>
        </w:tc>
        <w:tc>
          <w:tcPr>
            <w:tcW w:w="620" w:type="pct"/>
            <w:shd w:val="clear" w:color="auto" w:fill="D3BF96" w:themeFill="accent3"/>
            <w:vAlign w:val="center"/>
          </w:tcPr>
          <w:p w:rsidR="00E178ED" w:rsidRPr="001309DB" w:rsidRDefault="00E178ED" w:rsidP="00E178ED">
            <w:pPr>
              <w:pStyle w:val="ASIBulletPoint"/>
              <w:numPr>
                <w:ilvl w:val="0"/>
                <w:numId w:val="0"/>
              </w:numPr>
              <w:spacing w:before="60" w:after="60"/>
              <w:jc w:val="center"/>
              <w:cnfStyle w:val="100000000000" w:firstRow="1" w:lastRow="0" w:firstColumn="0" w:lastColumn="0" w:oddVBand="0" w:evenVBand="0" w:oddHBand="0" w:evenHBand="0" w:firstRowFirstColumn="0" w:firstRowLastColumn="0" w:lastRowFirstColumn="0" w:lastRowLastColumn="0"/>
              <w:rPr>
                <w:color w:val="auto"/>
                <w:lang w:val="en-NZ"/>
              </w:rPr>
            </w:pPr>
            <w:r w:rsidRPr="001309DB">
              <w:rPr>
                <w:color w:val="auto"/>
                <w:lang w:val="en-NZ"/>
              </w:rPr>
              <w:t>Rest of Mongolia</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vAlign w:val="center"/>
          </w:tcPr>
          <w:p w:rsidR="00E178ED" w:rsidRPr="001309DB" w:rsidRDefault="00E178ED" w:rsidP="00E178ED">
            <w:pPr>
              <w:pStyle w:val="ASIBulletPoint"/>
              <w:numPr>
                <w:ilvl w:val="0"/>
                <w:numId w:val="0"/>
              </w:numPr>
              <w:spacing w:before="60" w:after="60"/>
              <w:jc w:val="center"/>
              <w:rPr>
                <w:color w:val="auto"/>
                <w:lang w:val="en-NZ"/>
              </w:rPr>
            </w:pPr>
            <w:r w:rsidRPr="001309DB">
              <w:rPr>
                <w:color w:val="auto"/>
                <w:lang w:val="en-NZ"/>
              </w:rPr>
              <w:t>Total</w:t>
            </w:r>
          </w:p>
        </w:tc>
      </w:tr>
      <w:tr w:rsidR="00E178ED" w:rsidRPr="00E178ED" w:rsidTr="00E178ED">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E4D8BF" w:themeFill="accent3" w:themeFillTint="99"/>
          </w:tcPr>
          <w:p w:rsidR="00E178ED" w:rsidRPr="00E178ED" w:rsidRDefault="00E178ED" w:rsidP="00E178ED">
            <w:pPr>
              <w:pStyle w:val="ASIBulletPoint"/>
              <w:numPr>
                <w:ilvl w:val="0"/>
                <w:numId w:val="0"/>
              </w:numPr>
              <w:spacing w:before="60" w:after="60"/>
              <w:rPr>
                <w:b/>
                <w:color w:val="808080" w:themeColor="background1" w:themeShade="80"/>
                <w:lang w:val="en-NZ"/>
              </w:rPr>
            </w:pPr>
            <w:r w:rsidRPr="001309DB">
              <w:rPr>
                <w:b/>
                <w:color w:val="auto"/>
                <w:lang w:val="en-NZ"/>
              </w:rPr>
              <w:t xml:space="preserve">Oyu Tolgoi, Nov 30 2011 </w:t>
            </w:r>
          </w:p>
        </w:tc>
      </w:tr>
      <w:tr w:rsidR="00E178ED" w:rsidRPr="00E178ED" w:rsidTr="00E178ED">
        <w:trPr>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Male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83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5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8 </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74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20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789 </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979 </w:t>
            </w:r>
          </w:p>
        </w:tc>
      </w:tr>
      <w:tr w:rsidR="00E178ED" w:rsidRPr="00E178ED" w:rsidTr="00E178ED">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Female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34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1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 </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29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6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424 </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496 </w:t>
            </w:r>
          </w:p>
        </w:tc>
      </w:tr>
      <w:tr w:rsidR="00E178ED" w:rsidRPr="00E178ED" w:rsidTr="00E178ED">
        <w:trPr>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Sub-total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117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6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10 </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103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26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1,213 </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1,475 </w:t>
            </w:r>
          </w:p>
        </w:tc>
      </w:tr>
      <w:tr w:rsidR="00E178ED" w:rsidRPr="00E178ED" w:rsidTr="00E178ED">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Female</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29.1</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16.7</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20.0</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28.2</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23.1</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34.9</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33.6</w:t>
            </w:r>
          </w:p>
        </w:tc>
      </w:tr>
      <w:tr w:rsidR="00E178ED" w:rsidRPr="00E178ED" w:rsidTr="00E178ED">
        <w:trPr>
          <w:trHeight w:val="93"/>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E4D8BF" w:themeFill="accent3" w:themeFillTint="99"/>
          </w:tcPr>
          <w:p w:rsidR="00E178ED" w:rsidRPr="00E178ED" w:rsidRDefault="00E178ED" w:rsidP="00E178ED">
            <w:pPr>
              <w:pStyle w:val="ASIBulletPoint"/>
              <w:numPr>
                <w:ilvl w:val="0"/>
                <w:numId w:val="0"/>
              </w:numPr>
              <w:spacing w:before="60" w:after="60"/>
              <w:rPr>
                <w:b/>
                <w:color w:val="808080" w:themeColor="background1" w:themeShade="80"/>
                <w:lang w:val="en-NZ"/>
              </w:rPr>
            </w:pPr>
            <w:r w:rsidRPr="001309DB">
              <w:rPr>
                <w:b/>
                <w:color w:val="auto"/>
                <w:lang w:val="en-NZ"/>
              </w:rPr>
              <w:t xml:space="preserve">Others (contractors), Nov 30 2011 </w:t>
            </w:r>
          </w:p>
        </w:tc>
      </w:tr>
      <w:tr w:rsidR="00E178ED" w:rsidRPr="00E178ED" w:rsidTr="00E178ED">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Male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508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38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150 </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385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41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4,728 </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5,850 </w:t>
            </w:r>
          </w:p>
        </w:tc>
      </w:tr>
      <w:tr w:rsidR="00E178ED" w:rsidRPr="00E178ED" w:rsidTr="00E178ED">
        <w:trPr>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Female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254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5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71 </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248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8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908 </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1,494 </w:t>
            </w:r>
          </w:p>
        </w:tc>
      </w:tr>
      <w:tr w:rsidR="00E178ED" w:rsidRPr="00E178ED" w:rsidTr="00E178ED">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Sub-total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762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43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221 </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633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49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5,636 </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7,344 </w:t>
            </w:r>
          </w:p>
        </w:tc>
      </w:tr>
      <w:tr w:rsidR="00E178ED" w:rsidRPr="00E178ED" w:rsidTr="00E178ED">
        <w:trPr>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Female</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33.3</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11.6</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32.1</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39.2</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16.3</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16.1</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20.3</w:t>
            </w:r>
          </w:p>
        </w:tc>
      </w:tr>
      <w:tr w:rsidR="00E178ED" w:rsidRPr="00E178ED" w:rsidTr="00E178ED">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E4D8BF" w:themeFill="accent3" w:themeFillTint="99"/>
          </w:tcPr>
          <w:p w:rsidR="00E178ED" w:rsidRPr="00E178ED" w:rsidRDefault="00E178ED" w:rsidP="00E178ED">
            <w:pPr>
              <w:pStyle w:val="ASIBulletPoint"/>
              <w:numPr>
                <w:ilvl w:val="0"/>
                <w:numId w:val="0"/>
              </w:numPr>
              <w:spacing w:before="60" w:after="60"/>
              <w:rPr>
                <w:b/>
                <w:color w:val="808080" w:themeColor="background1" w:themeShade="80"/>
                <w:lang w:val="en-NZ"/>
              </w:rPr>
            </w:pPr>
            <w:r w:rsidRPr="001309DB">
              <w:rPr>
                <w:b/>
                <w:color w:val="auto"/>
                <w:lang w:val="en-NZ"/>
              </w:rPr>
              <w:t xml:space="preserve">Total </w:t>
            </w:r>
          </w:p>
        </w:tc>
      </w:tr>
      <w:tr w:rsidR="00E178ED" w:rsidRPr="00E178ED" w:rsidTr="00E178ED">
        <w:trPr>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Male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591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43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158 </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459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61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5,517 </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6,829 </w:t>
            </w:r>
          </w:p>
        </w:tc>
      </w:tr>
      <w:tr w:rsidR="00E178ED" w:rsidRPr="00E178ED" w:rsidTr="00E178ED">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Female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288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6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73 </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277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14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1,332 </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1,990 </w:t>
            </w:r>
          </w:p>
        </w:tc>
      </w:tr>
      <w:tr w:rsidR="00E178ED" w:rsidRPr="00E178ED" w:rsidTr="00E178ED">
        <w:trPr>
          <w:trHeight w:val="94"/>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Total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879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49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231 </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736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75 </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 xml:space="preserve">6,849 </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xml:space="preserve">8,819 </w:t>
            </w:r>
          </w:p>
        </w:tc>
      </w:tr>
      <w:tr w:rsidR="00E178ED" w:rsidRPr="00E178ED" w:rsidTr="00E178ED">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20" w:type="pct"/>
            <w:shd w:val="clear" w:color="auto" w:fill="E4D8BF" w:themeFill="accent3" w:themeFillTint="99"/>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 Female</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32.8</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12.2</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31.6</w:t>
            </w:r>
          </w:p>
        </w:tc>
        <w:tc>
          <w:tcPr>
            <w:tcW w:w="66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37.6</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18.7</w:t>
            </w:r>
          </w:p>
        </w:tc>
        <w:tc>
          <w:tcPr>
            <w:tcW w:w="620" w:type="pct"/>
            <w:shd w:val="clear" w:color="auto" w:fill="F2F2F2" w:themeFill="background1" w:themeFillShade="F2"/>
          </w:tcPr>
          <w:p w:rsidR="00E178ED" w:rsidRPr="00E178ED" w:rsidRDefault="00E178ED" w:rsidP="00E178ED">
            <w:pPr>
              <w:pStyle w:val="ASIBulletPoint"/>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sidRPr="00E178ED">
              <w:rPr>
                <w:color w:val="808080" w:themeColor="background1" w:themeShade="80"/>
                <w:lang w:val="en-NZ"/>
              </w:rPr>
              <w:t>19.5</w:t>
            </w:r>
          </w:p>
        </w:tc>
        <w:tc>
          <w:tcPr>
            <w:cnfStyle w:val="000100000000" w:firstRow="0" w:lastRow="0" w:firstColumn="0" w:lastColumn="1" w:oddVBand="0" w:evenVBand="0" w:oddHBand="0" w:evenHBand="0" w:firstRowFirstColumn="0" w:firstRowLastColumn="0" w:lastRowFirstColumn="0" w:lastRowLastColumn="0"/>
            <w:tcW w:w="620" w:type="pct"/>
            <w:shd w:val="clear" w:color="auto" w:fill="D3BF96" w:themeFill="accent3"/>
          </w:tcPr>
          <w:p w:rsidR="00E178ED" w:rsidRPr="001309DB" w:rsidRDefault="00E178ED" w:rsidP="00E178ED">
            <w:pPr>
              <w:pStyle w:val="ASIBulletPoint"/>
              <w:numPr>
                <w:ilvl w:val="0"/>
                <w:numId w:val="0"/>
              </w:numPr>
              <w:spacing w:before="60" w:after="60"/>
              <w:rPr>
                <w:color w:val="auto"/>
                <w:lang w:val="en-NZ"/>
              </w:rPr>
            </w:pPr>
            <w:r w:rsidRPr="001309DB">
              <w:rPr>
                <w:color w:val="auto"/>
                <w:lang w:val="en-NZ"/>
              </w:rPr>
              <w:t>22.6</w:t>
            </w:r>
          </w:p>
        </w:tc>
      </w:tr>
    </w:tbl>
    <w:p w:rsidR="00E178ED" w:rsidRPr="00E178ED" w:rsidRDefault="00E178ED" w:rsidP="00E178ED">
      <w:pPr>
        <w:pStyle w:val="ASIBulletPoint"/>
        <w:numPr>
          <w:ilvl w:val="0"/>
          <w:numId w:val="0"/>
        </w:numPr>
        <w:jc w:val="both"/>
        <w:rPr>
          <w:lang w:val="en-AU"/>
        </w:rPr>
      </w:pPr>
      <w:r w:rsidRPr="00E178ED">
        <w:rPr>
          <w:lang w:val="en-AU"/>
        </w:rPr>
        <w:t>Although the breakdown of jobs by category was not available during the Mission, there was universal discontent among the consulted stakeholders with the nature of mining jobs open to women, and also to local men.</w:t>
      </w:r>
      <w:r w:rsidR="00415DB6">
        <w:rPr>
          <w:lang w:val="en-AU"/>
        </w:rPr>
        <w:t xml:space="preserve"> Sub-contractors consist of a wide-range of roles that are both operating within the mine </w:t>
      </w:r>
      <w:r w:rsidR="008800F4">
        <w:rPr>
          <w:lang w:val="en-AU"/>
        </w:rPr>
        <w:t>fence line</w:t>
      </w:r>
      <w:r w:rsidR="00415DB6">
        <w:rPr>
          <w:lang w:val="en-AU"/>
        </w:rPr>
        <w:t xml:space="preserve"> and</w:t>
      </w:r>
      <w:r w:rsidR="008800F4">
        <w:rPr>
          <w:lang w:val="en-AU"/>
        </w:rPr>
        <w:t xml:space="preserve"> </w:t>
      </w:r>
      <w:r w:rsidR="00415DB6">
        <w:rPr>
          <w:lang w:val="en-AU"/>
        </w:rPr>
        <w:t xml:space="preserve">outside the </w:t>
      </w:r>
      <w:r w:rsidR="008800F4">
        <w:rPr>
          <w:lang w:val="en-AU"/>
        </w:rPr>
        <w:t>fence line</w:t>
      </w:r>
      <w:r w:rsidR="00415DB6">
        <w:rPr>
          <w:lang w:val="en-AU"/>
        </w:rPr>
        <w:t xml:space="preserve"> in infrastructure development and construction work. For example, sub-contractors can be key technical experts that work underground, or construction workers building a road. </w:t>
      </w:r>
      <w:r w:rsidRPr="00E178ED">
        <w:rPr>
          <w:lang w:val="en-AU"/>
        </w:rPr>
        <w:t>Available jobs were characterised as menial and unskilled, and community members expressed a desire to be able to upgrade their skills and employability so as to be able to obtain better pa</w:t>
      </w:r>
      <w:r w:rsidR="008800F4">
        <w:rPr>
          <w:lang w:val="en-AU"/>
        </w:rPr>
        <w:t>y</w:t>
      </w:r>
      <w:r w:rsidRPr="00E178ED">
        <w:rPr>
          <w:lang w:val="en-AU"/>
        </w:rPr>
        <w:t xml:space="preserve"> and more satisfying jobs at the mines. Although some women are able to find paid employment more readily since the commencement of mining, the work was neither necessarily enjoyable nor family-friendly in terms of rosters, shifts and travel times. </w:t>
      </w:r>
      <w:r w:rsidR="00415DB6">
        <w:rPr>
          <w:lang w:val="en-AU"/>
        </w:rPr>
        <w:t>Despite relatively high levels of education</w:t>
      </w:r>
      <w:r w:rsidR="008800F4">
        <w:rPr>
          <w:lang w:val="en-AU"/>
        </w:rPr>
        <w:t>,</w:t>
      </w:r>
      <w:r w:rsidR="00415DB6">
        <w:rPr>
          <w:lang w:val="en-AU"/>
        </w:rPr>
        <w:t xml:space="preserve"> w</w:t>
      </w:r>
      <w:r w:rsidRPr="00E178ED">
        <w:rPr>
          <w:lang w:val="en-AU"/>
        </w:rPr>
        <w:t xml:space="preserve">omen complained that they could only obtain lower-skilled work and that the available jobs involved long hours of standing, which is considered to be bad for health, especially reproductive health. </w:t>
      </w:r>
      <w:r w:rsidR="001E38A0">
        <w:rPr>
          <w:lang w:val="en-AU"/>
        </w:rPr>
        <w:t>Although</w:t>
      </w:r>
      <w:r w:rsidR="00415DB6">
        <w:rPr>
          <w:lang w:val="en-AU"/>
        </w:rPr>
        <w:t xml:space="preserve"> many women wanted to work in the mines at a higher skilled level, women also </w:t>
      </w:r>
      <w:r w:rsidR="001E38A0">
        <w:rPr>
          <w:lang w:val="en-AU"/>
        </w:rPr>
        <w:t xml:space="preserve">voiced that they </w:t>
      </w:r>
      <w:r w:rsidRPr="00E178ED">
        <w:rPr>
          <w:lang w:val="en-AU"/>
        </w:rPr>
        <w:t>would prefer to work in local enterprises, either their own small businesses or those established by others, rather than having to travel to work at mine sites on long shifts and often in the dark, taking them away from their children and other home responsibilities.</w:t>
      </w:r>
    </w:p>
    <w:p w:rsidR="00E178ED" w:rsidRPr="00E178ED" w:rsidRDefault="00E178ED" w:rsidP="00E178ED">
      <w:pPr>
        <w:pStyle w:val="ASIBulletPoint"/>
        <w:numPr>
          <w:ilvl w:val="0"/>
          <w:numId w:val="0"/>
        </w:numPr>
        <w:jc w:val="both"/>
        <w:rPr>
          <w:lang w:val="en-AU"/>
        </w:rPr>
      </w:pPr>
      <w:r w:rsidRPr="00E178ED">
        <w:rPr>
          <w:lang w:val="en-AU"/>
        </w:rPr>
        <w:t xml:space="preserve">Indeed, a number of commentators noted a worrying increase of </w:t>
      </w:r>
      <w:r w:rsidR="008800F4">
        <w:rPr>
          <w:lang w:val="en-AU"/>
        </w:rPr>
        <w:t>the</w:t>
      </w:r>
      <w:r w:rsidRPr="00E178ED">
        <w:rPr>
          <w:lang w:val="en-AU"/>
        </w:rPr>
        <w:t xml:space="preserve"> term ‘child-headed’ households. These are not necessarily orphaned children, but may be the children of working parents, both of whom are employed on long shifts at mine sites, leaving children alone for many hours of the day.</w:t>
      </w:r>
    </w:p>
    <w:p w:rsidR="00E178ED" w:rsidRPr="00E178ED" w:rsidRDefault="001E38A0" w:rsidP="00E178ED">
      <w:pPr>
        <w:pStyle w:val="Heading3"/>
        <w:rPr>
          <w:lang w:val="en-AU"/>
        </w:rPr>
      </w:pPr>
      <w:bookmarkStart w:id="26" w:name="_Toc416161477"/>
      <w:r>
        <w:rPr>
          <w:lang w:val="en-AU"/>
        </w:rPr>
        <w:t>Employment and Entreapenurship</w:t>
      </w:r>
      <w:bookmarkEnd w:id="26"/>
    </w:p>
    <w:p w:rsidR="00437676" w:rsidRPr="00437676" w:rsidRDefault="00437676" w:rsidP="00437676">
      <w:pPr>
        <w:pStyle w:val="ASIBulletPoint"/>
        <w:numPr>
          <w:ilvl w:val="0"/>
          <w:numId w:val="0"/>
        </w:numPr>
        <w:jc w:val="both"/>
        <w:rPr>
          <w:lang w:val="en-AU"/>
        </w:rPr>
      </w:pPr>
      <w:r w:rsidRPr="00437676">
        <w:rPr>
          <w:lang w:val="en-AU"/>
        </w:rPr>
        <w:t>Further, many community members expressed a wish for greater scope for non-mine employment and income</w:t>
      </w:r>
      <w:r w:rsidR="00CF1E1F">
        <w:rPr>
          <w:lang w:val="en-AU"/>
        </w:rPr>
        <w:t>-earning</w:t>
      </w:r>
      <w:r w:rsidRPr="00437676">
        <w:rPr>
          <w:lang w:val="en-AU"/>
        </w:rPr>
        <w:t xml:space="preserve"> opportunities, such as those afforded by successful small businesses. Although there had been considerable achievements at both the large local mines (OT and UHG) in fostering local suppliers, others complained that many small businesses could not qualify for the high standards required by the mining Procurement Departments. They also regretted that many short courses and micro-business </w:t>
      </w:r>
      <w:proofErr w:type="gramStart"/>
      <w:r w:rsidRPr="00437676">
        <w:rPr>
          <w:lang w:val="en-AU"/>
        </w:rPr>
        <w:t>initiatives</w:t>
      </w:r>
      <w:r w:rsidR="00184249">
        <w:rPr>
          <w:lang w:val="en-AU"/>
        </w:rPr>
        <w:t>,</w:t>
      </w:r>
      <w:r w:rsidRPr="00437676">
        <w:rPr>
          <w:lang w:val="en-AU"/>
        </w:rPr>
        <w:t xml:space="preserve"> that had been attempted in the various communities</w:t>
      </w:r>
      <w:r w:rsidR="008800F4">
        <w:rPr>
          <w:lang w:val="en-AU"/>
        </w:rPr>
        <w:t>,</w:t>
      </w:r>
      <w:proofErr w:type="gramEnd"/>
      <w:r w:rsidRPr="00437676">
        <w:rPr>
          <w:lang w:val="en-AU"/>
        </w:rPr>
        <w:t xml:space="preserve"> seemed only to last a limited time and that too many small business efforts ended in failure. Key informants, from local administrations, NGOs and mining companies all commented that people recruited into small business development programs often gave </w:t>
      </w:r>
      <w:r w:rsidRPr="00437676">
        <w:rPr>
          <w:lang w:val="en-AU"/>
        </w:rPr>
        <w:lastRenderedPageBreak/>
        <w:t>up when they encountered difficulties, or had to pay their loans back, clear indicators that the programs have not been suitable for many participants to date.</w:t>
      </w:r>
    </w:p>
    <w:p w:rsidR="00437676" w:rsidRDefault="00437676" w:rsidP="00437676">
      <w:pPr>
        <w:pStyle w:val="ASIBulletPoint"/>
        <w:numPr>
          <w:ilvl w:val="0"/>
          <w:numId w:val="0"/>
        </w:numPr>
        <w:rPr>
          <w:i/>
          <w:lang w:val="en-AU"/>
        </w:rPr>
      </w:pPr>
      <w:r w:rsidRPr="00437676">
        <w:rPr>
          <w:i/>
          <w:lang w:val="en-AU"/>
        </w:rPr>
        <w:t>Challenges in gaining employment in the workplace</w:t>
      </w:r>
    </w:p>
    <w:p w:rsidR="00437676" w:rsidRPr="00437676" w:rsidRDefault="00437676" w:rsidP="00437676">
      <w:pPr>
        <w:pStyle w:val="ASIBulletPoint"/>
        <w:numPr>
          <w:ilvl w:val="0"/>
          <w:numId w:val="0"/>
        </w:numPr>
        <w:rPr>
          <w:lang w:val="en-AU"/>
        </w:rPr>
      </w:pPr>
      <w:r w:rsidRPr="00437676">
        <w:rPr>
          <w:lang w:val="en-AU"/>
        </w:rPr>
        <w:t>The Scoping Report had also highlighted the challenges for women obtaining direct economic benefits from the mining sector.  The Report stated that:</w:t>
      </w:r>
    </w:p>
    <w:p w:rsidR="00437676" w:rsidRPr="00437676" w:rsidRDefault="00437676" w:rsidP="00437676">
      <w:pPr>
        <w:pStyle w:val="ASIBulletPoint"/>
        <w:numPr>
          <w:ilvl w:val="0"/>
          <w:numId w:val="0"/>
        </w:numPr>
        <w:ind w:left="720"/>
        <w:jc w:val="both"/>
        <w:rPr>
          <w:i/>
          <w:iCs/>
          <w:lang w:val="en-AU"/>
        </w:rPr>
      </w:pPr>
      <w:r w:rsidRPr="00437676">
        <w:rPr>
          <w:i/>
          <w:iCs/>
          <w:lang w:val="en-AU"/>
        </w:rPr>
        <w:t>[t]here are also a range of factors which make female participation in the mining workforce more difficult, including organisational culture, and socio-cultural barriers, stereotyping of jobs, discrimination (including through regulations that restrict or prevent women from employment as heavy equipment operators or underground workers which are generally higher paying jobs), sexual harassment, and lack of complaints handling mechanisms, or unwillingness to access them.  The larger mining companies such as Oyu Tolgoi, Tavan Tolgoi and Energy Resources recognise the importance of maximising participation of the local workforce which is inclusive of women.  All three companies now employ women as heavy vehicle drivers despite the regulations; however the organisational cultures and individual attitudes and behaviours within both government and companies ensure that challenges still remain for women wishing to work in the mining sector.</w:t>
      </w:r>
      <w:r w:rsidRPr="00437676">
        <w:rPr>
          <w:i/>
          <w:iCs/>
          <w:vertAlign w:val="superscript"/>
          <w:lang w:val="en-AU"/>
        </w:rPr>
        <w:footnoteReference w:id="10"/>
      </w:r>
    </w:p>
    <w:p w:rsidR="00437676" w:rsidRPr="00437676" w:rsidRDefault="00437676" w:rsidP="00437676">
      <w:pPr>
        <w:pStyle w:val="ASIBulletPoint"/>
        <w:numPr>
          <w:ilvl w:val="0"/>
          <w:numId w:val="0"/>
        </w:numPr>
        <w:jc w:val="both"/>
        <w:rPr>
          <w:lang w:val="en-AU"/>
        </w:rPr>
      </w:pPr>
      <w:r w:rsidRPr="00437676">
        <w:rPr>
          <w:lang w:val="en-AU"/>
        </w:rPr>
        <w:t xml:space="preserve">Recent reports have identified that one in every two women under the age of 35 years of age, are subjected to sexual harassment in the workplace (The Advocates of Human Rights). Indeed, sexual harassment was cited as a </w:t>
      </w:r>
      <w:r w:rsidR="001E38A0">
        <w:rPr>
          <w:lang w:val="en-AU"/>
        </w:rPr>
        <w:t xml:space="preserve">more serious </w:t>
      </w:r>
      <w:r w:rsidRPr="00437676">
        <w:rPr>
          <w:lang w:val="en-AU"/>
        </w:rPr>
        <w:t xml:space="preserve">threat to women, than the already high rates of domestic violence by gender based NGOS. Forms of sexual harassment include, objectifying women, and using sexual favours for job security (Cane, 2014; Cane, 2014b). Previous studies support accounts of sexual discrimination and sexual harassment both on large scale mine sites and in neighbouring communities. Causes for such behaviours are often associated with </w:t>
      </w:r>
      <w:r w:rsidR="00CF1E1F">
        <w:rPr>
          <w:lang w:val="en-AU"/>
        </w:rPr>
        <w:t xml:space="preserve">women’s </w:t>
      </w:r>
      <w:r w:rsidRPr="00437676">
        <w:rPr>
          <w:lang w:val="en-AU"/>
        </w:rPr>
        <w:t xml:space="preserve">extended shifts away from families, higher male to female ratios in communities and mines, and cultural changes due to supposed ‘Western’ influence and higher cash based economy. </w:t>
      </w:r>
    </w:p>
    <w:p w:rsidR="00437676" w:rsidRPr="00437676" w:rsidRDefault="00437676" w:rsidP="00437676">
      <w:pPr>
        <w:pStyle w:val="ASIBulletPoint"/>
        <w:numPr>
          <w:ilvl w:val="0"/>
          <w:numId w:val="0"/>
        </w:numPr>
        <w:jc w:val="both"/>
        <w:rPr>
          <w:lang w:val="en-AU"/>
        </w:rPr>
      </w:pPr>
      <w:r w:rsidRPr="00437676">
        <w:rPr>
          <w:lang w:val="en-AU"/>
        </w:rPr>
        <w:t xml:space="preserve">Mongolian academics from the ‘Gender Consortium’ at the National University of Mongolia, have spoken of widespread community embarrassment about discussing matters of sexual harassment and discrimination in the workplace. Although the Mongolian constitution states that sexual harassment and discrimination is prohibited by law, it is not currently considered a crime. The threat of unemployment, </w:t>
      </w:r>
      <w:r w:rsidR="008E3D7F">
        <w:rPr>
          <w:lang w:val="en-AU"/>
        </w:rPr>
        <w:t xml:space="preserve">a lack of knowledge regarding sexual harassment, </w:t>
      </w:r>
      <w:r w:rsidRPr="00437676">
        <w:rPr>
          <w:lang w:val="en-AU"/>
        </w:rPr>
        <w:t>and a</w:t>
      </w:r>
      <w:r w:rsidR="008800F4">
        <w:rPr>
          <w:lang w:val="en-AU"/>
        </w:rPr>
        <w:t>n</w:t>
      </w:r>
      <w:r w:rsidRPr="00437676">
        <w:rPr>
          <w:lang w:val="en-AU"/>
        </w:rPr>
        <w:t xml:space="preserve"> </w:t>
      </w:r>
      <w:r w:rsidR="008E3D7F" w:rsidRPr="00437676">
        <w:rPr>
          <w:lang w:val="en-AU"/>
        </w:rPr>
        <w:t>absence</w:t>
      </w:r>
      <w:r w:rsidRPr="00437676">
        <w:rPr>
          <w:lang w:val="en-AU"/>
        </w:rPr>
        <w:t xml:space="preserve"> of protective </w:t>
      </w:r>
      <w:r w:rsidR="008E3D7F">
        <w:rPr>
          <w:lang w:val="en-AU"/>
        </w:rPr>
        <w:t>legislations and enforcement</w:t>
      </w:r>
      <w:r w:rsidR="008E3D7F" w:rsidRPr="00437676">
        <w:rPr>
          <w:lang w:val="en-AU"/>
        </w:rPr>
        <w:t xml:space="preserve"> </w:t>
      </w:r>
      <w:r w:rsidR="008E3D7F">
        <w:rPr>
          <w:lang w:val="en-AU"/>
        </w:rPr>
        <w:t>create</w:t>
      </w:r>
      <w:r w:rsidR="00BE5402">
        <w:rPr>
          <w:lang w:val="en-AU"/>
        </w:rPr>
        <w:t xml:space="preserve"> a reluctance to report crimes</w:t>
      </w:r>
      <w:r w:rsidR="008E3D7F">
        <w:rPr>
          <w:lang w:val="en-AU"/>
        </w:rPr>
        <w:t xml:space="preserve">. </w:t>
      </w:r>
      <w:r w:rsidR="00CD502A">
        <w:rPr>
          <w:lang w:val="en-AU"/>
        </w:rPr>
        <w:t>These employment situations where women are economically vulnerable,</w:t>
      </w:r>
      <w:r w:rsidR="00215386">
        <w:rPr>
          <w:lang w:val="en-AU"/>
        </w:rPr>
        <w:t xml:space="preserve"> have</w:t>
      </w:r>
      <w:r w:rsidR="00CD502A">
        <w:rPr>
          <w:lang w:val="en-AU"/>
        </w:rPr>
        <w:t xml:space="preserve"> little legal protection</w:t>
      </w:r>
      <w:r w:rsidR="00215386">
        <w:rPr>
          <w:lang w:val="en-AU"/>
        </w:rPr>
        <w:t>, and are unaware of their rights,</w:t>
      </w:r>
      <w:r w:rsidR="00CD502A">
        <w:rPr>
          <w:lang w:val="en-AU"/>
        </w:rPr>
        <w:t xml:space="preserve"> create a significant barrier to economic empowerment.</w:t>
      </w:r>
      <w:r w:rsidRPr="00437676">
        <w:rPr>
          <w:lang w:val="en-AU"/>
        </w:rPr>
        <w:t xml:space="preserve"> </w:t>
      </w:r>
    </w:p>
    <w:p w:rsidR="00437676" w:rsidRPr="00437676" w:rsidRDefault="008E3D7F" w:rsidP="00437676">
      <w:pPr>
        <w:pStyle w:val="ASIBulletPoint"/>
        <w:numPr>
          <w:ilvl w:val="0"/>
          <w:numId w:val="0"/>
        </w:numPr>
        <w:jc w:val="both"/>
        <w:rPr>
          <w:lang w:val="en-AU"/>
        </w:rPr>
      </w:pPr>
      <w:r>
        <w:rPr>
          <w:lang w:val="en-AU"/>
        </w:rPr>
        <w:t xml:space="preserve">These challenges to employment were discussed at length by </w:t>
      </w:r>
      <w:r w:rsidR="00437676" w:rsidRPr="00437676">
        <w:rPr>
          <w:lang w:val="en-AU"/>
        </w:rPr>
        <w:t>the NCGE and Mongolian gender-related NGOs, such as the Gender Center for Sustainable Development and Monfemnet.</w:t>
      </w:r>
    </w:p>
    <w:p w:rsidR="00437676" w:rsidRDefault="00437676" w:rsidP="00437676">
      <w:pPr>
        <w:pStyle w:val="Heading3"/>
        <w:rPr>
          <w:lang w:val="en-AU"/>
        </w:rPr>
      </w:pPr>
      <w:bookmarkStart w:id="27" w:name="_Toc416161478"/>
      <w:r>
        <w:rPr>
          <w:lang w:val="en-AU"/>
        </w:rPr>
        <w:t>Population Influx</w:t>
      </w:r>
      <w:bookmarkEnd w:id="27"/>
      <w:r>
        <w:rPr>
          <w:lang w:val="en-AU"/>
        </w:rPr>
        <w:t xml:space="preserve"> </w:t>
      </w:r>
    </w:p>
    <w:p w:rsidR="00437676" w:rsidRPr="00437676" w:rsidRDefault="00437676" w:rsidP="00437676">
      <w:pPr>
        <w:pStyle w:val="ASIBulletPoint"/>
        <w:numPr>
          <w:ilvl w:val="0"/>
          <w:numId w:val="0"/>
        </w:numPr>
        <w:jc w:val="both"/>
        <w:rPr>
          <w:lang w:val="en-AU"/>
        </w:rPr>
      </w:pPr>
      <w:r w:rsidRPr="00437676">
        <w:rPr>
          <w:lang w:val="en-AU"/>
        </w:rPr>
        <w:t xml:space="preserve">As commented in the Scoping Report and Concept Notes, ‘the biggest social risks for mining communities relate to the influx of outsiders’. Multiple impacts are experienced due to the rapid influx of people into a community, including; stress on public services, increased crime and safety (including gender based violence), higher costs of living and loss of traditional livelihoods and ways of being. </w:t>
      </w:r>
    </w:p>
    <w:p w:rsidR="00437676" w:rsidRPr="00437676" w:rsidRDefault="00437676" w:rsidP="00437676">
      <w:pPr>
        <w:pStyle w:val="ASIBulletPoint"/>
        <w:numPr>
          <w:ilvl w:val="0"/>
          <w:numId w:val="0"/>
        </w:numPr>
        <w:jc w:val="both"/>
        <w:rPr>
          <w:lang w:val="en-AU"/>
        </w:rPr>
      </w:pPr>
      <w:r w:rsidRPr="00437676">
        <w:rPr>
          <w:lang w:val="en-AU"/>
        </w:rPr>
        <w:t xml:space="preserve">For this reason, numerous studies have looked at the projected population growth in the Southern Gobi area, notably by the Asian Development Bank and the World Bank.  Most recently, the Oyu Tolgoi Regional Development team has produced population projection estimates at </w:t>
      </w:r>
      <w:r w:rsidRPr="00437676">
        <w:rPr>
          <w:i/>
          <w:iCs/>
          <w:lang w:val="en-AU"/>
        </w:rPr>
        <w:t xml:space="preserve">soum </w:t>
      </w:r>
      <w:r w:rsidRPr="00437676">
        <w:rPr>
          <w:lang w:val="en-AU"/>
        </w:rPr>
        <w:t>level</w:t>
      </w:r>
      <w:r w:rsidRPr="00437676">
        <w:rPr>
          <w:iCs/>
          <w:lang w:val="en-AU"/>
        </w:rPr>
        <w:t xml:space="preserve"> (Table 5).  </w:t>
      </w:r>
      <w:r w:rsidRPr="00437676">
        <w:rPr>
          <w:lang w:val="en-AU"/>
        </w:rPr>
        <w:t xml:space="preserve">These calculations used the same methodology adopted by the Asian Development Bank (ADB) in its population projections for the South East Gobi, but drew on slightly different assumptions based on the more recent data.  The figures presented in Table 5 highlight the predicted substantial increase in the population size of Khanbogd and neighbouring </w:t>
      </w:r>
      <w:r w:rsidRPr="00437676">
        <w:rPr>
          <w:i/>
          <w:iCs/>
          <w:lang w:val="en-AU"/>
        </w:rPr>
        <w:t>soums</w:t>
      </w:r>
      <w:r w:rsidRPr="00437676">
        <w:rPr>
          <w:lang w:val="en-AU"/>
        </w:rPr>
        <w:t>.</w:t>
      </w:r>
      <w:r w:rsidRPr="00437676">
        <w:rPr>
          <w:vertAlign w:val="superscript"/>
          <w:lang w:val="en-AU"/>
        </w:rPr>
        <w:footnoteReference w:id="11"/>
      </w:r>
    </w:p>
    <w:p w:rsidR="00184249" w:rsidRDefault="00184249" w:rsidP="00437676">
      <w:pPr>
        <w:pStyle w:val="ASIBulletPoint"/>
        <w:numPr>
          <w:ilvl w:val="0"/>
          <w:numId w:val="0"/>
        </w:numPr>
        <w:rPr>
          <w:b/>
          <w:bCs/>
          <w:iCs/>
          <w:lang w:val="en-AU"/>
        </w:rPr>
        <w:sectPr w:rsidR="00184249" w:rsidSect="001309DB">
          <w:headerReference w:type="default" r:id="rId16"/>
          <w:footerReference w:type="default" r:id="rId17"/>
          <w:type w:val="continuous"/>
          <w:pgSz w:w="11906" w:h="16838" w:code="9"/>
          <w:pgMar w:top="1304" w:right="567" w:bottom="1418" w:left="567" w:header="567" w:footer="408" w:gutter="0"/>
          <w:pgNumType w:start="1"/>
          <w:cols w:space="340"/>
          <w:docGrid w:linePitch="360"/>
        </w:sectPr>
      </w:pPr>
    </w:p>
    <w:p w:rsidR="00437676" w:rsidRPr="001309DB" w:rsidRDefault="00437676" w:rsidP="00437676">
      <w:pPr>
        <w:pStyle w:val="ASIBulletPoint"/>
        <w:numPr>
          <w:ilvl w:val="0"/>
          <w:numId w:val="0"/>
        </w:numPr>
        <w:rPr>
          <w:b/>
          <w:bCs/>
          <w:iCs/>
          <w:lang w:val="en-AU"/>
        </w:rPr>
      </w:pPr>
      <w:r w:rsidRPr="001309DB">
        <w:rPr>
          <w:b/>
          <w:bCs/>
          <w:iCs/>
          <w:lang w:val="en-AU"/>
        </w:rPr>
        <w:lastRenderedPageBreak/>
        <w:t xml:space="preserve">Table 5: </w:t>
      </w:r>
      <w:proofErr w:type="spellStart"/>
      <w:r w:rsidRPr="001309DB">
        <w:rPr>
          <w:b/>
          <w:bCs/>
          <w:iCs/>
          <w:lang w:val="en-AU"/>
        </w:rPr>
        <w:t>Soum</w:t>
      </w:r>
      <w:proofErr w:type="spellEnd"/>
      <w:r w:rsidRPr="001309DB">
        <w:rPr>
          <w:b/>
          <w:bCs/>
          <w:iCs/>
          <w:lang w:val="en-AU"/>
        </w:rPr>
        <w:t xml:space="preserve"> Level Population Projections, Years 2010 to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1769"/>
        <w:gridCol w:w="1820"/>
        <w:gridCol w:w="1831"/>
        <w:gridCol w:w="1831"/>
        <w:gridCol w:w="1833"/>
      </w:tblGrid>
      <w:tr w:rsidR="00437676" w:rsidRPr="00437676" w:rsidTr="00437676">
        <w:trPr>
          <w:trHeight w:val="322"/>
        </w:trPr>
        <w:tc>
          <w:tcPr>
            <w:tcW w:w="866" w:type="pct"/>
            <w:vMerge w:val="restart"/>
            <w:shd w:val="clear" w:color="auto" w:fill="D3BF96" w:themeFill="accent3"/>
            <w:vAlign w:val="center"/>
          </w:tcPr>
          <w:p w:rsidR="00437676" w:rsidRPr="001309DB" w:rsidRDefault="00437676" w:rsidP="00437676">
            <w:pPr>
              <w:pStyle w:val="ASIBulletPoint"/>
              <w:numPr>
                <w:ilvl w:val="0"/>
                <w:numId w:val="0"/>
              </w:numPr>
              <w:jc w:val="center"/>
              <w:rPr>
                <w:b/>
                <w:bCs/>
                <w:color w:val="auto"/>
                <w:lang w:val="en-NZ"/>
              </w:rPr>
            </w:pPr>
            <w:r w:rsidRPr="001309DB">
              <w:rPr>
                <w:b/>
                <w:bCs/>
                <w:i/>
                <w:iCs/>
                <w:color w:val="auto"/>
                <w:lang w:val="en-NZ"/>
              </w:rPr>
              <w:t xml:space="preserve">Sum </w:t>
            </w:r>
            <w:r w:rsidRPr="001309DB">
              <w:rPr>
                <w:b/>
                <w:bCs/>
                <w:color w:val="auto"/>
                <w:lang w:val="en-NZ"/>
              </w:rPr>
              <w:t>Centre</w:t>
            </w:r>
          </w:p>
        </w:tc>
        <w:tc>
          <w:tcPr>
            <w:tcW w:w="805" w:type="pct"/>
            <w:vMerge w:val="restart"/>
            <w:shd w:val="clear" w:color="auto" w:fill="D3BF96" w:themeFill="accent3"/>
            <w:vAlign w:val="center"/>
          </w:tcPr>
          <w:p w:rsidR="00437676" w:rsidRPr="001309DB" w:rsidRDefault="00437676" w:rsidP="00437676">
            <w:pPr>
              <w:pStyle w:val="ASIBulletPoint"/>
              <w:numPr>
                <w:ilvl w:val="0"/>
                <w:numId w:val="0"/>
              </w:numPr>
              <w:jc w:val="center"/>
              <w:rPr>
                <w:b/>
                <w:bCs/>
                <w:color w:val="auto"/>
                <w:lang w:val="en-NZ"/>
              </w:rPr>
            </w:pPr>
            <w:r w:rsidRPr="001309DB">
              <w:rPr>
                <w:b/>
                <w:bCs/>
                <w:color w:val="auto"/>
                <w:lang w:val="en-NZ"/>
              </w:rPr>
              <w:t>Likely Future Function (and distance from Oyu Tolgoi)</w:t>
            </w:r>
          </w:p>
        </w:tc>
        <w:tc>
          <w:tcPr>
            <w:tcW w:w="828" w:type="pct"/>
            <w:vMerge w:val="restart"/>
            <w:shd w:val="clear" w:color="auto" w:fill="D3BF96" w:themeFill="accent3"/>
            <w:vAlign w:val="center"/>
          </w:tcPr>
          <w:p w:rsidR="00437676" w:rsidRPr="001309DB" w:rsidRDefault="00437676" w:rsidP="00437676">
            <w:pPr>
              <w:pStyle w:val="ASIBulletPoint"/>
              <w:numPr>
                <w:ilvl w:val="0"/>
                <w:numId w:val="0"/>
              </w:numPr>
              <w:jc w:val="center"/>
              <w:rPr>
                <w:b/>
                <w:bCs/>
                <w:color w:val="auto"/>
                <w:lang w:val="en-NZ"/>
              </w:rPr>
            </w:pPr>
            <w:r w:rsidRPr="001309DB">
              <w:rPr>
                <w:b/>
                <w:bCs/>
                <w:color w:val="auto"/>
                <w:lang w:val="en-NZ"/>
              </w:rPr>
              <w:t>Official Population, Census 2010</w:t>
            </w:r>
          </w:p>
        </w:tc>
        <w:tc>
          <w:tcPr>
            <w:tcW w:w="2500" w:type="pct"/>
            <w:gridSpan w:val="3"/>
            <w:shd w:val="clear" w:color="auto" w:fill="D3BF96" w:themeFill="accent3"/>
            <w:vAlign w:val="center"/>
          </w:tcPr>
          <w:p w:rsidR="00437676" w:rsidRPr="001309DB" w:rsidRDefault="00437676" w:rsidP="00437676">
            <w:pPr>
              <w:pStyle w:val="ASIBulletPoint"/>
              <w:numPr>
                <w:ilvl w:val="0"/>
                <w:numId w:val="0"/>
              </w:numPr>
              <w:jc w:val="center"/>
              <w:rPr>
                <w:b/>
                <w:bCs/>
                <w:color w:val="auto"/>
                <w:lang w:val="en-NZ"/>
              </w:rPr>
            </w:pPr>
            <w:r w:rsidRPr="001309DB">
              <w:rPr>
                <w:b/>
                <w:bCs/>
                <w:color w:val="auto"/>
                <w:lang w:val="en-NZ"/>
              </w:rPr>
              <w:t>Population Projections</w:t>
            </w:r>
          </w:p>
        </w:tc>
      </w:tr>
      <w:tr w:rsidR="00437676" w:rsidRPr="00437676" w:rsidTr="001309DB">
        <w:trPr>
          <w:trHeight w:val="187"/>
        </w:trPr>
        <w:tc>
          <w:tcPr>
            <w:tcW w:w="866" w:type="pct"/>
            <w:vMerge/>
            <w:shd w:val="clear" w:color="auto" w:fill="D3BF96" w:themeFill="accent3"/>
            <w:vAlign w:val="center"/>
          </w:tcPr>
          <w:p w:rsidR="00437676" w:rsidRPr="001309DB" w:rsidRDefault="00437676" w:rsidP="00437676">
            <w:pPr>
              <w:pStyle w:val="ASIBulletPoint"/>
              <w:numPr>
                <w:ilvl w:val="0"/>
                <w:numId w:val="0"/>
              </w:numPr>
              <w:jc w:val="center"/>
              <w:rPr>
                <w:b/>
                <w:bCs/>
                <w:color w:val="auto"/>
                <w:lang w:val="en-NZ"/>
              </w:rPr>
            </w:pPr>
          </w:p>
        </w:tc>
        <w:tc>
          <w:tcPr>
            <w:tcW w:w="805" w:type="pct"/>
            <w:vMerge/>
            <w:tcBorders>
              <w:bottom w:val="single" w:sz="4" w:space="0" w:color="auto"/>
            </w:tcBorders>
            <w:shd w:val="clear" w:color="auto" w:fill="D3BF96" w:themeFill="accent3"/>
            <w:vAlign w:val="center"/>
          </w:tcPr>
          <w:p w:rsidR="00437676" w:rsidRPr="001309DB" w:rsidRDefault="00437676" w:rsidP="00437676">
            <w:pPr>
              <w:pStyle w:val="ASIBulletPoint"/>
              <w:numPr>
                <w:ilvl w:val="0"/>
                <w:numId w:val="0"/>
              </w:numPr>
              <w:jc w:val="center"/>
              <w:rPr>
                <w:color w:val="auto"/>
                <w:lang w:val="en-NZ"/>
              </w:rPr>
            </w:pPr>
          </w:p>
        </w:tc>
        <w:tc>
          <w:tcPr>
            <w:tcW w:w="828" w:type="pct"/>
            <w:vMerge/>
            <w:tcBorders>
              <w:bottom w:val="single" w:sz="4" w:space="0" w:color="auto"/>
            </w:tcBorders>
            <w:shd w:val="clear" w:color="auto" w:fill="D3BF96" w:themeFill="accent3"/>
            <w:vAlign w:val="center"/>
          </w:tcPr>
          <w:p w:rsidR="00437676" w:rsidRPr="001309DB" w:rsidRDefault="00437676" w:rsidP="00437676">
            <w:pPr>
              <w:pStyle w:val="ASIBulletPoint"/>
              <w:numPr>
                <w:ilvl w:val="0"/>
                <w:numId w:val="0"/>
              </w:numPr>
              <w:jc w:val="center"/>
              <w:rPr>
                <w:color w:val="auto"/>
                <w:lang w:val="en-NZ"/>
              </w:rPr>
            </w:pPr>
          </w:p>
        </w:tc>
        <w:tc>
          <w:tcPr>
            <w:tcW w:w="833" w:type="pct"/>
            <w:tcBorders>
              <w:bottom w:val="single" w:sz="4" w:space="0" w:color="auto"/>
            </w:tcBorders>
            <w:shd w:val="clear" w:color="auto" w:fill="D3BF96" w:themeFill="accent3"/>
            <w:vAlign w:val="center"/>
          </w:tcPr>
          <w:p w:rsidR="00437676" w:rsidRPr="001309DB" w:rsidRDefault="00437676" w:rsidP="00437676">
            <w:pPr>
              <w:pStyle w:val="ASIBulletPoint"/>
              <w:numPr>
                <w:ilvl w:val="0"/>
                <w:numId w:val="0"/>
              </w:numPr>
              <w:jc w:val="center"/>
              <w:rPr>
                <w:color w:val="auto"/>
                <w:lang w:val="en-NZ"/>
              </w:rPr>
            </w:pPr>
            <w:r w:rsidRPr="001309DB">
              <w:rPr>
                <w:b/>
                <w:bCs/>
                <w:color w:val="auto"/>
                <w:lang w:val="en-NZ"/>
              </w:rPr>
              <w:t>2010</w:t>
            </w:r>
          </w:p>
        </w:tc>
        <w:tc>
          <w:tcPr>
            <w:tcW w:w="833" w:type="pct"/>
            <w:tcBorders>
              <w:bottom w:val="single" w:sz="4" w:space="0" w:color="auto"/>
            </w:tcBorders>
            <w:shd w:val="clear" w:color="auto" w:fill="D3BF96" w:themeFill="accent3"/>
            <w:vAlign w:val="center"/>
          </w:tcPr>
          <w:p w:rsidR="00437676" w:rsidRPr="001309DB" w:rsidRDefault="00437676" w:rsidP="00437676">
            <w:pPr>
              <w:pStyle w:val="ASIBulletPoint"/>
              <w:numPr>
                <w:ilvl w:val="0"/>
                <w:numId w:val="0"/>
              </w:numPr>
              <w:jc w:val="center"/>
              <w:rPr>
                <w:color w:val="auto"/>
                <w:lang w:val="en-NZ"/>
              </w:rPr>
            </w:pPr>
            <w:r w:rsidRPr="001309DB">
              <w:rPr>
                <w:b/>
                <w:bCs/>
                <w:color w:val="auto"/>
                <w:lang w:val="en-NZ"/>
              </w:rPr>
              <w:t>2015</w:t>
            </w:r>
          </w:p>
        </w:tc>
        <w:tc>
          <w:tcPr>
            <w:tcW w:w="834" w:type="pct"/>
            <w:tcBorders>
              <w:bottom w:val="single" w:sz="4" w:space="0" w:color="auto"/>
            </w:tcBorders>
            <w:shd w:val="clear" w:color="auto" w:fill="D3BF96" w:themeFill="accent3"/>
            <w:vAlign w:val="center"/>
          </w:tcPr>
          <w:p w:rsidR="00437676" w:rsidRPr="001309DB" w:rsidRDefault="00437676" w:rsidP="00437676">
            <w:pPr>
              <w:pStyle w:val="ASIBulletPoint"/>
              <w:numPr>
                <w:ilvl w:val="0"/>
                <w:numId w:val="0"/>
              </w:numPr>
              <w:jc w:val="center"/>
              <w:rPr>
                <w:color w:val="auto"/>
                <w:lang w:val="en-NZ"/>
              </w:rPr>
            </w:pPr>
            <w:r w:rsidRPr="001309DB">
              <w:rPr>
                <w:b/>
                <w:bCs/>
                <w:color w:val="auto"/>
                <w:lang w:val="en-NZ"/>
              </w:rPr>
              <w:t>2020</w:t>
            </w:r>
          </w:p>
        </w:tc>
      </w:tr>
      <w:tr w:rsidR="00437676" w:rsidRPr="00437676" w:rsidTr="001309DB">
        <w:trPr>
          <w:trHeight w:val="187"/>
        </w:trPr>
        <w:tc>
          <w:tcPr>
            <w:tcW w:w="866" w:type="pct"/>
            <w:shd w:val="clear" w:color="auto" w:fill="D3BF96" w:themeFill="accent3"/>
            <w:vAlign w:val="center"/>
          </w:tcPr>
          <w:p w:rsidR="00437676" w:rsidRPr="00437676" w:rsidRDefault="00437676" w:rsidP="00437676">
            <w:pPr>
              <w:pStyle w:val="ASIBulletPoint"/>
              <w:numPr>
                <w:ilvl w:val="0"/>
                <w:numId w:val="0"/>
              </w:numPr>
              <w:jc w:val="center"/>
              <w:rPr>
                <w:b/>
                <w:bCs/>
                <w:lang w:val="en-NZ"/>
              </w:rPr>
            </w:pPr>
            <w:r w:rsidRPr="001309DB">
              <w:rPr>
                <w:b/>
                <w:bCs/>
                <w:color w:val="auto"/>
                <w:lang w:val="en-NZ"/>
              </w:rPr>
              <w:t>Dalanzadgad</w:t>
            </w:r>
          </w:p>
        </w:tc>
        <w:tc>
          <w:tcPr>
            <w:tcW w:w="805"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Regional Mining Centre (250 km)</w:t>
            </w:r>
          </w:p>
        </w:tc>
        <w:tc>
          <w:tcPr>
            <w:tcW w:w="828"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18,746</w:t>
            </w:r>
          </w:p>
        </w:tc>
        <w:tc>
          <w:tcPr>
            <w:tcW w:w="833"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17,000</w:t>
            </w:r>
          </w:p>
        </w:tc>
        <w:tc>
          <w:tcPr>
            <w:tcW w:w="833"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22,600</w:t>
            </w:r>
          </w:p>
        </w:tc>
        <w:tc>
          <w:tcPr>
            <w:tcW w:w="834"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30,000</w:t>
            </w:r>
          </w:p>
        </w:tc>
      </w:tr>
      <w:tr w:rsidR="00437676" w:rsidRPr="00437676" w:rsidTr="001309DB">
        <w:trPr>
          <w:trHeight w:val="290"/>
        </w:trPr>
        <w:tc>
          <w:tcPr>
            <w:tcW w:w="866" w:type="pct"/>
            <w:shd w:val="clear" w:color="auto" w:fill="D3BF96" w:themeFill="accent3"/>
            <w:vAlign w:val="center"/>
          </w:tcPr>
          <w:p w:rsidR="00437676" w:rsidRPr="001309DB" w:rsidRDefault="00437676" w:rsidP="00437676">
            <w:pPr>
              <w:pStyle w:val="ASIBulletPoint"/>
              <w:numPr>
                <w:ilvl w:val="0"/>
                <w:numId w:val="0"/>
              </w:numPr>
              <w:jc w:val="center"/>
              <w:rPr>
                <w:b/>
                <w:bCs/>
                <w:color w:val="auto"/>
                <w:lang w:val="en-NZ"/>
              </w:rPr>
            </w:pPr>
            <w:r w:rsidRPr="001309DB">
              <w:rPr>
                <w:b/>
                <w:bCs/>
                <w:color w:val="auto"/>
                <w:lang w:val="en-NZ"/>
              </w:rPr>
              <w:t>Khanbogd</w:t>
            </w:r>
          </w:p>
        </w:tc>
        <w:tc>
          <w:tcPr>
            <w:tcW w:w="805"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Key Urban Service Centre for Oyu Tolgoi (45 km)</w:t>
            </w:r>
          </w:p>
        </w:tc>
        <w:tc>
          <w:tcPr>
            <w:tcW w:w="828"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3,522</w:t>
            </w:r>
          </w:p>
        </w:tc>
        <w:tc>
          <w:tcPr>
            <w:tcW w:w="833"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3,500</w:t>
            </w:r>
          </w:p>
        </w:tc>
        <w:tc>
          <w:tcPr>
            <w:tcW w:w="833"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14,000</w:t>
            </w:r>
          </w:p>
        </w:tc>
        <w:tc>
          <w:tcPr>
            <w:tcW w:w="834"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20,000</w:t>
            </w:r>
          </w:p>
        </w:tc>
      </w:tr>
      <w:tr w:rsidR="00437676" w:rsidRPr="00437676" w:rsidTr="001309DB">
        <w:trPr>
          <w:trHeight w:val="187"/>
        </w:trPr>
        <w:tc>
          <w:tcPr>
            <w:tcW w:w="866" w:type="pct"/>
            <w:shd w:val="clear" w:color="auto" w:fill="D3BF96" w:themeFill="accent3"/>
            <w:vAlign w:val="center"/>
          </w:tcPr>
          <w:p w:rsidR="00437676" w:rsidRPr="001309DB" w:rsidRDefault="00437676" w:rsidP="00437676">
            <w:pPr>
              <w:pStyle w:val="ASIBulletPoint"/>
              <w:numPr>
                <w:ilvl w:val="0"/>
                <w:numId w:val="0"/>
              </w:numPr>
              <w:jc w:val="center"/>
              <w:rPr>
                <w:b/>
                <w:bCs/>
                <w:color w:val="auto"/>
                <w:lang w:val="en-NZ"/>
              </w:rPr>
            </w:pPr>
            <w:r w:rsidRPr="001309DB">
              <w:rPr>
                <w:b/>
                <w:bCs/>
                <w:color w:val="auto"/>
                <w:lang w:val="en-NZ"/>
              </w:rPr>
              <w:t>Manlai</w:t>
            </w:r>
          </w:p>
        </w:tc>
        <w:tc>
          <w:tcPr>
            <w:tcW w:w="805"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Satellite Urban Centre (120 km)</w:t>
            </w:r>
          </w:p>
        </w:tc>
        <w:tc>
          <w:tcPr>
            <w:tcW w:w="828"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2,441</w:t>
            </w:r>
          </w:p>
        </w:tc>
        <w:tc>
          <w:tcPr>
            <w:tcW w:w="833"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2,000</w:t>
            </w:r>
          </w:p>
        </w:tc>
        <w:tc>
          <w:tcPr>
            <w:tcW w:w="833"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2,400</w:t>
            </w:r>
          </w:p>
        </w:tc>
        <w:tc>
          <w:tcPr>
            <w:tcW w:w="834"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3,000</w:t>
            </w:r>
          </w:p>
        </w:tc>
      </w:tr>
      <w:tr w:rsidR="00437676" w:rsidRPr="00437676" w:rsidTr="001309DB">
        <w:trPr>
          <w:trHeight w:val="187"/>
        </w:trPr>
        <w:tc>
          <w:tcPr>
            <w:tcW w:w="866" w:type="pct"/>
            <w:shd w:val="clear" w:color="auto" w:fill="D3BF96" w:themeFill="accent3"/>
            <w:vAlign w:val="center"/>
          </w:tcPr>
          <w:p w:rsidR="00437676" w:rsidRPr="001309DB" w:rsidRDefault="00437676" w:rsidP="00437676">
            <w:pPr>
              <w:pStyle w:val="ASIBulletPoint"/>
              <w:numPr>
                <w:ilvl w:val="0"/>
                <w:numId w:val="0"/>
              </w:numPr>
              <w:jc w:val="center"/>
              <w:rPr>
                <w:b/>
                <w:bCs/>
                <w:color w:val="auto"/>
                <w:lang w:val="en-NZ"/>
              </w:rPr>
            </w:pPr>
            <w:r w:rsidRPr="001309DB">
              <w:rPr>
                <w:b/>
                <w:bCs/>
                <w:color w:val="auto"/>
                <w:lang w:val="en-NZ"/>
              </w:rPr>
              <w:t>Bayan Ovoo</w:t>
            </w:r>
          </w:p>
        </w:tc>
        <w:tc>
          <w:tcPr>
            <w:tcW w:w="805"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Satellite Urban Centre (80 km)</w:t>
            </w:r>
          </w:p>
        </w:tc>
        <w:tc>
          <w:tcPr>
            <w:tcW w:w="828"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1,600</w:t>
            </w:r>
          </w:p>
        </w:tc>
        <w:tc>
          <w:tcPr>
            <w:tcW w:w="833"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1,500</w:t>
            </w:r>
          </w:p>
        </w:tc>
        <w:tc>
          <w:tcPr>
            <w:tcW w:w="833"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1,800</w:t>
            </w:r>
          </w:p>
        </w:tc>
        <w:tc>
          <w:tcPr>
            <w:tcW w:w="834" w:type="pct"/>
            <w:shd w:val="clear" w:color="auto" w:fill="auto"/>
            <w:vAlign w:val="center"/>
          </w:tcPr>
          <w:p w:rsidR="00437676" w:rsidRPr="00437676" w:rsidRDefault="00437676" w:rsidP="00437676">
            <w:pPr>
              <w:pStyle w:val="ASIBulletPoint"/>
              <w:numPr>
                <w:ilvl w:val="0"/>
                <w:numId w:val="0"/>
              </w:numPr>
              <w:jc w:val="center"/>
              <w:rPr>
                <w:lang w:val="en-NZ"/>
              </w:rPr>
            </w:pPr>
            <w:r w:rsidRPr="00437676">
              <w:rPr>
                <w:lang w:val="en-NZ"/>
              </w:rPr>
              <w:t>2,200</w:t>
            </w:r>
          </w:p>
        </w:tc>
      </w:tr>
      <w:tr w:rsidR="00437676" w:rsidRPr="00437676" w:rsidTr="00437676">
        <w:trPr>
          <w:trHeight w:val="187"/>
        </w:trPr>
        <w:tc>
          <w:tcPr>
            <w:tcW w:w="1671" w:type="pct"/>
            <w:gridSpan w:val="2"/>
            <w:shd w:val="clear" w:color="auto" w:fill="D3BF96" w:themeFill="accent3"/>
            <w:vAlign w:val="center"/>
          </w:tcPr>
          <w:p w:rsidR="00437676" w:rsidRPr="001309DB" w:rsidRDefault="00437676" w:rsidP="00437676">
            <w:pPr>
              <w:pStyle w:val="ASIBulletPoint"/>
              <w:numPr>
                <w:ilvl w:val="0"/>
                <w:numId w:val="0"/>
              </w:numPr>
              <w:jc w:val="center"/>
              <w:rPr>
                <w:color w:val="auto"/>
                <w:lang w:val="en-NZ"/>
              </w:rPr>
            </w:pPr>
            <w:r w:rsidRPr="001309DB">
              <w:rPr>
                <w:b/>
                <w:bCs/>
                <w:color w:val="auto"/>
                <w:lang w:val="en-NZ"/>
              </w:rPr>
              <w:t>TOTALS</w:t>
            </w:r>
          </w:p>
        </w:tc>
        <w:tc>
          <w:tcPr>
            <w:tcW w:w="828" w:type="pct"/>
            <w:shd w:val="clear" w:color="auto" w:fill="D3BF96" w:themeFill="accent3"/>
            <w:vAlign w:val="center"/>
          </w:tcPr>
          <w:p w:rsidR="00437676" w:rsidRPr="001309DB" w:rsidRDefault="00437676" w:rsidP="00437676">
            <w:pPr>
              <w:pStyle w:val="ASIBulletPoint"/>
              <w:numPr>
                <w:ilvl w:val="0"/>
                <w:numId w:val="0"/>
              </w:numPr>
              <w:jc w:val="center"/>
              <w:rPr>
                <w:b/>
                <w:color w:val="auto"/>
                <w:lang w:val="en-NZ"/>
              </w:rPr>
            </w:pPr>
            <w:r w:rsidRPr="001309DB">
              <w:rPr>
                <w:b/>
                <w:color w:val="auto"/>
                <w:lang w:val="en-NZ"/>
              </w:rPr>
              <w:t>26,309</w:t>
            </w:r>
          </w:p>
        </w:tc>
        <w:tc>
          <w:tcPr>
            <w:tcW w:w="833" w:type="pct"/>
            <w:shd w:val="clear" w:color="auto" w:fill="D3BF96" w:themeFill="accent3"/>
            <w:vAlign w:val="center"/>
          </w:tcPr>
          <w:p w:rsidR="00437676" w:rsidRPr="001309DB" w:rsidRDefault="00437676" w:rsidP="00437676">
            <w:pPr>
              <w:pStyle w:val="ASIBulletPoint"/>
              <w:numPr>
                <w:ilvl w:val="0"/>
                <w:numId w:val="0"/>
              </w:numPr>
              <w:jc w:val="center"/>
              <w:rPr>
                <w:b/>
                <w:color w:val="auto"/>
                <w:lang w:val="en-NZ"/>
              </w:rPr>
            </w:pPr>
            <w:r w:rsidRPr="001309DB">
              <w:rPr>
                <w:b/>
                <w:color w:val="auto"/>
                <w:lang w:val="en-NZ"/>
              </w:rPr>
              <w:t>24,000</w:t>
            </w:r>
          </w:p>
        </w:tc>
        <w:tc>
          <w:tcPr>
            <w:tcW w:w="833" w:type="pct"/>
            <w:shd w:val="clear" w:color="auto" w:fill="D3BF96" w:themeFill="accent3"/>
            <w:vAlign w:val="center"/>
          </w:tcPr>
          <w:p w:rsidR="00437676" w:rsidRPr="001309DB" w:rsidRDefault="00437676" w:rsidP="00437676">
            <w:pPr>
              <w:pStyle w:val="ASIBulletPoint"/>
              <w:numPr>
                <w:ilvl w:val="0"/>
                <w:numId w:val="0"/>
              </w:numPr>
              <w:jc w:val="center"/>
              <w:rPr>
                <w:b/>
                <w:color w:val="auto"/>
                <w:lang w:val="en-NZ"/>
              </w:rPr>
            </w:pPr>
            <w:r w:rsidRPr="001309DB">
              <w:rPr>
                <w:b/>
                <w:color w:val="auto"/>
                <w:lang w:val="en-NZ"/>
              </w:rPr>
              <w:t>40,800</w:t>
            </w:r>
          </w:p>
        </w:tc>
        <w:tc>
          <w:tcPr>
            <w:tcW w:w="834" w:type="pct"/>
            <w:shd w:val="clear" w:color="auto" w:fill="D3BF96" w:themeFill="accent3"/>
            <w:vAlign w:val="center"/>
          </w:tcPr>
          <w:p w:rsidR="00437676" w:rsidRPr="001309DB" w:rsidRDefault="00437676" w:rsidP="00437676">
            <w:pPr>
              <w:pStyle w:val="ASIBulletPoint"/>
              <w:numPr>
                <w:ilvl w:val="0"/>
                <w:numId w:val="0"/>
              </w:numPr>
              <w:jc w:val="center"/>
              <w:rPr>
                <w:b/>
                <w:color w:val="auto"/>
                <w:lang w:val="en-NZ"/>
              </w:rPr>
            </w:pPr>
            <w:r w:rsidRPr="001309DB">
              <w:rPr>
                <w:b/>
                <w:color w:val="auto"/>
                <w:lang w:val="en-NZ"/>
              </w:rPr>
              <w:t>55,200</w:t>
            </w:r>
          </w:p>
        </w:tc>
      </w:tr>
    </w:tbl>
    <w:p w:rsidR="00437676" w:rsidRPr="00437676" w:rsidRDefault="00437676" w:rsidP="00437676">
      <w:pPr>
        <w:pStyle w:val="ASIBulletPoint"/>
        <w:numPr>
          <w:ilvl w:val="0"/>
          <w:numId w:val="0"/>
        </w:numPr>
        <w:jc w:val="both"/>
        <w:rPr>
          <w:lang w:val="en-AU"/>
        </w:rPr>
      </w:pPr>
      <w:r w:rsidRPr="00437676">
        <w:rPr>
          <w:lang w:val="en-AU"/>
        </w:rPr>
        <w:t xml:space="preserve">Note that this data does not include Tsogttsetsii </w:t>
      </w:r>
      <w:r w:rsidRPr="00437676">
        <w:rPr>
          <w:i/>
          <w:lang w:val="en-AU"/>
        </w:rPr>
        <w:t>soum</w:t>
      </w:r>
      <w:r w:rsidRPr="00437676">
        <w:rPr>
          <w:lang w:val="en-AU"/>
        </w:rPr>
        <w:t>, as they are taken from an Oyu Tolgoi document. As Tsogttsetsii started at a similar size to Khanbogd, and may be roughly assumed to expect a similar size of influx (if not greater, as it is home to several mines), it would be reasonable to assume that there may be an additional 20,000 people in Tsogttsetsii district by 2020, taking the projected population</w:t>
      </w:r>
      <w:r w:rsidR="00BD1241">
        <w:rPr>
          <w:lang w:val="en-AU"/>
        </w:rPr>
        <w:t>,</w:t>
      </w:r>
      <w:r w:rsidRPr="00437676">
        <w:rPr>
          <w:lang w:val="en-AU"/>
        </w:rPr>
        <w:t xml:space="preserve"> in the five mining impacted districts</w:t>
      </w:r>
      <w:r w:rsidR="00BD1241">
        <w:rPr>
          <w:lang w:val="en-AU"/>
        </w:rPr>
        <w:t>,</w:t>
      </w:r>
      <w:r w:rsidRPr="00437676">
        <w:rPr>
          <w:lang w:val="en-AU"/>
        </w:rPr>
        <w:t xml:space="preserve"> to over 75,000 people.  This substantial and rapid rate of population growth can be expected to place the administrations and populace of the South Gobi mining districts under great social and environmental pressure, resulting in a diminished standard of living.</w:t>
      </w:r>
    </w:p>
    <w:p w:rsidR="00437676" w:rsidRPr="00437676" w:rsidRDefault="00437676" w:rsidP="00437676">
      <w:pPr>
        <w:pStyle w:val="ASIBulletPoint"/>
        <w:numPr>
          <w:ilvl w:val="0"/>
          <w:numId w:val="0"/>
        </w:numPr>
        <w:jc w:val="both"/>
        <w:rPr>
          <w:lang w:val="en-AU"/>
        </w:rPr>
      </w:pPr>
      <w:r w:rsidRPr="00437676">
        <w:rPr>
          <w:lang w:val="en-AU"/>
        </w:rPr>
        <w:t xml:space="preserve">One aspect of influx is increased job seekers, who come looking for mining work and, if they don’t find it, can become an additional burden on community resources.  Both major mining provinces in Mongolia, </w:t>
      </w:r>
      <w:proofErr w:type="spellStart"/>
      <w:r w:rsidRPr="00437676">
        <w:rPr>
          <w:lang w:val="en-AU"/>
        </w:rPr>
        <w:t>Orkhon</w:t>
      </w:r>
      <w:proofErr w:type="spellEnd"/>
      <w:r w:rsidRPr="00437676">
        <w:rPr>
          <w:lang w:val="en-AU"/>
        </w:rPr>
        <w:t xml:space="preserve"> and South Gobi, demonstrate the presence of many unsuccessful job seekers in their unemployment rates, which are considerably higher than the regional and national rates.  In South Gobi, for the years 2008, 2009 and 2010 respectively, the unemployment rates were 12.8%, 15.0 % and 15.4%, while the comparable national figures were 9.2%, 11.6% and 9.9%.</w:t>
      </w:r>
      <w:r w:rsidRPr="00437676">
        <w:rPr>
          <w:vertAlign w:val="superscript"/>
          <w:lang w:val="en-AU"/>
        </w:rPr>
        <w:footnoteReference w:id="12"/>
      </w:r>
      <w:r w:rsidRPr="00437676">
        <w:rPr>
          <w:lang w:val="en-AU"/>
        </w:rPr>
        <w:t xml:space="preserve"> The large number of unemployed people drawn to mining areas justifies an employability intervention in areas affected by Australian-owned industrial mining projects, such as Oyu Tolgoi.</w:t>
      </w:r>
    </w:p>
    <w:p w:rsidR="00437676" w:rsidRDefault="00437676" w:rsidP="00437676">
      <w:pPr>
        <w:pStyle w:val="ASIBulletPoint"/>
        <w:numPr>
          <w:ilvl w:val="0"/>
          <w:numId w:val="0"/>
        </w:numPr>
        <w:jc w:val="both"/>
        <w:rPr>
          <w:lang w:val="en-AU"/>
        </w:rPr>
      </w:pPr>
      <w:r w:rsidRPr="00437676">
        <w:rPr>
          <w:lang w:val="en-AU"/>
        </w:rPr>
        <w:t>Of particular concern for the NCGE and the donor community is the impact of the population influx on vulnerable groups (single headed households, expropriated herders, disabled peoples, older women and those vulnerable to teenage pregnancy, sex trafficking and sex work). The South Gobi desert consists of particular demographic features that can potentially exacerbate gender inequalities and entrench vulnerabilities if not taken into consideration by policy makers. For example, researchers have pointed out;</w:t>
      </w:r>
    </w:p>
    <w:p w:rsidR="00437676" w:rsidRPr="00437676" w:rsidRDefault="00437676" w:rsidP="00437676">
      <w:pPr>
        <w:pStyle w:val="ASIBulletPoint"/>
        <w:numPr>
          <w:ilvl w:val="0"/>
          <w:numId w:val="0"/>
        </w:numPr>
        <w:ind w:left="720"/>
        <w:jc w:val="both"/>
        <w:rPr>
          <w:i/>
          <w:lang w:val="en-AU"/>
        </w:rPr>
      </w:pPr>
      <w:r w:rsidRPr="00437676">
        <w:rPr>
          <w:i/>
          <w:lang w:val="en-AU"/>
        </w:rPr>
        <w:t xml:space="preserve">An important demographic feature of Tsogttsetsii and Khanbogd soum is the above average level of female headed households that stands at 18% of the population compared to the national average of 11.2%. That is, nearly one fifth of the population of the community is made up of single female </w:t>
      </w:r>
      <w:proofErr w:type="gramStart"/>
      <w:r w:rsidRPr="00437676">
        <w:rPr>
          <w:i/>
          <w:lang w:val="en-AU"/>
        </w:rPr>
        <w:t>households,</w:t>
      </w:r>
      <w:proofErr w:type="gramEnd"/>
      <w:r w:rsidRPr="00437676">
        <w:rPr>
          <w:i/>
          <w:lang w:val="en-AU"/>
        </w:rPr>
        <w:t xml:space="preserve"> this social characteristic is not attributed to mining but is traditionally considered a social feature of the Gobi areas (Cane, 2014:91</w:t>
      </w:r>
      <w:r w:rsidR="00C3338A">
        <w:rPr>
          <w:i/>
          <w:lang w:val="en-AU"/>
        </w:rPr>
        <w:t>)</w:t>
      </w:r>
      <w:r w:rsidRPr="00437676">
        <w:rPr>
          <w:lang w:val="en-AU"/>
        </w:rPr>
        <w:t xml:space="preserve">. </w:t>
      </w:r>
    </w:p>
    <w:p w:rsidR="00C3338A" w:rsidRPr="00C3338A" w:rsidRDefault="00C3338A" w:rsidP="00C3338A">
      <w:pPr>
        <w:pStyle w:val="ASIBulletPoint"/>
        <w:numPr>
          <w:ilvl w:val="0"/>
          <w:numId w:val="0"/>
        </w:numPr>
        <w:jc w:val="both"/>
        <w:rPr>
          <w:lang w:val="en-AU"/>
        </w:rPr>
      </w:pPr>
      <w:r w:rsidRPr="00C3338A">
        <w:rPr>
          <w:lang w:val="en-AU"/>
        </w:rPr>
        <w:t>It is understood, on the one hand that the presences of mining in the South Gobi have the potential to alleviate poverty and improve economic opportunities for these groups. However, if mining and associated infrastructure development is not conducted with necessary understanding of the gender dynamics and awareness of other vulnerable groups in the area, many of these groups could become further marginalised.</w:t>
      </w:r>
    </w:p>
    <w:p w:rsidR="00437676" w:rsidRDefault="00C3338A" w:rsidP="00C3338A">
      <w:pPr>
        <w:pStyle w:val="Heading3"/>
        <w:rPr>
          <w:lang w:val="en-AU"/>
        </w:rPr>
      </w:pPr>
      <w:bookmarkStart w:id="28" w:name="_Toc416161479"/>
      <w:r>
        <w:rPr>
          <w:lang w:val="en-AU"/>
        </w:rPr>
        <w:lastRenderedPageBreak/>
        <w:t>Gender Based Violence (GBV) and Mining</w:t>
      </w:r>
      <w:bookmarkEnd w:id="28"/>
    </w:p>
    <w:p w:rsidR="00C3338A" w:rsidRPr="00437676" w:rsidRDefault="00CD502A" w:rsidP="00437676">
      <w:pPr>
        <w:pStyle w:val="ASIBulletPoint"/>
        <w:numPr>
          <w:ilvl w:val="0"/>
          <w:numId w:val="0"/>
        </w:numPr>
        <w:jc w:val="both"/>
        <w:rPr>
          <w:lang w:val="en-AU"/>
        </w:rPr>
      </w:pPr>
      <w:r>
        <w:rPr>
          <w:lang w:val="en-AU"/>
        </w:rPr>
        <w:t>Since</w:t>
      </w:r>
      <w:r w:rsidRPr="00C3338A">
        <w:rPr>
          <w:lang w:val="en-AU"/>
        </w:rPr>
        <w:t xml:space="preserve"> </w:t>
      </w:r>
      <w:r w:rsidR="00C3338A" w:rsidRPr="00C3338A">
        <w:rPr>
          <w:lang w:val="en-AU"/>
        </w:rPr>
        <w:t>the transition to democracy, social changes caused by widespread under</w:t>
      </w:r>
      <w:r w:rsidR="00C3338A" w:rsidRPr="00C3338A">
        <w:rPr>
          <w:rFonts w:ascii="Cambria Math" w:hAnsi="Cambria Math" w:cs="Cambria Math"/>
          <w:lang w:val="en-AU"/>
        </w:rPr>
        <w:t>‐</w:t>
      </w:r>
      <w:r w:rsidR="00C3338A" w:rsidRPr="00C3338A">
        <w:rPr>
          <w:lang w:val="en-AU"/>
        </w:rPr>
        <w:t>employment and an associated rise in alcoholism contributed to higher levels of violence against women in Mongolian communities (Oke 2008). GBV is usually perpetrated by men against women and girls and includes the following actions: domestic violence, sexual assault and harassment, sexual abuse, forced sex</w:t>
      </w:r>
      <w:r w:rsidR="00C3338A" w:rsidRPr="00C3338A">
        <w:rPr>
          <w:rFonts w:ascii="Cambria Math" w:hAnsi="Cambria Math" w:cs="Cambria Math"/>
          <w:lang w:val="en-AU"/>
        </w:rPr>
        <w:t>‐</w:t>
      </w:r>
      <w:r w:rsidR="00C3338A" w:rsidRPr="00C3338A">
        <w:rPr>
          <w:lang w:val="en-AU"/>
        </w:rPr>
        <w:t>work and sex trafficking (</w:t>
      </w:r>
      <w:proofErr w:type="spellStart"/>
      <w:r w:rsidR="00C3338A" w:rsidRPr="00C3338A">
        <w:rPr>
          <w:lang w:val="en-AU"/>
        </w:rPr>
        <w:t>Fulu</w:t>
      </w:r>
      <w:proofErr w:type="spellEnd"/>
      <w:r w:rsidR="00C3338A" w:rsidRPr="00C3338A">
        <w:rPr>
          <w:lang w:val="en-AU"/>
        </w:rPr>
        <w:t>, Warner et al. 2013). Violence against women continues to affect the lifestyles of over 35% of women, children and men in Mongolia and causes considerable economic, health and social cost to the broader community (</w:t>
      </w:r>
      <w:proofErr w:type="spellStart"/>
      <w:r w:rsidR="00C3338A" w:rsidRPr="00C3338A">
        <w:rPr>
          <w:lang w:val="en-AU"/>
        </w:rPr>
        <w:t>Oyunbileg</w:t>
      </w:r>
      <w:proofErr w:type="spellEnd"/>
      <w:r w:rsidR="00C3338A" w:rsidRPr="00C3338A">
        <w:rPr>
          <w:lang w:val="en-AU"/>
        </w:rPr>
        <w:t xml:space="preserve">, </w:t>
      </w:r>
      <w:proofErr w:type="spellStart"/>
      <w:r w:rsidR="00C3338A" w:rsidRPr="00C3338A">
        <w:rPr>
          <w:lang w:val="en-AU"/>
        </w:rPr>
        <w:t>Sumberzul</w:t>
      </w:r>
      <w:proofErr w:type="spellEnd"/>
      <w:r w:rsidR="00C3338A" w:rsidRPr="00C3338A">
        <w:rPr>
          <w:lang w:val="en-AU"/>
        </w:rPr>
        <w:t xml:space="preserve"> et al. 2009). Although the Mongolian government continues to implement policies to protect women, recently becoming the 64th nation to join the UN Women’s ‘Commit initiative’ to end violence against women globally, GBV is still a substantial problem in Mongolia and evidence suggest is exacerbated in mining affected communities.</w:t>
      </w:r>
    </w:p>
    <w:p w:rsidR="00C3338A" w:rsidRPr="00C3338A" w:rsidRDefault="00C3338A" w:rsidP="00C3338A">
      <w:pPr>
        <w:pStyle w:val="ASIBulletPoint"/>
        <w:numPr>
          <w:ilvl w:val="0"/>
          <w:numId w:val="0"/>
        </w:numPr>
        <w:rPr>
          <w:lang w:val="en-AU"/>
        </w:rPr>
      </w:pPr>
      <w:r w:rsidRPr="00C3338A">
        <w:rPr>
          <w:lang w:val="en-AU"/>
        </w:rPr>
        <w:t>Reports suggest the rate of GBV has increased since the onset of mining in the South Gobi communities.</w:t>
      </w:r>
    </w:p>
    <w:p w:rsidR="00C3338A" w:rsidRPr="00C3338A" w:rsidRDefault="00C3338A" w:rsidP="00C3338A">
      <w:pPr>
        <w:pStyle w:val="ASIBulletPoint"/>
        <w:numPr>
          <w:ilvl w:val="0"/>
          <w:numId w:val="0"/>
        </w:numPr>
        <w:ind w:left="720"/>
        <w:jc w:val="both"/>
        <w:rPr>
          <w:i/>
          <w:lang w:val="en-AU"/>
        </w:rPr>
      </w:pPr>
      <w:r w:rsidRPr="00C3338A">
        <w:rPr>
          <w:i/>
          <w:lang w:val="en-AU"/>
        </w:rPr>
        <w:t>Key findings suggest that mining is associated with an increased incidence of GBV, which in turn is linked to transient population migration, employment conditions, infrastructure development, and underpinning economic and cultural changes.(Cane, 2014b:18)</w:t>
      </w:r>
    </w:p>
    <w:p w:rsidR="00C3338A" w:rsidRPr="00C3338A" w:rsidRDefault="00C3338A" w:rsidP="00C3338A">
      <w:pPr>
        <w:pStyle w:val="ASIBulletPoint"/>
        <w:numPr>
          <w:ilvl w:val="0"/>
          <w:numId w:val="0"/>
        </w:numPr>
        <w:jc w:val="both"/>
        <w:rPr>
          <w:lang w:val="en-AU"/>
        </w:rPr>
      </w:pPr>
      <w:r w:rsidRPr="00C3338A">
        <w:rPr>
          <w:lang w:val="en-AU"/>
        </w:rPr>
        <w:t>Evidence from the South Gobi suggests that there has been an increase in violence since the commencement of mining. Victims reported that since mining began, domestic violence, sex work and alcohol</w:t>
      </w:r>
      <w:r w:rsidRPr="00C3338A">
        <w:rPr>
          <w:rFonts w:ascii="Cambria Math" w:hAnsi="Cambria Math" w:cs="Cambria Math"/>
          <w:lang w:val="en-AU"/>
        </w:rPr>
        <w:t>‐</w:t>
      </w:r>
      <w:r w:rsidRPr="00C3338A">
        <w:rPr>
          <w:lang w:val="en-AU"/>
        </w:rPr>
        <w:t>fuelled violence have increased and caused personal trauma, family break</w:t>
      </w:r>
      <w:r w:rsidRPr="00C3338A">
        <w:rPr>
          <w:rFonts w:ascii="Cambria Math" w:hAnsi="Cambria Math" w:cs="Cambria Math"/>
          <w:lang w:val="en-AU"/>
        </w:rPr>
        <w:t>‐</w:t>
      </w:r>
      <w:r w:rsidRPr="00C3338A">
        <w:rPr>
          <w:lang w:val="en-AU"/>
        </w:rPr>
        <w:t>ups, health related issues (HIV/STDs, teenage pregnancy and physical trauma) and broad community insecurity (Cane 2014b). The following quote describes the rapid increases of ‘offences against the individual’</w:t>
      </w:r>
      <w:r w:rsidR="0037321F" w:rsidRPr="00184249">
        <w:footnoteReference w:id="13"/>
      </w:r>
      <w:r w:rsidRPr="00184249">
        <w:rPr>
          <w:vertAlign w:val="superscript"/>
          <w:lang w:val="en-AU"/>
        </w:rPr>
        <w:t xml:space="preserve"> </w:t>
      </w:r>
      <w:r w:rsidRPr="00C3338A">
        <w:rPr>
          <w:lang w:val="en-AU"/>
        </w:rPr>
        <w:t>that coincide with the construction of the two major mines in the vicinity.</w:t>
      </w:r>
    </w:p>
    <w:p w:rsidR="00C3338A" w:rsidRPr="00C3338A" w:rsidRDefault="00C3338A" w:rsidP="00C3338A">
      <w:pPr>
        <w:pStyle w:val="ASIBulletPoint"/>
        <w:numPr>
          <w:ilvl w:val="0"/>
          <w:numId w:val="0"/>
        </w:numPr>
        <w:ind w:left="720"/>
        <w:jc w:val="both"/>
        <w:rPr>
          <w:i/>
          <w:lang w:val="en-AU"/>
        </w:rPr>
      </w:pPr>
      <w:r w:rsidRPr="00C3338A">
        <w:rPr>
          <w:i/>
          <w:lang w:val="en-AU"/>
        </w:rPr>
        <w:t>Between 2008 and 2012, the population of Khanbogd grew 42.3% and ‘offences against the health of individuals’ increased 1300% (from 2 to 28 reported cases). Likewise, in Tsogttsetsii, in the same period, the population grew by 131% and ‘offences against the health of the individual’ by 517% (from 3 to 18.5). These figures clearly illustrate how in both case areas, ‘offences against the health of individuals’ have risen more rapidly than residential population growth. (Cane, 2015)</w:t>
      </w:r>
    </w:p>
    <w:p w:rsidR="00C3338A" w:rsidRPr="00C3338A" w:rsidRDefault="00C3338A" w:rsidP="00C3338A">
      <w:pPr>
        <w:pStyle w:val="ASIBulletPoint"/>
        <w:numPr>
          <w:ilvl w:val="0"/>
          <w:numId w:val="0"/>
        </w:numPr>
        <w:jc w:val="both"/>
        <w:rPr>
          <w:lang w:val="en-AU"/>
        </w:rPr>
      </w:pPr>
      <w:r w:rsidRPr="00C3338A">
        <w:rPr>
          <w:lang w:val="en-AU"/>
        </w:rPr>
        <w:t>Mongolian NGOs and CSOs and mining companies in one area of the South Gobi, are cooperating to prevent further GBV in communities. For example, the NCGE and the Erdenes mining company operating in Tsogttsetsii signed a Memorandum of Understanding (</w:t>
      </w:r>
      <w:proofErr w:type="spellStart"/>
      <w:r w:rsidRPr="00C3338A">
        <w:rPr>
          <w:lang w:val="en-AU"/>
        </w:rPr>
        <w:t>MoU</w:t>
      </w:r>
      <w:proofErr w:type="spellEnd"/>
      <w:r w:rsidRPr="00C3338A">
        <w:rPr>
          <w:lang w:val="en-AU"/>
        </w:rPr>
        <w:t xml:space="preserve">) to address issues related to GBV for women, men and children of the community of Tsogttsetsii. To date, this is the only mining company in Mongolia outwardly working to prevent GBV. </w:t>
      </w:r>
    </w:p>
    <w:p w:rsidR="00A87679" w:rsidRDefault="00A87679" w:rsidP="00A87679">
      <w:pPr>
        <w:pStyle w:val="Heading3"/>
        <w:rPr>
          <w:lang w:val="en-AU"/>
        </w:rPr>
      </w:pPr>
      <w:bookmarkStart w:id="29" w:name="_Toc416161480"/>
      <w:r>
        <w:rPr>
          <w:lang w:val="en-AU"/>
        </w:rPr>
        <w:t>HIV/STDs</w:t>
      </w:r>
      <w:bookmarkEnd w:id="29"/>
    </w:p>
    <w:p w:rsidR="00A87679" w:rsidRDefault="00A87679" w:rsidP="00A87679">
      <w:pPr>
        <w:pStyle w:val="ASIBulletPoint"/>
        <w:numPr>
          <w:ilvl w:val="0"/>
          <w:numId w:val="0"/>
        </w:numPr>
        <w:jc w:val="both"/>
        <w:rPr>
          <w:lang w:val="en-AU"/>
        </w:rPr>
      </w:pPr>
      <w:r>
        <w:rPr>
          <w:lang w:val="en-AU"/>
        </w:rPr>
        <w:t>Mongolia has a relatively low but growing HIV/AIDS rate. As of 2012 there were 674 reported cases of HIV/AIDS and 127 confirmed cases (ADB, 2013). Two thirds of cases are associated with men having sex with men, which have led the World Health Organisation (WHO) to classify Mongolia as having a ‘concentrated epidemic’ of HIV/AIDS. One in ten HIV/AIDS carriers are said to be sex workers. Although Mongolia has a lower rate of HIV/AIDS it has a high rate of STDs associated with low condom use and multiple sexual partners. In 2012, 14,490 new STD cases were reported (ADB, 2013). Due to the high-levels of STDs and associated sexual behavioural patterns, HIV/AIDS are a priority concern for donor organisations.</w:t>
      </w:r>
      <w:r w:rsidRPr="00C94CD3">
        <w:rPr>
          <w:lang w:val="en-AU"/>
        </w:rPr>
        <w:t xml:space="preserve"> </w:t>
      </w:r>
      <w:r>
        <w:rPr>
          <w:lang w:val="en-AU"/>
        </w:rPr>
        <w:t xml:space="preserve">The </w:t>
      </w:r>
      <w:proofErr w:type="gramStart"/>
      <w:r>
        <w:rPr>
          <w:lang w:val="en-AU"/>
        </w:rPr>
        <w:t>ADB,</w:t>
      </w:r>
      <w:proofErr w:type="gramEnd"/>
      <w:r>
        <w:rPr>
          <w:lang w:val="en-AU"/>
        </w:rPr>
        <w:t xml:space="preserve"> UNAIDS, UNFPA, UNICEF World Vision, and the World Bank have conducted awareness raising programs, and implementation of services regarding HIV/AIDS in Mongolia across different stakeholder groups – the WHO chairs the thematic HIV/AIDS group between donors.</w:t>
      </w:r>
    </w:p>
    <w:p w:rsidR="00A87679" w:rsidRPr="00A87679" w:rsidRDefault="00A87679" w:rsidP="00184249">
      <w:pPr>
        <w:pStyle w:val="ASIBulletPoint"/>
        <w:numPr>
          <w:ilvl w:val="0"/>
          <w:numId w:val="0"/>
        </w:numPr>
        <w:jc w:val="both"/>
        <w:rPr>
          <w:lang w:val="en-AU"/>
        </w:rPr>
      </w:pPr>
      <w:r w:rsidRPr="007419E6">
        <w:rPr>
          <w:lang w:val="en-AU"/>
        </w:rPr>
        <w:t>Higher rates of HIV</w:t>
      </w:r>
      <w:r>
        <w:rPr>
          <w:lang w:val="en-AU"/>
        </w:rPr>
        <w:t>/AIDS and STDs</w:t>
      </w:r>
      <w:r w:rsidRPr="007419E6">
        <w:rPr>
          <w:lang w:val="en-AU"/>
        </w:rPr>
        <w:t xml:space="preserve"> have</w:t>
      </w:r>
      <w:r>
        <w:rPr>
          <w:lang w:val="en-AU"/>
        </w:rPr>
        <w:t xml:space="preserve"> often</w:t>
      </w:r>
      <w:r w:rsidRPr="007419E6">
        <w:rPr>
          <w:lang w:val="en-AU"/>
        </w:rPr>
        <w:t xml:space="preserve"> been associated with the mining industry globally</w:t>
      </w:r>
      <w:r>
        <w:rPr>
          <w:lang w:val="en-AU"/>
        </w:rPr>
        <w:t xml:space="preserve">. </w:t>
      </w:r>
      <w:r w:rsidRPr="00A177E4">
        <w:rPr>
          <w:lang w:val="en-AU"/>
        </w:rPr>
        <w:t xml:space="preserve">Increased new sexual partnerships, alcohol misuse and low condom use is also common among </w:t>
      </w:r>
      <w:r>
        <w:rPr>
          <w:lang w:val="en-AU"/>
        </w:rPr>
        <w:t>mobile men with money, transient construction workforces and/or mobile populations (</w:t>
      </w:r>
      <w:hyperlink w:anchor="_ENREF_23" w:tooltip="Goldenberg, 2008 #79" w:history="1">
        <w:hyperlink w:anchor="_ENREF_23" w:tooltip="Goldenberg, 2008 #79" w:history="1">
          <w:r w:rsidRPr="00184249">
            <w:rPr>
              <w:rStyle w:val="ASIBodyCopyChar"/>
            </w:rPr>
            <w:t>Goldenberg, Shoveller, Koehoorn, &amp; Ostry, 2008</w:t>
          </w:r>
        </w:hyperlink>
      </w:hyperlink>
      <w:r w:rsidRPr="00184249">
        <w:rPr>
          <w:rStyle w:val="ASIBodyCopyChar"/>
        </w:rPr>
        <w:t>).</w:t>
      </w:r>
      <w:r w:rsidRPr="00A177E4">
        <w:rPr>
          <w:lang w:val="en-AU"/>
        </w:rPr>
        <w:t xml:space="preserve"> This form of sexual risk behaviour is observed in miners</w:t>
      </w:r>
      <w:r>
        <w:rPr>
          <w:lang w:val="en-AU"/>
        </w:rPr>
        <w:t>, long distance truck drivers and mobile populations in Mongolia (ADB, 2013). Research conducted in 2013 indicates that increased sex work, and transactional relationships (relationships based on sexual and intimate exchanges for access to services, opportunities or gifts) have increased throughout the South Gobi area. Health providers and government agencies in the area have cited high rates of STDs presenting in medical centres (Cane, 2013b). The Asian Development Bank have recommended that more attention and surveillance be conducted along the transport corridor</w:t>
      </w:r>
      <w:r w:rsidRPr="00C94CD3">
        <w:rPr>
          <w:lang w:val="en-AU"/>
        </w:rPr>
        <w:t xml:space="preserve"> </w:t>
      </w:r>
      <w:r>
        <w:rPr>
          <w:lang w:val="en-AU"/>
        </w:rPr>
        <w:t xml:space="preserve">in the South Gobi particularly along the ‘Coal Road’, connecting the coal mine Tawan Tolgoi to the </w:t>
      </w:r>
      <w:r>
        <w:rPr>
          <w:lang w:val="en-AU"/>
        </w:rPr>
        <w:lastRenderedPageBreak/>
        <w:t xml:space="preserve">Chinese boarder. Although it is important to raise awareness with male transient workers, programs also need to be directed at sex workers and community women in transactional relationships. There is an opportunity for the Australian Aid program to work in mine affected communities to build understanding of STDs HIV/AIDs. Furthermore, mining companies have done excellent work in preventing and providing services for workers in relation to HIV/AIDS throughout Africa, potential partnerships with the company could target both the community and the organisation.  </w:t>
      </w:r>
    </w:p>
    <w:p w:rsidR="002D3280" w:rsidRDefault="00C3338A" w:rsidP="00C3338A">
      <w:pPr>
        <w:pStyle w:val="Heading2"/>
        <w:rPr>
          <w:lang w:val="en-AU"/>
        </w:rPr>
      </w:pPr>
      <w:bookmarkStart w:id="30" w:name="_Toc416161481"/>
      <w:r>
        <w:rPr>
          <w:lang w:val="en-AU"/>
        </w:rPr>
        <w:t>Concluding Remarks</w:t>
      </w:r>
      <w:bookmarkEnd w:id="30"/>
    </w:p>
    <w:p w:rsidR="00C3338A" w:rsidRPr="00C3338A" w:rsidRDefault="00C3338A" w:rsidP="00C3338A">
      <w:pPr>
        <w:pStyle w:val="ASIBulletPoint"/>
        <w:numPr>
          <w:ilvl w:val="0"/>
          <w:numId w:val="0"/>
        </w:numPr>
        <w:jc w:val="both"/>
        <w:rPr>
          <w:lang w:val="en-NZ"/>
        </w:rPr>
      </w:pPr>
      <w:r w:rsidRPr="00C3338A">
        <w:rPr>
          <w:lang w:val="en-NZ"/>
        </w:rPr>
        <w:t>The status of women in Mongolia is relatively equal compared to neighbouring countries and indeed Australia. However, pervasive gender discrimination and harassment continue to create barriers to</w:t>
      </w:r>
      <w:r w:rsidR="0037321F">
        <w:t xml:space="preserve"> women’s </w:t>
      </w:r>
      <w:r w:rsidRPr="00C3338A">
        <w:rPr>
          <w:lang w:val="en-NZ"/>
        </w:rPr>
        <w:t>economic empowerment</w:t>
      </w:r>
      <w:r w:rsidR="00B35B5A">
        <w:rPr>
          <w:lang w:val="en-NZ"/>
        </w:rPr>
        <w:t xml:space="preserve"> </w:t>
      </w:r>
      <w:r w:rsidR="0037321F">
        <w:t xml:space="preserve">more </w:t>
      </w:r>
      <w:r w:rsidR="00B35B5A">
        <w:t>broadly</w:t>
      </w:r>
      <w:r w:rsidR="0037321F">
        <w:t xml:space="preserve"> and in particular to women’s leadership, women’s economic empowerment, elimination of violence against women, and poverty alleviation more generally.</w:t>
      </w:r>
      <w:r w:rsidRPr="00C3338A">
        <w:rPr>
          <w:lang w:val="en-NZ"/>
        </w:rPr>
        <w:t xml:space="preserve"> The rapid growth of mining in Mongolia has the potential to have a significant positive impact of the lives of women and other vulnerable groups. Indeed, evidence suggests that</w:t>
      </w:r>
      <w:r w:rsidR="008A0246">
        <w:rPr>
          <w:lang w:val="en-NZ"/>
        </w:rPr>
        <w:t xml:space="preserve"> some</w:t>
      </w:r>
      <w:r w:rsidRPr="00C3338A">
        <w:rPr>
          <w:lang w:val="en-NZ"/>
        </w:rPr>
        <w:t xml:space="preserve"> women have benefitted from increased employment and business opportunities associated with mining. </w:t>
      </w:r>
    </w:p>
    <w:p w:rsidR="00C3338A" w:rsidRPr="00C3338A" w:rsidRDefault="00C3338A" w:rsidP="00C3338A">
      <w:pPr>
        <w:pStyle w:val="ASIBulletPoint"/>
        <w:numPr>
          <w:ilvl w:val="0"/>
          <w:numId w:val="0"/>
        </w:numPr>
        <w:jc w:val="both"/>
        <w:rPr>
          <w:lang w:val="en-NZ"/>
        </w:rPr>
      </w:pPr>
      <w:r w:rsidRPr="00C3338A">
        <w:rPr>
          <w:lang w:val="en-NZ"/>
        </w:rPr>
        <w:t>Conversely, mining in the South Gobi has also had a negative impact on the lives of women and vulnerable groups. There is growing evidence that previous</w:t>
      </w:r>
      <w:r w:rsidR="00B35B5A">
        <w:rPr>
          <w:lang w:val="en-NZ"/>
        </w:rPr>
        <w:t>ly</w:t>
      </w:r>
      <w:r w:rsidRPr="00C3338A">
        <w:rPr>
          <w:lang w:val="en-NZ"/>
        </w:rPr>
        <w:t xml:space="preserve"> held gender inequalities are being exacerbated by the advent of mining and associated population influx. This is witnessed by accounts of increased sexual harassment, low-paid employment positions, stressed public services and GBV in mining communities.  </w:t>
      </w:r>
    </w:p>
    <w:p w:rsidR="00C3338A" w:rsidRDefault="00C3338A" w:rsidP="00C3338A">
      <w:pPr>
        <w:pStyle w:val="ASIBulletPoint"/>
        <w:numPr>
          <w:ilvl w:val="0"/>
          <w:numId w:val="0"/>
        </w:numPr>
        <w:jc w:val="both"/>
        <w:rPr>
          <w:lang w:val="en-AU" w:bidi="en-US"/>
        </w:rPr>
      </w:pPr>
      <w:bookmarkStart w:id="31" w:name="_Toc413669152"/>
      <w:bookmarkStart w:id="32" w:name="_Toc413669407"/>
      <w:r w:rsidRPr="00C3338A">
        <w:rPr>
          <w:lang w:val="en-AU" w:bidi="en-US"/>
        </w:rPr>
        <w:t>The Mongolian government and the donor community are focusing on the positive development of mining in communities to avoid further entrenching poverty in rural communities. The Australian Aid program through the AMEP are well positioned to leverage Australia’s expertise in mining, to mitigate the negative costs associated to the industry and maximise the benefits for women, girls, men and boys. Due to the masculine nature of the mining industry</w:t>
      </w:r>
      <w:r w:rsidR="00B35B5A">
        <w:rPr>
          <w:lang w:val="en-AU" w:bidi="en-US"/>
        </w:rPr>
        <w:t>,</w:t>
      </w:r>
      <w:r w:rsidRPr="00C3338A">
        <w:rPr>
          <w:lang w:val="en-AU" w:bidi="en-US"/>
        </w:rPr>
        <w:t xml:space="preserve"> a multi-stakeholder approach is advised to address some of the more pervasive impacts of mining on women. Engagement could involve supporting and building the capacity of local NGOs</w:t>
      </w:r>
      <w:r w:rsidR="00B35B5A">
        <w:rPr>
          <w:lang w:val="en-AU" w:bidi="en-US"/>
        </w:rPr>
        <w:t xml:space="preserve"> and</w:t>
      </w:r>
      <w:r w:rsidRPr="00C3338A">
        <w:rPr>
          <w:lang w:val="en-AU" w:bidi="en-US"/>
        </w:rPr>
        <w:t xml:space="preserve"> the government of Mongolia to develop understanding of the social and gendered issues of mining. Further, partnerships with the private sector will enable development programs to address issues both within the organisation and in the communities.</w:t>
      </w:r>
      <w:bookmarkEnd w:id="31"/>
      <w:bookmarkEnd w:id="32"/>
      <w:r w:rsidRPr="00C3338A">
        <w:rPr>
          <w:lang w:val="en-AU" w:bidi="en-US"/>
        </w:rPr>
        <w:t xml:space="preserve">  </w:t>
      </w:r>
    </w:p>
    <w:p w:rsidR="00C3338A" w:rsidRPr="00C3338A" w:rsidRDefault="00C3338A" w:rsidP="00C3338A">
      <w:pPr>
        <w:pStyle w:val="Heading2"/>
        <w:rPr>
          <w:szCs w:val="18"/>
          <w:lang w:val="en-AU"/>
        </w:rPr>
      </w:pPr>
      <w:bookmarkStart w:id="33" w:name="_Toc416161482"/>
      <w:r>
        <w:rPr>
          <w:lang w:val="en-AU" w:bidi="en-US"/>
        </w:rPr>
        <w:t>Recommendations</w:t>
      </w:r>
      <w:bookmarkEnd w:id="33"/>
    </w:p>
    <w:p w:rsidR="002D3280" w:rsidRPr="00C3338A" w:rsidRDefault="00C3338A" w:rsidP="008C4116">
      <w:pPr>
        <w:pStyle w:val="ASIBulletPoint"/>
        <w:numPr>
          <w:ilvl w:val="0"/>
          <w:numId w:val="0"/>
        </w:numPr>
        <w:ind w:left="210" w:hanging="210"/>
        <w:rPr>
          <w:b/>
          <w:lang w:val="en-AU"/>
        </w:rPr>
      </w:pPr>
      <w:r w:rsidRPr="00C3338A">
        <w:rPr>
          <w:b/>
          <w:lang w:val="en-AU"/>
        </w:rPr>
        <w:t xml:space="preserve">Women’s employment in mining </w:t>
      </w:r>
    </w:p>
    <w:p w:rsidR="00C3338A" w:rsidRPr="00797AD8" w:rsidRDefault="00C3338A" w:rsidP="00240553">
      <w:pPr>
        <w:pStyle w:val="ASIBulletPoint"/>
        <w:jc w:val="both"/>
      </w:pPr>
      <w:r>
        <w:t>Improve</w:t>
      </w:r>
      <w:r w:rsidRPr="00797AD8">
        <w:t xml:space="preserve"> women’s access to and participation in mining (either through direct or service-related employment, or through local economic development opportunities)</w:t>
      </w:r>
      <w:r>
        <w:t>.</w:t>
      </w:r>
      <w:r w:rsidRPr="00797AD8">
        <w:t xml:space="preserve"> Initial</w:t>
      </w:r>
      <w:r>
        <w:t xml:space="preserve"> support should</w:t>
      </w:r>
      <w:r w:rsidRPr="00797AD8">
        <w:t xml:space="preserve"> target women in mining communities, with the possibility of expanding to non-mining communities</w:t>
      </w:r>
      <w:r w:rsidR="00B35B5A">
        <w:t>.</w:t>
      </w:r>
    </w:p>
    <w:p w:rsidR="00C3338A" w:rsidRPr="00E9657C" w:rsidRDefault="00C3338A" w:rsidP="00240553">
      <w:pPr>
        <w:pStyle w:val="ASIBulletPoint"/>
        <w:jc w:val="both"/>
      </w:pPr>
      <w:r>
        <w:t xml:space="preserve">Support and encourage </w:t>
      </w:r>
      <w:r w:rsidRPr="00797AD8">
        <w:t xml:space="preserve">female students </w:t>
      </w:r>
      <w:r>
        <w:t xml:space="preserve">to study </w:t>
      </w:r>
      <w:r w:rsidRPr="00797AD8">
        <w:t xml:space="preserve">in traditionally </w:t>
      </w:r>
      <w:r>
        <w:t>male dominated fields</w:t>
      </w:r>
      <w:r w:rsidRPr="00797AD8">
        <w:t xml:space="preserve">, especially at TVET.  </w:t>
      </w:r>
    </w:p>
    <w:p w:rsidR="00C3338A" w:rsidRDefault="00C3338A" w:rsidP="00240553">
      <w:pPr>
        <w:pStyle w:val="ASIBulletPoint"/>
        <w:jc w:val="both"/>
      </w:pPr>
      <w:r>
        <w:t>S</w:t>
      </w:r>
      <w:r w:rsidRPr="00797AD8">
        <w:t xml:space="preserve">upport </w:t>
      </w:r>
      <w:r>
        <w:t xml:space="preserve">Mongolian gender-based NGOs, the </w:t>
      </w:r>
      <w:r w:rsidRPr="00797AD8">
        <w:t>NCGE</w:t>
      </w:r>
      <w:r>
        <w:t xml:space="preserve"> and the private sector</w:t>
      </w:r>
      <w:r w:rsidRPr="00797AD8">
        <w:t xml:space="preserve"> </w:t>
      </w:r>
      <w:r>
        <w:t>to</w:t>
      </w:r>
      <w:r w:rsidRPr="00797AD8">
        <w:t xml:space="preserve"> increas</w:t>
      </w:r>
      <w:r>
        <w:t>e</w:t>
      </w:r>
      <w:r w:rsidRPr="00797AD8">
        <w:t xml:space="preserve"> awareness of the unacceptability of sexual harassment </w:t>
      </w:r>
      <w:r>
        <w:t xml:space="preserve">and other forms of employment discrimination </w:t>
      </w:r>
      <w:r w:rsidRPr="00797AD8">
        <w:t>in the workplace.</w:t>
      </w:r>
    </w:p>
    <w:p w:rsidR="00C3338A" w:rsidRDefault="00C3338A" w:rsidP="00240553">
      <w:pPr>
        <w:pStyle w:val="ASIBulletPoint"/>
        <w:jc w:val="both"/>
      </w:pPr>
      <w:r w:rsidRPr="00DF1076">
        <w:t xml:space="preserve">Support the Government of Mongolia and women’s based NGOs to </w:t>
      </w:r>
      <w:r>
        <w:t>d</w:t>
      </w:r>
      <w:r w:rsidRPr="00DF1076">
        <w:t>raft an anti</w:t>
      </w:r>
      <w:r w:rsidRPr="00DF1076">
        <w:rPr>
          <w:rFonts w:ascii="Cambria Math" w:hAnsi="Cambria Math" w:cs="Cambria Math"/>
        </w:rPr>
        <w:t>‐</w:t>
      </w:r>
      <w:r w:rsidRPr="00DF1076">
        <w:t>discrimination law to help protect employees from sexual assault in</w:t>
      </w:r>
      <w:r>
        <w:t xml:space="preserve"> </w:t>
      </w:r>
      <w:r w:rsidRPr="00DF1076">
        <w:t>the workplace</w:t>
      </w:r>
      <w:r w:rsidR="00B35B5A">
        <w:t>.</w:t>
      </w:r>
    </w:p>
    <w:p w:rsidR="00C3338A" w:rsidRDefault="00C3338A" w:rsidP="00240553">
      <w:pPr>
        <w:pStyle w:val="ASIBulletPoint"/>
        <w:jc w:val="both"/>
      </w:pPr>
      <w:r>
        <w:t xml:space="preserve">Conduct further research into child headed households as a child labour or health related issue. </w:t>
      </w:r>
    </w:p>
    <w:p w:rsidR="002D3280" w:rsidRPr="00C3338A" w:rsidRDefault="00C3338A" w:rsidP="00240553">
      <w:pPr>
        <w:pStyle w:val="ASIBulletPoint"/>
        <w:numPr>
          <w:ilvl w:val="0"/>
          <w:numId w:val="0"/>
        </w:numPr>
        <w:ind w:left="210" w:hanging="210"/>
        <w:jc w:val="both"/>
        <w:rPr>
          <w:b/>
          <w:lang w:val="en-AU"/>
        </w:rPr>
      </w:pPr>
      <w:r w:rsidRPr="00C3338A">
        <w:rPr>
          <w:b/>
          <w:lang w:val="en-AU"/>
        </w:rPr>
        <w:t xml:space="preserve">Population influx </w:t>
      </w:r>
    </w:p>
    <w:p w:rsidR="00C3338A" w:rsidRPr="00C3338A" w:rsidRDefault="00C3338A" w:rsidP="00240553">
      <w:pPr>
        <w:pStyle w:val="ASIBulletPoint"/>
        <w:jc w:val="both"/>
      </w:pPr>
      <w:r w:rsidRPr="00C3338A">
        <w:t>Develop infrastructure to support family friendly communities to accommodate spouses and school children</w:t>
      </w:r>
      <w:r w:rsidR="00B35B5A">
        <w:t>.</w:t>
      </w:r>
    </w:p>
    <w:p w:rsidR="00C3338A" w:rsidRPr="00C3338A" w:rsidRDefault="00C3338A" w:rsidP="00240553">
      <w:pPr>
        <w:pStyle w:val="ASIBulletPoint"/>
        <w:jc w:val="both"/>
      </w:pPr>
      <w:r w:rsidRPr="00C3338A">
        <w:t>Open women’s shelters and childcare centres in both soums to prevent GBV and provide support for victims</w:t>
      </w:r>
      <w:r w:rsidR="00B35B5A">
        <w:t>.</w:t>
      </w:r>
    </w:p>
    <w:p w:rsidR="00C3338A" w:rsidRPr="00C3338A" w:rsidRDefault="00C3338A" w:rsidP="00240553">
      <w:pPr>
        <w:pStyle w:val="ASIBulletPoint"/>
        <w:jc w:val="both"/>
      </w:pPr>
      <w:r w:rsidRPr="00C3338A">
        <w:t>Provide work place environments that support and empower women</w:t>
      </w:r>
      <w:r w:rsidR="00D723F6">
        <w:t>.</w:t>
      </w:r>
    </w:p>
    <w:p w:rsidR="00C3338A" w:rsidRDefault="00C3338A" w:rsidP="00240553">
      <w:pPr>
        <w:pStyle w:val="ASIBulletPoint"/>
        <w:jc w:val="both"/>
      </w:pPr>
      <w:r w:rsidRPr="00C3338A">
        <w:t>Open women’s shelters and childcare centres in both soums to provide support for victims and minimise GBV</w:t>
      </w:r>
      <w:r w:rsidR="00D723F6">
        <w:t>.</w:t>
      </w:r>
    </w:p>
    <w:p w:rsidR="00A87679" w:rsidRPr="00C3338A" w:rsidRDefault="00A87679" w:rsidP="00A87679">
      <w:pPr>
        <w:pStyle w:val="ASIBulletPoint"/>
        <w:jc w:val="both"/>
      </w:pPr>
      <w:r>
        <w:t>Connect with donor organisation</w:t>
      </w:r>
      <w:r w:rsidR="00D723F6">
        <w:t>s</w:t>
      </w:r>
      <w:r>
        <w:t xml:space="preserve"> working in HIV/AIDS or the private sector companies to develop and implement HIV/AIDS awareness and support programs in the South Gobi communities and in key risk areas (haulage routes mine/construction sites).  </w:t>
      </w:r>
    </w:p>
    <w:p w:rsidR="00184249" w:rsidRDefault="00184249" w:rsidP="00240553">
      <w:pPr>
        <w:pStyle w:val="ASIBulletPoint"/>
        <w:numPr>
          <w:ilvl w:val="0"/>
          <w:numId w:val="0"/>
        </w:numPr>
        <w:jc w:val="both"/>
        <w:rPr>
          <w:b/>
          <w:lang w:val="en-AU"/>
        </w:rPr>
        <w:sectPr w:rsidR="00184249" w:rsidSect="00184249">
          <w:pgSz w:w="11906" w:h="16838" w:code="9"/>
          <w:pgMar w:top="1304" w:right="567" w:bottom="1418" w:left="567" w:header="567" w:footer="408" w:gutter="0"/>
          <w:cols w:space="340"/>
          <w:docGrid w:linePitch="360"/>
        </w:sectPr>
      </w:pPr>
    </w:p>
    <w:p w:rsidR="00C3338A" w:rsidRPr="00C3338A" w:rsidRDefault="00C3338A" w:rsidP="00240553">
      <w:pPr>
        <w:pStyle w:val="ASIBulletPoint"/>
        <w:numPr>
          <w:ilvl w:val="0"/>
          <w:numId w:val="0"/>
        </w:numPr>
        <w:jc w:val="both"/>
        <w:rPr>
          <w:b/>
          <w:lang w:val="en-AU"/>
        </w:rPr>
      </w:pPr>
      <w:r w:rsidRPr="00C3338A">
        <w:rPr>
          <w:b/>
          <w:lang w:val="en-AU"/>
        </w:rPr>
        <w:lastRenderedPageBreak/>
        <w:t>Governance</w:t>
      </w:r>
    </w:p>
    <w:p w:rsidR="00C3338A" w:rsidRPr="00C3338A" w:rsidRDefault="00C3338A" w:rsidP="00240553">
      <w:pPr>
        <w:pStyle w:val="ASIBulletPoint"/>
        <w:jc w:val="both"/>
      </w:pPr>
      <w:r w:rsidRPr="00C3338A">
        <w:t>Build the capacity of local government and stakeholders to understand and plan for the social and gendered impacts of mining</w:t>
      </w:r>
      <w:r w:rsidR="00D723F6">
        <w:t>.</w:t>
      </w:r>
    </w:p>
    <w:p w:rsidR="00C3338A" w:rsidRPr="00C3338A" w:rsidRDefault="00C3338A" w:rsidP="00240553">
      <w:pPr>
        <w:pStyle w:val="ASIBulletPoint"/>
        <w:jc w:val="both"/>
      </w:pPr>
      <w:r w:rsidRPr="00C3338A">
        <w:t xml:space="preserve">Support and build the capacity of policy makers to create strategies and plan for regional development based </w:t>
      </w:r>
      <w:proofErr w:type="gramStart"/>
      <w:r w:rsidRPr="00C3338A">
        <w:t>on a minerals</w:t>
      </w:r>
      <w:proofErr w:type="gramEnd"/>
      <w:r w:rsidRPr="00C3338A">
        <w:t xml:space="preserve"> based economy</w:t>
      </w:r>
      <w:r w:rsidR="00D723F6">
        <w:t>.</w:t>
      </w:r>
    </w:p>
    <w:p w:rsidR="00C3338A" w:rsidRDefault="00C3338A" w:rsidP="008C4116">
      <w:pPr>
        <w:pStyle w:val="ASIBulletPoint"/>
        <w:numPr>
          <w:ilvl w:val="0"/>
          <w:numId w:val="0"/>
        </w:numPr>
        <w:ind w:left="210" w:hanging="210"/>
        <w:rPr>
          <w:lang w:val="en-AU"/>
        </w:rPr>
        <w:sectPr w:rsidR="00C3338A" w:rsidSect="00184249">
          <w:pgSz w:w="11906" w:h="16838" w:code="9"/>
          <w:pgMar w:top="1304" w:right="567" w:bottom="1418" w:left="567" w:header="567" w:footer="408" w:gutter="0"/>
          <w:cols w:space="340"/>
          <w:docGrid w:linePitch="360"/>
        </w:sectPr>
      </w:pPr>
    </w:p>
    <w:p w:rsidR="002D3280" w:rsidRDefault="00C3338A" w:rsidP="00C3338A">
      <w:pPr>
        <w:pStyle w:val="Heading2"/>
        <w:rPr>
          <w:lang w:val="en-AU"/>
        </w:rPr>
      </w:pPr>
      <w:bookmarkStart w:id="34" w:name="_Toc416161483"/>
      <w:r>
        <w:rPr>
          <w:lang w:val="en-AU"/>
        </w:rPr>
        <w:lastRenderedPageBreak/>
        <w:t>References</w:t>
      </w:r>
      <w:bookmarkEnd w:id="34"/>
      <w:r>
        <w:rPr>
          <w:lang w:val="en-AU"/>
        </w:rPr>
        <w:t xml:space="preserve"> </w:t>
      </w:r>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ADB, Ministry of Road, Transport, Construction and Urban Development of Mongolia, </w:t>
      </w:r>
      <w:r w:rsidRPr="00C3338A">
        <w:rPr>
          <w:i/>
          <w:lang w:val="en-AU"/>
        </w:rPr>
        <w:t>Mongolia: Southeast Gobi Urban and Border Town Development Project and Mainstreaming Managing for Development Results in Investment Planning and Public Funds Management</w:t>
      </w:r>
      <w:r w:rsidRPr="00C3338A">
        <w:rPr>
          <w:lang w:val="en-AU"/>
        </w:rPr>
        <w:t>, Ulaanbaatar, 2009.</w:t>
      </w:r>
    </w:p>
    <w:p w:rsidR="00C3338A" w:rsidRPr="00C3338A" w:rsidRDefault="00C3338A" w:rsidP="001309DB">
      <w:pPr>
        <w:pStyle w:val="ASIBulletPoint"/>
        <w:numPr>
          <w:ilvl w:val="0"/>
          <w:numId w:val="0"/>
        </w:numPr>
        <w:spacing w:before="100" w:after="100"/>
        <w:jc w:val="both"/>
        <w:rPr>
          <w:lang w:val="en-AU"/>
        </w:rPr>
      </w:pPr>
      <w:proofErr w:type="gramStart"/>
      <w:r w:rsidRPr="00C3338A">
        <w:rPr>
          <w:lang w:val="en-AU"/>
        </w:rPr>
        <w:t xml:space="preserve">Asia Development Bank Mongolia Country Gender Assessment (2005) </w:t>
      </w:r>
      <w:r w:rsidR="00D723F6" w:rsidRPr="00184249">
        <w:t>http://www.adb.org/documents/mongolia-country-gender-assessment</w:t>
      </w:r>
      <w:r w:rsidR="00D723F6">
        <w:rPr>
          <w:lang w:val="en-AU"/>
        </w:rPr>
        <w:t>.</w:t>
      </w:r>
      <w:proofErr w:type="gramEnd"/>
    </w:p>
    <w:p w:rsidR="00C3338A" w:rsidRPr="00C3338A" w:rsidRDefault="00C3338A" w:rsidP="001309DB">
      <w:pPr>
        <w:pStyle w:val="ASIBulletPoint"/>
        <w:numPr>
          <w:ilvl w:val="0"/>
          <w:numId w:val="0"/>
        </w:numPr>
        <w:spacing w:before="100" w:after="100"/>
        <w:jc w:val="both"/>
        <w:rPr>
          <w:lang w:val="en-AU"/>
        </w:rPr>
      </w:pPr>
      <w:r w:rsidRPr="00C3338A">
        <w:rPr>
          <w:lang w:val="en-AU"/>
        </w:rPr>
        <w:t>Australian Government Department of Foreign Affairs and Trade, Aid Program Performance Report 2013-2014 Mongolia, September 2013</w:t>
      </w:r>
      <w:r w:rsidR="00D723F6">
        <w:rPr>
          <w:lang w:val="en-AU"/>
        </w:rPr>
        <w:t>.</w:t>
      </w:r>
    </w:p>
    <w:p w:rsidR="00C3338A" w:rsidRPr="00C3338A" w:rsidRDefault="00C3338A" w:rsidP="001309DB">
      <w:pPr>
        <w:pStyle w:val="ASIBulletPoint"/>
        <w:numPr>
          <w:ilvl w:val="0"/>
          <w:numId w:val="0"/>
        </w:numPr>
        <w:spacing w:before="100" w:after="100"/>
        <w:jc w:val="both"/>
        <w:rPr>
          <w:lang w:val="en-AU"/>
        </w:rPr>
      </w:pPr>
      <w:proofErr w:type="gramStart"/>
      <w:r w:rsidRPr="00C3338A">
        <w:rPr>
          <w:lang w:val="en-AU"/>
        </w:rPr>
        <w:t>Cane, I. (2014).</w:t>
      </w:r>
      <w:proofErr w:type="gramEnd"/>
      <w:r w:rsidRPr="00C3338A">
        <w:rPr>
          <w:lang w:val="en-AU"/>
        </w:rPr>
        <w:t xml:space="preserve"> Community and Company Development Discourses in Mining: The Case of Gender in Mongolia. </w:t>
      </w:r>
      <w:proofErr w:type="gramStart"/>
      <w:r w:rsidRPr="00C3338A">
        <w:rPr>
          <w:lang w:val="en-AU"/>
        </w:rPr>
        <w:t>(Doctorate of Philosophy), University of Queensland, Brisbane.</w:t>
      </w:r>
      <w:proofErr w:type="gramEnd"/>
      <w:r w:rsidRPr="00C3338A">
        <w:rPr>
          <w:lang w:val="en-AU"/>
        </w:rPr>
        <w:t xml:space="preserve">   </w:t>
      </w:r>
    </w:p>
    <w:p w:rsidR="00C3338A" w:rsidRPr="00C3338A" w:rsidRDefault="00C3338A" w:rsidP="001309DB">
      <w:pPr>
        <w:pStyle w:val="ASIBulletPoint"/>
        <w:numPr>
          <w:ilvl w:val="0"/>
          <w:numId w:val="0"/>
        </w:numPr>
        <w:spacing w:before="100" w:after="100"/>
        <w:jc w:val="both"/>
        <w:rPr>
          <w:lang w:val="en-AU"/>
        </w:rPr>
      </w:pPr>
      <w:proofErr w:type="gramStart"/>
      <w:r w:rsidRPr="00C3338A">
        <w:rPr>
          <w:lang w:val="en-AU"/>
        </w:rPr>
        <w:t>Cane, I. (2014b).</w:t>
      </w:r>
      <w:proofErr w:type="gramEnd"/>
      <w:r w:rsidRPr="00C3338A">
        <w:rPr>
          <w:lang w:val="en-AU"/>
        </w:rPr>
        <w:t xml:space="preserve"> </w:t>
      </w:r>
      <w:r w:rsidRPr="00C3338A">
        <w:rPr>
          <w:i/>
          <w:lang w:val="en-AU"/>
        </w:rPr>
        <w:t>Mapping Gender Based Violence and mining infrastructure in Mongolian mining communities, a comparative analysis</w:t>
      </w:r>
      <w:r w:rsidRPr="00C3338A">
        <w:rPr>
          <w:lang w:val="en-AU"/>
        </w:rPr>
        <w:t>, University of Queensland, Sustainable Minerals Institute.</w:t>
      </w:r>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DFAT, </w:t>
      </w:r>
      <w:r w:rsidRPr="00C3338A">
        <w:rPr>
          <w:i/>
          <w:lang w:val="en-AU"/>
        </w:rPr>
        <w:t>AMEP Concept Note, 26 July 2012</w:t>
      </w:r>
      <w:r w:rsidR="00D723F6">
        <w:rPr>
          <w:i/>
          <w:lang w:val="en-AU"/>
        </w:rPr>
        <w:t>.</w:t>
      </w:r>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DFAT, </w:t>
      </w:r>
      <w:r w:rsidRPr="00C3338A">
        <w:rPr>
          <w:i/>
          <w:lang w:val="en-AU"/>
        </w:rPr>
        <w:t xml:space="preserve">AMEP Scoping Mission Final Report, </w:t>
      </w:r>
      <w:r w:rsidRPr="00C3338A">
        <w:rPr>
          <w:lang w:val="en-AU"/>
        </w:rPr>
        <w:t>June 2012</w:t>
      </w:r>
      <w:r w:rsidR="00D723F6">
        <w:rPr>
          <w:lang w:val="en-AU"/>
        </w:rPr>
        <w:t>.</w:t>
      </w:r>
    </w:p>
    <w:p w:rsidR="00C3338A" w:rsidRPr="00C3338A" w:rsidRDefault="00C3338A" w:rsidP="001309DB">
      <w:pPr>
        <w:pStyle w:val="ASIBulletPoint"/>
        <w:numPr>
          <w:ilvl w:val="0"/>
          <w:numId w:val="0"/>
        </w:numPr>
        <w:spacing w:before="100" w:after="100"/>
        <w:jc w:val="both"/>
        <w:rPr>
          <w:lang w:val="en-AU"/>
        </w:rPr>
      </w:pPr>
      <w:proofErr w:type="spellStart"/>
      <w:proofErr w:type="gramStart"/>
      <w:r w:rsidRPr="00C3338A">
        <w:rPr>
          <w:lang w:val="en-AU"/>
        </w:rPr>
        <w:t>Dunkle</w:t>
      </w:r>
      <w:proofErr w:type="spellEnd"/>
      <w:r w:rsidRPr="00C3338A">
        <w:rPr>
          <w:lang w:val="en-AU"/>
        </w:rPr>
        <w:t xml:space="preserve">, K. L., </w:t>
      </w:r>
      <w:proofErr w:type="spellStart"/>
      <w:r w:rsidRPr="00C3338A">
        <w:rPr>
          <w:lang w:val="en-AU"/>
        </w:rPr>
        <w:t>Jewkes</w:t>
      </w:r>
      <w:proofErr w:type="spellEnd"/>
      <w:r w:rsidRPr="00C3338A">
        <w:rPr>
          <w:lang w:val="en-AU"/>
        </w:rPr>
        <w:t xml:space="preserve">, R., </w:t>
      </w:r>
      <w:proofErr w:type="spellStart"/>
      <w:r w:rsidRPr="00C3338A">
        <w:rPr>
          <w:lang w:val="en-AU"/>
        </w:rPr>
        <w:t>Nduna</w:t>
      </w:r>
      <w:proofErr w:type="spellEnd"/>
      <w:r w:rsidRPr="00C3338A">
        <w:rPr>
          <w:lang w:val="en-AU"/>
        </w:rPr>
        <w:t xml:space="preserve">, M., </w:t>
      </w:r>
      <w:proofErr w:type="spellStart"/>
      <w:r w:rsidRPr="00C3338A">
        <w:rPr>
          <w:lang w:val="en-AU"/>
        </w:rPr>
        <w:t>Jama</w:t>
      </w:r>
      <w:proofErr w:type="spellEnd"/>
      <w:r w:rsidRPr="00C3338A">
        <w:rPr>
          <w:lang w:val="en-AU"/>
        </w:rPr>
        <w:t xml:space="preserve">, N., Levin, J., </w:t>
      </w:r>
      <w:proofErr w:type="spellStart"/>
      <w:r w:rsidRPr="00C3338A">
        <w:rPr>
          <w:lang w:val="en-AU"/>
        </w:rPr>
        <w:t>Sikweyiya</w:t>
      </w:r>
      <w:proofErr w:type="spellEnd"/>
      <w:r w:rsidRPr="00C3338A">
        <w:rPr>
          <w:lang w:val="en-AU"/>
        </w:rPr>
        <w:t>, Y. and Koss, M.P. (2007).</w:t>
      </w:r>
      <w:proofErr w:type="gramEnd"/>
      <w:r w:rsidRPr="00C3338A">
        <w:rPr>
          <w:lang w:val="en-AU"/>
        </w:rPr>
        <w:t xml:space="preserve"> </w:t>
      </w:r>
      <w:r w:rsidRPr="00C3338A">
        <w:rPr>
          <w:i/>
          <w:lang w:val="en-AU"/>
        </w:rPr>
        <w:t>Transactional sex with casual and main partners among young South African men in the rural Eastern Cape: prevalence, predictors, and associations with gender</w:t>
      </w:r>
      <w:r w:rsidRPr="00C3338A">
        <w:rPr>
          <w:rFonts w:ascii="Cambria Math" w:hAnsi="Cambria Math" w:cs="Cambria Math"/>
          <w:i/>
          <w:lang w:val="en-AU"/>
        </w:rPr>
        <w:t>‐</w:t>
      </w:r>
      <w:r w:rsidRPr="00C3338A">
        <w:rPr>
          <w:i/>
          <w:lang w:val="en-AU"/>
        </w:rPr>
        <w:t xml:space="preserve">based violence. </w:t>
      </w:r>
      <w:r w:rsidRPr="00C3338A">
        <w:rPr>
          <w:lang w:val="en-AU"/>
        </w:rPr>
        <w:t>Social Science</w:t>
      </w:r>
      <w:r w:rsidRPr="00C3338A">
        <w:rPr>
          <w:i/>
          <w:lang w:val="en-AU"/>
        </w:rPr>
        <w:t xml:space="preserve"> </w:t>
      </w:r>
      <w:r w:rsidRPr="00C3338A">
        <w:rPr>
          <w:lang w:val="en-AU"/>
        </w:rPr>
        <w:t>&amp; Medicine 65(6): 1235</w:t>
      </w:r>
      <w:r w:rsidRPr="00C3338A">
        <w:rPr>
          <w:rFonts w:ascii="Cambria Math" w:hAnsi="Cambria Math" w:cs="Cambria Math"/>
          <w:lang w:val="en-AU"/>
        </w:rPr>
        <w:t>‐</w:t>
      </w:r>
      <w:r w:rsidRPr="00C3338A">
        <w:rPr>
          <w:lang w:val="en-AU"/>
        </w:rPr>
        <w:t>1248</w:t>
      </w:r>
      <w:r w:rsidR="00D723F6">
        <w:rPr>
          <w:lang w:val="en-AU"/>
        </w:rPr>
        <w:t>.</w:t>
      </w:r>
    </w:p>
    <w:p w:rsidR="00C3338A" w:rsidRPr="00C3338A" w:rsidRDefault="00C3338A" w:rsidP="001309DB">
      <w:pPr>
        <w:pStyle w:val="ASIBulletPoint"/>
        <w:numPr>
          <w:ilvl w:val="0"/>
          <w:numId w:val="0"/>
        </w:numPr>
        <w:spacing w:before="100" w:after="100"/>
        <w:jc w:val="both"/>
        <w:rPr>
          <w:lang w:val="en-NZ"/>
        </w:rPr>
      </w:pPr>
      <w:proofErr w:type="gramStart"/>
      <w:r w:rsidRPr="00C3338A">
        <w:rPr>
          <w:lang w:val="en-NZ"/>
        </w:rPr>
        <w:t>European Bank for Reconstruction and Development (EBRD), 2013.</w:t>
      </w:r>
      <w:proofErr w:type="gramEnd"/>
      <w:r w:rsidRPr="00C3338A">
        <w:rPr>
          <w:lang w:val="en-NZ"/>
        </w:rPr>
        <w:t xml:space="preserve"> </w:t>
      </w:r>
      <w:proofErr w:type="gramStart"/>
      <w:r w:rsidRPr="00C3338A">
        <w:rPr>
          <w:lang w:val="en-NZ"/>
        </w:rPr>
        <w:t>Strategy for Mongolia.</w:t>
      </w:r>
      <w:proofErr w:type="gramEnd"/>
      <w:r w:rsidRPr="00C3338A">
        <w:rPr>
          <w:lang w:val="en-NZ"/>
        </w:rPr>
        <w:t xml:space="preserve"> http://www.ebrd.com/downloads/country/strategy/mongolia.pdf</w:t>
      </w:r>
      <w:r w:rsidR="00D723F6">
        <w:rPr>
          <w:lang w:val="en-NZ"/>
        </w:rPr>
        <w:t>.</w:t>
      </w:r>
      <w:r w:rsidRPr="00C3338A">
        <w:rPr>
          <w:lang w:val="en-NZ"/>
        </w:rPr>
        <w:t xml:space="preserve"> </w:t>
      </w:r>
    </w:p>
    <w:p w:rsidR="00C3338A" w:rsidRPr="00C3338A" w:rsidRDefault="00C3338A" w:rsidP="001309DB">
      <w:pPr>
        <w:pStyle w:val="ASIBulletPoint"/>
        <w:numPr>
          <w:ilvl w:val="0"/>
          <w:numId w:val="0"/>
        </w:numPr>
        <w:spacing w:before="100" w:after="100"/>
        <w:jc w:val="both"/>
        <w:rPr>
          <w:lang w:val="en-AU"/>
        </w:rPr>
      </w:pPr>
      <w:proofErr w:type="gramStart"/>
      <w:r w:rsidRPr="00C3338A">
        <w:rPr>
          <w:lang w:val="en-AU"/>
        </w:rPr>
        <w:t>Government of Mongolia, Report on the implementation of the Beijing +20 declaration, Ulaanbaatar, 2014</w:t>
      </w:r>
      <w:r w:rsidR="00D723F6">
        <w:rPr>
          <w:lang w:val="en-AU"/>
        </w:rPr>
        <w:t>.</w:t>
      </w:r>
      <w:proofErr w:type="gramEnd"/>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International Labor Organization, (F.  </w:t>
      </w:r>
      <w:proofErr w:type="spellStart"/>
      <w:r w:rsidRPr="00C3338A">
        <w:rPr>
          <w:lang w:val="en-AU"/>
        </w:rPr>
        <w:t>Pastore</w:t>
      </w:r>
      <w:proofErr w:type="spellEnd"/>
      <w:r w:rsidRPr="00C3338A">
        <w:rPr>
          <w:lang w:val="en-AU"/>
        </w:rPr>
        <w:t xml:space="preserve">), </w:t>
      </w:r>
      <w:r w:rsidRPr="00C3338A">
        <w:rPr>
          <w:i/>
          <w:lang w:val="en-AU"/>
        </w:rPr>
        <w:t>School to Work Transitions in Mongolia.  Employment Working Paper 14</w:t>
      </w:r>
      <w:r w:rsidRPr="00C3338A">
        <w:rPr>
          <w:lang w:val="en-AU"/>
        </w:rPr>
        <w:t>, Geneva, 2008</w:t>
      </w:r>
      <w:r w:rsidR="00D723F6">
        <w:rPr>
          <w:lang w:val="en-AU"/>
        </w:rPr>
        <w:t>.</w:t>
      </w:r>
    </w:p>
    <w:p w:rsidR="00C3338A" w:rsidRPr="00C3338A" w:rsidRDefault="00C3338A" w:rsidP="001309DB">
      <w:pPr>
        <w:pStyle w:val="ASIBulletPoint"/>
        <w:numPr>
          <w:ilvl w:val="0"/>
          <w:numId w:val="0"/>
        </w:numPr>
        <w:spacing w:before="100" w:after="100"/>
        <w:jc w:val="both"/>
        <w:rPr>
          <w:lang w:val="en-AU"/>
        </w:rPr>
      </w:pPr>
      <w:proofErr w:type="spellStart"/>
      <w:r w:rsidRPr="00C3338A">
        <w:rPr>
          <w:lang w:val="en-AU"/>
        </w:rPr>
        <w:t>Lahiri</w:t>
      </w:r>
      <w:r w:rsidRPr="00C3338A">
        <w:rPr>
          <w:rFonts w:ascii="Cambria Math" w:hAnsi="Cambria Math" w:cs="Cambria Math"/>
          <w:lang w:val="en-AU"/>
        </w:rPr>
        <w:t>‐</w:t>
      </w:r>
      <w:r w:rsidRPr="00C3338A">
        <w:rPr>
          <w:lang w:val="en-AU"/>
        </w:rPr>
        <w:t>Dutt</w:t>
      </w:r>
      <w:proofErr w:type="spellEnd"/>
      <w:r w:rsidRPr="00C3338A">
        <w:rPr>
          <w:lang w:val="en-AU"/>
        </w:rPr>
        <w:t xml:space="preserve">, K. (2011). </w:t>
      </w:r>
      <w:r w:rsidRPr="00C3338A">
        <w:rPr>
          <w:i/>
          <w:lang w:val="en-AU"/>
        </w:rPr>
        <w:t>Introduction: Gendering the Masculine Field of Mining for Sustainable Community Livelihoods. Gendering the field: Towards sustainable livelihoods for mining communities</w:t>
      </w:r>
      <w:r w:rsidRPr="00C3338A">
        <w:rPr>
          <w:lang w:val="en-AU"/>
        </w:rPr>
        <w:t xml:space="preserve">. K. </w:t>
      </w:r>
      <w:proofErr w:type="spellStart"/>
      <w:r w:rsidRPr="00C3338A">
        <w:rPr>
          <w:lang w:val="en-AU"/>
        </w:rPr>
        <w:t>Lahiri</w:t>
      </w:r>
      <w:r w:rsidRPr="00C3338A">
        <w:rPr>
          <w:rFonts w:ascii="Cambria Math" w:hAnsi="Cambria Math" w:cs="Cambria Math"/>
          <w:lang w:val="en-AU"/>
        </w:rPr>
        <w:t>‐</w:t>
      </w:r>
      <w:r w:rsidRPr="00C3338A">
        <w:rPr>
          <w:lang w:val="en-AU"/>
        </w:rPr>
        <w:t>Dutt</w:t>
      </w:r>
      <w:proofErr w:type="spellEnd"/>
      <w:r w:rsidRPr="00C3338A">
        <w:rPr>
          <w:lang w:val="en-AU"/>
        </w:rPr>
        <w:t>, Ed. Canberra, ANU E Press: 1</w:t>
      </w:r>
      <w:r w:rsidRPr="00C3338A">
        <w:rPr>
          <w:rFonts w:ascii="Cambria Math" w:hAnsi="Cambria Math" w:cs="Cambria Math"/>
          <w:lang w:val="en-AU"/>
        </w:rPr>
        <w:t>‐</w:t>
      </w:r>
      <w:r w:rsidRPr="00C3338A">
        <w:rPr>
          <w:lang w:val="en-AU"/>
        </w:rPr>
        <w:t xml:space="preserve">19. </w:t>
      </w:r>
      <w:proofErr w:type="gramStart"/>
      <w:r w:rsidRPr="00C3338A">
        <w:rPr>
          <w:lang w:val="en-AU"/>
        </w:rPr>
        <w:t xml:space="preserve">Asia Pacific Environment </w:t>
      </w:r>
      <w:proofErr w:type="spellStart"/>
      <w:r w:rsidRPr="00C3338A">
        <w:rPr>
          <w:lang w:val="en-AU"/>
        </w:rPr>
        <w:t>Mongograph</w:t>
      </w:r>
      <w:proofErr w:type="spellEnd"/>
      <w:r w:rsidRPr="00C3338A">
        <w:rPr>
          <w:lang w:val="en-AU"/>
        </w:rPr>
        <w:t xml:space="preserve"> 6.</w:t>
      </w:r>
      <w:proofErr w:type="gramEnd"/>
    </w:p>
    <w:p w:rsidR="00C3338A" w:rsidRPr="00C3338A" w:rsidRDefault="00C3338A" w:rsidP="001309DB">
      <w:pPr>
        <w:pStyle w:val="ASIBulletPoint"/>
        <w:numPr>
          <w:ilvl w:val="0"/>
          <w:numId w:val="0"/>
        </w:numPr>
        <w:spacing w:before="100" w:after="100"/>
        <w:jc w:val="both"/>
        <w:rPr>
          <w:i/>
          <w:lang w:val="en-AU"/>
        </w:rPr>
      </w:pPr>
      <w:proofErr w:type="gramStart"/>
      <w:r w:rsidRPr="00C3338A">
        <w:rPr>
          <w:lang w:val="en-AU"/>
        </w:rPr>
        <w:t>Macdonald, I. and C. Rowland, Eds. (2002).</w:t>
      </w:r>
      <w:proofErr w:type="gramEnd"/>
      <w:r w:rsidRPr="00C3338A">
        <w:rPr>
          <w:lang w:val="en-AU"/>
        </w:rPr>
        <w:t xml:space="preserve"> </w:t>
      </w:r>
      <w:proofErr w:type="gramStart"/>
      <w:r w:rsidRPr="00C3338A">
        <w:rPr>
          <w:i/>
          <w:lang w:val="en-AU"/>
        </w:rPr>
        <w:t xml:space="preserve">Tunnel Vision – Women, Mining and Communities </w:t>
      </w:r>
      <w:r w:rsidRPr="00C3338A">
        <w:rPr>
          <w:lang w:val="en-AU"/>
        </w:rPr>
        <w:t>Melbourne, Oxfam Community Aid Abroad.</w:t>
      </w:r>
      <w:proofErr w:type="gramEnd"/>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Mongolian National Development Innovation Committee, </w:t>
      </w:r>
      <w:proofErr w:type="gramStart"/>
      <w:r w:rsidRPr="00C3338A">
        <w:rPr>
          <w:i/>
          <w:lang w:val="en-AU"/>
        </w:rPr>
        <w:t>The</w:t>
      </w:r>
      <w:proofErr w:type="gramEnd"/>
      <w:r w:rsidRPr="00C3338A">
        <w:rPr>
          <w:i/>
          <w:lang w:val="en-AU"/>
        </w:rPr>
        <w:t xml:space="preserve"> Millennium Development Goals Implementation Third National Report Summary</w:t>
      </w:r>
      <w:r w:rsidRPr="00C3338A">
        <w:rPr>
          <w:lang w:val="en-AU"/>
        </w:rPr>
        <w:t>, Ulaanbaatar, 2009.</w:t>
      </w:r>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Mongolian National Statistical Office (NSO), </w:t>
      </w:r>
      <w:r w:rsidRPr="00C3338A">
        <w:rPr>
          <w:i/>
          <w:lang w:val="en-AU"/>
        </w:rPr>
        <w:t>Mongolian Statistical Yearbook, 2010</w:t>
      </w:r>
      <w:r w:rsidRPr="00C3338A">
        <w:rPr>
          <w:lang w:val="en-AU"/>
        </w:rPr>
        <w:t>, Ulaanbaatar, 2011.</w:t>
      </w:r>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Mongolian National Statistical Office (NSO), </w:t>
      </w:r>
      <w:r w:rsidRPr="00C3338A">
        <w:rPr>
          <w:i/>
          <w:lang w:val="en-AU"/>
        </w:rPr>
        <w:t>Mongolian Census-based Poverty Map: Region, Aimag and Sum Level Results</w:t>
      </w:r>
      <w:r w:rsidRPr="00C3338A">
        <w:rPr>
          <w:lang w:val="en-AU"/>
        </w:rPr>
        <w:t>, Ulaanbaatar, 2009.</w:t>
      </w:r>
    </w:p>
    <w:p w:rsidR="00C3338A" w:rsidRPr="00C3338A" w:rsidRDefault="00C3338A" w:rsidP="001309DB">
      <w:pPr>
        <w:pStyle w:val="ASIBulletPoint"/>
        <w:numPr>
          <w:ilvl w:val="0"/>
          <w:numId w:val="0"/>
        </w:numPr>
        <w:spacing w:before="100" w:after="100"/>
        <w:jc w:val="both"/>
        <w:rPr>
          <w:lang w:val="en-AU"/>
        </w:rPr>
      </w:pPr>
      <w:proofErr w:type="gramStart"/>
      <w:r w:rsidRPr="00C3338A">
        <w:rPr>
          <w:lang w:val="en-AU"/>
        </w:rPr>
        <w:t xml:space="preserve">Mongolian National Statistics Office, UNICEF, </w:t>
      </w:r>
      <w:r w:rsidRPr="00C3338A">
        <w:rPr>
          <w:i/>
          <w:lang w:val="en-AU"/>
        </w:rPr>
        <w:t>Multiple Indicator Cluster Survey 2010 Summary Report</w:t>
      </w:r>
      <w:r w:rsidRPr="00C3338A">
        <w:rPr>
          <w:lang w:val="en-AU"/>
        </w:rPr>
        <w:t>, Ulaanbaatar, 2011.</w:t>
      </w:r>
      <w:proofErr w:type="gramEnd"/>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UNDP, Government of Mongolia, SIDA, </w:t>
      </w:r>
      <w:r w:rsidRPr="00C3338A">
        <w:rPr>
          <w:i/>
          <w:lang w:val="en-AU"/>
        </w:rPr>
        <w:t xml:space="preserve">Mongolia Human Development Report </w:t>
      </w:r>
      <w:proofErr w:type="gramStart"/>
      <w:r w:rsidRPr="00C3338A">
        <w:rPr>
          <w:i/>
          <w:lang w:val="en-AU"/>
        </w:rPr>
        <w:t>2011.:</w:t>
      </w:r>
      <w:proofErr w:type="gramEnd"/>
      <w:r w:rsidRPr="00C3338A">
        <w:rPr>
          <w:i/>
          <w:lang w:val="en-AU"/>
        </w:rPr>
        <w:t xml:space="preserve"> From Vulnerability to Sustainability: Environment and Human Development</w:t>
      </w:r>
      <w:r w:rsidRPr="00C3338A">
        <w:rPr>
          <w:lang w:val="en-AU"/>
        </w:rPr>
        <w:t>, Ulaanbaatar, 2011.</w:t>
      </w:r>
    </w:p>
    <w:p w:rsidR="00C3338A" w:rsidRPr="00C3338A" w:rsidRDefault="00C3338A" w:rsidP="001309DB">
      <w:pPr>
        <w:pStyle w:val="ASIBulletPoint"/>
        <w:numPr>
          <w:ilvl w:val="0"/>
          <w:numId w:val="0"/>
        </w:numPr>
        <w:spacing w:before="100" w:after="100"/>
        <w:jc w:val="both"/>
        <w:rPr>
          <w:lang w:val="en-AU"/>
        </w:rPr>
      </w:pPr>
      <w:proofErr w:type="gramStart"/>
      <w:r w:rsidRPr="00C3338A">
        <w:rPr>
          <w:lang w:val="en-AU"/>
        </w:rPr>
        <w:t>UNDP, (H.</w:t>
      </w:r>
      <w:proofErr w:type="gramEnd"/>
      <w:r w:rsidRPr="00C3338A">
        <w:rPr>
          <w:lang w:val="en-AU"/>
        </w:rPr>
        <w:t xml:space="preserve">  </w:t>
      </w:r>
      <w:proofErr w:type="spellStart"/>
      <w:proofErr w:type="gramStart"/>
      <w:r w:rsidRPr="00C3338A">
        <w:rPr>
          <w:lang w:val="en-AU"/>
        </w:rPr>
        <w:t>Coulombe</w:t>
      </w:r>
      <w:proofErr w:type="spellEnd"/>
      <w:r w:rsidRPr="00C3338A">
        <w:rPr>
          <w:lang w:val="en-AU"/>
        </w:rPr>
        <w:t xml:space="preserve">), Government of Mongolia, </w:t>
      </w:r>
      <w:r w:rsidRPr="00C3338A">
        <w:rPr>
          <w:i/>
          <w:lang w:val="en-AU"/>
        </w:rPr>
        <w:t>Millennium Development Goals and Geographical Targeting in Mongolia</w:t>
      </w:r>
      <w:r w:rsidRPr="00C3338A">
        <w:rPr>
          <w:lang w:val="en-AU"/>
        </w:rPr>
        <w:t>, Ulaanbaatar, 2009</w:t>
      </w:r>
      <w:r w:rsidR="00D723F6">
        <w:rPr>
          <w:lang w:val="en-AU"/>
        </w:rPr>
        <w:t>.</w:t>
      </w:r>
      <w:proofErr w:type="gramEnd"/>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UNICEF Situation Analysis </w:t>
      </w:r>
      <w:proofErr w:type="gramStart"/>
      <w:r w:rsidRPr="00C3338A">
        <w:rPr>
          <w:lang w:val="en-AU"/>
        </w:rPr>
        <w:t>Of Children And Women In</w:t>
      </w:r>
      <w:proofErr w:type="gramEnd"/>
      <w:r w:rsidRPr="00C3338A">
        <w:rPr>
          <w:lang w:val="en-AU"/>
        </w:rPr>
        <w:t xml:space="preserve"> Mongolia (2009) </w:t>
      </w:r>
      <w:r w:rsidR="00D723F6" w:rsidRPr="00184249">
        <w:t>http://www.unicef.org/sitan/files/SitAn_Mongolia_2009.pdf</w:t>
      </w:r>
      <w:r w:rsidR="00D723F6">
        <w:rPr>
          <w:lang w:val="en-AU"/>
        </w:rPr>
        <w:t>.</w:t>
      </w:r>
    </w:p>
    <w:p w:rsidR="00C3338A" w:rsidRPr="00C3338A" w:rsidRDefault="00C3338A" w:rsidP="001309DB">
      <w:pPr>
        <w:pStyle w:val="ASIBulletPoint"/>
        <w:numPr>
          <w:ilvl w:val="0"/>
          <w:numId w:val="0"/>
        </w:numPr>
        <w:spacing w:before="100" w:after="100"/>
        <w:jc w:val="both"/>
        <w:rPr>
          <w:lang w:val="en-AU"/>
        </w:rPr>
      </w:pPr>
      <w:proofErr w:type="gramStart"/>
      <w:r w:rsidRPr="00C3338A">
        <w:rPr>
          <w:lang w:val="en-AU"/>
        </w:rPr>
        <w:t xml:space="preserve">World Bank, </w:t>
      </w:r>
      <w:r w:rsidRPr="00C3338A">
        <w:rPr>
          <w:i/>
          <w:lang w:val="en-AU"/>
        </w:rPr>
        <w:t>Southern Gobi Regional Environmental Assessment</w:t>
      </w:r>
      <w:r w:rsidRPr="00C3338A">
        <w:rPr>
          <w:lang w:val="en-AU"/>
        </w:rPr>
        <w:t>, Washington, DC, 2010.</w:t>
      </w:r>
      <w:proofErr w:type="gramEnd"/>
    </w:p>
    <w:p w:rsidR="00C3338A" w:rsidRPr="00C3338A" w:rsidRDefault="00C3338A" w:rsidP="001309DB">
      <w:pPr>
        <w:pStyle w:val="ASIBulletPoint"/>
        <w:numPr>
          <w:ilvl w:val="0"/>
          <w:numId w:val="0"/>
        </w:numPr>
        <w:spacing w:before="100" w:after="100"/>
        <w:jc w:val="both"/>
        <w:rPr>
          <w:lang w:val="en-AU"/>
        </w:rPr>
      </w:pPr>
      <w:r w:rsidRPr="00C3338A">
        <w:rPr>
          <w:lang w:val="en-AU"/>
        </w:rPr>
        <w:t xml:space="preserve">World Economic Forum </w:t>
      </w:r>
      <w:proofErr w:type="gramStart"/>
      <w:r w:rsidRPr="00C3338A">
        <w:rPr>
          <w:lang w:val="en-AU"/>
        </w:rPr>
        <w:t>The</w:t>
      </w:r>
      <w:proofErr w:type="gramEnd"/>
      <w:r w:rsidRPr="00C3338A">
        <w:rPr>
          <w:lang w:val="en-AU"/>
        </w:rPr>
        <w:t xml:space="preserve"> Gender Gap Report (2012) </w:t>
      </w:r>
      <w:r w:rsidR="00D723F6" w:rsidRPr="00184249">
        <w:t>http://www.weforum.org/reports/global-gender-gap-report-2011</w:t>
      </w:r>
      <w:r w:rsidR="00D723F6">
        <w:rPr>
          <w:lang w:val="en-AU"/>
        </w:rPr>
        <w:t>.</w:t>
      </w:r>
    </w:p>
    <w:p w:rsidR="00C3338A" w:rsidRPr="00C3338A" w:rsidRDefault="00C3338A" w:rsidP="001309DB">
      <w:pPr>
        <w:pStyle w:val="ASIBulletPoint"/>
        <w:numPr>
          <w:ilvl w:val="0"/>
          <w:numId w:val="0"/>
        </w:numPr>
        <w:spacing w:before="100" w:after="100"/>
        <w:jc w:val="both"/>
        <w:rPr>
          <w:i/>
          <w:lang w:val="en-AU"/>
        </w:rPr>
      </w:pPr>
      <w:r w:rsidRPr="00C3338A">
        <w:rPr>
          <w:lang w:val="en-AU"/>
        </w:rPr>
        <w:t xml:space="preserve">World Economic Forum in collaboration with Harvard University and University of California, Berkeley, </w:t>
      </w:r>
      <w:r w:rsidRPr="00C3338A">
        <w:rPr>
          <w:i/>
          <w:lang w:val="en-AU"/>
        </w:rPr>
        <w:t>Global Gender Gap Report 2012.</w:t>
      </w:r>
    </w:p>
    <w:p w:rsidR="00A503E6" w:rsidRPr="00A503E6" w:rsidRDefault="00C3338A" w:rsidP="001309DB">
      <w:pPr>
        <w:pStyle w:val="ASIBulletPoint"/>
        <w:numPr>
          <w:ilvl w:val="0"/>
          <w:numId w:val="0"/>
        </w:numPr>
        <w:spacing w:before="100" w:after="100"/>
        <w:jc w:val="both"/>
      </w:pPr>
      <w:r w:rsidRPr="00C3338A">
        <w:rPr>
          <w:lang w:val="en-AU"/>
        </w:rPr>
        <w:t>World Bank, Mongolia: Gender disparities in labor markets and policy su</w:t>
      </w:r>
      <w:r w:rsidR="007557B1">
        <w:rPr>
          <w:lang w:val="en-AU"/>
        </w:rPr>
        <w:t>ggestions, Washington D.C, 2014</w:t>
      </w:r>
    </w:p>
    <w:sectPr w:rsidR="00A503E6" w:rsidRPr="00A503E6" w:rsidSect="00714A8F">
      <w:headerReference w:type="default" r:id="rId18"/>
      <w:pgSz w:w="11906" w:h="16838" w:code="9"/>
      <w:pgMar w:top="1304" w:right="567" w:bottom="1418" w:left="567" w:header="567" w:footer="408"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5D" w:rsidRDefault="004B725D">
      <w:r>
        <w:separator/>
      </w:r>
    </w:p>
    <w:p w:rsidR="004B725D" w:rsidRDefault="004B725D"/>
  </w:endnote>
  <w:endnote w:type="continuationSeparator" w:id="0">
    <w:p w:rsidR="004B725D" w:rsidRDefault="004B725D">
      <w:r>
        <w:continuationSeparator/>
      </w:r>
    </w:p>
    <w:p w:rsidR="004B725D" w:rsidRDefault="004B7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45" w:rsidRDefault="00527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45" w:rsidRDefault="005277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45" w:rsidRDefault="005277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49" w:rsidRPr="009A2A58" w:rsidRDefault="00184249" w:rsidP="00E905A8">
    <w:pPr>
      <w:pBdr>
        <w:top w:val="single" w:sz="4" w:space="1" w:color="auto"/>
      </w:pBdr>
      <w:rPr>
        <w:rStyle w:val="PageNumber"/>
        <w:color w:val="auto"/>
        <w:szCs w:val="14"/>
      </w:rPr>
    </w:pPr>
  </w:p>
  <w:p w:rsidR="00184249" w:rsidRPr="00830ABC" w:rsidRDefault="00184249" w:rsidP="00E905A8">
    <w:pPr>
      <w:jc w:val="right"/>
      <w:rPr>
        <w:b/>
        <w:color w:val="auto"/>
      </w:rPr>
    </w:pPr>
    <w:r w:rsidRPr="00240553">
      <w:rPr>
        <w:rStyle w:val="PageNumber"/>
        <w:color w:val="auto"/>
        <w:sz w:val="14"/>
        <w:szCs w:val="14"/>
      </w:rPr>
      <w:t>Social And Gendered Impacts related to Mining, Mongolia</w:t>
    </w:r>
    <w:r>
      <w:rPr>
        <w:rStyle w:val="PageNumber"/>
        <w:color w:val="auto"/>
        <w:sz w:val="14"/>
        <w:szCs w:val="14"/>
      </w:rPr>
      <w:t xml:space="preserve"> </w:t>
    </w:r>
    <w:r w:rsidRPr="009B3306">
      <w:rPr>
        <w:rStyle w:val="PageNumber"/>
        <w:b/>
        <w:color w:val="auto"/>
        <w:sz w:val="14"/>
        <w:szCs w:val="14"/>
      </w:rPr>
      <w:fldChar w:fldCharType="begin"/>
    </w:r>
    <w:r w:rsidRPr="009B3306">
      <w:rPr>
        <w:rStyle w:val="PageNumber"/>
        <w:b/>
        <w:color w:val="auto"/>
        <w:sz w:val="14"/>
        <w:szCs w:val="14"/>
      </w:rPr>
      <w:instrText xml:space="preserve"> PAGE </w:instrText>
    </w:r>
    <w:r w:rsidRPr="009B3306">
      <w:rPr>
        <w:rStyle w:val="PageNumber"/>
        <w:b/>
        <w:color w:val="auto"/>
        <w:sz w:val="14"/>
        <w:szCs w:val="14"/>
      </w:rPr>
      <w:fldChar w:fldCharType="separate"/>
    </w:r>
    <w:r w:rsidR="00527745">
      <w:rPr>
        <w:rStyle w:val="PageNumber"/>
        <w:b/>
        <w:noProof/>
        <w:color w:val="auto"/>
        <w:sz w:val="14"/>
        <w:szCs w:val="14"/>
      </w:rPr>
      <w:t>13</w:t>
    </w:r>
    <w:r w:rsidRPr="009B3306">
      <w:rPr>
        <w:rStyle w:val="PageNumber"/>
        <w:b/>
        <w:color w:val="auto"/>
        <w:sz w:val="14"/>
        <w:szCs w:val="14"/>
      </w:rPr>
      <w:fldChar w:fldCharType="end"/>
    </w:r>
  </w:p>
  <w:p w:rsidR="00184249" w:rsidRDefault="00184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5D" w:rsidRDefault="004B725D" w:rsidP="00356E35">
      <w:r>
        <w:separator/>
      </w:r>
    </w:p>
  </w:footnote>
  <w:footnote w:type="continuationSeparator" w:id="0">
    <w:p w:rsidR="004B725D" w:rsidRDefault="004B725D" w:rsidP="00356E35">
      <w:r>
        <w:separator/>
      </w:r>
    </w:p>
  </w:footnote>
  <w:footnote w:type="continuationNotice" w:id="1">
    <w:p w:rsidR="004B725D" w:rsidRPr="00574EC5" w:rsidRDefault="004B725D" w:rsidP="00574EC5">
      <w:pPr>
        <w:pStyle w:val="Footer"/>
      </w:pPr>
    </w:p>
  </w:footnote>
  <w:footnote w:id="2">
    <w:p w:rsidR="00184249" w:rsidRPr="00184249" w:rsidRDefault="00184249" w:rsidP="00240553">
      <w:pPr>
        <w:pStyle w:val="FootnoteText"/>
        <w:spacing w:after="0" w:line="240" w:lineRule="auto"/>
        <w:rPr>
          <w:rStyle w:val="FootnoteReference"/>
          <w:rFonts w:ascii="Arial" w:hAnsi="Arial" w:cs="Arial"/>
          <w:color w:val="auto"/>
          <w:sz w:val="16"/>
          <w:szCs w:val="16"/>
          <w:vertAlign w:val="baseline"/>
        </w:rPr>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See p.  14 of the Concept Note, “</w:t>
      </w:r>
      <w:r w:rsidRPr="00184249">
        <w:rPr>
          <w:rStyle w:val="FootnoteReference"/>
          <w:rFonts w:ascii="Arial" w:hAnsi="Arial" w:cs="Arial"/>
          <w:i w:val="0"/>
          <w:color w:val="auto"/>
          <w:sz w:val="16"/>
          <w:szCs w:val="16"/>
          <w:vertAlign w:val="baseline"/>
        </w:rPr>
        <w:t>South Gobi communities located near the large mines are ideally suited to participate in all elements of Component 3 [social impacts of mining], addressing gender-related social and economic issues, and providing opportunities for broader community engagement on regional development and government service delivery issues.”</w:t>
      </w:r>
    </w:p>
  </w:footnote>
  <w:footnote w:id="3">
    <w:p w:rsidR="00184249" w:rsidRPr="0074543A" w:rsidRDefault="00184249" w:rsidP="00240553">
      <w:pPr>
        <w:pStyle w:val="FootnoteText"/>
        <w:spacing w:after="0" w:line="240" w:lineRule="auto"/>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Concept Note, p.  15.</w:t>
      </w:r>
    </w:p>
  </w:footnote>
  <w:footnote w:id="4">
    <w:p w:rsidR="00184249" w:rsidRPr="00184249" w:rsidRDefault="00184249" w:rsidP="00240553">
      <w:pPr>
        <w:pStyle w:val="FootnoteText"/>
        <w:spacing w:after="0" w:line="240" w:lineRule="auto"/>
        <w:rPr>
          <w:rStyle w:val="FootnoteReference"/>
          <w:rFonts w:ascii="Arial" w:hAnsi="Arial" w:cs="Arial"/>
          <w:color w:val="auto"/>
          <w:sz w:val="16"/>
          <w:szCs w:val="16"/>
          <w:vertAlign w:val="baseline"/>
        </w:rPr>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For a more detailed discussion of Mongolian laws and policies relating to gender See AIP section </w:t>
      </w:r>
    </w:p>
  </w:footnote>
  <w:footnote w:id="5">
    <w:p w:rsidR="00184249" w:rsidRPr="00AC0EB2" w:rsidRDefault="00184249" w:rsidP="00970B42">
      <w:pPr>
        <w:pStyle w:val="FootnoteText"/>
        <w:spacing w:after="0" w:line="240" w:lineRule="auto"/>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World Economic Forum in collaboration with Harvard University and University of California, Berkeley, Global Gender Gap Report 2014.</w:t>
      </w:r>
      <w:r>
        <w:t xml:space="preserve">  </w:t>
      </w:r>
    </w:p>
  </w:footnote>
  <w:footnote w:id="6">
    <w:p w:rsidR="00184249" w:rsidRPr="00184249" w:rsidRDefault="00184249" w:rsidP="00240553">
      <w:pPr>
        <w:pStyle w:val="FootnoteText"/>
        <w:spacing w:after="0" w:line="240" w:lineRule="auto"/>
        <w:rPr>
          <w:rFonts w:cs="Arial"/>
          <w:sz w:val="16"/>
          <w:szCs w:val="16"/>
        </w:rPr>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There is sometimes confusion about the naming of the mines in the Tavan Tolgoi complex.  Energy Resources UHG is one, as is ‘little’ Tavan Tolgoi, a basic truck and shovel coal mine majority-owned by the South Gobi Provincial Government.  ‘Big’ Tavan Tolgoi (Erdenes Tavan Tolgoi LLC) is owned by the Mongolian Government and has yet to commence.  It has the potential to be one of the ten largest coal mines in the world.</w:t>
      </w:r>
    </w:p>
  </w:footnote>
  <w:footnote w:id="7">
    <w:p w:rsidR="00184249" w:rsidRPr="00184249" w:rsidRDefault="00184249" w:rsidP="00240553">
      <w:pPr>
        <w:pStyle w:val="FootnoteText"/>
        <w:spacing w:after="0" w:line="240" w:lineRule="auto"/>
        <w:rPr>
          <w:rStyle w:val="FootnoteReference"/>
          <w:rFonts w:ascii="Arial" w:hAnsi="Arial" w:cs="Arial"/>
          <w:color w:val="auto"/>
          <w:sz w:val="16"/>
          <w:szCs w:val="16"/>
          <w:vertAlign w:val="baseline"/>
        </w:rPr>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Sustainability East Asia </w:t>
      </w:r>
      <w:r w:rsidRPr="00184249">
        <w:rPr>
          <w:rStyle w:val="FootnoteReference"/>
          <w:rFonts w:ascii="Arial" w:hAnsi="Arial" w:cs="Arial"/>
          <w:i w:val="0"/>
          <w:color w:val="auto"/>
          <w:sz w:val="16"/>
          <w:szCs w:val="16"/>
          <w:vertAlign w:val="baseline"/>
        </w:rPr>
        <w:t>et al</w:t>
      </w:r>
      <w:r w:rsidRPr="00184249">
        <w:rPr>
          <w:rStyle w:val="FootnoteReference"/>
          <w:rFonts w:ascii="Arial" w:hAnsi="Arial" w:cs="Arial"/>
          <w:color w:val="auto"/>
          <w:sz w:val="16"/>
          <w:szCs w:val="16"/>
          <w:vertAlign w:val="baseline"/>
        </w:rPr>
        <w:t xml:space="preserve">, </w:t>
      </w:r>
      <w:r w:rsidRPr="00184249">
        <w:rPr>
          <w:rStyle w:val="FootnoteReference"/>
          <w:rFonts w:ascii="Arial" w:hAnsi="Arial" w:cs="Arial"/>
          <w:i w:val="0"/>
          <w:color w:val="auto"/>
          <w:sz w:val="16"/>
          <w:szCs w:val="16"/>
          <w:vertAlign w:val="baseline"/>
        </w:rPr>
        <w:t>Gobi Region Technical and Vocational Skills, Labour and Training Survey,</w:t>
      </w:r>
      <w:r w:rsidRPr="00184249">
        <w:rPr>
          <w:rStyle w:val="FootnoteReference"/>
          <w:rFonts w:ascii="Arial" w:hAnsi="Arial" w:cs="Arial"/>
          <w:color w:val="auto"/>
          <w:sz w:val="16"/>
          <w:szCs w:val="16"/>
          <w:vertAlign w:val="baseline"/>
        </w:rPr>
        <w:t xml:space="preserve"> Ulaanbaatar, 2010, p.  49.</w:t>
      </w:r>
    </w:p>
  </w:footnote>
  <w:footnote w:id="8">
    <w:p w:rsidR="00184249" w:rsidRPr="00AF5819" w:rsidRDefault="00184249" w:rsidP="00240553">
      <w:pPr>
        <w:pStyle w:val="FootnoteText"/>
        <w:spacing w:after="0" w:line="240" w:lineRule="auto"/>
        <w:rPr>
          <w:lang w:val="en-AU"/>
        </w:rPr>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Although these are under review by the Ministry of Labour in February 2015, ma</w:t>
      </w:r>
      <w:proofErr w:type="spellStart"/>
      <w:r w:rsidRPr="00184249">
        <w:rPr>
          <w:rFonts w:cs="Arial"/>
          <w:color w:val="auto"/>
          <w:sz w:val="16"/>
          <w:szCs w:val="16"/>
        </w:rPr>
        <w:t>n</w:t>
      </w:r>
      <w:r w:rsidRPr="00184249">
        <w:rPr>
          <w:rStyle w:val="FootnoteReference"/>
          <w:rFonts w:ascii="Arial" w:hAnsi="Arial" w:cs="Arial"/>
          <w:color w:val="auto"/>
          <w:sz w:val="16"/>
          <w:szCs w:val="16"/>
          <w:vertAlign w:val="baseline"/>
        </w:rPr>
        <w:t>y</w:t>
      </w:r>
      <w:proofErr w:type="spellEnd"/>
      <w:r w:rsidRPr="00184249">
        <w:rPr>
          <w:rStyle w:val="FootnoteReference"/>
          <w:rFonts w:ascii="Arial" w:hAnsi="Arial" w:cs="Arial"/>
          <w:color w:val="auto"/>
          <w:sz w:val="16"/>
          <w:szCs w:val="16"/>
          <w:vertAlign w:val="baseline"/>
        </w:rPr>
        <w:t xml:space="preserve"> companies already allow women to work underground and drive haulage trucks above a certain tonnage.</w:t>
      </w:r>
    </w:p>
  </w:footnote>
  <w:footnote w:id="9">
    <w:p w:rsidR="00184249" w:rsidRPr="00184249" w:rsidRDefault="00184249" w:rsidP="00240553">
      <w:pPr>
        <w:pStyle w:val="FootnoteText"/>
        <w:spacing w:after="0" w:line="240" w:lineRule="auto"/>
        <w:rPr>
          <w:rFonts w:cs="Arial"/>
          <w:sz w:val="16"/>
          <w:szCs w:val="16"/>
        </w:rPr>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Oyu Tolgoi, ESIA, C9 Employment, 2012, p.  6.</w:t>
      </w:r>
    </w:p>
  </w:footnote>
  <w:footnote w:id="10">
    <w:p w:rsidR="00184249" w:rsidRPr="00184249" w:rsidRDefault="00184249" w:rsidP="00240553">
      <w:pPr>
        <w:pStyle w:val="FootnoteText"/>
        <w:spacing w:after="0" w:line="240" w:lineRule="auto"/>
        <w:rPr>
          <w:rStyle w:val="FootnoteReference"/>
          <w:rFonts w:ascii="Arial" w:hAnsi="Arial" w:cs="Arial"/>
          <w:color w:val="auto"/>
          <w:sz w:val="16"/>
          <w:szCs w:val="16"/>
          <w:vertAlign w:val="baseline"/>
        </w:rPr>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Scoping Report, p.  30.</w:t>
      </w:r>
    </w:p>
  </w:footnote>
  <w:footnote w:id="11">
    <w:p w:rsidR="00184249" w:rsidRPr="00C63138" w:rsidRDefault="00184249" w:rsidP="00240553">
      <w:pPr>
        <w:pStyle w:val="FootnoteText"/>
        <w:spacing w:after="0" w:line="240" w:lineRule="auto"/>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Derived from Asian Development Bank.  Southeast Gobi Urban and Border Town Development Project.  Cited in Oyu Tolgoi ESIA, C13 Cumulative Impacts, pp.  5-6.</w:t>
      </w:r>
    </w:p>
  </w:footnote>
  <w:footnote w:id="12">
    <w:p w:rsidR="00184249" w:rsidRPr="00184249" w:rsidRDefault="00184249" w:rsidP="00240553">
      <w:pPr>
        <w:pStyle w:val="FootnoteText"/>
        <w:spacing w:after="0" w:line="240" w:lineRule="auto"/>
        <w:rPr>
          <w:rFonts w:cs="Arial"/>
          <w:sz w:val="16"/>
          <w:szCs w:val="16"/>
        </w:rPr>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NSO, Mongolian Statistical Year Book, 2010, p.  123.  Figures based on the Labour Force Survey, not on registered unemployed, usually underreported.</w:t>
      </w:r>
    </w:p>
  </w:footnote>
  <w:footnote w:id="13">
    <w:p w:rsidR="00184249" w:rsidRPr="00184249" w:rsidRDefault="00184249" w:rsidP="00184249">
      <w:pPr>
        <w:pStyle w:val="FootnoteText"/>
        <w:spacing w:after="0" w:line="240" w:lineRule="auto"/>
        <w:rPr>
          <w:rFonts w:cs="Arial"/>
          <w:sz w:val="16"/>
          <w:szCs w:val="16"/>
          <w:lang w:val="en-AU"/>
        </w:rPr>
      </w:pPr>
      <w:r w:rsidRPr="00184249">
        <w:rPr>
          <w:rStyle w:val="FootnoteReference"/>
          <w:rFonts w:ascii="Arial" w:hAnsi="Arial" w:cs="Arial"/>
          <w:color w:val="auto"/>
          <w:sz w:val="16"/>
          <w:szCs w:val="16"/>
          <w:vertAlign w:val="baseline"/>
        </w:rPr>
        <w:footnoteRef/>
      </w:r>
      <w:r w:rsidRPr="00184249">
        <w:rPr>
          <w:rStyle w:val="FootnoteReference"/>
          <w:rFonts w:ascii="Arial" w:hAnsi="Arial" w:cs="Arial"/>
          <w:color w:val="auto"/>
          <w:sz w:val="16"/>
          <w:szCs w:val="16"/>
          <w:vertAlign w:val="baseline"/>
        </w:rPr>
        <w:t xml:space="preserve"> Offences against the individual are considered acts of violence against another person, including domestic violence, alcohol related violence and sexual assaults (excluding rape, which was separately categorised) (Cane,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45" w:rsidRDefault="005277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49" w:rsidRDefault="00184249" w:rsidP="007C6E94"/>
  <w:p w:rsidR="00184249" w:rsidRDefault="00184249" w:rsidP="007C6E94"/>
  <w:p w:rsidR="00184249" w:rsidRPr="007C6E94" w:rsidRDefault="00184249" w:rsidP="007C6E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45" w:rsidRDefault="005277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49" w:rsidRPr="007C6E94" w:rsidRDefault="00184249" w:rsidP="00105A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49" w:rsidRPr="00517856" w:rsidRDefault="00184249" w:rsidP="00517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75pt;height:138.75pt" o:bullet="t">
        <v:imagedata r:id="rId1" o:title="chevron-bullet"/>
      </v:shape>
    </w:pict>
  </w:numPicBullet>
  <w:abstractNum w:abstractNumId="0">
    <w:nsid w:val="22DD3599"/>
    <w:multiLevelType w:val="multilevel"/>
    <w:tmpl w:val="CE7051B6"/>
    <w:lvl w:ilvl="0">
      <w:start w:val="1"/>
      <w:numFmt w:val="decimal"/>
      <w:pStyle w:val="ListNumber"/>
      <w:lvlText w:val="(%1)"/>
      <w:lvlJc w:val="left"/>
      <w:pPr>
        <w:tabs>
          <w:tab w:val="num" w:pos="709"/>
        </w:tabs>
        <w:ind w:left="709" w:hanging="709"/>
      </w:pPr>
      <w:rPr>
        <w:rFonts w:ascii="Arial Bold" w:hAnsi="Arial Bold" w:hint="default"/>
        <w:b/>
        <w:i w:val="0"/>
        <w:color w:val="99BFC2" w:themeColor="accent5"/>
        <w:sz w:val="2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PicBulletId w:val="0"/>
      <w:lvlJc w:val="left"/>
      <w:pPr>
        <w:tabs>
          <w:tab w:val="num" w:pos="2835"/>
        </w:tabs>
        <w:ind w:left="2835" w:hanging="709"/>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A7E6324"/>
    <w:multiLevelType w:val="multilevel"/>
    <w:tmpl w:val="5120A6BA"/>
    <w:lvl w:ilvl="0">
      <w:start w:val="1"/>
      <w:numFmt w:val="decimal"/>
      <w:lvlRestart w:val="0"/>
      <w:pStyle w:val="ASINumberedList"/>
      <w:lvlText w:val="%1."/>
      <w:lvlJc w:val="left"/>
      <w:pPr>
        <w:ind w:left="397" w:hanging="397"/>
      </w:pPr>
      <w:rPr>
        <w:b w:val="0"/>
        <w:bCs w:val="0"/>
        <w:i w:val="0"/>
        <w:iCs w:val="0"/>
        <w:caps w:val="0"/>
        <w:smallCaps w:val="0"/>
        <w:strike w:val="0"/>
        <w:dstrike w:val="0"/>
        <w:noProof w:val="0"/>
        <w:vanish w:val="0"/>
        <w:color w:val="99BFC2" w:themeColor="accent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227" w:firstLine="0"/>
      </w:pPr>
      <w:rPr>
        <w:rFonts w:ascii="Euphemia" w:hAnsi="Euphemia" w:hint="default"/>
        <w:b/>
        <w:i w:val="0"/>
        <w:color w:val="27306C"/>
      </w:rPr>
    </w:lvl>
    <w:lvl w:ilvl="2">
      <w:start w:val="1"/>
      <w:numFmt w:val="decimal"/>
      <w:suff w:val="space"/>
      <w:lvlText w:val="%1.%2.%3."/>
      <w:lvlJc w:val="left"/>
      <w:pPr>
        <w:ind w:left="998" w:hanging="544"/>
      </w:pPr>
      <w:rPr>
        <w:rFonts w:ascii="Euphemia" w:hAnsi="Euphemia" w:hint="default"/>
        <w:b/>
        <w:i w:val="0"/>
        <w:color w:val="27306C"/>
      </w:rPr>
    </w:lvl>
    <w:lvl w:ilvl="3">
      <w:start w:val="1"/>
      <w:numFmt w:val="decimal"/>
      <w:suff w:val="space"/>
      <w:lvlText w:val="%1.%2.%3.%4."/>
      <w:lvlJc w:val="left"/>
      <w:pPr>
        <w:ind w:left="1502" w:hanging="822"/>
      </w:pPr>
      <w:rPr>
        <w:rFonts w:ascii="Euphemia" w:hAnsi="Euphemia" w:hint="default"/>
        <w:b/>
        <w:i w:val="0"/>
        <w:color w:val="27306C"/>
      </w:rPr>
    </w:lvl>
    <w:lvl w:ilvl="4">
      <w:start w:val="1"/>
      <w:numFmt w:val="decimal"/>
      <w:lvlText w:val="%1.%2.%3.%4.%5."/>
      <w:lvlJc w:val="left"/>
      <w:pPr>
        <w:tabs>
          <w:tab w:val="num" w:pos="2290"/>
        </w:tabs>
        <w:ind w:left="2007" w:hanging="794"/>
      </w:pPr>
      <w:rPr>
        <w:rFonts w:hint="default"/>
      </w:rPr>
    </w:lvl>
    <w:lvl w:ilvl="5">
      <w:start w:val="1"/>
      <w:numFmt w:val="decimal"/>
      <w:lvlText w:val="%1.%2.%3.%4.%5.%6."/>
      <w:lvlJc w:val="left"/>
      <w:pPr>
        <w:tabs>
          <w:tab w:val="num" w:pos="2653"/>
        </w:tabs>
        <w:ind w:left="2506" w:hanging="936"/>
      </w:pPr>
      <w:rPr>
        <w:rFonts w:hint="default"/>
      </w:rPr>
    </w:lvl>
    <w:lvl w:ilvl="6">
      <w:start w:val="1"/>
      <w:numFmt w:val="decimal"/>
      <w:lvlText w:val="%1.%2.%3.%4.%5.%6.%7."/>
      <w:lvlJc w:val="left"/>
      <w:pPr>
        <w:tabs>
          <w:tab w:val="num" w:pos="3373"/>
        </w:tabs>
        <w:ind w:left="3010" w:hanging="1077"/>
      </w:pPr>
      <w:rPr>
        <w:rFonts w:hint="default"/>
      </w:rPr>
    </w:lvl>
    <w:lvl w:ilvl="7">
      <w:start w:val="1"/>
      <w:numFmt w:val="decimal"/>
      <w:lvlText w:val="%1.%2.%3.%4.%5.%6.%7.%8."/>
      <w:lvlJc w:val="left"/>
      <w:pPr>
        <w:tabs>
          <w:tab w:val="num" w:pos="3730"/>
        </w:tabs>
        <w:ind w:left="3515" w:hanging="1225"/>
      </w:pPr>
      <w:rPr>
        <w:rFonts w:hint="default"/>
      </w:rPr>
    </w:lvl>
    <w:lvl w:ilvl="8">
      <w:start w:val="1"/>
      <w:numFmt w:val="decimal"/>
      <w:lvlText w:val="%1.%2.%3.%4.%5.%6.%7.%8.%9."/>
      <w:lvlJc w:val="left"/>
      <w:pPr>
        <w:tabs>
          <w:tab w:val="num" w:pos="4450"/>
        </w:tabs>
        <w:ind w:left="4093" w:hanging="1440"/>
      </w:pPr>
      <w:rPr>
        <w:rFonts w:hint="default"/>
      </w:rPr>
    </w:lvl>
  </w:abstractNum>
  <w:abstractNum w:abstractNumId="2">
    <w:nsid w:val="3D7211D8"/>
    <w:multiLevelType w:val="hybridMultilevel"/>
    <w:tmpl w:val="49B2B9FE"/>
    <w:lvl w:ilvl="0" w:tplc="FACE6EC2">
      <w:start w:val="1"/>
      <w:numFmt w:val="bullet"/>
      <w:pStyle w:val="ASITableBullet"/>
      <w:lvlText w:val="›"/>
      <w:lvlJc w:val="left"/>
      <w:pPr>
        <w:ind w:left="720" w:hanging="360"/>
      </w:pPr>
      <w:rPr>
        <w:rFonts w:ascii="Arial" w:hAnsi="Arial" w:hint="default"/>
        <w:b/>
        <w:i w:val="0"/>
        <w:color w:val="99BFC2" w:themeColor="accent5"/>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69733F"/>
    <w:multiLevelType w:val="multilevel"/>
    <w:tmpl w:val="6BDA2CCE"/>
    <w:numStyleLink w:val="ListBulletlevel2"/>
  </w:abstractNum>
  <w:abstractNum w:abstractNumId="4">
    <w:nsid w:val="5C946828"/>
    <w:multiLevelType w:val="multilevel"/>
    <w:tmpl w:val="6BDA2CCE"/>
    <w:styleLink w:val="ListBulletlevel2"/>
    <w:lvl w:ilvl="0">
      <w:start w:val="1"/>
      <w:numFmt w:val="bullet"/>
      <w:pStyle w:val="ListBullet"/>
      <w:lvlText w:val=""/>
      <w:lvlPicBulletId w:val="0"/>
      <w:lvlJc w:val="left"/>
      <w:pPr>
        <w:ind w:left="437" w:hanging="210"/>
      </w:pPr>
      <w:rPr>
        <w:rFonts w:ascii="Symbol" w:hAnsi="Symbol" w:hint="default"/>
        <w:b/>
        <w:i w:val="0"/>
        <w:color w:val="auto"/>
        <w:sz w:val="22"/>
      </w:rPr>
    </w:lvl>
    <w:lvl w:ilvl="1">
      <w:start w:val="1"/>
      <w:numFmt w:val="bullet"/>
      <w:lvlRestart w:val="0"/>
      <w:pStyle w:val="ListBullet2"/>
      <w:lvlText w:val="–"/>
      <w:lvlJc w:val="left"/>
      <w:pPr>
        <w:ind w:left="658" w:hanging="204"/>
      </w:pPr>
      <w:rPr>
        <w:rFonts w:ascii="Times New Roman" w:hAnsi="Times New Roman" w:cs="Times New Roman" w:hint="default"/>
        <w:b/>
        <w:i w:val="0"/>
        <w:color w:val="6D6E71" w:themeColor="text2"/>
        <w:sz w:val="20"/>
      </w:rPr>
    </w:lvl>
    <w:lvl w:ilvl="2">
      <w:start w:val="1"/>
      <w:numFmt w:val="bullet"/>
      <w:lvlRestart w:val="0"/>
      <w:pStyle w:val="ListBullet3"/>
      <w:lvlText w:val=""/>
      <w:lvlPicBulletId w:val="0"/>
      <w:lvlJc w:val="left"/>
      <w:pPr>
        <w:ind w:left="885" w:hanging="205"/>
      </w:pPr>
      <w:rPr>
        <w:rFonts w:ascii="Symbol" w:hAnsi="Symbol" w:hint="default"/>
        <w:b/>
        <w:i w:val="0"/>
        <w:color w:val="auto"/>
        <w:sz w:val="22"/>
      </w:rPr>
    </w:lvl>
    <w:lvl w:ilvl="3">
      <w:start w:val="1"/>
      <w:numFmt w:val="bullet"/>
      <w:lvlRestart w:val="0"/>
      <w:pStyle w:val="ListBullet4"/>
      <w:lvlText w:val="–"/>
      <w:lvlJc w:val="left"/>
      <w:pPr>
        <w:ind w:left="1134" w:hanging="227"/>
      </w:pPr>
      <w:rPr>
        <w:rFonts w:ascii="Calibri" w:hAnsi="Calibri" w:hint="default"/>
        <w:b/>
        <w:i w:val="0"/>
        <w:color w:val="27306C"/>
        <w:sz w:val="22"/>
      </w:rPr>
    </w:lvl>
    <w:lvl w:ilvl="4">
      <w:start w:val="1"/>
      <w:numFmt w:val="bullet"/>
      <w:lvlText w:val=""/>
      <w:lvlPicBulletId w:val="0"/>
      <w:lvlJc w:val="left"/>
      <w:pPr>
        <w:tabs>
          <w:tab w:val="num" w:pos="3600"/>
        </w:tabs>
        <w:ind w:left="3600" w:hanging="360"/>
      </w:pPr>
      <w:rPr>
        <w:rFonts w:ascii="Symbol" w:hAnsi="Symbol" w:hint="default"/>
        <w:color w:val="auto"/>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54F3892"/>
    <w:multiLevelType w:val="hybridMultilevel"/>
    <w:tmpl w:val="A6685498"/>
    <w:lvl w:ilvl="0" w:tplc="E15C23E6">
      <w:start w:val="1"/>
      <w:numFmt w:val="decimal"/>
      <w:pStyle w:val="ASITableNumberedList"/>
      <w:lvlText w:val="%1."/>
      <w:lvlJc w:val="left"/>
      <w:pPr>
        <w:ind w:left="4460" w:hanging="360"/>
      </w:pPr>
      <w:rPr>
        <w:rFonts w:ascii="Arial Bold" w:hAnsi="Arial Bold" w:hint="default"/>
        <w:b/>
        <w:i w:val="0"/>
        <w:color w:val="99BFC2" w:themeColor="accent5"/>
      </w:rPr>
    </w:lvl>
    <w:lvl w:ilvl="1" w:tplc="08090019" w:tentative="1">
      <w:start w:val="1"/>
      <w:numFmt w:val="lowerLetter"/>
      <w:lvlText w:val="%2."/>
      <w:lvlJc w:val="left"/>
      <w:pPr>
        <w:ind w:left="5180" w:hanging="360"/>
      </w:pPr>
    </w:lvl>
    <w:lvl w:ilvl="2" w:tplc="0809001B" w:tentative="1">
      <w:start w:val="1"/>
      <w:numFmt w:val="lowerRoman"/>
      <w:lvlText w:val="%3."/>
      <w:lvlJc w:val="right"/>
      <w:pPr>
        <w:ind w:left="5900" w:hanging="180"/>
      </w:pPr>
    </w:lvl>
    <w:lvl w:ilvl="3" w:tplc="0809000F" w:tentative="1">
      <w:start w:val="1"/>
      <w:numFmt w:val="decimal"/>
      <w:lvlText w:val="%4."/>
      <w:lvlJc w:val="left"/>
      <w:pPr>
        <w:ind w:left="6620" w:hanging="360"/>
      </w:pPr>
    </w:lvl>
    <w:lvl w:ilvl="4" w:tplc="08090019" w:tentative="1">
      <w:start w:val="1"/>
      <w:numFmt w:val="lowerLetter"/>
      <w:lvlText w:val="%5."/>
      <w:lvlJc w:val="left"/>
      <w:pPr>
        <w:ind w:left="7340" w:hanging="360"/>
      </w:pPr>
    </w:lvl>
    <w:lvl w:ilvl="5" w:tplc="0809001B" w:tentative="1">
      <w:start w:val="1"/>
      <w:numFmt w:val="lowerRoman"/>
      <w:lvlText w:val="%6."/>
      <w:lvlJc w:val="right"/>
      <w:pPr>
        <w:ind w:left="8060" w:hanging="180"/>
      </w:pPr>
    </w:lvl>
    <w:lvl w:ilvl="6" w:tplc="0809000F" w:tentative="1">
      <w:start w:val="1"/>
      <w:numFmt w:val="decimal"/>
      <w:lvlText w:val="%7."/>
      <w:lvlJc w:val="left"/>
      <w:pPr>
        <w:ind w:left="8780" w:hanging="360"/>
      </w:pPr>
    </w:lvl>
    <w:lvl w:ilvl="7" w:tplc="08090019" w:tentative="1">
      <w:start w:val="1"/>
      <w:numFmt w:val="lowerLetter"/>
      <w:lvlText w:val="%8."/>
      <w:lvlJc w:val="left"/>
      <w:pPr>
        <w:ind w:left="9500" w:hanging="360"/>
      </w:pPr>
    </w:lvl>
    <w:lvl w:ilvl="8" w:tplc="0809001B" w:tentative="1">
      <w:start w:val="1"/>
      <w:numFmt w:val="lowerRoman"/>
      <w:lvlText w:val="%9."/>
      <w:lvlJc w:val="right"/>
      <w:pPr>
        <w:ind w:left="10220" w:hanging="180"/>
      </w:pPr>
    </w:lvl>
  </w:abstractNum>
  <w:abstractNum w:abstractNumId="6">
    <w:nsid w:val="75EC34C1"/>
    <w:multiLevelType w:val="multilevel"/>
    <w:tmpl w:val="12F0CB4A"/>
    <w:lvl w:ilvl="0">
      <w:start w:val="1"/>
      <w:numFmt w:val="bullet"/>
      <w:pStyle w:val="ASIBulletPoint"/>
      <w:lvlText w:val=""/>
      <w:lvlPicBulletId w:val="0"/>
      <w:lvlJc w:val="left"/>
      <w:pPr>
        <w:ind w:left="210" w:hanging="210"/>
      </w:pPr>
      <w:rPr>
        <w:rFonts w:ascii="Symbol" w:hAnsi="Symbol" w:hint="default"/>
        <w:b/>
        <w:i w:val="0"/>
        <w:color w:val="auto"/>
        <w:sz w:val="22"/>
      </w:rPr>
    </w:lvl>
    <w:lvl w:ilvl="1">
      <w:start w:val="1"/>
      <w:numFmt w:val="bullet"/>
      <w:lvlRestart w:val="0"/>
      <w:suff w:val="space"/>
      <w:lvlText w:val="–"/>
      <w:lvlJc w:val="left"/>
      <w:pPr>
        <w:ind w:left="431" w:hanging="204"/>
      </w:pPr>
      <w:rPr>
        <w:rFonts w:ascii="Calibri" w:hAnsi="Calibri" w:hint="default"/>
        <w:b/>
        <w:i w:val="0"/>
        <w:color w:val="27306C"/>
        <w:sz w:val="22"/>
      </w:rPr>
    </w:lvl>
    <w:lvl w:ilvl="2">
      <w:start w:val="1"/>
      <w:numFmt w:val="bullet"/>
      <w:lvlRestart w:val="0"/>
      <w:lvlText w:val=""/>
      <w:lvlPicBulletId w:val="0"/>
      <w:lvlJc w:val="left"/>
      <w:pPr>
        <w:ind w:left="658" w:hanging="205"/>
      </w:pPr>
      <w:rPr>
        <w:rFonts w:ascii="Symbol" w:hAnsi="Symbol" w:hint="default"/>
        <w:b/>
        <w:i w:val="0"/>
        <w:color w:val="auto"/>
        <w:sz w:val="22"/>
      </w:rPr>
    </w:lvl>
    <w:lvl w:ilvl="3">
      <w:start w:val="1"/>
      <w:numFmt w:val="bullet"/>
      <w:lvlRestart w:val="0"/>
      <w:lvlText w:val="–"/>
      <w:lvlJc w:val="left"/>
      <w:pPr>
        <w:ind w:left="907" w:hanging="227"/>
      </w:pPr>
      <w:rPr>
        <w:rFonts w:ascii="Calibri" w:hAnsi="Calibri" w:hint="default"/>
        <w:b/>
        <w:i w:val="0"/>
        <w:color w:val="27306C"/>
        <w:sz w:val="22"/>
      </w:rPr>
    </w:lvl>
    <w:lvl w:ilvl="4">
      <w:start w:val="1"/>
      <w:numFmt w:val="bullet"/>
      <w:lvlText w:val=""/>
      <w:lvlPicBulletId w:val="0"/>
      <w:lvlJc w:val="left"/>
      <w:pPr>
        <w:tabs>
          <w:tab w:val="num" w:pos="3373"/>
        </w:tabs>
        <w:ind w:left="3373" w:hanging="360"/>
      </w:pPr>
      <w:rPr>
        <w:rFonts w:ascii="Symbol" w:hAnsi="Symbol" w:hint="default"/>
        <w:color w:val="auto"/>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CO"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en-IE" w:vendorID="64" w:dllVersion="131078" w:nlCheck="1" w:checkStyle="1"/>
  <w:activeWritingStyle w:appName="MSWord" w:lang="en-NZ"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FootnoteReference"/>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58"/>
    <w:rsid w:val="00000A05"/>
    <w:rsid w:val="00000C41"/>
    <w:rsid w:val="00000C59"/>
    <w:rsid w:val="00001089"/>
    <w:rsid w:val="00001722"/>
    <w:rsid w:val="00001736"/>
    <w:rsid w:val="00001E23"/>
    <w:rsid w:val="00001F88"/>
    <w:rsid w:val="00002085"/>
    <w:rsid w:val="0000268D"/>
    <w:rsid w:val="00003036"/>
    <w:rsid w:val="0000433B"/>
    <w:rsid w:val="0000448E"/>
    <w:rsid w:val="000045D0"/>
    <w:rsid w:val="00004ECD"/>
    <w:rsid w:val="00005351"/>
    <w:rsid w:val="00006364"/>
    <w:rsid w:val="00006CB9"/>
    <w:rsid w:val="00007A9D"/>
    <w:rsid w:val="00007EAC"/>
    <w:rsid w:val="00011587"/>
    <w:rsid w:val="00012A49"/>
    <w:rsid w:val="00012BF9"/>
    <w:rsid w:val="00013E0D"/>
    <w:rsid w:val="00014985"/>
    <w:rsid w:val="00014C0F"/>
    <w:rsid w:val="00015208"/>
    <w:rsid w:val="00015494"/>
    <w:rsid w:val="000158F9"/>
    <w:rsid w:val="00015CC4"/>
    <w:rsid w:val="00015DF2"/>
    <w:rsid w:val="000163E2"/>
    <w:rsid w:val="00016C4F"/>
    <w:rsid w:val="00016DF6"/>
    <w:rsid w:val="00021165"/>
    <w:rsid w:val="0002123C"/>
    <w:rsid w:val="00021CEF"/>
    <w:rsid w:val="00022428"/>
    <w:rsid w:val="00022925"/>
    <w:rsid w:val="00023423"/>
    <w:rsid w:val="00023734"/>
    <w:rsid w:val="00024391"/>
    <w:rsid w:val="000248E0"/>
    <w:rsid w:val="00024C2E"/>
    <w:rsid w:val="00025115"/>
    <w:rsid w:val="000252FA"/>
    <w:rsid w:val="000258C3"/>
    <w:rsid w:val="00026029"/>
    <w:rsid w:val="00026058"/>
    <w:rsid w:val="00026C02"/>
    <w:rsid w:val="000271CC"/>
    <w:rsid w:val="000278B3"/>
    <w:rsid w:val="00030097"/>
    <w:rsid w:val="000302A4"/>
    <w:rsid w:val="00031041"/>
    <w:rsid w:val="000312F6"/>
    <w:rsid w:val="00031778"/>
    <w:rsid w:val="0003291F"/>
    <w:rsid w:val="00032C65"/>
    <w:rsid w:val="00032F83"/>
    <w:rsid w:val="00033019"/>
    <w:rsid w:val="0003331A"/>
    <w:rsid w:val="00033422"/>
    <w:rsid w:val="00034CDA"/>
    <w:rsid w:val="00035496"/>
    <w:rsid w:val="000355FB"/>
    <w:rsid w:val="0003560B"/>
    <w:rsid w:val="00035C09"/>
    <w:rsid w:val="0003606B"/>
    <w:rsid w:val="00036214"/>
    <w:rsid w:val="0003662B"/>
    <w:rsid w:val="00037159"/>
    <w:rsid w:val="000377BA"/>
    <w:rsid w:val="0003780A"/>
    <w:rsid w:val="0003792F"/>
    <w:rsid w:val="00037A25"/>
    <w:rsid w:val="00037CA2"/>
    <w:rsid w:val="00040333"/>
    <w:rsid w:val="0004060F"/>
    <w:rsid w:val="000413CC"/>
    <w:rsid w:val="0004283A"/>
    <w:rsid w:val="00042A4C"/>
    <w:rsid w:val="00042FF8"/>
    <w:rsid w:val="00043310"/>
    <w:rsid w:val="00043BE1"/>
    <w:rsid w:val="000443E4"/>
    <w:rsid w:val="00044689"/>
    <w:rsid w:val="0004498A"/>
    <w:rsid w:val="000466C7"/>
    <w:rsid w:val="00046B12"/>
    <w:rsid w:val="00046FF8"/>
    <w:rsid w:val="00047188"/>
    <w:rsid w:val="000478C3"/>
    <w:rsid w:val="00047BD7"/>
    <w:rsid w:val="00047BE9"/>
    <w:rsid w:val="00051272"/>
    <w:rsid w:val="000512EF"/>
    <w:rsid w:val="000515D9"/>
    <w:rsid w:val="000521CF"/>
    <w:rsid w:val="00052386"/>
    <w:rsid w:val="00053059"/>
    <w:rsid w:val="000534C2"/>
    <w:rsid w:val="00053781"/>
    <w:rsid w:val="000545CA"/>
    <w:rsid w:val="00055478"/>
    <w:rsid w:val="00055AA8"/>
    <w:rsid w:val="000564D2"/>
    <w:rsid w:val="00056785"/>
    <w:rsid w:val="00057400"/>
    <w:rsid w:val="000600A8"/>
    <w:rsid w:val="00060199"/>
    <w:rsid w:val="00060476"/>
    <w:rsid w:val="00060589"/>
    <w:rsid w:val="00060677"/>
    <w:rsid w:val="000618A3"/>
    <w:rsid w:val="00062F9D"/>
    <w:rsid w:val="0006309B"/>
    <w:rsid w:val="00063799"/>
    <w:rsid w:val="000639EE"/>
    <w:rsid w:val="00063E85"/>
    <w:rsid w:val="0006455A"/>
    <w:rsid w:val="00064A24"/>
    <w:rsid w:val="00066676"/>
    <w:rsid w:val="00066CD6"/>
    <w:rsid w:val="000704F3"/>
    <w:rsid w:val="00070ADD"/>
    <w:rsid w:val="00071983"/>
    <w:rsid w:val="0007208A"/>
    <w:rsid w:val="000724ED"/>
    <w:rsid w:val="000728BE"/>
    <w:rsid w:val="00072C15"/>
    <w:rsid w:val="00072C63"/>
    <w:rsid w:val="00072CAF"/>
    <w:rsid w:val="00073927"/>
    <w:rsid w:val="00073FBB"/>
    <w:rsid w:val="000750E8"/>
    <w:rsid w:val="00075DF1"/>
    <w:rsid w:val="00075EB3"/>
    <w:rsid w:val="0007662B"/>
    <w:rsid w:val="0007713C"/>
    <w:rsid w:val="00077367"/>
    <w:rsid w:val="00077A44"/>
    <w:rsid w:val="00081149"/>
    <w:rsid w:val="0008220F"/>
    <w:rsid w:val="00082750"/>
    <w:rsid w:val="00082801"/>
    <w:rsid w:val="000835DD"/>
    <w:rsid w:val="0008387F"/>
    <w:rsid w:val="000838C1"/>
    <w:rsid w:val="00084B98"/>
    <w:rsid w:val="00084D32"/>
    <w:rsid w:val="00084F67"/>
    <w:rsid w:val="000854A2"/>
    <w:rsid w:val="00085506"/>
    <w:rsid w:val="0008566C"/>
    <w:rsid w:val="0008605A"/>
    <w:rsid w:val="00086F7B"/>
    <w:rsid w:val="0008704F"/>
    <w:rsid w:val="00090FAB"/>
    <w:rsid w:val="0009184B"/>
    <w:rsid w:val="00091AD6"/>
    <w:rsid w:val="0009340F"/>
    <w:rsid w:val="0009372B"/>
    <w:rsid w:val="00093A26"/>
    <w:rsid w:val="00093A46"/>
    <w:rsid w:val="00093D94"/>
    <w:rsid w:val="00094062"/>
    <w:rsid w:val="000943BC"/>
    <w:rsid w:val="000945BC"/>
    <w:rsid w:val="0009485D"/>
    <w:rsid w:val="00094C0D"/>
    <w:rsid w:val="00094D6D"/>
    <w:rsid w:val="0009519A"/>
    <w:rsid w:val="000959C7"/>
    <w:rsid w:val="00095AF3"/>
    <w:rsid w:val="00096404"/>
    <w:rsid w:val="00096ABB"/>
    <w:rsid w:val="00097277"/>
    <w:rsid w:val="000979C2"/>
    <w:rsid w:val="00097C31"/>
    <w:rsid w:val="00097F4E"/>
    <w:rsid w:val="000A014A"/>
    <w:rsid w:val="000A0506"/>
    <w:rsid w:val="000A0B9B"/>
    <w:rsid w:val="000A0DC7"/>
    <w:rsid w:val="000A1814"/>
    <w:rsid w:val="000A186A"/>
    <w:rsid w:val="000A2371"/>
    <w:rsid w:val="000A2FCA"/>
    <w:rsid w:val="000A30A2"/>
    <w:rsid w:val="000A30A9"/>
    <w:rsid w:val="000A3903"/>
    <w:rsid w:val="000A3C76"/>
    <w:rsid w:val="000A5234"/>
    <w:rsid w:val="000A6685"/>
    <w:rsid w:val="000A67D6"/>
    <w:rsid w:val="000A6B00"/>
    <w:rsid w:val="000A7746"/>
    <w:rsid w:val="000A79DE"/>
    <w:rsid w:val="000A7BBD"/>
    <w:rsid w:val="000B03A2"/>
    <w:rsid w:val="000B25F0"/>
    <w:rsid w:val="000B4072"/>
    <w:rsid w:val="000B4DD8"/>
    <w:rsid w:val="000B5486"/>
    <w:rsid w:val="000B57F1"/>
    <w:rsid w:val="000B6238"/>
    <w:rsid w:val="000B7141"/>
    <w:rsid w:val="000B7C06"/>
    <w:rsid w:val="000C0343"/>
    <w:rsid w:val="000C11FB"/>
    <w:rsid w:val="000C1815"/>
    <w:rsid w:val="000C1AE7"/>
    <w:rsid w:val="000C29F4"/>
    <w:rsid w:val="000C3244"/>
    <w:rsid w:val="000C39CD"/>
    <w:rsid w:val="000C5364"/>
    <w:rsid w:val="000C5765"/>
    <w:rsid w:val="000C631C"/>
    <w:rsid w:val="000C6452"/>
    <w:rsid w:val="000C7AF5"/>
    <w:rsid w:val="000D07FD"/>
    <w:rsid w:val="000D1A95"/>
    <w:rsid w:val="000D2164"/>
    <w:rsid w:val="000D2EAB"/>
    <w:rsid w:val="000D3090"/>
    <w:rsid w:val="000D4239"/>
    <w:rsid w:val="000D4AA0"/>
    <w:rsid w:val="000D578F"/>
    <w:rsid w:val="000D60F0"/>
    <w:rsid w:val="000D6382"/>
    <w:rsid w:val="000D6CFB"/>
    <w:rsid w:val="000D7009"/>
    <w:rsid w:val="000D7854"/>
    <w:rsid w:val="000E00F7"/>
    <w:rsid w:val="000E071A"/>
    <w:rsid w:val="000E0F9E"/>
    <w:rsid w:val="000E185D"/>
    <w:rsid w:val="000E1CAB"/>
    <w:rsid w:val="000E3A18"/>
    <w:rsid w:val="000E3AD0"/>
    <w:rsid w:val="000E5288"/>
    <w:rsid w:val="000E59EB"/>
    <w:rsid w:val="000E6FA5"/>
    <w:rsid w:val="000F0D4C"/>
    <w:rsid w:val="000F0E7E"/>
    <w:rsid w:val="000F1BA5"/>
    <w:rsid w:val="000F2BA7"/>
    <w:rsid w:val="000F2C56"/>
    <w:rsid w:val="000F342F"/>
    <w:rsid w:val="000F3524"/>
    <w:rsid w:val="000F376F"/>
    <w:rsid w:val="000F5096"/>
    <w:rsid w:val="000F5648"/>
    <w:rsid w:val="000F57C9"/>
    <w:rsid w:val="000F58A4"/>
    <w:rsid w:val="000F5F73"/>
    <w:rsid w:val="000F687E"/>
    <w:rsid w:val="000F7048"/>
    <w:rsid w:val="000F75ED"/>
    <w:rsid w:val="000F77D3"/>
    <w:rsid w:val="000F79E3"/>
    <w:rsid w:val="001005B0"/>
    <w:rsid w:val="00100721"/>
    <w:rsid w:val="00101692"/>
    <w:rsid w:val="00101781"/>
    <w:rsid w:val="00103E3F"/>
    <w:rsid w:val="00105ABB"/>
    <w:rsid w:val="00105EA4"/>
    <w:rsid w:val="00106430"/>
    <w:rsid w:val="00107025"/>
    <w:rsid w:val="001100B8"/>
    <w:rsid w:val="00110B2F"/>
    <w:rsid w:val="00112B2C"/>
    <w:rsid w:val="00112B89"/>
    <w:rsid w:val="0011360A"/>
    <w:rsid w:val="0011395B"/>
    <w:rsid w:val="001157FA"/>
    <w:rsid w:val="00115F82"/>
    <w:rsid w:val="001169C0"/>
    <w:rsid w:val="00117783"/>
    <w:rsid w:val="00117C7D"/>
    <w:rsid w:val="00121533"/>
    <w:rsid w:val="001215F2"/>
    <w:rsid w:val="00121BE1"/>
    <w:rsid w:val="00121EE9"/>
    <w:rsid w:val="001223F9"/>
    <w:rsid w:val="00122502"/>
    <w:rsid w:val="00122519"/>
    <w:rsid w:val="00123E1B"/>
    <w:rsid w:val="00123F04"/>
    <w:rsid w:val="0012457C"/>
    <w:rsid w:val="00124B57"/>
    <w:rsid w:val="00124E17"/>
    <w:rsid w:val="0012500C"/>
    <w:rsid w:val="00125186"/>
    <w:rsid w:val="00125445"/>
    <w:rsid w:val="00125D11"/>
    <w:rsid w:val="0012606A"/>
    <w:rsid w:val="00126DAA"/>
    <w:rsid w:val="00126FD4"/>
    <w:rsid w:val="00127C6D"/>
    <w:rsid w:val="0013029D"/>
    <w:rsid w:val="001309DB"/>
    <w:rsid w:val="00130C2B"/>
    <w:rsid w:val="00130F9F"/>
    <w:rsid w:val="00131982"/>
    <w:rsid w:val="001335BD"/>
    <w:rsid w:val="001337F4"/>
    <w:rsid w:val="00133AF0"/>
    <w:rsid w:val="00134370"/>
    <w:rsid w:val="00134F44"/>
    <w:rsid w:val="001356E5"/>
    <w:rsid w:val="00135E7B"/>
    <w:rsid w:val="001362A3"/>
    <w:rsid w:val="001365DD"/>
    <w:rsid w:val="001370C0"/>
    <w:rsid w:val="00137148"/>
    <w:rsid w:val="0014063A"/>
    <w:rsid w:val="0014088C"/>
    <w:rsid w:val="00140BF0"/>
    <w:rsid w:val="001418A6"/>
    <w:rsid w:val="00141A19"/>
    <w:rsid w:val="00141A62"/>
    <w:rsid w:val="001420D6"/>
    <w:rsid w:val="001422A8"/>
    <w:rsid w:val="001427F1"/>
    <w:rsid w:val="00142CAD"/>
    <w:rsid w:val="00143730"/>
    <w:rsid w:val="00144060"/>
    <w:rsid w:val="00144316"/>
    <w:rsid w:val="0014662A"/>
    <w:rsid w:val="001479BF"/>
    <w:rsid w:val="00150002"/>
    <w:rsid w:val="001501B5"/>
    <w:rsid w:val="00150C4D"/>
    <w:rsid w:val="00150E86"/>
    <w:rsid w:val="00151789"/>
    <w:rsid w:val="00151F78"/>
    <w:rsid w:val="001531AB"/>
    <w:rsid w:val="00153A29"/>
    <w:rsid w:val="00153AC5"/>
    <w:rsid w:val="00153F0E"/>
    <w:rsid w:val="001558F5"/>
    <w:rsid w:val="00155C30"/>
    <w:rsid w:val="0015654A"/>
    <w:rsid w:val="00157C19"/>
    <w:rsid w:val="00160707"/>
    <w:rsid w:val="00160905"/>
    <w:rsid w:val="00160D44"/>
    <w:rsid w:val="0016165D"/>
    <w:rsid w:val="00161700"/>
    <w:rsid w:val="001617D7"/>
    <w:rsid w:val="00161A96"/>
    <w:rsid w:val="00161E89"/>
    <w:rsid w:val="00162623"/>
    <w:rsid w:val="00162C53"/>
    <w:rsid w:val="00163C1A"/>
    <w:rsid w:val="00163DA3"/>
    <w:rsid w:val="00164817"/>
    <w:rsid w:val="00165AD1"/>
    <w:rsid w:val="0016678B"/>
    <w:rsid w:val="00166DD4"/>
    <w:rsid w:val="00166E92"/>
    <w:rsid w:val="00167100"/>
    <w:rsid w:val="001678C5"/>
    <w:rsid w:val="00167989"/>
    <w:rsid w:val="00167A33"/>
    <w:rsid w:val="00167AA4"/>
    <w:rsid w:val="00167C97"/>
    <w:rsid w:val="00167D3A"/>
    <w:rsid w:val="00167E59"/>
    <w:rsid w:val="00167E84"/>
    <w:rsid w:val="00167FBF"/>
    <w:rsid w:val="001707BE"/>
    <w:rsid w:val="00170C3B"/>
    <w:rsid w:val="001712C2"/>
    <w:rsid w:val="001716DC"/>
    <w:rsid w:val="00171D3D"/>
    <w:rsid w:val="00172540"/>
    <w:rsid w:val="00172F2F"/>
    <w:rsid w:val="00173341"/>
    <w:rsid w:val="00174647"/>
    <w:rsid w:val="00174678"/>
    <w:rsid w:val="00174868"/>
    <w:rsid w:val="00174A7C"/>
    <w:rsid w:val="00174AED"/>
    <w:rsid w:val="00174F84"/>
    <w:rsid w:val="00175136"/>
    <w:rsid w:val="0017615C"/>
    <w:rsid w:val="00180586"/>
    <w:rsid w:val="0018079D"/>
    <w:rsid w:val="00181938"/>
    <w:rsid w:val="00181BDC"/>
    <w:rsid w:val="00182721"/>
    <w:rsid w:val="00182F06"/>
    <w:rsid w:val="0018324A"/>
    <w:rsid w:val="00184249"/>
    <w:rsid w:val="00184BF6"/>
    <w:rsid w:val="00184F37"/>
    <w:rsid w:val="0018606F"/>
    <w:rsid w:val="0018632A"/>
    <w:rsid w:val="00186FF1"/>
    <w:rsid w:val="00187A56"/>
    <w:rsid w:val="001902CE"/>
    <w:rsid w:val="00190739"/>
    <w:rsid w:val="001909A9"/>
    <w:rsid w:val="00191FB3"/>
    <w:rsid w:val="00192458"/>
    <w:rsid w:val="00192801"/>
    <w:rsid w:val="0019332C"/>
    <w:rsid w:val="0019389B"/>
    <w:rsid w:val="00195435"/>
    <w:rsid w:val="00195772"/>
    <w:rsid w:val="00195901"/>
    <w:rsid w:val="001964FE"/>
    <w:rsid w:val="0019682B"/>
    <w:rsid w:val="00196DF8"/>
    <w:rsid w:val="0019712F"/>
    <w:rsid w:val="001974B8"/>
    <w:rsid w:val="001A0F79"/>
    <w:rsid w:val="001A1175"/>
    <w:rsid w:val="001A2C3D"/>
    <w:rsid w:val="001A332F"/>
    <w:rsid w:val="001A34DB"/>
    <w:rsid w:val="001A4DFA"/>
    <w:rsid w:val="001A5383"/>
    <w:rsid w:val="001A700D"/>
    <w:rsid w:val="001A776B"/>
    <w:rsid w:val="001A7F32"/>
    <w:rsid w:val="001B05DE"/>
    <w:rsid w:val="001B0F5E"/>
    <w:rsid w:val="001B1264"/>
    <w:rsid w:val="001B14D4"/>
    <w:rsid w:val="001B1D29"/>
    <w:rsid w:val="001B2400"/>
    <w:rsid w:val="001B2492"/>
    <w:rsid w:val="001B32E1"/>
    <w:rsid w:val="001B342F"/>
    <w:rsid w:val="001B444E"/>
    <w:rsid w:val="001B4533"/>
    <w:rsid w:val="001B48D2"/>
    <w:rsid w:val="001B48E5"/>
    <w:rsid w:val="001B5F58"/>
    <w:rsid w:val="001B6340"/>
    <w:rsid w:val="001B75CF"/>
    <w:rsid w:val="001B79FA"/>
    <w:rsid w:val="001C0D63"/>
    <w:rsid w:val="001C1C56"/>
    <w:rsid w:val="001C2383"/>
    <w:rsid w:val="001C247B"/>
    <w:rsid w:val="001C2DB5"/>
    <w:rsid w:val="001C317E"/>
    <w:rsid w:val="001C39D9"/>
    <w:rsid w:val="001C3C83"/>
    <w:rsid w:val="001C5404"/>
    <w:rsid w:val="001C56BD"/>
    <w:rsid w:val="001C5975"/>
    <w:rsid w:val="001C62A7"/>
    <w:rsid w:val="001C68BE"/>
    <w:rsid w:val="001C7016"/>
    <w:rsid w:val="001C7E17"/>
    <w:rsid w:val="001D01B6"/>
    <w:rsid w:val="001D0395"/>
    <w:rsid w:val="001D07DD"/>
    <w:rsid w:val="001D0A7E"/>
    <w:rsid w:val="001D0CA8"/>
    <w:rsid w:val="001D1183"/>
    <w:rsid w:val="001D186B"/>
    <w:rsid w:val="001D1CDC"/>
    <w:rsid w:val="001D207E"/>
    <w:rsid w:val="001D29FD"/>
    <w:rsid w:val="001D300A"/>
    <w:rsid w:val="001D3364"/>
    <w:rsid w:val="001D4E21"/>
    <w:rsid w:val="001D55D2"/>
    <w:rsid w:val="001D5D86"/>
    <w:rsid w:val="001D6DBF"/>
    <w:rsid w:val="001D7AB6"/>
    <w:rsid w:val="001E05D6"/>
    <w:rsid w:val="001E0710"/>
    <w:rsid w:val="001E0AFA"/>
    <w:rsid w:val="001E0BF3"/>
    <w:rsid w:val="001E0DB5"/>
    <w:rsid w:val="001E10F3"/>
    <w:rsid w:val="001E1467"/>
    <w:rsid w:val="001E1864"/>
    <w:rsid w:val="001E19CC"/>
    <w:rsid w:val="001E1D2B"/>
    <w:rsid w:val="001E205A"/>
    <w:rsid w:val="001E241D"/>
    <w:rsid w:val="001E264E"/>
    <w:rsid w:val="001E38A0"/>
    <w:rsid w:val="001E3F75"/>
    <w:rsid w:val="001E4B2B"/>
    <w:rsid w:val="001E5BD9"/>
    <w:rsid w:val="001E6A68"/>
    <w:rsid w:val="001E6C80"/>
    <w:rsid w:val="001E6CDB"/>
    <w:rsid w:val="001E6E3E"/>
    <w:rsid w:val="001E71EB"/>
    <w:rsid w:val="001F0C07"/>
    <w:rsid w:val="001F115E"/>
    <w:rsid w:val="001F18BA"/>
    <w:rsid w:val="001F1979"/>
    <w:rsid w:val="001F246A"/>
    <w:rsid w:val="001F343B"/>
    <w:rsid w:val="001F34FD"/>
    <w:rsid w:val="001F68F0"/>
    <w:rsid w:val="001F6C67"/>
    <w:rsid w:val="001F73D3"/>
    <w:rsid w:val="001F78EE"/>
    <w:rsid w:val="001F7D00"/>
    <w:rsid w:val="002001FF"/>
    <w:rsid w:val="0020030B"/>
    <w:rsid w:val="00201333"/>
    <w:rsid w:val="00201826"/>
    <w:rsid w:val="00202046"/>
    <w:rsid w:val="00202164"/>
    <w:rsid w:val="0020240C"/>
    <w:rsid w:val="00202776"/>
    <w:rsid w:val="00202A18"/>
    <w:rsid w:val="00202B2E"/>
    <w:rsid w:val="00202E52"/>
    <w:rsid w:val="0020301B"/>
    <w:rsid w:val="002032B1"/>
    <w:rsid w:val="002032EA"/>
    <w:rsid w:val="00203BA4"/>
    <w:rsid w:val="00205102"/>
    <w:rsid w:val="00205D10"/>
    <w:rsid w:val="00205E1A"/>
    <w:rsid w:val="002060BA"/>
    <w:rsid w:val="00206564"/>
    <w:rsid w:val="00207BFC"/>
    <w:rsid w:val="00210001"/>
    <w:rsid w:val="00210CF7"/>
    <w:rsid w:val="00211099"/>
    <w:rsid w:val="002112D9"/>
    <w:rsid w:val="002113C7"/>
    <w:rsid w:val="00211CB5"/>
    <w:rsid w:val="00211E93"/>
    <w:rsid w:val="00211F11"/>
    <w:rsid w:val="00212E9B"/>
    <w:rsid w:val="00213BCC"/>
    <w:rsid w:val="0021402B"/>
    <w:rsid w:val="0021449F"/>
    <w:rsid w:val="002144D1"/>
    <w:rsid w:val="00214B41"/>
    <w:rsid w:val="00215386"/>
    <w:rsid w:val="002160C6"/>
    <w:rsid w:val="0021664E"/>
    <w:rsid w:val="0021676E"/>
    <w:rsid w:val="00216B11"/>
    <w:rsid w:val="00217257"/>
    <w:rsid w:val="00217E9E"/>
    <w:rsid w:val="002201CD"/>
    <w:rsid w:val="002204F3"/>
    <w:rsid w:val="002213EE"/>
    <w:rsid w:val="002214CA"/>
    <w:rsid w:val="0022234E"/>
    <w:rsid w:val="002224C3"/>
    <w:rsid w:val="00222AB7"/>
    <w:rsid w:val="00223492"/>
    <w:rsid w:val="00223CD3"/>
    <w:rsid w:val="002243C9"/>
    <w:rsid w:val="0022482B"/>
    <w:rsid w:val="00224F62"/>
    <w:rsid w:val="00225082"/>
    <w:rsid w:val="002251D8"/>
    <w:rsid w:val="00225617"/>
    <w:rsid w:val="00225AB2"/>
    <w:rsid w:val="00225ACB"/>
    <w:rsid w:val="00225F13"/>
    <w:rsid w:val="00226486"/>
    <w:rsid w:val="0022683C"/>
    <w:rsid w:val="00227135"/>
    <w:rsid w:val="002272C8"/>
    <w:rsid w:val="0022743B"/>
    <w:rsid w:val="002304BE"/>
    <w:rsid w:val="00232012"/>
    <w:rsid w:val="002332DF"/>
    <w:rsid w:val="00233A31"/>
    <w:rsid w:val="00234878"/>
    <w:rsid w:val="002357D1"/>
    <w:rsid w:val="0023592B"/>
    <w:rsid w:val="002359F4"/>
    <w:rsid w:val="00235F86"/>
    <w:rsid w:val="002363D0"/>
    <w:rsid w:val="00236ED8"/>
    <w:rsid w:val="00237CEA"/>
    <w:rsid w:val="00240430"/>
    <w:rsid w:val="00240553"/>
    <w:rsid w:val="00241072"/>
    <w:rsid w:val="002419BB"/>
    <w:rsid w:val="00241B90"/>
    <w:rsid w:val="00241BB2"/>
    <w:rsid w:val="00242871"/>
    <w:rsid w:val="00242D4F"/>
    <w:rsid w:val="00242DB0"/>
    <w:rsid w:val="0024321B"/>
    <w:rsid w:val="0024369E"/>
    <w:rsid w:val="00244286"/>
    <w:rsid w:val="00244A84"/>
    <w:rsid w:val="002450EC"/>
    <w:rsid w:val="00245BFD"/>
    <w:rsid w:val="0024600F"/>
    <w:rsid w:val="00246261"/>
    <w:rsid w:val="00247353"/>
    <w:rsid w:val="00247406"/>
    <w:rsid w:val="0024758A"/>
    <w:rsid w:val="0024780B"/>
    <w:rsid w:val="00247E6B"/>
    <w:rsid w:val="0025001E"/>
    <w:rsid w:val="0025048E"/>
    <w:rsid w:val="0025130B"/>
    <w:rsid w:val="002514F1"/>
    <w:rsid w:val="00251F77"/>
    <w:rsid w:val="0025206D"/>
    <w:rsid w:val="0025287C"/>
    <w:rsid w:val="002529A9"/>
    <w:rsid w:val="00253297"/>
    <w:rsid w:val="00254AF5"/>
    <w:rsid w:val="00255BFC"/>
    <w:rsid w:val="00256396"/>
    <w:rsid w:val="00256592"/>
    <w:rsid w:val="002566EC"/>
    <w:rsid w:val="002567BB"/>
    <w:rsid w:val="0025799E"/>
    <w:rsid w:val="00257EAE"/>
    <w:rsid w:val="00260E37"/>
    <w:rsid w:val="002619E7"/>
    <w:rsid w:val="00261A1B"/>
    <w:rsid w:val="00261E90"/>
    <w:rsid w:val="002625C6"/>
    <w:rsid w:val="00262981"/>
    <w:rsid w:val="00262A42"/>
    <w:rsid w:val="00263711"/>
    <w:rsid w:val="002638C0"/>
    <w:rsid w:val="00263FE2"/>
    <w:rsid w:val="00264706"/>
    <w:rsid w:val="00265B06"/>
    <w:rsid w:val="00266C84"/>
    <w:rsid w:val="00266F50"/>
    <w:rsid w:val="00267C6B"/>
    <w:rsid w:val="00267CF2"/>
    <w:rsid w:val="002706D1"/>
    <w:rsid w:val="00271ED9"/>
    <w:rsid w:val="00271F31"/>
    <w:rsid w:val="00271F76"/>
    <w:rsid w:val="0027217E"/>
    <w:rsid w:val="00272BB4"/>
    <w:rsid w:val="00273805"/>
    <w:rsid w:val="00273B5E"/>
    <w:rsid w:val="00274244"/>
    <w:rsid w:val="00274993"/>
    <w:rsid w:val="00275D44"/>
    <w:rsid w:val="00275E2C"/>
    <w:rsid w:val="002760A4"/>
    <w:rsid w:val="002760F9"/>
    <w:rsid w:val="0027669C"/>
    <w:rsid w:val="0027698C"/>
    <w:rsid w:val="00280089"/>
    <w:rsid w:val="002801BB"/>
    <w:rsid w:val="002803CD"/>
    <w:rsid w:val="002806E9"/>
    <w:rsid w:val="0028100A"/>
    <w:rsid w:val="00282803"/>
    <w:rsid w:val="00282F5C"/>
    <w:rsid w:val="0028320C"/>
    <w:rsid w:val="002836AA"/>
    <w:rsid w:val="00283ECE"/>
    <w:rsid w:val="00283FA0"/>
    <w:rsid w:val="0028420A"/>
    <w:rsid w:val="00284905"/>
    <w:rsid w:val="00284BF0"/>
    <w:rsid w:val="002857CA"/>
    <w:rsid w:val="00285D4A"/>
    <w:rsid w:val="002860FF"/>
    <w:rsid w:val="002866D0"/>
    <w:rsid w:val="00286A79"/>
    <w:rsid w:val="00286C43"/>
    <w:rsid w:val="0028724A"/>
    <w:rsid w:val="002904A9"/>
    <w:rsid w:val="00290A67"/>
    <w:rsid w:val="002912CC"/>
    <w:rsid w:val="002932A9"/>
    <w:rsid w:val="00293DF4"/>
    <w:rsid w:val="00294250"/>
    <w:rsid w:val="00294409"/>
    <w:rsid w:val="00294D67"/>
    <w:rsid w:val="00295027"/>
    <w:rsid w:val="0029587A"/>
    <w:rsid w:val="00295F4C"/>
    <w:rsid w:val="002A03FD"/>
    <w:rsid w:val="002A0543"/>
    <w:rsid w:val="002A087B"/>
    <w:rsid w:val="002A1BD9"/>
    <w:rsid w:val="002A226A"/>
    <w:rsid w:val="002A27D0"/>
    <w:rsid w:val="002A3200"/>
    <w:rsid w:val="002A360B"/>
    <w:rsid w:val="002A409C"/>
    <w:rsid w:val="002A5881"/>
    <w:rsid w:val="002A7B53"/>
    <w:rsid w:val="002A7B5C"/>
    <w:rsid w:val="002A7DEE"/>
    <w:rsid w:val="002B00FB"/>
    <w:rsid w:val="002B014C"/>
    <w:rsid w:val="002B0B6D"/>
    <w:rsid w:val="002B0FE3"/>
    <w:rsid w:val="002B1406"/>
    <w:rsid w:val="002B14BA"/>
    <w:rsid w:val="002B1604"/>
    <w:rsid w:val="002B1D86"/>
    <w:rsid w:val="002B2356"/>
    <w:rsid w:val="002B24AB"/>
    <w:rsid w:val="002B32D8"/>
    <w:rsid w:val="002B3598"/>
    <w:rsid w:val="002B376D"/>
    <w:rsid w:val="002B3A47"/>
    <w:rsid w:val="002B3B39"/>
    <w:rsid w:val="002B3BCE"/>
    <w:rsid w:val="002B4162"/>
    <w:rsid w:val="002B4734"/>
    <w:rsid w:val="002B494F"/>
    <w:rsid w:val="002B4C57"/>
    <w:rsid w:val="002B5D68"/>
    <w:rsid w:val="002B6B30"/>
    <w:rsid w:val="002B7E3F"/>
    <w:rsid w:val="002C01E5"/>
    <w:rsid w:val="002C1A54"/>
    <w:rsid w:val="002C1AF5"/>
    <w:rsid w:val="002C2218"/>
    <w:rsid w:val="002C241A"/>
    <w:rsid w:val="002C2FC3"/>
    <w:rsid w:val="002C3703"/>
    <w:rsid w:val="002C4014"/>
    <w:rsid w:val="002C4803"/>
    <w:rsid w:val="002C483D"/>
    <w:rsid w:val="002C5590"/>
    <w:rsid w:val="002C58E1"/>
    <w:rsid w:val="002C58E7"/>
    <w:rsid w:val="002C5924"/>
    <w:rsid w:val="002C5E58"/>
    <w:rsid w:val="002C6CDA"/>
    <w:rsid w:val="002C7194"/>
    <w:rsid w:val="002C7FBB"/>
    <w:rsid w:val="002D015E"/>
    <w:rsid w:val="002D0856"/>
    <w:rsid w:val="002D096C"/>
    <w:rsid w:val="002D0A37"/>
    <w:rsid w:val="002D0BE3"/>
    <w:rsid w:val="002D126F"/>
    <w:rsid w:val="002D154C"/>
    <w:rsid w:val="002D1A49"/>
    <w:rsid w:val="002D29B0"/>
    <w:rsid w:val="002D2B1C"/>
    <w:rsid w:val="002D2C04"/>
    <w:rsid w:val="002D2D3B"/>
    <w:rsid w:val="002D2E09"/>
    <w:rsid w:val="002D3280"/>
    <w:rsid w:val="002D333C"/>
    <w:rsid w:val="002D34CC"/>
    <w:rsid w:val="002D3760"/>
    <w:rsid w:val="002D5043"/>
    <w:rsid w:val="002D5C19"/>
    <w:rsid w:val="002D5E47"/>
    <w:rsid w:val="002D64D4"/>
    <w:rsid w:val="002D669F"/>
    <w:rsid w:val="002D7754"/>
    <w:rsid w:val="002D7794"/>
    <w:rsid w:val="002E0314"/>
    <w:rsid w:val="002E0AA0"/>
    <w:rsid w:val="002E0B7A"/>
    <w:rsid w:val="002E1847"/>
    <w:rsid w:val="002E20E2"/>
    <w:rsid w:val="002E2990"/>
    <w:rsid w:val="002E2FB2"/>
    <w:rsid w:val="002E2FB7"/>
    <w:rsid w:val="002E5140"/>
    <w:rsid w:val="002E5D98"/>
    <w:rsid w:val="002E6133"/>
    <w:rsid w:val="002E7079"/>
    <w:rsid w:val="002E75FC"/>
    <w:rsid w:val="002E7AF0"/>
    <w:rsid w:val="002F0C51"/>
    <w:rsid w:val="002F0D23"/>
    <w:rsid w:val="002F1485"/>
    <w:rsid w:val="002F1B87"/>
    <w:rsid w:val="002F1C89"/>
    <w:rsid w:val="002F1E90"/>
    <w:rsid w:val="002F248E"/>
    <w:rsid w:val="002F2FDF"/>
    <w:rsid w:val="002F3014"/>
    <w:rsid w:val="002F37C6"/>
    <w:rsid w:val="002F61A9"/>
    <w:rsid w:val="002F6DC7"/>
    <w:rsid w:val="002F6E2F"/>
    <w:rsid w:val="002F79A7"/>
    <w:rsid w:val="002F7B3C"/>
    <w:rsid w:val="002F7E92"/>
    <w:rsid w:val="003002AE"/>
    <w:rsid w:val="0030065D"/>
    <w:rsid w:val="00300678"/>
    <w:rsid w:val="00301F88"/>
    <w:rsid w:val="003020F1"/>
    <w:rsid w:val="0030236D"/>
    <w:rsid w:val="003032A0"/>
    <w:rsid w:val="0030353E"/>
    <w:rsid w:val="003035BA"/>
    <w:rsid w:val="00303AE8"/>
    <w:rsid w:val="00304CEC"/>
    <w:rsid w:val="00304FD3"/>
    <w:rsid w:val="00305015"/>
    <w:rsid w:val="00305449"/>
    <w:rsid w:val="00305AA8"/>
    <w:rsid w:val="00306195"/>
    <w:rsid w:val="00306BA9"/>
    <w:rsid w:val="00310A07"/>
    <w:rsid w:val="00310F10"/>
    <w:rsid w:val="003112A0"/>
    <w:rsid w:val="00311418"/>
    <w:rsid w:val="00311545"/>
    <w:rsid w:val="00311A2F"/>
    <w:rsid w:val="00311A79"/>
    <w:rsid w:val="00311C15"/>
    <w:rsid w:val="003126F8"/>
    <w:rsid w:val="00312DD6"/>
    <w:rsid w:val="00314A53"/>
    <w:rsid w:val="00314F33"/>
    <w:rsid w:val="003153E6"/>
    <w:rsid w:val="00315459"/>
    <w:rsid w:val="00315B9D"/>
    <w:rsid w:val="003168A0"/>
    <w:rsid w:val="0031695D"/>
    <w:rsid w:val="003170E7"/>
    <w:rsid w:val="00320013"/>
    <w:rsid w:val="00320E9E"/>
    <w:rsid w:val="0032121E"/>
    <w:rsid w:val="003214C7"/>
    <w:rsid w:val="00321589"/>
    <w:rsid w:val="00321A96"/>
    <w:rsid w:val="00321CC9"/>
    <w:rsid w:val="003221B9"/>
    <w:rsid w:val="00322798"/>
    <w:rsid w:val="003228B9"/>
    <w:rsid w:val="00322AB4"/>
    <w:rsid w:val="00323AF4"/>
    <w:rsid w:val="00323EB9"/>
    <w:rsid w:val="00324B16"/>
    <w:rsid w:val="00326E70"/>
    <w:rsid w:val="003270D9"/>
    <w:rsid w:val="00327974"/>
    <w:rsid w:val="00327A2A"/>
    <w:rsid w:val="00327DAE"/>
    <w:rsid w:val="00330031"/>
    <w:rsid w:val="0033063A"/>
    <w:rsid w:val="00330A4D"/>
    <w:rsid w:val="0033175D"/>
    <w:rsid w:val="00331774"/>
    <w:rsid w:val="003320AE"/>
    <w:rsid w:val="003332A7"/>
    <w:rsid w:val="00334430"/>
    <w:rsid w:val="00335E9C"/>
    <w:rsid w:val="0033678C"/>
    <w:rsid w:val="003368C8"/>
    <w:rsid w:val="00336B89"/>
    <w:rsid w:val="00336CCD"/>
    <w:rsid w:val="00336D2B"/>
    <w:rsid w:val="00336FAF"/>
    <w:rsid w:val="003370AA"/>
    <w:rsid w:val="003370EB"/>
    <w:rsid w:val="00337253"/>
    <w:rsid w:val="003375C6"/>
    <w:rsid w:val="0033798F"/>
    <w:rsid w:val="00337A30"/>
    <w:rsid w:val="00340A08"/>
    <w:rsid w:val="00340D33"/>
    <w:rsid w:val="00341173"/>
    <w:rsid w:val="00341A3D"/>
    <w:rsid w:val="00341E43"/>
    <w:rsid w:val="003420E3"/>
    <w:rsid w:val="003422C2"/>
    <w:rsid w:val="00342758"/>
    <w:rsid w:val="00342CEB"/>
    <w:rsid w:val="003443FE"/>
    <w:rsid w:val="00344719"/>
    <w:rsid w:val="00344ABB"/>
    <w:rsid w:val="00344CC4"/>
    <w:rsid w:val="00345211"/>
    <w:rsid w:val="00345E62"/>
    <w:rsid w:val="00346108"/>
    <w:rsid w:val="00346405"/>
    <w:rsid w:val="00346876"/>
    <w:rsid w:val="00346E5B"/>
    <w:rsid w:val="00350328"/>
    <w:rsid w:val="00350D18"/>
    <w:rsid w:val="00350D22"/>
    <w:rsid w:val="00350F6E"/>
    <w:rsid w:val="003512F6"/>
    <w:rsid w:val="00351FF2"/>
    <w:rsid w:val="00352307"/>
    <w:rsid w:val="00352391"/>
    <w:rsid w:val="003524CA"/>
    <w:rsid w:val="003530A7"/>
    <w:rsid w:val="003539C1"/>
    <w:rsid w:val="00353C51"/>
    <w:rsid w:val="00353E06"/>
    <w:rsid w:val="00354228"/>
    <w:rsid w:val="00354C96"/>
    <w:rsid w:val="0035564D"/>
    <w:rsid w:val="00356375"/>
    <w:rsid w:val="00356B2A"/>
    <w:rsid w:val="00356E35"/>
    <w:rsid w:val="00357782"/>
    <w:rsid w:val="00357AF2"/>
    <w:rsid w:val="00357B46"/>
    <w:rsid w:val="00357EA4"/>
    <w:rsid w:val="0036171E"/>
    <w:rsid w:val="00361A8F"/>
    <w:rsid w:val="003623B1"/>
    <w:rsid w:val="0036253A"/>
    <w:rsid w:val="003626C6"/>
    <w:rsid w:val="00362AA7"/>
    <w:rsid w:val="00363812"/>
    <w:rsid w:val="003640B0"/>
    <w:rsid w:val="003647F6"/>
    <w:rsid w:val="00365510"/>
    <w:rsid w:val="00367465"/>
    <w:rsid w:val="00367D19"/>
    <w:rsid w:val="0037052A"/>
    <w:rsid w:val="003705DD"/>
    <w:rsid w:val="00370F17"/>
    <w:rsid w:val="00371858"/>
    <w:rsid w:val="003719A2"/>
    <w:rsid w:val="00371E62"/>
    <w:rsid w:val="0037321F"/>
    <w:rsid w:val="003734DA"/>
    <w:rsid w:val="0037414D"/>
    <w:rsid w:val="0037436B"/>
    <w:rsid w:val="003746E2"/>
    <w:rsid w:val="003758DD"/>
    <w:rsid w:val="00377798"/>
    <w:rsid w:val="003777CE"/>
    <w:rsid w:val="00381468"/>
    <w:rsid w:val="003814C0"/>
    <w:rsid w:val="00381BF9"/>
    <w:rsid w:val="00381F55"/>
    <w:rsid w:val="00382163"/>
    <w:rsid w:val="0038282C"/>
    <w:rsid w:val="003829B5"/>
    <w:rsid w:val="0038355A"/>
    <w:rsid w:val="00387566"/>
    <w:rsid w:val="00387E1D"/>
    <w:rsid w:val="00390361"/>
    <w:rsid w:val="00390A6F"/>
    <w:rsid w:val="00390EAA"/>
    <w:rsid w:val="00392D31"/>
    <w:rsid w:val="00393324"/>
    <w:rsid w:val="003934E4"/>
    <w:rsid w:val="00394F2A"/>
    <w:rsid w:val="00395B21"/>
    <w:rsid w:val="00395EA4"/>
    <w:rsid w:val="00395EF3"/>
    <w:rsid w:val="003966F6"/>
    <w:rsid w:val="003970FF"/>
    <w:rsid w:val="003974F9"/>
    <w:rsid w:val="003979FB"/>
    <w:rsid w:val="003A02DF"/>
    <w:rsid w:val="003A24DB"/>
    <w:rsid w:val="003A27EB"/>
    <w:rsid w:val="003A2A02"/>
    <w:rsid w:val="003A2A27"/>
    <w:rsid w:val="003A31D1"/>
    <w:rsid w:val="003A359C"/>
    <w:rsid w:val="003A3E48"/>
    <w:rsid w:val="003A3F88"/>
    <w:rsid w:val="003A4A5B"/>
    <w:rsid w:val="003A4C50"/>
    <w:rsid w:val="003A4E64"/>
    <w:rsid w:val="003A5A23"/>
    <w:rsid w:val="003A642B"/>
    <w:rsid w:val="003A65B6"/>
    <w:rsid w:val="003A7199"/>
    <w:rsid w:val="003A7454"/>
    <w:rsid w:val="003A7910"/>
    <w:rsid w:val="003A7C9F"/>
    <w:rsid w:val="003A7F78"/>
    <w:rsid w:val="003B077B"/>
    <w:rsid w:val="003B1AF7"/>
    <w:rsid w:val="003B1D23"/>
    <w:rsid w:val="003B20FB"/>
    <w:rsid w:val="003B22DF"/>
    <w:rsid w:val="003B25BD"/>
    <w:rsid w:val="003B2AC3"/>
    <w:rsid w:val="003B5504"/>
    <w:rsid w:val="003B615B"/>
    <w:rsid w:val="003B6CA3"/>
    <w:rsid w:val="003B6D17"/>
    <w:rsid w:val="003C0D67"/>
    <w:rsid w:val="003C0D82"/>
    <w:rsid w:val="003C182B"/>
    <w:rsid w:val="003C1B7A"/>
    <w:rsid w:val="003C1D88"/>
    <w:rsid w:val="003C2804"/>
    <w:rsid w:val="003C3A87"/>
    <w:rsid w:val="003C3B89"/>
    <w:rsid w:val="003C3CB9"/>
    <w:rsid w:val="003C40C7"/>
    <w:rsid w:val="003C4D10"/>
    <w:rsid w:val="003C4F48"/>
    <w:rsid w:val="003C6368"/>
    <w:rsid w:val="003C7122"/>
    <w:rsid w:val="003C76D9"/>
    <w:rsid w:val="003D05C0"/>
    <w:rsid w:val="003D0A85"/>
    <w:rsid w:val="003D0CB1"/>
    <w:rsid w:val="003D0D1D"/>
    <w:rsid w:val="003D1066"/>
    <w:rsid w:val="003D37B2"/>
    <w:rsid w:val="003D56CF"/>
    <w:rsid w:val="003D6AB9"/>
    <w:rsid w:val="003D72C1"/>
    <w:rsid w:val="003E099D"/>
    <w:rsid w:val="003E0AED"/>
    <w:rsid w:val="003E0C8F"/>
    <w:rsid w:val="003E0E90"/>
    <w:rsid w:val="003E152D"/>
    <w:rsid w:val="003E16D9"/>
    <w:rsid w:val="003E1804"/>
    <w:rsid w:val="003E1E42"/>
    <w:rsid w:val="003E1E6B"/>
    <w:rsid w:val="003E2C47"/>
    <w:rsid w:val="003E2F24"/>
    <w:rsid w:val="003E384D"/>
    <w:rsid w:val="003E4074"/>
    <w:rsid w:val="003E43BF"/>
    <w:rsid w:val="003E4ADD"/>
    <w:rsid w:val="003E505F"/>
    <w:rsid w:val="003E5568"/>
    <w:rsid w:val="003E57D7"/>
    <w:rsid w:val="003E633A"/>
    <w:rsid w:val="003E7371"/>
    <w:rsid w:val="003E74B4"/>
    <w:rsid w:val="003E794E"/>
    <w:rsid w:val="003E7C45"/>
    <w:rsid w:val="003E7FB2"/>
    <w:rsid w:val="003F000C"/>
    <w:rsid w:val="003F0619"/>
    <w:rsid w:val="003F0AAE"/>
    <w:rsid w:val="003F0D5A"/>
    <w:rsid w:val="003F17C4"/>
    <w:rsid w:val="003F1F84"/>
    <w:rsid w:val="003F2495"/>
    <w:rsid w:val="003F2B4F"/>
    <w:rsid w:val="003F2DED"/>
    <w:rsid w:val="003F3D51"/>
    <w:rsid w:val="003F4229"/>
    <w:rsid w:val="003F5408"/>
    <w:rsid w:val="003F61DE"/>
    <w:rsid w:val="003F6847"/>
    <w:rsid w:val="003F730A"/>
    <w:rsid w:val="003F7E25"/>
    <w:rsid w:val="003F7F94"/>
    <w:rsid w:val="00400BAC"/>
    <w:rsid w:val="004016FA"/>
    <w:rsid w:val="00401F7B"/>
    <w:rsid w:val="00402242"/>
    <w:rsid w:val="0040288C"/>
    <w:rsid w:val="00402A61"/>
    <w:rsid w:val="004036D0"/>
    <w:rsid w:val="00403E96"/>
    <w:rsid w:val="0040484C"/>
    <w:rsid w:val="004054C4"/>
    <w:rsid w:val="0040551E"/>
    <w:rsid w:val="0040578F"/>
    <w:rsid w:val="004058CD"/>
    <w:rsid w:val="00406024"/>
    <w:rsid w:val="004067BB"/>
    <w:rsid w:val="004068F2"/>
    <w:rsid w:val="00406F24"/>
    <w:rsid w:val="004072C0"/>
    <w:rsid w:val="0040777A"/>
    <w:rsid w:val="00407A7C"/>
    <w:rsid w:val="00407BD7"/>
    <w:rsid w:val="004109CF"/>
    <w:rsid w:val="0041164E"/>
    <w:rsid w:val="00411D2C"/>
    <w:rsid w:val="00412254"/>
    <w:rsid w:val="0041291F"/>
    <w:rsid w:val="00412A22"/>
    <w:rsid w:val="00412B4A"/>
    <w:rsid w:val="00413CB4"/>
    <w:rsid w:val="00413D9E"/>
    <w:rsid w:val="0041426B"/>
    <w:rsid w:val="00414DC0"/>
    <w:rsid w:val="00414F9B"/>
    <w:rsid w:val="00415017"/>
    <w:rsid w:val="00415DB6"/>
    <w:rsid w:val="00416B3D"/>
    <w:rsid w:val="004170B2"/>
    <w:rsid w:val="004174ED"/>
    <w:rsid w:val="00417B50"/>
    <w:rsid w:val="004200A3"/>
    <w:rsid w:val="004200B2"/>
    <w:rsid w:val="004206E1"/>
    <w:rsid w:val="00420F28"/>
    <w:rsid w:val="00421686"/>
    <w:rsid w:val="004218B5"/>
    <w:rsid w:val="00422035"/>
    <w:rsid w:val="00423215"/>
    <w:rsid w:val="004237AB"/>
    <w:rsid w:val="00423859"/>
    <w:rsid w:val="00423DDF"/>
    <w:rsid w:val="00424B1C"/>
    <w:rsid w:val="00424CE8"/>
    <w:rsid w:val="00424E1E"/>
    <w:rsid w:val="00425424"/>
    <w:rsid w:val="004255ED"/>
    <w:rsid w:val="00425F46"/>
    <w:rsid w:val="00426088"/>
    <w:rsid w:val="0042635D"/>
    <w:rsid w:val="00426617"/>
    <w:rsid w:val="00426CFC"/>
    <w:rsid w:val="00426D0C"/>
    <w:rsid w:val="00426FED"/>
    <w:rsid w:val="00427252"/>
    <w:rsid w:val="00430333"/>
    <w:rsid w:val="00430E77"/>
    <w:rsid w:val="00430F4A"/>
    <w:rsid w:val="00431207"/>
    <w:rsid w:val="004315A1"/>
    <w:rsid w:val="004324B6"/>
    <w:rsid w:val="00433188"/>
    <w:rsid w:val="004342A3"/>
    <w:rsid w:val="00434522"/>
    <w:rsid w:val="00434EAF"/>
    <w:rsid w:val="00435411"/>
    <w:rsid w:val="00435A02"/>
    <w:rsid w:val="00435C69"/>
    <w:rsid w:val="00435E0F"/>
    <w:rsid w:val="00436ED1"/>
    <w:rsid w:val="00437072"/>
    <w:rsid w:val="004374AF"/>
    <w:rsid w:val="0043755C"/>
    <w:rsid w:val="004375CC"/>
    <w:rsid w:val="00437676"/>
    <w:rsid w:val="004410D7"/>
    <w:rsid w:val="00441415"/>
    <w:rsid w:val="004417A3"/>
    <w:rsid w:val="00441B4A"/>
    <w:rsid w:val="004429B8"/>
    <w:rsid w:val="004429EE"/>
    <w:rsid w:val="00442AC4"/>
    <w:rsid w:val="00442C06"/>
    <w:rsid w:val="00443F94"/>
    <w:rsid w:val="004442EF"/>
    <w:rsid w:val="004453AC"/>
    <w:rsid w:val="004455B0"/>
    <w:rsid w:val="00447181"/>
    <w:rsid w:val="00447BB6"/>
    <w:rsid w:val="00450B58"/>
    <w:rsid w:val="00451DDD"/>
    <w:rsid w:val="0045260F"/>
    <w:rsid w:val="00452D9E"/>
    <w:rsid w:val="00453127"/>
    <w:rsid w:val="00453FC1"/>
    <w:rsid w:val="0045493F"/>
    <w:rsid w:val="00456468"/>
    <w:rsid w:val="00456CAE"/>
    <w:rsid w:val="00457727"/>
    <w:rsid w:val="00457A80"/>
    <w:rsid w:val="00457E76"/>
    <w:rsid w:val="00457F3E"/>
    <w:rsid w:val="00460335"/>
    <w:rsid w:val="00460A85"/>
    <w:rsid w:val="00460DAE"/>
    <w:rsid w:val="00461646"/>
    <w:rsid w:val="00461909"/>
    <w:rsid w:val="00462103"/>
    <w:rsid w:val="00462209"/>
    <w:rsid w:val="004622D3"/>
    <w:rsid w:val="004627B6"/>
    <w:rsid w:val="004649EA"/>
    <w:rsid w:val="00464AE0"/>
    <w:rsid w:val="00464C26"/>
    <w:rsid w:val="00466551"/>
    <w:rsid w:val="0046674E"/>
    <w:rsid w:val="00467E1A"/>
    <w:rsid w:val="00467E91"/>
    <w:rsid w:val="0047052C"/>
    <w:rsid w:val="0047059C"/>
    <w:rsid w:val="0047184E"/>
    <w:rsid w:val="00471923"/>
    <w:rsid w:val="00471DEB"/>
    <w:rsid w:val="00472138"/>
    <w:rsid w:val="00472A65"/>
    <w:rsid w:val="004731DA"/>
    <w:rsid w:val="00473F40"/>
    <w:rsid w:val="00474816"/>
    <w:rsid w:val="00474F81"/>
    <w:rsid w:val="004752A0"/>
    <w:rsid w:val="00475B0D"/>
    <w:rsid w:val="00475BD9"/>
    <w:rsid w:val="00475C95"/>
    <w:rsid w:val="00475F47"/>
    <w:rsid w:val="00476698"/>
    <w:rsid w:val="00476958"/>
    <w:rsid w:val="00476ED0"/>
    <w:rsid w:val="004773F5"/>
    <w:rsid w:val="00477E64"/>
    <w:rsid w:val="00480EF2"/>
    <w:rsid w:val="00481094"/>
    <w:rsid w:val="004816B3"/>
    <w:rsid w:val="004818C9"/>
    <w:rsid w:val="00481918"/>
    <w:rsid w:val="00481DCA"/>
    <w:rsid w:val="004835E2"/>
    <w:rsid w:val="004838CF"/>
    <w:rsid w:val="00484E31"/>
    <w:rsid w:val="004853C7"/>
    <w:rsid w:val="004853E4"/>
    <w:rsid w:val="0048557F"/>
    <w:rsid w:val="00485F62"/>
    <w:rsid w:val="004866C5"/>
    <w:rsid w:val="00487000"/>
    <w:rsid w:val="004873C3"/>
    <w:rsid w:val="00487C1A"/>
    <w:rsid w:val="00487FCA"/>
    <w:rsid w:val="004907EA"/>
    <w:rsid w:val="00490A72"/>
    <w:rsid w:val="00490C1A"/>
    <w:rsid w:val="00490DE4"/>
    <w:rsid w:val="00490F10"/>
    <w:rsid w:val="00491152"/>
    <w:rsid w:val="00491413"/>
    <w:rsid w:val="00491452"/>
    <w:rsid w:val="0049217A"/>
    <w:rsid w:val="004927E9"/>
    <w:rsid w:val="00492D20"/>
    <w:rsid w:val="004935DC"/>
    <w:rsid w:val="00493C33"/>
    <w:rsid w:val="00494C45"/>
    <w:rsid w:val="0049553A"/>
    <w:rsid w:val="00495F29"/>
    <w:rsid w:val="004972B4"/>
    <w:rsid w:val="00497325"/>
    <w:rsid w:val="004977A9"/>
    <w:rsid w:val="0049793C"/>
    <w:rsid w:val="004A0368"/>
    <w:rsid w:val="004A0588"/>
    <w:rsid w:val="004A08AB"/>
    <w:rsid w:val="004A0BA8"/>
    <w:rsid w:val="004A0CF9"/>
    <w:rsid w:val="004A0F14"/>
    <w:rsid w:val="004A16E1"/>
    <w:rsid w:val="004A1BAF"/>
    <w:rsid w:val="004A1E68"/>
    <w:rsid w:val="004A2218"/>
    <w:rsid w:val="004A33DB"/>
    <w:rsid w:val="004A3A75"/>
    <w:rsid w:val="004A4DD9"/>
    <w:rsid w:val="004A4DE9"/>
    <w:rsid w:val="004A583A"/>
    <w:rsid w:val="004A58F6"/>
    <w:rsid w:val="004A5B3F"/>
    <w:rsid w:val="004A6511"/>
    <w:rsid w:val="004A6675"/>
    <w:rsid w:val="004A77B2"/>
    <w:rsid w:val="004A7A4D"/>
    <w:rsid w:val="004B0C1E"/>
    <w:rsid w:val="004B1268"/>
    <w:rsid w:val="004B12EF"/>
    <w:rsid w:val="004B1AAC"/>
    <w:rsid w:val="004B2B95"/>
    <w:rsid w:val="004B33FF"/>
    <w:rsid w:val="004B3935"/>
    <w:rsid w:val="004B3973"/>
    <w:rsid w:val="004B4C40"/>
    <w:rsid w:val="004B5207"/>
    <w:rsid w:val="004B5332"/>
    <w:rsid w:val="004B6DDE"/>
    <w:rsid w:val="004B725D"/>
    <w:rsid w:val="004B72C5"/>
    <w:rsid w:val="004B72E1"/>
    <w:rsid w:val="004C0398"/>
    <w:rsid w:val="004C0E52"/>
    <w:rsid w:val="004C18F2"/>
    <w:rsid w:val="004C1BD6"/>
    <w:rsid w:val="004C1C8F"/>
    <w:rsid w:val="004C22E3"/>
    <w:rsid w:val="004C24F4"/>
    <w:rsid w:val="004C2994"/>
    <w:rsid w:val="004C2F00"/>
    <w:rsid w:val="004C3474"/>
    <w:rsid w:val="004C3635"/>
    <w:rsid w:val="004C3AFD"/>
    <w:rsid w:val="004C3BE2"/>
    <w:rsid w:val="004C3EC4"/>
    <w:rsid w:val="004C40CD"/>
    <w:rsid w:val="004C42EE"/>
    <w:rsid w:val="004C4A1B"/>
    <w:rsid w:val="004C4ABF"/>
    <w:rsid w:val="004C4C01"/>
    <w:rsid w:val="004C4CBD"/>
    <w:rsid w:val="004C503A"/>
    <w:rsid w:val="004C5761"/>
    <w:rsid w:val="004C62D2"/>
    <w:rsid w:val="004C65F1"/>
    <w:rsid w:val="004C6F4C"/>
    <w:rsid w:val="004D08BD"/>
    <w:rsid w:val="004D0ED6"/>
    <w:rsid w:val="004D0F1F"/>
    <w:rsid w:val="004D1833"/>
    <w:rsid w:val="004D1A23"/>
    <w:rsid w:val="004D1E7E"/>
    <w:rsid w:val="004D2939"/>
    <w:rsid w:val="004D2D4E"/>
    <w:rsid w:val="004D348C"/>
    <w:rsid w:val="004D4464"/>
    <w:rsid w:val="004D45DC"/>
    <w:rsid w:val="004D479C"/>
    <w:rsid w:val="004D543B"/>
    <w:rsid w:val="004D7222"/>
    <w:rsid w:val="004D7658"/>
    <w:rsid w:val="004D7B47"/>
    <w:rsid w:val="004D7BFF"/>
    <w:rsid w:val="004D7D5B"/>
    <w:rsid w:val="004E0762"/>
    <w:rsid w:val="004E0C9A"/>
    <w:rsid w:val="004E1357"/>
    <w:rsid w:val="004E19D9"/>
    <w:rsid w:val="004E1F28"/>
    <w:rsid w:val="004E2088"/>
    <w:rsid w:val="004E25B9"/>
    <w:rsid w:val="004E2783"/>
    <w:rsid w:val="004E49AC"/>
    <w:rsid w:val="004E49CE"/>
    <w:rsid w:val="004E4D72"/>
    <w:rsid w:val="004E4EA4"/>
    <w:rsid w:val="004E5152"/>
    <w:rsid w:val="004E5322"/>
    <w:rsid w:val="004E534B"/>
    <w:rsid w:val="004E5D8B"/>
    <w:rsid w:val="004E646F"/>
    <w:rsid w:val="004F050D"/>
    <w:rsid w:val="004F0631"/>
    <w:rsid w:val="004F0681"/>
    <w:rsid w:val="004F0A97"/>
    <w:rsid w:val="004F0B4A"/>
    <w:rsid w:val="004F0EA3"/>
    <w:rsid w:val="004F20F1"/>
    <w:rsid w:val="004F2499"/>
    <w:rsid w:val="004F2714"/>
    <w:rsid w:val="004F3057"/>
    <w:rsid w:val="004F3784"/>
    <w:rsid w:val="004F453D"/>
    <w:rsid w:val="004F4591"/>
    <w:rsid w:val="004F4879"/>
    <w:rsid w:val="004F58F5"/>
    <w:rsid w:val="004F5BFC"/>
    <w:rsid w:val="004F5D52"/>
    <w:rsid w:val="004F6768"/>
    <w:rsid w:val="004F6B51"/>
    <w:rsid w:val="004F7061"/>
    <w:rsid w:val="004F7AE4"/>
    <w:rsid w:val="00500617"/>
    <w:rsid w:val="00500C2B"/>
    <w:rsid w:val="00500DD4"/>
    <w:rsid w:val="00501F04"/>
    <w:rsid w:val="00502E5B"/>
    <w:rsid w:val="0050483B"/>
    <w:rsid w:val="00505359"/>
    <w:rsid w:val="005060B7"/>
    <w:rsid w:val="005062CA"/>
    <w:rsid w:val="00506BDF"/>
    <w:rsid w:val="00506DF0"/>
    <w:rsid w:val="00506F74"/>
    <w:rsid w:val="00507A2A"/>
    <w:rsid w:val="00510252"/>
    <w:rsid w:val="00510382"/>
    <w:rsid w:val="005120C1"/>
    <w:rsid w:val="00512138"/>
    <w:rsid w:val="00512340"/>
    <w:rsid w:val="00512620"/>
    <w:rsid w:val="00512FF2"/>
    <w:rsid w:val="005130E2"/>
    <w:rsid w:val="0051347C"/>
    <w:rsid w:val="005137A9"/>
    <w:rsid w:val="0051445A"/>
    <w:rsid w:val="00514C21"/>
    <w:rsid w:val="00514DE3"/>
    <w:rsid w:val="00514EBC"/>
    <w:rsid w:val="00514ED3"/>
    <w:rsid w:val="0051509B"/>
    <w:rsid w:val="00515350"/>
    <w:rsid w:val="00515963"/>
    <w:rsid w:val="00516FD2"/>
    <w:rsid w:val="00517176"/>
    <w:rsid w:val="00517179"/>
    <w:rsid w:val="00517856"/>
    <w:rsid w:val="005207BB"/>
    <w:rsid w:val="00520FFA"/>
    <w:rsid w:val="00521333"/>
    <w:rsid w:val="005216BE"/>
    <w:rsid w:val="005227F0"/>
    <w:rsid w:val="005229DF"/>
    <w:rsid w:val="00522BD9"/>
    <w:rsid w:val="00522C3E"/>
    <w:rsid w:val="005240C9"/>
    <w:rsid w:val="0052513A"/>
    <w:rsid w:val="005253BD"/>
    <w:rsid w:val="00526746"/>
    <w:rsid w:val="0052696C"/>
    <w:rsid w:val="00526E9A"/>
    <w:rsid w:val="005272DC"/>
    <w:rsid w:val="00527745"/>
    <w:rsid w:val="005278BC"/>
    <w:rsid w:val="005305BA"/>
    <w:rsid w:val="00530AAD"/>
    <w:rsid w:val="00530D89"/>
    <w:rsid w:val="00531406"/>
    <w:rsid w:val="0053196D"/>
    <w:rsid w:val="0053258D"/>
    <w:rsid w:val="005325AC"/>
    <w:rsid w:val="005333AD"/>
    <w:rsid w:val="005336B1"/>
    <w:rsid w:val="00533BB3"/>
    <w:rsid w:val="005349ED"/>
    <w:rsid w:val="00536154"/>
    <w:rsid w:val="005369E3"/>
    <w:rsid w:val="00536C83"/>
    <w:rsid w:val="00537A94"/>
    <w:rsid w:val="00537E44"/>
    <w:rsid w:val="00540BDA"/>
    <w:rsid w:val="0054299D"/>
    <w:rsid w:val="005434D8"/>
    <w:rsid w:val="00543F9A"/>
    <w:rsid w:val="005446A3"/>
    <w:rsid w:val="00544904"/>
    <w:rsid w:val="00545D58"/>
    <w:rsid w:val="00545EC9"/>
    <w:rsid w:val="00545ED3"/>
    <w:rsid w:val="005467C7"/>
    <w:rsid w:val="00546F43"/>
    <w:rsid w:val="00547600"/>
    <w:rsid w:val="00551539"/>
    <w:rsid w:val="005518D8"/>
    <w:rsid w:val="00551907"/>
    <w:rsid w:val="00551B4F"/>
    <w:rsid w:val="00551E92"/>
    <w:rsid w:val="00551F93"/>
    <w:rsid w:val="00553A11"/>
    <w:rsid w:val="00554BAA"/>
    <w:rsid w:val="00554D1E"/>
    <w:rsid w:val="00554EDE"/>
    <w:rsid w:val="005550EC"/>
    <w:rsid w:val="00555E9E"/>
    <w:rsid w:val="0055685A"/>
    <w:rsid w:val="00556B76"/>
    <w:rsid w:val="005571F1"/>
    <w:rsid w:val="005572DD"/>
    <w:rsid w:val="005576B5"/>
    <w:rsid w:val="0056030C"/>
    <w:rsid w:val="00560462"/>
    <w:rsid w:val="0056077F"/>
    <w:rsid w:val="00560ED9"/>
    <w:rsid w:val="00561226"/>
    <w:rsid w:val="00561285"/>
    <w:rsid w:val="00561388"/>
    <w:rsid w:val="00561849"/>
    <w:rsid w:val="00563210"/>
    <w:rsid w:val="00563AF1"/>
    <w:rsid w:val="00563E54"/>
    <w:rsid w:val="00564D04"/>
    <w:rsid w:val="005655C5"/>
    <w:rsid w:val="00565B7D"/>
    <w:rsid w:val="00566BAF"/>
    <w:rsid w:val="0056728F"/>
    <w:rsid w:val="00567341"/>
    <w:rsid w:val="005676FD"/>
    <w:rsid w:val="0056771E"/>
    <w:rsid w:val="00567E17"/>
    <w:rsid w:val="005701AD"/>
    <w:rsid w:val="0057046C"/>
    <w:rsid w:val="00570DC5"/>
    <w:rsid w:val="00571219"/>
    <w:rsid w:val="00571221"/>
    <w:rsid w:val="005712DC"/>
    <w:rsid w:val="00571C95"/>
    <w:rsid w:val="00572288"/>
    <w:rsid w:val="0057309A"/>
    <w:rsid w:val="005740BF"/>
    <w:rsid w:val="00574A87"/>
    <w:rsid w:val="00574D75"/>
    <w:rsid w:val="00574E18"/>
    <w:rsid w:val="00574E1C"/>
    <w:rsid w:val="00574EC5"/>
    <w:rsid w:val="005759CC"/>
    <w:rsid w:val="005769E8"/>
    <w:rsid w:val="00577554"/>
    <w:rsid w:val="00580824"/>
    <w:rsid w:val="0058135C"/>
    <w:rsid w:val="00581560"/>
    <w:rsid w:val="0058196C"/>
    <w:rsid w:val="005820E4"/>
    <w:rsid w:val="005825D5"/>
    <w:rsid w:val="005825EF"/>
    <w:rsid w:val="00582883"/>
    <w:rsid w:val="00582C65"/>
    <w:rsid w:val="005833F5"/>
    <w:rsid w:val="00583592"/>
    <w:rsid w:val="005839CE"/>
    <w:rsid w:val="005840A3"/>
    <w:rsid w:val="00584CC7"/>
    <w:rsid w:val="00584CD5"/>
    <w:rsid w:val="00585247"/>
    <w:rsid w:val="00585A69"/>
    <w:rsid w:val="005860D8"/>
    <w:rsid w:val="00586FC2"/>
    <w:rsid w:val="0058721B"/>
    <w:rsid w:val="00587482"/>
    <w:rsid w:val="00587ACF"/>
    <w:rsid w:val="00587C55"/>
    <w:rsid w:val="00590557"/>
    <w:rsid w:val="005916DE"/>
    <w:rsid w:val="005918B5"/>
    <w:rsid w:val="00591C9C"/>
    <w:rsid w:val="00591F39"/>
    <w:rsid w:val="00592631"/>
    <w:rsid w:val="0059279E"/>
    <w:rsid w:val="00592814"/>
    <w:rsid w:val="005930F9"/>
    <w:rsid w:val="00593126"/>
    <w:rsid w:val="00593530"/>
    <w:rsid w:val="00593BD7"/>
    <w:rsid w:val="0059401B"/>
    <w:rsid w:val="00594AF5"/>
    <w:rsid w:val="00596154"/>
    <w:rsid w:val="005969BE"/>
    <w:rsid w:val="00596BB8"/>
    <w:rsid w:val="00596D93"/>
    <w:rsid w:val="005970B2"/>
    <w:rsid w:val="00597A72"/>
    <w:rsid w:val="00597A9E"/>
    <w:rsid w:val="00597C6B"/>
    <w:rsid w:val="005A009D"/>
    <w:rsid w:val="005A0376"/>
    <w:rsid w:val="005A153D"/>
    <w:rsid w:val="005A1CDF"/>
    <w:rsid w:val="005A1E19"/>
    <w:rsid w:val="005A21FC"/>
    <w:rsid w:val="005A2400"/>
    <w:rsid w:val="005A2588"/>
    <w:rsid w:val="005A2E2A"/>
    <w:rsid w:val="005A2FAF"/>
    <w:rsid w:val="005A354C"/>
    <w:rsid w:val="005A36E6"/>
    <w:rsid w:val="005A3999"/>
    <w:rsid w:val="005A44F2"/>
    <w:rsid w:val="005A4F68"/>
    <w:rsid w:val="005A503E"/>
    <w:rsid w:val="005A6188"/>
    <w:rsid w:val="005A6421"/>
    <w:rsid w:val="005A6691"/>
    <w:rsid w:val="005A6835"/>
    <w:rsid w:val="005A6B8A"/>
    <w:rsid w:val="005A6E7C"/>
    <w:rsid w:val="005A6F27"/>
    <w:rsid w:val="005A70D9"/>
    <w:rsid w:val="005A7EB9"/>
    <w:rsid w:val="005B1335"/>
    <w:rsid w:val="005B13CE"/>
    <w:rsid w:val="005B1DB2"/>
    <w:rsid w:val="005B1E9A"/>
    <w:rsid w:val="005B22C3"/>
    <w:rsid w:val="005B2C77"/>
    <w:rsid w:val="005B371D"/>
    <w:rsid w:val="005B3D87"/>
    <w:rsid w:val="005B4171"/>
    <w:rsid w:val="005B44E2"/>
    <w:rsid w:val="005B49C1"/>
    <w:rsid w:val="005B584C"/>
    <w:rsid w:val="005B63EA"/>
    <w:rsid w:val="005B68F0"/>
    <w:rsid w:val="005B6A5D"/>
    <w:rsid w:val="005B6D62"/>
    <w:rsid w:val="005B7514"/>
    <w:rsid w:val="005C008B"/>
    <w:rsid w:val="005C06D9"/>
    <w:rsid w:val="005C0C7A"/>
    <w:rsid w:val="005C1CFA"/>
    <w:rsid w:val="005C1F1A"/>
    <w:rsid w:val="005C2594"/>
    <w:rsid w:val="005C2A62"/>
    <w:rsid w:val="005C30E8"/>
    <w:rsid w:val="005C3610"/>
    <w:rsid w:val="005C3CA9"/>
    <w:rsid w:val="005C45B4"/>
    <w:rsid w:val="005C45D9"/>
    <w:rsid w:val="005C48DA"/>
    <w:rsid w:val="005C525C"/>
    <w:rsid w:val="005C52AC"/>
    <w:rsid w:val="005C5521"/>
    <w:rsid w:val="005C56F7"/>
    <w:rsid w:val="005C5DC0"/>
    <w:rsid w:val="005C60D2"/>
    <w:rsid w:val="005C63B0"/>
    <w:rsid w:val="005C69B4"/>
    <w:rsid w:val="005C6A96"/>
    <w:rsid w:val="005C72BD"/>
    <w:rsid w:val="005C7398"/>
    <w:rsid w:val="005D02B2"/>
    <w:rsid w:val="005D0928"/>
    <w:rsid w:val="005D0BA2"/>
    <w:rsid w:val="005D0E26"/>
    <w:rsid w:val="005D12F2"/>
    <w:rsid w:val="005D15C7"/>
    <w:rsid w:val="005D1982"/>
    <w:rsid w:val="005D1A0B"/>
    <w:rsid w:val="005D2651"/>
    <w:rsid w:val="005D2887"/>
    <w:rsid w:val="005D3826"/>
    <w:rsid w:val="005D3EAD"/>
    <w:rsid w:val="005D47BB"/>
    <w:rsid w:val="005D50D6"/>
    <w:rsid w:val="005D5263"/>
    <w:rsid w:val="005D5CF8"/>
    <w:rsid w:val="005D6FAD"/>
    <w:rsid w:val="005E0E57"/>
    <w:rsid w:val="005E1136"/>
    <w:rsid w:val="005E11E9"/>
    <w:rsid w:val="005E147D"/>
    <w:rsid w:val="005E1EB9"/>
    <w:rsid w:val="005E2FB3"/>
    <w:rsid w:val="005E36AA"/>
    <w:rsid w:val="005E3CE6"/>
    <w:rsid w:val="005E3D30"/>
    <w:rsid w:val="005E3EB2"/>
    <w:rsid w:val="005E3F85"/>
    <w:rsid w:val="005E404B"/>
    <w:rsid w:val="005E4C0C"/>
    <w:rsid w:val="005E5934"/>
    <w:rsid w:val="005E68A1"/>
    <w:rsid w:val="005E6A10"/>
    <w:rsid w:val="005E6A5B"/>
    <w:rsid w:val="005E6E80"/>
    <w:rsid w:val="005E6FFF"/>
    <w:rsid w:val="005E7C05"/>
    <w:rsid w:val="005E7FA9"/>
    <w:rsid w:val="005F0657"/>
    <w:rsid w:val="005F09A6"/>
    <w:rsid w:val="005F0CA3"/>
    <w:rsid w:val="005F0F23"/>
    <w:rsid w:val="005F12FA"/>
    <w:rsid w:val="005F1578"/>
    <w:rsid w:val="005F290B"/>
    <w:rsid w:val="005F3077"/>
    <w:rsid w:val="005F3B53"/>
    <w:rsid w:val="005F481D"/>
    <w:rsid w:val="005F498D"/>
    <w:rsid w:val="005F553A"/>
    <w:rsid w:val="005F55D4"/>
    <w:rsid w:val="005F70B9"/>
    <w:rsid w:val="005F74FD"/>
    <w:rsid w:val="005F7627"/>
    <w:rsid w:val="005F7A1D"/>
    <w:rsid w:val="00600B2F"/>
    <w:rsid w:val="00601494"/>
    <w:rsid w:val="00601888"/>
    <w:rsid w:val="00601B08"/>
    <w:rsid w:val="006028AC"/>
    <w:rsid w:val="00602907"/>
    <w:rsid w:val="00602A8E"/>
    <w:rsid w:val="00604261"/>
    <w:rsid w:val="00604B6C"/>
    <w:rsid w:val="00604BA2"/>
    <w:rsid w:val="00604CB7"/>
    <w:rsid w:val="00604EB4"/>
    <w:rsid w:val="006052F4"/>
    <w:rsid w:val="00605790"/>
    <w:rsid w:val="00606479"/>
    <w:rsid w:val="00606524"/>
    <w:rsid w:val="00607E1F"/>
    <w:rsid w:val="0061098E"/>
    <w:rsid w:val="00610A4E"/>
    <w:rsid w:val="00610EB8"/>
    <w:rsid w:val="0061117E"/>
    <w:rsid w:val="0061135F"/>
    <w:rsid w:val="00611522"/>
    <w:rsid w:val="006115D8"/>
    <w:rsid w:val="00611651"/>
    <w:rsid w:val="006116BE"/>
    <w:rsid w:val="00611F00"/>
    <w:rsid w:val="006131D5"/>
    <w:rsid w:val="0061381F"/>
    <w:rsid w:val="0061441A"/>
    <w:rsid w:val="00614DA4"/>
    <w:rsid w:val="00614F8E"/>
    <w:rsid w:val="0061587E"/>
    <w:rsid w:val="00617289"/>
    <w:rsid w:val="006173B1"/>
    <w:rsid w:val="00617558"/>
    <w:rsid w:val="006179D8"/>
    <w:rsid w:val="00620B64"/>
    <w:rsid w:val="00620FE0"/>
    <w:rsid w:val="00621126"/>
    <w:rsid w:val="0062155C"/>
    <w:rsid w:val="00621628"/>
    <w:rsid w:val="00621BF2"/>
    <w:rsid w:val="00621D39"/>
    <w:rsid w:val="00621F52"/>
    <w:rsid w:val="00622329"/>
    <w:rsid w:val="0062280C"/>
    <w:rsid w:val="006238E4"/>
    <w:rsid w:val="00623A5B"/>
    <w:rsid w:val="00623A92"/>
    <w:rsid w:val="00624456"/>
    <w:rsid w:val="00624688"/>
    <w:rsid w:val="00624E6C"/>
    <w:rsid w:val="00625670"/>
    <w:rsid w:val="0062593D"/>
    <w:rsid w:val="00626926"/>
    <w:rsid w:val="00626A0F"/>
    <w:rsid w:val="00626C77"/>
    <w:rsid w:val="00626FE1"/>
    <w:rsid w:val="00627070"/>
    <w:rsid w:val="006272DD"/>
    <w:rsid w:val="00627683"/>
    <w:rsid w:val="00627D30"/>
    <w:rsid w:val="00627E6C"/>
    <w:rsid w:val="00630594"/>
    <w:rsid w:val="00630753"/>
    <w:rsid w:val="00630A60"/>
    <w:rsid w:val="006312E8"/>
    <w:rsid w:val="006316DD"/>
    <w:rsid w:val="0063179E"/>
    <w:rsid w:val="00631850"/>
    <w:rsid w:val="006318FA"/>
    <w:rsid w:val="00631A11"/>
    <w:rsid w:val="00631AF0"/>
    <w:rsid w:val="00631B5E"/>
    <w:rsid w:val="00631BD7"/>
    <w:rsid w:val="0063228B"/>
    <w:rsid w:val="006334E3"/>
    <w:rsid w:val="00633548"/>
    <w:rsid w:val="006335DD"/>
    <w:rsid w:val="00633B05"/>
    <w:rsid w:val="00634207"/>
    <w:rsid w:val="006347EB"/>
    <w:rsid w:val="00634C0A"/>
    <w:rsid w:val="00636170"/>
    <w:rsid w:val="00636232"/>
    <w:rsid w:val="00636442"/>
    <w:rsid w:val="00636F81"/>
    <w:rsid w:val="00637019"/>
    <w:rsid w:val="0063739E"/>
    <w:rsid w:val="00637E94"/>
    <w:rsid w:val="00637ED8"/>
    <w:rsid w:val="0064022C"/>
    <w:rsid w:val="0064031C"/>
    <w:rsid w:val="00640601"/>
    <w:rsid w:val="0064254A"/>
    <w:rsid w:val="00643013"/>
    <w:rsid w:val="006434C2"/>
    <w:rsid w:val="006435F0"/>
    <w:rsid w:val="006435FB"/>
    <w:rsid w:val="0064376C"/>
    <w:rsid w:val="00643F29"/>
    <w:rsid w:val="0064500C"/>
    <w:rsid w:val="00645116"/>
    <w:rsid w:val="0064574A"/>
    <w:rsid w:val="00645B30"/>
    <w:rsid w:val="00646A42"/>
    <w:rsid w:val="006472A6"/>
    <w:rsid w:val="00650B56"/>
    <w:rsid w:val="00650C5D"/>
    <w:rsid w:val="00651A53"/>
    <w:rsid w:val="006523F7"/>
    <w:rsid w:val="00652F23"/>
    <w:rsid w:val="00653042"/>
    <w:rsid w:val="00653223"/>
    <w:rsid w:val="006538CC"/>
    <w:rsid w:val="00653B1D"/>
    <w:rsid w:val="006540F1"/>
    <w:rsid w:val="006547BE"/>
    <w:rsid w:val="00654836"/>
    <w:rsid w:val="006548E1"/>
    <w:rsid w:val="00655149"/>
    <w:rsid w:val="00655573"/>
    <w:rsid w:val="00655CCE"/>
    <w:rsid w:val="006565EF"/>
    <w:rsid w:val="00656DCC"/>
    <w:rsid w:val="00657DCE"/>
    <w:rsid w:val="006608B2"/>
    <w:rsid w:val="006619E0"/>
    <w:rsid w:val="00661A93"/>
    <w:rsid w:val="00661EDF"/>
    <w:rsid w:val="0066226D"/>
    <w:rsid w:val="00662EA8"/>
    <w:rsid w:val="00662F5B"/>
    <w:rsid w:val="006635FD"/>
    <w:rsid w:val="00663F00"/>
    <w:rsid w:val="006650A2"/>
    <w:rsid w:val="00665649"/>
    <w:rsid w:val="00666A76"/>
    <w:rsid w:val="00666B3A"/>
    <w:rsid w:val="00666DAB"/>
    <w:rsid w:val="006671FB"/>
    <w:rsid w:val="00670DCA"/>
    <w:rsid w:val="00672A9B"/>
    <w:rsid w:val="00672CD0"/>
    <w:rsid w:val="006736E5"/>
    <w:rsid w:val="00673B07"/>
    <w:rsid w:val="00673B0C"/>
    <w:rsid w:val="00674920"/>
    <w:rsid w:val="00674E4A"/>
    <w:rsid w:val="00675392"/>
    <w:rsid w:val="00677245"/>
    <w:rsid w:val="00677629"/>
    <w:rsid w:val="006777C7"/>
    <w:rsid w:val="00680AEB"/>
    <w:rsid w:val="00680BE6"/>
    <w:rsid w:val="00680FD8"/>
    <w:rsid w:val="0068130B"/>
    <w:rsid w:val="00681318"/>
    <w:rsid w:val="00681942"/>
    <w:rsid w:val="00681C60"/>
    <w:rsid w:val="006823C5"/>
    <w:rsid w:val="00682F7F"/>
    <w:rsid w:val="006830CA"/>
    <w:rsid w:val="006831BB"/>
    <w:rsid w:val="006833B2"/>
    <w:rsid w:val="006835B8"/>
    <w:rsid w:val="00683702"/>
    <w:rsid w:val="00683F1E"/>
    <w:rsid w:val="00684771"/>
    <w:rsid w:val="0068498B"/>
    <w:rsid w:val="00684FF1"/>
    <w:rsid w:val="00685553"/>
    <w:rsid w:val="00686849"/>
    <w:rsid w:val="0068693F"/>
    <w:rsid w:val="00686B81"/>
    <w:rsid w:val="00690023"/>
    <w:rsid w:val="00690993"/>
    <w:rsid w:val="006909D0"/>
    <w:rsid w:val="00690C25"/>
    <w:rsid w:val="00690C8E"/>
    <w:rsid w:val="00690D25"/>
    <w:rsid w:val="00690FA6"/>
    <w:rsid w:val="00691E2B"/>
    <w:rsid w:val="0069414B"/>
    <w:rsid w:val="00694E27"/>
    <w:rsid w:val="00695580"/>
    <w:rsid w:val="00695ACE"/>
    <w:rsid w:val="00695BBF"/>
    <w:rsid w:val="0069666C"/>
    <w:rsid w:val="00696AB2"/>
    <w:rsid w:val="00696B9C"/>
    <w:rsid w:val="00697855"/>
    <w:rsid w:val="00697D52"/>
    <w:rsid w:val="00697DE0"/>
    <w:rsid w:val="006A0D1D"/>
    <w:rsid w:val="006A116E"/>
    <w:rsid w:val="006A1844"/>
    <w:rsid w:val="006A1987"/>
    <w:rsid w:val="006A1DB5"/>
    <w:rsid w:val="006A2032"/>
    <w:rsid w:val="006A2247"/>
    <w:rsid w:val="006A23BF"/>
    <w:rsid w:val="006A2610"/>
    <w:rsid w:val="006A281F"/>
    <w:rsid w:val="006A2EB2"/>
    <w:rsid w:val="006A2FD4"/>
    <w:rsid w:val="006A3306"/>
    <w:rsid w:val="006A3837"/>
    <w:rsid w:val="006A4158"/>
    <w:rsid w:val="006A41CB"/>
    <w:rsid w:val="006A4AAD"/>
    <w:rsid w:val="006A5274"/>
    <w:rsid w:val="006A5867"/>
    <w:rsid w:val="006A5ED1"/>
    <w:rsid w:val="006A5FDF"/>
    <w:rsid w:val="006A6A9F"/>
    <w:rsid w:val="006A752A"/>
    <w:rsid w:val="006B03A7"/>
    <w:rsid w:val="006B0477"/>
    <w:rsid w:val="006B0684"/>
    <w:rsid w:val="006B0A92"/>
    <w:rsid w:val="006B13C2"/>
    <w:rsid w:val="006B15A3"/>
    <w:rsid w:val="006B1D74"/>
    <w:rsid w:val="006B1EAC"/>
    <w:rsid w:val="006B2CAF"/>
    <w:rsid w:val="006B4463"/>
    <w:rsid w:val="006B4D9E"/>
    <w:rsid w:val="006B54A7"/>
    <w:rsid w:val="006B5D62"/>
    <w:rsid w:val="006B60EA"/>
    <w:rsid w:val="006B6623"/>
    <w:rsid w:val="006B67BA"/>
    <w:rsid w:val="006B6C80"/>
    <w:rsid w:val="006B6FAB"/>
    <w:rsid w:val="006B6FC8"/>
    <w:rsid w:val="006B73F9"/>
    <w:rsid w:val="006C0748"/>
    <w:rsid w:val="006C221B"/>
    <w:rsid w:val="006C2833"/>
    <w:rsid w:val="006C2D29"/>
    <w:rsid w:val="006C3D97"/>
    <w:rsid w:val="006C4A23"/>
    <w:rsid w:val="006C4C2F"/>
    <w:rsid w:val="006C4D3C"/>
    <w:rsid w:val="006C4FDC"/>
    <w:rsid w:val="006C507C"/>
    <w:rsid w:val="006C5953"/>
    <w:rsid w:val="006C59DD"/>
    <w:rsid w:val="006C5B9B"/>
    <w:rsid w:val="006C5E0D"/>
    <w:rsid w:val="006C6566"/>
    <w:rsid w:val="006C71A9"/>
    <w:rsid w:val="006C7500"/>
    <w:rsid w:val="006C7CE5"/>
    <w:rsid w:val="006C7FEA"/>
    <w:rsid w:val="006D03DC"/>
    <w:rsid w:val="006D0A42"/>
    <w:rsid w:val="006D0EF6"/>
    <w:rsid w:val="006D1784"/>
    <w:rsid w:val="006D1C9D"/>
    <w:rsid w:val="006D28EF"/>
    <w:rsid w:val="006D2BB6"/>
    <w:rsid w:val="006D39FF"/>
    <w:rsid w:val="006D3CCC"/>
    <w:rsid w:val="006D47BD"/>
    <w:rsid w:val="006D488D"/>
    <w:rsid w:val="006D536D"/>
    <w:rsid w:val="006D557E"/>
    <w:rsid w:val="006D76C0"/>
    <w:rsid w:val="006D7715"/>
    <w:rsid w:val="006E0167"/>
    <w:rsid w:val="006E0383"/>
    <w:rsid w:val="006E0699"/>
    <w:rsid w:val="006E2851"/>
    <w:rsid w:val="006E2DE7"/>
    <w:rsid w:val="006E30A2"/>
    <w:rsid w:val="006E4266"/>
    <w:rsid w:val="006E4B38"/>
    <w:rsid w:val="006E4BB3"/>
    <w:rsid w:val="006E52E6"/>
    <w:rsid w:val="006E5625"/>
    <w:rsid w:val="006E5751"/>
    <w:rsid w:val="006E5B20"/>
    <w:rsid w:val="006E7D4B"/>
    <w:rsid w:val="006F059C"/>
    <w:rsid w:val="006F09CD"/>
    <w:rsid w:val="006F0C80"/>
    <w:rsid w:val="006F17DD"/>
    <w:rsid w:val="006F1DC1"/>
    <w:rsid w:val="006F2086"/>
    <w:rsid w:val="006F29B5"/>
    <w:rsid w:val="006F29B6"/>
    <w:rsid w:val="006F2CBF"/>
    <w:rsid w:val="006F2D76"/>
    <w:rsid w:val="006F2DB1"/>
    <w:rsid w:val="006F331B"/>
    <w:rsid w:val="006F35E1"/>
    <w:rsid w:val="006F443F"/>
    <w:rsid w:val="006F54E8"/>
    <w:rsid w:val="006F5612"/>
    <w:rsid w:val="006F5C61"/>
    <w:rsid w:val="006F6067"/>
    <w:rsid w:val="006F63DD"/>
    <w:rsid w:val="006F7D8E"/>
    <w:rsid w:val="00700500"/>
    <w:rsid w:val="00700AFF"/>
    <w:rsid w:val="00700DA5"/>
    <w:rsid w:val="00702614"/>
    <w:rsid w:val="00702741"/>
    <w:rsid w:val="00702964"/>
    <w:rsid w:val="00702E0C"/>
    <w:rsid w:val="00702EB3"/>
    <w:rsid w:val="00704278"/>
    <w:rsid w:val="007047C6"/>
    <w:rsid w:val="00705210"/>
    <w:rsid w:val="007054BC"/>
    <w:rsid w:val="00705A11"/>
    <w:rsid w:val="00705D3A"/>
    <w:rsid w:val="00705E2F"/>
    <w:rsid w:val="007066C0"/>
    <w:rsid w:val="007070C7"/>
    <w:rsid w:val="00707245"/>
    <w:rsid w:val="0071049B"/>
    <w:rsid w:val="00710621"/>
    <w:rsid w:val="00710777"/>
    <w:rsid w:val="007115B5"/>
    <w:rsid w:val="00711877"/>
    <w:rsid w:val="00711EA6"/>
    <w:rsid w:val="00712146"/>
    <w:rsid w:val="00712CF2"/>
    <w:rsid w:val="00712EB0"/>
    <w:rsid w:val="00713332"/>
    <w:rsid w:val="00713A50"/>
    <w:rsid w:val="00713B13"/>
    <w:rsid w:val="00713C1C"/>
    <w:rsid w:val="00714A8F"/>
    <w:rsid w:val="00715298"/>
    <w:rsid w:val="007153D0"/>
    <w:rsid w:val="007156AC"/>
    <w:rsid w:val="00715CFB"/>
    <w:rsid w:val="00715F5F"/>
    <w:rsid w:val="00716110"/>
    <w:rsid w:val="007165A1"/>
    <w:rsid w:val="0071702F"/>
    <w:rsid w:val="00717940"/>
    <w:rsid w:val="00717A67"/>
    <w:rsid w:val="00717BD7"/>
    <w:rsid w:val="00717D27"/>
    <w:rsid w:val="007204BD"/>
    <w:rsid w:val="0072082F"/>
    <w:rsid w:val="007214E6"/>
    <w:rsid w:val="00721D07"/>
    <w:rsid w:val="00721EE8"/>
    <w:rsid w:val="00722AB6"/>
    <w:rsid w:val="00723596"/>
    <w:rsid w:val="00724126"/>
    <w:rsid w:val="00724828"/>
    <w:rsid w:val="00724918"/>
    <w:rsid w:val="007249CB"/>
    <w:rsid w:val="00724B14"/>
    <w:rsid w:val="007256F7"/>
    <w:rsid w:val="007263BD"/>
    <w:rsid w:val="00726C09"/>
    <w:rsid w:val="00726EC7"/>
    <w:rsid w:val="00726ECA"/>
    <w:rsid w:val="00726F02"/>
    <w:rsid w:val="00727158"/>
    <w:rsid w:val="007272AC"/>
    <w:rsid w:val="00727914"/>
    <w:rsid w:val="00730712"/>
    <w:rsid w:val="00731378"/>
    <w:rsid w:val="00731CAB"/>
    <w:rsid w:val="007321A4"/>
    <w:rsid w:val="00733127"/>
    <w:rsid w:val="0073470D"/>
    <w:rsid w:val="007348E5"/>
    <w:rsid w:val="00734B18"/>
    <w:rsid w:val="007362C8"/>
    <w:rsid w:val="00736864"/>
    <w:rsid w:val="00737B49"/>
    <w:rsid w:val="00740548"/>
    <w:rsid w:val="0074097D"/>
    <w:rsid w:val="00740BD7"/>
    <w:rsid w:val="00740C3F"/>
    <w:rsid w:val="00741943"/>
    <w:rsid w:val="00741C1B"/>
    <w:rsid w:val="00741F5F"/>
    <w:rsid w:val="007425E6"/>
    <w:rsid w:val="00742CFF"/>
    <w:rsid w:val="00742DBC"/>
    <w:rsid w:val="0074352C"/>
    <w:rsid w:val="00743B9C"/>
    <w:rsid w:val="007443F3"/>
    <w:rsid w:val="007450E5"/>
    <w:rsid w:val="00745412"/>
    <w:rsid w:val="007460DE"/>
    <w:rsid w:val="00746396"/>
    <w:rsid w:val="00746AFF"/>
    <w:rsid w:val="00746D30"/>
    <w:rsid w:val="007474ED"/>
    <w:rsid w:val="00750221"/>
    <w:rsid w:val="0075072B"/>
    <w:rsid w:val="00750AF7"/>
    <w:rsid w:val="00750FFD"/>
    <w:rsid w:val="00751EAC"/>
    <w:rsid w:val="0075220D"/>
    <w:rsid w:val="00752615"/>
    <w:rsid w:val="0075296B"/>
    <w:rsid w:val="00752E9A"/>
    <w:rsid w:val="00752FB3"/>
    <w:rsid w:val="00753BB0"/>
    <w:rsid w:val="00754F85"/>
    <w:rsid w:val="007552E8"/>
    <w:rsid w:val="00755329"/>
    <w:rsid w:val="007557B1"/>
    <w:rsid w:val="007559A6"/>
    <w:rsid w:val="00755F7D"/>
    <w:rsid w:val="00757048"/>
    <w:rsid w:val="007574F8"/>
    <w:rsid w:val="00761CDA"/>
    <w:rsid w:val="007627A0"/>
    <w:rsid w:val="0076376F"/>
    <w:rsid w:val="00764A41"/>
    <w:rsid w:val="00764F9D"/>
    <w:rsid w:val="00765234"/>
    <w:rsid w:val="00765384"/>
    <w:rsid w:val="0076551B"/>
    <w:rsid w:val="00765663"/>
    <w:rsid w:val="00765A57"/>
    <w:rsid w:val="00765F16"/>
    <w:rsid w:val="00767B87"/>
    <w:rsid w:val="007700E3"/>
    <w:rsid w:val="00770194"/>
    <w:rsid w:val="00770B46"/>
    <w:rsid w:val="00771D87"/>
    <w:rsid w:val="00771E02"/>
    <w:rsid w:val="00772549"/>
    <w:rsid w:val="00772603"/>
    <w:rsid w:val="0077323F"/>
    <w:rsid w:val="007742AF"/>
    <w:rsid w:val="00775787"/>
    <w:rsid w:val="00775AC2"/>
    <w:rsid w:val="007765DA"/>
    <w:rsid w:val="007773EE"/>
    <w:rsid w:val="00777B93"/>
    <w:rsid w:val="00780293"/>
    <w:rsid w:val="00780500"/>
    <w:rsid w:val="007807F8"/>
    <w:rsid w:val="00780F85"/>
    <w:rsid w:val="00781678"/>
    <w:rsid w:val="007822EC"/>
    <w:rsid w:val="0078238F"/>
    <w:rsid w:val="007827A3"/>
    <w:rsid w:val="00783C78"/>
    <w:rsid w:val="00783D97"/>
    <w:rsid w:val="0078424B"/>
    <w:rsid w:val="00784814"/>
    <w:rsid w:val="00785199"/>
    <w:rsid w:val="00785773"/>
    <w:rsid w:val="00786EA0"/>
    <w:rsid w:val="007872A6"/>
    <w:rsid w:val="00787584"/>
    <w:rsid w:val="0079014C"/>
    <w:rsid w:val="00790947"/>
    <w:rsid w:val="00790CF1"/>
    <w:rsid w:val="00790D24"/>
    <w:rsid w:val="00791A03"/>
    <w:rsid w:val="007924ED"/>
    <w:rsid w:val="00792F99"/>
    <w:rsid w:val="00792FE4"/>
    <w:rsid w:val="0079323C"/>
    <w:rsid w:val="00793A0D"/>
    <w:rsid w:val="00793DDE"/>
    <w:rsid w:val="00794A9B"/>
    <w:rsid w:val="00794BA9"/>
    <w:rsid w:val="00794DAD"/>
    <w:rsid w:val="007955C2"/>
    <w:rsid w:val="0079583D"/>
    <w:rsid w:val="00796536"/>
    <w:rsid w:val="00796C18"/>
    <w:rsid w:val="00796FD2"/>
    <w:rsid w:val="007972C7"/>
    <w:rsid w:val="00797DED"/>
    <w:rsid w:val="00797FA7"/>
    <w:rsid w:val="007A02FD"/>
    <w:rsid w:val="007A09E5"/>
    <w:rsid w:val="007A0EEB"/>
    <w:rsid w:val="007A1253"/>
    <w:rsid w:val="007A1A67"/>
    <w:rsid w:val="007A3792"/>
    <w:rsid w:val="007A627C"/>
    <w:rsid w:val="007A6483"/>
    <w:rsid w:val="007A6CB0"/>
    <w:rsid w:val="007A6D71"/>
    <w:rsid w:val="007A7208"/>
    <w:rsid w:val="007A7337"/>
    <w:rsid w:val="007A79C8"/>
    <w:rsid w:val="007B0047"/>
    <w:rsid w:val="007B0105"/>
    <w:rsid w:val="007B1278"/>
    <w:rsid w:val="007B14E8"/>
    <w:rsid w:val="007B20C3"/>
    <w:rsid w:val="007B340D"/>
    <w:rsid w:val="007B3941"/>
    <w:rsid w:val="007B39CF"/>
    <w:rsid w:val="007B3A51"/>
    <w:rsid w:val="007B3B7D"/>
    <w:rsid w:val="007B4636"/>
    <w:rsid w:val="007B4CE3"/>
    <w:rsid w:val="007B4D29"/>
    <w:rsid w:val="007B505A"/>
    <w:rsid w:val="007B54AB"/>
    <w:rsid w:val="007B5714"/>
    <w:rsid w:val="007B5763"/>
    <w:rsid w:val="007B59E3"/>
    <w:rsid w:val="007B5BA7"/>
    <w:rsid w:val="007B6B3B"/>
    <w:rsid w:val="007B6D5E"/>
    <w:rsid w:val="007B7110"/>
    <w:rsid w:val="007B72AF"/>
    <w:rsid w:val="007B7E45"/>
    <w:rsid w:val="007C05C1"/>
    <w:rsid w:val="007C1294"/>
    <w:rsid w:val="007C157C"/>
    <w:rsid w:val="007C1D16"/>
    <w:rsid w:val="007C255D"/>
    <w:rsid w:val="007C2759"/>
    <w:rsid w:val="007C2885"/>
    <w:rsid w:val="007C2E7A"/>
    <w:rsid w:val="007C36D0"/>
    <w:rsid w:val="007C4128"/>
    <w:rsid w:val="007C428D"/>
    <w:rsid w:val="007C42E8"/>
    <w:rsid w:val="007C43CF"/>
    <w:rsid w:val="007C4BE5"/>
    <w:rsid w:val="007C5134"/>
    <w:rsid w:val="007C557C"/>
    <w:rsid w:val="007C5646"/>
    <w:rsid w:val="007C593A"/>
    <w:rsid w:val="007C6183"/>
    <w:rsid w:val="007C6334"/>
    <w:rsid w:val="007C6416"/>
    <w:rsid w:val="007C6494"/>
    <w:rsid w:val="007C64BE"/>
    <w:rsid w:val="007C6896"/>
    <w:rsid w:val="007C6A54"/>
    <w:rsid w:val="007C6E94"/>
    <w:rsid w:val="007D1638"/>
    <w:rsid w:val="007D201A"/>
    <w:rsid w:val="007D2752"/>
    <w:rsid w:val="007D2848"/>
    <w:rsid w:val="007D33A6"/>
    <w:rsid w:val="007D3B24"/>
    <w:rsid w:val="007D3E0C"/>
    <w:rsid w:val="007D4360"/>
    <w:rsid w:val="007D4AAC"/>
    <w:rsid w:val="007D4E47"/>
    <w:rsid w:val="007D5C9B"/>
    <w:rsid w:val="007D5CB6"/>
    <w:rsid w:val="007D60F5"/>
    <w:rsid w:val="007D6556"/>
    <w:rsid w:val="007D661D"/>
    <w:rsid w:val="007D78BC"/>
    <w:rsid w:val="007D7C94"/>
    <w:rsid w:val="007E0607"/>
    <w:rsid w:val="007E09E3"/>
    <w:rsid w:val="007E0E17"/>
    <w:rsid w:val="007E1A5A"/>
    <w:rsid w:val="007E2911"/>
    <w:rsid w:val="007E36EA"/>
    <w:rsid w:val="007E457A"/>
    <w:rsid w:val="007E667F"/>
    <w:rsid w:val="007E6694"/>
    <w:rsid w:val="007E6977"/>
    <w:rsid w:val="007E6B39"/>
    <w:rsid w:val="007E7A5B"/>
    <w:rsid w:val="007E7E56"/>
    <w:rsid w:val="007E7FC3"/>
    <w:rsid w:val="007F0014"/>
    <w:rsid w:val="007F0D06"/>
    <w:rsid w:val="007F11E1"/>
    <w:rsid w:val="007F2301"/>
    <w:rsid w:val="007F3EBB"/>
    <w:rsid w:val="007F4CD3"/>
    <w:rsid w:val="007F53A1"/>
    <w:rsid w:val="007F61F5"/>
    <w:rsid w:val="007F65CF"/>
    <w:rsid w:val="007F6C30"/>
    <w:rsid w:val="007F733A"/>
    <w:rsid w:val="007F736E"/>
    <w:rsid w:val="00800229"/>
    <w:rsid w:val="00800823"/>
    <w:rsid w:val="00802574"/>
    <w:rsid w:val="00802A39"/>
    <w:rsid w:val="00802BC6"/>
    <w:rsid w:val="00802FB0"/>
    <w:rsid w:val="00803084"/>
    <w:rsid w:val="00803518"/>
    <w:rsid w:val="008039F8"/>
    <w:rsid w:val="00803A19"/>
    <w:rsid w:val="00804A6E"/>
    <w:rsid w:val="00806095"/>
    <w:rsid w:val="00806A28"/>
    <w:rsid w:val="00806DAE"/>
    <w:rsid w:val="00807828"/>
    <w:rsid w:val="0080786E"/>
    <w:rsid w:val="0080788B"/>
    <w:rsid w:val="008100B2"/>
    <w:rsid w:val="00810165"/>
    <w:rsid w:val="00811086"/>
    <w:rsid w:val="00811895"/>
    <w:rsid w:val="00811AAB"/>
    <w:rsid w:val="008122B6"/>
    <w:rsid w:val="00812C69"/>
    <w:rsid w:val="00813630"/>
    <w:rsid w:val="008138A4"/>
    <w:rsid w:val="00813CCD"/>
    <w:rsid w:val="00813D06"/>
    <w:rsid w:val="00814208"/>
    <w:rsid w:val="00815050"/>
    <w:rsid w:val="0081555B"/>
    <w:rsid w:val="008155AD"/>
    <w:rsid w:val="00816F0F"/>
    <w:rsid w:val="00817B69"/>
    <w:rsid w:val="00817DAB"/>
    <w:rsid w:val="00820459"/>
    <w:rsid w:val="00821331"/>
    <w:rsid w:val="00821FA8"/>
    <w:rsid w:val="00822037"/>
    <w:rsid w:val="008224A3"/>
    <w:rsid w:val="00822C5F"/>
    <w:rsid w:val="00824375"/>
    <w:rsid w:val="00824679"/>
    <w:rsid w:val="008258C4"/>
    <w:rsid w:val="00826C06"/>
    <w:rsid w:val="00826F1E"/>
    <w:rsid w:val="00827715"/>
    <w:rsid w:val="00827AAB"/>
    <w:rsid w:val="00827B6C"/>
    <w:rsid w:val="00830785"/>
    <w:rsid w:val="00830AAC"/>
    <w:rsid w:val="00830ABC"/>
    <w:rsid w:val="00830D64"/>
    <w:rsid w:val="00831A23"/>
    <w:rsid w:val="00831D2D"/>
    <w:rsid w:val="008332A1"/>
    <w:rsid w:val="008336FF"/>
    <w:rsid w:val="008337BC"/>
    <w:rsid w:val="0083437A"/>
    <w:rsid w:val="008358A5"/>
    <w:rsid w:val="00835977"/>
    <w:rsid w:val="00835B75"/>
    <w:rsid w:val="0083755A"/>
    <w:rsid w:val="008378E4"/>
    <w:rsid w:val="00837B9B"/>
    <w:rsid w:val="00837D26"/>
    <w:rsid w:val="00837E3B"/>
    <w:rsid w:val="00840A86"/>
    <w:rsid w:val="00840EF0"/>
    <w:rsid w:val="00841349"/>
    <w:rsid w:val="00841928"/>
    <w:rsid w:val="00842364"/>
    <w:rsid w:val="00842506"/>
    <w:rsid w:val="008428C6"/>
    <w:rsid w:val="00842B4C"/>
    <w:rsid w:val="00844571"/>
    <w:rsid w:val="00844FA7"/>
    <w:rsid w:val="0084525D"/>
    <w:rsid w:val="008455EA"/>
    <w:rsid w:val="00845C2E"/>
    <w:rsid w:val="00845CC5"/>
    <w:rsid w:val="00845DAD"/>
    <w:rsid w:val="008460ED"/>
    <w:rsid w:val="0084724F"/>
    <w:rsid w:val="00850407"/>
    <w:rsid w:val="00850B93"/>
    <w:rsid w:val="00850EB0"/>
    <w:rsid w:val="00850F64"/>
    <w:rsid w:val="00851741"/>
    <w:rsid w:val="008517ED"/>
    <w:rsid w:val="00851DE4"/>
    <w:rsid w:val="0085207D"/>
    <w:rsid w:val="0085289D"/>
    <w:rsid w:val="00852B44"/>
    <w:rsid w:val="00853AD4"/>
    <w:rsid w:val="00853EE1"/>
    <w:rsid w:val="008542B8"/>
    <w:rsid w:val="0085507D"/>
    <w:rsid w:val="00855736"/>
    <w:rsid w:val="008571EC"/>
    <w:rsid w:val="00857310"/>
    <w:rsid w:val="0085749F"/>
    <w:rsid w:val="00860143"/>
    <w:rsid w:val="0086038D"/>
    <w:rsid w:val="00860F8C"/>
    <w:rsid w:val="0086135E"/>
    <w:rsid w:val="008625E1"/>
    <w:rsid w:val="00862A2E"/>
    <w:rsid w:val="00862D88"/>
    <w:rsid w:val="008631D7"/>
    <w:rsid w:val="0086330A"/>
    <w:rsid w:val="008634D9"/>
    <w:rsid w:val="00863A7B"/>
    <w:rsid w:val="008659FF"/>
    <w:rsid w:val="00865B4C"/>
    <w:rsid w:val="00865DF7"/>
    <w:rsid w:val="00866279"/>
    <w:rsid w:val="00867980"/>
    <w:rsid w:val="00867D24"/>
    <w:rsid w:val="00870EB5"/>
    <w:rsid w:val="008726DB"/>
    <w:rsid w:val="008726ED"/>
    <w:rsid w:val="00873F64"/>
    <w:rsid w:val="008744C1"/>
    <w:rsid w:val="00874879"/>
    <w:rsid w:val="00874A1D"/>
    <w:rsid w:val="00874B26"/>
    <w:rsid w:val="00874F5E"/>
    <w:rsid w:val="00874F8C"/>
    <w:rsid w:val="0087619E"/>
    <w:rsid w:val="00876498"/>
    <w:rsid w:val="00876528"/>
    <w:rsid w:val="00876B60"/>
    <w:rsid w:val="00876BA4"/>
    <w:rsid w:val="008800F4"/>
    <w:rsid w:val="008803C1"/>
    <w:rsid w:val="0088055C"/>
    <w:rsid w:val="00880725"/>
    <w:rsid w:val="00880A38"/>
    <w:rsid w:val="00880CBE"/>
    <w:rsid w:val="00880F30"/>
    <w:rsid w:val="00881032"/>
    <w:rsid w:val="008816CB"/>
    <w:rsid w:val="00881CB2"/>
    <w:rsid w:val="00882EFC"/>
    <w:rsid w:val="008834D0"/>
    <w:rsid w:val="00883FED"/>
    <w:rsid w:val="00884413"/>
    <w:rsid w:val="00884568"/>
    <w:rsid w:val="00884A7F"/>
    <w:rsid w:val="00884C51"/>
    <w:rsid w:val="00885861"/>
    <w:rsid w:val="00886804"/>
    <w:rsid w:val="00886900"/>
    <w:rsid w:val="00886DD9"/>
    <w:rsid w:val="00886F9C"/>
    <w:rsid w:val="0088793E"/>
    <w:rsid w:val="00887B25"/>
    <w:rsid w:val="008900B1"/>
    <w:rsid w:val="0089020F"/>
    <w:rsid w:val="00890A38"/>
    <w:rsid w:val="00890D30"/>
    <w:rsid w:val="0089111D"/>
    <w:rsid w:val="00891750"/>
    <w:rsid w:val="008922EB"/>
    <w:rsid w:val="00892C54"/>
    <w:rsid w:val="00893925"/>
    <w:rsid w:val="00893ADB"/>
    <w:rsid w:val="0089420C"/>
    <w:rsid w:val="0089508D"/>
    <w:rsid w:val="00895AEE"/>
    <w:rsid w:val="00896919"/>
    <w:rsid w:val="00896FC6"/>
    <w:rsid w:val="00897057"/>
    <w:rsid w:val="008970F1"/>
    <w:rsid w:val="00897229"/>
    <w:rsid w:val="00897D16"/>
    <w:rsid w:val="008A0246"/>
    <w:rsid w:val="008A0781"/>
    <w:rsid w:val="008A07B6"/>
    <w:rsid w:val="008A0E77"/>
    <w:rsid w:val="008A0FE0"/>
    <w:rsid w:val="008A202E"/>
    <w:rsid w:val="008A265C"/>
    <w:rsid w:val="008A2CEF"/>
    <w:rsid w:val="008A2E3E"/>
    <w:rsid w:val="008A3F75"/>
    <w:rsid w:val="008A4328"/>
    <w:rsid w:val="008A4ADD"/>
    <w:rsid w:val="008A5859"/>
    <w:rsid w:val="008A5E0F"/>
    <w:rsid w:val="008A60AF"/>
    <w:rsid w:val="008A7481"/>
    <w:rsid w:val="008A74D9"/>
    <w:rsid w:val="008B0021"/>
    <w:rsid w:val="008B119D"/>
    <w:rsid w:val="008B131C"/>
    <w:rsid w:val="008B1CAA"/>
    <w:rsid w:val="008B1E31"/>
    <w:rsid w:val="008B2007"/>
    <w:rsid w:val="008B28A5"/>
    <w:rsid w:val="008B30A7"/>
    <w:rsid w:val="008B4463"/>
    <w:rsid w:val="008B4F05"/>
    <w:rsid w:val="008B50B9"/>
    <w:rsid w:val="008B5228"/>
    <w:rsid w:val="008B53C5"/>
    <w:rsid w:val="008B5FD5"/>
    <w:rsid w:val="008B6140"/>
    <w:rsid w:val="008B61FB"/>
    <w:rsid w:val="008B626D"/>
    <w:rsid w:val="008B6878"/>
    <w:rsid w:val="008B6C97"/>
    <w:rsid w:val="008B7535"/>
    <w:rsid w:val="008C0104"/>
    <w:rsid w:val="008C121C"/>
    <w:rsid w:val="008C1866"/>
    <w:rsid w:val="008C19A8"/>
    <w:rsid w:val="008C1A23"/>
    <w:rsid w:val="008C24B7"/>
    <w:rsid w:val="008C27C5"/>
    <w:rsid w:val="008C2A5A"/>
    <w:rsid w:val="008C2AC5"/>
    <w:rsid w:val="008C2E00"/>
    <w:rsid w:val="008C38B7"/>
    <w:rsid w:val="008C4116"/>
    <w:rsid w:val="008C46AB"/>
    <w:rsid w:val="008C52DB"/>
    <w:rsid w:val="008C579C"/>
    <w:rsid w:val="008C587A"/>
    <w:rsid w:val="008C5FC4"/>
    <w:rsid w:val="008C6D92"/>
    <w:rsid w:val="008C774F"/>
    <w:rsid w:val="008C7D31"/>
    <w:rsid w:val="008D1891"/>
    <w:rsid w:val="008D1AB7"/>
    <w:rsid w:val="008D1C2C"/>
    <w:rsid w:val="008D2BDC"/>
    <w:rsid w:val="008D2FB0"/>
    <w:rsid w:val="008D3084"/>
    <w:rsid w:val="008D31E0"/>
    <w:rsid w:val="008D38FA"/>
    <w:rsid w:val="008D4733"/>
    <w:rsid w:val="008D4FFB"/>
    <w:rsid w:val="008D6DBA"/>
    <w:rsid w:val="008D7E71"/>
    <w:rsid w:val="008E09D3"/>
    <w:rsid w:val="008E1037"/>
    <w:rsid w:val="008E1340"/>
    <w:rsid w:val="008E15EF"/>
    <w:rsid w:val="008E2215"/>
    <w:rsid w:val="008E231D"/>
    <w:rsid w:val="008E3D7F"/>
    <w:rsid w:val="008E43CE"/>
    <w:rsid w:val="008E4538"/>
    <w:rsid w:val="008E5E9B"/>
    <w:rsid w:val="008E6FE9"/>
    <w:rsid w:val="008F08CE"/>
    <w:rsid w:val="008F0B10"/>
    <w:rsid w:val="008F141E"/>
    <w:rsid w:val="008F1548"/>
    <w:rsid w:val="008F1555"/>
    <w:rsid w:val="008F1587"/>
    <w:rsid w:val="008F23EA"/>
    <w:rsid w:val="008F2636"/>
    <w:rsid w:val="008F2EA0"/>
    <w:rsid w:val="008F3546"/>
    <w:rsid w:val="008F39DC"/>
    <w:rsid w:val="008F3D24"/>
    <w:rsid w:val="008F3D54"/>
    <w:rsid w:val="008F4997"/>
    <w:rsid w:val="008F5286"/>
    <w:rsid w:val="008F5309"/>
    <w:rsid w:val="008F5DE5"/>
    <w:rsid w:val="008F601C"/>
    <w:rsid w:val="008F60F8"/>
    <w:rsid w:val="008F6699"/>
    <w:rsid w:val="008F7477"/>
    <w:rsid w:val="008F7CBF"/>
    <w:rsid w:val="008F7E99"/>
    <w:rsid w:val="0090010D"/>
    <w:rsid w:val="00900D0C"/>
    <w:rsid w:val="0090168D"/>
    <w:rsid w:val="009023CE"/>
    <w:rsid w:val="00902FD3"/>
    <w:rsid w:val="0090324F"/>
    <w:rsid w:val="00903E77"/>
    <w:rsid w:val="009046F4"/>
    <w:rsid w:val="00905394"/>
    <w:rsid w:val="00905F5A"/>
    <w:rsid w:val="00906008"/>
    <w:rsid w:val="00906A17"/>
    <w:rsid w:val="00906B20"/>
    <w:rsid w:val="0090753E"/>
    <w:rsid w:val="0090797B"/>
    <w:rsid w:val="00907B3C"/>
    <w:rsid w:val="00910A11"/>
    <w:rsid w:val="009112C2"/>
    <w:rsid w:val="00911934"/>
    <w:rsid w:val="00912CD3"/>
    <w:rsid w:val="00913417"/>
    <w:rsid w:val="00914427"/>
    <w:rsid w:val="00914626"/>
    <w:rsid w:val="00914C78"/>
    <w:rsid w:val="00914D2A"/>
    <w:rsid w:val="00914EDB"/>
    <w:rsid w:val="00916A2B"/>
    <w:rsid w:val="009177D9"/>
    <w:rsid w:val="00917840"/>
    <w:rsid w:val="00917EC4"/>
    <w:rsid w:val="00917F1E"/>
    <w:rsid w:val="00920C3E"/>
    <w:rsid w:val="00921F75"/>
    <w:rsid w:val="00922124"/>
    <w:rsid w:val="00922A18"/>
    <w:rsid w:val="00922DA2"/>
    <w:rsid w:val="00923677"/>
    <w:rsid w:val="00923F5F"/>
    <w:rsid w:val="00924508"/>
    <w:rsid w:val="00924653"/>
    <w:rsid w:val="00924E26"/>
    <w:rsid w:val="00925BB8"/>
    <w:rsid w:val="0092675F"/>
    <w:rsid w:val="00926EC2"/>
    <w:rsid w:val="009270D3"/>
    <w:rsid w:val="009271BA"/>
    <w:rsid w:val="009275D2"/>
    <w:rsid w:val="009278F7"/>
    <w:rsid w:val="0092793D"/>
    <w:rsid w:val="00927A40"/>
    <w:rsid w:val="00930AB1"/>
    <w:rsid w:val="00930BEB"/>
    <w:rsid w:val="00931392"/>
    <w:rsid w:val="0093160B"/>
    <w:rsid w:val="0093181F"/>
    <w:rsid w:val="00932699"/>
    <w:rsid w:val="00932A91"/>
    <w:rsid w:val="00933343"/>
    <w:rsid w:val="009339A1"/>
    <w:rsid w:val="009340DB"/>
    <w:rsid w:val="0093458E"/>
    <w:rsid w:val="00934653"/>
    <w:rsid w:val="00934BA4"/>
    <w:rsid w:val="00935992"/>
    <w:rsid w:val="00935F96"/>
    <w:rsid w:val="00936250"/>
    <w:rsid w:val="00937F86"/>
    <w:rsid w:val="009408D6"/>
    <w:rsid w:val="00940FBC"/>
    <w:rsid w:val="009413DD"/>
    <w:rsid w:val="009414D2"/>
    <w:rsid w:val="0094171C"/>
    <w:rsid w:val="00941EB1"/>
    <w:rsid w:val="0094242D"/>
    <w:rsid w:val="009429D0"/>
    <w:rsid w:val="00943056"/>
    <w:rsid w:val="009433B2"/>
    <w:rsid w:val="00943456"/>
    <w:rsid w:val="009435E3"/>
    <w:rsid w:val="00944CD8"/>
    <w:rsid w:val="00944F18"/>
    <w:rsid w:val="00945A1D"/>
    <w:rsid w:val="00946769"/>
    <w:rsid w:val="00946C0C"/>
    <w:rsid w:val="00947814"/>
    <w:rsid w:val="00947CC5"/>
    <w:rsid w:val="00947E2C"/>
    <w:rsid w:val="009502C9"/>
    <w:rsid w:val="00950923"/>
    <w:rsid w:val="00950A9D"/>
    <w:rsid w:val="00950D2A"/>
    <w:rsid w:val="0095112E"/>
    <w:rsid w:val="00951256"/>
    <w:rsid w:val="00951486"/>
    <w:rsid w:val="00951D58"/>
    <w:rsid w:val="00951F74"/>
    <w:rsid w:val="0095378A"/>
    <w:rsid w:val="009542C6"/>
    <w:rsid w:val="009552C3"/>
    <w:rsid w:val="009553B3"/>
    <w:rsid w:val="009553D6"/>
    <w:rsid w:val="0095564F"/>
    <w:rsid w:val="009559C0"/>
    <w:rsid w:val="009569BB"/>
    <w:rsid w:val="00956A94"/>
    <w:rsid w:val="00956A96"/>
    <w:rsid w:val="009570E9"/>
    <w:rsid w:val="009575CE"/>
    <w:rsid w:val="009609AE"/>
    <w:rsid w:val="00960FEB"/>
    <w:rsid w:val="00961436"/>
    <w:rsid w:val="009619E3"/>
    <w:rsid w:val="00961F82"/>
    <w:rsid w:val="009620CF"/>
    <w:rsid w:val="0096295B"/>
    <w:rsid w:val="00962B33"/>
    <w:rsid w:val="00962EDA"/>
    <w:rsid w:val="00963C59"/>
    <w:rsid w:val="009642BF"/>
    <w:rsid w:val="0096661C"/>
    <w:rsid w:val="00966C25"/>
    <w:rsid w:val="00966E3A"/>
    <w:rsid w:val="009671D3"/>
    <w:rsid w:val="00967C48"/>
    <w:rsid w:val="00970685"/>
    <w:rsid w:val="009707EC"/>
    <w:rsid w:val="00970B42"/>
    <w:rsid w:val="0097297D"/>
    <w:rsid w:val="00972A91"/>
    <w:rsid w:val="00973116"/>
    <w:rsid w:val="009731DB"/>
    <w:rsid w:val="0097353D"/>
    <w:rsid w:val="009736C9"/>
    <w:rsid w:val="00973FBF"/>
    <w:rsid w:val="009745B3"/>
    <w:rsid w:val="00974A47"/>
    <w:rsid w:val="0097581B"/>
    <w:rsid w:val="0097607C"/>
    <w:rsid w:val="00976234"/>
    <w:rsid w:val="00976625"/>
    <w:rsid w:val="00976C7C"/>
    <w:rsid w:val="009775CA"/>
    <w:rsid w:val="00977651"/>
    <w:rsid w:val="00977B52"/>
    <w:rsid w:val="00980025"/>
    <w:rsid w:val="009805AB"/>
    <w:rsid w:val="0098061F"/>
    <w:rsid w:val="009808FA"/>
    <w:rsid w:val="0098091A"/>
    <w:rsid w:val="009814D2"/>
    <w:rsid w:val="00982090"/>
    <w:rsid w:val="00982484"/>
    <w:rsid w:val="00982D94"/>
    <w:rsid w:val="00982E57"/>
    <w:rsid w:val="00983A7A"/>
    <w:rsid w:val="00983F0F"/>
    <w:rsid w:val="00983F20"/>
    <w:rsid w:val="00983F63"/>
    <w:rsid w:val="009848A8"/>
    <w:rsid w:val="00984911"/>
    <w:rsid w:val="00984BE5"/>
    <w:rsid w:val="00985201"/>
    <w:rsid w:val="00985490"/>
    <w:rsid w:val="0098596C"/>
    <w:rsid w:val="00986034"/>
    <w:rsid w:val="0098635B"/>
    <w:rsid w:val="00986E5A"/>
    <w:rsid w:val="00987B0B"/>
    <w:rsid w:val="00987F2E"/>
    <w:rsid w:val="009905B8"/>
    <w:rsid w:val="009907E6"/>
    <w:rsid w:val="00990BB2"/>
    <w:rsid w:val="009913C8"/>
    <w:rsid w:val="00991C14"/>
    <w:rsid w:val="00991CD5"/>
    <w:rsid w:val="0099218D"/>
    <w:rsid w:val="0099277B"/>
    <w:rsid w:val="009933C1"/>
    <w:rsid w:val="0099360D"/>
    <w:rsid w:val="0099471E"/>
    <w:rsid w:val="00994801"/>
    <w:rsid w:val="009954B1"/>
    <w:rsid w:val="009955EA"/>
    <w:rsid w:val="0099690C"/>
    <w:rsid w:val="009A0623"/>
    <w:rsid w:val="009A129C"/>
    <w:rsid w:val="009A141C"/>
    <w:rsid w:val="009A1515"/>
    <w:rsid w:val="009A16B9"/>
    <w:rsid w:val="009A28E6"/>
    <w:rsid w:val="009A2A58"/>
    <w:rsid w:val="009A2B2B"/>
    <w:rsid w:val="009A31BF"/>
    <w:rsid w:val="009A5108"/>
    <w:rsid w:val="009A581E"/>
    <w:rsid w:val="009A659B"/>
    <w:rsid w:val="009B01D2"/>
    <w:rsid w:val="009B0DB9"/>
    <w:rsid w:val="009B15A8"/>
    <w:rsid w:val="009B1BBB"/>
    <w:rsid w:val="009B1F70"/>
    <w:rsid w:val="009B1FF3"/>
    <w:rsid w:val="009B22AF"/>
    <w:rsid w:val="009B3306"/>
    <w:rsid w:val="009B3521"/>
    <w:rsid w:val="009B3531"/>
    <w:rsid w:val="009B37A3"/>
    <w:rsid w:val="009B4B69"/>
    <w:rsid w:val="009B4CAA"/>
    <w:rsid w:val="009B5CD8"/>
    <w:rsid w:val="009B5DDC"/>
    <w:rsid w:val="009B61F3"/>
    <w:rsid w:val="009B6984"/>
    <w:rsid w:val="009B6DA9"/>
    <w:rsid w:val="009B739D"/>
    <w:rsid w:val="009B76AD"/>
    <w:rsid w:val="009B7DE3"/>
    <w:rsid w:val="009C0089"/>
    <w:rsid w:val="009C024B"/>
    <w:rsid w:val="009C0D24"/>
    <w:rsid w:val="009C0EAE"/>
    <w:rsid w:val="009C1525"/>
    <w:rsid w:val="009C19C2"/>
    <w:rsid w:val="009C1A55"/>
    <w:rsid w:val="009C2BD6"/>
    <w:rsid w:val="009C3AC2"/>
    <w:rsid w:val="009C4BD1"/>
    <w:rsid w:val="009C4BE7"/>
    <w:rsid w:val="009C4FF4"/>
    <w:rsid w:val="009C5046"/>
    <w:rsid w:val="009C6B58"/>
    <w:rsid w:val="009C726D"/>
    <w:rsid w:val="009C7D64"/>
    <w:rsid w:val="009C7E89"/>
    <w:rsid w:val="009D00FA"/>
    <w:rsid w:val="009D0694"/>
    <w:rsid w:val="009D2494"/>
    <w:rsid w:val="009D312D"/>
    <w:rsid w:val="009D3398"/>
    <w:rsid w:val="009D3763"/>
    <w:rsid w:val="009D44D2"/>
    <w:rsid w:val="009D4894"/>
    <w:rsid w:val="009D491F"/>
    <w:rsid w:val="009D4BEE"/>
    <w:rsid w:val="009D5285"/>
    <w:rsid w:val="009D5488"/>
    <w:rsid w:val="009D6077"/>
    <w:rsid w:val="009D61F6"/>
    <w:rsid w:val="009D6F5B"/>
    <w:rsid w:val="009E08AD"/>
    <w:rsid w:val="009E11E7"/>
    <w:rsid w:val="009E17D0"/>
    <w:rsid w:val="009E1AC5"/>
    <w:rsid w:val="009E1E7C"/>
    <w:rsid w:val="009E3279"/>
    <w:rsid w:val="009E39EF"/>
    <w:rsid w:val="009E4109"/>
    <w:rsid w:val="009E4226"/>
    <w:rsid w:val="009E4735"/>
    <w:rsid w:val="009E4C73"/>
    <w:rsid w:val="009E609F"/>
    <w:rsid w:val="009E6A0E"/>
    <w:rsid w:val="009E758A"/>
    <w:rsid w:val="009E781C"/>
    <w:rsid w:val="009E7A43"/>
    <w:rsid w:val="009F076E"/>
    <w:rsid w:val="009F0BAF"/>
    <w:rsid w:val="009F0C50"/>
    <w:rsid w:val="009F0FC5"/>
    <w:rsid w:val="009F114D"/>
    <w:rsid w:val="009F143F"/>
    <w:rsid w:val="009F1758"/>
    <w:rsid w:val="009F196C"/>
    <w:rsid w:val="009F1D0F"/>
    <w:rsid w:val="009F1D8D"/>
    <w:rsid w:val="009F24F0"/>
    <w:rsid w:val="009F28AC"/>
    <w:rsid w:val="009F2B48"/>
    <w:rsid w:val="009F2F51"/>
    <w:rsid w:val="009F3471"/>
    <w:rsid w:val="009F3DB1"/>
    <w:rsid w:val="009F4816"/>
    <w:rsid w:val="009F4DCF"/>
    <w:rsid w:val="009F502B"/>
    <w:rsid w:val="009F51E3"/>
    <w:rsid w:val="009F5999"/>
    <w:rsid w:val="009F5E1E"/>
    <w:rsid w:val="009F6E37"/>
    <w:rsid w:val="009F71FD"/>
    <w:rsid w:val="009F7DB9"/>
    <w:rsid w:val="00A0009F"/>
    <w:rsid w:val="00A00159"/>
    <w:rsid w:val="00A02A59"/>
    <w:rsid w:val="00A02CB0"/>
    <w:rsid w:val="00A02FBD"/>
    <w:rsid w:val="00A031F4"/>
    <w:rsid w:val="00A03698"/>
    <w:rsid w:val="00A03A3F"/>
    <w:rsid w:val="00A040C4"/>
    <w:rsid w:val="00A043F1"/>
    <w:rsid w:val="00A049F2"/>
    <w:rsid w:val="00A05640"/>
    <w:rsid w:val="00A056C8"/>
    <w:rsid w:val="00A05BD0"/>
    <w:rsid w:val="00A05F0F"/>
    <w:rsid w:val="00A05FAF"/>
    <w:rsid w:val="00A065F5"/>
    <w:rsid w:val="00A06B54"/>
    <w:rsid w:val="00A07787"/>
    <w:rsid w:val="00A105FF"/>
    <w:rsid w:val="00A1088D"/>
    <w:rsid w:val="00A10CE3"/>
    <w:rsid w:val="00A11478"/>
    <w:rsid w:val="00A138B8"/>
    <w:rsid w:val="00A13D4F"/>
    <w:rsid w:val="00A13E48"/>
    <w:rsid w:val="00A146A0"/>
    <w:rsid w:val="00A14813"/>
    <w:rsid w:val="00A14A40"/>
    <w:rsid w:val="00A16EB5"/>
    <w:rsid w:val="00A176E2"/>
    <w:rsid w:val="00A17A20"/>
    <w:rsid w:val="00A17C78"/>
    <w:rsid w:val="00A21F60"/>
    <w:rsid w:val="00A224C0"/>
    <w:rsid w:val="00A22C4A"/>
    <w:rsid w:val="00A22E11"/>
    <w:rsid w:val="00A23BBF"/>
    <w:rsid w:val="00A23F4C"/>
    <w:rsid w:val="00A2454C"/>
    <w:rsid w:val="00A24678"/>
    <w:rsid w:val="00A246D3"/>
    <w:rsid w:val="00A24961"/>
    <w:rsid w:val="00A24CAB"/>
    <w:rsid w:val="00A24F74"/>
    <w:rsid w:val="00A257DA"/>
    <w:rsid w:val="00A26645"/>
    <w:rsid w:val="00A26871"/>
    <w:rsid w:val="00A26A9E"/>
    <w:rsid w:val="00A2752D"/>
    <w:rsid w:val="00A30157"/>
    <w:rsid w:val="00A301E8"/>
    <w:rsid w:val="00A3070D"/>
    <w:rsid w:val="00A30CB0"/>
    <w:rsid w:val="00A31233"/>
    <w:rsid w:val="00A319EE"/>
    <w:rsid w:val="00A31E27"/>
    <w:rsid w:val="00A325BB"/>
    <w:rsid w:val="00A3297C"/>
    <w:rsid w:val="00A340E3"/>
    <w:rsid w:val="00A346B5"/>
    <w:rsid w:val="00A3483A"/>
    <w:rsid w:val="00A34AD8"/>
    <w:rsid w:val="00A35C6D"/>
    <w:rsid w:val="00A36123"/>
    <w:rsid w:val="00A3620A"/>
    <w:rsid w:val="00A368EB"/>
    <w:rsid w:val="00A36D75"/>
    <w:rsid w:val="00A373E6"/>
    <w:rsid w:val="00A375A6"/>
    <w:rsid w:val="00A40337"/>
    <w:rsid w:val="00A40577"/>
    <w:rsid w:val="00A41137"/>
    <w:rsid w:val="00A41293"/>
    <w:rsid w:val="00A41403"/>
    <w:rsid w:val="00A41415"/>
    <w:rsid w:val="00A41AC3"/>
    <w:rsid w:val="00A41B60"/>
    <w:rsid w:val="00A41D19"/>
    <w:rsid w:val="00A423FD"/>
    <w:rsid w:val="00A42545"/>
    <w:rsid w:val="00A42CA7"/>
    <w:rsid w:val="00A42D9A"/>
    <w:rsid w:val="00A430F6"/>
    <w:rsid w:val="00A43544"/>
    <w:rsid w:val="00A4367F"/>
    <w:rsid w:val="00A43841"/>
    <w:rsid w:val="00A43BEF"/>
    <w:rsid w:val="00A445C0"/>
    <w:rsid w:val="00A4495C"/>
    <w:rsid w:val="00A46A8D"/>
    <w:rsid w:val="00A503E6"/>
    <w:rsid w:val="00A5246A"/>
    <w:rsid w:val="00A52FC0"/>
    <w:rsid w:val="00A5319E"/>
    <w:rsid w:val="00A538FD"/>
    <w:rsid w:val="00A55762"/>
    <w:rsid w:val="00A55A5C"/>
    <w:rsid w:val="00A55DA6"/>
    <w:rsid w:val="00A55E98"/>
    <w:rsid w:val="00A566F3"/>
    <w:rsid w:val="00A56E05"/>
    <w:rsid w:val="00A57BA1"/>
    <w:rsid w:val="00A60B2B"/>
    <w:rsid w:val="00A60E37"/>
    <w:rsid w:val="00A61E38"/>
    <w:rsid w:val="00A61EFE"/>
    <w:rsid w:val="00A62F37"/>
    <w:rsid w:val="00A633FF"/>
    <w:rsid w:val="00A63CA7"/>
    <w:rsid w:val="00A64AF0"/>
    <w:rsid w:val="00A64C3E"/>
    <w:rsid w:val="00A65831"/>
    <w:rsid w:val="00A66045"/>
    <w:rsid w:val="00A66115"/>
    <w:rsid w:val="00A66197"/>
    <w:rsid w:val="00A66434"/>
    <w:rsid w:val="00A6672D"/>
    <w:rsid w:val="00A67380"/>
    <w:rsid w:val="00A67765"/>
    <w:rsid w:val="00A70540"/>
    <w:rsid w:val="00A70D84"/>
    <w:rsid w:val="00A71180"/>
    <w:rsid w:val="00A716A8"/>
    <w:rsid w:val="00A71F53"/>
    <w:rsid w:val="00A7279D"/>
    <w:rsid w:val="00A72DFB"/>
    <w:rsid w:val="00A73F83"/>
    <w:rsid w:val="00A753DC"/>
    <w:rsid w:val="00A774AF"/>
    <w:rsid w:val="00A774D3"/>
    <w:rsid w:val="00A775E7"/>
    <w:rsid w:val="00A778E0"/>
    <w:rsid w:val="00A77D6A"/>
    <w:rsid w:val="00A80640"/>
    <w:rsid w:val="00A80B2E"/>
    <w:rsid w:val="00A814C9"/>
    <w:rsid w:val="00A81565"/>
    <w:rsid w:val="00A816E5"/>
    <w:rsid w:val="00A81E27"/>
    <w:rsid w:val="00A82F1F"/>
    <w:rsid w:val="00A82F29"/>
    <w:rsid w:val="00A82FAA"/>
    <w:rsid w:val="00A835D7"/>
    <w:rsid w:val="00A83AB3"/>
    <w:rsid w:val="00A841C6"/>
    <w:rsid w:val="00A84970"/>
    <w:rsid w:val="00A84F1F"/>
    <w:rsid w:val="00A85718"/>
    <w:rsid w:val="00A85E20"/>
    <w:rsid w:val="00A85EB7"/>
    <w:rsid w:val="00A861BE"/>
    <w:rsid w:val="00A870A8"/>
    <w:rsid w:val="00A87679"/>
    <w:rsid w:val="00A87B4A"/>
    <w:rsid w:val="00A90D50"/>
    <w:rsid w:val="00A90DB8"/>
    <w:rsid w:val="00A920B7"/>
    <w:rsid w:val="00A92AA0"/>
    <w:rsid w:val="00A92B11"/>
    <w:rsid w:val="00A935D1"/>
    <w:rsid w:val="00A93C2D"/>
    <w:rsid w:val="00A93DBE"/>
    <w:rsid w:val="00A94156"/>
    <w:rsid w:val="00A9475D"/>
    <w:rsid w:val="00A94DF9"/>
    <w:rsid w:val="00A9691F"/>
    <w:rsid w:val="00AA05B2"/>
    <w:rsid w:val="00AA0822"/>
    <w:rsid w:val="00AA0947"/>
    <w:rsid w:val="00AA09D7"/>
    <w:rsid w:val="00AA266B"/>
    <w:rsid w:val="00AA29A4"/>
    <w:rsid w:val="00AA4133"/>
    <w:rsid w:val="00AA4A6E"/>
    <w:rsid w:val="00AA51D4"/>
    <w:rsid w:val="00AA5E40"/>
    <w:rsid w:val="00AA6129"/>
    <w:rsid w:val="00AA64B9"/>
    <w:rsid w:val="00AA662E"/>
    <w:rsid w:val="00AB017D"/>
    <w:rsid w:val="00AB0BC9"/>
    <w:rsid w:val="00AB148A"/>
    <w:rsid w:val="00AB1C4D"/>
    <w:rsid w:val="00AB1EA9"/>
    <w:rsid w:val="00AB1EC7"/>
    <w:rsid w:val="00AB22FE"/>
    <w:rsid w:val="00AB27EB"/>
    <w:rsid w:val="00AB29AA"/>
    <w:rsid w:val="00AB32BE"/>
    <w:rsid w:val="00AB3383"/>
    <w:rsid w:val="00AB366F"/>
    <w:rsid w:val="00AB3977"/>
    <w:rsid w:val="00AB3EAF"/>
    <w:rsid w:val="00AB5232"/>
    <w:rsid w:val="00AB525A"/>
    <w:rsid w:val="00AB53E5"/>
    <w:rsid w:val="00AB5402"/>
    <w:rsid w:val="00AB5632"/>
    <w:rsid w:val="00AB697C"/>
    <w:rsid w:val="00AB6AAC"/>
    <w:rsid w:val="00AB6CA9"/>
    <w:rsid w:val="00AB6D6C"/>
    <w:rsid w:val="00AB745F"/>
    <w:rsid w:val="00AB750B"/>
    <w:rsid w:val="00AB7F5D"/>
    <w:rsid w:val="00AC028E"/>
    <w:rsid w:val="00AC0B3B"/>
    <w:rsid w:val="00AC0EEA"/>
    <w:rsid w:val="00AC0F3F"/>
    <w:rsid w:val="00AC10F2"/>
    <w:rsid w:val="00AC16F4"/>
    <w:rsid w:val="00AC2450"/>
    <w:rsid w:val="00AC25D2"/>
    <w:rsid w:val="00AC3199"/>
    <w:rsid w:val="00AC32BD"/>
    <w:rsid w:val="00AC35E3"/>
    <w:rsid w:val="00AC42D2"/>
    <w:rsid w:val="00AC44DE"/>
    <w:rsid w:val="00AC46C1"/>
    <w:rsid w:val="00AC47D0"/>
    <w:rsid w:val="00AC51AC"/>
    <w:rsid w:val="00AC55B0"/>
    <w:rsid w:val="00AC6C44"/>
    <w:rsid w:val="00AC720F"/>
    <w:rsid w:val="00AC75DB"/>
    <w:rsid w:val="00AC7E8E"/>
    <w:rsid w:val="00AD054F"/>
    <w:rsid w:val="00AD0A1B"/>
    <w:rsid w:val="00AD1251"/>
    <w:rsid w:val="00AD15B2"/>
    <w:rsid w:val="00AD18A6"/>
    <w:rsid w:val="00AD1C51"/>
    <w:rsid w:val="00AD273E"/>
    <w:rsid w:val="00AD3517"/>
    <w:rsid w:val="00AD3B9A"/>
    <w:rsid w:val="00AD3BF4"/>
    <w:rsid w:val="00AD3E0D"/>
    <w:rsid w:val="00AD4ED3"/>
    <w:rsid w:val="00AD4F4A"/>
    <w:rsid w:val="00AD4F68"/>
    <w:rsid w:val="00AD5144"/>
    <w:rsid w:val="00AD54CD"/>
    <w:rsid w:val="00AD5719"/>
    <w:rsid w:val="00AD58A8"/>
    <w:rsid w:val="00AD5E5A"/>
    <w:rsid w:val="00AD64FB"/>
    <w:rsid w:val="00AD6EEA"/>
    <w:rsid w:val="00AD72FE"/>
    <w:rsid w:val="00AD749A"/>
    <w:rsid w:val="00AD7DE8"/>
    <w:rsid w:val="00AD7F0A"/>
    <w:rsid w:val="00AE07E9"/>
    <w:rsid w:val="00AE19A7"/>
    <w:rsid w:val="00AE2072"/>
    <w:rsid w:val="00AE3035"/>
    <w:rsid w:val="00AE37D4"/>
    <w:rsid w:val="00AE3B23"/>
    <w:rsid w:val="00AE3F63"/>
    <w:rsid w:val="00AE479D"/>
    <w:rsid w:val="00AE5074"/>
    <w:rsid w:val="00AE5EE8"/>
    <w:rsid w:val="00AE63CA"/>
    <w:rsid w:val="00AE6A3B"/>
    <w:rsid w:val="00AE7C1E"/>
    <w:rsid w:val="00AE7D64"/>
    <w:rsid w:val="00AF0D18"/>
    <w:rsid w:val="00AF1771"/>
    <w:rsid w:val="00AF2179"/>
    <w:rsid w:val="00AF2889"/>
    <w:rsid w:val="00AF2F85"/>
    <w:rsid w:val="00AF361B"/>
    <w:rsid w:val="00AF3B6A"/>
    <w:rsid w:val="00AF57C1"/>
    <w:rsid w:val="00AF6164"/>
    <w:rsid w:val="00AF682A"/>
    <w:rsid w:val="00AF7494"/>
    <w:rsid w:val="00AF7B4F"/>
    <w:rsid w:val="00B001BE"/>
    <w:rsid w:val="00B001E1"/>
    <w:rsid w:val="00B010F8"/>
    <w:rsid w:val="00B0141A"/>
    <w:rsid w:val="00B01EDC"/>
    <w:rsid w:val="00B01FA6"/>
    <w:rsid w:val="00B02329"/>
    <w:rsid w:val="00B02B1F"/>
    <w:rsid w:val="00B02E5C"/>
    <w:rsid w:val="00B03130"/>
    <w:rsid w:val="00B032FF"/>
    <w:rsid w:val="00B03608"/>
    <w:rsid w:val="00B03657"/>
    <w:rsid w:val="00B03C16"/>
    <w:rsid w:val="00B04527"/>
    <w:rsid w:val="00B046C3"/>
    <w:rsid w:val="00B04989"/>
    <w:rsid w:val="00B04A18"/>
    <w:rsid w:val="00B05365"/>
    <w:rsid w:val="00B05A2A"/>
    <w:rsid w:val="00B06007"/>
    <w:rsid w:val="00B064F7"/>
    <w:rsid w:val="00B07C96"/>
    <w:rsid w:val="00B10951"/>
    <w:rsid w:val="00B10CAA"/>
    <w:rsid w:val="00B11A23"/>
    <w:rsid w:val="00B11B00"/>
    <w:rsid w:val="00B120E7"/>
    <w:rsid w:val="00B126F4"/>
    <w:rsid w:val="00B1399A"/>
    <w:rsid w:val="00B14C0B"/>
    <w:rsid w:val="00B14F87"/>
    <w:rsid w:val="00B16278"/>
    <w:rsid w:val="00B16921"/>
    <w:rsid w:val="00B1693D"/>
    <w:rsid w:val="00B16B46"/>
    <w:rsid w:val="00B16B5F"/>
    <w:rsid w:val="00B17666"/>
    <w:rsid w:val="00B17A7A"/>
    <w:rsid w:val="00B17EBE"/>
    <w:rsid w:val="00B20030"/>
    <w:rsid w:val="00B207C5"/>
    <w:rsid w:val="00B218D2"/>
    <w:rsid w:val="00B2254B"/>
    <w:rsid w:val="00B228E6"/>
    <w:rsid w:val="00B23D33"/>
    <w:rsid w:val="00B244B9"/>
    <w:rsid w:val="00B24C3F"/>
    <w:rsid w:val="00B24ED2"/>
    <w:rsid w:val="00B250A7"/>
    <w:rsid w:val="00B25342"/>
    <w:rsid w:val="00B25C47"/>
    <w:rsid w:val="00B262E6"/>
    <w:rsid w:val="00B270B2"/>
    <w:rsid w:val="00B27427"/>
    <w:rsid w:val="00B2754A"/>
    <w:rsid w:val="00B302D5"/>
    <w:rsid w:val="00B30BEE"/>
    <w:rsid w:val="00B3106A"/>
    <w:rsid w:val="00B312BD"/>
    <w:rsid w:val="00B31582"/>
    <w:rsid w:val="00B319B1"/>
    <w:rsid w:val="00B32623"/>
    <w:rsid w:val="00B337E1"/>
    <w:rsid w:val="00B33A71"/>
    <w:rsid w:val="00B34B8E"/>
    <w:rsid w:val="00B353FE"/>
    <w:rsid w:val="00B35B5A"/>
    <w:rsid w:val="00B35C1A"/>
    <w:rsid w:val="00B361B0"/>
    <w:rsid w:val="00B362CE"/>
    <w:rsid w:val="00B36398"/>
    <w:rsid w:val="00B36BCB"/>
    <w:rsid w:val="00B36EFA"/>
    <w:rsid w:val="00B37640"/>
    <w:rsid w:val="00B37D9D"/>
    <w:rsid w:val="00B37DC3"/>
    <w:rsid w:val="00B40177"/>
    <w:rsid w:val="00B40467"/>
    <w:rsid w:val="00B40960"/>
    <w:rsid w:val="00B413E4"/>
    <w:rsid w:val="00B423A8"/>
    <w:rsid w:val="00B43023"/>
    <w:rsid w:val="00B43114"/>
    <w:rsid w:val="00B4375E"/>
    <w:rsid w:val="00B43770"/>
    <w:rsid w:val="00B442E0"/>
    <w:rsid w:val="00B44537"/>
    <w:rsid w:val="00B4499D"/>
    <w:rsid w:val="00B4547A"/>
    <w:rsid w:val="00B45C9F"/>
    <w:rsid w:val="00B45FFD"/>
    <w:rsid w:val="00B461C7"/>
    <w:rsid w:val="00B4655A"/>
    <w:rsid w:val="00B46B1B"/>
    <w:rsid w:val="00B46C92"/>
    <w:rsid w:val="00B47006"/>
    <w:rsid w:val="00B478CE"/>
    <w:rsid w:val="00B47C87"/>
    <w:rsid w:val="00B506A6"/>
    <w:rsid w:val="00B5075D"/>
    <w:rsid w:val="00B5112D"/>
    <w:rsid w:val="00B5148F"/>
    <w:rsid w:val="00B51FE7"/>
    <w:rsid w:val="00B521F3"/>
    <w:rsid w:val="00B53529"/>
    <w:rsid w:val="00B539F0"/>
    <w:rsid w:val="00B5404E"/>
    <w:rsid w:val="00B5443C"/>
    <w:rsid w:val="00B545CE"/>
    <w:rsid w:val="00B54793"/>
    <w:rsid w:val="00B54DC1"/>
    <w:rsid w:val="00B55214"/>
    <w:rsid w:val="00B56D5E"/>
    <w:rsid w:val="00B56FD6"/>
    <w:rsid w:val="00B57265"/>
    <w:rsid w:val="00B572AD"/>
    <w:rsid w:val="00B574DB"/>
    <w:rsid w:val="00B575D6"/>
    <w:rsid w:val="00B57FF9"/>
    <w:rsid w:val="00B609CA"/>
    <w:rsid w:val="00B6150E"/>
    <w:rsid w:val="00B62626"/>
    <w:rsid w:val="00B627FD"/>
    <w:rsid w:val="00B6354D"/>
    <w:rsid w:val="00B6575E"/>
    <w:rsid w:val="00B65CC4"/>
    <w:rsid w:val="00B674C0"/>
    <w:rsid w:val="00B67D66"/>
    <w:rsid w:val="00B704CE"/>
    <w:rsid w:val="00B706DD"/>
    <w:rsid w:val="00B7098E"/>
    <w:rsid w:val="00B70E85"/>
    <w:rsid w:val="00B71123"/>
    <w:rsid w:val="00B7173F"/>
    <w:rsid w:val="00B72717"/>
    <w:rsid w:val="00B744BB"/>
    <w:rsid w:val="00B750E2"/>
    <w:rsid w:val="00B75160"/>
    <w:rsid w:val="00B75230"/>
    <w:rsid w:val="00B75B0A"/>
    <w:rsid w:val="00B75FFC"/>
    <w:rsid w:val="00B819BD"/>
    <w:rsid w:val="00B82108"/>
    <w:rsid w:val="00B8429D"/>
    <w:rsid w:val="00B845BE"/>
    <w:rsid w:val="00B84928"/>
    <w:rsid w:val="00B84DF9"/>
    <w:rsid w:val="00B86030"/>
    <w:rsid w:val="00B86AC9"/>
    <w:rsid w:val="00B86B9F"/>
    <w:rsid w:val="00B87744"/>
    <w:rsid w:val="00B91438"/>
    <w:rsid w:val="00B924AA"/>
    <w:rsid w:val="00B93368"/>
    <w:rsid w:val="00B93DE5"/>
    <w:rsid w:val="00B9405D"/>
    <w:rsid w:val="00B942D2"/>
    <w:rsid w:val="00B9445A"/>
    <w:rsid w:val="00B94735"/>
    <w:rsid w:val="00B95D24"/>
    <w:rsid w:val="00B961F1"/>
    <w:rsid w:val="00B962CD"/>
    <w:rsid w:val="00B97B5B"/>
    <w:rsid w:val="00BA02D8"/>
    <w:rsid w:val="00BA04D1"/>
    <w:rsid w:val="00BA05CC"/>
    <w:rsid w:val="00BA063F"/>
    <w:rsid w:val="00BA06D7"/>
    <w:rsid w:val="00BA09FF"/>
    <w:rsid w:val="00BA191A"/>
    <w:rsid w:val="00BA1BCF"/>
    <w:rsid w:val="00BA20B9"/>
    <w:rsid w:val="00BA30DE"/>
    <w:rsid w:val="00BA34E8"/>
    <w:rsid w:val="00BA3A62"/>
    <w:rsid w:val="00BA3E4F"/>
    <w:rsid w:val="00BA4A57"/>
    <w:rsid w:val="00BA5B57"/>
    <w:rsid w:val="00BA6179"/>
    <w:rsid w:val="00BA69D4"/>
    <w:rsid w:val="00BA6B3F"/>
    <w:rsid w:val="00BA766A"/>
    <w:rsid w:val="00BA7D40"/>
    <w:rsid w:val="00BB01DB"/>
    <w:rsid w:val="00BB0FF3"/>
    <w:rsid w:val="00BB118E"/>
    <w:rsid w:val="00BB1304"/>
    <w:rsid w:val="00BB16FA"/>
    <w:rsid w:val="00BB29C1"/>
    <w:rsid w:val="00BB3124"/>
    <w:rsid w:val="00BB39E4"/>
    <w:rsid w:val="00BB55EE"/>
    <w:rsid w:val="00BB55EF"/>
    <w:rsid w:val="00BB6CC2"/>
    <w:rsid w:val="00BB6E71"/>
    <w:rsid w:val="00BB731C"/>
    <w:rsid w:val="00BB758D"/>
    <w:rsid w:val="00BB7AEE"/>
    <w:rsid w:val="00BC09DE"/>
    <w:rsid w:val="00BC0DC1"/>
    <w:rsid w:val="00BC176D"/>
    <w:rsid w:val="00BC213D"/>
    <w:rsid w:val="00BC21A6"/>
    <w:rsid w:val="00BC290B"/>
    <w:rsid w:val="00BC3247"/>
    <w:rsid w:val="00BC3DC6"/>
    <w:rsid w:val="00BC4505"/>
    <w:rsid w:val="00BC474C"/>
    <w:rsid w:val="00BC4AF4"/>
    <w:rsid w:val="00BC5470"/>
    <w:rsid w:val="00BC5829"/>
    <w:rsid w:val="00BC5A8A"/>
    <w:rsid w:val="00BC621D"/>
    <w:rsid w:val="00BC6741"/>
    <w:rsid w:val="00BC7287"/>
    <w:rsid w:val="00BC77CB"/>
    <w:rsid w:val="00BC78CB"/>
    <w:rsid w:val="00BC7903"/>
    <w:rsid w:val="00BC7A32"/>
    <w:rsid w:val="00BD07BC"/>
    <w:rsid w:val="00BD08F5"/>
    <w:rsid w:val="00BD0C8F"/>
    <w:rsid w:val="00BD119C"/>
    <w:rsid w:val="00BD1241"/>
    <w:rsid w:val="00BD12F6"/>
    <w:rsid w:val="00BD1642"/>
    <w:rsid w:val="00BD19DF"/>
    <w:rsid w:val="00BD2424"/>
    <w:rsid w:val="00BD2E16"/>
    <w:rsid w:val="00BD3DE2"/>
    <w:rsid w:val="00BD43C1"/>
    <w:rsid w:val="00BD4A5C"/>
    <w:rsid w:val="00BD502B"/>
    <w:rsid w:val="00BD6427"/>
    <w:rsid w:val="00BD68FF"/>
    <w:rsid w:val="00BD7C2D"/>
    <w:rsid w:val="00BD7DA0"/>
    <w:rsid w:val="00BE08FF"/>
    <w:rsid w:val="00BE1439"/>
    <w:rsid w:val="00BE195E"/>
    <w:rsid w:val="00BE1A33"/>
    <w:rsid w:val="00BE20B0"/>
    <w:rsid w:val="00BE242C"/>
    <w:rsid w:val="00BE251A"/>
    <w:rsid w:val="00BE28F4"/>
    <w:rsid w:val="00BE2A6F"/>
    <w:rsid w:val="00BE2AE3"/>
    <w:rsid w:val="00BE2DB2"/>
    <w:rsid w:val="00BE3966"/>
    <w:rsid w:val="00BE3AB1"/>
    <w:rsid w:val="00BE3BC5"/>
    <w:rsid w:val="00BE4416"/>
    <w:rsid w:val="00BE4552"/>
    <w:rsid w:val="00BE500D"/>
    <w:rsid w:val="00BE5303"/>
    <w:rsid w:val="00BE5402"/>
    <w:rsid w:val="00BE5678"/>
    <w:rsid w:val="00BE575B"/>
    <w:rsid w:val="00BE58D7"/>
    <w:rsid w:val="00BE5E9F"/>
    <w:rsid w:val="00BE6FF6"/>
    <w:rsid w:val="00BE74C8"/>
    <w:rsid w:val="00BF0155"/>
    <w:rsid w:val="00BF0734"/>
    <w:rsid w:val="00BF0B79"/>
    <w:rsid w:val="00BF18D9"/>
    <w:rsid w:val="00BF3361"/>
    <w:rsid w:val="00BF3832"/>
    <w:rsid w:val="00BF3A19"/>
    <w:rsid w:val="00BF3A1C"/>
    <w:rsid w:val="00BF416F"/>
    <w:rsid w:val="00BF48A5"/>
    <w:rsid w:val="00BF4B70"/>
    <w:rsid w:val="00BF56F5"/>
    <w:rsid w:val="00BF5E43"/>
    <w:rsid w:val="00BF6C8E"/>
    <w:rsid w:val="00BF7CBA"/>
    <w:rsid w:val="00C002F1"/>
    <w:rsid w:val="00C0041D"/>
    <w:rsid w:val="00C00531"/>
    <w:rsid w:val="00C016C5"/>
    <w:rsid w:val="00C018AC"/>
    <w:rsid w:val="00C01A16"/>
    <w:rsid w:val="00C02525"/>
    <w:rsid w:val="00C02BEF"/>
    <w:rsid w:val="00C0401C"/>
    <w:rsid w:val="00C05095"/>
    <w:rsid w:val="00C070CF"/>
    <w:rsid w:val="00C07ADE"/>
    <w:rsid w:val="00C07E38"/>
    <w:rsid w:val="00C07EF0"/>
    <w:rsid w:val="00C10764"/>
    <w:rsid w:val="00C11628"/>
    <w:rsid w:val="00C11D5B"/>
    <w:rsid w:val="00C12355"/>
    <w:rsid w:val="00C1360F"/>
    <w:rsid w:val="00C1378B"/>
    <w:rsid w:val="00C14770"/>
    <w:rsid w:val="00C15053"/>
    <w:rsid w:val="00C16437"/>
    <w:rsid w:val="00C1654A"/>
    <w:rsid w:val="00C16C1A"/>
    <w:rsid w:val="00C16E7A"/>
    <w:rsid w:val="00C17D6E"/>
    <w:rsid w:val="00C17EB3"/>
    <w:rsid w:val="00C20EB5"/>
    <w:rsid w:val="00C20FEF"/>
    <w:rsid w:val="00C2286E"/>
    <w:rsid w:val="00C237DD"/>
    <w:rsid w:val="00C23A2E"/>
    <w:rsid w:val="00C24956"/>
    <w:rsid w:val="00C24F7E"/>
    <w:rsid w:val="00C251C3"/>
    <w:rsid w:val="00C257C3"/>
    <w:rsid w:val="00C25D5E"/>
    <w:rsid w:val="00C2643A"/>
    <w:rsid w:val="00C26851"/>
    <w:rsid w:val="00C269A9"/>
    <w:rsid w:val="00C26F4E"/>
    <w:rsid w:val="00C30CA6"/>
    <w:rsid w:val="00C31743"/>
    <w:rsid w:val="00C326F7"/>
    <w:rsid w:val="00C32788"/>
    <w:rsid w:val="00C32CCE"/>
    <w:rsid w:val="00C3338A"/>
    <w:rsid w:val="00C34010"/>
    <w:rsid w:val="00C34427"/>
    <w:rsid w:val="00C3464E"/>
    <w:rsid w:val="00C3484C"/>
    <w:rsid w:val="00C34CD8"/>
    <w:rsid w:val="00C34FE1"/>
    <w:rsid w:val="00C352E7"/>
    <w:rsid w:val="00C35EA2"/>
    <w:rsid w:val="00C368CA"/>
    <w:rsid w:val="00C36E6E"/>
    <w:rsid w:val="00C36F09"/>
    <w:rsid w:val="00C3754B"/>
    <w:rsid w:val="00C37688"/>
    <w:rsid w:val="00C376A9"/>
    <w:rsid w:val="00C402E5"/>
    <w:rsid w:val="00C40373"/>
    <w:rsid w:val="00C408FE"/>
    <w:rsid w:val="00C40FF5"/>
    <w:rsid w:val="00C4481C"/>
    <w:rsid w:val="00C457A3"/>
    <w:rsid w:val="00C45E8D"/>
    <w:rsid w:val="00C46E36"/>
    <w:rsid w:val="00C47085"/>
    <w:rsid w:val="00C47BB2"/>
    <w:rsid w:val="00C47C8C"/>
    <w:rsid w:val="00C50D9C"/>
    <w:rsid w:val="00C51085"/>
    <w:rsid w:val="00C51699"/>
    <w:rsid w:val="00C51F5F"/>
    <w:rsid w:val="00C525C7"/>
    <w:rsid w:val="00C52C77"/>
    <w:rsid w:val="00C52CE3"/>
    <w:rsid w:val="00C531DA"/>
    <w:rsid w:val="00C53582"/>
    <w:rsid w:val="00C540AE"/>
    <w:rsid w:val="00C54908"/>
    <w:rsid w:val="00C54E72"/>
    <w:rsid w:val="00C54F30"/>
    <w:rsid w:val="00C553E3"/>
    <w:rsid w:val="00C5585C"/>
    <w:rsid w:val="00C55940"/>
    <w:rsid w:val="00C559A9"/>
    <w:rsid w:val="00C56AD6"/>
    <w:rsid w:val="00C57C08"/>
    <w:rsid w:val="00C60598"/>
    <w:rsid w:val="00C60A29"/>
    <w:rsid w:val="00C60BB0"/>
    <w:rsid w:val="00C61015"/>
    <w:rsid w:val="00C611AB"/>
    <w:rsid w:val="00C617FD"/>
    <w:rsid w:val="00C64542"/>
    <w:rsid w:val="00C64ED5"/>
    <w:rsid w:val="00C65887"/>
    <w:rsid w:val="00C65DD7"/>
    <w:rsid w:val="00C66551"/>
    <w:rsid w:val="00C67E7F"/>
    <w:rsid w:val="00C70111"/>
    <w:rsid w:val="00C7025D"/>
    <w:rsid w:val="00C7034C"/>
    <w:rsid w:val="00C70C9E"/>
    <w:rsid w:val="00C70D33"/>
    <w:rsid w:val="00C70D37"/>
    <w:rsid w:val="00C711BC"/>
    <w:rsid w:val="00C717A2"/>
    <w:rsid w:val="00C72268"/>
    <w:rsid w:val="00C729E5"/>
    <w:rsid w:val="00C72F59"/>
    <w:rsid w:val="00C73233"/>
    <w:rsid w:val="00C73C47"/>
    <w:rsid w:val="00C74865"/>
    <w:rsid w:val="00C74B57"/>
    <w:rsid w:val="00C7513B"/>
    <w:rsid w:val="00C75357"/>
    <w:rsid w:val="00C76195"/>
    <w:rsid w:val="00C76AF4"/>
    <w:rsid w:val="00C76C9D"/>
    <w:rsid w:val="00C803EF"/>
    <w:rsid w:val="00C807B4"/>
    <w:rsid w:val="00C80AE9"/>
    <w:rsid w:val="00C81925"/>
    <w:rsid w:val="00C81BCB"/>
    <w:rsid w:val="00C828D2"/>
    <w:rsid w:val="00C82A71"/>
    <w:rsid w:val="00C832E3"/>
    <w:rsid w:val="00C83773"/>
    <w:rsid w:val="00C837D0"/>
    <w:rsid w:val="00C842C9"/>
    <w:rsid w:val="00C8587D"/>
    <w:rsid w:val="00C87898"/>
    <w:rsid w:val="00C90060"/>
    <w:rsid w:val="00C90C2C"/>
    <w:rsid w:val="00C90D1F"/>
    <w:rsid w:val="00C90D90"/>
    <w:rsid w:val="00C910DB"/>
    <w:rsid w:val="00C915CF"/>
    <w:rsid w:val="00C9168D"/>
    <w:rsid w:val="00C91883"/>
    <w:rsid w:val="00C92EDE"/>
    <w:rsid w:val="00C93035"/>
    <w:rsid w:val="00C93DD3"/>
    <w:rsid w:val="00C941F8"/>
    <w:rsid w:val="00C94719"/>
    <w:rsid w:val="00C950FC"/>
    <w:rsid w:val="00C95DDC"/>
    <w:rsid w:val="00C96B02"/>
    <w:rsid w:val="00C96C87"/>
    <w:rsid w:val="00C96EF0"/>
    <w:rsid w:val="00C973BE"/>
    <w:rsid w:val="00C97B51"/>
    <w:rsid w:val="00CA07C3"/>
    <w:rsid w:val="00CA082E"/>
    <w:rsid w:val="00CA0E8D"/>
    <w:rsid w:val="00CA13E9"/>
    <w:rsid w:val="00CA1EDF"/>
    <w:rsid w:val="00CA2A09"/>
    <w:rsid w:val="00CA2CB8"/>
    <w:rsid w:val="00CA320C"/>
    <w:rsid w:val="00CA3AF4"/>
    <w:rsid w:val="00CA3E2D"/>
    <w:rsid w:val="00CA41C3"/>
    <w:rsid w:val="00CA4873"/>
    <w:rsid w:val="00CA4C3B"/>
    <w:rsid w:val="00CA4D5A"/>
    <w:rsid w:val="00CA540C"/>
    <w:rsid w:val="00CA56F3"/>
    <w:rsid w:val="00CA66DC"/>
    <w:rsid w:val="00CA76C6"/>
    <w:rsid w:val="00CB0529"/>
    <w:rsid w:val="00CB0E5B"/>
    <w:rsid w:val="00CB13A5"/>
    <w:rsid w:val="00CB1E10"/>
    <w:rsid w:val="00CB1E49"/>
    <w:rsid w:val="00CB2FEC"/>
    <w:rsid w:val="00CB3210"/>
    <w:rsid w:val="00CB3784"/>
    <w:rsid w:val="00CB39DE"/>
    <w:rsid w:val="00CB3E73"/>
    <w:rsid w:val="00CB4BDE"/>
    <w:rsid w:val="00CB578E"/>
    <w:rsid w:val="00CB7A0D"/>
    <w:rsid w:val="00CC00D1"/>
    <w:rsid w:val="00CC018D"/>
    <w:rsid w:val="00CC055F"/>
    <w:rsid w:val="00CC065E"/>
    <w:rsid w:val="00CC080B"/>
    <w:rsid w:val="00CC0C26"/>
    <w:rsid w:val="00CC1232"/>
    <w:rsid w:val="00CC1A89"/>
    <w:rsid w:val="00CC1B59"/>
    <w:rsid w:val="00CC30E9"/>
    <w:rsid w:val="00CC34F6"/>
    <w:rsid w:val="00CC5C25"/>
    <w:rsid w:val="00CC6990"/>
    <w:rsid w:val="00CC7DFB"/>
    <w:rsid w:val="00CD0997"/>
    <w:rsid w:val="00CD0B08"/>
    <w:rsid w:val="00CD100C"/>
    <w:rsid w:val="00CD137B"/>
    <w:rsid w:val="00CD1FD5"/>
    <w:rsid w:val="00CD2A74"/>
    <w:rsid w:val="00CD2ABF"/>
    <w:rsid w:val="00CD2B46"/>
    <w:rsid w:val="00CD3168"/>
    <w:rsid w:val="00CD386B"/>
    <w:rsid w:val="00CD3EA0"/>
    <w:rsid w:val="00CD4808"/>
    <w:rsid w:val="00CD502A"/>
    <w:rsid w:val="00CD50EE"/>
    <w:rsid w:val="00CD5976"/>
    <w:rsid w:val="00CD60A5"/>
    <w:rsid w:val="00CD676F"/>
    <w:rsid w:val="00CD7826"/>
    <w:rsid w:val="00CD7F49"/>
    <w:rsid w:val="00CE0023"/>
    <w:rsid w:val="00CE0178"/>
    <w:rsid w:val="00CE1247"/>
    <w:rsid w:val="00CE175F"/>
    <w:rsid w:val="00CE20D0"/>
    <w:rsid w:val="00CE23FC"/>
    <w:rsid w:val="00CE2533"/>
    <w:rsid w:val="00CE283F"/>
    <w:rsid w:val="00CE2A4C"/>
    <w:rsid w:val="00CE2B9E"/>
    <w:rsid w:val="00CE3097"/>
    <w:rsid w:val="00CE3BC8"/>
    <w:rsid w:val="00CE44F9"/>
    <w:rsid w:val="00CE4B78"/>
    <w:rsid w:val="00CE4F75"/>
    <w:rsid w:val="00CE5089"/>
    <w:rsid w:val="00CE6BC3"/>
    <w:rsid w:val="00CE7189"/>
    <w:rsid w:val="00CE71B6"/>
    <w:rsid w:val="00CE7423"/>
    <w:rsid w:val="00CE7BE0"/>
    <w:rsid w:val="00CF0083"/>
    <w:rsid w:val="00CF012A"/>
    <w:rsid w:val="00CF0B08"/>
    <w:rsid w:val="00CF0F82"/>
    <w:rsid w:val="00CF12B8"/>
    <w:rsid w:val="00CF1587"/>
    <w:rsid w:val="00CF1E1F"/>
    <w:rsid w:val="00CF27F4"/>
    <w:rsid w:val="00CF2AA1"/>
    <w:rsid w:val="00CF34F4"/>
    <w:rsid w:val="00CF3993"/>
    <w:rsid w:val="00CF3CCB"/>
    <w:rsid w:val="00CF4504"/>
    <w:rsid w:val="00CF56A2"/>
    <w:rsid w:val="00CF6447"/>
    <w:rsid w:val="00CF74F7"/>
    <w:rsid w:val="00CF769D"/>
    <w:rsid w:val="00CF77BB"/>
    <w:rsid w:val="00D01254"/>
    <w:rsid w:val="00D017E4"/>
    <w:rsid w:val="00D02061"/>
    <w:rsid w:val="00D02D59"/>
    <w:rsid w:val="00D03128"/>
    <w:rsid w:val="00D034A3"/>
    <w:rsid w:val="00D03AC9"/>
    <w:rsid w:val="00D03E5F"/>
    <w:rsid w:val="00D05542"/>
    <w:rsid w:val="00D05C73"/>
    <w:rsid w:val="00D101F2"/>
    <w:rsid w:val="00D110FE"/>
    <w:rsid w:val="00D11229"/>
    <w:rsid w:val="00D120CA"/>
    <w:rsid w:val="00D12510"/>
    <w:rsid w:val="00D12ACE"/>
    <w:rsid w:val="00D135E7"/>
    <w:rsid w:val="00D1376D"/>
    <w:rsid w:val="00D1396C"/>
    <w:rsid w:val="00D14215"/>
    <w:rsid w:val="00D1441A"/>
    <w:rsid w:val="00D15114"/>
    <w:rsid w:val="00D15556"/>
    <w:rsid w:val="00D15AA3"/>
    <w:rsid w:val="00D165AA"/>
    <w:rsid w:val="00D1741F"/>
    <w:rsid w:val="00D21B51"/>
    <w:rsid w:val="00D21FFA"/>
    <w:rsid w:val="00D220E1"/>
    <w:rsid w:val="00D23891"/>
    <w:rsid w:val="00D23BF5"/>
    <w:rsid w:val="00D2430B"/>
    <w:rsid w:val="00D255EE"/>
    <w:rsid w:val="00D2575B"/>
    <w:rsid w:val="00D2586E"/>
    <w:rsid w:val="00D25889"/>
    <w:rsid w:val="00D2594A"/>
    <w:rsid w:val="00D25B6B"/>
    <w:rsid w:val="00D267FC"/>
    <w:rsid w:val="00D2708A"/>
    <w:rsid w:val="00D305AC"/>
    <w:rsid w:val="00D3144E"/>
    <w:rsid w:val="00D32D70"/>
    <w:rsid w:val="00D32DC8"/>
    <w:rsid w:val="00D34507"/>
    <w:rsid w:val="00D356F2"/>
    <w:rsid w:val="00D3578D"/>
    <w:rsid w:val="00D35B0E"/>
    <w:rsid w:val="00D36548"/>
    <w:rsid w:val="00D3697A"/>
    <w:rsid w:val="00D36C71"/>
    <w:rsid w:val="00D3749E"/>
    <w:rsid w:val="00D4030F"/>
    <w:rsid w:val="00D40B01"/>
    <w:rsid w:val="00D415EB"/>
    <w:rsid w:val="00D416F3"/>
    <w:rsid w:val="00D41E8B"/>
    <w:rsid w:val="00D43CD1"/>
    <w:rsid w:val="00D44098"/>
    <w:rsid w:val="00D44AD6"/>
    <w:rsid w:val="00D44B50"/>
    <w:rsid w:val="00D44CB7"/>
    <w:rsid w:val="00D46F25"/>
    <w:rsid w:val="00D477C6"/>
    <w:rsid w:val="00D5079F"/>
    <w:rsid w:val="00D50AAD"/>
    <w:rsid w:val="00D50FEF"/>
    <w:rsid w:val="00D514AD"/>
    <w:rsid w:val="00D51610"/>
    <w:rsid w:val="00D51653"/>
    <w:rsid w:val="00D5233A"/>
    <w:rsid w:val="00D53C2B"/>
    <w:rsid w:val="00D54C8A"/>
    <w:rsid w:val="00D55274"/>
    <w:rsid w:val="00D55B62"/>
    <w:rsid w:val="00D56171"/>
    <w:rsid w:val="00D56220"/>
    <w:rsid w:val="00D5689C"/>
    <w:rsid w:val="00D572CD"/>
    <w:rsid w:val="00D603DB"/>
    <w:rsid w:val="00D60712"/>
    <w:rsid w:val="00D609A2"/>
    <w:rsid w:val="00D60B8E"/>
    <w:rsid w:val="00D60DA0"/>
    <w:rsid w:val="00D60DB8"/>
    <w:rsid w:val="00D613EF"/>
    <w:rsid w:val="00D6151F"/>
    <w:rsid w:val="00D615CD"/>
    <w:rsid w:val="00D622CF"/>
    <w:rsid w:val="00D62897"/>
    <w:rsid w:val="00D62AC0"/>
    <w:rsid w:val="00D62CB1"/>
    <w:rsid w:val="00D62DF4"/>
    <w:rsid w:val="00D6310B"/>
    <w:rsid w:val="00D639B3"/>
    <w:rsid w:val="00D63D3E"/>
    <w:rsid w:val="00D63DE7"/>
    <w:rsid w:val="00D647BA"/>
    <w:rsid w:val="00D649D7"/>
    <w:rsid w:val="00D64ACE"/>
    <w:rsid w:val="00D65108"/>
    <w:rsid w:val="00D65E9C"/>
    <w:rsid w:val="00D660A6"/>
    <w:rsid w:val="00D67236"/>
    <w:rsid w:val="00D672B2"/>
    <w:rsid w:val="00D700E3"/>
    <w:rsid w:val="00D70F75"/>
    <w:rsid w:val="00D70FB1"/>
    <w:rsid w:val="00D712A7"/>
    <w:rsid w:val="00D7161A"/>
    <w:rsid w:val="00D723F6"/>
    <w:rsid w:val="00D7244D"/>
    <w:rsid w:val="00D7254F"/>
    <w:rsid w:val="00D727E1"/>
    <w:rsid w:val="00D72B46"/>
    <w:rsid w:val="00D72D48"/>
    <w:rsid w:val="00D738F6"/>
    <w:rsid w:val="00D74F53"/>
    <w:rsid w:val="00D7548D"/>
    <w:rsid w:val="00D759B7"/>
    <w:rsid w:val="00D77824"/>
    <w:rsid w:val="00D77907"/>
    <w:rsid w:val="00D80686"/>
    <w:rsid w:val="00D8081B"/>
    <w:rsid w:val="00D80B20"/>
    <w:rsid w:val="00D81539"/>
    <w:rsid w:val="00D8178A"/>
    <w:rsid w:val="00D82387"/>
    <w:rsid w:val="00D82B0D"/>
    <w:rsid w:val="00D82F13"/>
    <w:rsid w:val="00D83163"/>
    <w:rsid w:val="00D8456B"/>
    <w:rsid w:val="00D847FA"/>
    <w:rsid w:val="00D85161"/>
    <w:rsid w:val="00D853F1"/>
    <w:rsid w:val="00D85512"/>
    <w:rsid w:val="00D85656"/>
    <w:rsid w:val="00D8670B"/>
    <w:rsid w:val="00D873F7"/>
    <w:rsid w:val="00D87941"/>
    <w:rsid w:val="00D87C48"/>
    <w:rsid w:val="00D905CD"/>
    <w:rsid w:val="00D9094B"/>
    <w:rsid w:val="00D910DA"/>
    <w:rsid w:val="00D91E02"/>
    <w:rsid w:val="00D92276"/>
    <w:rsid w:val="00D9249D"/>
    <w:rsid w:val="00D92F12"/>
    <w:rsid w:val="00D93183"/>
    <w:rsid w:val="00D94618"/>
    <w:rsid w:val="00D9468A"/>
    <w:rsid w:val="00D94AC9"/>
    <w:rsid w:val="00D96D01"/>
    <w:rsid w:val="00D96D8C"/>
    <w:rsid w:val="00D96F6A"/>
    <w:rsid w:val="00D97CBE"/>
    <w:rsid w:val="00D97E88"/>
    <w:rsid w:val="00DA01D5"/>
    <w:rsid w:val="00DA074D"/>
    <w:rsid w:val="00DA0AA7"/>
    <w:rsid w:val="00DA0F5E"/>
    <w:rsid w:val="00DA0FE2"/>
    <w:rsid w:val="00DA24E9"/>
    <w:rsid w:val="00DA2690"/>
    <w:rsid w:val="00DA2EC5"/>
    <w:rsid w:val="00DA31C6"/>
    <w:rsid w:val="00DA322D"/>
    <w:rsid w:val="00DA324B"/>
    <w:rsid w:val="00DA4402"/>
    <w:rsid w:val="00DA49DE"/>
    <w:rsid w:val="00DA5B6D"/>
    <w:rsid w:val="00DA6F84"/>
    <w:rsid w:val="00DA7D1B"/>
    <w:rsid w:val="00DA7D21"/>
    <w:rsid w:val="00DB0077"/>
    <w:rsid w:val="00DB0227"/>
    <w:rsid w:val="00DB0C3B"/>
    <w:rsid w:val="00DB1114"/>
    <w:rsid w:val="00DB1570"/>
    <w:rsid w:val="00DB175E"/>
    <w:rsid w:val="00DB1B80"/>
    <w:rsid w:val="00DB25CA"/>
    <w:rsid w:val="00DB2D6A"/>
    <w:rsid w:val="00DB463B"/>
    <w:rsid w:val="00DB4B2D"/>
    <w:rsid w:val="00DB4F92"/>
    <w:rsid w:val="00DB52F8"/>
    <w:rsid w:val="00DB5657"/>
    <w:rsid w:val="00DB5F52"/>
    <w:rsid w:val="00DB6910"/>
    <w:rsid w:val="00DB69C1"/>
    <w:rsid w:val="00DB6D1D"/>
    <w:rsid w:val="00DB7D8B"/>
    <w:rsid w:val="00DC064D"/>
    <w:rsid w:val="00DC1265"/>
    <w:rsid w:val="00DC1374"/>
    <w:rsid w:val="00DC165A"/>
    <w:rsid w:val="00DC27A7"/>
    <w:rsid w:val="00DC282B"/>
    <w:rsid w:val="00DC2830"/>
    <w:rsid w:val="00DC2C73"/>
    <w:rsid w:val="00DC4289"/>
    <w:rsid w:val="00DC4F9D"/>
    <w:rsid w:val="00DC5AB7"/>
    <w:rsid w:val="00DC6422"/>
    <w:rsid w:val="00DC686C"/>
    <w:rsid w:val="00DC68AE"/>
    <w:rsid w:val="00DC6D86"/>
    <w:rsid w:val="00DC7F9F"/>
    <w:rsid w:val="00DD0325"/>
    <w:rsid w:val="00DD0426"/>
    <w:rsid w:val="00DD1EE4"/>
    <w:rsid w:val="00DD3368"/>
    <w:rsid w:val="00DD34AE"/>
    <w:rsid w:val="00DD398F"/>
    <w:rsid w:val="00DD3D7B"/>
    <w:rsid w:val="00DD5252"/>
    <w:rsid w:val="00DD5F49"/>
    <w:rsid w:val="00DD6753"/>
    <w:rsid w:val="00DD6F6E"/>
    <w:rsid w:val="00DE0FC7"/>
    <w:rsid w:val="00DE1046"/>
    <w:rsid w:val="00DE1A28"/>
    <w:rsid w:val="00DE364E"/>
    <w:rsid w:val="00DE39FE"/>
    <w:rsid w:val="00DE3BA0"/>
    <w:rsid w:val="00DE3E2B"/>
    <w:rsid w:val="00DE3EFC"/>
    <w:rsid w:val="00DE6F4B"/>
    <w:rsid w:val="00DE7A92"/>
    <w:rsid w:val="00DF0359"/>
    <w:rsid w:val="00DF05C9"/>
    <w:rsid w:val="00DF0E9E"/>
    <w:rsid w:val="00DF18B9"/>
    <w:rsid w:val="00DF32BA"/>
    <w:rsid w:val="00DF3B46"/>
    <w:rsid w:val="00DF3B9C"/>
    <w:rsid w:val="00DF3EAA"/>
    <w:rsid w:val="00DF406B"/>
    <w:rsid w:val="00DF483B"/>
    <w:rsid w:val="00DF5C9F"/>
    <w:rsid w:val="00DF6F71"/>
    <w:rsid w:val="00DF7254"/>
    <w:rsid w:val="00DF78DC"/>
    <w:rsid w:val="00DF7FC5"/>
    <w:rsid w:val="00E003B5"/>
    <w:rsid w:val="00E004DE"/>
    <w:rsid w:val="00E00A04"/>
    <w:rsid w:val="00E00ADE"/>
    <w:rsid w:val="00E01253"/>
    <w:rsid w:val="00E015E5"/>
    <w:rsid w:val="00E01DDC"/>
    <w:rsid w:val="00E0250A"/>
    <w:rsid w:val="00E026CE"/>
    <w:rsid w:val="00E02DA8"/>
    <w:rsid w:val="00E0313E"/>
    <w:rsid w:val="00E04751"/>
    <w:rsid w:val="00E047B2"/>
    <w:rsid w:val="00E04A35"/>
    <w:rsid w:val="00E04D8D"/>
    <w:rsid w:val="00E051E5"/>
    <w:rsid w:val="00E0598D"/>
    <w:rsid w:val="00E06096"/>
    <w:rsid w:val="00E07205"/>
    <w:rsid w:val="00E07657"/>
    <w:rsid w:val="00E07831"/>
    <w:rsid w:val="00E07C8B"/>
    <w:rsid w:val="00E100B7"/>
    <w:rsid w:val="00E10602"/>
    <w:rsid w:val="00E108B9"/>
    <w:rsid w:val="00E10C88"/>
    <w:rsid w:val="00E10DAD"/>
    <w:rsid w:val="00E10E08"/>
    <w:rsid w:val="00E111E2"/>
    <w:rsid w:val="00E11224"/>
    <w:rsid w:val="00E1143A"/>
    <w:rsid w:val="00E119F5"/>
    <w:rsid w:val="00E123A1"/>
    <w:rsid w:val="00E12830"/>
    <w:rsid w:val="00E137C6"/>
    <w:rsid w:val="00E14ECF"/>
    <w:rsid w:val="00E15587"/>
    <w:rsid w:val="00E15A7A"/>
    <w:rsid w:val="00E15EB5"/>
    <w:rsid w:val="00E16F33"/>
    <w:rsid w:val="00E17267"/>
    <w:rsid w:val="00E177B2"/>
    <w:rsid w:val="00E178ED"/>
    <w:rsid w:val="00E202B0"/>
    <w:rsid w:val="00E2083E"/>
    <w:rsid w:val="00E20910"/>
    <w:rsid w:val="00E234D6"/>
    <w:rsid w:val="00E23982"/>
    <w:rsid w:val="00E24142"/>
    <w:rsid w:val="00E24357"/>
    <w:rsid w:val="00E243EA"/>
    <w:rsid w:val="00E24F2C"/>
    <w:rsid w:val="00E25199"/>
    <w:rsid w:val="00E2570F"/>
    <w:rsid w:val="00E25A75"/>
    <w:rsid w:val="00E2617B"/>
    <w:rsid w:val="00E26F16"/>
    <w:rsid w:val="00E27008"/>
    <w:rsid w:val="00E2728E"/>
    <w:rsid w:val="00E27FBB"/>
    <w:rsid w:val="00E30122"/>
    <w:rsid w:val="00E30B2A"/>
    <w:rsid w:val="00E30BA9"/>
    <w:rsid w:val="00E30ED7"/>
    <w:rsid w:val="00E316D2"/>
    <w:rsid w:val="00E34078"/>
    <w:rsid w:val="00E348BF"/>
    <w:rsid w:val="00E34BF3"/>
    <w:rsid w:val="00E34E55"/>
    <w:rsid w:val="00E34EC9"/>
    <w:rsid w:val="00E34F78"/>
    <w:rsid w:val="00E352A5"/>
    <w:rsid w:val="00E35769"/>
    <w:rsid w:val="00E368E3"/>
    <w:rsid w:val="00E36F15"/>
    <w:rsid w:val="00E3748C"/>
    <w:rsid w:val="00E374B0"/>
    <w:rsid w:val="00E3758F"/>
    <w:rsid w:val="00E40346"/>
    <w:rsid w:val="00E40FC7"/>
    <w:rsid w:val="00E41128"/>
    <w:rsid w:val="00E417F3"/>
    <w:rsid w:val="00E41AC4"/>
    <w:rsid w:val="00E422EA"/>
    <w:rsid w:val="00E42C96"/>
    <w:rsid w:val="00E440AD"/>
    <w:rsid w:val="00E44555"/>
    <w:rsid w:val="00E4549E"/>
    <w:rsid w:val="00E45E63"/>
    <w:rsid w:val="00E46074"/>
    <w:rsid w:val="00E46232"/>
    <w:rsid w:val="00E4635A"/>
    <w:rsid w:val="00E473C6"/>
    <w:rsid w:val="00E47B59"/>
    <w:rsid w:val="00E47D48"/>
    <w:rsid w:val="00E50993"/>
    <w:rsid w:val="00E50EFC"/>
    <w:rsid w:val="00E51064"/>
    <w:rsid w:val="00E51369"/>
    <w:rsid w:val="00E51EDA"/>
    <w:rsid w:val="00E520A3"/>
    <w:rsid w:val="00E523F2"/>
    <w:rsid w:val="00E52410"/>
    <w:rsid w:val="00E52A88"/>
    <w:rsid w:val="00E5433E"/>
    <w:rsid w:val="00E543D4"/>
    <w:rsid w:val="00E54F81"/>
    <w:rsid w:val="00E550D2"/>
    <w:rsid w:val="00E55D5E"/>
    <w:rsid w:val="00E55E9B"/>
    <w:rsid w:val="00E56A84"/>
    <w:rsid w:val="00E56EC7"/>
    <w:rsid w:val="00E5745A"/>
    <w:rsid w:val="00E57719"/>
    <w:rsid w:val="00E577A2"/>
    <w:rsid w:val="00E5793C"/>
    <w:rsid w:val="00E57B4B"/>
    <w:rsid w:val="00E602E1"/>
    <w:rsid w:val="00E60422"/>
    <w:rsid w:val="00E6091F"/>
    <w:rsid w:val="00E619D0"/>
    <w:rsid w:val="00E61F90"/>
    <w:rsid w:val="00E63630"/>
    <w:rsid w:val="00E6375E"/>
    <w:rsid w:val="00E637B1"/>
    <w:rsid w:val="00E63EF3"/>
    <w:rsid w:val="00E6411B"/>
    <w:rsid w:val="00E65A2F"/>
    <w:rsid w:val="00E65C61"/>
    <w:rsid w:val="00E66114"/>
    <w:rsid w:val="00E667CF"/>
    <w:rsid w:val="00E66CD6"/>
    <w:rsid w:val="00E66F6F"/>
    <w:rsid w:val="00E678DD"/>
    <w:rsid w:val="00E67E73"/>
    <w:rsid w:val="00E702C4"/>
    <w:rsid w:val="00E7053E"/>
    <w:rsid w:val="00E70D7A"/>
    <w:rsid w:val="00E710F0"/>
    <w:rsid w:val="00E7159A"/>
    <w:rsid w:val="00E71B7A"/>
    <w:rsid w:val="00E72506"/>
    <w:rsid w:val="00E72613"/>
    <w:rsid w:val="00E73035"/>
    <w:rsid w:val="00E732D3"/>
    <w:rsid w:val="00E735FA"/>
    <w:rsid w:val="00E73F4D"/>
    <w:rsid w:val="00E743ED"/>
    <w:rsid w:val="00E749C8"/>
    <w:rsid w:val="00E74D94"/>
    <w:rsid w:val="00E74EA7"/>
    <w:rsid w:val="00E74FCB"/>
    <w:rsid w:val="00E7502F"/>
    <w:rsid w:val="00E754F7"/>
    <w:rsid w:val="00E756D2"/>
    <w:rsid w:val="00E771BE"/>
    <w:rsid w:val="00E774A4"/>
    <w:rsid w:val="00E7779A"/>
    <w:rsid w:val="00E77EA3"/>
    <w:rsid w:val="00E803C3"/>
    <w:rsid w:val="00E8074D"/>
    <w:rsid w:val="00E80DCF"/>
    <w:rsid w:val="00E81056"/>
    <w:rsid w:val="00E815B5"/>
    <w:rsid w:val="00E81928"/>
    <w:rsid w:val="00E84279"/>
    <w:rsid w:val="00E849F3"/>
    <w:rsid w:val="00E85094"/>
    <w:rsid w:val="00E85BE4"/>
    <w:rsid w:val="00E8622C"/>
    <w:rsid w:val="00E8635C"/>
    <w:rsid w:val="00E86490"/>
    <w:rsid w:val="00E871EC"/>
    <w:rsid w:val="00E871EE"/>
    <w:rsid w:val="00E872B3"/>
    <w:rsid w:val="00E8734B"/>
    <w:rsid w:val="00E87BA2"/>
    <w:rsid w:val="00E900B1"/>
    <w:rsid w:val="00E9046C"/>
    <w:rsid w:val="00E905A8"/>
    <w:rsid w:val="00E90677"/>
    <w:rsid w:val="00E910BC"/>
    <w:rsid w:val="00E91B2E"/>
    <w:rsid w:val="00E92953"/>
    <w:rsid w:val="00E92CB8"/>
    <w:rsid w:val="00E93D6A"/>
    <w:rsid w:val="00E9400C"/>
    <w:rsid w:val="00E94173"/>
    <w:rsid w:val="00E94EEF"/>
    <w:rsid w:val="00E953C6"/>
    <w:rsid w:val="00E95603"/>
    <w:rsid w:val="00E96581"/>
    <w:rsid w:val="00E9668D"/>
    <w:rsid w:val="00E96BAC"/>
    <w:rsid w:val="00E96C1C"/>
    <w:rsid w:val="00E97F2C"/>
    <w:rsid w:val="00EA185B"/>
    <w:rsid w:val="00EA198A"/>
    <w:rsid w:val="00EA204D"/>
    <w:rsid w:val="00EA2D61"/>
    <w:rsid w:val="00EA2E79"/>
    <w:rsid w:val="00EA3146"/>
    <w:rsid w:val="00EA3587"/>
    <w:rsid w:val="00EA3AE1"/>
    <w:rsid w:val="00EA3E8D"/>
    <w:rsid w:val="00EA417E"/>
    <w:rsid w:val="00EA646D"/>
    <w:rsid w:val="00EA6A86"/>
    <w:rsid w:val="00EA6C8F"/>
    <w:rsid w:val="00EA704E"/>
    <w:rsid w:val="00EB0243"/>
    <w:rsid w:val="00EB1247"/>
    <w:rsid w:val="00EB155E"/>
    <w:rsid w:val="00EB15DA"/>
    <w:rsid w:val="00EB1BFE"/>
    <w:rsid w:val="00EB1FC1"/>
    <w:rsid w:val="00EB2547"/>
    <w:rsid w:val="00EB26EC"/>
    <w:rsid w:val="00EB39A6"/>
    <w:rsid w:val="00EB4385"/>
    <w:rsid w:val="00EB4B0F"/>
    <w:rsid w:val="00EB4FFB"/>
    <w:rsid w:val="00EB58E5"/>
    <w:rsid w:val="00EB5D0F"/>
    <w:rsid w:val="00EB640F"/>
    <w:rsid w:val="00EB75EC"/>
    <w:rsid w:val="00EB7BAD"/>
    <w:rsid w:val="00EC02A3"/>
    <w:rsid w:val="00EC02E4"/>
    <w:rsid w:val="00EC04CB"/>
    <w:rsid w:val="00EC0C19"/>
    <w:rsid w:val="00EC15E7"/>
    <w:rsid w:val="00EC1B7F"/>
    <w:rsid w:val="00EC1C07"/>
    <w:rsid w:val="00EC211B"/>
    <w:rsid w:val="00EC2230"/>
    <w:rsid w:val="00EC2B05"/>
    <w:rsid w:val="00EC3490"/>
    <w:rsid w:val="00EC3E5A"/>
    <w:rsid w:val="00EC3E5D"/>
    <w:rsid w:val="00EC420E"/>
    <w:rsid w:val="00EC4349"/>
    <w:rsid w:val="00EC44AA"/>
    <w:rsid w:val="00EC4E02"/>
    <w:rsid w:val="00EC4E67"/>
    <w:rsid w:val="00EC6FE2"/>
    <w:rsid w:val="00EC77D8"/>
    <w:rsid w:val="00EC789C"/>
    <w:rsid w:val="00ED104F"/>
    <w:rsid w:val="00ED1539"/>
    <w:rsid w:val="00ED1D6D"/>
    <w:rsid w:val="00ED20AC"/>
    <w:rsid w:val="00ED45AF"/>
    <w:rsid w:val="00ED4BCE"/>
    <w:rsid w:val="00ED503D"/>
    <w:rsid w:val="00ED5551"/>
    <w:rsid w:val="00ED5DAE"/>
    <w:rsid w:val="00ED6320"/>
    <w:rsid w:val="00ED7154"/>
    <w:rsid w:val="00ED7414"/>
    <w:rsid w:val="00EE07BE"/>
    <w:rsid w:val="00EE0B8F"/>
    <w:rsid w:val="00EE0C15"/>
    <w:rsid w:val="00EE182C"/>
    <w:rsid w:val="00EE1CB0"/>
    <w:rsid w:val="00EE2100"/>
    <w:rsid w:val="00EE2305"/>
    <w:rsid w:val="00EE2D3D"/>
    <w:rsid w:val="00EE2DCE"/>
    <w:rsid w:val="00EE2EFF"/>
    <w:rsid w:val="00EE35C9"/>
    <w:rsid w:val="00EE4E6E"/>
    <w:rsid w:val="00EE4F7D"/>
    <w:rsid w:val="00EE545A"/>
    <w:rsid w:val="00EE5AE9"/>
    <w:rsid w:val="00EE5D7F"/>
    <w:rsid w:val="00EE75CB"/>
    <w:rsid w:val="00EE76AB"/>
    <w:rsid w:val="00EE7D92"/>
    <w:rsid w:val="00EF016A"/>
    <w:rsid w:val="00EF0E59"/>
    <w:rsid w:val="00EF1F3B"/>
    <w:rsid w:val="00EF1F51"/>
    <w:rsid w:val="00EF22BC"/>
    <w:rsid w:val="00EF22D6"/>
    <w:rsid w:val="00EF2474"/>
    <w:rsid w:val="00EF29DA"/>
    <w:rsid w:val="00EF3614"/>
    <w:rsid w:val="00EF3A55"/>
    <w:rsid w:val="00EF3F4A"/>
    <w:rsid w:val="00EF433C"/>
    <w:rsid w:val="00EF455F"/>
    <w:rsid w:val="00EF4FC3"/>
    <w:rsid w:val="00EF5354"/>
    <w:rsid w:val="00EF61D7"/>
    <w:rsid w:val="00EF728C"/>
    <w:rsid w:val="00F00D73"/>
    <w:rsid w:val="00F01EF6"/>
    <w:rsid w:val="00F02F27"/>
    <w:rsid w:val="00F03C8C"/>
    <w:rsid w:val="00F03CAC"/>
    <w:rsid w:val="00F03E9E"/>
    <w:rsid w:val="00F04B66"/>
    <w:rsid w:val="00F057A9"/>
    <w:rsid w:val="00F05B25"/>
    <w:rsid w:val="00F05BCD"/>
    <w:rsid w:val="00F0655D"/>
    <w:rsid w:val="00F06913"/>
    <w:rsid w:val="00F06F30"/>
    <w:rsid w:val="00F07169"/>
    <w:rsid w:val="00F0719B"/>
    <w:rsid w:val="00F07417"/>
    <w:rsid w:val="00F1088E"/>
    <w:rsid w:val="00F10C5A"/>
    <w:rsid w:val="00F115EA"/>
    <w:rsid w:val="00F11652"/>
    <w:rsid w:val="00F117DF"/>
    <w:rsid w:val="00F11ABF"/>
    <w:rsid w:val="00F11EDF"/>
    <w:rsid w:val="00F12777"/>
    <w:rsid w:val="00F12B0F"/>
    <w:rsid w:val="00F13013"/>
    <w:rsid w:val="00F131DE"/>
    <w:rsid w:val="00F13CD2"/>
    <w:rsid w:val="00F13E6B"/>
    <w:rsid w:val="00F140CF"/>
    <w:rsid w:val="00F14920"/>
    <w:rsid w:val="00F14CE0"/>
    <w:rsid w:val="00F15700"/>
    <w:rsid w:val="00F1587A"/>
    <w:rsid w:val="00F1629E"/>
    <w:rsid w:val="00F162D7"/>
    <w:rsid w:val="00F16CB9"/>
    <w:rsid w:val="00F1729A"/>
    <w:rsid w:val="00F17434"/>
    <w:rsid w:val="00F2026A"/>
    <w:rsid w:val="00F20A06"/>
    <w:rsid w:val="00F20CCA"/>
    <w:rsid w:val="00F20E98"/>
    <w:rsid w:val="00F2111A"/>
    <w:rsid w:val="00F212F0"/>
    <w:rsid w:val="00F21765"/>
    <w:rsid w:val="00F21DE4"/>
    <w:rsid w:val="00F21F59"/>
    <w:rsid w:val="00F225B6"/>
    <w:rsid w:val="00F22B08"/>
    <w:rsid w:val="00F23669"/>
    <w:rsid w:val="00F237D7"/>
    <w:rsid w:val="00F2419D"/>
    <w:rsid w:val="00F24389"/>
    <w:rsid w:val="00F24465"/>
    <w:rsid w:val="00F27511"/>
    <w:rsid w:val="00F2756E"/>
    <w:rsid w:val="00F27FDA"/>
    <w:rsid w:val="00F30330"/>
    <w:rsid w:val="00F30D25"/>
    <w:rsid w:val="00F31381"/>
    <w:rsid w:val="00F3237B"/>
    <w:rsid w:val="00F33008"/>
    <w:rsid w:val="00F33364"/>
    <w:rsid w:val="00F33CA3"/>
    <w:rsid w:val="00F33E42"/>
    <w:rsid w:val="00F36CED"/>
    <w:rsid w:val="00F37DE3"/>
    <w:rsid w:val="00F37E1A"/>
    <w:rsid w:val="00F37E1E"/>
    <w:rsid w:val="00F40091"/>
    <w:rsid w:val="00F40422"/>
    <w:rsid w:val="00F4054F"/>
    <w:rsid w:val="00F411F4"/>
    <w:rsid w:val="00F4132A"/>
    <w:rsid w:val="00F41552"/>
    <w:rsid w:val="00F4317C"/>
    <w:rsid w:val="00F437CC"/>
    <w:rsid w:val="00F43E1D"/>
    <w:rsid w:val="00F4649E"/>
    <w:rsid w:val="00F46DCB"/>
    <w:rsid w:val="00F46F84"/>
    <w:rsid w:val="00F47531"/>
    <w:rsid w:val="00F47560"/>
    <w:rsid w:val="00F47766"/>
    <w:rsid w:val="00F479A0"/>
    <w:rsid w:val="00F47BD1"/>
    <w:rsid w:val="00F47DC3"/>
    <w:rsid w:val="00F5048F"/>
    <w:rsid w:val="00F50547"/>
    <w:rsid w:val="00F52022"/>
    <w:rsid w:val="00F524D7"/>
    <w:rsid w:val="00F52542"/>
    <w:rsid w:val="00F53336"/>
    <w:rsid w:val="00F53F2E"/>
    <w:rsid w:val="00F543F7"/>
    <w:rsid w:val="00F54CCA"/>
    <w:rsid w:val="00F55541"/>
    <w:rsid w:val="00F55765"/>
    <w:rsid w:val="00F55AAB"/>
    <w:rsid w:val="00F55ECB"/>
    <w:rsid w:val="00F56528"/>
    <w:rsid w:val="00F56887"/>
    <w:rsid w:val="00F56E41"/>
    <w:rsid w:val="00F608C3"/>
    <w:rsid w:val="00F61020"/>
    <w:rsid w:val="00F61941"/>
    <w:rsid w:val="00F61BAB"/>
    <w:rsid w:val="00F61CFA"/>
    <w:rsid w:val="00F620CE"/>
    <w:rsid w:val="00F625CA"/>
    <w:rsid w:val="00F62D32"/>
    <w:rsid w:val="00F64060"/>
    <w:rsid w:val="00F64CBD"/>
    <w:rsid w:val="00F65528"/>
    <w:rsid w:val="00F65AA1"/>
    <w:rsid w:val="00F6655E"/>
    <w:rsid w:val="00F665FC"/>
    <w:rsid w:val="00F66D36"/>
    <w:rsid w:val="00F675FF"/>
    <w:rsid w:val="00F67E80"/>
    <w:rsid w:val="00F701F8"/>
    <w:rsid w:val="00F7029B"/>
    <w:rsid w:val="00F717F0"/>
    <w:rsid w:val="00F72258"/>
    <w:rsid w:val="00F727A5"/>
    <w:rsid w:val="00F73086"/>
    <w:rsid w:val="00F73337"/>
    <w:rsid w:val="00F759C6"/>
    <w:rsid w:val="00F76856"/>
    <w:rsid w:val="00F77010"/>
    <w:rsid w:val="00F77091"/>
    <w:rsid w:val="00F7711D"/>
    <w:rsid w:val="00F77258"/>
    <w:rsid w:val="00F774A5"/>
    <w:rsid w:val="00F77730"/>
    <w:rsid w:val="00F80023"/>
    <w:rsid w:val="00F80993"/>
    <w:rsid w:val="00F81205"/>
    <w:rsid w:val="00F8170E"/>
    <w:rsid w:val="00F81B74"/>
    <w:rsid w:val="00F821AD"/>
    <w:rsid w:val="00F823F4"/>
    <w:rsid w:val="00F832D6"/>
    <w:rsid w:val="00F8458A"/>
    <w:rsid w:val="00F8558D"/>
    <w:rsid w:val="00F86597"/>
    <w:rsid w:val="00F86B48"/>
    <w:rsid w:val="00F86BED"/>
    <w:rsid w:val="00F86E1E"/>
    <w:rsid w:val="00F87FBB"/>
    <w:rsid w:val="00F90531"/>
    <w:rsid w:val="00F906F9"/>
    <w:rsid w:val="00F90856"/>
    <w:rsid w:val="00F90B48"/>
    <w:rsid w:val="00F90BA5"/>
    <w:rsid w:val="00F9101A"/>
    <w:rsid w:val="00F918B9"/>
    <w:rsid w:val="00F91AB8"/>
    <w:rsid w:val="00F9288C"/>
    <w:rsid w:val="00F92AF1"/>
    <w:rsid w:val="00F93177"/>
    <w:rsid w:val="00F93640"/>
    <w:rsid w:val="00F93E19"/>
    <w:rsid w:val="00F94143"/>
    <w:rsid w:val="00F950A1"/>
    <w:rsid w:val="00F95FBA"/>
    <w:rsid w:val="00F962FE"/>
    <w:rsid w:val="00F97050"/>
    <w:rsid w:val="00F97D0A"/>
    <w:rsid w:val="00F97E1E"/>
    <w:rsid w:val="00FA07A1"/>
    <w:rsid w:val="00FA0E7A"/>
    <w:rsid w:val="00FA0F75"/>
    <w:rsid w:val="00FA1708"/>
    <w:rsid w:val="00FA19EB"/>
    <w:rsid w:val="00FA1A83"/>
    <w:rsid w:val="00FA23D6"/>
    <w:rsid w:val="00FA2732"/>
    <w:rsid w:val="00FA2A46"/>
    <w:rsid w:val="00FA2C36"/>
    <w:rsid w:val="00FA305A"/>
    <w:rsid w:val="00FA3226"/>
    <w:rsid w:val="00FA322D"/>
    <w:rsid w:val="00FA37C9"/>
    <w:rsid w:val="00FA51AA"/>
    <w:rsid w:val="00FA5A92"/>
    <w:rsid w:val="00FA62BA"/>
    <w:rsid w:val="00FA653A"/>
    <w:rsid w:val="00FA6DCE"/>
    <w:rsid w:val="00FA72F7"/>
    <w:rsid w:val="00FA7E22"/>
    <w:rsid w:val="00FA7E26"/>
    <w:rsid w:val="00FA7F9C"/>
    <w:rsid w:val="00FB05CC"/>
    <w:rsid w:val="00FB17A3"/>
    <w:rsid w:val="00FB1EBF"/>
    <w:rsid w:val="00FB2A2B"/>
    <w:rsid w:val="00FB2D62"/>
    <w:rsid w:val="00FB2D87"/>
    <w:rsid w:val="00FB3C6E"/>
    <w:rsid w:val="00FB4122"/>
    <w:rsid w:val="00FB49B7"/>
    <w:rsid w:val="00FB7687"/>
    <w:rsid w:val="00FB7C66"/>
    <w:rsid w:val="00FC04A0"/>
    <w:rsid w:val="00FC09DE"/>
    <w:rsid w:val="00FC186C"/>
    <w:rsid w:val="00FC1CB3"/>
    <w:rsid w:val="00FC35D0"/>
    <w:rsid w:val="00FC3A4C"/>
    <w:rsid w:val="00FC3E72"/>
    <w:rsid w:val="00FC5239"/>
    <w:rsid w:val="00FC5843"/>
    <w:rsid w:val="00FC5BFF"/>
    <w:rsid w:val="00FC644D"/>
    <w:rsid w:val="00FC6829"/>
    <w:rsid w:val="00FC6982"/>
    <w:rsid w:val="00FC6EC3"/>
    <w:rsid w:val="00FD02F3"/>
    <w:rsid w:val="00FD05D7"/>
    <w:rsid w:val="00FD13DA"/>
    <w:rsid w:val="00FD14A0"/>
    <w:rsid w:val="00FD1CEA"/>
    <w:rsid w:val="00FD2213"/>
    <w:rsid w:val="00FD2A68"/>
    <w:rsid w:val="00FD2C7D"/>
    <w:rsid w:val="00FD376D"/>
    <w:rsid w:val="00FD37D1"/>
    <w:rsid w:val="00FD3C8B"/>
    <w:rsid w:val="00FD4132"/>
    <w:rsid w:val="00FD42DB"/>
    <w:rsid w:val="00FD42E5"/>
    <w:rsid w:val="00FD4591"/>
    <w:rsid w:val="00FD467A"/>
    <w:rsid w:val="00FD6421"/>
    <w:rsid w:val="00FD6434"/>
    <w:rsid w:val="00FD738A"/>
    <w:rsid w:val="00FE0822"/>
    <w:rsid w:val="00FE0CBA"/>
    <w:rsid w:val="00FE170F"/>
    <w:rsid w:val="00FE2266"/>
    <w:rsid w:val="00FE29E1"/>
    <w:rsid w:val="00FE4201"/>
    <w:rsid w:val="00FE533D"/>
    <w:rsid w:val="00FE5829"/>
    <w:rsid w:val="00FE5E90"/>
    <w:rsid w:val="00FE605E"/>
    <w:rsid w:val="00FE6549"/>
    <w:rsid w:val="00FE6A54"/>
    <w:rsid w:val="00FE72F4"/>
    <w:rsid w:val="00FE7D2C"/>
    <w:rsid w:val="00FF0000"/>
    <w:rsid w:val="00FF00B6"/>
    <w:rsid w:val="00FF02A4"/>
    <w:rsid w:val="00FF1548"/>
    <w:rsid w:val="00FF1B7F"/>
    <w:rsid w:val="00FF25B6"/>
    <w:rsid w:val="00FF345A"/>
    <w:rsid w:val="00FF3E1E"/>
    <w:rsid w:val="00FF45FF"/>
    <w:rsid w:val="00FF547F"/>
    <w:rsid w:val="00FF5F90"/>
    <w:rsid w:val="00FF615B"/>
    <w:rsid w:val="00FF643D"/>
    <w:rsid w:val="00FF6AF3"/>
    <w:rsid w:val="00FF6DDE"/>
    <w:rsid w:val="00FF6E25"/>
    <w:rsid w:val="00FF7605"/>
    <w:rsid w:val="00FF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color w:val="6D6E71" w:themeColor="text2"/>
        <w:lang w:val="en-GB" w:eastAsia="en-GB"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542"/>
  </w:style>
  <w:style w:type="paragraph" w:styleId="Heading1">
    <w:name w:val="heading 1"/>
    <w:basedOn w:val="Normal"/>
    <w:next w:val="Normal"/>
    <w:link w:val="Heading1Char"/>
    <w:qFormat/>
    <w:rsid w:val="00886804"/>
    <w:pPr>
      <w:pageBreakBefore/>
      <w:pBdr>
        <w:bottom w:val="single" w:sz="4" w:space="17" w:color="auto"/>
      </w:pBdr>
      <w:spacing w:after="480" w:line="228" w:lineRule="auto"/>
      <w:outlineLvl w:val="0"/>
    </w:pPr>
    <w:rPr>
      <w:rFonts w:asciiTheme="majorHAnsi" w:hAnsiTheme="majorHAnsi" w:cstheme="majorHAnsi"/>
      <w:color w:val="000000" w:themeColor="text1"/>
      <w:sz w:val="48"/>
      <w:szCs w:val="44"/>
      <w:lang w:eastAsia="en-US"/>
    </w:rPr>
  </w:style>
  <w:style w:type="paragraph" w:styleId="Heading2">
    <w:name w:val="heading 2"/>
    <w:basedOn w:val="Normal"/>
    <w:next w:val="Normal"/>
    <w:link w:val="Heading2Char"/>
    <w:qFormat/>
    <w:rsid w:val="00C35EA2"/>
    <w:pPr>
      <w:keepNext/>
      <w:spacing w:before="240"/>
      <w:outlineLvl w:val="1"/>
    </w:pPr>
    <w:rPr>
      <w:rFonts w:cs="Arial"/>
      <w:b/>
      <w:bCs/>
      <w:iCs/>
      <w:noProof/>
      <w:color w:val="000000" w:themeColor="text1"/>
      <w:sz w:val="24"/>
      <w:szCs w:val="28"/>
    </w:rPr>
  </w:style>
  <w:style w:type="paragraph" w:styleId="Heading3">
    <w:name w:val="heading 3"/>
    <w:basedOn w:val="Normal"/>
    <w:next w:val="Normal"/>
    <w:link w:val="Heading3Char"/>
    <w:qFormat/>
    <w:rsid w:val="00C35EA2"/>
    <w:pPr>
      <w:keepNext/>
      <w:spacing w:before="240" w:after="60"/>
      <w:outlineLvl w:val="2"/>
    </w:pPr>
    <w:rPr>
      <w:rFonts w:cs="Arial"/>
      <w:b/>
      <w:bCs/>
      <w:noProof/>
      <w:szCs w:val="26"/>
    </w:rPr>
  </w:style>
  <w:style w:type="paragraph" w:styleId="Heading4">
    <w:name w:val="heading 4"/>
    <w:basedOn w:val="Normal"/>
    <w:next w:val="Normal"/>
    <w:link w:val="Heading4Char"/>
    <w:qFormat/>
    <w:rsid w:val="00C35EA2"/>
    <w:pPr>
      <w:keepNext/>
      <w:keepLines/>
      <w:spacing w:before="200" w:after="60"/>
      <w:outlineLvl w:val="3"/>
    </w:pPr>
    <w:rPr>
      <w:rFonts w:asciiTheme="majorHAnsi" w:eastAsiaTheme="majorEastAsia" w:hAnsiTheme="majorHAnsi" w:cstheme="majorBidi"/>
      <w:bCs/>
      <w:i/>
      <w:iCs/>
      <w:noProof/>
    </w:rPr>
  </w:style>
  <w:style w:type="paragraph" w:styleId="Heading5">
    <w:name w:val="heading 5"/>
    <w:basedOn w:val="Normal"/>
    <w:next w:val="Normal"/>
    <w:link w:val="Heading5Char"/>
    <w:qFormat/>
    <w:rsid w:val="00C35EA2"/>
    <w:pPr>
      <w:keepNext/>
      <w:spacing w:before="60" w:after="60"/>
      <w:jc w:val="both"/>
      <w:outlineLvl w:val="4"/>
    </w:pPr>
    <w:rPr>
      <w:rFonts w:asciiTheme="majorHAnsi" w:hAnsiTheme="majorHAnsi" w:cs="Angsana New"/>
      <w:color w:val="000000" w:themeColor="text1"/>
      <w:lang w:val="en-AU"/>
    </w:rPr>
  </w:style>
  <w:style w:type="paragraph" w:styleId="Heading6">
    <w:name w:val="heading 6"/>
    <w:basedOn w:val="Normal"/>
    <w:next w:val="Normal"/>
    <w:link w:val="Heading6Char"/>
    <w:uiPriority w:val="9"/>
    <w:semiHidden/>
    <w:unhideWhenUsed/>
    <w:qFormat/>
    <w:rsid w:val="00382163"/>
    <w:pPr>
      <w:keepNext/>
      <w:keepLines/>
      <w:spacing w:before="200"/>
      <w:outlineLvl w:val="5"/>
    </w:pPr>
    <w:rPr>
      <w:rFonts w:asciiTheme="majorHAnsi" w:eastAsiaTheme="majorEastAsia" w:hAnsiTheme="majorHAnsi" w:cstheme="majorBidi"/>
      <w:i/>
      <w:iCs/>
      <w:color w:val="2272A2" w:themeColor="accent1" w:themeShade="7F"/>
    </w:rPr>
  </w:style>
  <w:style w:type="paragraph" w:styleId="Heading7">
    <w:name w:val="heading 7"/>
    <w:basedOn w:val="Normal"/>
    <w:next w:val="Normal"/>
    <w:link w:val="Heading7Char"/>
    <w:uiPriority w:val="9"/>
    <w:semiHidden/>
    <w:unhideWhenUsed/>
    <w:qFormat/>
    <w:rsid w:val="005A35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54C"/>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A354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04"/>
    <w:rPr>
      <w:rFonts w:asciiTheme="majorHAnsi" w:hAnsiTheme="majorHAnsi" w:cstheme="majorHAnsi"/>
      <w:color w:val="000000" w:themeColor="text1"/>
      <w:sz w:val="48"/>
      <w:szCs w:val="44"/>
      <w:lang w:eastAsia="en-US"/>
    </w:rPr>
  </w:style>
  <w:style w:type="character" w:customStyle="1" w:styleId="Heading2Char">
    <w:name w:val="Heading 2 Char"/>
    <w:basedOn w:val="DefaultParagraphFont"/>
    <w:link w:val="Heading2"/>
    <w:rsid w:val="00C35EA2"/>
    <w:rPr>
      <w:rFonts w:cs="Arial"/>
      <w:b/>
      <w:bCs/>
      <w:iCs/>
      <w:noProof/>
      <w:color w:val="000000" w:themeColor="text1"/>
      <w:sz w:val="24"/>
      <w:szCs w:val="28"/>
    </w:rPr>
  </w:style>
  <w:style w:type="character" w:customStyle="1" w:styleId="Heading3Char">
    <w:name w:val="Heading 3 Char"/>
    <w:basedOn w:val="DefaultParagraphFont"/>
    <w:link w:val="Heading3"/>
    <w:rsid w:val="00C35EA2"/>
    <w:rPr>
      <w:rFonts w:cs="Arial"/>
      <w:b/>
      <w:bCs/>
      <w:noProof/>
      <w:szCs w:val="26"/>
    </w:rPr>
  </w:style>
  <w:style w:type="character" w:customStyle="1" w:styleId="Heading5Char">
    <w:name w:val="Heading 5 Char"/>
    <w:basedOn w:val="DefaultParagraphFont"/>
    <w:link w:val="Heading5"/>
    <w:rsid w:val="00C35EA2"/>
    <w:rPr>
      <w:rFonts w:asciiTheme="majorHAnsi" w:hAnsiTheme="majorHAnsi" w:cs="Angsana New"/>
      <w:color w:val="000000" w:themeColor="text1"/>
      <w:lang w:val="en-AU"/>
    </w:rPr>
  </w:style>
  <w:style w:type="paragraph" w:styleId="Header">
    <w:name w:val="header"/>
    <w:aliases w:val="ASI Header,Encabezado1,h"/>
    <w:basedOn w:val="Normal"/>
    <w:link w:val="HeaderChar"/>
    <w:unhideWhenUsed/>
    <w:rsid w:val="00911934"/>
    <w:pPr>
      <w:tabs>
        <w:tab w:val="center" w:pos="4513"/>
        <w:tab w:val="right" w:pos="9026"/>
      </w:tabs>
      <w:spacing w:after="0" w:line="240" w:lineRule="auto"/>
    </w:pPr>
  </w:style>
  <w:style w:type="character" w:customStyle="1" w:styleId="HeaderChar">
    <w:name w:val="Header Char"/>
    <w:aliases w:val="ASI Header Char,Encabezado1 Char,h Char"/>
    <w:basedOn w:val="DefaultParagraphFont"/>
    <w:link w:val="Header"/>
    <w:rsid w:val="00911934"/>
  </w:style>
  <w:style w:type="paragraph" w:styleId="Footer">
    <w:name w:val="footer"/>
    <w:aliases w:val="ASI Footnote"/>
    <w:basedOn w:val="Normal"/>
    <w:link w:val="FooterChar"/>
    <w:rsid w:val="000C1AE7"/>
    <w:pPr>
      <w:tabs>
        <w:tab w:val="center" w:pos="4153"/>
        <w:tab w:val="right" w:pos="8306"/>
      </w:tabs>
      <w:spacing w:after="0"/>
    </w:pPr>
    <w:rPr>
      <w:spacing w:val="-4"/>
      <w:sz w:val="12"/>
      <w:szCs w:val="16"/>
    </w:rPr>
  </w:style>
  <w:style w:type="character" w:customStyle="1" w:styleId="FooterChar">
    <w:name w:val="Footer Char"/>
    <w:aliases w:val="ASI Footnote Char"/>
    <w:basedOn w:val="DefaultParagraphFont"/>
    <w:link w:val="Footer"/>
    <w:rsid w:val="000C1AE7"/>
    <w:rPr>
      <w:spacing w:val="-4"/>
      <w:sz w:val="12"/>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n Char,ft Char,C"/>
    <w:basedOn w:val="Normal"/>
    <w:link w:val="FootnoteTextChar"/>
    <w:uiPriority w:val="99"/>
    <w:rsid w:val="000C1AE7"/>
    <w:pPr>
      <w:spacing w:after="40"/>
    </w:pPr>
    <w:rPr>
      <w:sz w:val="12"/>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0C1AE7"/>
    <w:rPr>
      <w:sz w:val="12"/>
    </w:rPr>
  </w:style>
  <w:style w:type="character" w:styleId="FootnoteReference">
    <w:name w:val="footnote reference"/>
    <w:aliases w:val="ASI Footer,ftref,BVI fnr,16 Point,Superscript 6 Point,Fußnotenzeichen DISS,fr,(NECG) Footnote Reference,footnote ref,Char Char Char Char Car Char"/>
    <w:uiPriority w:val="99"/>
    <w:rsid w:val="000C1AE7"/>
    <w:rPr>
      <w:rFonts w:asciiTheme="majorHAnsi" w:hAnsiTheme="majorHAnsi"/>
      <w:i/>
      <w:noProof/>
      <w:color w:val="000000"/>
      <w:sz w:val="14"/>
      <w:szCs w:val="14"/>
      <w:vertAlign w:val="superscript"/>
    </w:rPr>
  </w:style>
  <w:style w:type="paragraph" w:customStyle="1" w:styleId="ASIQuoteboxWO">
    <w:name w:val="ASI Quote box W.O"/>
    <w:basedOn w:val="ASIQuotebox"/>
    <w:qFormat/>
    <w:rsid w:val="00A26A9E"/>
    <w:pPr>
      <w:pBdr>
        <w:top w:val="single" w:sz="4" w:space="6" w:color="99BFC2" w:themeColor="accent5"/>
        <w:left w:val="single" w:sz="4" w:space="6" w:color="99BFC2" w:themeColor="accent5"/>
        <w:bottom w:val="single" w:sz="4" w:space="6" w:color="99BFC2" w:themeColor="accent5"/>
        <w:right w:val="single" w:sz="4" w:space="6" w:color="99BFC2" w:themeColor="accent5"/>
      </w:pBdr>
      <w:shd w:val="clear" w:color="auto" w:fill="99BFC2" w:themeFill="accent5"/>
    </w:pPr>
    <w:rPr>
      <w:color w:val="FFFFFF" w:themeColor="background1"/>
    </w:rPr>
  </w:style>
  <w:style w:type="paragraph" w:customStyle="1" w:styleId="ASIBodyCopy">
    <w:name w:val="ASI Body Copy"/>
    <w:basedOn w:val="Normal"/>
    <w:link w:val="ASIBodyCopyChar"/>
    <w:qFormat/>
    <w:rsid w:val="0093181F"/>
    <w:pPr>
      <w:spacing w:before="120"/>
      <w:jc w:val="both"/>
    </w:pPr>
    <w:rPr>
      <w:szCs w:val="18"/>
    </w:rPr>
  </w:style>
  <w:style w:type="character" w:customStyle="1" w:styleId="ASIBodyCopyChar">
    <w:name w:val="ASI Body Copy Char"/>
    <w:basedOn w:val="DefaultParagraphFont"/>
    <w:link w:val="ASIBodyCopy"/>
    <w:rsid w:val="0093181F"/>
    <w:rPr>
      <w:szCs w:val="18"/>
    </w:rPr>
  </w:style>
  <w:style w:type="paragraph" w:customStyle="1" w:styleId="ASIParagraphHeading">
    <w:name w:val="ASI Paragraph Heading"/>
    <w:basedOn w:val="Normal"/>
    <w:next w:val="ASIBodyCopy"/>
    <w:qFormat/>
    <w:rsid w:val="0093181F"/>
    <w:pPr>
      <w:spacing w:line="257" w:lineRule="auto"/>
    </w:pPr>
    <w:rPr>
      <w:b/>
    </w:rPr>
  </w:style>
  <w:style w:type="paragraph" w:customStyle="1" w:styleId="ASIBulletPoint">
    <w:name w:val="ASI Bullet Point"/>
    <w:basedOn w:val="Normal"/>
    <w:qFormat/>
    <w:rsid w:val="007C6896"/>
    <w:pPr>
      <w:numPr>
        <w:numId w:val="5"/>
      </w:numPr>
      <w:spacing w:before="120"/>
    </w:pPr>
    <w:rPr>
      <w:szCs w:val="18"/>
    </w:rPr>
  </w:style>
  <w:style w:type="paragraph" w:customStyle="1" w:styleId="ASIcoverline3">
    <w:name w:val="ASI cover line 3"/>
    <w:basedOn w:val="Normal"/>
    <w:next w:val="Normal"/>
    <w:rsid w:val="00C617FD"/>
    <w:pPr>
      <w:ind w:right="172"/>
      <w:jc w:val="right"/>
    </w:pPr>
    <w:rPr>
      <w:color w:val="000000" w:themeColor="text1"/>
      <w:sz w:val="32"/>
    </w:rPr>
  </w:style>
  <w:style w:type="paragraph" w:styleId="TOC2">
    <w:name w:val="toc 2"/>
    <w:basedOn w:val="Normal"/>
    <w:next w:val="Normal"/>
    <w:autoRedefine/>
    <w:uiPriority w:val="39"/>
    <w:rsid w:val="005A354C"/>
    <w:pPr>
      <w:tabs>
        <w:tab w:val="right" w:pos="10700"/>
      </w:tabs>
      <w:spacing w:after="0"/>
    </w:pPr>
    <w:rPr>
      <w:noProof/>
    </w:rPr>
  </w:style>
  <w:style w:type="paragraph" w:styleId="TOC1">
    <w:name w:val="toc 1"/>
    <w:basedOn w:val="Normal"/>
    <w:next w:val="Normal"/>
    <w:autoRedefine/>
    <w:uiPriority w:val="39"/>
    <w:rsid w:val="00BF0155"/>
    <w:pPr>
      <w:tabs>
        <w:tab w:val="left" w:leader="dot" w:pos="252"/>
        <w:tab w:val="right" w:pos="10700"/>
      </w:tabs>
      <w:spacing w:after="0"/>
    </w:pPr>
    <w:rPr>
      <w:b/>
      <w:noProof/>
      <w:color w:val="000000"/>
    </w:rPr>
  </w:style>
  <w:style w:type="paragraph" w:styleId="TOC3">
    <w:name w:val="toc 3"/>
    <w:basedOn w:val="Normal"/>
    <w:next w:val="Normal"/>
    <w:autoRedefine/>
    <w:uiPriority w:val="39"/>
    <w:rsid w:val="005A354C"/>
    <w:pPr>
      <w:tabs>
        <w:tab w:val="left" w:pos="800"/>
        <w:tab w:val="right" w:pos="10700"/>
      </w:tabs>
      <w:spacing w:after="60"/>
    </w:pPr>
    <w:rPr>
      <w:noProof/>
    </w:rPr>
  </w:style>
  <w:style w:type="paragraph" w:customStyle="1" w:styleId="ASISubhead">
    <w:name w:val="ASI Subhead"/>
    <w:basedOn w:val="Normal"/>
    <w:next w:val="ASIBodyCopy"/>
    <w:qFormat/>
    <w:rsid w:val="00934BA4"/>
    <w:rPr>
      <w:sz w:val="32"/>
    </w:rPr>
  </w:style>
  <w:style w:type="paragraph" w:customStyle="1" w:styleId="ASICoverTitle">
    <w:name w:val="ASI Cover Title"/>
    <w:basedOn w:val="Normal"/>
    <w:rsid w:val="00C617FD"/>
    <w:pPr>
      <w:spacing w:line="560" w:lineRule="exact"/>
      <w:ind w:right="172"/>
      <w:jc w:val="right"/>
    </w:pPr>
    <w:rPr>
      <w:color w:val="000000" w:themeColor="text1"/>
      <w:sz w:val="48"/>
      <w:szCs w:val="44"/>
    </w:rPr>
  </w:style>
  <w:style w:type="paragraph" w:customStyle="1" w:styleId="ASINumberedList">
    <w:name w:val="ASI Numbered List"/>
    <w:rsid w:val="007700E3"/>
    <w:pPr>
      <w:numPr>
        <w:numId w:val="1"/>
      </w:numPr>
      <w:tabs>
        <w:tab w:val="left" w:pos="397"/>
      </w:tabs>
      <w:spacing w:after="60" w:line="252" w:lineRule="auto"/>
    </w:pPr>
    <w:rPr>
      <w:rFonts w:asciiTheme="minorHAnsi" w:hAnsiTheme="minorHAnsi"/>
      <w:szCs w:val="18"/>
      <w:lang w:eastAsia="en-US"/>
    </w:rPr>
  </w:style>
  <w:style w:type="paragraph" w:customStyle="1" w:styleId="ASITableBullet">
    <w:name w:val="ASI Table Bullet"/>
    <w:qFormat/>
    <w:rsid w:val="00754F85"/>
    <w:pPr>
      <w:numPr>
        <w:numId w:val="3"/>
      </w:numPr>
      <w:tabs>
        <w:tab w:val="left" w:pos="170"/>
      </w:tabs>
      <w:spacing w:before="57" w:after="57"/>
      <w:ind w:left="170" w:hanging="170"/>
    </w:pPr>
    <w:rPr>
      <w:szCs w:val="18"/>
      <w:lang w:eastAsia="en-US"/>
    </w:rPr>
  </w:style>
  <w:style w:type="table" w:customStyle="1" w:styleId="ASITable1">
    <w:name w:val="ASI Table 1"/>
    <w:basedOn w:val="TableNormal"/>
    <w:rsid w:val="00712CF2"/>
    <w:pPr>
      <w:spacing w:after="0"/>
    </w:pPr>
    <w:tblPr>
      <w:tblInd w:w="108" w:type="dxa"/>
      <w:tbl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blBorders>
      <w:tblCellMar>
        <w:top w:w="57" w:type="dxa"/>
        <w:left w:w="108" w:type="dxa"/>
        <w:bottom w:w="57" w:type="dxa"/>
        <w:right w:w="108" w:type="dxa"/>
      </w:tblCellMar>
    </w:tblPr>
    <w:tcPr>
      <w:shd w:val="clear" w:color="auto" w:fill="auto"/>
    </w:tcPr>
    <w:tblStylePr w:type="firstRow">
      <w:pPr>
        <w:jc w:val="left"/>
      </w:pPr>
      <w:rPr>
        <w:rFonts w:ascii="Arial Bold" w:hAnsi="Arial Bold"/>
        <w:b w:val="0"/>
        <w:i w:val="0"/>
        <w:color w:val="000000" w:themeColor="text1"/>
        <w:u w:val="none"/>
      </w:rPr>
      <w:tblPr/>
      <w:tcPr>
        <w:tc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l2br w:val="nil"/>
          <w:tr2bl w:val="nil"/>
        </w:tcBorders>
        <w:shd w:val="clear" w:color="auto" w:fill="D3BF96" w:themeFill="accent3"/>
      </w:tcPr>
    </w:tblStylePr>
    <w:tblStylePr w:type="firstCol">
      <w:rPr>
        <w:b/>
      </w:rPr>
    </w:tblStylePr>
  </w:style>
  <w:style w:type="paragraph" w:customStyle="1" w:styleId="ASITableHeading">
    <w:name w:val="ASI Table Heading"/>
    <w:rsid w:val="00754F85"/>
    <w:pPr>
      <w:spacing w:after="0" w:line="276" w:lineRule="auto"/>
    </w:pPr>
    <w:rPr>
      <w:rFonts w:ascii="Arial Bold" w:hAnsi="Arial Bold"/>
      <w:color w:val="FFFFFF"/>
      <w:sz w:val="18"/>
      <w:szCs w:val="18"/>
      <w:lang w:eastAsia="en-US"/>
    </w:rPr>
  </w:style>
  <w:style w:type="paragraph" w:customStyle="1" w:styleId="ASITableNumberedList">
    <w:name w:val="ASI Table Numbered List"/>
    <w:qFormat/>
    <w:rsid w:val="006D1784"/>
    <w:pPr>
      <w:numPr>
        <w:numId w:val="4"/>
      </w:numPr>
      <w:tabs>
        <w:tab w:val="left" w:pos="340"/>
      </w:tabs>
      <w:spacing w:after="57"/>
      <w:ind w:left="340" w:hanging="340"/>
    </w:pPr>
    <w:rPr>
      <w:rFonts w:asciiTheme="minorHAnsi" w:hAnsiTheme="minorHAnsi" w:cstheme="minorHAnsi"/>
      <w:szCs w:val="18"/>
      <w:lang w:eastAsia="en-US"/>
    </w:rPr>
  </w:style>
  <w:style w:type="paragraph" w:customStyle="1" w:styleId="ASITableCopy">
    <w:name w:val="ASI Table Copy"/>
    <w:rsid w:val="006D1784"/>
    <w:pPr>
      <w:spacing w:before="57" w:after="57"/>
    </w:pPr>
    <w:rPr>
      <w:spacing w:val="-4"/>
      <w:szCs w:val="18"/>
      <w:lang w:eastAsia="en-US"/>
    </w:rPr>
  </w:style>
  <w:style w:type="paragraph" w:styleId="TOC4">
    <w:name w:val="toc 4"/>
    <w:basedOn w:val="Normal"/>
    <w:next w:val="Normal"/>
    <w:autoRedefine/>
    <w:uiPriority w:val="39"/>
    <w:rsid w:val="00BF0155"/>
    <w:pPr>
      <w:tabs>
        <w:tab w:val="left" w:pos="800"/>
        <w:tab w:val="right" w:pos="9900"/>
      </w:tabs>
      <w:spacing w:after="0"/>
    </w:pPr>
    <w:rPr>
      <w:noProof/>
    </w:rPr>
  </w:style>
  <w:style w:type="paragraph" w:customStyle="1" w:styleId="ASIQuotebox">
    <w:name w:val="ASI Quote box"/>
    <w:rsid w:val="00A26A9E"/>
    <w:pPr>
      <w:pBdr>
        <w:top w:val="single" w:sz="4" w:space="6" w:color="EAF2F2" w:themeColor="accent5" w:themeTint="33"/>
        <w:left w:val="single" w:sz="4" w:space="6" w:color="EAF2F2" w:themeColor="accent5" w:themeTint="33"/>
        <w:bottom w:val="single" w:sz="4" w:space="6" w:color="EAF2F2" w:themeColor="accent5" w:themeTint="33"/>
        <w:right w:val="single" w:sz="4" w:space="6" w:color="EAF2F2" w:themeColor="accent5" w:themeTint="33"/>
      </w:pBdr>
      <w:shd w:val="clear" w:color="auto" w:fill="EAF2F2" w:themeFill="accent5" w:themeFillTint="33"/>
      <w:spacing w:before="57" w:after="57"/>
      <w:ind w:left="113" w:right="113"/>
      <w:jc w:val="both"/>
    </w:pPr>
    <w:rPr>
      <w:rFonts w:cstheme="minorHAnsi"/>
      <w:szCs w:val="18"/>
      <w:lang w:eastAsia="en-US"/>
    </w:rPr>
  </w:style>
  <w:style w:type="paragraph" w:customStyle="1" w:styleId="ASIQuoteKeyline">
    <w:name w:val="ASI Quote Keyline"/>
    <w:basedOn w:val="ASIQuotebox"/>
    <w:next w:val="ASIBodyCopy"/>
    <w:rsid w:val="00A26A9E"/>
    <w:pPr>
      <w:pBdr>
        <w:top w:val="single" w:sz="4" w:space="6" w:color="6D6E71" w:themeColor="text2"/>
        <w:left w:val="single" w:sz="4" w:space="6" w:color="6D6E71" w:themeColor="text2"/>
        <w:bottom w:val="single" w:sz="4" w:space="6" w:color="6D6E71" w:themeColor="text2"/>
        <w:right w:val="single" w:sz="4" w:space="6" w:color="6D6E71" w:themeColor="text2"/>
      </w:pBdr>
      <w:shd w:val="clear" w:color="auto" w:fill="auto"/>
      <w:spacing w:line="240" w:lineRule="auto"/>
    </w:pPr>
  </w:style>
  <w:style w:type="paragraph" w:styleId="TOC9">
    <w:name w:val="toc 9"/>
    <w:basedOn w:val="Normal"/>
    <w:next w:val="Normal"/>
    <w:autoRedefine/>
    <w:uiPriority w:val="39"/>
    <w:rsid w:val="00BF0155"/>
    <w:pPr>
      <w:ind w:left="1600"/>
    </w:pPr>
  </w:style>
  <w:style w:type="character" w:styleId="Hyperlink">
    <w:name w:val="Hyperlink"/>
    <w:uiPriority w:val="99"/>
    <w:rsid w:val="00BA063F"/>
    <w:rPr>
      <w:color w:val="0000FF"/>
      <w:u w:val="single"/>
    </w:rPr>
  </w:style>
  <w:style w:type="paragraph" w:styleId="TOC5">
    <w:name w:val="toc 5"/>
    <w:basedOn w:val="Normal"/>
    <w:next w:val="Normal"/>
    <w:autoRedefine/>
    <w:uiPriority w:val="39"/>
    <w:rsid w:val="00BF0155"/>
    <w:pPr>
      <w:tabs>
        <w:tab w:val="left" w:pos="800"/>
        <w:tab w:val="right" w:pos="9900"/>
      </w:tabs>
      <w:spacing w:after="0"/>
    </w:pPr>
  </w:style>
  <w:style w:type="paragraph" w:customStyle="1" w:styleId="ASISectionPage">
    <w:name w:val="ASI Section Page"/>
    <w:basedOn w:val="Normal"/>
    <w:next w:val="ASIBodyCopy"/>
    <w:rsid w:val="00350328"/>
    <w:pPr>
      <w:spacing w:after="0" w:line="240" w:lineRule="auto"/>
      <w:jc w:val="right"/>
    </w:pPr>
    <w:rPr>
      <w:color w:val="000000" w:themeColor="text1"/>
      <w:sz w:val="100"/>
      <w:szCs w:val="100"/>
    </w:rPr>
  </w:style>
  <w:style w:type="table" w:styleId="TableGrid">
    <w:name w:val="Table Grid"/>
    <w:basedOn w:val="TableNormal"/>
    <w:uiPriority w:val="59"/>
    <w:rsid w:val="00CD0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D4BEE"/>
    <w:rPr>
      <w:rFonts w:ascii="Tahoma" w:hAnsi="Tahoma" w:cs="Tahoma"/>
      <w:sz w:val="16"/>
      <w:szCs w:val="16"/>
    </w:rPr>
  </w:style>
  <w:style w:type="character" w:customStyle="1" w:styleId="BalloonTextChar">
    <w:name w:val="Balloon Text Char"/>
    <w:basedOn w:val="DefaultParagraphFont"/>
    <w:link w:val="BalloonText"/>
    <w:rsid w:val="009D4BEE"/>
    <w:rPr>
      <w:rFonts w:ascii="Tahoma" w:hAnsi="Tahoma" w:cs="Tahoma"/>
      <w:sz w:val="16"/>
      <w:szCs w:val="16"/>
      <w:lang w:eastAsia="en-US"/>
    </w:rPr>
  </w:style>
  <w:style w:type="character" w:styleId="PageNumber">
    <w:name w:val="page number"/>
    <w:basedOn w:val="DefaultParagraphFont"/>
    <w:rsid w:val="00E905A8"/>
  </w:style>
  <w:style w:type="character" w:customStyle="1" w:styleId="ASIBoldGrey">
    <w:name w:val="ASI Bold Grey"/>
    <w:basedOn w:val="DefaultParagraphFont"/>
    <w:qFormat/>
    <w:rsid w:val="003D0D1D"/>
    <w:rPr>
      <w:b/>
    </w:rPr>
  </w:style>
  <w:style w:type="paragraph" w:styleId="ListBullet">
    <w:name w:val="List Bullet"/>
    <w:basedOn w:val="ASIBulletPoint"/>
    <w:rsid w:val="00F21DE4"/>
    <w:pPr>
      <w:numPr>
        <w:numId w:val="7"/>
      </w:numPr>
      <w:tabs>
        <w:tab w:val="left" w:pos="284"/>
      </w:tabs>
      <w:ind w:left="284" w:hanging="284"/>
    </w:pPr>
  </w:style>
  <w:style w:type="paragraph" w:styleId="ListParagraph">
    <w:name w:val="List Paragraph"/>
    <w:aliases w:val="WB List Paragraph,List Paragraph1"/>
    <w:basedOn w:val="Normal"/>
    <w:link w:val="ListParagraphChar"/>
    <w:uiPriority w:val="34"/>
    <w:qFormat/>
    <w:rsid w:val="00336B89"/>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7C593A"/>
    <w:rPr>
      <w:sz w:val="18"/>
      <w:szCs w:val="18"/>
    </w:rPr>
  </w:style>
  <w:style w:type="paragraph" w:styleId="CommentText">
    <w:name w:val="annotation text"/>
    <w:basedOn w:val="Normal"/>
    <w:link w:val="CommentTextChar"/>
    <w:uiPriority w:val="99"/>
    <w:rsid w:val="007C593A"/>
    <w:rPr>
      <w:rFonts w:ascii="Times New Roman" w:hAnsi="Times New Roman"/>
      <w:sz w:val="24"/>
      <w:lang w:val="en-US"/>
    </w:rPr>
  </w:style>
  <w:style w:type="character" w:customStyle="1" w:styleId="CommentTextChar">
    <w:name w:val="Comment Text Char"/>
    <w:basedOn w:val="DefaultParagraphFont"/>
    <w:link w:val="CommentText"/>
    <w:uiPriority w:val="99"/>
    <w:rsid w:val="007C593A"/>
    <w:rPr>
      <w:sz w:val="24"/>
      <w:szCs w:val="24"/>
      <w:lang w:val="en-US" w:eastAsia="en-US"/>
    </w:rPr>
  </w:style>
  <w:style w:type="paragraph" w:styleId="CommentSubject">
    <w:name w:val="annotation subject"/>
    <w:basedOn w:val="CommentText"/>
    <w:next w:val="CommentText"/>
    <w:link w:val="CommentSubjectChar"/>
    <w:uiPriority w:val="99"/>
    <w:rsid w:val="007C593A"/>
    <w:rPr>
      <w:b/>
      <w:bCs/>
      <w:sz w:val="20"/>
    </w:rPr>
  </w:style>
  <w:style w:type="character" w:customStyle="1" w:styleId="CommentSubjectChar">
    <w:name w:val="Comment Subject Char"/>
    <w:basedOn w:val="CommentTextChar"/>
    <w:link w:val="CommentSubject"/>
    <w:uiPriority w:val="99"/>
    <w:rsid w:val="007C593A"/>
    <w:rPr>
      <w:b/>
      <w:bCs/>
      <w:sz w:val="24"/>
      <w:szCs w:val="24"/>
      <w:lang w:val="en-US" w:eastAsia="en-US"/>
    </w:rPr>
  </w:style>
  <w:style w:type="paragraph" w:styleId="ListNumber">
    <w:name w:val="List Number"/>
    <w:basedOn w:val="Normal"/>
    <w:rsid w:val="002D0A37"/>
    <w:pPr>
      <w:numPr>
        <w:numId w:val="2"/>
      </w:numPr>
      <w:tabs>
        <w:tab w:val="left" w:pos="425"/>
      </w:tabs>
      <w:spacing w:after="240"/>
      <w:jc w:val="both"/>
    </w:pPr>
    <w:rPr>
      <w:rFonts w:asciiTheme="minorHAnsi" w:hAnsiTheme="minorHAnsi" w:cstheme="minorHAnsi"/>
      <w:noProof/>
    </w:rPr>
  </w:style>
  <w:style w:type="paragraph" w:customStyle="1" w:styleId="ListNumberLevel2">
    <w:name w:val="List Number (Level 2)"/>
    <w:basedOn w:val="Normal"/>
    <w:rsid w:val="008A5E0F"/>
    <w:pPr>
      <w:numPr>
        <w:ilvl w:val="1"/>
        <w:numId w:val="2"/>
      </w:numPr>
      <w:spacing w:after="240"/>
      <w:jc w:val="both"/>
    </w:pPr>
    <w:rPr>
      <w:rFonts w:asciiTheme="minorHAnsi" w:hAnsiTheme="minorHAnsi" w:cstheme="minorHAnsi"/>
      <w:noProof/>
    </w:rPr>
  </w:style>
  <w:style w:type="paragraph" w:customStyle="1" w:styleId="ListNumberLevel3">
    <w:name w:val="List Number (Level 3)"/>
    <w:basedOn w:val="Normal"/>
    <w:rsid w:val="007C593A"/>
    <w:pPr>
      <w:numPr>
        <w:ilvl w:val="2"/>
        <w:numId w:val="2"/>
      </w:numPr>
      <w:spacing w:after="240"/>
      <w:jc w:val="both"/>
    </w:pPr>
    <w:rPr>
      <w:rFonts w:ascii="Times New Roman" w:hAnsi="Times New Roman"/>
      <w:sz w:val="24"/>
    </w:rPr>
  </w:style>
  <w:style w:type="paragraph" w:customStyle="1" w:styleId="ListNumberLevel4">
    <w:name w:val="List Number (Level 4)"/>
    <w:basedOn w:val="Normal"/>
    <w:rsid w:val="002A3200"/>
    <w:pPr>
      <w:numPr>
        <w:ilvl w:val="3"/>
        <w:numId w:val="2"/>
      </w:numPr>
      <w:tabs>
        <w:tab w:val="clear" w:pos="2835"/>
        <w:tab w:val="num" w:pos="1200"/>
      </w:tabs>
      <w:spacing w:after="240"/>
      <w:ind w:left="1200" w:hanging="200"/>
      <w:jc w:val="both"/>
    </w:pPr>
    <w:rPr>
      <w:rFonts w:asciiTheme="minorHAnsi" w:hAnsiTheme="minorHAnsi" w:cstheme="minorHAnsi"/>
      <w:noProof/>
    </w:rPr>
  </w:style>
  <w:style w:type="paragraph" w:customStyle="1" w:styleId="Style1">
    <w:name w:val="Style1"/>
    <w:basedOn w:val="Normal"/>
    <w:rsid w:val="006D1784"/>
    <w:pPr>
      <w:spacing w:after="240" w:line="240" w:lineRule="atLeast"/>
      <w:jc w:val="both"/>
    </w:pPr>
    <w:rPr>
      <w:rFonts w:cs="Angsana New"/>
      <w:spacing w:val="-5"/>
      <w:sz w:val="22"/>
      <w:lang w:val="en-US"/>
    </w:rPr>
  </w:style>
  <w:style w:type="paragraph" w:styleId="PlainText">
    <w:name w:val="Plain Text"/>
    <w:basedOn w:val="Normal"/>
    <w:link w:val="PlainTextChar"/>
    <w:rsid w:val="007C593A"/>
    <w:rPr>
      <w:rFonts w:ascii="Courier New" w:hAnsi="Courier New"/>
      <w:lang w:val="it-IT" w:eastAsia="es-ES"/>
    </w:rPr>
  </w:style>
  <w:style w:type="character" w:customStyle="1" w:styleId="PlainTextChar">
    <w:name w:val="Plain Text Char"/>
    <w:basedOn w:val="DefaultParagraphFont"/>
    <w:link w:val="PlainText"/>
    <w:rsid w:val="007C593A"/>
    <w:rPr>
      <w:rFonts w:ascii="Courier New" w:hAnsi="Courier New"/>
      <w:lang w:val="it-IT" w:eastAsia="es-ES"/>
    </w:rPr>
  </w:style>
  <w:style w:type="paragraph" w:styleId="BodyTextIndent">
    <w:name w:val="Body Text Indent"/>
    <w:basedOn w:val="Normal"/>
    <w:link w:val="BodyTextIndentChar"/>
    <w:uiPriority w:val="99"/>
    <w:semiHidden/>
    <w:unhideWhenUsed/>
    <w:rsid w:val="004873C3"/>
    <w:pPr>
      <w:ind w:left="283"/>
    </w:pPr>
  </w:style>
  <w:style w:type="character" w:customStyle="1" w:styleId="BodyTextIndentChar">
    <w:name w:val="Body Text Indent Char"/>
    <w:basedOn w:val="DefaultParagraphFont"/>
    <w:link w:val="BodyTextIndent"/>
    <w:uiPriority w:val="99"/>
    <w:semiHidden/>
    <w:rsid w:val="004873C3"/>
    <w:rPr>
      <w:rFonts w:ascii="Euphemia" w:hAnsi="Euphemia"/>
      <w:szCs w:val="24"/>
      <w:lang w:eastAsia="en-US"/>
    </w:rPr>
  </w:style>
  <w:style w:type="table" w:styleId="LightShading-Accent5">
    <w:name w:val="Light Shading Accent 5"/>
    <w:basedOn w:val="TableNormal"/>
    <w:uiPriority w:val="60"/>
    <w:rsid w:val="0003606B"/>
    <w:rPr>
      <w:rFonts w:asciiTheme="minorHAnsi" w:eastAsiaTheme="minorHAnsi" w:hAnsiTheme="minorHAnsi" w:cstheme="minorBidi"/>
      <w:color w:val="629CA1" w:themeColor="accent5" w:themeShade="BF"/>
      <w:sz w:val="22"/>
      <w:szCs w:val="28"/>
      <w:lang w:val="en-US" w:eastAsia="en-US" w:bidi="th-TH"/>
    </w:rPr>
    <w:tblPr>
      <w:tblStyleRowBandSize w:val="1"/>
      <w:tblStyleColBandSize w:val="1"/>
      <w:tblInd w:w="0" w:type="dxa"/>
      <w:tblBorders>
        <w:top w:val="single" w:sz="8" w:space="0" w:color="99BFC2" w:themeColor="accent5"/>
        <w:bottom w:val="single" w:sz="8" w:space="0" w:color="99BFC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la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FF0" w:themeFill="accent5" w:themeFillTint="3F"/>
      </w:tcPr>
    </w:tblStylePr>
    <w:tblStylePr w:type="band1Horz">
      <w:tblPr/>
      <w:tcPr>
        <w:tcBorders>
          <w:left w:val="nil"/>
          <w:right w:val="nil"/>
          <w:insideH w:val="nil"/>
          <w:insideV w:val="nil"/>
        </w:tcBorders>
        <w:shd w:val="clear" w:color="auto" w:fill="E5EFF0" w:themeFill="accent5" w:themeFillTint="3F"/>
      </w:tcPr>
    </w:tblStylePr>
  </w:style>
  <w:style w:type="table" w:customStyle="1" w:styleId="LightShading-Accent11">
    <w:name w:val="Light Shading - Accent 11"/>
    <w:basedOn w:val="TableNormal"/>
    <w:uiPriority w:val="60"/>
    <w:rsid w:val="00620FE0"/>
    <w:rPr>
      <w:rFonts w:asciiTheme="minorHAnsi" w:eastAsiaTheme="minorHAnsi" w:hAnsiTheme="minorHAnsi" w:cstheme="minorBidi"/>
      <w:color w:val="4DA5D9" w:themeColor="accent1" w:themeShade="BF"/>
      <w:sz w:val="22"/>
      <w:szCs w:val="28"/>
      <w:lang w:val="en-US" w:eastAsia="en-US" w:bidi="th-TH"/>
    </w:rPr>
    <w:tblPr>
      <w:tblStyleRowBandSize w:val="1"/>
      <w:tblStyleColBandSize w:val="1"/>
      <w:tblInd w:w="0" w:type="dxa"/>
      <w:tblBorders>
        <w:top w:val="single" w:sz="8" w:space="0" w:color="A0CFEB" w:themeColor="accent1"/>
        <w:bottom w:val="single" w:sz="8" w:space="0" w:color="A0CFE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paragraph" w:styleId="Caption">
    <w:name w:val="caption"/>
    <w:basedOn w:val="Normal"/>
    <w:next w:val="Normal"/>
    <w:uiPriority w:val="35"/>
    <w:unhideWhenUsed/>
    <w:qFormat/>
    <w:rsid w:val="007C6896"/>
    <w:pPr>
      <w:spacing w:after="60"/>
    </w:pPr>
    <w:rPr>
      <w:bCs/>
      <w:sz w:val="18"/>
      <w:szCs w:val="18"/>
    </w:rPr>
  </w:style>
  <w:style w:type="paragraph" w:styleId="BodyTextIndent3">
    <w:name w:val="Body Text Indent 3"/>
    <w:basedOn w:val="Normal"/>
    <w:link w:val="BodyTextIndent3Char"/>
    <w:uiPriority w:val="99"/>
    <w:semiHidden/>
    <w:unhideWhenUsed/>
    <w:rsid w:val="00D62CB1"/>
    <w:pPr>
      <w:ind w:left="283"/>
    </w:pPr>
    <w:rPr>
      <w:sz w:val="16"/>
      <w:szCs w:val="16"/>
    </w:rPr>
  </w:style>
  <w:style w:type="character" w:customStyle="1" w:styleId="BodyTextIndent3Char">
    <w:name w:val="Body Text Indent 3 Char"/>
    <w:basedOn w:val="DefaultParagraphFont"/>
    <w:link w:val="BodyTextIndent3"/>
    <w:uiPriority w:val="99"/>
    <w:semiHidden/>
    <w:rsid w:val="00D62CB1"/>
    <w:rPr>
      <w:rFonts w:ascii="Euphemia" w:hAnsi="Euphemia"/>
      <w:sz w:val="16"/>
      <w:szCs w:val="16"/>
      <w:lang w:eastAsia="en-US"/>
    </w:rPr>
  </w:style>
  <w:style w:type="paragraph" w:styleId="NormalWeb">
    <w:name w:val="Normal (Web)"/>
    <w:basedOn w:val="Normal"/>
    <w:uiPriority w:val="99"/>
    <w:unhideWhenUsed/>
    <w:rsid w:val="004927E9"/>
    <w:pPr>
      <w:spacing w:before="100" w:beforeAutospacing="1" w:after="100" w:afterAutospacing="1"/>
    </w:pPr>
    <w:rPr>
      <w:rFonts w:ascii="Times New Roman" w:hAnsi="Times New Roman"/>
      <w:sz w:val="24"/>
    </w:rPr>
  </w:style>
  <w:style w:type="paragraph" w:styleId="BodyTextIndent2">
    <w:name w:val="Body Text Indent 2"/>
    <w:basedOn w:val="Normal"/>
    <w:link w:val="BodyTextIndent2Char"/>
    <w:uiPriority w:val="99"/>
    <w:semiHidden/>
    <w:unhideWhenUsed/>
    <w:rsid w:val="005D0BA2"/>
    <w:pPr>
      <w:spacing w:line="480" w:lineRule="auto"/>
      <w:ind w:left="283"/>
    </w:pPr>
  </w:style>
  <w:style w:type="character" w:customStyle="1" w:styleId="BodyTextIndent2Char">
    <w:name w:val="Body Text Indent 2 Char"/>
    <w:basedOn w:val="DefaultParagraphFont"/>
    <w:link w:val="BodyTextIndent2"/>
    <w:uiPriority w:val="99"/>
    <w:semiHidden/>
    <w:rsid w:val="005D0BA2"/>
    <w:rPr>
      <w:rFonts w:ascii="Euphemia" w:hAnsi="Euphemia"/>
      <w:szCs w:val="24"/>
      <w:lang w:eastAsia="en-US"/>
    </w:rPr>
  </w:style>
  <w:style w:type="character" w:customStyle="1" w:styleId="Heading6Char">
    <w:name w:val="Heading 6 Char"/>
    <w:basedOn w:val="DefaultParagraphFont"/>
    <w:link w:val="Heading6"/>
    <w:uiPriority w:val="9"/>
    <w:semiHidden/>
    <w:rsid w:val="00382163"/>
    <w:rPr>
      <w:rFonts w:asciiTheme="majorHAnsi" w:eastAsiaTheme="majorEastAsia" w:hAnsiTheme="majorHAnsi" w:cstheme="majorBidi"/>
      <w:i/>
      <w:iCs/>
      <w:color w:val="2272A2" w:themeColor="accent1" w:themeShade="7F"/>
      <w:szCs w:val="24"/>
      <w:lang w:eastAsia="en-US"/>
    </w:rPr>
  </w:style>
  <w:style w:type="paragraph" w:customStyle="1" w:styleId="ASICovertitlebig">
    <w:name w:val="ASI Cover title big"/>
    <w:basedOn w:val="ASICoverTitle"/>
    <w:rsid w:val="00BA4A57"/>
    <w:pPr>
      <w:spacing w:after="0" w:line="240" w:lineRule="auto"/>
      <w:ind w:right="170"/>
    </w:pPr>
    <w:rPr>
      <w:color w:val="auto"/>
      <w:sz w:val="96"/>
    </w:rPr>
  </w:style>
  <w:style w:type="character" w:customStyle="1" w:styleId="ASISectionpagesmall">
    <w:name w:val="ASI Section page small"/>
    <w:basedOn w:val="DefaultParagraphFont"/>
    <w:rsid w:val="000854A2"/>
    <w:rPr>
      <w:rFonts w:asciiTheme="majorHAnsi" w:hAnsiTheme="majorHAnsi"/>
      <w:color w:val="6D6E71" w:themeColor="text2"/>
      <w:sz w:val="52"/>
    </w:rPr>
  </w:style>
  <w:style w:type="character" w:customStyle="1" w:styleId="ASIBoldBlack">
    <w:name w:val="ASI Bold Black"/>
    <w:basedOn w:val="DefaultParagraphFont"/>
    <w:qFormat/>
    <w:rsid w:val="003D0D1D"/>
    <w:rPr>
      <w:b/>
      <w:color w:val="000000" w:themeColor="text1"/>
      <w:sz w:val="24"/>
    </w:rPr>
  </w:style>
  <w:style w:type="table" w:styleId="LightShading">
    <w:name w:val="Light Shading"/>
    <w:basedOn w:val="TableNormal"/>
    <w:uiPriority w:val="60"/>
    <w:rsid w:val="00754F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BF0155"/>
    <w:pPr>
      <w:spacing w:after="0"/>
    </w:pPr>
  </w:style>
  <w:style w:type="character" w:customStyle="1" w:styleId="Heading4Char">
    <w:name w:val="Heading 4 Char"/>
    <w:basedOn w:val="DefaultParagraphFont"/>
    <w:link w:val="Heading4"/>
    <w:rsid w:val="00C35EA2"/>
    <w:rPr>
      <w:rFonts w:asciiTheme="majorHAnsi" w:eastAsiaTheme="majorEastAsia" w:hAnsiTheme="majorHAnsi" w:cstheme="majorBidi"/>
      <w:bCs/>
      <w:i/>
      <w:iCs/>
      <w:noProof/>
    </w:rPr>
  </w:style>
  <w:style w:type="character" w:customStyle="1" w:styleId="Heading7Char">
    <w:name w:val="Heading 7 Char"/>
    <w:basedOn w:val="DefaultParagraphFont"/>
    <w:link w:val="Heading7"/>
    <w:uiPriority w:val="9"/>
    <w:semiHidden/>
    <w:rsid w:val="005A35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35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A354C"/>
    <w:rPr>
      <w:rFonts w:asciiTheme="majorHAnsi" w:eastAsiaTheme="majorEastAsia" w:hAnsiTheme="majorHAnsi" w:cstheme="majorBidi"/>
      <w:i/>
      <w:iCs/>
      <w:color w:val="404040" w:themeColor="text1" w:themeTint="BF"/>
    </w:rPr>
  </w:style>
  <w:style w:type="paragraph" w:styleId="TOCHeading">
    <w:name w:val="TOC Heading"/>
    <w:basedOn w:val="Heading2"/>
    <w:next w:val="Normal"/>
    <w:uiPriority w:val="39"/>
    <w:unhideWhenUsed/>
    <w:qFormat/>
    <w:rsid w:val="008A5E0F"/>
  </w:style>
  <w:style w:type="numbering" w:customStyle="1" w:styleId="ListBulletlevel2">
    <w:name w:val="List Bullet (level 2)"/>
    <w:basedOn w:val="NoList"/>
    <w:uiPriority w:val="99"/>
    <w:rsid w:val="00797FA7"/>
    <w:pPr>
      <w:numPr>
        <w:numId w:val="6"/>
      </w:numPr>
    </w:pPr>
  </w:style>
  <w:style w:type="paragraph" w:styleId="ListBullet2">
    <w:name w:val="List Bullet 2"/>
    <w:basedOn w:val="Normal"/>
    <w:rsid w:val="00F21DE4"/>
    <w:pPr>
      <w:numPr>
        <w:ilvl w:val="1"/>
        <w:numId w:val="7"/>
      </w:numPr>
      <w:tabs>
        <w:tab w:val="left" w:pos="284"/>
      </w:tabs>
      <w:ind w:left="568" w:hanging="284"/>
      <w:contextualSpacing/>
    </w:pPr>
  </w:style>
  <w:style w:type="paragraph" w:styleId="ListBullet3">
    <w:name w:val="List Bullet 3"/>
    <w:basedOn w:val="Normal"/>
    <w:rsid w:val="00F21DE4"/>
    <w:pPr>
      <w:numPr>
        <w:ilvl w:val="2"/>
        <w:numId w:val="7"/>
      </w:numPr>
      <w:tabs>
        <w:tab w:val="left" w:pos="567"/>
      </w:tabs>
      <w:ind w:left="851" w:hanging="284"/>
      <w:contextualSpacing/>
    </w:pPr>
    <w:rPr>
      <w:noProof/>
    </w:rPr>
  </w:style>
  <w:style w:type="paragraph" w:styleId="ListBullet4">
    <w:name w:val="List Bullet 4"/>
    <w:basedOn w:val="Normal"/>
    <w:rsid w:val="00797FA7"/>
    <w:pPr>
      <w:numPr>
        <w:ilvl w:val="3"/>
        <w:numId w:val="7"/>
      </w:numPr>
      <w:contextualSpacing/>
    </w:pPr>
  </w:style>
  <w:style w:type="paragraph" w:customStyle="1" w:styleId="ASIPageNumber">
    <w:name w:val="ASI Page Number"/>
    <w:basedOn w:val="Normal"/>
    <w:rsid w:val="00B674C0"/>
    <w:rPr>
      <w:b/>
      <w:color w:val="27306C"/>
      <w:spacing w:val="-4"/>
      <w:sz w:val="16"/>
      <w:szCs w:val="16"/>
    </w:rPr>
  </w:style>
  <w:style w:type="character" w:customStyle="1" w:styleId="ListParagraphChar">
    <w:name w:val="List Paragraph Char"/>
    <w:aliases w:val="WB List Paragraph Char,List Paragraph1 Char"/>
    <w:link w:val="ListParagraph"/>
    <w:uiPriority w:val="34"/>
    <w:locked/>
    <w:rsid w:val="00C97B51"/>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3F730A"/>
    <w:pPr>
      <w:spacing w:after="0" w:line="240" w:lineRule="auto"/>
    </w:pPr>
    <w:rPr>
      <w:rFonts w:ascii="Calibri" w:eastAsia="Calibri" w:hAnsi="Calibri"/>
      <w:color w:val="auto"/>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67E91"/>
    <w:pPr>
      <w:spacing w:line="247"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uiPriority w:val="73"/>
    <w:rsid w:val="00D853F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F5FB" w:themeFill="accent1" w:themeFillTint="33"/>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customStyle="1" w:styleId="ColorfulGrid-Accent11">
    <w:name w:val="Colorful Grid - Accent 11"/>
    <w:basedOn w:val="TableNormal"/>
    <w:next w:val="ColorfulGrid-Accent1"/>
    <w:uiPriority w:val="73"/>
    <w:rsid w:val="00970B42"/>
    <w:pPr>
      <w:spacing w:after="0" w:line="240"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color w:val="6D6E71" w:themeColor="text2"/>
        <w:lang w:val="en-GB" w:eastAsia="en-GB"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542"/>
  </w:style>
  <w:style w:type="paragraph" w:styleId="Heading1">
    <w:name w:val="heading 1"/>
    <w:basedOn w:val="Normal"/>
    <w:next w:val="Normal"/>
    <w:link w:val="Heading1Char"/>
    <w:qFormat/>
    <w:rsid w:val="00886804"/>
    <w:pPr>
      <w:pageBreakBefore/>
      <w:pBdr>
        <w:bottom w:val="single" w:sz="4" w:space="17" w:color="auto"/>
      </w:pBdr>
      <w:spacing w:after="480" w:line="228" w:lineRule="auto"/>
      <w:outlineLvl w:val="0"/>
    </w:pPr>
    <w:rPr>
      <w:rFonts w:asciiTheme="majorHAnsi" w:hAnsiTheme="majorHAnsi" w:cstheme="majorHAnsi"/>
      <w:color w:val="000000" w:themeColor="text1"/>
      <w:sz w:val="48"/>
      <w:szCs w:val="44"/>
      <w:lang w:eastAsia="en-US"/>
    </w:rPr>
  </w:style>
  <w:style w:type="paragraph" w:styleId="Heading2">
    <w:name w:val="heading 2"/>
    <w:basedOn w:val="Normal"/>
    <w:next w:val="Normal"/>
    <w:link w:val="Heading2Char"/>
    <w:qFormat/>
    <w:rsid w:val="00C35EA2"/>
    <w:pPr>
      <w:keepNext/>
      <w:spacing w:before="240"/>
      <w:outlineLvl w:val="1"/>
    </w:pPr>
    <w:rPr>
      <w:rFonts w:cs="Arial"/>
      <w:b/>
      <w:bCs/>
      <w:iCs/>
      <w:noProof/>
      <w:color w:val="000000" w:themeColor="text1"/>
      <w:sz w:val="24"/>
      <w:szCs w:val="28"/>
    </w:rPr>
  </w:style>
  <w:style w:type="paragraph" w:styleId="Heading3">
    <w:name w:val="heading 3"/>
    <w:basedOn w:val="Normal"/>
    <w:next w:val="Normal"/>
    <w:link w:val="Heading3Char"/>
    <w:qFormat/>
    <w:rsid w:val="00C35EA2"/>
    <w:pPr>
      <w:keepNext/>
      <w:spacing w:before="240" w:after="60"/>
      <w:outlineLvl w:val="2"/>
    </w:pPr>
    <w:rPr>
      <w:rFonts w:cs="Arial"/>
      <w:b/>
      <w:bCs/>
      <w:noProof/>
      <w:szCs w:val="26"/>
    </w:rPr>
  </w:style>
  <w:style w:type="paragraph" w:styleId="Heading4">
    <w:name w:val="heading 4"/>
    <w:basedOn w:val="Normal"/>
    <w:next w:val="Normal"/>
    <w:link w:val="Heading4Char"/>
    <w:qFormat/>
    <w:rsid w:val="00C35EA2"/>
    <w:pPr>
      <w:keepNext/>
      <w:keepLines/>
      <w:spacing w:before="200" w:after="60"/>
      <w:outlineLvl w:val="3"/>
    </w:pPr>
    <w:rPr>
      <w:rFonts w:asciiTheme="majorHAnsi" w:eastAsiaTheme="majorEastAsia" w:hAnsiTheme="majorHAnsi" w:cstheme="majorBidi"/>
      <w:bCs/>
      <w:i/>
      <w:iCs/>
      <w:noProof/>
    </w:rPr>
  </w:style>
  <w:style w:type="paragraph" w:styleId="Heading5">
    <w:name w:val="heading 5"/>
    <w:basedOn w:val="Normal"/>
    <w:next w:val="Normal"/>
    <w:link w:val="Heading5Char"/>
    <w:qFormat/>
    <w:rsid w:val="00C35EA2"/>
    <w:pPr>
      <w:keepNext/>
      <w:spacing w:before="60" w:after="60"/>
      <w:jc w:val="both"/>
      <w:outlineLvl w:val="4"/>
    </w:pPr>
    <w:rPr>
      <w:rFonts w:asciiTheme="majorHAnsi" w:hAnsiTheme="majorHAnsi" w:cs="Angsana New"/>
      <w:color w:val="000000" w:themeColor="text1"/>
      <w:lang w:val="en-AU"/>
    </w:rPr>
  </w:style>
  <w:style w:type="paragraph" w:styleId="Heading6">
    <w:name w:val="heading 6"/>
    <w:basedOn w:val="Normal"/>
    <w:next w:val="Normal"/>
    <w:link w:val="Heading6Char"/>
    <w:uiPriority w:val="9"/>
    <w:semiHidden/>
    <w:unhideWhenUsed/>
    <w:qFormat/>
    <w:rsid w:val="00382163"/>
    <w:pPr>
      <w:keepNext/>
      <w:keepLines/>
      <w:spacing w:before="200"/>
      <w:outlineLvl w:val="5"/>
    </w:pPr>
    <w:rPr>
      <w:rFonts w:asciiTheme="majorHAnsi" w:eastAsiaTheme="majorEastAsia" w:hAnsiTheme="majorHAnsi" w:cstheme="majorBidi"/>
      <w:i/>
      <w:iCs/>
      <w:color w:val="2272A2" w:themeColor="accent1" w:themeShade="7F"/>
    </w:rPr>
  </w:style>
  <w:style w:type="paragraph" w:styleId="Heading7">
    <w:name w:val="heading 7"/>
    <w:basedOn w:val="Normal"/>
    <w:next w:val="Normal"/>
    <w:link w:val="Heading7Char"/>
    <w:uiPriority w:val="9"/>
    <w:semiHidden/>
    <w:unhideWhenUsed/>
    <w:qFormat/>
    <w:rsid w:val="005A35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54C"/>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A354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04"/>
    <w:rPr>
      <w:rFonts w:asciiTheme="majorHAnsi" w:hAnsiTheme="majorHAnsi" w:cstheme="majorHAnsi"/>
      <w:color w:val="000000" w:themeColor="text1"/>
      <w:sz w:val="48"/>
      <w:szCs w:val="44"/>
      <w:lang w:eastAsia="en-US"/>
    </w:rPr>
  </w:style>
  <w:style w:type="character" w:customStyle="1" w:styleId="Heading2Char">
    <w:name w:val="Heading 2 Char"/>
    <w:basedOn w:val="DefaultParagraphFont"/>
    <w:link w:val="Heading2"/>
    <w:rsid w:val="00C35EA2"/>
    <w:rPr>
      <w:rFonts w:cs="Arial"/>
      <w:b/>
      <w:bCs/>
      <w:iCs/>
      <w:noProof/>
      <w:color w:val="000000" w:themeColor="text1"/>
      <w:sz w:val="24"/>
      <w:szCs w:val="28"/>
    </w:rPr>
  </w:style>
  <w:style w:type="character" w:customStyle="1" w:styleId="Heading3Char">
    <w:name w:val="Heading 3 Char"/>
    <w:basedOn w:val="DefaultParagraphFont"/>
    <w:link w:val="Heading3"/>
    <w:rsid w:val="00C35EA2"/>
    <w:rPr>
      <w:rFonts w:cs="Arial"/>
      <w:b/>
      <w:bCs/>
      <w:noProof/>
      <w:szCs w:val="26"/>
    </w:rPr>
  </w:style>
  <w:style w:type="character" w:customStyle="1" w:styleId="Heading5Char">
    <w:name w:val="Heading 5 Char"/>
    <w:basedOn w:val="DefaultParagraphFont"/>
    <w:link w:val="Heading5"/>
    <w:rsid w:val="00C35EA2"/>
    <w:rPr>
      <w:rFonts w:asciiTheme="majorHAnsi" w:hAnsiTheme="majorHAnsi" w:cs="Angsana New"/>
      <w:color w:val="000000" w:themeColor="text1"/>
      <w:lang w:val="en-AU"/>
    </w:rPr>
  </w:style>
  <w:style w:type="paragraph" w:styleId="Header">
    <w:name w:val="header"/>
    <w:aliases w:val="ASI Header,Encabezado1,h"/>
    <w:basedOn w:val="Normal"/>
    <w:link w:val="HeaderChar"/>
    <w:unhideWhenUsed/>
    <w:rsid w:val="00911934"/>
    <w:pPr>
      <w:tabs>
        <w:tab w:val="center" w:pos="4513"/>
        <w:tab w:val="right" w:pos="9026"/>
      </w:tabs>
      <w:spacing w:after="0" w:line="240" w:lineRule="auto"/>
    </w:pPr>
  </w:style>
  <w:style w:type="character" w:customStyle="1" w:styleId="HeaderChar">
    <w:name w:val="Header Char"/>
    <w:aliases w:val="ASI Header Char,Encabezado1 Char,h Char"/>
    <w:basedOn w:val="DefaultParagraphFont"/>
    <w:link w:val="Header"/>
    <w:rsid w:val="00911934"/>
  </w:style>
  <w:style w:type="paragraph" w:styleId="Footer">
    <w:name w:val="footer"/>
    <w:aliases w:val="ASI Footnote"/>
    <w:basedOn w:val="Normal"/>
    <w:link w:val="FooterChar"/>
    <w:rsid w:val="000C1AE7"/>
    <w:pPr>
      <w:tabs>
        <w:tab w:val="center" w:pos="4153"/>
        <w:tab w:val="right" w:pos="8306"/>
      </w:tabs>
      <w:spacing w:after="0"/>
    </w:pPr>
    <w:rPr>
      <w:spacing w:val="-4"/>
      <w:sz w:val="12"/>
      <w:szCs w:val="16"/>
    </w:rPr>
  </w:style>
  <w:style w:type="character" w:customStyle="1" w:styleId="FooterChar">
    <w:name w:val="Footer Char"/>
    <w:aliases w:val="ASI Footnote Char"/>
    <w:basedOn w:val="DefaultParagraphFont"/>
    <w:link w:val="Footer"/>
    <w:rsid w:val="000C1AE7"/>
    <w:rPr>
      <w:spacing w:val="-4"/>
      <w:sz w:val="12"/>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n Char,ft Char,C"/>
    <w:basedOn w:val="Normal"/>
    <w:link w:val="FootnoteTextChar"/>
    <w:uiPriority w:val="99"/>
    <w:rsid w:val="000C1AE7"/>
    <w:pPr>
      <w:spacing w:after="40"/>
    </w:pPr>
    <w:rPr>
      <w:sz w:val="12"/>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0C1AE7"/>
    <w:rPr>
      <w:sz w:val="12"/>
    </w:rPr>
  </w:style>
  <w:style w:type="character" w:styleId="FootnoteReference">
    <w:name w:val="footnote reference"/>
    <w:aliases w:val="ASI Footer,ftref,BVI fnr,16 Point,Superscript 6 Point,Fußnotenzeichen DISS,fr,(NECG) Footnote Reference,footnote ref,Char Char Char Char Car Char"/>
    <w:uiPriority w:val="99"/>
    <w:rsid w:val="000C1AE7"/>
    <w:rPr>
      <w:rFonts w:asciiTheme="majorHAnsi" w:hAnsiTheme="majorHAnsi"/>
      <w:i/>
      <w:noProof/>
      <w:color w:val="000000"/>
      <w:sz w:val="14"/>
      <w:szCs w:val="14"/>
      <w:vertAlign w:val="superscript"/>
    </w:rPr>
  </w:style>
  <w:style w:type="paragraph" w:customStyle="1" w:styleId="ASIQuoteboxWO">
    <w:name w:val="ASI Quote box W.O"/>
    <w:basedOn w:val="ASIQuotebox"/>
    <w:qFormat/>
    <w:rsid w:val="00A26A9E"/>
    <w:pPr>
      <w:pBdr>
        <w:top w:val="single" w:sz="4" w:space="6" w:color="99BFC2" w:themeColor="accent5"/>
        <w:left w:val="single" w:sz="4" w:space="6" w:color="99BFC2" w:themeColor="accent5"/>
        <w:bottom w:val="single" w:sz="4" w:space="6" w:color="99BFC2" w:themeColor="accent5"/>
        <w:right w:val="single" w:sz="4" w:space="6" w:color="99BFC2" w:themeColor="accent5"/>
      </w:pBdr>
      <w:shd w:val="clear" w:color="auto" w:fill="99BFC2" w:themeFill="accent5"/>
    </w:pPr>
    <w:rPr>
      <w:color w:val="FFFFFF" w:themeColor="background1"/>
    </w:rPr>
  </w:style>
  <w:style w:type="paragraph" w:customStyle="1" w:styleId="ASIBodyCopy">
    <w:name w:val="ASI Body Copy"/>
    <w:basedOn w:val="Normal"/>
    <w:link w:val="ASIBodyCopyChar"/>
    <w:qFormat/>
    <w:rsid w:val="0093181F"/>
    <w:pPr>
      <w:spacing w:before="120"/>
      <w:jc w:val="both"/>
    </w:pPr>
    <w:rPr>
      <w:szCs w:val="18"/>
    </w:rPr>
  </w:style>
  <w:style w:type="character" w:customStyle="1" w:styleId="ASIBodyCopyChar">
    <w:name w:val="ASI Body Copy Char"/>
    <w:basedOn w:val="DefaultParagraphFont"/>
    <w:link w:val="ASIBodyCopy"/>
    <w:rsid w:val="0093181F"/>
    <w:rPr>
      <w:szCs w:val="18"/>
    </w:rPr>
  </w:style>
  <w:style w:type="paragraph" w:customStyle="1" w:styleId="ASIParagraphHeading">
    <w:name w:val="ASI Paragraph Heading"/>
    <w:basedOn w:val="Normal"/>
    <w:next w:val="ASIBodyCopy"/>
    <w:qFormat/>
    <w:rsid w:val="0093181F"/>
    <w:pPr>
      <w:spacing w:line="257" w:lineRule="auto"/>
    </w:pPr>
    <w:rPr>
      <w:b/>
    </w:rPr>
  </w:style>
  <w:style w:type="paragraph" w:customStyle="1" w:styleId="ASIBulletPoint">
    <w:name w:val="ASI Bullet Point"/>
    <w:basedOn w:val="Normal"/>
    <w:qFormat/>
    <w:rsid w:val="007C6896"/>
    <w:pPr>
      <w:numPr>
        <w:numId w:val="5"/>
      </w:numPr>
      <w:spacing w:before="120"/>
    </w:pPr>
    <w:rPr>
      <w:szCs w:val="18"/>
    </w:rPr>
  </w:style>
  <w:style w:type="paragraph" w:customStyle="1" w:styleId="ASIcoverline3">
    <w:name w:val="ASI cover line 3"/>
    <w:basedOn w:val="Normal"/>
    <w:next w:val="Normal"/>
    <w:rsid w:val="00C617FD"/>
    <w:pPr>
      <w:ind w:right="172"/>
      <w:jc w:val="right"/>
    </w:pPr>
    <w:rPr>
      <w:color w:val="000000" w:themeColor="text1"/>
      <w:sz w:val="32"/>
    </w:rPr>
  </w:style>
  <w:style w:type="paragraph" w:styleId="TOC2">
    <w:name w:val="toc 2"/>
    <w:basedOn w:val="Normal"/>
    <w:next w:val="Normal"/>
    <w:autoRedefine/>
    <w:uiPriority w:val="39"/>
    <w:rsid w:val="005A354C"/>
    <w:pPr>
      <w:tabs>
        <w:tab w:val="right" w:pos="10700"/>
      </w:tabs>
      <w:spacing w:after="0"/>
    </w:pPr>
    <w:rPr>
      <w:noProof/>
    </w:rPr>
  </w:style>
  <w:style w:type="paragraph" w:styleId="TOC1">
    <w:name w:val="toc 1"/>
    <w:basedOn w:val="Normal"/>
    <w:next w:val="Normal"/>
    <w:autoRedefine/>
    <w:uiPriority w:val="39"/>
    <w:rsid w:val="00BF0155"/>
    <w:pPr>
      <w:tabs>
        <w:tab w:val="left" w:leader="dot" w:pos="252"/>
        <w:tab w:val="right" w:pos="10700"/>
      </w:tabs>
      <w:spacing w:after="0"/>
    </w:pPr>
    <w:rPr>
      <w:b/>
      <w:noProof/>
      <w:color w:val="000000"/>
    </w:rPr>
  </w:style>
  <w:style w:type="paragraph" w:styleId="TOC3">
    <w:name w:val="toc 3"/>
    <w:basedOn w:val="Normal"/>
    <w:next w:val="Normal"/>
    <w:autoRedefine/>
    <w:uiPriority w:val="39"/>
    <w:rsid w:val="005A354C"/>
    <w:pPr>
      <w:tabs>
        <w:tab w:val="left" w:pos="800"/>
        <w:tab w:val="right" w:pos="10700"/>
      </w:tabs>
      <w:spacing w:after="60"/>
    </w:pPr>
    <w:rPr>
      <w:noProof/>
    </w:rPr>
  </w:style>
  <w:style w:type="paragraph" w:customStyle="1" w:styleId="ASISubhead">
    <w:name w:val="ASI Subhead"/>
    <w:basedOn w:val="Normal"/>
    <w:next w:val="ASIBodyCopy"/>
    <w:qFormat/>
    <w:rsid w:val="00934BA4"/>
    <w:rPr>
      <w:sz w:val="32"/>
    </w:rPr>
  </w:style>
  <w:style w:type="paragraph" w:customStyle="1" w:styleId="ASICoverTitle">
    <w:name w:val="ASI Cover Title"/>
    <w:basedOn w:val="Normal"/>
    <w:rsid w:val="00C617FD"/>
    <w:pPr>
      <w:spacing w:line="560" w:lineRule="exact"/>
      <w:ind w:right="172"/>
      <w:jc w:val="right"/>
    </w:pPr>
    <w:rPr>
      <w:color w:val="000000" w:themeColor="text1"/>
      <w:sz w:val="48"/>
      <w:szCs w:val="44"/>
    </w:rPr>
  </w:style>
  <w:style w:type="paragraph" w:customStyle="1" w:styleId="ASINumberedList">
    <w:name w:val="ASI Numbered List"/>
    <w:rsid w:val="007700E3"/>
    <w:pPr>
      <w:numPr>
        <w:numId w:val="1"/>
      </w:numPr>
      <w:tabs>
        <w:tab w:val="left" w:pos="397"/>
      </w:tabs>
      <w:spacing w:after="60" w:line="252" w:lineRule="auto"/>
    </w:pPr>
    <w:rPr>
      <w:rFonts w:asciiTheme="minorHAnsi" w:hAnsiTheme="minorHAnsi"/>
      <w:szCs w:val="18"/>
      <w:lang w:eastAsia="en-US"/>
    </w:rPr>
  </w:style>
  <w:style w:type="paragraph" w:customStyle="1" w:styleId="ASITableBullet">
    <w:name w:val="ASI Table Bullet"/>
    <w:qFormat/>
    <w:rsid w:val="00754F85"/>
    <w:pPr>
      <w:numPr>
        <w:numId w:val="3"/>
      </w:numPr>
      <w:tabs>
        <w:tab w:val="left" w:pos="170"/>
      </w:tabs>
      <w:spacing w:before="57" w:after="57"/>
      <w:ind w:left="170" w:hanging="170"/>
    </w:pPr>
    <w:rPr>
      <w:szCs w:val="18"/>
      <w:lang w:eastAsia="en-US"/>
    </w:rPr>
  </w:style>
  <w:style w:type="table" w:customStyle="1" w:styleId="ASITable1">
    <w:name w:val="ASI Table 1"/>
    <w:basedOn w:val="TableNormal"/>
    <w:rsid w:val="00712CF2"/>
    <w:pPr>
      <w:spacing w:after="0"/>
    </w:pPr>
    <w:tblPr>
      <w:tblInd w:w="108" w:type="dxa"/>
      <w:tbl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blBorders>
      <w:tblCellMar>
        <w:top w:w="57" w:type="dxa"/>
        <w:left w:w="108" w:type="dxa"/>
        <w:bottom w:w="57" w:type="dxa"/>
        <w:right w:w="108" w:type="dxa"/>
      </w:tblCellMar>
    </w:tblPr>
    <w:tcPr>
      <w:shd w:val="clear" w:color="auto" w:fill="auto"/>
    </w:tcPr>
    <w:tblStylePr w:type="firstRow">
      <w:pPr>
        <w:jc w:val="left"/>
      </w:pPr>
      <w:rPr>
        <w:rFonts w:ascii="Arial Bold" w:hAnsi="Arial Bold"/>
        <w:b w:val="0"/>
        <w:i w:val="0"/>
        <w:color w:val="000000" w:themeColor="text1"/>
        <w:u w:val="none"/>
      </w:rPr>
      <w:tblPr/>
      <w:tcPr>
        <w:tc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l2br w:val="nil"/>
          <w:tr2bl w:val="nil"/>
        </w:tcBorders>
        <w:shd w:val="clear" w:color="auto" w:fill="D3BF96" w:themeFill="accent3"/>
      </w:tcPr>
    </w:tblStylePr>
    <w:tblStylePr w:type="firstCol">
      <w:rPr>
        <w:b/>
      </w:rPr>
    </w:tblStylePr>
  </w:style>
  <w:style w:type="paragraph" w:customStyle="1" w:styleId="ASITableHeading">
    <w:name w:val="ASI Table Heading"/>
    <w:rsid w:val="00754F85"/>
    <w:pPr>
      <w:spacing w:after="0" w:line="276" w:lineRule="auto"/>
    </w:pPr>
    <w:rPr>
      <w:rFonts w:ascii="Arial Bold" w:hAnsi="Arial Bold"/>
      <w:color w:val="FFFFFF"/>
      <w:sz w:val="18"/>
      <w:szCs w:val="18"/>
      <w:lang w:eastAsia="en-US"/>
    </w:rPr>
  </w:style>
  <w:style w:type="paragraph" w:customStyle="1" w:styleId="ASITableNumberedList">
    <w:name w:val="ASI Table Numbered List"/>
    <w:qFormat/>
    <w:rsid w:val="006D1784"/>
    <w:pPr>
      <w:numPr>
        <w:numId w:val="4"/>
      </w:numPr>
      <w:tabs>
        <w:tab w:val="left" w:pos="340"/>
      </w:tabs>
      <w:spacing w:after="57"/>
      <w:ind w:left="340" w:hanging="340"/>
    </w:pPr>
    <w:rPr>
      <w:rFonts w:asciiTheme="minorHAnsi" w:hAnsiTheme="minorHAnsi" w:cstheme="minorHAnsi"/>
      <w:szCs w:val="18"/>
      <w:lang w:eastAsia="en-US"/>
    </w:rPr>
  </w:style>
  <w:style w:type="paragraph" w:customStyle="1" w:styleId="ASITableCopy">
    <w:name w:val="ASI Table Copy"/>
    <w:rsid w:val="006D1784"/>
    <w:pPr>
      <w:spacing w:before="57" w:after="57"/>
    </w:pPr>
    <w:rPr>
      <w:spacing w:val="-4"/>
      <w:szCs w:val="18"/>
      <w:lang w:eastAsia="en-US"/>
    </w:rPr>
  </w:style>
  <w:style w:type="paragraph" w:styleId="TOC4">
    <w:name w:val="toc 4"/>
    <w:basedOn w:val="Normal"/>
    <w:next w:val="Normal"/>
    <w:autoRedefine/>
    <w:uiPriority w:val="39"/>
    <w:rsid w:val="00BF0155"/>
    <w:pPr>
      <w:tabs>
        <w:tab w:val="left" w:pos="800"/>
        <w:tab w:val="right" w:pos="9900"/>
      </w:tabs>
      <w:spacing w:after="0"/>
    </w:pPr>
    <w:rPr>
      <w:noProof/>
    </w:rPr>
  </w:style>
  <w:style w:type="paragraph" w:customStyle="1" w:styleId="ASIQuotebox">
    <w:name w:val="ASI Quote box"/>
    <w:rsid w:val="00A26A9E"/>
    <w:pPr>
      <w:pBdr>
        <w:top w:val="single" w:sz="4" w:space="6" w:color="EAF2F2" w:themeColor="accent5" w:themeTint="33"/>
        <w:left w:val="single" w:sz="4" w:space="6" w:color="EAF2F2" w:themeColor="accent5" w:themeTint="33"/>
        <w:bottom w:val="single" w:sz="4" w:space="6" w:color="EAF2F2" w:themeColor="accent5" w:themeTint="33"/>
        <w:right w:val="single" w:sz="4" w:space="6" w:color="EAF2F2" w:themeColor="accent5" w:themeTint="33"/>
      </w:pBdr>
      <w:shd w:val="clear" w:color="auto" w:fill="EAF2F2" w:themeFill="accent5" w:themeFillTint="33"/>
      <w:spacing w:before="57" w:after="57"/>
      <w:ind w:left="113" w:right="113"/>
      <w:jc w:val="both"/>
    </w:pPr>
    <w:rPr>
      <w:rFonts w:cstheme="minorHAnsi"/>
      <w:szCs w:val="18"/>
      <w:lang w:eastAsia="en-US"/>
    </w:rPr>
  </w:style>
  <w:style w:type="paragraph" w:customStyle="1" w:styleId="ASIQuoteKeyline">
    <w:name w:val="ASI Quote Keyline"/>
    <w:basedOn w:val="ASIQuotebox"/>
    <w:next w:val="ASIBodyCopy"/>
    <w:rsid w:val="00A26A9E"/>
    <w:pPr>
      <w:pBdr>
        <w:top w:val="single" w:sz="4" w:space="6" w:color="6D6E71" w:themeColor="text2"/>
        <w:left w:val="single" w:sz="4" w:space="6" w:color="6D6E71" w:themeColor="text2"/>
        <w:bottom w:val="single" w:sz="4" w:space="6" w:color="6D6E71" w:themeColor="text2"/>
        <w:right w:val="single" w:sz="4" w:space="6" w:color="6D6E71" w:themeColor="text2"/>
      </w:pBdr>
      <w:shd w:val="clear" w:color="auto" w:fill="auto"/>
      <w:spacing w:line="240" w:lineRule="auto"/>
    </w:pPr>
  </w:style>
  <w:style w:type="paragraph" w:styleId="TOC9">
    <w:name w:val="toc 9"/>
    <w:basedOn w:val="Normal"/>
    <w:next w:val="Normal"/>
    <w:autoRedefine/>
    <w:uiPriority w:val="39"/>
    <w:rsid w:val="00BF0155"/>
    <w:pPr>
      <w:ind w:left="1600"/>
    </w:pPr>
  </w:style>
  <w:style w:type="character" w:styleId="Hyperlink">
    <w:name w:val="Hyperlink"/>
    <w:uiPriority w:val="99"/>
    <w:rsid w:val="00BA063F"/>
    <w:rPr>
      <w:color w:val="0000FF"/>
      <w:u w:val="single"/>
    </w:rPr>
  </w:style>
  <w:style w:type="paragraph" w:styleId="TOC5">
    <w:name w:val="toc 5"/>
    <w:basedOn w:val="Normal"/>
    <w:next w:val="Normal"/>
    <w:autoRedefine/>
    <w:uiPriority w:val="39"/>
    <w:rsid w:val="00BF0155"/>
    <w:pPr>
      <w:tabs>
        <w:tab w:val="left" w:pos="800"/>
        <w:tab w:val="right" w:pos="9900"/>
      </w:tabs>
      <w:spacing w:after="0"/>
    </w:pPr>
  </w:style>
  <w:style w:type="paragraph" w:customStyle="1" w:styleId="ASISectionPage">
    <w:name w:val="ASI Section Page"/>
    <w:basedOn w:val="Normal"/>
    <w:next w:val="ASIBodyCopy"/>
    <w:rsid w:val="00350328"/>
    <w:pPr>
      <w:spacing w:after="0" w:line="240" w:lineRule="auto"/>
      <w:jc w:val="right"/>
    </w:pPr>
    <w:rPr>
      <w:color w:val="000000" w:themeColor="text1"/>
      <w:sz w:val="100"/>
      <w:szCs w:val="100"/>
    </w:rPr>
  </w:style>
  <w:style w:type="table" w:styleId="TableGrid">
    <w:name w:val="Table Grid"/>
    <w:basedOn w:val="TableNormal"/>
    <w:uiPriority w:val="59"/>
    <w:rsid w:val="00CD0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D4BEE"/>
    <w:rPr>
      <w:rFonts w:ascii="Tahoma" w:hAnsi="Tahoma" w:cs="Tahoma"/>
      <w:sz w:val="16"/>
      <w:szCs w:val="16"/>
    </w:rPr>
  </w:style>
  <w:style w:type="character" w:customStyle="1" w:styleId="BalloonTextChar">
    <w:name w:val="Balloon Text Char"/>
    <w:basedOn w:val="DefaultParagraphFont"/>
    <w:link w:val="BalloonText"/>
    <w:rsid w:val="009D4BEE"/>
    <w:rPr>
      <w:rFonts w:ascii="Tahoma" w:hAnsi="Tahoma" w:cs="Tahoma"/>
      <w:sz w:val="16"/>
      <w:szCs w:val="16"/>
      <w:lang w:eastAsia="en-US"/>
    </w:rPr>
  </w:style>
  <w:style w:type="character" w:styleId="PageNumber">
    <w:name w:val="page number"/>
    <w:basedOn w:val="DefaultParagraphFont"/>
    <w:rsid w:val="00E905A8"/>
  </w:style>
  <w:style w:type="character" w:customStyle="1" w:styleId="ASIBoldGrey">
    <w:name w:val="ASI Bold Grey"/>
    <w:basedOn w:val="DefaultParagraphFont"/>
    <w:qFormat/>
    <w:rsid w:val="003D0D1D"/>
    <w:rPr>
      <w:b/>
    </w:rPr>
  </w:style>
  <w:style w:type="paragraph" w:styleId="ListBullet">
    <w:name w:val="List Bullet"/>
    <w:basedOn w:val="ASIBulletPoint"/>
    <w:rsid w:val="00F21DE4"/>
    <w:pPr>
      <w:numPr>
        <w:numId w:val="7"/>
      </w:numPr>
      <w:tabs>
        <w:tab w:val="left" w:pos="284"/>
      </w:tabs>
      <w:ind w:left="284" w:hanging="284"/>
    </w:pPr>
  </w:style>
  <w:style w:type="paragraph" w:styleId="ListParagraph">
    <w:name w:val="List Paragraph"/>
    <w:aliases w:val="WB List Paragraph,List Paragraph1"/>
    <w:basedOn w:val="Normal"/>
    <w:link w:val="ListParagraphChar"/>
    <w:uiPriority w:val="34"/>
    <w:qFormat/>
    <w:rsid w:val="00336B89"/>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7C593A"/>
    <w:rPr>
      <w:sz w:val="18"/>
      <w:szCs w:val="18"/>
    </w:rPr>
  </w:style>
  <w:style w:type="paragraph" w:styleId="CommentText">
    <w:name w:val="annotation text"/>
    <w:basedOn w:val="Normal"/>
    <w:link w:val="CommentTextChar"/>
    <w:uiPriority w:val="99"/>
    <w:rsid w:val="007C593A"/>
    <w:rPr>
      <w:rFonts w:ascii="Times New Roman" w:hAnsi="Times New Roman"/>
      <w:sz w:val="24"/>
      <w:lang w:val="en-US"/>
    </w:rPr>
  </w:style>
  <w:style w:type="character" w:customStyle="1" w:styleId="CommentTextChar">
    <w:name w:val="Comment Text Char"/>
    <w:basedOn w:val="DefaultParagraphFont"/>
    <w:link w:val="CommentText"/>
    <w:uiPriority w:val="99"/>
    <w:rsid w:val="007C593A"/>
    <w:rPr>
      <w:sz w:val="24"/>
      <w:szCs w:val="24"/>
      <w:lang w:val="en-US" w:eastAsia="en-US"/>
    </w:rPr>
  </w:style>
  <w:style w:type="paragraph" w:styleId="CommentSubject">
    <w:name w:val="annotation subject"/>
    <w:basedOn w:val="CommentText"/>
    <w:next w:val="CommentText"/>
    <w:link w:val="CommentSubjectChar"/>
    <w:uiPriority w:val="99"/>
    <w:rsid w:val="007C593A"/>
    <w:rPr>
      <w:b/>
      <w:bCs/>
      <w:sz w:val="20"/>
    </w:rPr>
  </w:style>
  <w:style w:type="character" w:customStyle="1" w:styleId="CommentSubjectChar">
    <w:name w:val="Comment Subject Char"/>
    <w:basedOn w:val="CommentTextChar"/>
    <w:link w:val="CommentSubject"/>
    <w:uiPriority w:val="99"/>
    <w:rsid w:val="007C593A"/>
    <w:rPr>
      <w:b/>
      <w:bCs/>
      <w:sz w:val="24"/>
      <w:szCs w:val="24"/>
      <w:lang w:val="en-US" w:eastAsia="en-US"/>
    </w:rPr>
  </w:style>
  <w:style w:type="paragraph" w:styleId="ListNumber">
    <w:name w:val="List Number"/>
    <w:basedOn w:val="Normal"/>
    <w:rsid w:val="002D0A37"/>
    <w:pPr>
      <w:numPr>
        <w:numId w:val="2"/>
      </w:numPr>
      <w:tabs>
        <w:tab w:val="left" w:pos="425"/>
      </w:tabs>
      <w:spacing w:after="240"/>
      <w:jc w:val="both"/>
    </w:pPr>
    <w:rPr>
      <w:rFonts w:asciiTheme="minorHAnsi" w:hAnsiTheme="minorHAnsi" w:cstheme="minorHAnsi"/>
      <w:noProof/>
    </w:rPr>
  </w:style>
  <w:style w:type="paragraph" w:customStyle="1" w:styleId="ListNumberLevel2">
    <w:name w:val="List Number (Level 2)"/>
    <w:basedOn w:val="Normal"/>
    <w:rsid w:val="008A5E0F"/>
    <w:pPr>
      <w:numPr>
        <w:ilvl w:val="1"/>
        <w:numId w:val="2"/>
      </w:numPr>
      <w:spacing w:after="240"/>
      <w:jc w:val="both"/>
    </w:pPr>
    <w:rPr>
      <w:rFonts w:asciiTheme="minorHAnsi" w:hAnsiTheme="minorHAnsi" w:cstheme="minorHAnsi"/>
      <w:noProof/>
    </w:rPr>
  </w:style>
  <w:style w:type="paragraph" w:customStyle="1" w:styleId="ListNumberLevel3">
    <w:name w:val="List Number (Level 3)"/>
    <w:basedOn w:val="Normal"/>
    <w:rsid w:val="007C593A"/>
    <w:pPr>
      <w:numPr>
        <w:ilvl w:val="2"/>
        <w:numId w:val="2"/>
      </w:numPr>
      <w:spacing w:after="240"/>
      <w:jc w:val="both"/>
    </w:pPr>
    <w:rPr>
      <w:rFonts w:ascii="Times New Roman" w:hAnsi="Times New Roman"/>
      <w:sz w:val="24"/>
    </w:rPr>
  </w:style>
  <w:style w:type="paragraph" w:customStyle="1" w:styleId="ListNumberLevel4">
    <w:name w:val="List Number (Level 4)"/>
    <w:basedOn w:val="Normal"/>
    <w:rsid w:val="002A3200"/>
    <w:pPr>
      <w:numPr>
        <w:ilvl w:val="3"/>
        <w:numId w:val="2"/>
      </w:numPr>
      <w:tabs>
        <w:tab w:val="clear" w:pos="2835"/>
        <w:tab w:val="num" w:pos="1200"/>
      </w:tabs>
      <w:spacing w:after="240"/>
      <w:ind w:left="1200" w:hanging="200"/>
      <w:jc w:val="both"/>
    </w:pPr>
    <w:rPr>
      <w:rFonts w:asciiTheme="minorHAnsi" w:hAnsiTheme="minorHAnsi" w:cstheme="minorHAnsi"/>
      <w:noProof/>
    </w:rPr>
  </w:style>
  <w:style w:type="paragraph" w:customStyle="1" w:styleId="Style1">
    <w:name w:val="Style1"/>
    <w:basedOn w:val="Normal"/>
    <w:rsid w:val="006D1784"/>
    <w:pPr>
      <w:spacing w:after="240" w:line="240" w:lineRule="atLeast"/>
      <w:jc w:val="both"/>
    </w:pPr>
    <w:rPr>
      <w:rFonts w:cs="Angsana New"/>
      <w:spacing w:val="-5"/>
      <w:sz w:val="22"/>
      <w:lang w:val="en-US"/>
    </w:rPr>
  </w:style>
  <w:style w:type="paragraph" w:styleId="PlainText">
    <w:name w:val="Plain Text"/>
    <w:basedOn w:val="Normal"/>
    <w:link w:val="PlainTextChar"/>
    <w:rsid w:val="007C593A"/>
    <w:rPr>
      <w:rFonts w:ascii="Courier New" w:hAnsi="Courier New"/>
      <w:lang w:val="it-IT" w:eastAsia="es-ES"/>
    </w:rPr>
  </w:style>
  <w:style w:type="character" w:customStyle="1" w:styleId="PlainTextChar">
    <w:name w:val="Plain Text Char"/>
    <w:basedOn w:val="DefaultParagraphFont"/>
    <w:link w:val="PlainText"/>
    <w:rsid w:val="007C593A"/>
    <w:rPr>
      <w:rFonts w:ascii="Courier New" w:hAnsi="Courier New"/>
      <w:lang w:val="it-IT" w:eastAsia="es-ES"/>
    </w:rPr>
  </w:style>
  <w:style w:type="paragraph" w:styleId="BodyTextIndent">
    <w:name w:val="Body Text Indent"/>
    <w:basedOn w:val="Normal"/>
    <w:link w:val="BodyTextIndentChar"/>
    <w:uiPriority w:val="99"/>
    <w:semiHidden/>
    <w:unhideWhenUsed/>
    <w:rsid w:val="004873C3"/>
    <w:pPr>
      <w:ind w:left="283"/>
    </w:pPr>
  </w:style>
  <w:style w:type="character" w:customStyle="1" w:styleId="BodyTextIndentChar">
    <w:name w:val="Body Text Indent Char"/>
    <w:basedOn w:val="DefaultParagraphFont"/>
    <w:link w:val="BodyTextIndent"/>
    <w:uiPriority w:val="99"/>
    <w:semiHidden/>
    <w:rsid w:val="004873C3"/>
    <w:rPr>
      <w:rFonts w:ascii="Euphemia" w:hAnsi="Euphemia"/>
      <w:szCs w:val="24"/>
      <w:lang w:eastAsia="en-US"/>
    </w:rPr>
  </w:style>
  <w:style w:type="table" w:styleId="LightShading-Accent5">
    <w:name w:val="Light Shading Accent 5"/>
    <w:basedOn w:val="TableNormal"/>
    <w:uiPriority w:val="60"/>
    <w:rsid w:val="0003606B"/>
    <w:rPr>
      <w:rFonts w:asciiTheme="minorHAnsi" w:eastAsiaTheme="minorHAnsi" w:hAnsiTheme="minorHAnsi" w:cstheme="minorBidi"/>
      <w:color w:val="629CA1" w:themeColor="accent5" w:themeShade="BF"/>
      <w:sz w:val="22"/>
      <w:szCs w:val="28"/>
      <w:lang w:val="en-US" w:eastAsia="en-US" w:bidi="th-TH"/>
    </w:rPr>
    <w:tblPr>
      <w:tblStyleRowBandSize w:val="1"/>
      <w:tblStyleColBandSize w:val="1"/>
      <w:tblInd w:w="0" w:type="dxa"/>
      <w:tblBorders>
        <w:top w:val="single" w:sz="8" w:space="0" w:color="99BFC2" w:themeColor="accent5"/>
        <w:bottom w:val="single" w:sz="8" w:space="0" w:color="99BFC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la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FF0" w:themeFill="accent5" w:themeFillTint="3F"/>
      </w:tcPr>
    </w:tblStylePr>
    <w:tblStylePr w:type="band1Horz">
      <w:tblPr/>
      <w:tcPr>
        <w:tcBorders>
          <w:left w:val="nil"/>
          <w:right w:val="nil"/>
          <w:insideH w:val="nil"/>
          <w:insideV w:val="nil"/>
        </w:tcBorders>
        <w:shd w:val="clear" w:color="auto" w:fill="E5EFF0" w:themeFill="accent5" w:themeFillTint="3F"/>
      </w:tcPr>
    </w:tblStylePr>
  </w:style>
  <w:style w:type="table" w:customStyle="1" w:styleId="LightShading-Accent11">
    <w:name w:val="Light Shading - Accent 11"/>
    <w:basedOn w:val="TableNormal"/>
    <w:uiPriority w:val="60"/>
    <w:rsid w:val="00620FE0"/>
    <w:rPr>
      <w:rFonts w:asciiTheme="minorHAnsi" w:eastAsiaTheme="minorHAnsi" w:hAnsiTheme="minorHAnsi" w:cstheme="minorBidi"/>
      <w:color w:val="4DA5D9" w:themeColor="accent1" w:themeShade="BF"/>
      <w:sz w:val="22"/>
      <w:szCs w:val="28"/>
      <w:lang w:val="en-US" w:eastAsia="en-US" w:bidi="th-TH"/>
    </w:rPr>
    <w:tblPr>
      <w:tblStyleRowBandSize w:val="1"/>
      <w:tblStyleColBandSize w:val="1"/>
      <w:tblInd w:w="0" w:type="dxa"/>
      <w:tblBorders>
        <w:top w:val="single" w:sz="8" w:space="0" w:color="A0CFEB" w:themeColor="accent1"/>
        <w:bottom w:val="single" w:sz="8" w:space="0" w:color="A0CFE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paragraph" w:styleId="Caption">
    <w:name w:val="caption"/>
    <w:basedOn w:val="Normal"/>
    <w:next w:val="Normal"/>
    <w:uiPriority w:val="35"/>
    <w:unhideWhenUsed/>
    <w:qFormat/>
    <w:rsid w:val="007C6896"/>
    <w:pPr>
      <w:spacing w:after="60"/>
    </w:pPr>
    <w:rPr>
      <w:bCs/>
      <w:sz w:val="18"/>
      <w:szCs w:val="18"/>
    </w:rPr>
  </w:style>
  <w:style w:type="paragraph" w:styleId="BodyTextIndent3">
    <w:name w:val="Body Text Indent 3"/>
    <w:basedOn w:val="Normal"/>
    <w:link w:val="BodyTextIndent3Char"/>
    <w:uiPriority w:val="99"/>
    <w:semiHidden/>
    <w:unhideWhenUsed/>
    <w:rsid w:val="00D62CB1"/>
    <w:pPr>
      <w:ind w:left="283"/>
    </w:pPr>
    <w:rPr>
      <w:sz w:val="16"/>
      <w:szCs w:val="16"/>
    </w:rPr>
  </w:style>
  <w:style w:type="character" w:customStyle="1" w:styleId="BodyTextIndent3Char">
    <w:name w:val="Body Text Indent 3 Char"/>
    <w:basedOn w:val="DefaultParagraphFont"/>
    <w:link w:val="BodyTextIndent3"/>
    <w:uiPriority w:val="99"/>
    <w:semiHidden/>
    <w:rsid w:val="00D62CB1"/>
    <w:rPr>
      <w:rFonts w:ascii="Euphemia" w:hAnsi="Euphemia"/>
      <w:sz w:val="16"/>
      <w:szCs w:val="16"/>
      <w:lang w:eastAsia="en-US"/>
    </w:rPr>
  </w:style>
  <w:style w:type="paragraph" w:styleId="NormalWeb">
    <w:name w:val="Normal (Web)"/>
    <w:basedOn w:val="Normal"/>
    <w:uiPriority w:val="99"/>
    <w:unhideWhenUsed/>
    <w:rsid w:val="004927E9"/>
    <w:pPr>
      <w:spacing w:before="100" w:beforeAutospacing="1" w:after="100" w:afterAutospacing="1"/>
    </w:pPr>
    <w:rPr>
      <w:rFonts w:ascii="Times New Roman" w:hAnsi="Times New Roman"/>
      <w:sz w:val="24"/>
    </w:rPr>
  </w:style>
  <w:style w:type="paragraph" w:styleId="BodyTextIndent2">
    <w:name w:val="Body Text Indent 2"/>
    <w:basedOn w:val="Normal"/>
    <w:link w:val="BodyTextIndent2Char"/>
    <w:uiPriority w:val="99"/>
    <w:semiHidden/>
    <w:unhideWhenUsed/>
    <w:rsid w:val="005D0BA2"/>
    <w:pPr>
      <w:spacing w:line="480" w:lineRule="auto"/>
      <w:ind w:left="283"/>
    </w:pPr>
  </w:style>
  <w:style w:type="character" w:customStyle="1" w:styleId="BodyTextIndent2Char">
    <w:name w:val="Body Text Indent 2 Char"/>
    <w:basedOn w:val="DefaultParagraphFont"/>
    <w:link w:val="BodyTextIndent2"/>
    <w:uiPriority w:val="99"/>
    <w:semiHidden/>
    <w:rsid w:val="005D0BA2"/>
    <w:rPr>
      <w:rFonts w:ascii="Euphemia" w:hAnsi="Euphemia"/>
      <w:szCs w:val="24"/>
      <w:lang w:eastAsia="en-US"/>
    </w:rPr>
  </w:style>
  <w:style w:type="character" w:customStyle="1" w:styleId="Heading6Char">
    <w:name w:val="Heading 6 Char"/>
    <w:basedOn w:val="DefaultParagraphFont"/>
    <w:link w:val="Heading6"/>
    <w:uiPriority w:val="9"/>
    <w:semiHidden/>
    <w:rsid w:val="00382163"/>
    <w:rPr>
      <w:rFonts w:asciiTheme="majorHAnsi" w:eastAsiaTheme="majorEastAsia" w:hAnsiTheme="majorHAnsi" w:cstheme="majorBidi"/>
      <w:i/>
      <w:iCs/>
      <w:color w:val="2272A2" w:themeColor="accent1" w:themeShade="7F"/>
      <w:szCs w:val="24"/>
      <w:lang w:eastAsia="en-US"/>
    </w:rPr>
  </w:style>
  <w:style w:type="paragraph" w:customStyle="1" w:styleId="ASICovertitlebig">
    <w:name w:val="ASI Cover title big"/>
    <w:basedOn w:val="ASICoverTitle"/>
    <w:rsid w:val="00BA4A57"/>
    <w:pPr>
      <w:spacing w:after="0" w:line="240" w:lineRule="auto"/>
      <w:ind w:right="170"/>
    </w:pPr>
    <w:rPr>
      <w:color w:val="auto"/>
      <w:sz w:val="96"/>
    </w:rPr>
  </w:style>
  <w:style w:type="character" w:customStyle="1" w:styleId="ASISectionpagesmall">
    <w:name w:val="ASI Section page small"/>
    <w:basedOn w:val="DefaultParagraphFont"/>
    <w:rsid w:val="000854A2"/>
    <w:rPr>
      <w:rFonts w:asciiTheme="majorHAnsi" w:hAnsiTheme="majorHAnsi"/>
      <w:color w:val="6D6E71" w:themeColor="text2"/>
      <w:sz w:val="52"/>
    </w:rPr>
  </w:style>
  <w:style w:type="character" w:customStyle="1" w:styleId="ASIBoldBlack">
    <w:name w:val="ASI Bold Black"/>
    <w:basedOn w:val="DefaultParagraphFont"/>
    <w:qFormat/>
    <w:rsid w:val="003D0D1D"/>
    <w:rPr>
      <w:b/>
      <w:color w:val="000000" w:themeColor="text1"/>
      <w:sz w:val="24"/>
    </w:rPr>
  </w:style>
  <w:style w:type="table" w:styleId="LightShading">
    <w:name w:val="Light Shading"/>
    <w:basedOn w:val="TableNormal"/>
    <w:uiPriority w:val="60"/>
    <w:rsid w:val="00754F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BF0155"/>
    <w:pPr>
      <w:spacing w:after="0"/>
    </w:pPr>
  </w:style>
  <w:style w:type="character" w:customStyle="1" w:styleId="Heading4Char">
    <w:name w:val="Heading 4 Char"/>
    <w:basedOn w:val="DefaultParagraphFont"/>
    <w:link w:val="Heading4"/>
    <w:rsid w:val="00C35EA2"/>
    <w:rPr>
      <w:rFonts w:asciiTheme="majorHAnsi" w:eastAsiaTheme="majorEastAsia" w:hAnsiTheme="majorHAnsi" w:cstheme="majorBidi"/>
      <w:bCs/>
      <w:i/>
      <w:iCs/>
      <w:noProof/>
    </w:rPr>
  </w:style>
  <w:style w:type="character" w:customStyle="1" w:styleId="Heading7Char">
    <w:name w:val="Heading 7 Char"/>
    <w:basedOn w:val="DefaultParagraphFont"/>
    <w:link w:val="Heading7"/>
    <w:uiPriority w:val="9"/>
    <w:semiHidden/>
    <w:rsid w:val="005A35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35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A354C"/>
    <w:rPr>
      <w:rFonts w:asciiTheme="majorHAnsi" w:eastAsiaTheme="majorEastAsia" w:hAnsiTheme="majorHAnsi" w:cstheme="majorBidi"/>
      <w:i/>
      <w:iCs/>
      <w:color w:val="404040" w:themeColor="text1" w:themeTint="BF"/>
    </w:rPr>
  </w:style>
  <w:style w:type="paragraph" w:styleId="TOCHeading">
    <w:name w:val="TOC Heading"/>
    <w:basedOn w:val="Heading2"/>
    <w:next w:val="Normal"/>
    <w:uiPriority w:val="39"/>
    <w:unhideWhenUsed/>
    <w:qFormat/>
    <w:rsid w:val="008A5E0F"/>
  </w:style>
  <w:style w:type="numbering" w:customStyle="1" w:styleId="ListBulletlevel2">
    <w:name w:val="List Bullet (level 2)"/>
    <w:basedOn w:val="NoList"/>
    <w:uiPriority w:val="99"/>
    <w:rsid w:val="00797FA7"/>
    <w:pPr>
      <w:numPr>
        <w:numId w:val="6"/>
      </w:numPr>
    </w:pPr>
  </w:style>
  <w:style w:type="paragraph" w:styleId="ListBullet2">
    <w:name w:val="List Bullet 2"/>
    <w:basedOn w:val="Normal"/>
    <w:rsid w:val="00F21DE4"/>
    <w:pPr>
      <w:numPr>
        <w:ilvl w:val="1"/>
        <w:numId w:val="7"/>
      </w:numPr>
      <w:tabs>
        <w:tab w:val="left" w:pos="284"/>
      </w:tabs>
      <w:ind w:left="568" w:hanging="284"/>
      <w:contextualSpacing/>
    </w:pPr>
  </w:style>
  <w:style w:type="paragraph" w:styleId="ListBullet3">
    <w:name w:val="List Bullet 3"/>
    <w:basedOn w:val="Normal"/>
    <w:rsid w:val="00F21DE4"/>
    <w:pPr>
      <w:numPr>
        <w:ilvl w:val="2"/>
        <w:numId w:val="7"/>
      </w:numPr>
      <w:tabs>
        <w:tab w:val="left" w:pos="567"/>
      </w:tabs>
      <w:ind w:left="851" w:hanging="284"/>
      <w:contextualSpacing/>
    </w:pPr>
    <w:rPr>
      <w:noProof/>
    </w:rPr>
  </w:style>
  <w:style w:type="paragraph" w:styleId="ListBullet4">
    <w:name w:val="List Bullet 4"/>
    <w:basedOn w:val="Normal"/>
    <w:rsid w:val="00797FA7"/>
    <w:pPr>
      <w:numPr>
        <w:ilvl w:val="3"/>
        <w:numId w:val="7"/>
      </w:numPr>
      <w:contextualSpacing/>
    </w:pPr>
  </w:style>
  <w:style w:type="paragraph" w:customStyle="1" w:styleId="ASIPageNumber">
    <w:name w:val="ASI Page Number"/>
    <w:basedOn w:val="Normal"/>
    <w:rsid w:val="00B674C0"/>
    <w:rPr>
      <w:b/>
      <w:color w:val="27306C"/>
      <w:spacing w:val="-4"/>
      <w:sz w:val="16"/>
      <w:szCs w:val="16"/>
    </w:rPr>
  </w:style>
  <w:style w:type="character" w:customStyle="1" w:styleId="ListParagraphChar">
    <w:name w:val="List Paragraph Char"/>
    <w:aliases w:val="WB List Paragraph Char,List Paragraph1 Char"/>
    <w:link w:val="ListParagraph"/>
    <w:uiPriority w:val="34"/>
    <w:locked/>
    <w:rsid w:val="00C97B51"/>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3F730A"/>
    <w:pPr>
      <w:spacing w:after="0" w:line="240" w:lineRule="auto"/>
    </w:pPr>
    <w:rPr>
      <w:rFonts w:ascii="Calibri" w:eastAsia="Calibri" w:hAnsi="Calibri"/>
      <w:color w:val="auto"/>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67E91"/>
    <w:pPr>
      <w:spacing w:line="247"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uiPriority w:val="73"/>
    <w:rsid w:val="00D853F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F5FB" w:themeFill="accent1" w:themeFillTint="33"/>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customStyle="1" w:styleId="ColorfulGrid-Accent11">
    <w:name w:val="Colorful Grid - Accent 11"/>
    <w:basedOn w:val="TableNormal"/>
    <w:next w:val="ColorfulGrid-Accent1"/>
    <w:uiPriority w:val="73"/>
    <w:rsid w:val="00970B42"/>
    <w:pPr>
      <w:spacing w:after="0" w:line="240"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99068">
      <w:bodyDiv w:val="1"/>
      <w:marLeft w:val="0"/>
      <w:marRight w:val="0"/>
      <w:marTop w:val="0"/>
      <w:marBottom w:val="0"/>
      <w:divBdr>
        <w:top w:val="none" w:sz="0" w:space="0" w:color="auto"/>
        <w:left w:val="none" w:sz="0" w:space="0" w:color="auto"/>
        <w:bottom w:val="none" w:sz="0" w:space="0" w:color="auto"/>
        <w:right w:val="none" w:sz="0" w:space="0" w:color="auto"/>
      </w:divBdr>
    </w:div>
    <w:div w:id="18274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database.unwomen.org/uploads/Law%20to%20combat%20domestic%20violence%20-%202005.pdf"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Si orgChart">
      <a:dk1>
        <a:sysClr val="windowText" lastClr="000000"/>
      </a:dk1>
      <a:lt1>
        <a:sysClr val="window" lastClr="FFFFFF"/>
      </a:lt1>
      <a:dk2>
        <a:srgbClr val="6D6E71"/>
      </a:dk2>
      <a:lt2>
        <a:srgbClr val="F1F1F2"/>
      </a:lt2>
      <a:accent1>
        <a:srgbClr val="A0CFEB"/>
      </a:accent1>
      <a:accent2>
        <a:srgbClr val="003591"/>
      </a:accent2>
      <a:accent3>
        <a:srgbClr val="D3BF96"/>
      </a:accent3>
      <a:accent4>
        <a:srgbClr val="E6AE19"/>
      </a:accent4>
      <a:accent5>
        <a:srgbClr val="99BFC2"/>
      </a:accent5>
      <a:accent6>
        <a:srgbClr val="786592"/>
      </a:accent6>
      <a:hlink>
        <a:srgbClr val="CECFCB"/>
      </a:hlink>
      <a:folHlink>
        <a:srgbClr val="452325"/>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1835A-71BF-4250-8B3F-70E3C3BBAEFB}"/>
</file>

<file path=customXml/itemProps2.xml><?xml version="1.0" encoding="utf-8"?>
<ds:datastoreItem xmlns:ds="http://schemas.openxmlformats.org/officeDocument/2006/customXml" ds:itemID="{FB8E374F-0B0C-4070-8D59-90DFEADD8CFB}"/>
</file>

<file path=customXml/itemProps3.xml><?xml version="1.0" encoding="utf-8"?>
<ds:datastoreItem xmlns:ds="http://schemas.openxmlformats.org/officeDocument/2006/customXml" ds:itemID="{E9534AFE-2294-4485-ACA3-68453EA700E1}"/>
</file>

<file path=customXml/itemProps4.xml><?xml version="1.0" encoding="utf-8"?>
<ds:datastoreItem xmlns:ds="http://schemas.openxmlformats.org/officeDocument/2006/customXml" ds:itemID="{1E79495F-4663-4D5F-8E8E-F01FCB4334E8}"/>
</file>

<file path=docProps/app.xml><?xml version="1.0" encoding="utf-8"?>
<Properties xmlns="http://schemas.openxmlformats.org/officeDocument/2006/extended-properties" xmlns:vt="http://schemas.openxmlformats.org/officeDocument/2006/docPropsVTypes">
  <Template>E86F9B7D</Template>
  <TotalTime>0</TotalTime>
  <Pages>14</Pages>
  <Words>6139</Words>
  <Characters>36460</Characters>
  <Application>Microsoft Office Word</Application>
  <DocSecurity>0</DocSecurity>
  <Lines>662</Lines>
  <Paragraphs>295</Paragraphs>
  <ScaleCrop>false</ScaleCrop>
  <Company/>
  <LinksUpToDate>false</LinksUpToDate>
  <CharactersWithSpaces>42304</CharactersWithSpaces>
  <SharedDoc>false</SharedDoc>
  <HLinks>
    <vt:vector size="84" baseType="variant">
      <vt:variant>
        <vt:i4>1441849</vt:i4>
      </vt:variant>
      <vt:variant>
        <vt:i4>80</vt:i4>
      </vt:variant>
      <vt:variant>
        <vt:i4>0</vt:i4>
      </vt:variant>
      <vt:variant>
        <vt:i4>5</vt:i4>
      </vt:variant>
      <vt:variant>
        <vt:lpwstr/>
      </vt:variant>
      <vt:variant>
        <vt:lpwstr>_Toc303281125</vt:lpwstr>
      </vt:variant>
      <vt:variant>
        <vt:i4>1441849</vt:i4>
      </vt:variant>
      <vt:variant>
        <vt:i4>74</vt:i4>
      </vt:variant>
      <vt:variant>
        <vt:i4>0</vt:i4>
      </vt:variant>
      <vt:variant>
        <vt:i4>5</vt:i4>
      </vt:variant>
      <vt:variant>
        <vt:lpwstr/>
      </vt:variant>
      <vt:variant>
        <vt:lpwstr>_Toc303281124</vt:lpwstr>
      </vt:variant>
      <vt:variant>
        <vt:i4>1441849</vt:i4>
      </vt:variant>
      <vt:variant>
        <vt:i4>68</vt:i4>
      </vt:variant>
      <vt:variant>
        <vt:i4>0</vt:i4>
      </vt:variant>
      <vt:variant>
        <vt:i4>5</vt:i4>
      </vt:variant>
      <vt:variant>
        <vt:lpwstr/>
      </vt:variant>
      <vt:variant>
        <vt:lpwstr>_Toc303281123</vt:lpwstr>
      </vt:variant>
      <vt:variant>
        <vt:i4>1441849</vt:i4>
      </vt:variant>
      <vt:variant>
        <vt:i4>62</vt:i4>
      </vt:variant>
      <vt:variant>
        <vt:i4>0</vt:i4>
      </vt:variant>
      <vt:variant>
        <vt:i4>5</vt:i4>
      </vt:variant>
      <vt:variant>
        <vt:lpwstr/>
      </vt:variant>
      <vt:variant>
        <vt:lpwstr>_Toc303281122</vt:lpwstr>
      </vt:variant>
      <vt:variant>
        <vt:i4>1441849</vt:i4>
      </vt:variant>
      <vt:variant>
        <vt:i4>56</vt:i4>
      </vt:variant>
      <vt:variant>
        <vt:i4>0</vt:i4>
      </vt:variant>
      <vt:variant>
        <vt:i4>5</vt:i4>
      </vt:variant>
      <vt:variant>
        <vt:lpwstr/>
      </vt:variant>
      <vt:variant>
        <vt:lpwstr>_Toc303281121</vt:lpwstr>
      </vt:variant>
      <vt:variant>
        <vt:i4>1441849</vt:i4>
      </vt:variant>
      <vt:variant>
        <vt:i4>50</vt:i4>
      </vt:variant>
      <vt:variant>
        <vt:i4>0</vt:i4>
      </vt:variant>
      <vt:variant>
        <vt:i4>5</vt:i4>
      </vt:variant>
      <vt:variant>
        <vt:lpwstr/>
      </vt:variant>
      <vt:variant>
        <vt:lpwstr>_Toc303281120</vt:lpwstr>
      </vt:variant>
      <vt:variant>
        <vt:i4>1376313</vt:i4>
      </vt:variant>
      <vt:variant>
        <vt:i4>44</vt:i4>
      </vt:variant>
      <vt:variant>
        <vt:i4>0</vt:i4>
      </vt:variant>
      <vt:variant>
        <vt:i4>5</vt:i4>
      </vt:variant>
      <vt:variant>
        <vt:lpwstr/>
      </vt:variant>
      <vt:variant>
        <vt:lpwstr>_Toc303281119</vt:lpwstr>
      </vt:variant>
      <vt:variant>
        <vt:i4>1376313</vt:i4>
      </vt:variant>
      <vt:variant>
        <vt:i4>38</vt:i4>
      </vt:variant>
      <vt:variant>
        <vt:i4>0</vt:i4>
      </vt:variant>
      <vt:variant>
        <vt:i4>5</vt:i4>
      </vt:variant>
      <vt:variant>
        <vt:lpwstr/>
      </vt:variant>
      <vt:variant>
        <vt:lpwstr>_Toc303281118</vt:lpwstr>
      </vt:variant>
      <vt:variant>
        <vt:i4>1376313</vt:i4>
      </vt:variant>
      <vt:variant>
        <vt:i4>32</vt:i4>
      </vt:variant>
      <vt:variant>
        <vt:i4>0</vt:i4>
      </vt:variant>
      <vt:variant>
        <vt:i4>5</vt:i4>
      </vt:variant>
      <vt:variant>
        <vt:lpwstr/>
      </vt:variant>
      <vt:variant>
        <vt:lpwstr>_Toc303281117</vt:lpwstr>
      </vt:variant>
      <vt:variant>
        <vt:i4>1376313</vt:i4>
      </vt:variant>
      <vt:variant>
        <vt:i4>26</vt:i4>
      </vt:variant>
      <vt:variant>
        <vt:i4>0</vt:i4>
      </vt:variant>
      <vt:variant>
        <vt:i4>5</vt:i4>
      </vt:variant>
      <vt:variant>
        <vt:lpwstr/>
      </vt:variant>
      <vt:variant>
        <vt:lpwstr>_Toc303281116</vt:lpwstr>
      </vt:variant>
      <vt:variant>
        <vt:i4>1376313</vt:i4>
      </vt:variant>
      <vt:variant>
        <vt:i4>20</vt:i4>
      </vt:variant>
      <vt:variant>
        <vt:i4>0</vt:i4>
      </vt:variant>
      <vt:variant>
        <vt:i4>5</vt:i4>
      </vt:variant>
      <vt:variant>
        <vt:lpwstr/>
      </vt:variant>
      <vt:variant>
        <vt:lpwstr>_Toc303281115</vt:lpwstr>
      </vt:variant>
      <vt:variant>
        <vt:i4>1376313</vt:i4>
      </vt:variant>
      <vt:variant>
        <vt:i4>14</vt:i4>
      </vt:variant>
      <vt:variant>
        <vt:i4>0</vt:i4>
      </vt:variant>
      <vt:variant>
        <vt:i4>5</vt:i4>
      </vt:variant>
      <vt:variant>
        <vt:lpwstr/>
      </vt:variant>
      <vt:variant>
        <vt:lpwstr>_Toc303281114</vt:lpwstr>
      </vt:variant>
      <vt:variant>
        <vt:i4>1376313</vt:i4>
      </vt:variant>
      <vt:variant>
        <vt:i4>8</vt:i4>
      </vt:variant>
      <vt:variant>
        <vt:i4>0</vt:i4>
      </vt:variant>
      <vt:variant>
        <vt:i4>5</vt:i4>
      </vt:variant>
      <vt:variant>
        <vt:lpwstr/>
      </vt:variant>
      <vt:variant>
        <vt:lpwstr>_Toc303281113</vt:lpwstr>
      </vt:variant>
      <vt:variant>
        <vt:i4>1376313</vt:i4>
      </vt:variant>
      <vt:variant>
        <vt:i4>2</vt:i4>
      </vt:variant>
      <vt:variant>
        <vt:i4>0</vt:i4>
      </vt:variant>
      <vt:variant>
        <vt:i4>5</vt:i4>
      </vt:variant>
      <vt:variant>
        <vt:lpwstr/>
      </vt:variant>
      <vt:variant>
        <vt:lpwstr>_Toc303281112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2015-06-22T00:16:00Z</dcterms:created>
  <dcterms:modified xsi:type="dcterms:W3CDTF">2015-06-22T00:16:00Z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954200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