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heme="majorEastAsia" w:hAnsi="Times New Roman" w:cs="Times New Roman"/>
          <w:sz w:val="72"/>
          <w:szCs w:val="72"/>
        </w:rPr>
        <w:id w:val="148582585"/>
        <w:docPartObj>
          <w:docPartGallery w:val="Cover Pages"/>
          <w:docPartUnique/>
        </w:docPartObj>
      </w:sdtPr>
      <w:sdtEndPr>
        <w:rPr>
          <w:rFonts w:eastAsiaTheme="minorHAnsi"/>
          <w:b/>
          <w:bCs/>
          <w:color w:val="4F81BD" w:themeColor="accent1"/>
          <w:sz w:val="40"/>
          <w:szCs w:val="40"/>
        </w:rPr>
      </w:sdtEndPr>
      <w:sdtContent>
        <w:p w:rsidR="00E70CA1" w:rsidRPr="000904E2" w:rsidRDefault="00AC49B7" w:rsidP="00857515">
          <w:pPr>
            <w:pStyle w:val="NoSpacing"/>
            <w:spacing w:before="100" w:beforeAutospacing="1" w:after="100" w:afterAutospacing="1"/>
            <w:rPr>
              <w:rFonts w:ascii="Times New Roman" w:eastAsiaTheme="majorEastAsia" w:hAnsi="Times New Roman" w:cs="Times New Roman"/>
              <w:sz w:val="72"/>
              <w:szCs w:val="72"/>
            </w:rPr>
          </w:pPr>
          <w:r>
            <w:rPr>
              <w:rFonts w:ascii="Times New Roman" w:eastAsiaTheme="majorEastAsia" w:hAnsi="Times New Roman" w:cs="Times New Roman"/>
              <w:noProof/>
              <w:lang w:eastAsia="zh-TW"/>
            </w:rPr>
            <w:pict>
              <v:rect id="_x0000_s1026" style="position:absolute;margin-left:0;margin-top:5.65pt;width:640.85pt;height:55.45pt;z-index:251661312;mso-width-percent:1050;mso-height-percent:900;mso-position-horizontal-relative:page;mso-position-vertical-relative:top-margin-area;mso-width-percent:1050;mso-height-percent:900;mso-height-relative:top-margin-area" o:allowincell="f" fillcolor="#8db3e2 [1311]" strokecolor="#8db3e2 [1311]">
                <w10:wrap anchorx="page" anchory="margin"/>
              </v:rect>
            </w:pict>
          </w:r>
        </w:p>
        <w:p w:rsidR="00E70CA1" w:rsidRPr="000904E2" w:rsidRDefault="00E70CA1" w:rsidP="00857515">
          <w:pPr>
            <w:pStyle w:val="NoSpacing"/>
            <w:spacing w:before="100" w:beforeAutospacing="1" w:after="100" w:afterAutospacing="1"/>
            <w:rPr>
              <w:rFonts w:ascii="Times New Roman" w:eastAsiaTheme="majorEastAsia" w:hAnsi="Times New Roman" w:cs="Times New Roman"/>
              <w:sz w:val="72"/>
              <w:szCs w:val="72"/>
            </w:rPr>
          </w:pPr>
        </w:p>
        <w:p w:rsidR="002833D9" w:rsidRPr="000904E2" w:rsidRDefault="0068167A" w:rsidP="00857515">
          <w:pPr>
            <w:pStyle w:val="NoSpacing"/>
            <w:spacing w:before="100" w:beforeAutospacing="1" w:after="100" w:afterAutospacing="1"/>
            <w:rPr>
              <w:rFonts w:ascii="Times New Roman" w:eastAsiaTheme="majorEastAsia" w:hAnsi="Times New Roman" w:cs="Times New Roman"/>
              <w:sz w:val="72"/>
              <w:szCs w:val="72"/>
            </w:rPr>
          </w:pPr>
          <w:r w:rsidRPr="000904E2">
            <w:rPr>
              <w:rFonts w:ascii="Times New Roman" w:hAnsi="Times New Roman" w:cs="Times New Roman"/>
              <w:b/>
              <w:noProof/>
              <w:sz w:val="32"/>
              <w:szCs w:val="32"/>
              <w:lang w:val="en-AU" w:eastAsia="en-AU"/>
            </w:rPr>
            <w:drawing>
              <wp:inline distT="0" distB="0" distL="0" distR="0">
                <wp:extent cx="2392299" cy="1087120"/>
                <wp:effectExtent l="19050" t="0" r="8001"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duotone>
                            <a:schemeClr val="accent1">
                              <a:shade val="45000"/>
                              <a:satMod val="135000"/>
                            </a:schemeClr>
                            <a:prstClr val="white"/>
                          </a:duotone>
                        </a:blip>
                        <a:srcRect/>
                        <a:stretch>
                          <a:fillRect/>
                        </a:stretch>
                      </pic:blipFill>
                      <pic:spPr bwMode="auto">
                        <a:xfrm>
                          <a:off x="0" y="0"/>
                          <a:ext cx="2392299" cy="1087120"/>
                        </a:xfrm>
                        <a:prstGeom prst="rect">
                          <a:avLst/>
                        </a:prstGeom>
                        <a:noFill/>
                        <a:ln w="9525">
                          <a:noFill/>
                          <a:miter lim="800000"/>
                          <a:headEnd/>
                          <a:tailEnd/>
                        </a:ln>
                      </pic:spPr>
                    </pic:pic>
                  </a:graphicData>
                </a:graphic>
              </wp:inline>
            </w:drawing>
          </w:r>
          <w:r w:rsidR="00AC49B7">
            <w:rPr>
              <w:rFonts w:ascii="Times New Roman" w:eastAsiaTheme="majorEastAsia" w:hAnsi="Times New Roman" w:cs="Times New Roman"/>
              <w:noProof/>
              <w:lang w:eastAsia="zh-TW"/>
            </w:rPr>
            <w:pict>
              <v:rect id="_x0000_s1028"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00AC49B7">
            <w:rPr>
              <w:rFonts w:ascii="Times New Roman" w:eastAsiaTheme="majorEastAsia" w:hAnsi="Times New Roman" w:cs="Times New Roman"/>
              <w:noProof/>
              <w:lang w:eastAsia="zh-TW"/>
            </w:rPr>
            <w:pict>
              <v:rect id="_x0000_s1027"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p>
        <w:p w:rsidR="002833D9" w:rsidRPr="000904E2" w:rsidRDefault="00035CD3" w:rsidP="00857515">
          <w:pPr>
            <w:pStyle w:val="NoSpacing"/>
            <w:spacing w:before="100" w:beforeAutospacing="1" w:after="100" w:afterAutospacing="1"/>
            <w:rPr>
              <w:rFonts w:ascii="Times New Roman" w:eastAsiaTheme="majorEastAsia" w:hAnsi="Times New Roman" w:cs="Times New Roman"/>
              <w:b/>
              <w:sz w:val="56"/>
              <w:szCs w:val="56"/>
            </w:rPr>
          </w:pPr>
          <w:r>
            <w:rPr>
              <w:rFonts w:eastAsiaTheme="majorEastAsia" w:cstheme="majorBidi"/>
              <w:b/>
              <w:sz w:val="56"/>
              <w:szCs w:val="56"/>
            </w:rPr>
            <w:t xml:space="preserve">PROGRESS </w:t>
          </w:r>
          <w:r w:rsidRPr="00035CD3">
            <w:rPr>
              <w:rFonts w:eastAsiaTheme="majorEastAsia" w:cstheme="majorBidi"/>
              <w:b/>
              <w:sz w:val="56"/>
              <w:szCs w:val="56"/>
            </w:rPr>
            <w:t>REPORT</w:t>
          </w:r>
        </w:p>
        <w:p w:rsidR="002833D9" w:rsidRPr="00035CD3" w:rsidRDefault="0053187E" w:rsidP="00857515">
          <w:pPr>
            <w:pStyle w:val="NoSpacing"/>
            <w:spacing w:before="100" w:beforeAutospacing="1" w:after="100" w:afterAutospacing="1"/>
            <w:rPr>
              <w:rFonts w:eastAsiaTheme="majorEastAsia" w:cs="Times New Roman"/>
              <w:sz w:val="36"/>
              <w:szCs w:val="36"/>
            </w:rPr>
          </w:pPr>
          <w:r w:rsidRPr="00035CD3">
            <w:rPr>
              <w:rFonts w:eastAsiaTheme="majorEastAsia" w:cs="Times New Roman"/>
              <w:sz w:val="36"/>
              <w:szCs w:val="36"/>
            </w:rPr>
            <w:t xml:space="preserve">Covering the period </w:t>
          </w:r>
          <w:r w:rsidR="00F84B79" w:rsidRPr="00035CD3">
            <w:rPr>
              <w:rFonts w:eastAsiaTheme="majorEastAsia" w:cs="Times New Roman"/>
              <w:sz w:val="36"/>
              <w:szCs w:val="36"/>
            </w:rPr>
            <w:t xml:space="preserve">since inception </w:t>
          </w:r>
          <w:r w:rsidR="00CC734F" w:rsidRPr="00035CD3">
            <w:rPr>
              <w:rFonts w:eastAsiaTheme="majorEastAsia" w:cs="Times New Roman"/>
              <w:sz w:val="36"/>
              <w:szCs w:val="36"/>
            </w:rPr>
            <w:t xml:space="preserve">- </w:t>
          </w:r>
          <w:r w:rsidR="00F02BEF" w:rsidRPr="00035CD3">
            <w:rPr>
              <w:rFonts w:eastAsiaTheme="majorEastAsia" w:cs="Times New Roman"/>
              <w:sz w:val="36"/>
              <w:szCs w:val="36"/>
            </w:rPr>
            <w:t>March</w:t>
          </w:r>
          <w:r w:rsidR="00F84B79" w:rsidRPr="00035CD3">
            <w:rPr>
              <w:rFonts w:eastAsiaTheme="majorEastAsia" w:cs="Times New Roman"/>
              <w:sz w:val="36"/>
              <w:szCs w:val="36"/>
            </w:rPr>
            <w:t xml:space="preserve"> 2012</w:t>
          </w:r>
        </w:p>
        <w:p w:rsidR="00F84B79" w:rsidRPr="000904E2" w:rsidRDefault="00F84B79" w:rsidP="00857515">
          <w:pPr>
            <w:pStyle w:val="NoSpacing"/>
            <w:rPr>
              <w:rFonts w:ascii="Times New Roman" w:hAnsi="Times New Roman" w:cs="Times New Roman"/>
              <w:b/>
              <w:sz w:val="32"/>
              <w:szCs w:val="32"/>
            </w:rPr>
          </w:pPr>
        </w:p>
        <w:p w:rsidR="00F84B79" w:rsidRPr="00035CD3" w:rsidRDefault="0053187E" w:rsidP="00857515">
          <w:pPr>
            <w:pStyle w:val="NoSpacing"/>
            <w:rPr>
              <w:rFonts w:cs="Times New Roman"/>
              <w:b/>
              <w:sz w:val="32"/>
              <w:szCs w:val="32"/>
            </w:rPr>
          </w:pPr>
          <w:r w:rsidRPr="00035CD3">
            <w:rPr>
              <w:rFonts w:cs="Times New Roman"/>
              <w:b/>
              <w:sz w:val="32"/>
              <w:szCs w:val="32"/>
            </w:rPr>
            <w:t>EI-TAF Donor</w:t>
          </w:r>
          <w:r w:rsidR="00B20B87" w:rsidRPr="00035CD3">
            <w:rPr>
              <w:rFonts w:cs="Times New Roman"/>
              <w:b/>
              <w:sz w:val="32"/>
              <w:szCs w:val="32"/>
            </w:rPr>
            <w:t>s</w:t>
          </w:r>
          <w:r w:rsidRPr="00035CD3">
            <w:rPr>
              <w:rFonts w:cs="Times New Roman"/>
              <w:b/>
              <w:sz w:val="32"/>
              <w:szCs w:val="32"/>
            </w:rPr>
            <w:t xml:space="preserve"> </w:t>
          </w:r>
          <w:r w:rsidR="00F84B79" w:rsidRPr="00035CD3">
            <w:rPr>
              <w:rFonts w:cs="Times New Roman"/>
              <w:b/>
              <w:sz w:val="32"/>
              <w:szCs w:val="32"/>
            </w:rPr>
            <w:t>Meeting</w:t>
          </w:r>
        </w:p>
        <w:p w:rsidR="00035CD3" w:rsidRDefault="00035CD3" w:rsidP="00F75F2B">
          <w:pPr>
            <w:pStyle w:val="NoSpacing"/>
            <w:tabs>
              <w:tab w:val="left" w:pos="5159"/>
            </w:tabs>
            <w:rPr>
              <w:b/>
              <w:sz w:val="32"/>
              <w:szCs w:val="32"/>
            </w:rPr>
          </w:pPr>
          <w:r>
            <w:rPr>
              <w:b/>
              <w:sz w:val="32"/>
              <w:szCs w:val="32"/>
            </w:rPr>
            <w:t>World Bank Group Headquarters</w:t>
          </w:r>
          <w:r w:rsidR="00F75F2B">
            <w:rPr>
              <w:b/>
              <w:sz w:val="32"/>
              <w:szCs w:val="32"/>
            </w:rPr>
            <w:tab/>
          </w:r>
        </w:p>
        <w:p w:rsidR="00035CD3" w:rsidRDefault="00035CD3" w:rsidP="00035CD3">
          <w:pPr>
            <w:pStyle w:val="NoSpacing"/>
            <w:rPr>
              <w:rFonts w:cs="Times New Roman"/>
              <w:b/>
              <w:sz w:val="32"/>
              <w:szCs w:val="32"/>
            </w:rPr>
          </w:pPr>
          <w:r>
            <w:rPr>
              <w:b/>
              <w:sz w:val="32"/>
              <w:szCs w:val="32"/>
            </w:rPr>
            <w:t>Washington, DC</w:t>
          </w:r>
          <w:r w:rsidRPr="00035CD3">
            <w:rPr>
              <w:rFonts w:cs="Times New Roman"/>
              <w:b/>
              <w:sz w:val="32"/>
              <w:szCs w:val="32"/>
            </w:rPr>
            <w:t xml:space="preserve"> </w:t>
          </w:r>
        </w:p>
        <w:p w:rsidR="0068339A" w:rsidRPr="00035CD3" w:rsidRDefault="00F84B79" w:rsidP="00035CD3">
          <w:pPr>
            <w:pStyle w:val="NoSpacing"/>
            <w:rPr>
              <w:rFonts w:cs="Times New Roman"/>
              <w:b/>
              <w:sz w:val="32"/>
              <w:szCs w:val="32"/>
            </w:rPr>
          </w:pPr>
          <w:r w:rsidRPr="00035CD3">
            <w:rPr>
              <w:rFonts w:cs="Times New Roman"/>
              <w:b/>
              <w:sz w:val="32"/>
              <w:szCs w:val="32"/>
            </w:rPr>
            <w:t>April 19, 2012</w:t>
          </w:r>
        </w:p>
        <w:p w:rsidR="00F07AB5" w:rsidRPr="000904E2" w:rsidRDefault="00F07AB5" w:rsidP="00857515">
          <w:pPr>
            <w:pStyle w:val="NoSpacing"/>
            <w:rPr>
              <w:rFonts w:ascii="Times New Roman" w:hAnsi="Times New Roman" w:cs="Times New Roman"/>
              <w:b/>
              <w:sz w:val="32"/>
              <w:szCs w:val="32"/>
            </w:rPr>
          </w:pPr>
        </w:p>
        <w:p w:rsidR="002833D9" w:rsidRPr="000904E2" w:rsidRDefault="002833D9" w:rsidP="00857515">
          <w:pPr>
            <w:spacing w:before="100" w:beforeAutospacing="1" w:after="100" w:afterAutospacing="1" w:line="240" w:lineRule="auto"/>
            <w:rPr>
              <w:sz w:val="32"/>
              <w:szCs w:val="32"/>
            </w:rPr>
          </w:pPr>
        </w:p>
        <w:p w:rsidR="0053187E" w:rsidRPr="000904E2" w:rsidRDefault="0053187E" w:rsidP="00857515">
          <w:pPr>
            <w:spacing w:before="100" w:beforeAutospacing="1" w:after="100" w:afterAutospacing="1" w:line="240" w:lineRule="auto"/>
            <w:rPr>
              <w:sz w:val="32"/>
              <w:szCs w:val="32"/>
            </w:rPr>
          </w:pPr>
        </w:p>
        <w:p w:rsidR="0053187E" w:rsidRPr="000904E2" w:rsidRDefault="0053187E" w:rsidP="00857515">
          <w:pPr>
            <w:spacing w:before="100" w:beforeAutospacing="1" w:after="100" w:afterAutospacing="1" w:line="240" w:lineRule="auto"/>
            <w:rPr>
              <w:sz w:val="32"/>
              <w:szCs w:val="32"/>
            </w:rPr>
          </w:pPr>
        </w:p>
        <w:p w:rsidR="0053187E" w:rsidRPr="000904E2" w:rsidRDefault="0053187E" w:rsidP="00857515">
          <w:pPr>
            <w:pStyle w:val="NoSpacing"/>
            <w:spacing w:before="100" w:beforeAutospacing="1" w:after="100" w:afterAutospacing="1"/>
            <w:rPr>
              <w:rFonts w:ascii="Times New Roman" w:hAnsi="Times New Roman" w:cs="Times New Roman"/>
              <w:b/>
              <w:sz w:val="32"/>
              <w:szCs w:val="32"/>
            </w:rPr>
          </w:pPr>
          <w:r w:rsidRPr="000904E2">
            <w:rPr>
              <w:rFonts w:ascii="Times New Roman" w:hAnsi="Times New Roman" w:cs="Times New Roman"/>
              <w:b/>
              <w:sz w:val="32"/>
              <w:szCs w:val="32"/>
            </w:rPr>
            <w:t>The World Bank</w:t>
          </w:r>
        </w:p>
        <w:p w:rsidR="002833D9" w:rsidRPr="000904E2" w:rsidRDefault="00AC49B7" w:rsidP="00857515">
          <w:pPr>
            <w:spacing w:before="100" w:beforeAutospacing="1" w:after="100" w:afterAutospacing="1" w:line="240" w:lineRule="auto"/>
            <w:rPr>
              <w:b/>
              <w:bCs/>
              <w:color w:val="4F81BD" w:themeColor="accent1"/>
              <w:sz w:val="40"/>
              <w:szCs w:val="40"/>
            </w:rPr>
          </w:pPr>
          <w:r>
            <w:rPr>
              <w:rFonts w:eastAsiaTheme="majorEastAsia"/>
              <w:noProof/>
              <w:sz w:val="72"/>
              <w:szCs w:val="72"/>
            </w:rPr>
            <w:pict>
              <v:rect id="_x0000_s1029" style="position:absolute;margin-left:-.75pt;margin-top:727.5pt;width:641.75pt;height:64pt;z-index:-251652096;mso-width-percent:1050;mso-height-percent:900;mso-position-horizontal-relative:page;mso-position-vertical-relative:top-margin-area;mso-width-percent:1050;mso-height-percent:900;mso-height-relative:top-margin-area" o:allowincell="f" fillcolor="#8db3e2 [1311]" strokecolor="#8db3e2 [1311]">
                <w10:wrap anchorx="page" anchory="margin"/>
              </v:rect>
            </w:pict>
          </w:r>
          <w:r w:rsidR="002833D9" w:rsidRPr="000904E2">
            <w:rPr>
              <w:b/>
              <w:bCs/>
              <w:color w:val="4F81BD" w:themeColor="accent1"/>
              <w:sz w:val="40"/>
              <w:szCs w:val="40"/>
            </w:rPr>
            <w:br w:type="page"/>
          </w:r>
        </w:p>
      </w:sdtContent>
    </w:sdt>
    <w:p w:rsidR="002D7DFB" w:rsidRPr="000904E2" w:rsidRDefault="002D7DFB" w:rsidP="00857515">
      <w:pPr>
        <w:pStyle w:val="ListParagraph"/>
        <w:spacing w:after="0" w:line="240" w:lineRule="auto"/>
        <w:rPr>
          <w:b/>
          <w:szCs w:val="24"/>
        </w:rPr>
      </w:pPr>
    </w:p>
    <w:p w:rsidR="00F07AB5" w:rsidRPr="00035CD3" w:rsidRDefault="00F07AB5" w:rsidP="00857515">
      <w:pPr>
        <w:pStyle w:val="ListParagraph"/>
        <w:numPr>
          <w:ilvl w:val="0"/>
          <w:numId w:val="6"/>
        </w:numPr>
        <w:spacing w:before="100" w:beforeAutospacing="1" w:after="100" w:afterAutospacing="1" w:line="240" w:lineRule="auto"/>
        <w:ind w:left="720"/>
        <w:rPr>
          <w:rFonts w:asciiTheme="minorHAnsi" w:hAnsiTheme="minorHAnsi"/>
          <w:b/>
          <w:u w:val="single"/>
        </w:rPr>
      </w:pPr>
      <w:r w:rsidRPr="00035CD3">
        <w:rPr>
          <w:rFonts w:asciiTheme="minorHAnsi" w:hAnsiTheme="minorHAnsi"/>
          <w:b/>
          <w:u w:val="single"/>
        </w:rPr>
        <w:t>INTRODUCTION</w:t>
      </w:r>
    </w:p>
    <w:p w:rsidR="004E0014" w:rsidRPr="00035CD3" w:rsidRDefault="002E46A8" w:rsidP="00857515">
      <w:pPr>
        <w:spacing w:before="100" w:beforeAutospacing="1" w:after="100" w:afterAutospacing="1" w:line="240" w:lineRule="auto"/>
        <w:jc w:val="both"/>
        <w:rPr>
          <w:rFonts w:asciiTheme="minorHAnsi" w:hAnsiTheme="minorHAnsi"/>
          <w:sz w:val="22"/>
        </w:rPr>
      </w:pPr>
      <w:r w:rsidRPr="00035CD3">
        <w:rPr>
          <w:rFonts w:asciiTheme="minorHAnsi" w:hAnsiTheme="minorHAnsi"/>
          <w:sz w:val="22"/>
        </w:rPr>
        <w:t>This</w:t>
      </w:r>
      <w:r w:rsidR="00BF5829" w:rsidRPr="00035CD3">
        <w:rPr>
          <w:rFonts w:asciiTheme="minorHAnsi" w:hAnsiTheme="minorHAnsi"/>
          <w:sz w:val="22"/>
        </w:rPr>
        <w:t xml:space="preserve"> report has been prepared with a view to providing </w:t>
      </w:r>
      <w:r w:rsidR="00DB34A2" w:rsidRPr="00035CD3">
        <w:rPr>
          <w:rFonts w:asciiTheme="minorHAnsi" w:hAnsiTheme="minorHAnsi"/>
          <w:sz w:val="22"/>
        </w:rPr>
        <w:t>Extractive Industries Technical Advisory Facility (</w:t>
      </w:r>
      <w:r w:rsidR="00BF5829" w:rsidRPr="00035CD3">
        <w:rPr>
          <w:rFonts w:asciiTheme="minorHAnsi" w:hAnsiTheme="minorHAnsi"/>
          <w:sz w:val="22"/>
        </w:rPr>
        <w:t>EI-TAF</w:t>
      </w:r>
      <w:r w:rsidR="00DB34A2" w:rsidRPr="00035CD3">
        <w:rPr>
          <w:rFonts w:asciiTheme="minorHAnsi" w:hAnsiTheme="minorHAnsi"/>
          <w:sz w:val="22"/>
        </w:rPr>
        <w:t>)</w:t>
      </w:r>
      <w:r w:rsidR="00BF5829" w:rsidRPr="00035CD3">
        <w:rPr>
          <w:rFonts w:asciiTheme="minorHAnsi" w:hAnsiTheme="minorHAnsi"/>
          <w:sz w:val="22"/>
        </w:rPr>
        <w:t xml:space="preserve"> donors with an update on progress made </w:t>
      </w:r>
      <w:r w:rsidR="00043702" w:rsidRPr="00035CD3">
        <w:rPr>
          <w:rFonts w:asciiTheme="minorHAnsi" w:hAnsiTheme="minorHAnsi"/>
          <w:sz w:val="22"/>
        </w:rPr>
        <w:t>since</w:t>
      </w:r>
      <w:r w:rsidR="004F4FE1" w:rsidRPr="00035CD3">
        <w:rPr>
          <w:rFonts w:asciiTheme="minorHAnsi" w:hAnsiTheme="minorHAnsi"/>
          <w:sz w:val="22"/>
        </w:rPr>
        <w:t xml:space="preserve"> the program</w:t>
      </w:r>
      <w:r w:rsidR="00043702" w:rsidRPr="00035CD3">
        <w:rPr>
          <w:rFonts w:asciiTheme="minorHAnsi" w:hAnsiTheme="minorHAnsi"/>
          <w:sz w:val="22"/>
        </w:rPr>
        <w:t>’s</w:t>
      </w:r>
      <w:r w:rsidR="004F4FE1" w:rsidRPr="00035CD3">
        <w:rPr>
          <w:rFonts w:asciiTheme="minorHAnsi" w:hAnsiTheme="minorHAnsi"/>
          <w:sz w:val="22"/>
        </w:rPr>
        <w:t xml:space="preserve"> </w:t>
      </w:r>
      <w:r w:rsidR="005960C5" w:rsidRPr="00035CD3">
        <w:rPr>
          <w:rFonts w:asciiTheme="minorHAnsi" w:hAnsiTheme="minorHAnsi"/>
          <w:sz w:val="22"/>
        </w:rPr>
        <w:t>inception</w:t>
      </w:r>
      <w:r w:rsidR="00DB34A2" w:rsidRPr="00035CD3">
        <w:rPr>
          <w:rFonts w:asciiTheme="minorHAnsi" w:hAnsiTheme="minorHAnsi"/>
          <w:sz w:val="22"/>
        </w:rPr>
        <w:t xml:space="preserve"> in 2009</w:t>
      </w:r>
      <w:r w:rsidR="00BF5829" w:rsidRPr="00035CD3">
        <w:rPr>
          <w:rFonts w:asciiTheme="minorHAnsi" w:hAnsiTheme="minorHAnsi"/>
          <w:sz w:val="22"/>
        </w:rPr>
        <w:t>.</w:t>
      </w:r>
      <w:r w:rsidR="0068167A" w:rsidRPr="00035CD3">
        <w:rPr>
          <w:rFonts w:asciiTheme="minorHAnsi" w:hAnsiTheme="minorHAnsi"/>
          <w:sz w:val="22"/>
        </w:rPr>
        <w:t xml:space="preserve"> </w:t>
      </w:r>
      <w:r w:rsidR="004F4FE1" w:rsidRPr="00035CD3">
        <w:rPr>
          <w:rFonts w:asciiTheme="minorHAnsi" w:hAnsiTheme="minorHAnsi"/>
          <w:sz w:val="22"/>
        </w:rPr>
        <w:t xml:space="preserve">The report </w:t>
      </w:r>
      <w:r w:rsidRPr="00035CD3">
        <w:rPr>
          <w:rFonts w:asciiTheme="minorHAnsi" w:hAnsiTheme="minorHAnsi"/>
          <w:sz w:val="22"/>
        </w:rPr>
        <w:t>is</w:t>
      </w:r>
      <w:r w:rsidR="004F4FE1" w:rsidRPr="00035CD3">
        <w:rPr>
          <w:rFonts w:asciiTheme="minorHAnsi" w:hAnsiTheme="minorHAnsi"/>
          <w:sz w:val="22"/>
        </w:rPr>
        <w:t xml:space="preserve"> divided into </w:t>
      </w:r>
      <w:r w:rsidRPr="00035CD3">
        <w:rPr>
          <w:rFonts w:asciiTheme="minorHAnsi" w:hAnsiTheme="minorHAnsi"/>
          <w:sz w:val="22"/>
        </w:rPr>
        <w:t xml:space="preserve">three </w:t>
      </w:r>
      <w:r w:rsidR="004F4FE1" w:rsidRPr="00035CD3">
        <w:rPr>
          <w:rFonts w:asciiTheme="minorHAnsi" w:hAnsiTheme="minorHAnsi"/>
          <w:sz w:val="22"/>
        </w:rPr>
        <w:t xml:space="preserve">sections: </w:t>
      </w:r>
      <w:r w:rsidR="00F07AB5" w:rsidRPr="00035CD3">
        <w:rPr>
          <w:rFonts w:asciiTheme="minorHAnsi" w:hAnsiTheme="minorHAnsi"/>
          <w:sz w:val="22"/>
        </w:rPr>
        <w:t xml:space="preserve">Section One </w:t>
      </w:r>
      <w:r w:rsidR="004F4FE1" w:rsidRPr="00035CD3">
        <w:rPr>
          <w:rFonts w:asciiTheme="minorHAnsi" w:hAnsiTheme="minorHAnsi"/>
          <w:sz w:val="22"/>
        </w:rPr>
        <w:t>provides an introduction to and background on EI-TAF</w:t>
      </w:r>
      <w:r w:rsidR="00043702" w:rsidRPr="00035CD3">
        <w:rPr>
          <w:rFonts w:asciiTheme="minorHAnsi" w:hAnsiTheme="minorHAnsi"/>
          <w:sz w:val="22"/>
        </w:rPr>
        <w:t>;</w:t>
      </w:r>
      <w:r w:rsidR="004F4FE1" w:rsidRPr="00035CD3">
        <w:rPr>
          <w:rFonts w:asciiTheme="minorHAnsi" w:hAnsiTheme="minorHAnsi"/>
          <w:sz w:val="22"/>
        </w:rPr>
        <w:t xml:space="preserve"> </w:t>
      </w:r>
      <w:r w:rsidR="00F07AB5" w:rsidRPr="00035CD3">
        <w:rPr>
          <w:rFonts w:asciiTheme="minorHAnsi" w:hAnsiTheme="minorHAnsi"/>
          <w:sz w:val="22"/>
        </w:rPr>
        <w:t>Section Two</w:t>
      </w:r>
      <w:r w:rsidR="004F4FE1" w:rsidRPr="00035CD3">
        <w:rPr>
          <w:rFonts w:asciiTheme="minorHAnsi" w:hAnsiTheme="minorHAnsi"/>
          <w:sz w:val="22"/>
        </w:rPr>
        <w:t xml:space="preserve"> provides an update o</w:t>
      </w:r>
      <w:r w:rsidR="005960C5" w:rsidRPr="00035CD3">
        <w:rPr>
          <w:rFonts w:asciiTheme="minorHAnsi" w:hAnsiTheme="minorHAnsi"/>
          <w:sz w:val="22"/>
        </w:rPr>
        <w:t>n</w:t>
      </w:r>
      <w:r w:rsidR="004F4FE1" w:rsidRPr="00035CD3">
        <w:rPr>
          <w:rFonts w:asciiTheme="minorHAnsi" w:hAnsiTheme="minorHAnsi"/>
          <w:sz w:val="22"/>
        </w:rPr>
        <w:t xml:space="preserve"> the current status of the Facility </w:t>
      </w:r>
      <w:r w:rsidR="002340A3" w:rsidRPr="00035CD3">
        <w:rPr>
          <w:rFonts w:asciiTheme="minorHAnsi" w:hAnsiTheme="minorHAnsi"/>
          <w:sz w:val="22"/>
        </w:rPr>
        <w:t xml:space="preserve">and its </w:t>
      </w:r>
      <w:r w:rsidR="005960C5" w:rsidRPr="00035CD3">
        <w:rPr>
          <w:rFonts w:asciiTheme="minorHAnsi" w:hAnsiTheme="minorHAnsi"/>
          <w:sz w:val="22"/>
        </w:rPr>
        <w:t>activities</w:t>
      </w:r>
      <w:r w:rsidR="00F11833" w:rsidRPr="00035CD3">
        <w:rPr>
          <w:rFonts w:asciiTheme="minorHAnsi" w:hAnsiTheme="minorHAnsi"/>
          <w:sz w:val="22"/>
        </w:rPr>
        <w:t>; and Section Three discusses emerging lessons</w:t>
      </w:r>
      <w:r w:rsidR="00043702" w:rsidRPr="00035CD3">
        <w:rPr>
          <w:rFonts w:asciiTheme="minorHAnsi" w:hAnsiTheme="minorHAnsi"/>
          <w:sz w:val="22"/>
        </w:rPr>
        <w:t>.</w:t>
      </w:r>
      <w:r w:rsidR="002340A3" w:rsidRPr="00035CD3">
        <w:rPr>
          <w:rFonts w:asciiTheme="minorHAnsi" w:hAnsiTheme="minorHAnsi"/>
          <w:sz w:val="22"/>
        </w:rPr>
        <w:t xml:space="preserve"> </w:t>
      </w:r>
      <w:r w:rsidR="0037496C" w:rsidRPr="00035CD3">
        <w:rPr>
          <w:rFonts w:asciiTheme="minorHAnsi" w:hAnsiTheme="minorHAnsi"/>
          <w:sz w:val="22"/>
        </w:rPr>
        <w:t>The</w:t>
      </w:r>
      <w:r w:rsidR="002340A3" w:rsidRPr="00035CD3">
        <w:rPr>
          <w:rFonts w:asciiTheme="minorHAnsi" w:hAnsiTheme="minorHAnsi"/>
          <w:sz w:val="22"/>
        </w:rPr>
        <w:t xml:space="preserve"> financial </w:t>
      </w:r>
      <w:r w:rsidR="00DE03CA" w:rsidRPr="00035CD3">
        <w:rPr>
          <w:rFonts w:asciiTheme="minorHAnsi" w:hAnsiTheme="minorHAnsi"/>
          <w:sz w:val="22"/>
        </w:rPr>
        <w:t>report, incl</w:t>
      </w:r>
      <w:r w:rsidR="00CF5774" w:rsidRPr="00035CD3">
        <w:rPr>
          <w:rFonts w:asciiTheme="minorHAnsi" w:hAnsiTheme="minorHAnsi"/>
          <w:sz w:val="22"/>
        </w:rPr>
        <w:t>uding sources and uses of funds</w:t>
      </w:r>
      <w:r w:rsidR="006966BD" w:rsidRPr="00035CD3">
        <w:rPr>
          <w:rFonts w:asciiTheme="minorHAnsi" w:hAnsiTheme="minorHAnsi"/>
          <w:sz w:val="22"/>
        </w:rPr>
        <w:t>, will be provided separately</w:t>
      </w:r>
      <w:r w:rsidR="00CF5774" w:rsidRPr="00035CD3">
        <w:rPr>
          <w:rFonts w:asciiTheme="minorHAnsi" w:hAnsiTheme="minorHAnsi"/>
          <w:sz w:val="22"/>
        </w:rPr>
        <w:t>.</w:t>
      </w:r>
    </w:p>
    <w:p w:rsidR="004E0014" w:rsidRPr="00127D48" w:rsidRDefault="002D7DFB" w:rsidP="00857515">
      <w:pPr>
        <w:pStyle w:val="Default"/>
        <w:tabs>
          <w:tab w:val="num" w:pos="720"/>
        </w:tabs>
        <w:jc w:val="both"/>
        <w:rPr>
          <w:rFonts w:asciiTheme="minorHAnsi" w:hAnsiTheme="minorHAnsi"/>
          <w:b/>
          <w:sz w:val="24"/>
          <w:szCs w:val="24"/>
        </w:rPr>
      </w:pPr>
      <w:r w:rsidRPr="00127D48">
        <w:rPr>
          <w:rFonts w:asciiTheme="minorHAnsi" w:hAnsiTheme="minorHAnsi"/>
          <w:b/>
          <w:sz w:val="24"/>
          <w:szCs w:val="24"/>
        </w:rPr>
        <w:t>Background</w:t>
      </w:r>
      <w:r w:rsidR="00EC7CA0" w:rsidRPr="00127D48">
        <w:rPr>
          <w:rFonts w:asciiTheme="minorHAnsi" w:hAnsiTheme="minorHAnsi"/>
          <w:b/>
          <w:sz w:val="24"/>
          <w:szCs w:val="24"/>
        </w:rPr>
        <w:t xml:space="preserve">—Objectives </w:t>
      </w:r>
      <w:r w:rsidR="002A6FBD" w:rsidRPr="00127D48">
        <w:rPr>
          <w:rFonts w:asciiTheme="minorHAnsi" w:hAnsiTheme="minorHAnsi"/>
          <w:b/>
          <w:sz w:val="24"/>
          <w:szCs w:val="24"/>
        </w:rPr>
        <w:t>and Expected Outcomes</w:t>
      </w:r>
    </w:p>
    <w:p w:rsidR="004E0014" w:rsidRPr="00035CD3" w:rsidRDefault="004E0014" w:rsidP="00857515">
      <w:pPr>
        <w:spacing w:after="0" w:line="240" w:lineRule="auto"/>
        <w:jc w:val="both"/>
        <w:rPr>
          <w:rFonts w:asciiTheme="minorHAnsi" w:hAnsiTheme="minorHAnsi"/>
          <w:sz w:val="22"/>
        </w:rPr>
      </w:pPr>
    </w:p>
    <w:p w:rsidR="004E0014" w:rsidRPr="00035CD3" w:rsidRDefault="00687971" w:rsidP="00857515">
      <w:pPr>
        <w:spacing w:after="0" w:line="240" w:lineRule="auto"/>
        <w:jc w:val="both"/>
        <w:rPr>
          <w:rFonts w:asciiTheme="minorHAnsi" w:hAnsiTheme="minorHAnsi"/>
          <w:b/>
          <w:sz w:val="22"/>
        </w:rPr>
      </w:pPr>
      <w:r w:rsidRPr="00035CD3">
        <w:rPr>
          <w:rFonts w:asciiTheme="minorHAnsi" w:hAnsiTheme="minorHAnsi"/>
          <w:sz w:val="22"/>
        </w:rPr>
        <w:t>The objective of EI-TAF</w:t>
      </w:r>
      <w:r w:rsidR="002A6FBD" w:rsidRPr="00035CD3">
        <w:rPr>
          <w:rFonts w:asciiTheme="minorHAnsi" w:hAnsiTheme="minorHAnsi"/>
          <w:sz w:val="22"/>
        </w:rPr>
        <w:t xml:space="preserve"> </w:t>
      </w:r>
      <w:r w:rsidRPr="00035CD3">
        <w:rPr>
          <w:rFonts w:asciiTheme="minorHAnsi" w:hAnsiTheme="minorHAnsi"/>
          <w:sz w:val="22"/>
        </w:rPr>
        <w:t>is to assist resource-rich, developing countries to correctly structure extractive industry transactions and related sector policies from the outset, thus reducing the risk of costly or politically difficult remediation at a later stage. The EI-TAF facilitates rapid-response advisory services and capacity building for extractive industry resource policy frameworks and transactions. EI-TAF also supports the production and dissemination of global knowledge products on extractive industry sector issues to help address the lack of an integrated body of good practice for sound extractive industry sector governance and management</w:t>
      </w:r>
      <w:r w:rsidR="00DB34A2" w:rsidRPr="00035CD3">
        <w:rPr>
          <w:rFonts w:asciiTheme="minorHAnsi" w:hAnsiTheme="minorHAnsi"/>
          <w:sz w:val="22"/>
        </w:rPr>
        <w:t xml:space="preserve"> around proposed developments</w:t>
      </w:r>
      <w:r w:rsidRPr="00035CD3">
        <w:rPr>
          <w:rFonts w:asciiTheme="minorHAnsi" w:hAnsiTheme="minorHAnsi"/>
          <w:sz w:val="22"/>
        </w:rPr>
        <w:t xml:space="preserve">. </w:t>
      </w:r>
    </w:p>
    <w:p w:rsidR="004E0014" w:rsidRPr="00035CD3" w:rsidRDefault="00480944" w:rsidP="00857515">
      <w:pPr>
        <w:spacing w:before="100" w:beforeAutospacing="1" w:after="100" w:afterAutospacing="1" w:line="240" w:lineRule="auto"/>
        <w:jc w:val="both"/>
        <w:rPr>
          <w:rFonts w:asciiTheme="minorHAnsi" w:hAnsiTheme="minorHAnsi"/>
          <w:sz w:val="22"/>
        </w:rPr>
      </w:pPr>
      <w:r w:rsidRPr="00035CD3">
        <w:rPr>
          <w:rFonts w:asciiTheme="minorHAnsi" w:hAnsiTheme="minorHAnsi"/>
          <w:sz w:val="22"/>
        </w:rPr>
        <w:t>The expected</w:t>
      </w:r>
      <w:r w:rsidR="00CB7F46" w:rsidRPr="00035CD3">
        <w:rPr>
          <w:rFonts w:asciiTheme="minorHAnsi" w:hAnsiTheme="minorHAnsi"/>
          <w:sz w:val="22"/>
        </w:rPr>
        <w:t xml:space="preserve"> outcome</w:t>
      </w:r>
      <w:r w:rsidRPr="00035CD3">
        <w:rPr>
          <w:rFonts w:asciiTheme="minorHAnsi" w:hAnsiTheme="minorHAnsi"/>
          <w:sz w:val="22"/>
        </w:rPr>
        <w:t xml:space="preserve"> from EI-TAF assistance is to level the playing field and ensure that resource-rich, developing countries, and ultimately their citizens, benefit from the exploitation o</w:t>
      </w:r>
      <w:r w:rsidR="002A6FBD" w:rsidRPr="00035CD3">
        <w:rPr>
          <w:rFonts w:asciiTheme="minorHAnsi" w:hAnsiTheme="minorHAnsi"/>
          <w:sz w:val="22"/>
        </w:rPr>
        <w:t>f their extractive resources.</w:t>
      </w:r>
      <w:r w:rsidR="0068167A" w:rsidRPr="00035CD3">
        <w:rPr>
          <w:rFonts w:asciiTheme="minorHAnsi" w:hAnsiTheme="minorHAnsi"/>
          <w:sz w:val="22"/>
        </w:rPr>
        <w:t xml:space="preserve"> </w:t>
      </w:r>
      <w:r w:rsidRPr="00035CD3">
        <w:rPr>
          <w:rFonts w:asciiTheme="minorHAnsi" w:hAnsiTheme="minorHAnsi"/>
          <w:sz w:val="22"/>
        </w:rPr>
        <w:t xml:space="preserve">A robust, results-based performance framework, including quantitative and qualitative indicators, will be </w:t>
      </w:r>
      <w:r w:rsidR="00633B3B">
        <w:rPr>
          <w:rFonts w:asciiTheme="minorHAnsi" w:hAnsiTheme="minorHAnsi"/>
          <w:sz w:val="22"/>
        </w:rPr>
        <w:t xml:space="preserve">developed and </w:t>
      </w:r>
      <w:r w:rsidRPr="00035CD3">
        <w:rPr>
          <w:rFonts w:asciiTheme="minorHAnsi" w:hAnsiTheme="minorHAnsi"/>
          <w:sz w:val="22"/>
        </w:rPr>
        <w:t>used to evaluate EI-TAF interventions.</w:t>
      </w:r>
      <w:r w:rsidR="0068167A" w:rsidRPr="00035CD3">
        <w:rPr>
          <w:rFonts w:asciiTheme="minorHAnsi" w:hAnsiTheme="minorHAnsi"/>
          <w:sz w:val="22"/>
        </w:rPr>
        <w:t xml:space="preserve"> </w:t>
      </w:r>
    </w:p>
    <w:p w:rsidR="004E0014" w:rsidRPr="00035CD3" w:rsidRDefault="002A6FBD" w:rsidP="00857515">
      <w:pPr>
        <w:spacing w:after="0" w:line="240" w:lineRule="auto"/>
        <w:jc w:val="both"/>
        <w:rPr>
          <w:rFonts w:asciiTheme="minorHAnsi" w:hAnsiTheme="minorHAnsi"/>
          <w:b/>
          <w:szCs w:val="24"/>
        </w:rPr>
      </w:pPr>
      <w:r w:rsidRPr="00035CD3">
        <w:rPr>
          <w:rFonts w:asciiTheme="minorHAnsi" w:hAnsiTheme="minorHAnsi"/>
          <w:b/>
          <w:szCs w:val="24"/>
        </w:rPr>
        <w:t>Key Components</w:t>
      </w:r>
    </w:p>
    <w:p w:rsidR="004E0014" w:rsidRPr="00035CD3" w:rsidRDefault="004E0014" w:rsidP="00857515">
      <w:pPr>
        <w:spacing w:after="0" w:line="240" w:lineRule="auto"/>
        <w:jc w:val="both"/>
        <w:rPr>
          <w:rFonts w:asciiTheme="minorHAnsi" w:hAnsiTheme="minorHAnsi"/>
          <w:sz w:val="22"/>
        </w:rPr>
      </w:pPr>
    </w:p>
    <w:p w:rsidR="004E0014" w:rsidRDefault="00B606A6" w:rsidP="00857515">
      <w:pPr>
        <w:spacing w:after="0" w:line="240" w:lineRule="auto"/>
        <w:jc w:val="both"/>
        <w:rPr>
          <w:rFonts w:asciiTheme="minorHAnsi" w:hAnsiTheme="minorHAnsi"/>
          <w:sz w:val="22"/>
        </w:rPr>
      </w:pPr>
      <w:r w:rsidRPr="00035CD3">
        <w:rPr>
          <w:rFonts w:asciiTheme="minorHAnsi" w:hAnsiTheme="minorHAnsi"/>
          <w:sz w:val="22"/>
        </w:rPr>
        <w:t xml:space="preserve">The </w:t>
      </w:r>
      <w:r w:rsidR="005A260A" w:rsidRPr="00035CD3">
        <w:rPr>
          <w:rFonts w:asciiTheme="minorHAnsi" w:hAnsiTheme="minorHAnsi"/>
          <w:sz w:val="22"/>
        </w:rPr>
        <w:t xml:space="preserve">EI-TAF </w:t>
      </w:r>
      <w:r w:rsidR="00480944" w:rsidRPr="00035CD3">
        <w:rPr>
          <w:rFonts w:asciiTheme="minorHAnsi" w:hAnsiTheme="minorHAnsi"/>
          <w:sz w:val="22"/>
        </w:rPr>
        <w:t>has two key components: (i) rapid-response advisory services; and (ii) global knowledge management/good practice in extractive industries sector governance</w:t>
      </w:r>
      <w:r w:rsidR="00DB34A2" w:rsidRPr="00035CD3">
        <w:rPr>
          <w:rFonts w:asciiTheme="minorHAnsi" w:hAnsiTheme="minorHAnsi"/>
          <w:sz w:val="22"/>
        </w:rPr>
        <w:t xml:space="preserve"> in support of grant implementation</w:t>
      </w:r>
      <w:r w:rsidR="00480944" w:rsidRPr="00035CD3">
        <w:rPr>
          <w:rFonts w:asciiTheme="minorHAnsi" w:hAnsiTheme="minorHAnsi"/>
          <w:sz w:val="22"/>
        </w:rPr>
        <w:t>.</w:t>
      </w:r>
    </w:p>
    <w:p w:rsidR="00E52F7D" w:rsidRPr="00035CD3" w:rsidRDefault="00E52F7D" w:rsidP="00857515">
      <w:pPr>
        <w:spacing w:after="0" w:line="240" w:lineRule="auto"/>
        <w:jc w:val="both"/>
        <w:rPr>
          <w:rFonts w:asciiTheme="minorHAnsi" w:hAnsiTheme="minorHAnsi"/>
          <w:sz w:val="22"/>
        </w:rPr>
      </w:pPr>
    </w:p>
    <w:p w:rsidR="004E0014" w:rsidRPr="00035CD3" w:rsidRDefault="00480944" w:rsidP="00857515">
      <w:pPr>
        <w:spacing w:line="240" w:lineRule="auto"/>
        <w:rPr>
          <w:rFonts w:asciiTheme="minorHAnsi" w:hAnsiTheme="minorHAnsi"/>
          <w:i/>
          <w:sz w:val="22"/>
        </w:rPr>
      </w:pPr>
      <w:r w:rsidRPr="00035CD3">
        <w:rPr>
          <w:rFonts w:asciiTheme="minorHAnsi" w:hAnsiTheme="minorHAnsi"/>
          <w:i/>
          <w:sz w:val="22"/>
        </w:rPr>
        <w:t xml:space="preserve">(i) Rapid Response Advisory Services </w:t>
      </w:r>
    </w:p>
    <w:p w:rsidR="004E0014" w:rsidRPr="00035CD3" w:rsidRDefault="00480944" w:rsidP="00EC7CA0">
      <w:pPr>
        <w:spacing w:after="0" w:line="240" w:lineRule="auto"/>
        <w:jc w:val="both"/>
        <w:rPr>
          <w:rFonts w:asciiTheme="minorHAnsi" w:hAnsiTheme="minorHAnsi"/>
          <w:sz w:val="22"/>
        </w:rPr>
      </w:pPr>
      <w:r w:rsidRPr="00035CD3">
        <w:rPr>
          <w:rFonts w:asciiTheme="minorHAnsi" w:hAnsiTheme="minorHAnsi"/>
          <w:sz w:val="22"/>
        </w:rPr>
        <w:t>Rapid-response advisory service activities by their nature cannot always be predicted, but are likely to focus on eligible countries with capacit</w:t>
      </w:r>
      <w:r w:rsidR="002A6FBD" w:rsidRPr="00035CD3">
        <w:rPr>
          <w:rFonts w:asciiTheme="minorHAnsi" w:hAnsiTheme="minorHAnsi"/>
          <w:sz w:val="22"/>
        </w:rPr>
        <w:t>y needs in the following areas:</w:t>
      </w:r>
    </w:p>
    <w:p w:rsidR="004E0014" w:rsidRPr="00035CD3" w:rsidRDefault="00480944" w:rsidP="00EC7CA0">
      <w:pPr>
        <w:pStyle w:val="ListParagraph"/>
        <w:numPr>
          <w:ilvl w:val="0"/>
          <w:numId w:val="1"/>
        </w:numPr>
        <w:spacing w:after="0" w:line="240" w:lineRule="auto"/>
        <w:jc w:val="both"/>
        <w:rPr>
          <w:rFonts w:asciiTheme="minorHAnsi" w:hAnsiTheme="minorHAnsi"/>
          <w:sz w:val="22"/>
        </w:rPr>
      </w:pPr>
      <w:r w:rsidRPr="00035CD3">
        <w:rPr>
          <w:rFonts w:asciiTheme="minorHAnsi" w:hAnsiTheme="minorHAnsi"/>
          <w:sz w:val="22"/>
        </w:rPr>
        <w:t xml:space="preserve">Contract negotiation for extractive industry transactions, including the cost of logistics of such negotiations; </w:t>
      </w:r>
    </w:p>
    <w:p w:rsidR="004E0014" w:rsidRPr="00035CD3" w:rsidRDefault="00480944" w:rsidP="00857515">
      <w:pPr>
        <w:pStyle w:val="ListParagraph"/>
        <w:numPr>
          <w:ilvl w:val="0"/>
          <w:numId w:val="1"/>
        </w:numPr>
        <w:spacing w:before="100" w:beforeAutospacing="1" w:after="100" w:afterAutospacing="1" w:line="240" w:lineRule="auto"/>
        <w:jc w:val="both"/>
        <w:rPr>
          <w:rFonts w:asciiTheme="minorHAnsi" w:hAnsiTheme="minorHAnsi"/>
          <w:sz w:val="22"/>
        </w:rPr>
      </w:pPr>
      <w:r w:rsidRPr="00035CD3">
        <w:rPr>
          <w:rFonts w:asciiTheme="minorHAnsi" w:hAnsiTheme="minorHAnsi"/>
          <w:sz w:val="22"/>
        </w:rPr>
        <w:t xml:space="preserve">Short-term capacity building for members of the beneficiary country’s negotiation teams, including studies </w:t>
      </w:r>
      <w:r w:rsidR="00DB1E5D" w:rsidRPr="00035CD3">
        <w:rPr>
          <w:rFonts w:asciiTheme="minorHAnsi" w:hAnsiTheme="minorHAnsi"/>
          <w:sz w:val="22"/>
        </w:rPr>
        <w:t xml:space="preserve">to prepare </w:t>
      </w:r>
      <w:r w:rsidRPr="00035CD3">
        <w:rPr>
          <w:rFonts w:asciiTheme="minorHAnsi" w:hAnsiTheme="minorHAnsi"/>
          <w:sz w:val="22"/>
        </w:rPr>
        <w:t>for negotiations;</w:t>
      </w:r>
    </w:p>
    <w:p w:rsidR="004E0014" w:rsidRPr="00035CD3" w:rsidRDefault="00480944" w:rsidP="00857515">
      <w:pPr>
        <w:pStyle w:val="ListParagraph"/>
        <w:numPr>
          <w:ilvl w:val="0"/>
          <w:numId w:val="1"/>
        </w:numPr>
        <w:spacing w:before="100" w:beforeAutospacing="1" w:after="100" w:afterAutospacing="1" w:line="240" w:lineRule="auto"/>
        <w:jc w:val="both"/>
        <w:rPr>
          <w:rFonts w:asciiTheme="minorHAnsi" w:hAnsiTheme="minorHAnsi"/>
          <w:sz w:val="22"/>
        </w:rPr>
      </w:pPr>
      <w:r w:rsidRPr="00035CD3">
        <w:rPr>
          <w:rFonts w:asciiTheme="minorHAnsi" w:hAnsiTheme="minorHAnsi"/>
          <w:sz w:val="22"/>
        </w:rPr>
        <w:t xml:space="preserve">Technical assistance </w:t>
      </w:r>
      <w:r w:rsidR="00DB34A2" w:rsidRPr="00035CD3">
        <w:rPr>
          <w:rFonts w:asciiTheme="minorHAnsi" w:hAnsiTheme="minorHAnsi"/>
          <w:sz w:val="22"/>
        </w:rPr>
        <w:t>in support of</w:t>
      </w:r>
      <w:r w:rsidRPr="00035CD3">
        <w:rPr>
          <w:rFonts w:asciiTheme="minorHAnsi" w:hAnsiTheme="minorHAnsi"/>
          <w:sz w:val="22"/>
        </w:rPr>
        <w:t xml:space="preserve"> a specific extractive industry transaction under review, to update the policy, institutional, fiscal, legal and regulatory frameworks of the country concerned, including revenue management and benefits sharing across levels of government and community; and</w:t>
      </w:r>
    </w:p>
    <w:p w:rsidR="004E0014" w:rsidRPr="00035CD3" w:rsidRDefault="00480944" w:rsidP="00857515">
      <w:pPr>
        <w:pStyle w:val="ListParagraph"/>
        <w:numPr>
          <w:ilvl w:val="0"/>
          <w:numId w:val="1"/>
        </w:numPr>
        <w:spacing w:before="100" w:beforeAutospacing="1" w:after="100" w:afterAutospacing="1" w:line="240" w:lineRule="auto"/>
        <w:jc w:val="both"/>
        <w:rPr>
          <w:rFonts w:asciiTheme="minorHAnsi" w:hAnsiTheme="minorHAnsi"/>
          <w:sz w:val="22"/>
        </w:rPr>
      </w:pPr>
      <w:r w:rsidRPr="00035CD3">
        <w:rPr>
          <w:rFonts w:asciiTheme="minorHAnsi" w:hAnsiTheme="minorHAnsi"/>
          <w:sz w:val="22"/>
        </w:rPr>
        <w:lastRenderedPageBreak/>
        <w:t>Technical assistance on structuring extractive industry licensing rounds, public offerings (tender/auction), and competitive and transparent tender packages to help resource-rich countries optimize the value of national extractive industry resources.</w:t>
      </w:r>
    </w:p>
    <w:p w:rsidR="004E0014" w:rsidRPr="00035CD3" w:rsidRDefault="00480944" w:rsidP="00857515">
      <w:pPr>
        <w:spacing w:before="100" w:beforeAutospacing="1" w:after="100" w:afterAutospacing="1" w:line="240" w:lineRule="auto"/>
        <w:jc w:val="both"/>
        <w:rPr>
          <w:rFonts w:asciiTheme="minorHAnsi" w:hAnsiTheme="minorHAnsi"/>
          <w:sz w:val="22"/>
        </w:rPr>
      </w:pPr>
      <w:r w:rsidRPr="00035CD3">
        <w:rPr>
          <w:rFonts w:asciiTheme="minorHAnsi" w:hAnsiTheme="minorHAnsi"/>
          <w:sz w:val="22"/>
        </w:rPr>
        <w:t xml:space="preserve">In most cases, rapid-response advisory services </w:t>
      </w:r>
      <w:r w:rsidR="00043702" w:rsidRPr="00035CD3">
        <w:rPr>
          <w:rFonts w:asciiTheme="minorHAnsi" w:hAnsiTheme="minorHAnsi"/>
          <w:sz w:val="22"/>
        </w:rPr>
        <w:t>are</w:t>
      </w:r>
      <w:r w:rsidRPr="00035CD3">
        <w:rPr>
          <w:rFonts w:asciiTheme="minorHAnsi" w:hAnsiTheme="minorHAnsi"/>
          <w:sz w:val="22"/>
        </w:rPr>
        <w:t xml:space="preserve"> recipient executed</w:t>
      </w:r>
      <w:r w:rsidR="00043702" w:rsidRPr="00035CD3">
        <w:rPr>
          <w:rFonts w:asciiTheme="minorHAnsi" w:hAnsiTheme="minorHAnsi"/>
          <w:sz w:val="22"/>
        </w:rPr>
        <w:t xml:space="preserve"> as</w:t>
      </w:r>
      <w:r w:rsidRPr="00035CD3">
        <w:rPr>
          <w:rFonts w:asciiTheme="minorHAnsi" w:hAnsiTheme="minorHAnsi"/>
          <w:sz w:val="22"/>
        </w:rPr>
        <w:t xml:space="preserve"> </w:t>
      </w:r>
      <w:r w:rsidR="00043702" w:rsidRPr="00035CD3">
        <w:rPr>
          <w:rFonts w:asciiTheme="minorHAnsi" w:hAnsiTheme="minorHAnsi"/>
          <w:sz w:val="22"/>
        </w:rPr>
        <w:t>such</w:t>
      </w:r>
      <w:r w:rsidRPr="00035CD3">
        <w:rPr>
          <w:rFonts w:asciiTheme="minorHAnsi" w:hAnsiTheme="minorHAnsi"/>
          <w:sz w:val="22"/>
        </w:rPr>
        <w:t xml:space="preserve"> services </w:t>
      </w:r>
      <w:r w:rsidR="00043702" w:rsidRPr="00035CD3">
        <w:rPr>
          <w:rFonts w:asciiTheme="minorHAnsi" w:hAnsiTheme="minorHAnsi"/>
          <w:sz w:val="22"/>
        </w:rPr>
        <w:t>are</w:t>
      </w:r>
      <w:r w:rsidRPr="00035CD3">
        <w:rPr>
          <w:rFonts w:asciiTheme="minorHAnsi" w:hAnsiTheme="minorHAnsi"/>
          <w:sz w:val="22"/>
        </w:rPr>
        <w:t xml:space="preserve"> channeled primarily to individual countries</w:t>
      </w:r>
      <w:r w:rsidR="00043702" w:rsidRPr="00035CD3">
        <w:rPr>
          <w:rFonts w:asciiTheme="minorHAnsi" w:hAnsiTheme="minorHAnsi"/>
          <w:sz w:val="22"/>
        </w:rPr>
        <w:t>.</w:t>
      </w:r>
      <w:r w:rsidR="0068167A" w:rsidRPr="00035CD3">
        <w:rPr>
          <w:rFonts w:asciiTheme="minorHAnsi" w:hAnsiTheme="minorHAnsi"/>
          <w:sz w:val="22"/>
        </w:rPr>
        <w:t xml:space="preserve"> </w:t>
      </w:r>
      <w:r w:rsidR="00043702" w:rsidRPr="00035CD3">
        <w:rPr>
          <w:rFonts w:asciiTheme="minorHAnsi" w:hAnsiTheme="minorHAnsi"/>
          <w:sz w:val="22"/>
        </w:rPr>
        <w:t xml:space="preserve">Though none have yet been proposed, </w:t>
      </w:r>
      <w:r w:rsidRPr="00035CD3">
        <w:rPr>
          <w:rFonts w:asciiTheme="minorHAnsi" w:hAnsiTheme="minorHAnsi"/>
          <w:sz w:val="22"/>
        </w:rPr>
        <w:t xml:space="preserve">activities with regional/sub-regional organizations </w:t>
      </w:r>
      <w:r w:rsidR="00043702" w:rsidRPr="00035CD3">
        <w:rPr>
          <w:rFonts w:asciiTheme="minorHAnsi" w:hAnsiTheme="minorHAnsi"/>
          <w:sz w:val="22"/>
        </w:rPr>
        <w:t>will</w:t>
      </w:r>
      <w:r w:rsidRPr="00035CD3">
        <w:rPr>
          <w:rFonts w:asciiTheme="minorHAnsi" w:hAnsiTheme="minorHAnsi"/>
          <w:sz w:val="22"/>
        </w:rPr>
        <w:t xml:space="preserve"> also be </w:t>
      </w:r>
      <w:r w:rsidR="00043702" w:rsidRPr="00035CD3">
        <w:rPr>
          <w:rFonts w:asciiTheme="minorHAnsi" w:hAnsiTheme="minorHAnsi"/>
          <w:sz w:val="22"/>
        </w:rPr>
        <w:t>considered under EI-TAF</w:t>
      </w:r>
      <w:r w:rsidRPr="00035CD3">
        <w:rPr>
          <w:rFonts w:asciiTheme="minorHAnsi" w:hAnsiTheme="minorHAnsi"/>
          <w:sz w:val="22"/>
        </w:rPr>
        <w:t>.</w:t>
      </w:r>
      <w:r w:rsidR="0068167A" w:rsidRPr="00035CD3">
        <w:rPr>
          <w:rFonts w:asciiTheme="minorHAnsi" w:hAnsiTheme="minorHAnsi"/>
          <w:sz w:val="22"/>
        </w:rPr>
        <w:t xml:space="preserve"> </w:t>
      </w:r>
    </w:p>
    <w:p w:rsidR="004E0014" w:rsidRPr="00035CD3" w:rsidRDefault="00480944" w:rsidP="00857515">
      <w:pPr>
        <w:spacing w:before="100" w:beforeAutospacing="1" w:after="100" w:afterAutospacing="1" w:line="240" w:lineRule="auto"/>
        <w:jc w:val="both"/>
        <w:rPr>
          <w:rFonts w:asciiTheme="minorHAnsi" w:hAnsiTheme="minorHAnsi"/>
          <w:i/>
          <w:sz w:val="22"/>
        </w:rPr>
      </w:pPr>
      <w:r w:rsidRPr="00035CD3">
        <w:rPr>
          <w:rFonts w:asciiTheme="minorHAnsi" w:hAnsiTheme="minorHAnsi"/>
          <w:i/>
          <w:sz w:val="22"/>
        </w:rPr>
        <w:t>(ii) Knowledge Management</w:t>
      </w:r>
    </w:p>
    <w:p w:rsidR="004E0014" w:rsidRPr="00035CD3" w:rsidRDefault="00480944" w:rsidP="00EC7CA0">
      <w:pPr>
        <w:spacing w:after="0" w:line="240" w:lineRule="auto"/>
        <w:jc w:val="both"/>
        <w:rPr>
          <w:rFonts w:asciiTheme="minorHAnsi" w:hAnsiTheme="minorHAnsi"/>
          <w:sz w:val="22"/>
        </w:rPr>
      </w:pPr>
      <w:r w:rsidRPr="00035CD3">
        <w:rPr>
          <w:rFonts w:asciiTheme="minorHAnsi" w:hAnsiTheme="minorHAnsi"/>
          <w:sz w:val="22"/>
        </w:rPr>
        <w:t>Knowledge management activities aim to facilitate the gathering and dissemination of good practices in extractive industry sector governance</w:t>
      </w:r>
      <w:r w:rsidR="00DB34A2" w:rsidRPr="00035CD3">
        <w:rPr>
          <w:rFonts w:asciiTheme="minorHAnsi" w:hAnsiTheme="minorHAnsi"/>
          <w:sz w:val="22"/>
        </w:rPr>
        <w:t xml:space="preserve"> and support grant implementation through a standardized workshop around the </w:t>
      </w:r>
      <w:r w:rsidR="00DB34A2" w:rsidRPr="00035CD3">
        <w:rPr>
          <w:rFonts w:asciiTheme="minorHAnsi" w:hAnsiTheme="minorHAnsi"/>
          <w:i/>
          <w:sz w:val="22"/>
        </w:rPr>
        <w:t>Extractive Industries Source Book</w:t>
      </w:r>
      <w:r w:rsidRPr="00035CD3">
        <w:rPr>
          <w:rFonts w:asciiTheme="minorHAnsi" w:hAnsiTheme="minorHAnsi"/>
          <w:sz w:val="22"/>
        </w:rPr>
        <w:t>.</w:t>
      </w:r>
      <w:r w:rsidR="0068167A" w:rsidRPr="00035CD3">
        <w:rPr>
          <w:rFonts w:asciiTheme="minorHAnsi" w:hAnsiTheme="minorHAnsi"/>
          <w:sz w:val="22"/>
        </w:rPr>
        <w:t xml:space="preserve"> </w:t>
      </w:r>
      <w:r w:rsidRPr="00035CD3">
        <w:rPr>
          <w:rFonts w:asciiTheme="minorHAnsi" w:hAnsiTheme="minorHAnsi"/>
          <w:sz w:val="22"/>
        </w:rPr>
        <w:t>A limited amount of funding from the EI-TAF is allocated to:</w:t>
      </w:r>
    </w:p>
    <w:p w:rsidR="004E0014" w:rsidRPr="00035CD3" w:rsidRDefault="00480944" w:rsidP="00EC7CA0">
      <w:pPr>
        <w:pStyle w:val="ListParagraph"/>
        <w:numPr>
          <w:ilvl w:val="0"/>
          <w:numId w:val="2"/>
        </w:numPr>
        <w:spacing w:after="0" w:line="240" w:lineRule="auto"/>
        <w:jc w:val="both"/>
        <w:rPr>
          <w:rFonts w:asciiTheme="minorHAnsi" w:hAnsiTheme="minorHAnsi"/>
          <w:sz w:val="22"/>
        </w:rPr>
      </w:pPr>
      <w:r w:rsidRPr="00035CD3">
        <w:rPr>
          <w:rFonts w:asciiTheme="minorHAnsi" w:hAnsiTheme="minorHAnsi"/>
          <w:sz w:val="22"/>
        </w:rPr>
        <w:t>Provid</w:t>
      </w:r>
      <w:r w:rsidR="00633B3B">
        <w:rPr>
          <w:rFonts w:asciiTheme="minorHAnsi" w:hAnsiTheme="minorHAnsi"/>
          <w:sz w:val="22"/>
        </w:rPr>
        <w:t>e</w:t>
      </w:r>
      <w:r w:rsidRPr="00035CD3">
        <w:rPr>
          <w:rFonts w:asciiTheme="minorHAnsi" w:hAnsiTheme="minorHAnsi"/>
          <w:sz w:val="22"/>
        </w:rPr>
        <w:t xml:space="preserve"> a framework of good practices and discussion of issues that may be relevant for governments facing the task of making extractive industry resources available to private investors; </w:t>
      </w:r>
    </w:p>
    <w:p w:rsidR="004E0014" w:rsidRPr="00035CD3" w:rsidRDefault="00480944" w:rsidP="00EC7CA0">
      <w:pPr>
        <w:pStyle w:val="ListParagraph"/>
        <w:numPr>
          <w:ilvl w:val="0"/>
          <w:numId w:val="2"/>
        </w:numPr>
        <w:spacing w:after="0" w:line="240" w:lineRule="auto"/>
        <w:jc w:val="both"/>
        <w:rPr>
          <w:rFonts w:asciiTheme="minorHAnsi" w:hAnsiTheme="minorHAnsi"/>
          <w:sz w:val="22"/>
        </w:rPr>
      </w:pPr>
      <w:r w:rsidRPr="00035CD3">
        <w:rPr>
          <w:rFonts w:asciiTheme="minorHAnsi" w:hAnsiTheme="minorHAnsi"/>
          <w:sz w:val="22"/>
        </w:rPr>
        <w:t>Gather and dissemina</w:t>
      </w:r>
      <w:r w:rsidR="00051314">
        <w:rPr>
          <w:rFonts w:asciiTheme="minorHAnsi" w:hAnsiTheme="minorHAnsi"/>
          <w:sz w:val="22"/>
        </w:rPr>
        <w:t>te</w:t>
      </w:r>
      <w:r w:rsidRPr="00035CD3">
        <w:rPr>
          <w:rFonts w:asciiTheme="minorHAnsi" w:hAnsiTheme="minorHAnsi"/>
          <w:sz w:val="22"/>
        </w:rPr>
        <w:t xml:space="preserve"> lessons of experience based on advisory services provided, including through publications, workshops, conferences, and the like; and </w:t>
      </w:r>
    </w:p>
    <w:p w:rsidR="004E0014" w:rsidRPr="00035CD3" w:rsidRDefault="00480944" w:rsidP="00857515">
      <w:pPr>
        <w:pStyle w:val="ListParagraph"/>
        <w:numPr>
          <w:ilvl w:val="0"/>
          <w:numId w:val="2"/>
        </w:numPr>
        <w:spacing w:before="100" w:beforeAutospacing="1" w:after="100" w:afterAutospacing="1" w:line="240" w:lineRule="auto"/>
        <w:jc w:val="both"/>
        <w:rPr>
          <w:rFonts w:asciiTheme="minorHAnsi" w:hAnsiTheme="minorHAnsi"/>
          <w:sz w:val="22"/>
        </w:rPr>
      </w:pPr>
      <w:r w:rsidRPr="00035CD3">
        <w:rPr>
          <w:rFonts w:asciiTheme="minorHAnsi" w:hAnsiTheme="minorHAnsi"/>
          <w:sz w:val="22"/>
        </w:rPr>
        <w:t>Commission work urgently needed to address EI-TAF objectives</w:t>
      </w:r>
      <w:r w:rsidR="00DB34A2" w:rsidRPr="00035CD3">
        <w:rPr>
          <w:rFonts w:asciiTheme="minorHAnsi" w:hAnsiTheme="minorHAnsi"/>
          <w:sz w:val="22"/>
        </w:rPr>
        <w:t xml:space="preserve"> (such as mining and infrastructure)</w:t>
      </w:r>
      <w:r w:rsidRPr="00035CD3">
        <w:rPr>
          <w:rFonts w:asciiTheme="minorHAnsi" w:hAnsiTheme="minorHAnsi"/>
          <w:sz w:val="22"/>
        </w:rPr>
        <w:t>.</w:t>
      </w:r>
    </w:p>
    <w:p w:rsidR="004E0014" w:rsidRPr="00035CD3" w:rsidRDefault="00C733F5" w:rsidP="00857515">
      <w:pPr>
        <w:spacing w:after="0" w:line="240" w:lineRule="auto"/>
        <w:jc w:val="both"/>
        <w:rPr>
          <w:rFonts w:asciiTheme="minorHAnsi" w:hAnsiTheme="minorHAnsi"/>
          <w:b/>
          <w:szCs w:val="24"/>
        </w:rPr>
      </w:pPr>
      <w:r w:rsidRPr="00035CD3">
        <w:rPr>
          <w:rFonts w:asciiTheme="minorHAnsi" w:hAnsiTheme="minorHAnsi"/>
          <w:b/>
          <w:szCs w:val="24"/>
        </w:rPr>
        <w:t xml:space="preserve">Demand-driven Approach </w:t>
      </w:r>
    </w:p>
    <w:p w:rsidR="004E0014" w:rsidRPr="00035CD3" w:rsidRDefault="004E0014" w:rsidP="00857515">
      <w:pPr>
        <w:spacing w:after="0" w:line="240" w:lineRule="auto"/>
        <w:jc w:val="both"/>
        <w:rPr>
          <w:rFonts w:asciiTheme="minorHAnsi" w:hAnsiTheme="minorHAnsi"/>
          <w:sz w:val="22"/>
        </w:rPr>
      </w:pPr>
    </w:p>
    <w:p w:rsidR="004E0014" w:rsidRPr="00035CD3" w:rsidRDefault="00C733F5" w:rsidP="00857515">
      <w:pPr>
        <w:spacing w:after="0" w:line="240" w:lineRule="auto"/>
        <w:jc w:val="both"/>
        <w:rPr>
          <w:rFonts w:asciiTheme="minorHAnsi" w:hAnsiTheme="minorHAnsi"/>
          <w:sz w:val="22"/>
        </w:rPr>
      </w:pPr>
      <w:r w:rsidRPr="00035CD3">
        <w:rPr>
          <w:rFonts w:asciiTheme="minorHAnsi" w:hAnsiTheme="minorHAnsi"/>
          <w:sz w:val="22"/>
        </w:rPr>
        <w:t xml:space="preserve">Provision of support for rapid-response advisory services </w:t>
      </w:r>
      <w:r w:rsidR="001411D6" w:rsidRPr="00035CD3">
        <w:rPr>
          <w:rFonts w:asciiTheme="minorHAnsi" w:hAnsiTheme="minorHAnsi"/>
          <w:sz w:val="22"/>
        </w:rPr>
        <w:t>is</w:t>
      </w:r>
      <w:r w:rsidRPr="00035CD3">
        <w:rPr>
          <w:rFonts w:asciiTheme="minorHAnsi" w:hAnsiTheme="minorHAnsi"/>
          <w:sz w:val="22"/>
        </w:rPr>
        <w:t xml:space="preserve"> demand-driven. Requests for assistance are generated via:</w:t>
      </w:r>
      <w:r w:rsidR="00B54C51" w:rsidRPr="00035CD3">
        <w:rPr>
          <w:rFonts w:asciiTheme="minorHAnsi" w:hAnsiTheme="minorHAnsi"/>
          <w:sz w:val="22"/>
        </w:rPr>
        <w:t xml:space="preserve"> </w:t>
      </w:r>
    </w:p>
    <w:p w:rsidR="004E0014" w:rsidRPr="00035CD3" w:rsidRDefault="00C733F5" w:rsidP="00857515">
      <w:pPr>
        <w:pStyle w:val="ListParagraph"/>
        <w:numPr>
          <w:ilvl w:val="0"/>
          <w:numId w:val="3"/>
        </w:numPr>
        <w:spacing w:after="100" w:afterAutospacing="1" w:line="240" w:lineRule="auto"/>
        <w:jc w:val="both"/>
        <w:rPr>
          <w:rFonts w:asciiTheme="minorHAnsi" w:hAnsiTheme="minorHAnsi"/>
          <w:sz w:val="22"/>
        </w:rPr>
      </w:pPr>
      <w:r w:rsidRPr="00035CD3">
        <w:rPr>
          <w:rFonts w:asciiTheme="minorHAnsi" w:hAnsiTheme="minorHAnsi"/>
          <w:sz w:val="22"/>
        </w:rPr>
        <w:t>Direct requests from resource-rich, developing country governments;</w:t>
      </w:r>
      <w:r w:rsidR="0068167A" w:rsidRPr="00035CD3">
        <w:rPr>
          <w:rFonts w:asciiTheme="minorHAnsi" w:hAnsiTheme="minorHAnsi"/>
          <w:sz w:val="22"/>
        </w:rPr>
        <w:t xml:space="preserve"> </w:t>
      </w:r>
    </w:p>
    <w:p w:rsidR="004E0014" w:rsidRPr="00035CD3" w:rsidRDefault="00C733F5" w:rsidP="00857515">
      <w:pPr>
        <w:pStyle w:val="ListParagraph"/>
        <w:numPr>
          <w:ilvl w:val="0"/>
          <w:numId w:val="3"/>
        </w:numPr>
        <w:spacing w:after="100" w:afterAutospacing="1" w:line="240" w:lineRule="auto"/>
        <w:jc w:val="both"/>
        <w:rPr>
          <w:rFonts w:asciiTheme="minorHAnsi" w:hAnsiTheme="minorHAnsi"/>
          <w:sz w:val="22"/>
        </w:rPr>
      </w:pPr>
      <w:r w:rsidRPr="00035CD3">
        <w:rPr>
          <w:rFonts w:asciiTheme="minorHAnsi" w:hAnsiTheme="minorHAnsi"/>
          <w:sz w:val="22"/>
        </w:rPr>
        <w:t xml:space="preserve">Sector dialogue between </w:t>
      </w:r>
      <w:r w:rsidR="00872E4C" w:rsidRPr="00035CD3">
        <w:rPr>
          <w:rFonts w:asciiTheme="minorHAnsi" w:hAnsiTheme="minorHAnsi"/>
          <w:sz w:val="22"/>
        </w:rPr>
        <w:t xml:space="preserve">SEGOM </w:t>
      </w:r>
      <w:r w:rsidRPr="00035CD3">
        <w:rPr>
          <w:rFonts w:asciiTheme="minorHAnsi" w:hAnsiTheme="minorHAnsi"/>
          <w:sz w:val="22"/>
        </w:rPr>
        <w:t>and resource-rich client countries;</w:t>
      </w:r>
      <w:r w:rsidR="0068167A" w:rsidRPr="00035CD3">
        <w:rPr>
          <w:rFonts w:asciiTheme="minorHAnsi" w:hAnsiTheme="minorHAnsi"/>
          <w:sz w:val="22"/>
        </w:rPr>
        <w:t xml:space="preserve"> </w:t>
      </w:r>
    </w:p>
    <w:p w:rsidR="004E0014" w:rsidRPr="00035CD3" w:rsidRDefault="00C733F5" w:rsidP="00857515">
      <w:pPr>
        <w:pStyle w:val="ListParagraph"/>
        <w:numPr>
          <w:ilvl w:val="0"/>
          <w:numId w:val="3"/>
        </w:numPr>
        <w:spacing w:before="100" w:beforeAutospacing="1" w:after="100" w:afterAutospacing="1" w:line="240" w:lineRule="auto"/>
        <w:jc w:val="both"/>
        <w:rPr>
          <w:rFonts w:asciiTheme="minorHAnsi" w:hAnsiTheme="minorHAnsi"/>
          <w:sz w:val="22"/>
        </w:rPr>
      </w:pPr>
      <w:r w:rsidRPr="00035CD3">
        <w:rPr>
          <w:rFonts w:asciiTheme="minorHAnsi" w:hAnsiTheme="minorHAnsi"/>
          <w:sz w:val="22"/>
        </w:rPr>
        <w:t>Dialogue between other World Bank staff and resource-rich client countries;</w:t>
      </w:r>
    </w:p>
    <w:p w:rsidR="004E0014" w:rsidRPr="00035CD3" w:rsidRDefault="00C733F5" w:rsidP="00857515">
      <w:pPr>
        <w:pStyle w:val="ListParagraph"/>
        <w:numPr>
          <w:ilvl w:val="0"/>
          <w:numId w:val="3"/>
        </w:numPr>
        <w:spacing w:before="100" w:beforeAutospacing="1" w:after="100" w:afterAutospacing="1" w:line="240" w:lineRule="auto"/>
        <w:jc w:val="both"/>
        <w:rPr>
          <w:rFonts w:asciiTheme="minorHAnsi" w:hAnsiTheme="minorHAnsi"/>
          <w:sz w:val="22"/>
        </w:rPr>
      </w:pPr>
      <w:r w:rsidRPr="00035CD3">
        <w:rPr>
          <w:rFonts w:asciiTheme="minorHAnsi" w:hAnsiTheme="minorHAnsi"/>
          <w:sz w:val="22"/>
        </w:rPr>
        <w:t>Commitments in World Bank Country Assistance/Partnership Strategies, linkages to World Bank lending operations, analytic work, technical assistance, and so on;</w:t>
      </w:r>
    </w:p>
    <w:p w:rsidR="004E0014" w:rsidRPr="00035CD3" w:rsidRDefault="00C733F5" w:rsidP="00857515">
      <w:pPr>
        <w:pStyle w:val="ListParagraph"/>
        <w:numPr>
          <w:ilvl w:val="0"/>
          <w:numId w:val="3"/>
        </w:numPr>
        <w:spacing w:before="100" w:beforeAutospacing="1" w:after="100" w:afterAutospacing="1" w:line="240" w:lineRule="auto"/>
        <w:jc w:val="both"/>
        <w:rPr>
          <w:rFonts w:asciiTheme="minorHAnsi" w:hAnsiTheme="minorHAnsi"/>
          <w:sz w:val="22"/>
        </w:rPr>
      </w:pPr>
      <w:r w:rsidRPr="00035CD3">
        <w:rPr>
          <w:rFonts w:asciiTheme="minorHAnsi" w:hAnsiTheme="minorHAnsi"/>
          <w:sz w:val="22"/>
        </w:rPr>
        <w:t xml:space="preserve">Dialogue between other stakeholders (e.g., donor partners) and resource-rich client countries. </w:t>
      </w:r>
    </w:p>
    <w:p w:rsidR="004E0014" w:rsidRPr="00035CD3" w:rsidRDefault="00DB34A2" w:rsidP="00EC7CA0">
      <w:pPr>
        <w:spacing w:before="100" w:beforeAutospacing="1" w:after="0" w:line="240" w:lineRule="auto"/>
        <w:jc w:val="both"/>
        <w:rPr>
          <w:rFonts w:asciiTheme="minorHAnsi" w:hAnsiTheme="minorHAnsi"/>
          <w:sz w:val="22"/>
        </w:rPr>
      </w:pPr>
      <w:r w:rsidRPr="00035CD3">
        <w:rPr>
          <w:rFonts w:asciiTheme="minorHAnsi" w:hAnsiTheme="minorHAnsi"/>
          <w:sz w:val="22"/>
        </w:rPr>
        <w:t>R</w:t>
      </w:r>
      <w:r w:rsidR="00C733F5" w:rsidRPr="00035CD3">
        <w:rPr>
          <w:rFonts w:asciiTheme="minorHAnsi" w:hAnsiTheme="minorHAnsi"/>
          <w:sz w:val="22"/>
        </w:rPr>
        <w:t xml:space="preserve">equests for support for rapid-response advisory services are assessed along the following lines: </w:t>
      </w:r>
    </w:p>
    <w:p w:rsidR="004E0014" w:rsidRPr="00035CD3" w:rsidRDefault="00C733F5" w:rsidP="00EC7CA0">
      <w:pPr>
        <w:pStyle w:val="ListParagraph"/>
        <w:numPr>
          <w:ilvl w:val="0"/>
          <w:numId w:val="4"/>
        </w:numPr>
        <w:spacing w:after="0" w:line="240" w:lineRule="auto"/>
        <w:jc w:val="both"/>
        <w:rPr>
          <w:rFonts w:asciiTheme="minorHAnsi" w:hAnsiTheme="minorHAnsi"/>
          <w:sz w:val="22"/>
        </w:rPr>
      </w:pPr>
      <w:r w:rsidRPr="00035CD3">
        <w:rPr>
          <w:rFonts w:asciiTheme="minorHAnsi" w:hAnsiTheme="minorHAnsi"/>
          <w:sz w:val="22"/>
        </w:rPr>
        <w:t>Level of political commitment and national ownership. Degree of commitment of a government and stakeholders to implement sound sector governance, including readiness to move on reform steps needed.</w:t>
      </w:r>
      <w:r w:rsidR="0068167A" w:rsidRPr="00035CD3">
        <w:rPr>
          <w:rFonts w:asciiTheme="minorHAnsi" w:hAnsiTheme="minorHAnsi"/>
          <w:sz w:val="22"/>
        </w:rPr>
        <w:t xml:space="preserve"> </w:t>
      </w:r>
    </w:p>
    <w:p w:rsidR="004E0014" w:rsidRPr="00035CD3" w:rsidRDefault="002E46A8" w:rsidP="00857515">
      <w:pPr>
        <w:pStyle w:val="ListParagraph"/>
        <w:numPr>
          <w:ilvl w:val="0"/>
          <w:numId w:val="4"/>
        </w:numPr>
        <w:spacing w:after="100" w:afterAutospacing="1" w:line="240" w:lineRule="auto"/>
        <w:jc w:val="both"/>
        <w:rPr>
          <w:rFonts w:asciiTheme="minorHAnsi" w:hAnsiTheme="minorHAnsi"/>
          <w:sz w:val="22"/>
        </w:rPr>
      </w:pPr>
      <w:r w:rsidRPr="00035CD3">
        <w:rPr>
          <w:rFonts w:asciiTheme="minorHAnsi" w:hAnsiTheme="minorHAnsi"/>
          <w:sz w:val="22"/>
        </w:rPr>
        <w:t>Country capacity gaps/</w:t>
      </w:r>
      <w:r w:rsidR="00C733F5" w:rsidRPr="00035CD3">
        <w:rPr>
          <w:rFonts w:asciiTheme="minorHAnsi" w:hAnsiTheme="minorHAnsi"/>
          <w:sz w:val="22"/>
        </w:rPr>
        <w:t xml:space="preserve">needs. The assessed capacity gaps (especially in fragile states, IDA-eligible, and post-conflict countries) in a country in which the EI-TAF interventions could have a high pay-off and impact. </w:t>
      </w:r>
    </w:p>
    <w:p w:rsidR="004E0014" w:rsidRPr="00035CD3" w:rsidRDefault="00C733F5" w:rsidP="00857515">
      <w:pPr>
        <w:pStyle w:val="ListParagraph"/>
        <w:numPr>
          <w:ilvl w:val="0"/>
          <w:numId w:val="4"/>
        </w:numPr>
        <w:spacing w:before="100" w:beforeAutospacing="1" w:after="100" w:afterAutospacing="1" w:line="240" w:lineRule="auto"/>
        <w:jc w:val="both"/>
        <w:rPr>
          <w:rFonts w:asciiTheme="minorHAnsi" w:hAnsiTheme="minorHAnsi"/>
          <w:sz w:val="22"/>
        </w:rPr>
      </w:pPr>
      <w:r w:rsidRPr="00035CD3">
        <w:rPr>
          <w:rFonts w:asciiTheme="minorHAnsi" w:hAnsiTheme="minorHAnsi"/>
          <w:sz w:val="22"/>
        </w:rPr>
        <w:t>Resource dependency and poverty impact. The size of the extractives sector and revenues to the economy and exports</w:t>
      </w:r>
      <w:r w:rsidR="0022343B" w:rsidRPr="00035CD3">
        <w:rPr>
          <w:rFonts w:asciiTheme="minorHAnsi" w:hAnsiTheme="minorHAnsi"/>
          <w:sz w:val="22"/>
        </w:rPr>
        <w:t xml:space="preserve">—and </w:t>
      </w:r>
      <w:r w:rsidRPr="00035CD3">
        <w:rPr>
          <w:rFonts w:asciiTheme="minorHAnsi" w:hAnsiTheme="minorHAnsi"/>
          <w:sz w:val="22"/>
        </w:rPr>
        <w:t xml:space="preserve">the poverty-alleviation potential from rapid-response advisory services. </w:t>
      </w:r>
    </w:p>
    <w:p w:rsidR="004E0014" w:rsidRPr="00035CD3" w:rsidRDefault="00C733F5" w:rsidP="00857515">
      <w:pPr>
        <w:pStyle w:val="ListParagraph"/>
        <w:numPr>
          <w:ilvl w:val="0"/>
          <w:numId w:val="4"/>
        </w:numPr>
        <w:spacing w:before="100" w:beforeAutospacing="1" w:after="100" w:afterAutospacing="1" w:line="240" w:lineRule="auto"/>
        <w:jc w:val="both"/>
        <w:rPr>
          <w:rFonts w:asciiTheme="minorHAnsi" w:hAnsiTheme="minorHAnsi"/>
          <w:sz w:val="22"/>
        </w:rPr>
      </w:pPr>
      <w:r w:rsidRPr="00035CD3">
        <w:rPr>
          <w:rFonts w:asciiTheme="minorHAnsi" w:hAnsiTheme="minorHAnsi"/>
          <w:sz w:val="22"/>
        </w:rPr>
        <w:lastRenderedPageBreak/>
        <w:t>Demonstration potential in sub-region context. Potential for demonstration effect to “pull” other countries in the sub-region to adopt sound sector governance principles</w:t>
      </w:r>
      <w:r w:rsidR="00DB34A2" w:rsidRPr="00035CD3">
        <w:rPr>
          <w:rFonts w:asciiTheme="minorHAnsi" w:hAnsiTheme="minorHAnsi"/>
          <w:sz w:val="22"/>
        </w:rPr>
        <w:t xml:space="preserve"> (e.g. Aynak Tender)</w:t>
      </w:r>
      <w:r w:rsidRPr="00035CD3">
        <w:rPr>
          <w:rFonts w:asciiTheme="minorHAnsi" w:hAnsiTheme="minorHAnsi"/>
          <w:sz w:val="22"/>
        </w:rPr>
        <w:t xml:space="preserve">. </w:t>
      </w:r>
    </w:p>
    <w:p w:rsidR="004E0014" w:rsidRPr="00035CD3" w:rsidRDefault="00C733F5" w:rsidP="00857515">
      <w:pPr>
        <w:pStyle w:val="ListParagraph"/>
        <w:numPr>
          <w:ilvl w:val="0"/>
          <w:numId w:val="4"/>
        </w:numPr>
        <w:spacing w:before="100" w:beforeAutospacing="1" w:after="100" w:afterAutospacing="1" w:line="240" w:lineRule="auto"/>
        <w:jc w:val="both"/>
        <w:rPr>
          <w:rFonts w:asciiTheme="minorHAnsi" w:hAnsiTheme="minorHAnsi"/>
          <w:sz w:val="22"/>
        </w:rPr>
      </w:pPr>
      <w:r w:rsidRPr="00035CD3">
        <w:rPr>
          <w:rFonts w:asciiTheme="minorHAnsi" w:hAnsiTheme="minorHAnsi"/>
          <w:sz w:val="22"/>
        </w:rPr>
        <w:t>Potential for sustainable investment.</w:t>
      </w:r>
      <w:r w:rsidR="0068167A" w:rsidRPr="00035CD3">
        <w:rPr>
          <w:rFonts w:asciiTheme="minorHAnsi" w:hAnsiTheme="minorHAnsi"/>
          <w:sz w:val="22"/>
        </w:rPr>
        <w:t xml:space="preserve"> </w:t>
      </w:r>
      <w:r w:rsidRPr="00035CD3">
        <w:rPr>
          <w:rFonts w:asciiTheme="minorHAnsi" w:hAnsiTheme="minorHAnsi"/>
          <w:sz w:val="22"/>
        </w:rPr>
        <w:t xml:space="preserve">Impact in terms of facilitating sustainable private sector investment in the country’s extractives sector. </w:t>
      </w:r>
    </w:p>
    <w:p w:rsidR="004E0014" w:rsidRDefault="00C733F5" w:rsidP="00857515">
      <w:pPr>
        <w:pStyle w:val="ListParagraph"/>
        <w:numPr>
          <w:ilvl w:val="0"/>
          <w:numId w:val="4"/>
        </w:numPr>
        <w:spacing w:before="100" w:beforeAutospacing="1" w:after="100" w:afterAutospacing="1" w:line="240" w:lineRule="auto"/>
        <w:jc w:val="both"/>
        <w:rPr>
          <w:rFonts w:asciiTheme="minorHAnsi" w:hAnsiTheme="minorHAnsi"/>
          <w:sz w:val="22"/>
        </w:rPr>
      </w:pPr>
      <w:r w:rsidRPr="00035CD3">
        <w:rPr>
          <w:rFonts w:asciiTheme="minorHAnsi" w:hAnsiTheme="minorHAnsi"/>
          <w:sz w:val="22"/>
        </w:rPr>
        <w:t>Value for Money. Overall cost-efficiency of activities, which should aim to ensure value for money, consistent with appropriate standards of quality.</w:t>
      </w:r>
    </w:p>
    <w:p w:rsidR="00EC7CA0" w:rsidRPr="00EC7CA0" w:rsidRDefault="00EC7CA0" w:rsidP="00EC7CA0">
      <w:pPr>
        <w:spacing w:before="100" w:beforeAutospacing="1" w:after="100" w:afterAutospacing="1" w:line="240" w:lineRule="auto"/>
        <w:jc w:val="both"/>
        <w:rPr>
          <w:rFonts w:asciiTheme="minorHAnsi" w:hAnsiTheme="minorHAnsi"/>
          <w:sz w:val="22"/>
        </w:rPr>
      </w:pPr>
    </w:p>
    <w:p w:rsidR="004E0014" w:rsidRPr="00035CD3" w:rsidRDefault="00F07AB5" w:rsidP="00857515">
      <w:pPr>
        <w:pStyle w:val="ListParagraph"/>
        <w:numPr>
          <w:ilvl w:val="0"/>
          <w:numId w:val="6"/>
        </w:numPr>
        <w:spacing w:line="240" w:lineRule="auto"/>
        <w:ind w:left="720"/>
        <w:rPr>
          <w:rFonts w:asciiTheme="minorHAnsi" w:hAnsiTheme="minorHAnsi"/>
          <w:b/>
          <w:u w:val="single"/>
        </w:rPr>
      </w:pPr>
      <w:r w:rsidRPr="00035CD3">
        <w:rPr>
          <w:rFonts w:asciiTheme="minorHAnsi" w:hAnsiTheme="minorHAnsi"/>
          <w:b/>
          <w:u w:val="single"/>
        </w:rPr>
        <w:t>CURRENT STATUS</w:t>
      </w:r>
      <w:r w:rsidR="009D2E0D" w:rsidRPr="00035CD3">
        <w:rPr>
          <w:rFonts w:asciiTheme="minorHAnsi" w:hAnsiTheme="minorHAnsi"/>
          <w:b/>
          <w:u w:val="single"/>
        </w:rPr>
        <w:t xml:space="preserve"> OF ACTIVITIES</w:t>
      </w:r>
    </w:p>
    <w:p w:rsidR="004E0014" w:rsidRPr="00035CD3" w:rsidRDefault="00F07AB5" w:rsidP="00857515">
      <w:pPr>
        <w:spacing w:after="0" w:line="240" w:lineRule="auto"/>
        <w:jc w:val="both"/>
        <w:rPr>
          <w:rFonts w:asciiTheme="minorHAnsi" w:hAnsiTheme="minorHAnsi"/>
          <w:b/>
          <w:szCs w:val="24"/>
        </w:rPr>
      </w:pPr>
      <w:r w:rsidRPr="00035CD3">
        <w:rPr>
          <w:rFonts w:asciiTheme="minorHAnsi" w:hAnsiTheme="minorHAnsi"/>
          <w:b/>
          <w:szCs w:val="24"/>
        </w:rPr>
        <w:t>Rapid-response Advisory Services</w:t>
      </w:r>
    </w:p>
    <w:p w:rsidR="004E0014" w:rsidRPr="00035CD3" w:rsidRDefault="004E0014" w:rsidP="00857515">
      <w:pPr>
        <w:spacing w:after="0" w:line="240" w:lineRule="auto"/>
        <w:jc w:val="both"/>
        <w:rPr>
          <w:rFonts w:asciiTheme="minorHAnsi" w:hAnsiTheme="minorHAnsi"/>
          <w:szCs w:val="24"/>
        </w:rPr>
      </w:pPr>
    </w:p>
    <w:p w:rsidR="004E0014" w:rsidRPr="00035CD3" w:rsidRDefault="00F84B79" w:rsidP="00857515">
      <w:pPr>
        <w:spacing w:after="0" w:line="240" w:lineRule="auto"/>
        <w:jc w:val="both"/>
        <w:rPr>
          <w:rFonts w:asciiTheme="minorHAnsi" w:hAnsiTheme="minorHAnsi"/>
          <w:sz w:val="22"/>
        </w:rPr>
      </w:pPr>
      <w:r w:rsidRPr="00035CD3">
        <w:rPr>
          <w:rFonts w:asciiTheme="minorHAnsi" w:hAnsiTheme="minorHAnsi"/>
          <w:sz w:val="22"/>
        </w:rPr>
        <w:t>Since the trust fund’s inception nearly three year</w:t>
      </w:r>
      <w:r w:rsidR="000C52B3" w:rsidRPr="00035CD3">
        <w:rPr>
          <w:rFonts w:asciiTheme="minorHAnsi" w:hAnsiTheme="minorHAnsi"/>
          <w:sz w:val="22"/>
        </w:rPr>
        <w:t>s</w:t>
      </w:r>
      <w:r w:rsidRPr="00035CD3">
        <w:rPr>
          <w:rFonts w:asciiTheme="minorHAnsi" w:hAnsiTheme="minorHAnsi"/>
          <w:sz w:val="22"/>
        </w:rPr>
        <w:t>-ago, o</w:t>
      </w:r>
      <w:r w:rsidR="00DC0E9C" w:rsidRPr="00035CD3">
        <w:rPr>
          <w:rFonts w:asciiTheme="minorHAnsi" w:hAnsiTheme="minorHAnsi"/>
          <w:sz w:val="22"/>
        </w:rPr>
        <w:t>ver US$6.2 million</w:t>
      </w:r>
      <w:r w:rsidR="002D7DFB" w:rsidRPr="00035CD3">
        <w:rPr>
          <w:rFonts w:asciiTheme="minorHAnsi" w:hAnsiTheme="minorHAnsi"/>
          <w:sz w:val="22"/>
        </w:rPr>
        <w:t xml:space="preserve"> </w:t>
      </w:r>
      <w:r w:rsidRPr="00035CD3">
        <w:rPr>
          <w:rFonts w:asciiTheme="minorHAnsi" w:hAnsiTheme="minorHAnsi"/>
          <w:sz w:val="22"/>
        </w:rPr>
        <w:t xml:space="preserve">has been committed </w:t>
      </w:r>
      <w:r w:rsidR="002D7DFB" w:rsidRPr="00035CD3">
        <w:rPr>
          <w:rFonts w:asciiTheme="minorHAnsi" w:hAnsiTheme="minorHAnsi"/>
          <w:sz w:val="22"/>
        </w:rPr>
        <w:t xml:space="preserve">across </w:t>
      </w:r>
      <w:r w:rsidR="000C52B3" w:rsidRPr="00035CD3">
        <w:rPr>
          <w:rFonts w:asciiTheme="minorHAnsi" w:hAnsiTheme="minorHAnsi"/>
          <w:sz w:val="22"/>
        </w:rPr>
        <w:t>the</w:t>
      </w:r>
      <w:r w:rsidR="002D7DFB" w:rsidRPr="00035CD3">
        <w:rPr>
          <w:rFonts w:asciiTheme="minorHAnsi" w:hAnsiTheme="minorHAnsi"/>
          <w:sz w:val="22"/>
        </w:rPr>
        <w:t xml:space="preserve"> portfolio</w:t>
      </w:r>
      <w:r w:rsidR="0037496C" w:rsidRPr="00035CD3">
        <w:rPr>
          <w:rFonts w:asciiTheme="minorHAnsi" w:hAnsiTheme="minorHAnsi"/>
          <w:sz w:val="22"/>
        </w:rPr>
        <w:t>,</w:t>
      </w:r>
      <w:r w:rsidRPr="00035CD3">
        <w:rPr>
          <w:rFonts w:asciiTheme="minorHAnsi" w:hAnsiTheme="minorHAnsi"/>
          <w:sz w:val="22"/>
        </w:rPr>
        <w:t xml:space="preserve"> financ</w:t>
      </w:r>
      <w:r w:rsidR="0037496C" w:rsidRPr="00035CD3">
        <w:rPr>
          <w:rFonts w:asciiTheme="minorHAnsi" w:hAnsiTheme="minorHAnsi"/>
          <w:sz w:val="22"/>
        </w:rPr>
        <w:t>ing</w:t>
      </w:r>
      <w:r w:rsidRPr="00035CD3">
        <w:rPr>
          <w:rFonts w:asciiTheme="minorHAnsi" w:hAnsiTheme="minorHAnsi"/>
          <w:sz w:val="22"/>
        </w:rPr>
        <w:t xml:space="preserve"> 10 </w:t>
      </w:r>
      <w:r w:rsidR="002D7DFB" w:rsidRPr="00035CD3">
        <w:rPr>
          <w:rFonts w:asciiTheme="minorHAnsi" w:hAnsiTheme="minorHAnsi"/>
          <w:sz w:val="22"/>
        </w:rPr>
        <w:t>country-specific projects in Liberia (US$1 million), Rwanda (US$350,000), Kyrgyz Republic (US$500,000), Sierra Leone (US$750,000), Pakistan (US$500,000), Mexico (U</w:t>
      </w:r>
      <w:r w:rsidR="009A4242" w:rsidRPr="00035CD3">
        <w:rPr>
          <w:rFonts w:asciiTheme="minorHAnsi" w:hAnsiTheme="minorHAnsi"/>
          <w:sz w:val="22"/>
        </w:rPr>
        <w:t xml:space="preserve">S$500,000), Guinea (US$500,000 and US$350,000), Mauritania (US$500,000) </w:t>
      </w:r>
      <w:r w:rsidR="002D7DFB" w:rsidRPr="00035CD3">
        <w:rPr>
          <w:rFonts w:asciiTheme="minorHAnsi" w:hAnsiTheme="minorHAnsi"/>
          <w:sz w:val="22"/>
        </w:rPr>
        <w:t>and Mozambique (US$750,000)</w:t>
      </w:r>
      <w:r w:rsidR="000628EB" w:rsidRPr="00035CD3">
        <w:rPr>
          <w:rFonts w:asciiTheme="minorHAnsi" w:hAnsiTheme="minorHAnsi"/>
          <w:sz w:val="22"/>
        </w:rPr>
        <w:t xml:space="preserve"> (</w:t>
      </w:r>
      <w:r w:rsidR="00633B3B">
        <w:rPr>
          <w:rFonts w:asciiTheme="minorHAnsi" w:hAnsiTheme="minorHAnsi"/>
          <w:sz w:val="22"/>
        </w:rPr>
        <w:t xml:space="preserve">Annex </w:t>
      </w:r>
      <w:r w:rsidR="000628EB" w:rsidRPr="00035CD3">
        <w:rPr>
          <w:rFonts w:asciiTheme="minorHAnsi" w:hAnsiTheme="minorHAnsi"/>
          <w:sz w:val="22"/>
        </w:rPr>
        <w:t>Table 1)</w:t>
      </w:r>
      <w:r w:rsidR="002D7DFB" w:rsidRPr="00035CD3">
        <w:rPr>
          <w:rFonts w:asciiTheme="minorHAnsi" w:hAnsiTheme="minorHAnsi"/>
          <w:sz w:val="22"/>
        </w:rPr>
        <w:t>. Another</w:t>
      </w:r>
      <w:r w:rsidR="007B1330" w:rsidRPr="00035CD3">
        <w:rPr>
          <w:rFonts w:asciiTheme="minorHAnsi" w:hAnsiTheme="minorHAnsi"/>
          <w:sz w:val="22"/>
        </w:rPr>
        <w:t xml:space="preserve"> five</w:t>
      </w:r>
      <w:r w:rsidR="002D7DFB" w:rsidRPr="00035CD3">
        <w:rPr>
          <w:rFonts w:asciiTheme="minorHAnsi" w:hAnsiTheme="minorHAnsi"/>
          <w:sz w:val="22"/>
        </w:rPr>
        <w:t xml:space="preserve"> projects, totaling about US$</w:t>
      </w:r>
      <w:r w:rsidR="009A4242" w:rsidRPr="00035CD3">
        <w:rPr>
          <w:rFonts w:asciiTheme="minorHAnsi" w:hAnsiTheme="minorHAnsi"/>
          <w:sz w:val="22"/>
        </w:rPr>
        <w:t>2.</w:t>
      </w:r>
      <w:r w:rsidR="007B1330" w:rsidRPr="00035CD3">
        <w:rPr>
          <w:rFonts w:asciiTheme="minorHAnsi" w:hAnsiTheme="minorHAnsi"/>
          <w:sz w:val="22"/>
        </w:rPr>
        <w:t>50</w:t>
      </w:r>
      <w:r w:rsidR="002D7DFB" w:rsidRPr="00035CD3">
        <w:rPr>
          <w:rFonts w:asciiTheme="minorHAnsi" w:hAnsiTheme="minorHAnsi"/>
          <w:sz w:val="22"/>
        </w:rPr>
        <w:t xml:space="preserve"> million, </w:t>
      </w:r>
      <w:r w:rsidRPr="00035CD3">
        <w:rPr>
          <w:rFonts w:asciiTheme="minorHAnsi" w:hAnsiTheme="minorHAnsi"/>
          <w:sz w:val="22"/>
        </w:rPr>
        <w:t xml:space="preserve">have been </w:t>
      </w:r>
      <w:r w:rsidR="009A4242" w:rsidRPr="00035CD3">
        <w:rPr>
          <w:rFonts w:asciiTheme="minorHAnsi" w:hAnsiTheme="minorHAnsi"/>
          <w:sz w:val="22"/>
        </w:rPr>
        <w:t>proposed</w:t>
      </w:r>
      <w:r w:rsidR="007B1330" w:rsidRPr="00035CD3">
        <w:rPr>
          <w:rFonts w:asciiTheme="minorHAnsi" w:hAnsiTheme="minorHAnsi"/>
          <w:sz w:val="22"/>
        </w:rPr>
        <w:t xml:space="preserve"> for implementation </w:t>
      </w:r>
      <w:r w:rsidR="002D7DFB" w:rsidRPr="00035CD3">
        <w:rPr>
          <w:rFonts w:asciiTheme="minorHAnsi" w:hAnsiTheme="minorHAnsi"/>
          <w:sz w:val="22"/>
        </w:rPr>
        <w:t>in the next few months (</w:t>
      </w:r>
      <w:r w:rsidR="00633B3B">
        <w:rPr>
          <w:rFonts w:asciiTheme="minorHAnsi" w:hAnsiTheme="minorHAnsi"/>
          <w:sz w:val="22"/>
        </w:rPr>
        <w:t xml:space="preserve">Annex </w:t>
      </w:r>
      <w:r w:rsidR="000628EB" w:rsidRPr="00035CD3">
        <w:rPr>
          <w:rFonts w:asciiTheme="minorHAnsi" w:hAnsiTheme="minorHAnsi"/>
          <w:sz w:val="22"/>
        </w:rPr>
        <w:t>Table 2</w:t>
      </w:r>
      <w:r w:rsidR="002D7DFB" w:rsidRPr="00035CD3">
        <w:rPr>
          <w:rFonts w:asciiTheme="minorHAnsi" w:hAnsiTheme="minorHAnsi"/>
          <w:sz w:val="22"/>
        </w:rPr>
        <w:t>).</w:t>
      </w:r>
    </w:p>
    <w:p w:rsidR="004E0014" w:rsidRPr="00035CD3" w:rsidRDefault="004E0014" w:rsidP="00857515">
      <w:pPr>
        <w:spacing w:after="0" w:line="240" w:lineRule="auto"/>
        <w:jc w:val="both"/>
        <w:rPr>
          <w:rFonts w:asciiTheme="minorHAnsi" w:hAnsiTheme="minorHAnsi"/>
          <w:sz w:val="22"/>
        </w:rPr>
      </w:pPr>
    </w:p>
    <w:p w:rsidR="004E0014" w:rsidRPr="00035CD3" w:rsidRDefault="002D7DFB" w:rsidP="00857515">
      <w:pPr>
        <w:spacing w:line="240" w:lineRule="auto"/>
        <w:jc w:val="both"/>
        <w:rPr>
          <w:rFonts w:asciiTheme="minorHAnsi" w:hAnsiTheme="minorHAnsi"/>
          <w:sz w:val="22"/>
        </w:rPr>
      </w:pPr>
      <w:r w:rsidRPr="00035CD3">
        <w:rPr>
          <w:rFonts w:asciiTheme="minorHAnsi" w:hAnsiTheme="minorHAnsi"/>
          <w:sz w:val="22"/>
        </w:rPr>
        <w:t>The current allocation of projects reflects the distribution of the Bank’s policy support around oil, gas and mining.</w:t>
      </w:r>
      <w:r w:rsidR="0068167A" w:rsidRPr="00035CD3">
        <w:rPr>
          <w:rFonts w:asciiTheme="minorHAnsi" w:hAnsiTheme="minorHAnsi"/>
          <w:sz w:val="22"/>
        </w:rPr>
        <w:t xml:space="preserve"> </w:t>
      </w:r>
      <w:r w:rsidRPr="00035CD3">
        <w:rPr>
          <w:rFonts w:asciiTheme="minorHAnsi" w:hAnsiTheme="minorHAnsi"/>
          <w:sz w:val="22"/>
        </w:rPr>
        <w:t xml:space="preserve">Bank task team leaders on this broader dialogue serve as the point of contact for EI-TAF requests, prepare documentation and </w:t>
      </w:r>
      <w:r w:rsidR="008669DA" w:rsidRPr="00035CD3">
        <w:rPr>
          <w:rFonts w:asciiTheme="minorHAnsi" w:hAnsiTheme="minorHAnsi"/>
          <w:sz w:val="22"/>
        </w:rPr>
        <w:t xml:space="preserve">supervise </w:t>
      </w:r>
      <w:r w:rsidRPr="00035CD3">
        <w:rPr>
          <w:rFonts w:asciiTheme="minorHAnsi" w:hAnsiTheme="minorHAnsi"/>
          <w:sz w:val="22"/>
        </w:rPr>
        <w:t>implement</w:t>
      </w:r>
      <w:r w:rsidR="008669DA" w:rsidRPr="00035CD3">
        <w:rPr>
          <w:rFonts w:asciiTheme="minorHAnsi" w:hAnsiTheme="minorHAnsi"/>
          <w:sz w:val="22"/>
        </w:rPr>
        <w:t>ation of</w:t>
      </w:r>
      <w:r w:rsidRPr="00035CD3">
        <w:rPr>
          <w:rFonts w:asciiTheme="minorHAnsi" w:hAnsiTheme="minorHAnsi"/>
          <w:sz w:val="22"/>
        </w:rPr>
        <w:t xml:space="preserve"> the grants.</w:t>
      </w:r>
      <w:r w:rsidR="0068167A" w:rsidRPr="00035CD3">
        <w:rPr>
          <w:rFonts w:asciiTheme="minorHAnsi" w:hAnsiTheme="minorHAnsi"/>
          <w:sz w:val="22"/>
        </w:rPr>
        <w:t xml:space="preserve"> </w:t>
      </w:r>
      <w:r w:rsidRPr="00035CD3">
        <w:rPr>
          <w:rFonts w:asciiTheme="minorHAnsi" w:hAnsiTheme="minorHAnsi"/>
          <w:sz w:val="22"/>
        </w:rPr>
        <w:t>A concentration of mining-based EI-TAF grants reflects the activities of mining teams during the EI-TAF start up period (2009 – 201</w:t>
      </w:r>
      <w:r w:rsidR="00F84B79" w:rsidRPr="00035CD3">
        <w:rPr>
          <w:rFonts w:asciiTheme="minorHAnsi" w:hAnsiTheme="minorHAnsi"/>
          <w:sz w:val="22"/>
        </w:rPr>
        <w:t>2</w:t>
      </w:r>
      <w:r w:rsidRPr="00035CD3">
        <w:rPr>
          <w:rFonts w:asciiTheme="minorHAnsi" w:hAnsiTheme="minorHAnsi"/>
          <w:sz w:val="22"/>
        </w:rPr>
        <w:t>); and the number of oil &amp; gas grants is expected to increase as those teams engage in-country more deeply</w:t>
      </w:r>
      <w:r w:rsidR="000C52B3" w:rsidRPr="00035CD3">
        <w:rPr>
          <w:rFonts w:asciiTheme="minorHAnsi" w:hAnsiTheme="minorHAnsi"/>
          <w:sz w:val="22"/>
        </w:rPr>
        <w:t xml:space="preserve">, and </w:t>
      </w:r>
      <w:r w:rsidR="00633B3B">
        <w:rPr>
          <w:rFonts w:asciiTheme="minorHAnsi" w:hAnsiTheme="minorHAnsi"/>
          <w:sz w:val="22"/>
        </w:rPr>
        <w:t xml:space="preserve">there are </w:t>
      </w:r>
      <w:r w:rsidR="000C52B3" w:rsidRPr="00035CD3">
        <w:rPr>
          <w:rFonts w:asciiTheme="minorHAnsi" w:hAnsiTheme="minorHAnsi"/>
          <w:sz w:val="22"/>
        </w:rPr>
        <w:t>now a number of projects in the pipeline</w:t>
      </w:r>
      <w:r w:rsidRPr="00035CD3">
        <w:rPr>
          <w:rFonts w:asciiTheme="minorHAnsi" w:hAnsiTheme="minorHAnsi"/>
          <w:sz w:val="22"/>
        </w:rPr>
        <w:t xml:space="preserve">. </w:t>
      </w:r>
      <w:r w:rsidR="000C52B3" w:rsidRPr="00035CD3">
        <w:rPr>
          <w:rFonts w:asciiTheme="minorHAnsi" w:hAnsiTheme="minorHAnsi"/>
          <w:sz w:val="22"/>
        </w:rPr>
        <w:t>Geographically</w:t>
      </w:r>
      <w:r w:rsidR="007C75EF" w:rsidRPr="00035CD3">
        <w:rPr>
          <w:rFonts w:asciiTheme="minorHAnsi" w:hAnsiTheme="minorHAnsi"/>
          <w:sz w:val="22"/>
        </w:rPr>
        <w:t>,</w:t>
      </w:r>
      <w:r w:rsidR="000C52B3" w:rsidRPr="00035CD3">
        <w:rPr>
          <w:rFonts w:asciiTheme="minorHAnsi" w:hAnsiTheme="minorHAnsi"/>
          <w:sz w:val="22"/>
        </w:rPr>
        <w:t xml:space="preserve"> the portfolio of activities under EI-TAF spans the glob</w:t>
      </w:r>
      <w:r w:rsidR="00633B3B">
        <w:rPr>
          <w:rFonts w:asciiTheme="minorHAnsi" w:hAnsiTheme="minorHAnsi"/>
          <w:sz w:val="22"/>
        </w:rPr>
        <w:t>e</w:t>
      </w:r>
      <w:r w:rsidR="000C52B3" w:rsidRPr="00035CD3">
        <w:rPr>
          <w:rFonts w:asciiTheme="minorHAnsi" w:hAnsiTheme="minorHAnsi"/>
          <w:sz w:val="22"/>
        </w:rPr>
        <w:t xml:space="preserve"> (Latin America, Africa, South Asia)</w:t>
      </w:r>
      <w:r w:rsidR="00633B3B">
        <w:rPr>
          <w:rFonts w:asciiTheme="minorHAnsi" w:hAnsiTheme="minorHAnsi"/>
          <w:sz w:val="22"/>
        </w:rPr>
        <w:t>, but</w:t>
      </w:r>
      <w:r w:rsidR="000C52B3" w:rsidRPr="00035CD3">
        <w:rPr>
          <w:rFonts w:asciiTheme="minorHAnsi" w:hAnsiTheme="minorHAnsi"/>
          <w:sz w:val="22"/>
        </w:rPr>
        <w:t xml:space="preserve"> there is clearly a concentrat</w:t>
      </w:r>
      <w:r w:rsidR="007C75EF" w:rsidRPr="00035CD3">
        <w:rPr>
          <w:rFonts w:asciiTheme="minorHAnsi" w:hAnsiTheme="minorHAnsi"/>
          <w:sz w:val="22"/>
        </w:rPr>
        <w:t>ion of projects in Africa (</w:t>
      </w:r>
      <w:r w:rsidR="000C52B3" w:rsidRPr="00035CD3">
        <w:rPr>
          <w:rFonts w:asciiTheme="minorHAnsi" w:hAnsiTheme="minorHAnsi"/>
          <w:sz w:val="22"/>
        </w:rPr>
        <w:t xml:space="preserve">Figure </w:t>
      </w:r>
      <w:r w:rsidR="007C75EF" w:rsidRPr="00035CD3">
        <w:rPr>
          <w:rFonts w:asciiTheme="minorHAnsi" w:hAnsiTheme="minorHAnsi"/>
          <w:sz w:val="22"/>
        </w:rPr>
        <w:t>1</w:t>
      </w:r>
      <w:r w:rsidR="00E52F7D">
        <w:rPr>
          <w:rFonts w:asciiTheme="minorHAnsi" w:hAnsiTheme="minorHAnsi"/>
          <w:sz w:val="22"/>
        </w:rPr>
        <w:t>: Global Map of EI-TAF Activities</w:t>
      </w:r>
      <w:r w:rsidR="000C52B3" w:rsidRPr="00035CD3">
        <w:rPr>
          <w:rFonts w:asciiTheme="minorHAnsi" w:hAnsiTheme="minorHAnsi"/>
          <w:sz w:val="22"/>
        </w:rPr>
        <w:t xml:space="preserve">). Moving forward, </w:t>
      </w:r>
      <w:r w:rsidR="007C75EF" w:rsidRPr="00035CD3">
        <w:rPr>
          <w:rFonts w:asciiTheme="minorHAnsi" w:hAnsiTheme="minorHAnsi"/>
          <w:sz w:val="22"/>
        </w:rPr>
        <w:t>Africa</w:t>
      </w:r>
      <w:r w:rsidR="006966BD" w:rsidRPr="00035CD3">
        <w:rPr>
          <w:rFonts w:asciiTheme="minorHAnsi" w:hAnsiTheme="minorHAnsi"/>
          <w:sz w:val="22"/>
        </w:rPr>
        <w:t>n countries</w:t>
      </w:r>
      <w:r w:rsidR="007C75EF" w:rsidRPr="00035CD3">
        <w:rPr>
          <w:rFonts w:asciiTheme="minorHAnsi" w:hAnsiTheme="minorHAnsi"/>
          <w:sz w:val="22"/>
        </w:rPr>
        <w:t xml:space="preserve"> </w:t>
      </w:r>
      <w:r w:rsidR="00F079BB" w:rsidRPr="00035CD3">
        <w:rPr>
          <w:rFonts w:asciiTheme="minorHAnsi" w:hAnsiTheme="minorHAnsi"/>
          <w:sz w:val="22"/>
        </w:rPr>
        <w:t xml:space="preserve">will remain </w:t>
      </w:r>
      <w:r w:rsidR="00DB34A2" w:rsidRPr="00035CD3">
        <w:rPr>
          <w:rFonts w:asciiTheme="minorHAnsi" w:hAnsiTheme="minorHAnsi"/>
          <w:sz w:val="22"/>
        </w:rPr>
        <w:t xml:space="preserve">a </w:t>
      </w:r>
      <w:r w:rsidR="00F079BB" w:rsidRPr="00035CD3">
        <w:rPr>
          <w:rFonts w:asciiTheme="minorHAnsi" w:hAnsiTheme="minorHAnsi"/>
          <w:sz w:val="22"/>
        </w:rPr>
        <w:t>source of demand</w:t>
      </w:r>
      <w:r w:rsidR="007C75EF" w:rsidRPr="00035CD3">
        <w:rPr>
          <w:rFonts w:asciiTheme="minorHAnsi" w:hAnsiTheme="minorHAnsi"/>
          <w:sz w:val="22"/>
        </w:rPr>
        <w:t xml:space="preserve"> for advisory services, but the team will </w:t>
      </w:r>
      <w:r w:rsidR="00DB34A2" w:rsidRPr="00035CD3">
        <w:rPr>
          <w:rFonts w:asciiTheme="minorHAnsi" w:hAnsiTheme="minorHAnsi"/>
          <w:sz w:val="22"/>
        </w:rPr>
        <w:t>wor</w:t>
      </w:r>
      <w:r w:rsidR="00633B3B">
        <w:rPr>
          <w:rFonts w:asciiTheme="minorHAnsi" w:hAnsiTheme="minorHAnsi"/>
          <w:sz w:val="22"/>
        </w:rPr>
        <w:t>k</w:t>
      </w:r>
      <w:r w:rsidR="00DB34A2" w:rsidRPr="00035CD3">
        <w:rPr>
          <w:rFonts w:asciiTheme="minorHAnsi" w:hAnsiTheme="minorHAnsi"/>
          <w:sz w:val="22"/>
        </w:rPr>
        <w:t xml:space="preserve"> towards</w:t>
      </w:r>
      <w:r w:rsidR="007C75EF" w:rsidRPr="00035CD3">
        <w:rPr>
          <w:rFonts w:asciiTheme="minorHAnsi" w:hAnsiTheme="minorHAnsi"/>
          <w:sz w:val="22"/>
        </w:rPr>
        <w:t xml:space="preserve"> a </w:t>
      </w:r>
      <w:r w:rsidR="00633B3B">
        <w:rPr>
          <w:rFonts w:asciiTheme="minorHAnsi" w:hAnsiTheme="minorHAnsi"/>
          <w:sz w:val="22"/>
        </w:rPr>
        <w:t xml:space="preserve">more </w:t>
      </w:r>
      <w:r w:rsidR="007C75EF" w:rsidRPr="00035CD3">
        <w:rPr>
          <w:rFonts w:asciiTheme="minorHAnsi" w:hAnsiTheme="minorHAnsi"/>
          <w:sz w:val="22"/>
        </w:rPr>
        <w:t>diversified country portfolio.</w:t>
      </w:r>
      <w:r w:rsidR="000C52B3" w:rsidRPr="00035CD3">
        <w:rPr>
          <w:rFonts w:asciiTheme="minorHAnsi" w:hAnsiTheme="minorHAnsi"/>
          <w:sz w:val="22"/>
        </w:rPr>
        <w:t xml:space="preserve"> </w:t>
      </w:r>
      <w:r w:rsidRPr="00035CD3">
        <w:rPr>
          <w:rFonts w:asciiTheme="minorHAnsi" w:hAnsiTheme="minorHAnsi"/>
          <w:sz w:val="22"/>
        </w:rPr>
        <w:t>Moreover, the portfolio also reflects a priority given to governments facing time-bound decisions around new proposals, selected from a larger pool that included the possible renegotiation of existing development agreements.</w:t>
      </w:r>
    </w:p>
    <w:p w:rsidR="007C75EF" w:rsidRPr="00035CD3" w:rsidRDefault="007C75EF" w:rsidP="00857515">
      <w:pPr>
        <w:spacing w:after="0" w:line="240" w:lineRule="auto"/>
        <w:rPr>
          <w:rFonts w:asciiTheme="minorHAnsi" w:hAnsiTheme="minorHAnsi"/>
          <w:szCs w:val="24"/>
        </w:rPr>
      </w:pPr>
    </w:p>
    <w:p w:rsidR="00E364A3" w:rsidRPr="00035CD3" w:rsidRDefault="00E364A3" w:rsidP="00E364A3">
      <w:pPr>
        <w:tabs>
          <w:tab w:val="left" w:pos="2504"/>
          <w:tab w:val="center" w:pos="4680"/>
        </w:tabs>
        <w:spacing w:after="0" w:line="240" w:lineRule="auto"/>
        <w:rPr>
          <w:rFonts w:asciiTheme="minorHAnsi" w:hAnsiTheme="minorHAnsi"/>
          <w:b/>
          <w:sz w:val="22"/>
        </w:rPr>
      </w:pPr>
    </w:p>
    <w:p w:rsidR="00D545AF" w:rsidRDefault="00E364A3" w:rsidP="00E364A3">
      <w:pPr>
        <w:tabs>
          <w:tab w:val="left" w:pos="2504"/>
          <w:tab w:val="center" w:pos="4680"/>
        </w:tabs>
        <w:spacing w:after="0" w:line="240" w:lineRule="auto"/>
        <w:rPr>
          <w:rFonts w:asciiTheme="minorHAnsi" w:hAnsiTheme="minorHAnsi"/>
          <w:b/>
          <w:sz w:val="22"/>
        </w:rPr>
      </w:pPr>
      <w:r w:rsidRPr="00035CD3">
        <w:rPr>
          <w:rFonts w:asciiTheme="minorHAnsi" w:hAnsiTheme="minorHAnsi"/>
          <w:b/>
          <w:sz w:val="22"/>
        </w:rPr>
        <w:tab/>
      </w:r>
    </w:p>
    <w:p w:rsidR="00D545AF" w:rsidRDefault="00D545AF">
      <w:pPr>
        <w:rPr>
          <w:rFonts w:asciiTheme="minorHAnsi" w:hAnsiTheme="minorHAnsi"/>
          <w:b/>
          <w:sz w:val="22"/>
        </w:rPr>
      </w:pPr>
      <w:r>
        <w:rPr>
          <w:rFonts w:asciiTheme="minorHAnsi" w:hAnsiTheme="minorHAnsi"/>
          <w:b/>
          <w:sz w:val="22"/>
        </w:rPr>
        <w:br w:type="page"/>
      </w:r>
    </w:p>
    <w:p w:rsidR="007C75EF" w:rsidRPr="00035CD3" w:rsidRDefault="007C75EF" w:rsidP="00E364A3">
      <w:pPr>
        <w:tabs>
          <w:tab w:val="left" w:pos="2504"/>
          <w:tab w:val="center" w:pos="4680"/>
        </w:tabs>
        <w:spacing w:after="0" w:line="240" w:lineRule="auto"/>
        <w:rPr>
          <w:rFonts w:asciiTheme="minorHAnsi" w:hAnsiTheme="minorHAnsi"/>
          <w:b/>
          <w:sz w:val="22"/>
        </w:rPr>
      </w:pPr>
      <w:r w:rsidRPr="00035CD3">
        <w:rPr>
          <w:rFonts w:asciiTheme="minorHAnsi" w:hAnsiTheme="minorHAnsi"/>
          <w:b/>
          <w:sz w:val="22"/>
        </w:rPr>
        <w:lastRenderedPageBreak/>
        <w:t xml:space="preserve">Figure 1: Global Map of EI-TAF Activities </w:t>
      </w:r>
    </w:p>
    <w:p w:rsidR="00E364A3" w:rsidRPr="00035CD3" w:rsidRDefault="00E364A3" w:rsidP="00E364A3">
      <w:pPr>
        <w:tabs>
          <w:tab w:val="left" w:pos="2504"/>
          <w:tab w:val="center" w:pos="4680"/>
        </w:tabs>
        <w:spacing w:after="0" w:line="240" w:lineRule="auto"/>
        <w:rPr>
          <w:rFonts w:asciiTheme="minorHAnsi" w:hAnsiTheme="minorHAnsi"/>
          <w:b/>
          <w:sz w:val="22"/>
        </w:rPr>
      </w:pPr>
    </w:p>
    <w:p w:rsidR="0037496C" w:rsidRPr="00035CD3" w:rsidRDefault="0037496C" w:rsidP="00857515">
      <w:pPr>
        <w:spacing w:after="0" w:line="240" w:lineRule="auto"/>
        <w:rPr>
          <w:rFonts w:asciiTheme="minorHAnsi" w:hAnsiTheme="minorHAnsi"/>
          <w:szCs w:val="24"/>
        </w:rPr>
      </w:pPr>
      <w:r w:rsidRPr="00035CD3">
        <w:rPr>
          <w:rFonts w:asciiTheme="minorHAnsi" w:hAnsiTheme="minorHAnsi"/>
          <w:noProof/>
          <w:szCs w:val="24"/>
          <w:lang w:val="en-AU" w:eastAsia="en-AU"/>
        </w:rPr>
        <w:drawing>
          <wp:inline distT="0" distB="0" distL="0" distR="0">
            <wp:extent cx="5944425" cy="3880237"/>
            <wp:effectExtent l="19050" t="0" r="0" b="0"/>
            <wp:docPr id="6" name="Picture 1"/>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11" cstate="print"/>
                    <a:srcRect/>
                    <a:stretch>
                      <a:fillRect/>
                    </a:stretch>
                  </pic:blipFill>
                  <pic:spPr bwMode="auto">
                    <a:xfrm>
                      <a:off x="0" y="0"/>
                      <a:ext cx="5944425" cy="3880237"/>
                    </a:xfrm>
                    <a:prstGeom prst="rect">
                      <a:avLst/>
                    </a:prstGeom>
                    <a:noFill/>
                    <a:ln w="9525">
                      <a:noFill/>
                      <a:miter lim="800000"/>
                      <a:headEnd/>
                      <a:tailEnd/>
                    </a:ln>
                    <a:effectLst/>
                  </pic:spPr>
                </pic:pic>
              </a:graphicData>
            </a:graphic>
          </wp:inline>
        </w:drawing>
      </w:r>
    </w:p>
    <w:p w:rsidR="0037496C" w:rsidRPr="00035CD3" w:rsidRDefault="0037496C" w:rsidP="00857515">
      <w:pPr>
        <w:spacing w:after="0" w:line="240" w:lineRule="auto"/>
        <w:rPr>
          <w:rFonts w:asciiTheme="minorHAnsi" w:hAnsiTheme="minorHAnsi"/>
          <w:szCs w:val="24"/>
        </w:rPr>
      </w:pPr>
    </w:p>
    <w:p w:rsidR="00EC7CA0" w:rsidRDefault="00EC7CA0" w:rsidP="00857515">
      <w:pPr>
        <w:spacing w:line="240" w:lineRule="auto"/>
        <w:rPr>
          <w:rFonts w:asciiTheme="minorHAnsi" w:hAnsiTheme="minorHAnsi"/>
          <w:b/>
          <w:bCs/>
          <w:iCs/>
          <w:sz w:val="22"/>
        </w:rPr>
      </w:pPr>
    </w:p>
    <w:p w:rsidR="004E0014" w:rsidRPr="00035CD3" w:rsidRDefault="002340A3" w:rsidP="00857515">
      <w:pPr>
        <w:spacing w:line="240" w:lineRule="auto"/>
        <w:rPr>
          <w:rFonts w:asciiTheme="minorHAnsi" w:hAnsiTheme="minorHAnsi"/>
          <w:sz w:val="22"/>
        </w:rPr>
      </w:pPr>
      <w:r w:rsidRPr="00035CD3">
        <w:rPr>
          <w:rFonts w:asciiTheme="minorHAnsi" w:hAnsiTheme="minorHAnsi"/>
          <w:b/>
          <w:bCs/>
          <w:iCs/>
          <w:sz w:val="22"/>
        </w:rPr>
        <w:t>EI-TAF Consultant Pool</w:t>
      </w:r>
      <w:r w:rsidR="000D0BE1" w:rsidRPr="00035CD3">
        <w:rPr>
          <w:rFonts w:asciiTheme="minorHAnsi" w:hAnsiTheme="minorHAnsi"/>
          <w:b/>
          <w:bCs/>
          <w:iCs/>
          <w:sz w:val="22"/>
        </w:rPr>
        <w:t xml:space="preserve"> for Advisory Assistance</w:t>
      </w:r>
    </w:p>
    <w:p w:rsidR="000904E2" w:rsidRPr="00035CD3" w:rsidRDefault="00787976" w:rsidP="00857515">
      <w:pPr>
        <w:spacing w:after="0" w:line="240" w:lineRule="auto"/>
        <w:jc w:val="both"/>
        <w:rPr>
          <w:rFonts w:asciiTheme="minorHAnsi" w:hAnsiTheme="minorHAnsi"/>
          <w:sz w:val="22"/>
        </w:rPr>
      </w:pPr>
      <w:r w:rsidRPr="00035CD3">
        <w:rPr>
          <w:rFonts w:asciiTheme="minorHAnsi" w:hAnsiTheme="minorHAnsi"/>
          <w:sz w:val="22"/>
        </w:rPr>
        <w:t xml:space="preserve">In an </w:t>
      </w:r>
      <w:r w:rsidR="000904E2" w:rsidRPr="00035CD3">
        <w:rPr>
          <w:rFonts w:asciiTheme="minorHAnsi" w:hAnsiTheme="minorHAnsi"/>
          <w:sz w:val="22"/>
        </w:rPr>
        <w:t xml:space="preserve">initial </w:t>
      </w:r>
      <w:r w:rsidRPr="00035CD3">
        <w:rPr>
          <w:rFonts w:asciiTheme="minorHAnsi" w:hAnsiTheme="minorHAnsi"/>
          <w:sz w:val="22"/>
        </w:rPr>
        <w:t xml:space="preserve">effort to expedite the </w:t>
      </w:r>
      <w:r w:rsidR="006400C5" w:rsidRPr="00035CD3">
        <w:rPr>
          <w:rFonts w:asciiTheme="minorHAnsi" w:hAnsiTheme="minorHAnsi"/>
          <w:sz w:val="22"/>
        </w:rPr>
        <w:t>deployment</w:t>
      </w:r>
      <w:r w:rsidRPr="00035CD3">
        <w:rPr>
          <w:rFonts w:asciiTheme="minorHAnsi" w:hAnsiTheme="minorHAnsi"/>
          <w:sz w:val="22"/>
        </w:rPr>
        <w:t xml:space="preserve"> of advis</w:t>
      </w:r>
      <w:r w:rsidR="006400C5" w:rsidRPr="00035CD3">
        <w:rPr>
          <w:rFonts w:asciiTheme="minorHAnsi" w:hAnsiTheme="minorHAnsi"/>
          <w:sz w:val="22"/>
        </w:rPr>
        <w:t>e</w:t>
      </w:r>
      <w:r w:rsidRPr="00035CD3">
        <w:rPr>
          <w:rFonts w:asciiTheme="minorHAnsi" w:hAnsiTheme="minorHAnsi"/>
          <w:sz w:val="22"/>
        </w:rPr>
        <w:t xml:space="preserve">rs, </w:t>
      </w:r>
      <w:r w:rsidR="006400C5" w:rsidRPr="00035CD3">
        <w:rPr>
          <w:rFonts w:asciiTheme="minorHAnsi" w:hAnsiTheme="minorHAnsi"/>
          <w:sz w:val="22"/>
        </w:rPr>
        <w:t xml:space="preserve">the World Bank </w:t>
      </w:r>
      <w:r w:rsidR="000904E2" w:rsidRPr="00035CD3">
        <w:rPr>
          <w:rFonts w:asciiTheme="minorHAnsi" w:hAnsiTheme="minorHAnsi"/>
          <w:sz w:val="22"/>
        </w:rPr>
        <w:t xml:space="preserve">team </w:t>
      </w:r>
      <w:r w:rsidR="006400C5" w:rsidRPr="00035CD3">
        <w:rPr>
          <w:rFonts w:asciiTheme="minorHAnsi" w:hAnsiTheme="minorHAnsi"/>
          <w:sz w:val="22"/>
        </w:rPr>
        <w:t>pu</w:t>
      </w:r>
      <w:r w:rsidR="000904E2" w:rsidRPr="00035CD3">
        <w:rPr>
          <w:rFonts w:asciiTheme="minorHAnsi" w:hAnsiTheme="minorHAnsi"/>
          <w:sz w:val="22"/>
        </w:rPr>
        <w:t xml:space="preserve">lled </w:t>
      </w:r>
      <w:r w:rsidR="006400C5" w:rsidRPr="00035CD3">
        <w:rPr>
          <w:rFonts w:asciiTheme="minorHAnsi" w:hAnsiTheme="minorHAnsi"/>
          <w:sz w:val="22"/>
        </w:rPr>
        <w:t xml:space="preserve">together a consultant roster on which EI-TAF recipient countries can draw. </w:t>
      </w:r>
      <w:r w:rsidR="00D766EB" w:rsidRPr="00035CD3">
        <w:rPr>
          <w:rFonts w:asciiTheme="minorHAnsi" w:hAnsiTheme="minorHAnsi"/>
          <w:sz w:val="22"/>
        </w:rPr>
        <w:t xml:space="preserve">This roster is now being used to </w:t>
      </w:r>
      <w:r w:rsidRPr="00035CD3">
        <w:rPr>
          <w:rFonts w:asciiTheme="minorHAnsi" w:hAnsiTheme="minorHAnsi"/>
          <w:sz w:val="22"/>
        </w:rPr>
        <w:t xml:space="preserve">provide governments with </w:t>
      </w:r>
      <w:r w:rsidR="006400C5" w:rsidRPr="00035CD3">
        <w:rPr>
          <w:rFonts w:asciiTheme="minorHAnsi" w:hAnsiTheme="minorHAnsi"/>
          <w:sz w:val="22"/>
        </w:rPr>
        <w:t>vetted</w:t>
      </w:r>
      <w:r w:rsidR="006F2D15" w:rsidRPr="00035CD3">
        <w:rPr>
          <w:rFonts w:asciiTheme="minorHAnsi" w:hAnsiTheme="minorHAnsi"/>
          <w:sz w:val="22"/>
        </w:rPr>
        <w:t xml:space="preserve"> </w:t>
      </w:r>
      <w:r w:rsidR="006400C5" w:rsidRPr="00035CD3">
        <w:rPr>
          <w:rFonts w:asciiTheme="minorHAnsi" w:hAnsiTheme="minorHAnsi"/>
          <w:sz w:val="22"/>
        </w:rPr>
        <w:t xml:space="preserve">long or </w:t>
      </w:r>
      <w:r w:rsidR="006F2D15" w:rsidRPr="00035CD3">
        <w:rPr>
          <w:rFonts w:asciiTheme="minorHAnsi" w:hAnsiTheme="minorHAnsi"/>
          <w:sz w:val="22"/>
        </w:rPr>
        <w:t>short</w:t>
      </w:r>
      <w:r w:rsidRPr="00035CD3">
        <w:rPr>
          <w:rFonts w:asciiTheme="minorHAnsi" w:hAnsiTheme="minorHAnsi"/>
          <w:sz w:val="22"/>
        </w:rPr>
        <w:t>list</w:t>
      </w:r>
      <w:r w:rsidR="006400C5" w:rsidRPr="00035CD3">
        <w:rPr>
          <w:rFonts w:asciiTheme="minorHAnsi" w:hAnsiTheme="minorHAnsi"/>
          <w:sz w:val="22"/>
        </w:rPr>
        <w:t>s</w:t>
      </w:r>
      <w:r w:rsidRPr="00035CD3">
        <w:rPr>
          <w:rFonts w:asciiTheme="minorHAnsi" w:hAnsiTheme="minorHAnsi"/>
          <w:sz w:val="22"/>
        </w:rPr>
        <w:t xml:space="preserve"> of consultants</w:t>
      </w:r>
      <w:r w:rsidR="006400C5" w:rsidRPr="00035CD3">
        <w:rPr>
          <w:rFonts w:asciiTheme="minorHAnsi" w:hAnsiTheme="minorHAnsi"/>
          <w:sz w:val="22"/>
        </w:rPr>
        <w:t xml:space="preserve"> that fit the profile of the type of assistance sought</w:t>
      </w:r>
      <w:r w:rsidRPr="00035CD3">
        <w:rPr>
          <w:rFonts w:asciiTheme="minorHAnsi" w:hAnsiTheme="minorHAnsi"/>
          <w:sz w:val="22"/>
        </w:rPr>
        <w:t>.</w:t>
      </w:r>
      <w:r w:rsidR="0068167A" w:rsidRPr="00035CD3">
        <w:rPr>
          <w:rFonts w:asciiTheme="minorHAnsi" w:hAnsiTheme="minorHAnsi"/>
          <w:sz w:val="22"/>
        </w:rPr>
        <w:t xml:space="preserve"> </w:t>
      </w:r>
    </w:p>
    <w:p w:rsidR="002808D8" w:rsidRPr="00035CD3" w:rsidRDefault="002808D8" w:rsidP="00857515">
      <w:pPr>
        <w:spacing w:after="0" w:line="240" w:lineRule="auto"/>
        <w:jc w:val="both"/>
        <w:rPr>
          <w:rFonts w:asciiTheme="minorHAnsi" w:hAnsiTheme="minorHAnsi"/>
          <w:sz w:val="22"/>
        </w:rPr>
      </w:pPr>
    </w:p>
    <w:p w:rsidR="000904E2" w:rsidRPr="00035CD3" w:rsidRDefault="000904E2" w:rsidP="00857515">
      <w:pPr>
        <w:spacing w:after="0" w:line="240" w:lineRule="auto"/>
        <w:jc w:val="both"/>
        <w:rPr>
          <w:rFonts w:asciiTheme="minorHAnsi" w:hAnsiTheme="minorHAnsi"/>
          <w:sz w:val="22"/>
        </w:rPr>
      </w:pPr>
      <w:r w:rsidRPr="00035CD3">
        <w:rPr>
          <w:rFonts w:asciiTheme="minorHAnsi" w:hAnsiTheme="minorHAnsi"/>
          <w:sz w:val="22"/>
        </w:rPr>
        <w:t xml:space="preserve">Going forward, </w:t>
      </w:r>
      <w:r w:rsidR="00B5345F" w:rsidRPr="00035CD3">
        <w:rPr>
          <w:rFonts w:asciiTheme="minorHAnsi" w:hAnsiTheme="minorHAnsi"/>
          <w:sz w:val="22"/>
        </w:rPr>
        <w:t>the EI-TAF</w:t>
      </w:r>
      <w:r w:rsidR="00AD313C" w:rsidRPr="00035CD3">
        <w:rPr>
          <w:rFonts w:asciiTheme="minorHAnsi" w:hAnsiTheme="minorHAnsi"/>
          <w:sz w:val="22"/>
        </w:rPr>
        <w:t xml:space="preserve"> </w:t>
      </w:r>
      <w:r w:rsidR="00ED098B" w:rsidRPr="00035CD3">
        <w:rPr>
          <w:rFonts w:asciiTheme="minorHAnsi" w:hAnsiTheme="minorHAnsi"/>
          <w:sz w:val="22"/>
        </w:rPr>
        <w:t>propos</w:t>
      </w:r>
      <w:r w:rsidR="00AD313C" w:rsidRPr="00035CD3">
        <w:rPr>
          <w:rFonts w:asciiTheme="minorHAnsi" w:hAnsiTheme="minorHAnsi"/>
          <w:sz w:val="22"/>
        </w:rPr>
        <w:t>e</w:t>
      </w:r>
      <w:r w:rsidR="00B5345F" w:rsidRPr="00035CD3">
        <w:rPr>
          <w:rFonts w:asciiTheme="minorHAnsi" w:hAnsiTheme="minorHAnsi"/>
          <w:sz w:val="22"/>
        </w:rPr>
        <w:t xml:space="preserve">s </w:t>
      </w:r>
      <w:r w:rsidR="00AD313C" w:rsidRPr="00035CD3">
        <w:rPr>
          <w:rFonts w:asciiTheme="minorHAnsi" w:hAnsiTheme="minorHAnsi"/>
          <w:sz w:val="22"/>
        </w:rPr>
        <w:t>creating a mechanism whereby</w:t>
      </w:r>
      <w:r w:rsidR="00ED098B" w:rsidRPr="00035CD3">
        <w:rPr>
          <w:rFonts w:asciiTheme="minorHAnsi" w:hAnsiTheme="minorHAnsi"/>
          <w:sz w:val="22"/>
        </w:rPr>
        <w:t xml:space="preserve"> </w:t>
      </w:r>
      <w:r w:rsidRPr="00035CD3">
        <w:rPr>
          <w:rFonts w:asciiTheme="minorHAnsi" w:hAnsiTheme="minorHAnsi"/>
          <w:sz w:val="22"/>
        </w:rPr>
        <w:t xml:space="preserve">a </w:t>
      </w:r>
      <w:r w:rsidR="00ED098B" w:rsidRPr="00035CD3">
        <w:rPr>
          <w:rFonts w:asciiTheme="minorHAnsi" w:hAnsiTheme="minorHAnsi"/>
          <w:sz w:val="22"/>
        </w:rPr>
        <w:t xml:space="preserve">group </w:t>
      </w:r>
      <w:r w:rsidRPr="00035CD3">
        <w:rPr>
          <w:rFonts w:asciiTheme="minorHAnsi" w:hAnsiTheme="minorHAnsi"/>
          <w:sz w:val="22"/>
        </w:rPr>
        <w:t>of pre-qualified consultants</w:t>
      </w:r>
      <w:r w:rsidR="00AD313C" w:rsidRPr="00035CD3">
        <w:rPr>
          <w:rFonts w:asciiTheme="minorHAnsi" w:hAnsiTheme="minorHAnsi"/>
          <w:sz w:val="22"/>
        </w:rPr>
        <w:t xml:space="preserve"> will be contracted through the Bank</w:t>
      </w:r>
      <w:r w:rsidR="00ED098B" w:rsidRPr="00035CD3">
        <w:rPr>
          <w:rFonts w:asciiTheme="minorHAnsi" w:hAnsiTheme="minorHAnsi"/>
          <w:sz w:val="22"/>
        </w:rPr>
        <w:t xml:space="preserve"> under a retainer</w:t>
      </w:r>
      <w:r w:rsidR="00AD313C" w:rsidRPr="00035CD3">
        <w:rPr>
          <w:rFonts w:asciiTheme="minorHAnsi" w:hAnsiTheme="minorHAnsi"/>
          <w:sz w:val="22"/>
        </w:rPr>
        <w:t>-</w:t>
      </w:r>
      <w:r w:rsidR="00ED098B" w:rsidRPr="00035CD3">
        <w:rPr>
          <w:rFonts w:asciiTheme="minorHAnsi" w:hAnsiTheme="minorHAnsi"/>
          <w:sz w:val="22"/>
        </w:rPr>
        <w:t>type arrangement.</w:t>
      </w:r>
      <w:r w:rsidR="00AD313C" w:rsidRPr="00035CD3">
        <w:rPr>
          <w:rFonts w:asciiTheme="minorHAnsi" w:hAnsiTheme="minorHAnsi"/>
          <w:sz w:val="22"/>
        </w:rPr>
        <w:t xml:space="preserve"> These arrangements will be particularly relevant </w:t>
      </w:r>
      <w:r w:rsidR="00263E22" w:rsidRPr="00035CD3">
        <w:rPr>
          <w:rFonts w:asciiTheme="minorHAnsi" w:hAnsiTheme="minorHAnsi"/>
          <w:sz w:val="22"/>
        </w:rPr>
        <w:t xml:space="preserve">in </w:t>
      </w:r>
      <w:r w:rsidR="00AD313C" w:rsidRPr="00035CD3">
        <w:rPr>
          <w:rFonts w:asciiTheme="minorHAnsi" w:hAnsiTheme="minorHAnsi"/>
          <w:sz w:val="22"/>
        </w:rPr>
        <w:t>Bank-executed projects, allow</w:t>
      </w:r>
      <w:r w:rsidR="00263E22" w:rsidRPr="00035CD3">
        <w:rPr>
          <w:rFonts w:asciiTheme="minorHAnsi" w:hAnsiTheme="minorHAnsi"/>
          <w:sz w:val="22"/>
        </w:rPr>
        <w:t>ing</w:t>
      </w:r>
      <w:r w:rsidR="00AD313C" w:rsidRPr="00035CD3">
        <w:rPr>
          <w:rFonts w:asciiTheme="minorHAnsi" w:hAnsiTheme="minorHAnsi"/>
          <w:sz w:val="22"/>
        </w:rPr>
        <w:t xml:space="preserve"> task managers to rapidly deploy experts </w:t>
      </w:r>
      <w:r w:rsidR="00E52F7D">
        <w:rPr>
          <w:rFonts w:asciiTheme="minorHAnsi" w:hAnsiTheme="minorHAnsi"/>
          <w:sz w:val="22"/>
        </w:rPr>
        <w:t xml:space="preserve">on </w:t>
      </w:r>
      <w:r w:rsidR="00AD313C" w:rsidRPr="00035CD3">
        <w:rPr>
          <w:rFonts w:asciiTheme="minorHAnsi" w:hAnsiTheme="minorHAnsi"/>
          <w:sz w:val="22"/>
        </w:rPr>
        <w:t>a short-term basis</w:t>
      </w:r>
      <w:r w:rsidR="00B5345F" w:rsidRPr="00035CD3">
        <w:rPr>
          <w:rFonts w:asciiTheme="minorHAnsi" w:hAnsiTheme="minorHAnsi"/>
          <w:sz w:val="22"/>
        </w:rPr>
        <w:t>, enhancing grant administrative efficiencies</w:t>
      </w:r>
      <w:r w:rsidR="00AD313C" w:rsidRPr="00035CD3">
        <w:rPr>
          <w:rFonts w:asciiTheme="minorHAnsi" w:hAnsiTheme="minorHAnsi"/>
          <w:sz w:val="22"/>
        </w:rPr>
        <w:t>.</w:t>
      </w:r>
      <w:r w:rsidR="00D545AF">
        <w:rPr>
          <w:rFonts w:asciiTheme="minorHAnsi" w:hAnsiTheme="minorHAnsi"/>
          <w:sz w:val="22"/>
        </w:rPr>
        <w:t xml:space="preserve"> </w:t>
      </w:r>
    </w:p>
    <w:p w:rsidR="004E0014" w:rsidRPr="00035CD3" w:rsidRDefault="004E0014" w:rsidP="00857515">
      <w:pPr>
        <w:spacing w:after="0" w:line="240" w:lineRule="auto"/>
        <w:jc w:val="both"/>
        <w:rPr>
          <w:rFonts w:asciiTheme="minorHAnsi" w:hAnsiTheme="minorHAnsi"/>
          <w:b/>
          <w:bCs/>
          <w:iCs/>
          <w:sz w:val="22"/>
        </w:rPr>
      </w:pPr>
    </w:p>
    <w:p w:rsidR="00E52F7D" w:rsidRDefault="00E52F7D">
      <w:pPr>
        <w:rPr>
          <w:rFonts w:asciiTheme="minorHAnsi" w:hAnsiTheme="minorHAnsi"/>
          <w:b/>
          <w:bCs/>
          <w:iCs/>
          <w:sz w:val="22"/>
        </w:rPr>
      </w:pPr>
      <w:r>
        <w:rPr>
          <w:rFonts w:asciiTheme="minorHAnsi" w:hAnsiTheme="minorHAnsi"/>
          <w:b/>
          <w:bCs/>
          <w:iCs/>
          <w:sz w:val="22"/>
        </w:rPr>
        <w:br w:type="page"/>
      </w:r>
    </w:p>
    <w:p w:rsidR="00D545AF" w:rsidRDefault="00D545AF" w:rsidP="00857515">
      <w:pPr>
        <w:tabs>
          <w:tab w:val="left" w:pos="3118"/>
        </w:tabs>
        <w:spacing w:after="0" w:line="240" w:lineRule="auto"/>
        <w:jc w:val="both"/>
        <w:rPr>
          <w:rFonts w:asciiTheme="minorHAnsi" w:hAnsiTheme="minorHAnsi"/>
          <w:b/>
          <w:bCs/>
          <w:iCs/>
          <w:sz w:val="22"/>
        </w:rPr>
      </w:pPr>
    </w:p>
    <w:p w:rsidR="004E0014" w:rsidRPr="00035CD3" w:rsidRDefault="000D0BE1" w:rsidP="00857515">
      <w:pPr>
        <w:tabs>
          <w:tab w:val="left" w:pos="3118"/>
        </w:tabs>
        <w:spacing w:after="0" w:line="240" w:lineRule="auto"/>
        <w:jc w:val="both"/>
        <w:rPr>
          <w:rFonts w:asciiTheme="minorHAnsi" w:hAnsiTheme="minorHAnsi"/>
          <w:b/>
          <w:bCs/>
          <w:iCs/>
          <w:sz w:val="22"/>
        </w:rPr>
      </w:pPr>
      <w:r w:rsidRPr="00035CD3">
        <w:rPr>
          <w:rFonts w:asciiTheme="minorHAnsi" w:hAnsiTheme="minorHAnsi"/>
          <w:b/>
          <w:bCs/>
          <w:iCs/>
          <w:sz w:val="22"/>
        </w:rPr>
        <w:t>Knowledge Management</w:t>
      </w:r>
      <w:r w:rsidR="00880501" w:rsidRPr="00035CD3">
        <w:rPr>
          <w:rFonts w:asciiTheme="minorHAnsi" w:hAnsiTheme="minorHAnsi"/>
          <w:b/>
          <w:bCs/>
          <w:iCs/>
          <w:sz w:val="22"/>
        </w:rPr>
        <w:tab/>
      </w:r>
    </w:p>
    <w:p w:rsidR="004E0014" w:rsidRPr="00035CD3" w:rsidRDefault="004E0014" w:rsidP="00857515">
      <w:pPr>
        <w:tabs>
          <w:tab w:val="left" w:pos="3118"/>
        </w:tabs>
        <w:spacing w:after="0" w:line="240" w:lineRule="auto"/>
        <w:jc w:val="both"/>
        <w:rPr>
          <w:rFonts w:asciiTheme="minorHAnsi" w:hAnsiTheme="minorHAnsi"/>
          <w:b/>
          <w:bCs/>
          <w:iCs/>
          <w:sz w:val="22"/>
        </w:rPr>
      </w:pPr>
    </w:p>
    <w:p w:rsidR="004E0014" w:rsidRPr="00035CD3" w:rsidRDefault="00305069" w:rsidP="00857515">
      <w:pPr>
        <w:spacing w:after="0" w:line="240" w:lineRule="auto"/>
        <w:jc w:val="both"/>
        <w:rPr>
          <w:rFonts w:asciiTheme="minorHAnsi" w:hAnsiTheme="minorHAnsi"/>
          <w:bCs/>
          <w:iCs/>
          <w:sz w:val="22"/>
        </w:rPr>
      </w:pPr>
      <w:r w:rsidRPr="00035CD3">
        <w:rPr>
          <w:rFonts w:asciiTheme="minorHAnsi" w:hAnsiTheme="minorHAnsi"/>
          <w:bCs/>
          <w:iCs/>
          <w:sz w:val="22"/>
        </w:rPr>
        <w:t xml:space="preserve">The </w:t>
      </w:r>
      <w:r w:rsidRPr="00035CD3">
        <w:rPr>
          <w:rFonts w:asciiTheme="minorHAnsi" w:hAnsiTheme="minorHAnsi"/>
          <w:bCs/>
          <w:i/>
          <w:iCs/>
          <w:sz w:val="22"/>
        </w:rPr>
        <w:t>Extractive Industr</w:t>
      </w:r>
      <w:r w:rsidR="00844ADF" w:rsidRPr="00035CD3">
        <w:rPr>
          <w:rFonts w:asciiTheme="minorHAnsi" w:hAnsiTheme="minorHAnsi"/>
          <w:bCs/>
          <w:i/>
          <w:iCs/>
          <w:sz w:val="22"/>
        </w:rPr>
        <w:t>ies</w:t>
      </w:r>
      <w:r w:rsidRPr="00035CD3">
        <w:rPr>
          <w:rFonts w:asciiTheme="minorHAnsi" w:hAnsiTheme="minorHAnsi"/>
          <w:bCs/>
          <w:i/>
          <w:iCs/>
          <w:sz w:val="22"/>
        </w:rPr>
        <w:t xml:space="preserve"> Source Book (</w:t>
      </w:r>
      <w:hyperlink r:id="rId12" w:history="1">
        <w:r w:rsidR="007C75EF" w:rsidRPr="00035CD3">
          <w:rPr>
            <w:rStyle w:val="Hyperlink"/>
            <w:rFonts w:asciiTheme="minorHAnsi" w:hAnsiTheme="minorHAnsi"/>
            <w:bCs/>
            <w:i/>
            <w:iCs/>
            <w:sz w:val="22"/>
          </w:rPr>
          <w:t>www.eisourcebook.org</w:t>
        </w:r>
      </w:hyperlink>
      <w:r w:rsidRPr="00035CD3">
        <w:rPr>
          <w:rFonts w:asciiTheme="minorHAnsi" w:hAnsiTheme="minorHAnsi"/>
          <w:bCs/>
          <w:i/>
          <w:iCs/>
          <w:sz w:val="22"/>
        </w:rPr>
        <w:t xml:space="preserve">) </w:t>
      </w:r>
      <w:r w:rsidR="00934AC9" w:rsidRPr="00035CD3">
        <w:rPr>
          <w:rFonts w:asciiTheme="minorHAnsi" w:hAnsiTheme="minorHAnsi"/>
          <w:bCs/>
          <w:iCs/>
          <w:sz w:val="22"/>
        </w:rPr>
        <w:t>is</w:t>
      </w:r>
      <w:r w:rsidR="00934AC9" w:rsidRPr="00035CD3">
        <w:rPr>
          <w:rFonts w:asciiTheme="minorHAnsi" w:hAnsiTheme="minorHAnsi"/>
          <w:bCs/>
          <w:i/>
          <w:iCs/>
          <w:sz w:val="22"/>
        </w:rPr>
        <w:t xml:space="preserve"> </w:t>
      </w:r>
      <w:r w:rsidRPr="00035CD3">
        <w:rPr>
          <w:rFonts w:asciiTheme="minorHAnsi" w:hAnsiTheme="minorHAnsi"/>
          <w:bCs/>
          <w:iCs/>
          <w:sz w:val="22"/>
        </w:rPr>
        <w:t xml:space="preserve">financed </w:t>
      </w:r>
      <w:r w:rsidR="00934AC9" w:rsidRPr="00035CD3">
        <w:rPr>
          <w:rFonts w:asciiTheme="minorHAnsi" w:hAnsiTheme="minorHAnsi"/>
          <w:bCs/>
          <w:iCs/>
          <w:sz w:val="22"/>
        </w:rPr>
        <w:t>through</w:t>
      </w:r>
      <w:r w:rsidR="00C97807" w:rsidRPr="00035CD3">
        <w:rPr>
          <w:rFonts w:asciiTheme="minorHAnsi" w:hAnsiTheme="minorHAnsi"/>
          <w:bCs/>
          <w:iCs/>
          <w:sz w:val="22"/>
        </w:rPr>
        <w:t xml:space="preserve"> a</w:t>
      </w:r>
      <w:r w:rsidRPr="00035CD3">
        <w:rPr>
          <w:rFonts w:asciiTheme="minorHAnsi" w:hAnsiTheme="minorHAnsi"/>
          <w:bCs/>
          <w:iCs/>
          <w:sz w:val="22"/>
        </w:rPr>
        <w:t xml:space="preserve"> grant </w:t>
      </w:r>
      <w:r w:rsidR="00E52F7D">
        <w:rPr>
          <w:rFonts w:asciiTheme="minorHAnsi" w:hAnsiTheme="minorHAnsi"/>
          <w:bCs/>
          <w:iCs/>
          <w:sz w:val="22"/>
        </w:rPr>
        <w:t xml:space="preserve">from </w:t>
      </w:r>
      <w:r w:rsidRPr="00035CD3">
        <w:rPr>
          <w:rFonts w:asciiTheme="minorHAnsi" w:hAnsiTheme="minorHAnsi"/>
          <w:bCs/>
          <w:iCs/>
          <w:sz w:val="22"/>
        </w:rPr>
        <w:t>the Development Grant Facility</w:t>
      </w:r>
      <w:r w:rsidR="00C97807" w:rsidRPr="00035CD3">
        <w:rPr>
          <w:rFonts w:asciiTheme="minorHAnsi" w:hAnsiTheme="minorHAnsi"/>
          <w:bCs/>
          <w:iCs/>
          <w:sz w:val="22"/>
        </w:rPr>
        <w:t xml:space="preserve"> (DGF)</w:t>
      </w:r>
      <w:r w:rsidRPr="00035CD3">
        <w:rPr>
          <w:rFonts w:asciiTheme="minorHAnsi" w:hAnsiTheme="minorHAnsi"/>
          <w:bCs/>
          <w:iCs/>
          <w:sz w:val="22"/>
        </w:rPr>
        <w:t xml:space="preserve">, </w:t>
      </w:r>
      <w:r w:rsidR="00934AC9" w:rsidRPr="00035CD3">
        <w:rPr>
          <w:rFonts w:asciiTheme="minorHAnsi" w:hAnsiTheme="minorHAnsi"/>
          <w:bCs/>
          <w:iCs/>
          <w:sz w:val="22"/>
        </w:rPr>
        <w:t xml:space="preserve">and </w:t>
      </w:r>
      <w:r w:rsidRPr="00035CD3">
        <w:rPr>
          <w:rFonts w:asciiTheme="minorHAnsi" w:hAnsiTheme="minorHAnsi"/>
          <w:bCs/>
          <w:iCs/>
          <w:sz w:val="22"/>
        </w:rPr>
        <w:t>is the primary knowledge management tool and product, developed through the EI-TAF.</w:t>
      </w:r>
      <w:r w:rsidR="00844ADF" w:rsidRPr="00035CD3">
        <w:rPr>
          <w:rFonts w:asciiTheme="minorHAnsi" w:hAnsiTheme="minorHAnsi"/>
          <w:bCs/>
          <w:iCs/>
          <w:sz w:val="22"/>
        </w:rPr>
        <w:t xml:space="preserve"> </w:t>
      </w:r>
      <w:r w:rsidRPr="00035CD3">
        <w:rPr>
          <w:rFonts w:asciiTheme="minorHAnsi" w:hAnsiTheme="minorHAnsi"/>
          <w:bCs/>
          <w:iCs/>
          <w:sz w:val="22"/>
        </w:rPr>
        <w:t>The</w:t>
      </w:r>
      <w:r w:rsidR="00C97807" w:rsidRPr="00035CD3">
        <w:rPr>
          <w:rFonts w:asciiTheme="minorHAnsi" w:hAnsiTheme="minorHAnsi"/>
          <w:bCs/>
          <w:iCs/>
          <w:sz w:val="22"/>
        </w:rPr>
        <w:t xml:space="preserve"> aim of the</w:t>
      </w:r>
      <w:r w:rsidRPr="00035CD3">
        <w:rPr>
          <w:rFonts w:asciiTheme="minorHAnsi" w:hAnsiTheme="minorHAnsi"/>
          <w:bCs/>
          <w:iCs/>
          <w:sz w:val="22"/>
        </w:rPr>
        <w:t xml:space="preserve"> EI Source Book </w:t>
      </w:r>
      <w:r w:rsidR="00C97807" w:rsidRPr="00035CD3">
        <w:rPr>
          <w:rFonts w:asciiTheme="minorHAnsi" w:hAnsiTheme="minorHAnsi"/>
          <w:bCs/>
          <w:iCs/>
          <w:sz w:val="22"/>
        </w:rPr>
        <w:t xml:space="preserve">is to </w:t>
      </w:r>
      <w:r w:rsidRPr="00035CD3">
        <w:rPr>
          <w:rFonts w:asciiTheme="minorHAnsi" w:hAnsiTheme="minorHAnsi"/>
          <w:bCs/>
          <w:iCs/>
          <w:sz w:val="22"/>
        </w:rPr>
        <w:t xml:space="preserve">(a) directly support the EI-TAF in building capacity for large-scale transactions in the extractive industries in client countries, when used as a capacity building tool, and (b) </w:t>
      </w:r>
      <w:r w:rsidR="00E52F7D">
        <w:rPr>
          <w:rFonts w:asciiTheme="minorHAnsi" w:hAnsiTheme="minorHAnsi"/>
          <w:bCs/>
          <w:iCs/>
          <w:sz w:val="22"/>
        </w:rPr>
        <w:t xml:space="preserve">be </w:t>
      </w:r>
      <w:r w:rsidRPr="00035CD3">
        <w:rPr>
          <w:rFonts w:asciiTheme="minorHAnsi" w:hAnsiTheme="minorHAnsi"/>
          <w:bCs/>
          <w:iCs/>
          <w:sz w:val="22"/>
        </w:rPr>
        <w:t xml:space="preserve">the nexus for the </w:t>
      </w:r>
      <w:r w:rsidRPr="00035CD3">
        <w:rPr>
          <w:rFonts w:asciiTheme="minorHAnsi" w:hAnsiTheme="minorHAnsi"/>
          <w:bCs/>
          <w:i/>
          <w:iCs/>
          <w:sz w:val="22"/>
        </w:rPr>
        <w:t>Extractive Industries Task Group</w:t>
      </w:r>
      <w:r w:rsidRPr="00035CD3">
        <w:rPr>
          <w:rFonts w:asciiTheme="minorHAnsi" w:hAnsiTheme="minorHAnsi"/>
          <w:bCs/>
          <w:iCs/>
          <w:sz w:val="22"/>
        </w:rPr>
        <w:t xml:space="preserve"> (EITG) and the </w:t>
      </w:r>
      <w:r w:rsidRPr="00035CD3">
        <w:rPr>
          <w:rFonts w:asciiTheme="minorHAnsi" w:hAnsiTheme="minorHAnsi"/>
          <w:bCs/>
          <w:i/>
          <w:iCs/>
          <w:sz w:val="22"/>
        </w:rPr>
        <w:t>Extractives for Development (E4D) Knowledge Partnership</w:t>
      </w:r>
      <w:r w:rsidRPr="00035CD3">
        <w:rPr>
          <w:rStyle w:val="FootnoteReference"/>
          <w:rFonts w:asciiTheme="minorHAnsi" w:hAnsiTheme="minorHAnsi"/>
          <w:bCs/>
          <w:i/>
          <w:iCs/>
          <w:sz w:val="22"/>
        </w:rPr>
        <w:footnoteReference w:id="1"/>
      </w:r>
      <w:r w:rsidR="00844ADF" w:rsidRPr="00035CD3">
        <w:rPr>
          <w:rFonts w:asciiTheme="minorHAnsi" w:hAnsiTheme="minorHAnsi"/>
          <w:bCs/>
          <w:i/>
          <w:iCs/>
          <w:sz w:val="22"/>
        </w:rPr>
        <w:t xml:space="preserve"> </w:t>
      </w:r>
      <w:r w:rsidRPr="00035CD3">
        <w:rPr>
          <w:rFonts w:asciiTheme="minorHAnsi" w:hAnsiTheme="minorHAnsi"/>
          <w:bCs/>
          <w:iCs/>
          <w:sz w:val="22"/>
        </w:rPr>
        <w:t>in meeting the demand to collaborate more effectively across the World Bank Group (WBG) and with external partners, including though the development of new EI knowledge products.</w:t>
      </w:r>
      <w:r w:rsidR="006939A2" w:rsidRPr="00035CD3">
        <w:rPr>
          <w:rFonts w:asciiTheme="minorHAnsi" w:hAnsiTheme="minorHAnsi"/>
          <w:bCs/>
          <w:iCs/>
          <w:sz w:val="22"/>
        </w:rPr>
        <w:t xml:space="preserve"> The Source Book is be</w:t>
      </w:r>
      <w:r w:rsidR="00D475B5">
        <w:rPr>
          <w:rFonts w:asciiTheme="minorHAnsi" w:hAnsiTheme="minorHAnsi"/>
          <w:bCs/>
          <w:iCs/>
          <w:sz w:val="22"/>
        </w:rPr>
        <w:t>ing</w:t>
      </w:r>
      <w:r w:rsidR="006939A2" w:rsidRPr="00035CD3">
        <w:rPr>
          <w:rFonts w:asciiTheme="minorHAnsi" w:hAnsiTheme="minorHAnsi"/>
          <w:bCs/>
          <w:iCs/>
          <w:sz w:val="22"/>
        </w:rPr>
        <w:t xml:space="preserve"> piloted as an orientation guide and knowledge resource for EI-TAF activities (i.e. EI-TAF Balochistan)</w:t>
      </w:r>
      <w:r w:rsidR="00D475B5">
        <w:rPr>
          <w:rFonts w:asciiTheme="minorHAnsi" w:hAnsiTheme="minorHAnsi"/>
          <w:bCs/>
          <w:iCs/>
          <w:sz w:val="22"/>
        </w:rPr>
        <w:t>.</w:t>
      </w:r>
    </w:p>
    <w:p w:rsidR="004E0014" w:rsidRPr="00035CD3" w:rsidRDefault="004E0014" w:rsidP="00857515">
      <w:pPr>
        <w:spacing w:after="0" w:line="240" w:lineRule="auto"/>
        <w:jc w:val="both"/>
        <w:rPr>
          <w:rFonts w:asciiTheme="minorHAnsi" w:hAnsiTheme="minorHAnsi"/>
          <w:bCs/>
          <w:iCs/>
          <w:sz w:val="22"/>
        </w:rPr>
      </w:pPr>
    </w:p>
    <w:p w:rsidR="004E0014" w:rsidRPr="00035CD3" w:rsidRDefault="00305069" w:rsidP="00857515">
      <w:pPr>
        <w:spacing w:after="0" w:line="240" w:lineRule="auto"/>
        <w:jc w:val="both"/>
        <w:rPr>
          <w:rFonts w:asciiTheme="minorHAnsi" w:hAnsiTheme="minorHAnsi"/>
          <w:bCs/>
          <w:iCs/>
          <w:sz w:val="22"/>
        </w:rPr>
      </w:pPr>
      <w:r w:rsidRPr="00035CD3">
        <w:rPr>
          <w:rFonts w:asciiTheme="minorHAnsi" w:hAnsiTheme="minorHAnsi"/>
          <w:bCs/>
          <w:iCs/>
          <w:sz w:val="22"/>
        </w:rPr>
        <w:t>Through a global collaborative partnership, the preparation of the Source Book builds upon research from leading academic/research industry institutions having core specializations in the extractive industries. During the first phase of the EI Source Book Project (1.0), a series of activities are being carried out, which will be expanded during the second phase of its development (2.0).</w:t>
      </w:r>
    </w:p>
    <w:p w:rsidR="00CC3B5B" w:rsidRPr="00035CD3" w:rsidRDefault="00CC3B5B" w:rsidP="00857515">
      <w:pPr>
        <w:spacing w:after="0" w:line="240" w:lineRule="auto"/>
        <w:jc w:val="both"/>
        <w:rPr>
          <w:rFonts w:asciiTheme="minorHAnsi" w:hAnsiTheme="minorHAnsi"/>
          <w:bCs/>
          <w:iCs/>
          <w:sz w:val="22"/>
        </w:rPr>
      </w:pPr>
    </w:p>
    <w:p w:rsidR="004E0014" w:rsidRPr="00035CD3" w:rsidRDefault="006D4678" w:rsidP="00857515">
      <w:pPr>
        <w:spacing w:after="0" w:line="240" w:lineRule="auto"/>
        <w:jc w:val="both"/>
        <w:rPr>
          <w:rFonts w:asciiTheme="minorHAnsi" w:hAnsiTheme="minorHAnsi"/>
          <w:bCs/>
          <w:iCs/>
          <w:sz w:val="22"/>
        </w:rPr>
      </w:pPr>
      <w:r w:rsidRPr="00035CD3">
        <w:rPr>
          <w:rFonts w:asciiTheme="minorHAnsi" w:hAnsiTheme="minorHAnsi"/>
          <w:bCs/>
          <w:iCs/>
          <w:sz w:val="22"/>
        </w:rPr>
        <w:t>Development of the EI Source Book is being led by the University of Dundee in partnership with the World Bank and the Global Knowledge Consortium</w:t>
      </w:r>
      <w:r w:rsidR="00D475B5">
        <w:rPr>
          <w:rFonts w:asciiTheme="minorHAnsi" w:hAnsiTheme="minorHAnsi"/>
          <w:bCs/>
          <w:iCs/>
          <w:sz w:val="22"/>
        </w:rPr>
        <w:t>.</w:t>
      </w:r>
      <w:r w:rsidRPr="00035CD3">
        <w:rPr>
          <w:rFonts w:asciiTheme="minorHAnsi" w:hAnsiTheme="minorHAnsi"/>
          <w:bCs/>
          <w:iCs/>
          <w:sz w:val="22"/>
          <w:vertAlign w:val="superscript"/>
        </w:rPr>
        <w:footnoteReference w:id="2"/>
      </w:r>
      <w:r w:rsidRPr="00035CD3">
        <w:rPr>
          <w:rFonts w:asciiTheme="minorHAnsi" w:hAnsiTheme="minorHAnsi"/>
          <w:bCs/>
          <w:iCs/>
          <w:sz w:val="22"/>
        </w:rPr>
        <w:t xml:space="preserve"> </w:t>
      </w:r>
      <w:r w:rsidR="00CC3B5B" w:rsidRPr="00035CD3">
        <w:rPr>
          <w:rFonts w:asciiTheme="minorHAnsi" w:hAnsiTheme="minorHAnsi"/>
          <w:bCs/>
          <w:iCs/>
          <w:sz w:val="22"/>
        </w:rPr>
        <w:t>To date, activities under the Source Book have included: (a) preparation of a narrative (guide) document on international good practice in the oil, gas and mining industries organized around the EI Value Chain; (b) development of an online wiki-like website to host the narrative, which is complemented by a comprehensive annotated bibliography, training materials, case studies, and other documents; (c) comprehensive knowledge gap analysis to guide the EI Task Group on the selection of frontier topics with operational relevance to be developed into knowledge products; (d) preparation of knowledge products to fill some of the identified knowledge gaps; and (e) establishment of a global consortium of knowledge centers on the extractive industries. Five principle knowledge products have been developed by our partners, including on: i) upstream gas terms; ii) granting mineral rights; iii) public</w:t>
      </w:r>
      <w:r w:rsidR="00CC734F" w:rsidRPr="00035CD3">
        <w:rPr>
          <w:rFonts w:asciiTheme="minorHAnsi" w:hAnsiTheme="minorHAnsi"/>
          <w:bCs/>
          <w:iCs/>
          <w:sz w:val="22"/>
        </w:rPr>
        <w:t xml:space="preserve"> infrastructure and mining; iv) </w:t>
      </w:r>
      <w:r w:rsidR="00CC3B5B" w:rsidRPr="00035CD3">
        <w:rPr>
          <w:rFonts w:asciiTheme="minorHAnsi" w:hAnsiTheme="minorHAnsi"/>
          <w:bCs/>
          <w:iCs/>
          <w:sz w:val="22"/>
        </w:rPr>
        <w:t>community development agreements; and v) model mineral development agreements. In addition, preparation of</w:t>
      </w:r>
      <w:r w:rsidR="00C9676E" w:rsidRPr="00035CD3">
        <w:rPr>
          <w:rFonts w:asciiTheme="minorHAnsi" w:hAnsiTheme="minorHAnsi"/>
          <w:bCs/>
          <w:iCs/>
          <w:sz w:val="22"/>
        </w:rPr>
        <w:t xml:space="preserve"> three new knowledge products on resource corridors,</w:t>
      </w:r>
      <w:r w:rsidR="00CC3B5B" w:rsidRPr="00035CD3">
        <w:rPr>
          <w:rFonts w:asciiTheme="minorHAnsi" w:hAnsiTheme="minorHAnsi"/>
          <w:bCs/>
          <w:iCs/>
          <w:sz w:val="22"/>
        </w:rPr>
        <w:t xml:space="preserve"> </w:t>
      </w:r>
      <w:r w:rsidR="00C9676E" w:rsidRPr="00035CD3">
        <w:rPr>
          <w:rFonts w:asciiTheme="minorHAnsi" w:hAnsiTheme="minorHAnsi"/>
          <w:bCs/>
          <w:iCs/>
          <w:sz w:val="22"/>
        </w:rPr>
        <w:t xml:space="preserve">geodata as a public good, and a template for contract disclosure </w:t>
      </w:r>
      <w:r w:rsidR="00CC3B5B" w:rsidRPr="00035CD3">
        <w:rPr>
          <w:rFonts w:asciiTheme="minorHAnsi" w:hAnsiTheme="minorHAnsi"/>
          <w:bCs/>
          <w:iCs/>
          <w:sz w:val="22"/>
        </w:rPr>
        <w:t>was recently commissioned.</w:t>
      </w:r>
    </w:p>
    <w:p w:rsidR="006D4678" w:rsidRPr="00035CD3" w:rsidRDefault="006D4678" w:rsidP="00857515">
      <w:pPr>
        <w:spacing w:after="0" w:line="240" w:lineRule="auto"/>
        <w:jc w:val="both"/>
        <w:rPr>
          <w:rFonts w:asciiTheme="minorHAnsi" w:hAnsiTheme="minorHAnsi"/>
          <w:bCs/>
          <w:iCs/>
          <w:sz w:val="22"/>
        </w:rPr>
      </w:pPr>
    </w:p>
    <w:p w:rsidR="00D475B5" w:rsidRDefault="00D475B5" w:rsidP="00D475B5">
      <w:pPr>
        <w:spacing w:line="240" w:lineRule="auto"/>
        <w:jc w:val="both"/>
        <w:rPr>
          <w:rFonts w:asciiTheme="minorHAnsi" w:hAnsiTheme="minorHAnsi"/>
          <w:sz w:val="22"/>
        </w:rPr>
      </w:pPr>
      <w:r w:rsidRPr="00035CD3">
        <w:rPr>
          <w:rFonts w:asciiTheme="minorHAnsi" w:hAnsiTheme="minorHAnsi"/>
          <w:sz w:val="22"/>
        </w:rPr>
        <w:t xml:space="preserve">In addition, in conjunction with the </w:t>
      </w:r>
      <w:r w:rsidRPr="00035CD3">
        <w:rPr>
          <w:rFonts w:asciiTheme="minorHAnsi" w:hAnsiTheme="minorHAnsi"/>
          <w:i/>
          <w:sz w:val="22"/>
        </w:rPr>
        <w:t xml:space="preserve">E4D Knowledge Partnership </w:t>
      </w:r>
      <w:r w:rsidRPr="00D475B5">
        <w:rPr>
          <w:rFonts w:asciiTheme="minorHAnsi" w:hAnsiTheme="minorHAnsi"/>
          <w:sz w:val="22"/>
        </w:rPr>
        <w:t>initiative</w:t>
      </w:r>
      <w:r w:rsidRPr="00035CD3">
        <w:rPr>
          <w:rFonts w:asciiTheme="minorHAnsi" w:hAnsiTheme="minorHAnsi"/>
          <w:i/>
          <w:sz w:val="22"/>
        </w:rPr>
        <w:t xml:space="preserve">, </w:t>
      </w:r>
      <w:r w:rsidRPr="00035CD3">
        <w:rPr>
          <w:rFonts w:asciiTheme="minorHAnsi" w:hAnsiTheme="minorHAnsi"/>
          <w:sz w:val="22"/>
        </w:rPr>
        <w:t xml:space="preserve">in Fall/Winter 2011 the Source Book underwent a series of three regional “soft launches” bringing together stakeholders from within the Bank, civil society, government and industry in (1) Jakarta, Indonesia (October 2011 to coincide with the EITI board meetings); (2) Tunis, Tunisia (November 2011 in partnership with the African Development Bank), and (3) Washington, DC (December 2011). These regional launches will culminate in a final launch expected to be held in Lima, Peru in June, 2012 in conjunction with the EITI Board Meeting. </w:t>
      </w:r>
    </w:p>
    <w:p w:rsidR="006D4678" w:rsidRPr="00035CD3" w:rsidRDefault="00D475B5" w:rsidP="00857515">
      <w:pPr>
        <w:spacing w:after="0" w:line="240" w:lineRule="auto"/>
        <w:jc w:val="both"/>
        <w:rPr>
          <w:rFonts w:asciiTheme="minorHAnsi" w:hAnsiTheme="minorHAnsi"/>
          <w:bCs/>
          <w:iCs/>
          <w:sz w:val="22"/>
        </w:rPr>
      </w:pPr>
      <w:r>
        <w:rPr>
          <w:rFonts w:asciiTheme="minorHAnsi" w:hAnsiTheme="minorHAnsi"/>
          <w:bCs/>
          <w:iCs/>
          <w:sz w:val="22"/>
        </w:rPr>
        <w:t xml:space="preserve">Since </w:t>
      </w:r>
      <w:r w:rsidR="006D4678" w:rsidRPr="00035CD3">
        <w:rPr>
          <w:rFonts w:asciiTheme="minorHAnsi" w:hAnsiTheme="minorHAnsi"/>
          <w:bCs/>
          <w:iCs/>
          <w:sz w:val="22"/>
        </w:rPr>
        <w:t>2012 marks the final year of DGF financing</w:t>
      </w:r>
      <w:r>
        <w:rPr>
          <w:rFonts w:asciiTheme="minorHAnsi" w:hAnsiTheme="minorHAnsi"/>
          <w:bCs/>
          <w:iCs/>
          <w:sz w:val="22"/>
        </w:rPr>
        <w:t xml:space="preserve"> for the EI Source Book, </w:t>
      </w:r>
      <w:r w:rsidR="006D4678" w:rsidRPr="00035CD3">
        <w:rPr>
          <w:rFonts w:asciiTheme="minorHAnsi" w:hAnsiTheme="minorHAnsi"/>
          <w:bCs/>
          <w:iCs/>
          <w:sz w:val="22"/>
        </w:rPr>
        <w:t>activities for the following year</w:t>
      </w:r>
      <w:r>
        <w:rPr>
          <w:rFonts w:asciiTheme="minorHAnsi" w:hAnsiTheme="minorHAnsi"/>
          <w:bCs/>
          <w:iCs/>
          <w:sz w:val="22"/>
        </w:rPr>
        <w:t>s</w:t>
      </w:r>
      <w:r w:rsidR="006D4678" w:rsidRPr="00035CD3">
        <w:rPr>
          <w:rFonts w:asciiTheme="minorHAnsi" w:hAnsiTheme="minorHAnsi"/>
          <w:bCs/>
          <w:iCs/>
          <w:sz w:val="22"/>
        </w:rPr>
        <w:t xml:space="preserve"> will focus on the establishment of a sustainability plan for the Source Book as well as the establishment of an editorial board to vet new submission</w:t>
      </w:r>
      <w:r>
        <w:rPr>
          <w:rFonts w:asciiTheme="minorHAnsi" w:hAnsiTheme="minorHAnsi"/>
          <w:bCs/>
          <w:iCs/>
          <w:sz w:val="22"/>
        </w:rPr>
        <w:t>s</w:t>
      </w:r>
      <w:r w:rsidR="006D4678" w:rsidRPr="00035CD3">
        <w:rPr>
          <w:rFonts w:asciiTheme="minorHAnsi" w:hAnsiTheme="minorHAnsi"/>
          <w:bCs/>
          <w:iCs/>
          <w:sz w:val="22"/>
        </w:rPr>
        <w:t xml:space="preserve"> of cutting edge knowledge to the Source Book</w:t>
      </w:r>
      <w:r w:rsidR="00CC734F" w:rsidRPr="00035CD3">
        <w:rPr>
          <w:rFonts w:asciiTheme="minorHAnsi" w:hAnsiTheme="minorHAnsi"/>
          <w:bCs/>
          <w:iCs/>
          <w:sz w:val="22"/>
        </w:rPr>
        <w:t>, the development of a number of new knowledge products, and the development of integrated regional platforms</w:t>
      </w:r>
      <w:r w:rsidR="006D4678" w:rsidRPr="00035CD3">
        <w:rPr>
          <w:rFonts w:asciiTheme="minorHAnsi" w:hAnsiTheme="minorHAnsi"/>
          <w:bCs/>
          <w:iCs/>
          <w:sz w:val="22"/>
        </w:rPr>
        <w:t>.</w:t>
      </w:r>
      <w:r w:rsidR="00D545AF">
        <w:rPr>
          <w:rFonts w:asciiTheme="minorHAnsi" w:hAnsiTheme="minorHAnsi"/>
          <w:bCs/>
          <w:iCs/>
          <w:sz w:val="22"/>
        </w:rPr>
        <w:t xml:space="preserve"> </w:t>
      </w:r>
    </w:p>
    <w:p w:rsidR="00CC3B5B" w:rsidRDefault="00CC3B5B" w:rsidP="00857515">
      <w:pPr>
        <w:spacing w:after="0" w:line="240" w:lineRule="auto"/>
        <w:jc w:val="both"/>
        <w:rPr>
          <w:rFonts w:asciiTheme="minorHAnsi" w:hAnsiTheme="minorHAnsi"/>
          <w:sz w:val="22"/>
        </w:rPr>
      </w:pPr>
    </w:p>
    <w:p w:rsidR="00D545AF" w:rsidRPr="00035CD3" w:rsidRDefault="00D545AF" w:rsidP="00857515">
      <w:pPr>
        <w:spacing w:after="0" w:line="240" w:lineRule="auto"/>
        <w:jc w:val="both"/>
        <w:rPr>
          <w:rFonts w:asciiTheme="minorHAnsi" w:hAnsiTheme="minorHAnsi"/>
          <w:sz w:val="22"/>
        </w:rPr>
      </w:pPr>
    </w:p>
    <w:p w:rsidR="009C19E5" w:rsidRPr="00035CD3" w:rsidRDefault="00F70D75" w:rsidP="00857515">
      <w:pPr>
        <w:pStyle w:val="ListParagraph"/>
        <w:numPr>
          <w:ilvl w:val="0"/>
          <w:numId w:val="6"/>
        </w:numPr>
        <w:spacing w:after="0" w:line="240" w:lineRule="auto"/>
        <w:ind w:left="720"/>
        <w:jc w:val="both"/>
        <w:rPr>
          <w:rFonts w:asciiTheme="minorHAnsi" w:hAnsiTheme="minorHAnsi"/>
          <w:b/>
        </w:rPr>
      </w:pPr>
      <w:r w:rsidRPr="00035CD3">
        <w:rPr>
          <w:rFonts w:asciiTheme="minorHAnsi" w:hAnsiTheme="minorHAnsi"/>
          <w:b/>
        </w:rPr>
        <w:t>Emerging Lessons/Issues</w:t>
      </w:r>
    </w:p>
    <w:p w:rsidR="00CA134D" w:rsidRPr="00035CD3" w:rsidRDefault="00654B20" w:rsidP="00857515">
      <w:pPr>
        <w:spacing w:before="100" w:beforeAutospacing="1" w:after="100" w:afterAutospacing="1" w:line="240" w:lineRule="auto"/>
        <w:jc w:val="both"/>
        <w:rPr>
          <w:rFonts w:asciiTheme="minorHAnsi" w:hAnsiTheme="minorHAnsi"/>
          <w:color w:val="000000"/>
          <w:sz w:val="22"/>
        </w:rPr>
      </w:pPr>
      <w:r w:rsidRPr="00035CD3">
        <w:rPr>
          <w:rFonts w:asciiTheme="minorHAnsi" w:hAnsiTheme="minorHAnsi"/>
          <w:color w:val="000000"/>
          <w:sz w:val="22"/>
        </w:rPr>
        <w:t xml:space="preserve">Now </w:t>
      </w:r>
      <w:r w:rsidR="00F079BB" w:rsidRPr="00035CD3">
        <w:rPr>
          <w:rFonts w:asciiTheme="minorHAnsi" w:hAnsiTheme="minorHAnsi"/>
          <w:color w:val="000000"/>
          <w:sz w:val="22"/>
        </w:rPr>
        <w:t xml:space="preserve">at a more advanced </w:t>
      </w:r>
      <w:r w:rsidR="00F5364C" w:rsidRPr="00035CD3">
        <w:rPr>
          <w:rFonts w:asciiTheme="minorHAnsi" w:hAnsiTheme="minorHAnsi"/>
          <w:color w:val="000000"/>
          <w:sz w:val="22"/>
        </w:rPr>
        <w:t>stage</w:t>
      </w:r>
      <w:r w:rsidR="00F079BB" w:rsidRPr="00035CD3">
        <w:rPr>
          <w:rFonts w:asciiTheme="minorHAnsi" w:hAnsiTheme="minorHAnsi"/>
          <w:color w:val="000000"/>
          <w:sz w:val="22"/>
        </w:rPr>
        <w:t xml:space="preserve"> of</w:t>
      </w:r>
      <w:r w:rsidRPr="00035CD3">
        <w:rPr>
          <w:rFonts w:asciiTheme="minorHAnsi" w:hAnsiTheme="minorHAnsi"/>
          <w:color w:val="000000"/>
          <w:sz w:val="22"/>
        </w:rPr>
        <w:t xml:space="preserve"> operation </w:t>
      </w:r>
      <w:r w:rsidR="00DE03CA" w:rsidRPr="00035CD3">
        <w:rPr>
          <w:rFonts w:asciiTheme="minorHAnsi" w:hAnsiTheme="minorHAnsi"/>
          <w:color w:val="000000"/>
          <w:sz w:val="22"/>
        </w:rPr>
        <w:t>some emerging lessons</w:t>
      </w:r>
      <w:r w:rsidR="00501670" w:rsidRPr="00035CD3">
        <w:rPr>
          <w:rFonts w:asciiTheme="minorHAnsi" w:hAnsiTheme="minorHAnsi"/>
          <w:color w:val="000000"/>
          <w:sz w:val="22"/>
        </w:rPr>
        <w:t>/observations</w:t>
      </w:r>
      <w:r w:rsidR="00DE03CA" w:rsidRPr="00035CD3">
        <w:rPr>
          <w:rFonts w:asciiTheme="minorHAnsi" w:hAnsiTheme="minorHAnsi"/>
          <w:color w:val="000000"/>
          <w:sz w:val="22"/>
        </w:rPr>
        <w:t xml:space="preserve"> from </w:t>
      </w:r>
      <w:r w:rsidR="00501670" w:rsidRPr="00035CD3">
        <w:rPr>
          <w:rFonts w:asciiTheme="minorHAnsi" w:hAnsiTheme="minorHAnsi"/>
          <w:color w:val="000000"/>
          <w:sz w:val="22"/>
        </w:rPr>
        <w:t>E</w:t>
      </w:r>
      <w:r w:rsidR="00DE03CA" w:rsidRPr="00035CD3">
        <w:rPr>
          <w:rFonts w:asciiTheme="minorHAnsi" w:hAnsiTheme="minorHAnsi"/>
          <w:color w:val="000000"/>
          <w:sz w:val="22"/>
        </w:rPr>
        <w:t>I-TAF</w:t>
      </w:r>
      <w:r w:rsidR="00501670" w:rsidRPr="00035CD3">
        <w:rPr>
          <w:rFonts w:asciiTheme="minorHAnsi" w:hAnsiTheme="minorHAnsi"/>
          <w:color w:val="000000"/>
          <w:sz w:val="22"/>
        </w:rPr>
        <w:t xml:space="preserve"> implementation to </w:t>
      </w:r>
      <w:r w:rsidR="008F66B7" w:rsidRPr="00035CD3">
        <w:rPr>
          <w:rFonts w:asciiTheme="minorHAnsi" w:hAnsiTheme="minorHAnsi"/>
          <w:color w:val="000000"/>
          <w:sz w:val="22"/>
        </w:rPr>
        <w:t>date include</w:t>
      </w:r>
      <w:r w:rsidR="00DE03CA" w:rsidRPr="00035CD3">
        <w:rPr>
          <w:rFonts w:asciiTheme="minorHAnsi" w:hAnsiTheme="minorHAnsi"/>
          <w:color w:val="000000"/>
          <w:sz w:val="22"/>
        </w:rPr>
        <w:t>:</w:t>
      </w:r>
    </w:p>
    <w:p w:rsidR="004E0014" w:rsidRPr="00035CD3" w:rsidRDefault="00F079BB" w:rsidP="00857515">
      <w:pPr>
        <w:pStyle w:val="ListParagraph"/>
        <w:numPr>
          <w:ilvl w:val="0"/>
          <w:numId w:val="22"/>
        </w:numPr>
        <w:spacing w:before="100" w:beforeAutospacing="1" w:after="100" w:afterAutospacing="1" w:line="240" w:lineRule="auto"/>
        <w:jc w:val="both"/>
        <w:rPr>
          <w:rFonts w:asciiTheme="minorHAnsi" w:hAnsiTheme="minorHAnsi"/>
          <w:color w:val="000000"/>
          <w:sz w:val="22"/>
        </w:rPr>
      </w:pPr>
      <w:r w:rsidRPr="00035CD3">
        <w:rPr>
          <w:rFonts w:asciiTheme="minorHAnsi" w:hAnsiTheme="minorHAnsi"/>
          <w:b/>
          <w:color w:val="000000"/>
          <w:sz w:val="22"/>
        </w:rPr>
        <w:t xml:space="preserve">Bank </w:t>
      </w:r>
      <w:r w:rsidR="00D475B5">
        <w:rPr>
          <w:rFonts w:asciiTheme="minorHAnsi" w:hAnsiTheme="minorHAnsi"/>
          <w:b/>
          <w:color w:val="000000"/>
          <w:sz w:val="22"/>
        </w:rPr>
        <w:t>v</w:t>
      </w:r>
      <w:r w:rsidRPr="00035CD3">
        <w:rPr>
          <w:rFonts w:asciiTheme="minorHAnsi" w:hAnsiTheme="minorHAnsi"/>
          <w:b/>
          <w:color w:val="000000"/>
          <w:sz w:val="22"/>
        </w:rPr>
        <w:t>. Recipient Executed Activities</w:t>
      </w:r>
      <w:r w:rsidR="00D475B5">
        <w:rPr>
          <w:rFonts w:asciiTheme="minorHAnsi" w:hAnsiTheme="minorHAnsi"/>
          <w:b/>
          <w:color w:val="000000"/>
          <w:sz w:val="22"/>
        </w:rPr>
        <w:t>:</w:t>
      </w:r>
      <w:r w:rsidR="00F12D23" w:rsidRPr="00035CD3">
        <w:rPr>
          <w:rFonts w:asciiTheme="minorHAnsi" w:hAnsiTheme="minorHAnsi"/>
          <w:color w:val="000000"/>
          <w:sz w:val="22"/>
        </w:rPr>
        <w:t xml:space="preserve"> As discussed in previous EI-TAF donor meetings, recipient execution of rapid response activities has prove</w:t>
      </w:r>
      <w:r w:rsidR="00E11673" w:rsidRPr="00035CD3">
        <w:rPr>
          <w:rFonts w:asciiTheme="minorHAnsi" w:hAnsiTheme="minorHAnsi"/>
          <w:color w:val="000000"/>
          <w:sz w:val="22"/>
        </w:rPr>
        <w:t>n</w:t>
      </w:r>
      <w:r w:rsidR="00F12D23" w:rsidRPr="00035CD3">
        <w:rPr>
          <w:rFonts w:asciiTheme="minorHAnsi" w:hAnsiTheme="minorHAnsi"/>
          <w:color w:val="000000"/>
          <w:sz w:val="22"/>
        </w:rPr>
        <w:t xml:space="preserve"> difficult in many of our client countries, due to weak capacity</w:t>
      </w:r>
      <w:r w:rsidR="00D475B5">
        <w:rPr>
          <w:rFonts w:asciiTheme="minorHAnsi" w:hAnsiTheme="minorHAnsi"/>
          <w:color w:val="000000"/>
          <w:sz w:val="22"/>
        </w:rPr>
        <w:t xml:space="preserve"> and lack of experience with World Bank trust fund procedures on the part of the ministries usually involved.</w:t>
      </w:r>
      <w:r w:rsidR="00F12D23" w:rsidRPr="00035CD3">
        <w:rPr>
          <w:rFonts w:asciiTheme="minorHAnsi" w:hAnsiTheme="minorHAnsi"/>
          <w:color w:val="000000"/>
          <w:sz w:val="22"/>
        </w:rPr>
        <w:t xml:space="preserve"> </w:t>
      </w:r>
      <w:r w:rsidR="00E11673" w:rsidRPr="00035CD3">
        <w:rPr>
          <w:rFonts w:asciiTheme="minorHAnsi" w:hAnsiTheme="minorHAnsi"/>
          <w:color w:val="000000"/>
          <w:sz w:val="22"/>
        </w:rPr>
        <w:t>B</w:t>
      </w:r>
      <w:r w:rsidR="00F12D23" w:rsidRPr="00035CD3">
        <w:rPr>
          <w:rFonts w:asciiTheme="minorHAnsi" w:hAnsiTheme="minorHAnsi"/>
          <w:color w:val="000000"/>
          <w:sz w:val="22"/>
        </w:rPr>
        <w:t xml:space="preserve">y contrast, those activities </w:t>
      </w:r>
      <w:r w:rsidR="00E11673" w:rsidRPr="00035CD3">
        <w:rPr>
          <w:rFonts w:asciiTheme="minorHAnsi" w:hAnsiTheme="minorHAnsi"/>
          <w:color w:val="000000"/>
          <w:sz w:val="22"/>
        </w:rPr>
        <w:t xml:space="preserve">that have been </w:t>
      </w:r>
      <w:r w:rsidR="00F12D23" w:rsidRPr="00035CD3">
        <w:rPr>
          <w:rFonts w:asciiTheme="minorHAnsi" w:hAnsiTheme="minorHAnsi"/>
          <w:color w:val="000000"/>
          <w:sz w:val="22"/>
        </w:rPr>
        <w:t xml:space="preserve">executed by the Bank on behalf of the client </w:t>
      </w:r>
      <w:r w:rsidR="00E11673" w:rsidRPr="00035CD3">
        <w:rPr>
          <w:rFonts w:asciiTheme="minorHAnsi" w:hAnsiTheme="minorHAnsi"/>
          <w:color w:val="000000"/>
          <w:sz w:val="22"/>
        </w:rPr>
        <w:t>were relatively</w:t>
      </w:r>
      <w:r w:rsidR="00F12D23" w:rsidRPr="00035CD3">
        <w:rPr>
          <w:rFonts w:asciiTheme="minorHAnsi" w:hAnsiTheme="minorHAnsi"/>
          <w:color w:val="000000"/>
          <w:sz w:val="22"/>
        </w:rPr>
        <w:t xml:space="preserve"> more </w:t>
      </w:r>
      <w:r w:rsidR="00E11673" w:rsidRPr="00035CD3">
        <w:rPr>
          <w:rFonts w:asciiTheme="minorHAnsi" w:hAnsiTheme="minorHAnsi"/>
          <w:color w:val="000000"/>
          <w:sz w:val="22"/>
        </w:rPr>
        <w:t>responsive to filling the capacity needed for a successful transaction, with quicker implementation on the ground</w:t>
      </w:r>
      <w:r w:rsidR="00F12D23" w:rsidRPr="00035CD3">
        <w:rPr>
          <w:rFonts w:asciiTheme="minorHAnsi" w:hAnsiTheme="minorHAnsi"/>
          <w:color w:val="000000"/>
          <w:sz w:val="22"/>
        </w:rPr>
        <w:t>.</w:t>
      </w:r>
      <w:r w:rsidR="00D545AF">
        <w:rPr>
          <w:rFonts w:asciiTheme="minorHAnsi" w:hAnsiTheme="minorHAnsi"/>
          <w:color w:val="000000"/>
          <w:sz w:val="22"/>
        </w:rPr>
        <w:t xml:space="preserve"> </w:t>
      </w:r>
    </w:p>
    <w:p w:rsidR="00F5364C" w:rsidRPr="00035CD3" w:rsidRDefault="00F5364C" w:rsidP="00857515">
      <w:pPr>
        <w:pStyle w:val="ListParagraph"/>
        <w:spacing w:before="100" w:beforeAutospacing="1" w:after="100" w:afterAutospacing="1" w:line="240" w:lineRule="auto"/>
        <w:ind w:left="360"/>
        <w:jc w:val="both"/>
        <w:rPr>
          <w:rFonts w:asciiTheme="minorHAnsi" w:hAnsiTheme="minorHAnsi"/>
          <w:color w:val="000000"/>
          <w:sz w:val="22"/>
        </w:rPr>
      </w:pPr>
    </w:p>
    <w:p w:rsidR="00B753B4" w:rsidRPr="00035CD3" w:rsidRDefault="009E22BC" w:rsidP="00B753B4">
      <w:pPr>
        <w:pStyle w:val="ListParagraph"/>
        <w:numPr>
          <w:ilvl w:val="0"/>
          <w:numId w:val="22"/>
        </w:numPr>
        <w:spacing w:before="100" w:beforeAutospacing="1" w:after="100" w:afterAutospacing="1" w:line="240" w:lineRule="auto"/>
        <w:jc w:val="both"/>
        <w:rPr>
          <w:rFonts w:asciiTheme="minorHAnsi" w:hAnsiTheme="minorHAnsi"/>
          <w:color w:val="000000"/>
          <w:sz w:val="22"/>
        </w:rPr>
      </w:pPr>
      <w:r w:rsidRPr="00035CD3">
        <w:rPr>
          <w:rFonts w:asciiTheme="minorHAnsi" w:hAnsiTheme="minorHAnsi"/>
          <w:b/>
          <w:color w:val="000000"/>
          <w:sz w:val="22"/>
        </w:rPr>
        <w:t>Knowledge Dissemination</w:t>
      </w:r>
      <w:r w:rsidR="00D475B5">
        <w:rPr>
          <w:rFonts w:asciiTheme="minorHAnsi" w:hAnsiTheme="minorHAnsi"/>
          <w:b/>
          <w:color w:val="000000"/>
          <w:sz w:val="22"/>
        </w:rPr>
        <w:t xml:space="preserve">: </w:t>
      </w:r>
      <w:r w:rsidR="00B753B4" w:rsidRPr="00035CD3">
        <w:rPr>
          <w:rFonts w:asciiTheme="minorHAnsi" w:hAnsiTheme="minorHAnsi"/>
          <w:color w:val="000000"/>
          <w:sz w:val="22"/>
        </w:rPr>
        <w:t>Going forward, the EI-TAF team recognize</w:t>
      </w:r>
      <w:r w:rsidR="00D475B5">
        <w:rPr>
          <w:rFonts w:asciiTheme="minorHAnsi" w:hAnsiTheme="minorHAnsi"/>
          <w:color w:val="000000"/>
          <w:sz w:val="22"/>
        </w:rPr>
        <w:t>s</w:t>
      </w:r>
      <w:r w:rsidR="00B753B4" w:rsidRPr="00035CD3">
        <w:rPr>
          <w:rFonts w:asciiTheme="minorHAnsi" w:hAnsiTheme="minorHAnsi"/>
          <w:color w:val="000000"/>
          <w:sz w:val="22"/>
        </w:rPr>
        <w:t xml:space="preserve"> the need to create a standardized set of capacity building/training </w:t>
      </w:r>
      <w:r w:rsidRPr="00035CD3">
        <w:rPr>
          <w:rFonts w:asciiTheme="minorHAnsi" w:hAnsiTheme="minorHAnsi"/>
          <w:color w:val="000000"/>
          <w:sz w:val="22"/>
        </w:rPr>
        <w:t>resources</w:t>
      </w:r>
      <w:r w:rsidR="00B753B4" w:rsidRPr="00035CD3">
        <w:rPr>
          <w:rFonts w:asciiTheme="minorHAnsi" w:hAnsiTheme="minorHAnsi"/>
          <w:color w:val="000000"/>
          <w:sz w:val="22"/>
        </w:rPr>
        <w:t xml:space="preserve"> to provide an </w:t>
      </w:r>
      <w:r w:rsidRPr="00035CD3">
        <w:rPr>
          <w:rFonts w:asciiTheme="minorHAnsi" w:hAnsiTheme="minorHAnsi"/>
          <w:color w:val="000000"/>
          <w:sz w:val="22"/>
        </w:rPr>
        <w:t>orientation</w:t>
      </w:r>
      <w:r w:rsidR="00B753B4" w:rsidRPr="00035CD3">
        <w:rPr>
          <w:rFonts w:asciiTheme="minorHAnsi" w:hAnsiTheme="minorHAnsi"/>
          <w:color w:val="000000"/>
          <w:sz w:val="22"/>
        </w:rPr>
        <w:t xml:space="preserve"> around some basic concepts </w:t>
      </w:r>
      <w:r w:rsidR="008D0CFB" w:rsidRPr="00035CD3">
        <w:rPr>
          <w:rFonts w:asciiTheme="minorHAnsi" w:hAnsiTheme="minorHAnsi"/>
          <w:color w:val="000000"/>
          <w:sz w:val="22"/>
        </w:rPr>
        <w:t>on</w:t>
      </w:r>
      <w:r w:rsidR="00B753B4" w:rsidRPr="00035CD3">
        <w:rPr>
          <w:rFonts w:asciiTheme="minorHAnsi" w:hAnsiTheme="minorHAnsi"/>
          <w:color w:val="000000"/>
          <w:sz w:val="22"/>
        </w:rPr>
        <w:t xml:space="preserve"> the extractive industries.</w:t>
      </w:r>
      <w:r w:rsidR="00D545AF">
        <w:rPr>
          <w:rFonts w:asciiTheme="minorHAnsi" w:hAnsiTheme="minorHAnsi"/>
          <w:color w:val="000000"/>
          <w:sz w:val="22"/>
        </w:rPr>
        <w:t xml:space="preserve"> </w:t>
      </w:r>
      <w:r w:rsidR="00B753B4" w:rsidRPr="00035CD3">
        <w:rPr>
          <w:rFonts w:asciiTheme="minorHAnsi" w:hAnsiTheme="minorHAnsi"/>
          <w:color w:val="000000"/>
          <w:sz w:val="22"/>
        </w:rPr>
        <w:t>The training tools will be targeted toward community</w:t>
      </w:r>
      <w:r w:rsidR="00C73AA8" w:rsidRPr="00035CD3">
        <w:rPr>
          <w:rFonts w:asciiTheme="minorHAnsi" w:hAnsiTheme="minorHAnsi"/>
          <w:color w:val="000000"/>
          <w:sz w:val="22"/>
        </w:rPr>
        <w:t xml:space="preserve">, </w:t>
      </w:r>
      <w:r w:rsidR="00B753B4" w:rsidRPr="00035CD3">
        <w:rPr>
          <w:rFonts w:asciiTheme="minorHAnsi" w:hAnsiTheme="minorHAnsi"/>
          <w:color w:val="000000"/>
          <w:sz w:val="22"/>
        </w:rPr>
        <w:t xml:space="preserve">civil society, </w:t>
      </w:r>
      <w:r w:rsidR="00C73AA8" w:rsidRPr="00035CD3">
        <w:rPr>
          <w:rFonts w:asciiTheme="minorHAnsi" w:hAnsiTheme="minorHAnsi"/>
          <w:color w:val="000000"/>
          <w:sz w:val="22"/>
        </w:rPr>
        <w:t xml:space="preserve">and </w:t>
      </w:r>
      <w:r w:rsidR="00B753B4" w:rsidRPr="00035CD3">
        <w:rPr>
          <w:rFonts w:asciiTheme="minorHAnsi" w:hAnsiTheme="minorHAnsi"/>
          <w:color w:val="000000"/>
          <w:sz w:val="22"/>
        </w:rPr>
        <w:t xml:space="preserve">policy-makers, and </w:t>
      </w:r>
      <w:r w:rsidR="00C73AA8" w:rsidRPr="00035CD3">
        <w:rPr>
          <w:rFonts w:asciiTheme="minorHAnsi" w:hAnsiTheme="minorHAnsi"/>
          <w:color w:val="000000"/>
          <w:sz w:val="22"/>
        </w:rPr>
        <w:t xml:space="preserve">will be </w:t>
      </w:r>
      <w:r w:rsidR="00B753B4" w:rsidRPr="00035CD3">
        <w:rPr>
          <w:rFonts w:asciiTheme="minorHAnsi" w:hAnsiTheme="minorHAnsi"/>
          <w:color w:val="000000"/>
          <w:sz w:val="22"/>
        </w:rPr>
        <w:t>organized around the EI Value Chain</w:t>
      </w:r>
      <w:r w:rsidR="00C73AA8" w:rsidRPr="00035CD3">
        <w:rPr>
          <w:rFonts w:asciiTheme="minorHAnsi" w:hAnsiTheme="minorHAnsi"/>
          <w:color w:val="000000"/>
          <w:sz w:val="22"/>
        </w:rPr>
        <w:t xml:space="preserve">, focusing on issues such as legal and policy frameworks, gender and community </w:t>
      </w:r>
      <w:r w:rsidR="00E11673" w:rsidRPr="00035CD3">
        <w:rPr>
          <w:rFonts w:asciiTheme="minorHAnsi" w:hAnsiTheme="minorHAnsi"/>
          <w:color w:val="000000"/>
          <w:sz w:val="22"/>
        </w:rPr>
        <w:t>benefits and consultation</w:t>
      </w:r>
      <w:r w:rsidR="00C73AA8" w:rsidRPr="00035CD3">
        <w:rPr>
          <w:rFonts w:asciiTheme="minorHAnsi" w:hAnsiTheme="minorHAnsi"/>
          <w:color w:val="000000"/>
          <w:sz w:val="22"/>
        </w:rPr>
        <w:t xml:space="preserve">, developing economic linkages and integrated land use planning, </w:t>
      </w:r>
      <w:r w:rsidR="008D0CFB" w:rsidRPr="00035CD3">
        <w:rPr>
          <w:rFonts w:asciiTheme="minorHAnsi" w:hAnsiTheme="minorHAnsi"/>
          <w:color w:val="000000"/>
          <w:sz w:val="22"/>
        </w:rPr>
        <w:t xml:space="preserve">and </w:t>
      </w:r>
      <w:r w:rsidR="00C73AA8" w:rsidRPr="00035CD3">
        <w:rPr>
          <w:rFonts w:asciiTheme="minorHAnsi" w:hAnsiTheme="minorHAnsi"/>
          <w:color w:val="000000"/>
          <w:sz w:val="22"/>
        </w:rPr>
        <w:t>infrastructure</w:t>
      </w:r>
      <w:r w:rsidR="00B753B4" w:rsidRPr="00035CD3">
        <w:rPr>
          <w:rFonts w:asciiTheme="minorHAnsi" w:hAnsiTheme="minorHAnsi"/>
          <w:color w:val="000000"/>
          <w:sz w:val="22"/>
        </w:rPr>
        <w:t xml:space="preserve">. Training tools will be </w:t>
      </w:r>
      <w:r w:rsidR="00E97BB5" w:rsidRPr="00035CD3">
        <w:rPr>
          <w:rFonts w:asciiTheme="minorHAnsi" w:hAnsiTheme="minorHAnsi"/>
          <w:color w:val="000000"/>
          <w:sz w:val="22"/>
        </w:rPr>
        <w:t xml:space="preserve">developed and </w:t>
      </w:r>
      <w:r w:rsidR="00B753B4" w:rsidRPr="00035CD3">
        <w:rPr>
          <w:rFonts w:asciiTheme="minorHAnsi" w:hAnsiTheme="minorHAnsi"/>
          <w:color w:val="000000"/>
          <w:sz w:val="22"/>
        </w:rPr>
        <w:t xml:space="preserve">hosted within the </w:t>
      </w:r>
      <w:r w:rsidR="00B753B4" w:rsidRPr="00035CD3">
        <w:rPr>
          <w:rFonts w:asciiTheme="minorHAnsi" w:hAnsiTheme="minorHAnsi"/>
          <w:i/>
          <w:color w:val="000000"/>
          <w:sz w:val="22"/>
        </w:rPr>
        <w:t>Extractive Industries Source</w:t>
      </w:r>
      <w:r w:rsidR="00910646" w:rsidRPr="00035CD3">
        <w:rPr>
          <w:rFonts w:asciiTheme="minorHAnsi" w:hAnsiTheme="minorHAnsi"/>
          <w:i/>
          <w:color w:val="000000"/>
          <w:sz w:val="22"/>
        </w:rPr>
        <w:t xml:space="preserve"> Book</w:t>
      </w:r>
      <w:r w:rsidR="00910646" w:rsidRPr="00035CD3">
        <w:rPr>
          <w:rFonts w:asciiTheme="minorHAnsi" w:hAnsiTheme="minorHAnsi"/>
          <w:color w:val="000000"/>
          <w:sz w:val="22"/>
        </w:rPr>
        <w:t xml:space="preserve">. The aim of these tools will </w:t>
      </w:r>
      <w:r w:rsidR="00D475B5">
        <w:rPr>
          <w:rFonts w:asciiTheme="minorHAnsi" w:hAnsiTheme="minorHAnsi"/>
          <w:color w:val="000000"/>
          <w:sz w:val="22"/>
        </w:rPr>
        <w:t xml:space="preserve">be to </w:t>
      </w:r>
      <w:r w:rsidR="00910646" w:rsidRPr="00035CD3">
        <w:rPr>
          <w:rFonts w:asciiTheme="minorHAnsi" w:hAnsiTheme="minorHAnsi"/>
          <w:color w:val="000000"/>
          <w:sz w:val="22"/>
        </w:rPr>
        <w:t>enhance the rapid response nature of the EI-TAF by providing stakeholders with an immediate, baseline knowledge of the oil, gas and mining industries.</w:t>
      </w:r>
    </w:p>
    <w:p w:rsidR="00F12D23" w:rsidRPr="00035CD3" w:rsidRDefault="00F12D23" w:rsidP="00F12D23">
      <w:pPr>
        <w:pStyle w:val="ListParagraph"/>
        <w:rPr>
          <w:rFonts w:asciiTheme="minorHAnsi" w:hAnsiTheme="minorHAnsi"/>
          <w:color w:val="000000"/>
          <w:sz w:val="22"/>
        </w:rPr>
      </w:pPr>
    </w:p>
    <w:p w:rsidR="00F12D23" w:rsidRPr="00035CD3" w:rsidRDefault="00F12D23" w:rsidP="00F12D23">
      <w:pPr>
        <w:pStyle w:val="ListParagraph"/>
        <w:numPr>
          <w:ilvl w:val="0"/>
          <w:numId w:val="22"/>
        </w:numPr>
        <w:spacing w:before="100" w:beforeAutospacing="1" w:after="100" w:afterAutospacing="1"/>
        <w:rPr>
          <w:rFonts w:asciiTheme="minorHAnsi" w:hAnsiTheme="minorHAnsi"/>
          <w:color w:val="000000"/>
          <w:sz w:val="22"/>
        </w:rPr>
      </w:pPr>
      <w:r w:rsidRPr="00035CD3">
        <w:rPr>
          <w:rFonts w:asciiTheme="minorHAnsi" w:hAnsiTheme="minorHAnsi"/>
          <w:b/>
          <w:color w:val="000000"/>
          <w:sz w:val="22"/>
        </w:rPr>
        <w:t xml:space="preserve">EI-TAF Consultant Pool </w:t>
      </w:r>
      <w:r w:rsidR="00D475B5">
        <w:rPr>
          <w:rFonts w:asciiTheme="minorHAnsi" w:hAnsiTheme="minorHAnsi"/>
          <w:b/>
          <w:color w:val="000000"/>
          <w:sz w:val="22"/>
        </w:rPr>
        <w:t xml:space="preserve">for </w:t>
      </w:r>
      <w:r w:rsidRPr="00035CD3">
        <w:rPr>
          <w:rFonts w:asciiTheme="minorHAnsi" w:hAnsiTheme="minorHAnsi"/>
          <w:b/>
          <w:color w:val="000000"/>
          <w:sz w:val="22"/>
        </w:rPr>
        <w:t>Rapid Response</w:t>
      </w:r>
      <w:r w:rsidR="00D475B5">
        <w:rPr>
          <w:rFonts w:asciiTheme="minorHAnsi" w:hAnsiTheme="minorHAnsi"/>
          <w:b/>
          <w:color w:val="000000"/>
          <w:sz w:val="22"/>
        </w:rPr>
        <w:t>:</w:t>
      </w:r>
      <w:r w:rsidRPr="00035CD3">
        <w:rPr>
          <w:rFonts w:asciiTheme="minorHAnsi" w:hAnsiTheme="minorHAnsi"/>
          <w:b/>
          <w:color w:val="000000"/>
          <w:sz w:val="22"/>
        </w:rPr>
        <w:t xml:space="preserve"> </w:t>
      </w:r>
      <w:r w:rsidRPr="00035CD3">
        <w:rPr>
          <w:rFonts w:asciiTheme="minorHAnsi" w:hAnsiTheme="minorHAnsi"/>
          <w:color w:val="000000"/>
          <w:sz w:val="22"/>
        </w:rPr>
        <w:t xml:space="preserve">As described above, over the next few months a mechanism will be established to pre-qualify a pool of EI-TAF consultants to be contracted through the Bank under a retainer-type arrangement. These arrangements will be particularly relevant in Bank-executed projects, allowing task managers to </w:t>
      </w:r>
      <w:r w:rsidR="008D0CFB" w:rsidRPr="00035CD3">
        <w:rPr>
          <w:rFonts w:asciiTheme="minorHAnsi" w:hAnsiTheme="minorHAnsi"/>
          <w:color w:val="000000"/>
          <w:sz w:val="22"/>
        </w:rPr>
        <w:t xml:space="preserve">more </w:t>
      </w:r>
      <w:r w:rsidRPr="00035CD3">
        <w:rPr>
          <w:rFonts w:asciiTheme="minorHAnsi" w:hAnsiTheme="minorHAnsi"/>
          <w:color w:val="000000"/>
          <w:sz w:val="22"/>
        </w:rPr>
        <w:t>rapidly deploy experts on the ground on a short-term basis.</w:t>
      </w:r>
      <w:r w:rsidR="00D545AF">
        <w:rPr>
          <w:rFonts w:asciiTheme="minorHAnsi" w:hAnsiTheme="minorHAnsi"/>
          <w:color w:val="000000"/>
          <w:sz w:val="22"/>
        </w:rPr>
        <w:t xml:space="preserve"> </w:t>
      </w:r>
    </w:p>
    <w:p w:rsidR="00B753B4" w:rsidRPr="00035CD3" w:rsidRDefault="00B753B4" w:rsidP="00B753B4">
      <w:pPr>
        <w:pStyle w:val="ListParagraph"/>
        <w:rPr>
          <w:rFonts w:asciiTheme="minorHAnsi" w:hAnsiTheme="minorHAnsi"/>
          <w:sz w:val="22"/>
        </w:rPr>
      </w:pPr>
    </w:p>
    <w:p w:rsidR="00CA134D" w:rsidRPr="00035CD3" w:rsidRDefault="00B753B4" w:rsidP="00E11673">
      <w:pPr>
        <w:pStyle w:val="ListParagraph"/>
        <w:numPr>
          <w:ilvl w:val="0"/>
          <w:numId w:val="22"/>
        </w:numPr>
        <w:spacing w:before="100" w:beforeAutospacing="1" w:after="100" w:afterAutospacing="1" w:line="240" w:lineRule="auto"/>
        <w:jc w:val="both"/>
        <w:rPr>
          <w:rFonts w:asciiTheme="minorHAnsi" w:hAnsiTheme="minorHAnsi"/>
          <w:color w:val="000000"/>
          <w:sz w:val="22"/>
        </w:rPr>
      </w:pPr>
      <w:r w:rsidRPr="00035CD3">
        <w:rPr>
          <w:rFonts w:asciiTheme="minorHAnsi" w:hAnsiTheme="minorHAnsi"/>
          <w:b/>
          <w:sz w:val="22"/>
        </w:rPr>
        <w:lastRenderedPageBreak/>
        <w:t xml:space="preserve">Expansion of EI-TAF Activities - </w:t>
      </w:r>
      <w:r w:rsidR="00CA134D" w:rsidRPr="00035CD3">
        <w:rPr>
          <w:rFonts w:asciiTheme="minorHAnsi" w:hAnsiTheme="minorHAnsi"/>
          <w:sz w:val="22"/>
        </w:rPr>
        <w:t xml:space="preserve">Going forward, the </w:t>
      </w:r>
      <w:r w:rsidR="00781484" w:rsidRPr="00035CD3">
        <w:rPr>
          <w:rFonts w:asciiTheme="minorHAnsi" w:hAnsiTheme="minorHAnsi"/>
          <w:sz w:val="22"/>
        </w:rPr>
        <w:t xml:space="preserve">number of </w:t>
      </w:r>
      <w:r w:rsidR="00CA134D" w:rsidRPr="00035CD3">
        <w:rPr>
          <w:rFonts w:asciiTheme="minorHAnsi" w:hAnsiTheme="minorHAnsi"/>
          <w:sz w:val="22"/>
        </w:rPr>
        <w:t xml:space="preserve">EI-TAF </w:t>
      </w:r>
      <w:r w:rsidR="00781484" w:rsidRPr="00035CD3">
        <w:rPr>
          <w:rFonts w:asciiTheme="minorHAnsi" w:hAnsiTheme="minorHAnsi"/>
          <w:sz w:val="22"/>
        </w:rPr>
        <w:t xml:space="preserve">activities is expected to continue to grow through (a) </w:t>
      </w:r>
      <w:r w:rsidR="00CA134D" w:rsidRPr="00035CD3">
        <w:rPr>
          <w:rFonts w:asciiTheme="minorHAnsi" w:hAnsiTheme="minorHAnsi"/>
          <w:sz w:val="22"/>
        </w:rPr>
        <w:t>SEGOM country</w:t>
      </w:r>
      <w:r w:rsidR="00D475B5">
        <w:rPr>
          <w:rFonts w:asciiTheme="minorHAnsi" w:hAnsiTheme="minorHAnsi"/>
          <w:sz w:val="22"/>
        </w:rPr>
        <w:t>-</w:t>
      </w:r>
      <w:r w:rsidR="00CA134D" w:rsidRPr="00035CD3">
        <w:rPr>
          <w:rFonts w:asciiTheme="minorHAnsi" w:hAnsiTheme="minorHAnsi"/>
          <w:sz w:val="22"/>
        </w:rPr>
        <w:t xml:space="preserve">based activities including ongoing mining and a deepening of oil </w:t>
      </w:r>
      <w:r w:rsidR="00781484" w:rsidRPr="00035CD3">
        <w:rPr>
          <w:rFonts w:asciiTheme="minorHAnsi" w:hAnsiTheme="minorHAnsi"/>
          <w:sz w:val="22"/>
        </w:rPr>
        <w:t>and</w:t>
      </w:r>
      <w:r w:rsidR="00CA134D" w:rsidRPr="00035CD3">
        <w:rPr>
          <w:rFonts w:asciiTheme="minorHAnsi" w:hAnsiTheme="minorHAnsi"/>
          <w:sz w:val="22"/>
        </w:rPr>
        <w:t xml:space="preserve"> gas dialogue at the front-line; (b) </w:t>
      </w:r>
      <w:r w:rsidR="00C12AE8" w:rsidRPr="00035CD3">
        <w:rPr>
          <w:rFonts w:asciiTheme="minorHAnsi" w:hAnsiTheme="minorHAnsi"/>
          <w:sz w:val="22"/>
        </w:rPr>
        <w:t xml:space="preserve">cross departmental support from other </w:t>
      </w:r>
      <w:r w:rsidR="00781484" w:rsidRPr="00035CD3">
        <w:rPr>
          <w:rFonts w:asciiTheme="minorHAnsi" w:hAnsiTheme="minorHAnsi"/>
          <w:sz w:val="22"/>
        </w:rPr>
        <w:t>World Bank</w:t>
      </w:r>
      <w:r w:rsidR="00C12AE8" w:rsidRPr="00035CD3">
        <w:rPr>
          <w:rFonts w:asciiTheme="minorHAnsi" w:hAnsiTheme="minorHAnsi"/>
          <w:sz w:val="22"/>
        </w:rPr>
        <w:t xml:space="preserve"> teams engaged on</w:t>
      </w:r>
      <w:r w:rsidR="00CA134D" w:rsidRPr="00035CD3">
        <w:rPr>
          <w:rFonts w:asciiTheme="minorHAnsi" w:hAnsiTheme="minorHAnsi"/>
          <w:sz w:val="22"/>
        </w:rPr>
        <w:t xml:space="preserve"> policy </w:t>
      </w:r>
      <w:r w:rsidR="00C12AE8" w:rsidRPr="00035CD3">
        <w:rPr>
          <w:rFonts w:asciiTheme="minorHAnsi" w:hAnsiTheme="minorHAnsi"/>
          <w:sz w:val="22"/>
        </w:rPr>
        <w:t xml:space="preserve">issues such as </w:t>
      </w:r>
      <w:r w:rsidR="001411D6" w:rsidRPr="00035CD3">
        <w:rPr>
          <w:rFonts w:asciiTheme="minorHAnsi" w:hAnsiTheme="minorHAnsi"/>
          <w:sz w:val="22"/>
        </w:rPr>
        <w:t>licensing, contract enforcement, fiscal regimes</w:t>
      </w:r>
      <w:r w:rsidR="00CA134D" w:rsidRPr="00035CD3">
        <w:rPr>
          <w:rFonts w:asciiTheme="minorHAnsi" w:hAnsiTheme="minorHAnsi"/>
          <w:sz w:val="22"/>
        </w:rPr>
        <w:t xml:space="preserve"> and revenues management; and (c) referral from other donor-led dialogue, as was the case in Sierra Leone</w:t>
      </w:r>
      <w:r w:rsidR="00624060" w:rsidRPr="00035CD3">
        <w:rPr>
          <w:rFonts w:asciiTheme="minorHAnsi" w:hAnsiTheme="minorHAnsi"/>
          <w:sz w:val="22"/>
        </w:rPr>
        <w:t xml:space="preserve"> and Rwanda</w:t>
      </w:r>
      <w:r w:rsidR="00CA134D" w:rsidRPr="00035CD3">
        <w:rPr>
          <w:rFonts w:asciiTheme="minorHAnsi" w:hAnsiTheme="minorHAnsi"/>
          <w:sz w:val="22"/>
        </w:rPr>
        <w:t>.</w:t>
      </w:r>
      <w:r w:rsidR="0068167A" w:rsidRPr="00035CD3">
        <w:rPr>
          <w:rFonts w:asciiTheme="minorHAnsi" w:hAnsiTheme="minorHAnsi"/>
          <w:sz w:val="22"/>
        </w:rPr>
        <w:t xml:space="preserve"> </w:t>
      </w:r>
      <w:r w:rsidR="00CA134D" w:rsidRPr="00035CD3">
        <w:rPr>
          <w:rFonts w:asciiTheme="minorHAnsi" w:hAnsiTheme="minorHAnsi"/>
          <w:sz w:val="22"/>
        </w:rPr>
        <w:t>Beyond the expansion of existing activities, the EI-TAF will continue to receive request</w:t>
      </w:r>
      <w:r w:rsidR="00190FBC" w:rsidRPr="00035CD3">
        <w:rPr>
          <w:rFonts w:asciiTheme="minorHAnsi" w:hAnsiTheme="minorHAnsi"/>
          <w:sz w:val="22"/>
        </w:rPr>
        <w:t>s</w:t>
      </w:r>
      <w:r w:rsidR="00CA134D" w:rsidRPr="00035CD3">
        <w:rPr>
          <w:rFonts w:asciiTheme="minorHAnsi" w:hAnsiTheme="minorHAnsi"/>
          <w:sz w:val="22"/>
        </w:rPr>
        <w:t xml:space="preserve"> to support capacity building around the negotiation of associated infrastructure (power, road, rail, pipelines and ports)</w:t>
      </w:r>
      <w:r w:rsidR="003B76F4" w:rsidRPr="00035CD3">
        <w:rPr>
          <w:rFonts w:asciiTheme="minorHAnsi" w:hAnsiTheme="minorHAnsi"/>
          <w:sz w:val="22"/>
        </w:rPr>
        <w:t xml:space="preserve">. This </w:t>
      </w:r>
      <w:r w:rsidR="00CA134D" w:rsidRPr="00035CD3">
        <w:rPr>
          <w:rFonts w:asciiTheme="minorHAnsi" w:hAnsiTheme="minorHAnsi"/>
          <w:sz w:val="22"/>
        </w:rPr>
        <w:t>lends an opportunity for “greener options” that might include alternative site selection and routing, and cleaner technologies that might include hydro development.</w:t>
      </w:r>
      <w:r w:rsidRPr="00035CD3">
        <w:rPr>
          <w:rFonts w:asciiTheme="minorHAnsi" w:hAnsiTheme="minorHAnsi"/>
          <w:sz w:val="22"/>
        </w:rPr>
        <w:t xml:space="preserve"> Our work in Guinea (Additional Financing) provides a good example of this trend.</w:t>
      </w:r>
    </w:p>
    <w:p w:rsidR="00781484" w:rsidRPr="00035CD3" w:rsidRDefault="00781484" w:rsidP="00857515">
      <w:pPr>
        <w:pStyle w:val="ListParagraph"/>
        <w:spacing w:line="240" w:lineRule="auto"/>
        <w:ind w:left="0"/>
        <w:jc w:val="both"/>
        <w:rPr>
          <w:rFonts w:asciiTheme="minorHAnsi" w:hAnsiTheme="minorHAnsi"/>
          <w:sz w:val="22"/>
        </w:rPr>
      </w:pPr>
    </w:p>
    <w:p w:rsidR="00342A74" w:rsidRPr="00035CD3" w:rsidRDefault="00342A74" w:rsidP="00857515">
      <w:pPr>
        <w:spacing w:line="240" w:lineRule="auto"/>
        <w:rPr>
          <w:rFonts w:asciiTheme="minorHAnsi" w:hAnsiTheme="minorHAnsi"/>
          <w:color w:val="000000"/>
          <w:sz w:val="22"/>
        </w:rPr>
      </w:pPr>
      <w:r w:rsidRPr="00035CD3">
        <w:rPr>
          <w:rFonts w:asciiTheme="minorHAnsi" w:hAnsiTheme="minorHAnsi"/>
          <w:b/>
        </w:rPr>
        <w:t>I</w:t>
      </w:r>
      <w:r w:rsidR="00CA134D" w:rsidRPr="00035CD3">
        <w:rPr>
          <w:rFonts w:asciiTheme="minorHAnsi" w:hAnsiTheme="minorHAnsi"/>
          <w:b/>
        </w:rPr>
        <w:t>ssues for Discussion/Decision by the Donors</w:t>
      </w:r>
    </w:p>
    <w:p w:rsidR="007D5A58" w:rsidRPr="00035CD3" w:rsidRDefault="00AB7A96" w:rsidP="00857515">
      <w:pPr>
        <w:pStyle w:val="ListParagraph"/>
        <w:numPr>
          <w:ilvl w:val="0"/>
          <w:numId w:val="20"/>
        </w:numPr>
        <w:spacing w:before="100" w:beforeAutospacing="1" w:after="100" w:afterAutospacing="1" w:line="240" w:lineRule="auto"/>
        <w:jc w:val="both"/>
        <w:rPr>
          <w:rFonts w:asciiTheme="minorHAnsi" w:hAnsiTheme="minorHAnsi"/>
          <w:color w:val="000000"/>
          <w:sz w:val="22"/>
        </w:rPr>
      </w:pPr>
      <w:r w:rsidRPr="00035CD3">
        <w:rPr>
          <w:rFonts w:asciiTheme="minorHAnsi" w:hAnsiTheme="minorHAnsi"/>
          <w:b/>
          <w:i/>
          <w:color w:val="000000"/>
          <w:sz w:val="22"/>
        </w:rPr>
        <w:t xml:space="preserve">Expanding the scope of EI-TAF: </w:t>
      </w:r>
      <w:r w:rsidR="00F5364C" w:rsidRPr="00035CD3">
        <w:rPr>
          <w:rFonts w:asciiTheme="minorHAnsi" w:hAnsiTheme="minorHAnsi"/>
          <w:color w:val="000000"/>
          <w:sz w:val="22"/>
        </w:rPr>
        <w:t>B</w:t>
      </w:r>
      <w:r w:rsidR="00104343" w:rsidRPr="00035CD3">
        <w:rPr>
          <w:rFonts w:asciiTheme="minorHAnsi" w:hAnsiTheme="minorHAnsi"/>
          <w:color w:val="000000"/>
          <w:sz w:val="22"/>
        </w:rPr>
        <w:t xml:space="preserve">ased on lessons </w:t>
      </w:r>
      <w:r w:rsidR="00781484" w:rsidRPr="00035CD3">
        <w:rPr>
          <w:rFonts w:asciiTheme="minorHAnsi" w:hAnsiTheme="minorHAnsi"/>
          <w:color w:val="000000"/>
          <w:sz w:val="22"/>
        </w:rPr>
        <w:t xml:space="preserve">learned </w:t>
      </w:r>
      <w:r w:rsidR="00104343" w:rsidRPr="00035CD3">
        <w:rPr>
          <w:rFonts w:asciiTheme="minorHAnsi" w:hAnsiTheme="minorHAnsi"/>
          <w:color w:val="000000"/>
          <w:sz w:val="22"/>
        </w:rPr>
        <w:t xml:space="preserve">during the first </w:t>
      </w:r>
      <w:r w:rsidR="00781484" w:rsidRPr="00035CD3">
        <w:rPr>
          <w:rFonts w:asciiTheme="minorHAnsi" w:hAnsiTheme="minorHAnsi"/>
          <w:color w:val="000000"/>
          <w:sz w:val="22"/>
        </w:rPr>
        <w:t>few</w:t>
      </w:r>
      <w:r w:rsidR="00104343" w:rsidRPr="00035CD3">
        <w:rPr>
          <w:rFonts w:asciiTheme="minorHAnsi" w:hAnsiTheme="minorHAnsi"/>
          <w:color w:val="000000"/>
          <w:sz w:val="22"/>
        </w:rPr>
        <w:t xml:space="preserve"> years of operations</w:t>
      </w:r>
      <w:r w:rsidR="00D475B5">
        <w:rPr>
          <w:rFonts w:asciiTheme="minorHAnsi" w:hAnsiTheme="minorHAnsi"/>
          <w:color w:val="000000"/>
          <w:sz w:val="22"/>
        </w:rPr>
        <w:t xml:space="preserve"> and further discussions with EI-TAF donors</w:t>
      </w:r>
      <w:r w:rsidR="00104343" w:rsidRPr="00035CD3">
        <w:rPr>
          <w:rFonts w:asciiTheme="minorHAnsi" w:hAnsiTheme="minorHAnsi"/>
          <w:color w:val="000000"/>
          <w:sz w:val="22"/>
        </w:rPr>
        <w:t xml:space="preserve">, </w:t>
      </w:r>
      <w:r w:rsidRPr="00035CD3">
        <w:rPr>
          <w:rFonts w:asciiTheme="minorHAnsi" w:hAnsiTheme="minorHAnsi"/>
          <w:color w:val="000000"/>
          <w:sz w:val="22"/>
        </w:rPr>
        <w:t xml:space="preserve">the EI-TAF team </w:t>
      </w:r>
      <w:r w:rsidR="008A6063" w:rsidRPr="00035CD3">
        <w:rPr>
          <w:rFonts w:asciiTheme="minorHAnsi" w:hAnsiTheme="minorHAnsi"/>
          <w:color w:val="000000"/>
          <w:sz w:val="22"/>
        </w:rPr>
        <w:t>will continue</w:t>
      </w:r>
      <w:r w:rsidR="00104343" w:rsidRPr="00035CD3">
        <w:rPr>
          <w:rFonts w:asciiTheme="minorHAnsi" w:hAnsiTheme="minorHAnsi"/>
          <w:color w:val="000000"/>
          <w:sz w:val="22"/>
        </w:rPr>
        <w:t xml:space="preserve"> to</w:t>
      </w:r>
      <w:r w:rsidRPr="00035CD3">
        <w:rPr>
          <w:rFonts w:asciiTheme="minorHAnsi" w:hAnsiTheme="minorHAnsi"/>
          <w:color w:val="000000"/>
          <w:sz w:val="22"/>
        </w:rPr>
        <w:t xml:space="preserve"> </w:t>
      </w:r>
      <w:r w:rsidR="00D475B5">
        <w:rPr>
          <w:rFonts w:asciiTheme="minorHAnsi" w:hAnsiTheme="minorHAnsi"/>
          <w:color w:val="000000"/>
          <w:sz w:val="22"/>
        </w:rPr>
        <w:t xml:space="preserve">explore opportunities to </w:t>
      </w:r>
      <w:r w:rsidRPr="00035CD3">
        <w:rPr>
          <w:rFonts w:asciiTheme="minorHAnsi" w:hAnsiTheme="minorHAnsi"/>
          <w:color w:val="000000"/>
          <w:sz w:val="22"/>
        </w:rPr>
        <w:t xml:space="preserve">expand the scope of the trust fund to provide support </w:t>
      </w:r>
      <w:r w:rsidR="00862D2F" w:rsidRPr="00035CD3">
        <w:rPr>
          <w:rFonts w:asciiTheme="minorHAnsi" w:hAnsiTheme="minorHAnsi"/>
          <w:color w:val="000000"/>
          <w:sz w:val="22"/>
        </w:rPr>
        <w:t>to capacity building around infrastructure</w:t>
      </w:r>
      <w:r w:rsidR="008A6063" w:rsidRPr="00035CD3">
        <w:rPr>
          <w:rFonts w:asciiTheme="minorHAnsi" w:hAnsiTheme="minorHAnsi"/>
          <w:color w:val="000000"/>
          <w:sz w:val="22"/>
        </w:rPr>
        <w:t>, licensing,</w:t>
      </w:r>
      <w:r w:rsidR="00862D2F" w:rsidRPr="00035CD3">
        <w:rPr>
          <w:rFonts w:asciiTheme="minorHAnsi" w:hAnsiTheme="minorHAnsi"/>
          <w:color w:val="000000"/>
          <w:sz w:val="22"/>
        </w:rPr>
        <w:t xml:space="preserve"> contract monitoring</w:t>
      </w:r>
      <w:r w:rsidR="008A6063" w:rsidRPr="00035CD3">
        <w:rPr>
          <w:rFonts w:asciiTheme="minorHAnsi" w:hAnsiTheme="minorHAnsi"/>
          <w:color w:val="000000"/>
          <w:sz w:val="22"/>
        </w:rPr>
        <w:t>, and design of fiscal regimes and</w:t>
      </w:r>
      <w:r w:rsidR="00862D2F" w:rsidRPr="00035CD3">
        <w:rPr>
          <w:rFonts w:asciiTheme="minorHAnsi" w:hAnsiTheme="minorHAnsi"/>
          <w:color w:val="000000"/>
          <w:sz w:val="22"/>
        </w:rPr>
        <w:t xml:space="preserve"> tax administration. Th</w:t>
      </w:r>
      <w:r w:rsidR="008A6063" w:rsidRPr="00035CD3">
        <w:rPr>
          <w:rFonts w:asciiTheme="minorHAnsi" w:hAnsiTheme="minorHAnsi"/>
          <w:color w:val="000000"/>
          <w:sz w:val="22"/>
        </w:rPr>
        <w:t>ese</w:t>
      </w:r>
      <w:r w:rsidR="00862D2F" w:rsidRPr="00035CD3">
        <w:rPr>
          <w:rFonts w:asciiTheme="minorHAnsi" w:hAnsiTheme="minorHAnsi"/>
          <w:color w:val="000000"/>
          <w:sz w:val="22"/>
        </w:rPr>
        <w:t xml:space="preserve"> gap</w:t>
      </w:r>
      <w:r w:rsidR="008A6063" w:rsidRPr="00035CD3">
        <w:rPr>
          <w:rFonts w:asciiTheme="minorHAnsi" w:hAnsiTheme="minorHAnsi"/>
          <w:color w:val="000000"/>
          <w:sz w:val="22"/>
        </w:rPr>
        <w:t>s</w:t>
      </w:r>
      <w:r w:rsidR="00862D2F" w:rsidRPr="00035CD3">
        <w:rPr>
          <w:rFonts w:asciiTheme="minorHAnsi" w:hAnsiTheme="minorHAnsi"/>
          <w:color w:val="000000"/>
          <w:sz w:val="22"/>
        </w:rPr>
        <w:t xml:space="preserve"> </w:t>
      </w:r>
      <w:r w:rsidR="008A6063" w:rsidRPr="00035CD3">
        <w:rPr>
          <w:rFonts w:asciiTheme="minorHAnsi" w:hAnsiTheme="minorHAnsi"/>
          <w:color w:val="000000"/>
          <w:sz w:val="22"/>
        </w:rPr>
        <w:t>were</w:t>
      </w:r>
      <w:r w:rsidR="00862D2F" w:rsidRPr="00035CD3">
        <w:rPr>
          <w:rFonts w:asciiTheme="minorHAnsi" w:hAnsiTheme="minorHAnsi"/>
          <w:color w:val="000000"/>
          <w:sz w:val="22"/>
        </w:rPr>
        <w:t xml:space="preserve"> </w:t>
      </w:r>
      <w:r w:rsidR="00F5364C" w:rsidRPr="00035CD3">
        <w:rPr>
          <w:rFonts w:asciiTheme="minorHAnsi" w:hAnsiTheme="minorHAnsi"/>
          <w:color w:val="000000"/>
          <w:sz w:val="22"/>
        </w:rPr>
        <w:t xml:space="preserve">initially </w:t>
      </w:r>
      <w:r w:rsidR="00862D2F" w:rsidRPr="00035CD3">
        <w:rPr>
          <w:rFonts w:asciiTheme="minorHAnsi" w:hAnsiTheme="minorHAnsi"/>
          <w:color w:val="000000"/>
          <w:sz w:val="22"/>
        </w:rPr>
        <w:t xml:space="preserve">discussed with the </w:t>
      </w:r>
      <w:r w:rsidRPr="00035CD3">
        <w:rPr>
          <w:rFonts w:asciiTheme="minorHAnsi" w:hAnsiTheme="minorHAnsi"/>
          <w:color w:val="000000"/>
          <w:sz w:val="22"/>
        </w:rPr>
        <w:t xml:space="preserve">International Monetary Fund (Managing Natural Resource Wealth Topical Trust Fund—MNRW), </w:t>
      </w:r>
      <w:r w:rsidR="00862D2F" w:rsidRPr="00035CD3">
        <w:rPr>
          <w:rFonts w:asciiTheme="minorHAnsi" w:hAnsiTheme="minorHAnsi"/>
          <w:color w:val="000000"/>
          <w:sz w:val="22"/>
        </w:rPr>
        <w:t xml:space="preserve">whose activities </w:t>
      </w:r>
      <w:r w:rsidR="008A6063" w:rsidRPr="00035CD3">
        <w:rPr>
          <w:rFonts w:asciiTheme="minorHAnsi" w:hAnsiTheme="minorHAnsi"/>
          <w:color w:val="000000"/>
          <w:sz w:val="22"/>
        </w:rPr>
        <w:t>are focused</w:t>
      </w:r>
      <w:r w:rsidR="00862D2F" w:rsidRPr="00035CD3">
        <w:rPr>
          <w:rFonts w:asciiTheme="minorHAnsi" w:hAnsiTheme="minorHAnsi"/>
          <w:color w:val="000000"/>
          <w:sz w:val="22"/>
        </w:rPr>
        <w:t xml:space="preserve"> further downstream on revenue management</w:t>
      </w:r>
      <w:r w:rsidR="00781484" w:rsidRPr="00035CD3">
        <w:rPr>
          <w:rFonts w:asciiTheme="minorHAnsi" w:hAnsiTheme="minorHAnsi"/>
          <w:color w:val="000000"/>
          <w:sz w:val="22"/>
        </w:rPr>
        <w:t>.</w:t>
      </w:r>
      <w:r w:rsidR="00F5364C" w:rsidRPr="00035CD3">
        <w:rPr>
          <w:rFonts w:asciiTheme="minorHAnsi" w:hAnsiTheme="minorHAnsi"/>
          <w:color w:val="000000"/>
          <w:sz w:val="22"/>
        </w:rPr>
        <w:t xml:space="preserve"> As recommended during the last meeting with EI-TAF donors, the World Bank will host consultations with the IMF MNRW in conjunction with Donor meetings scheduled for April 2012.</w:t>
      </w:r>
    </w:p>
    <w:p w:rsidR="007D5A58" w:rsidRPr="00035CD3" w:rsidRDefault="007D5A58" w:rsidP="00857515">
      <w:pPr>
        <w:pStyle w:val="ListParagraph"/>
        <w:spacing w:before="100" w:beforeAutospacing="1" w:after="100" w:afterAutospacing="1" w:line="240" w:lineRule="auto"/>
        <w:ind w:left="360"/>
        <w:jc w:val="both"/>
        <w:rPr>
          <w:rFonts w:asciiTheme="minorHAnsi" w:hAnsiTheme="minorHAnsi"/>
          <w:color w:val="000000"/>
          <w:sz w:val="22"/>
        </w:rPr>
      </w:pPr>
    </w:p>
    <w:p w:rsidR="00556EA3" w:rsidRPr="00035CD3" w:rsidRDefault="007D5A58" w:rsidP="00556EA3">
      <w:pPr>
        <w:pStyle w:val="ListParagraph"/>
        <w:numPr>
          <w:ilvl w:val="0"/>
          <w:numId w:val="20"/>
        </w:numPr>
        <w:spacing w:before="100" w:beforeAutospacing="1" w:after="100" w:afterAutospacing="1" w:line="240" w:lineRule="auto"/>
        <w:jc w:val="both"/>
        <w:rPr>
          <w:rFonts w:asciiTheme="minorHAnsi" w:hAnsiTheme="minorHAnsi"/>
          <w:color w:val="000000"/>
          <w:sz w:val="22"/>
        </w:rPr>
      </w:pPr>
      <w:r w:rsidRPr="00035CD3">
        <w:rPr>
          <w:rFonts w:asciiTheme="minorHAnsi" w:hAnsiTheme="minorHAnsi"/>
          <w:b/>
          <w:i/>
          <w:color w:val="000000"/>
          <w:sz w:val="22"/>
        </w:rPr>
        <w:t>Knowledge Component of EI-TAF</w:t>
      </w:r>
      <w:r w:rsidR="00ED0823" w:rsidRPr="00035CD3">
        <w:rPr>
          <w:rFonts w:asciiTheme="minorHAnsi" w:hAnsiTheme="minorHAnsi"/>
          <w:b/>
          <w:i/>
          <w:color w:val="000000"/>
          <w:sz w:val="22"/>
        </w:rPr>
        <w:t xml:space="preserve">: </w:t>
      </w:r>
      <w:r w:rsidR="00EF5A41" w:rsidRPr="00035CD3">
        <w:rPr>
          <w:rFonts w:asciiTheme="minorHAnsi" w:hAnsiTheme="minorHAnsi"/>
          <w:color w:val="000000"/>
          <w:sz w:val="22"/>
        </w:rPr>
        <w:t>A</w:t>
      </w:r>
      <w:r w:rsidR="00ED0823" w:rsidRPr="00035CD3">
        <w:rPr>
          <w:rFonts w:asciiTheme="minorHAnsi" w:hAnsiTheme="minorHAnsi"/>
          <w:color w:val="000000"/>
          <w:sz w:val="22"/>
        </w:rPr>
        <w:t xml:space="preserve"> great deal of success has been achieve</w:t>
      </w:r>
      <w:r w:rsidR="00EF5A41" w:rsidRPr="00035CD3">
        <w:rPr>
          <w:rFonts w:asciiTheme="minorHAnsi" w:hAnsiTheme="minorHAnsi"/>
          <w:color w:val="000000"/>
          <w:sz w:val="22"/>
        </w:rPr>
        <w:t>d</w:t>
      </w:r>
      <w:r w:rsidR="00ED0823" w:rsidRPr="00035CD3">
        <w:rPr>
          <w:rFonts w:asciiTheme="minorHAnsi" w:hAnsiTheme="minorHAnsi"/>
          <w:color w:val="000000"/>
          <w:sz w:val="22"/>
        </w:rPr>
        <w:t xml:space="preserve"> </w:t>
      </w:r>
      <w:r w:rsidR="00EF5A41" w:rsidRPr="00035CD3">
        <w:rPr>
          <w:rFonts w:asciiTheme="minorHAnsi" w:hAnsiTheme="minorHAnsi"/>
          <w:color w:val="000000"/>
          <w:sz w:val="22"/>
        </w:rPr>
        <w:t xml:space="preserve">under the knowledge management component of EI-TAF through the development of the </w:t>
      </w:r>
      <w:r w:rsidR="00EF5A41" w:rsidRPr="00035CD3">
        <w:rPr>
          <w:rFonts w:asciiTheme="minorHAnsi" w:hAnsiTheme="minorHAnsi"/>
          <w:i/>
          <w:color w:val="000000"/>
          <w:sz w:val="22"/>
        </w:rPr>
        <w:t>Extractive Industries Source Book</w:t>
      </w:r>
      <w:r w:rsidR="00556EA3" w:rsidRPr="00035CD3">
        <w:rPr>
          <w:rFonts w:asciiTheme="minorHAnsi" w:hAnsiTheme="minorHAnsi"/>
          <w:i/>
          <w:color w:val="000000"/>
          <w:sz w:val="22"/>
        </w:rPr>
        <w:t xml:space="preserve"> </w:t>
      </w:r>
      <w:r w:rsidR="00556EA3" w:rsidRPr="00035CD3">
        <w:rPr>
          <w:rFonts w:asciiTheme="minorHAnsi" w:hAnsiTheme="minorHAnsi"/>
          <w:color w:val="000000"/>
          <w:sz w:val="22"/>
        </w:rPr>
        <w:t>and its associated knowledge products</w:t>
      </w:r>
      <w:r w:rsidR="00EF5A41" w:rsidRPr="00035CD3">
        <w:rPr>
          <w:rFonts w:asciiTheme="minorHAnsi" w:hAnsiTheme="minorHAnsi"/>
          <w:i/>
          <w:color w:val="000000"/>
          <w:sz w:val="22"/>
        </w:rPr>
        <w:t>.</w:t>
      </w:r>
      <w:r w:rsidR="00D545AF">
        <w:rPr>
          <w:rFonts w:asciiTheme="minorHAnsi" w:hAnsiTheme="minorHAnsi"/>
          <w:color w:val="000000"/>
          <w:sz w:val="22"/>
        </w:rPr>
        <w:t xml:space="preserve"> </w:t>
      </w:r>
      <w:r w:rsidR="00EF5A41" w:rsidRPr="00035CD3">
        <w:rPr>
          <w:rFonts w:asciiTheme="minorHAnsi" w:hAnsiTheme="minorHAnsi"/>
          <w:color w:val="000000"/>
          <w:sz w:val="22"/>
        </w:rPr>
        <w:t>However, as described above, CY12 marks the final year EI-TAF will receive support through the Development Grant Facility</w:t>
      </w:r>
      <w:r w:rsidR="0052641B" w:rsidRPr="00035CD3">
        <w:rPr>
          <w:rFonts w:asciiTheme="minorHAnsi" w:hAnsiTheme="minorHAnsi"/>
          <w:color w:val="000000"/>
          <w:sz w:val="22"/>
        </w:rPr>
        <w:t>. As such</w:t>
      </w:r>
      <w:r w:rsidR="00EF5A41" w:rsidRPr="00035CD3">
        <w:rPr>
          <w:rFonts w:asciiTheme="minorHAnsi" w:hAnsiTheme="minorHAnsi"/>
          <w:color w:val="000000"/>
          <w:sz w:val="22"/>
        </w:rPr>
        <w:t xml:space="preserve"> the development of a sustainability plan</w:t>
      </w:r>
      <w:r w:rsidR="0052641B" w:rsidRPr="00035CD3">
        <w:rPr>
          <w:rFonts w:asciiTheme="minorHAnsi" w:hAnsiTheme="minorHAnsi"/>
          <w:color w:val="000000"/>
          <w:sz w:val="22"/>
        </w:rPr>
        <w:t xml:space="preserve"> for the Source Book </w:t>
      </w:r>
      <w:r w:rsidR="00EF5A41" w:rsidRPr="00035CD3">
        <w:rPr>
          <w:rFonts w:asciiTheme="minorHAnsi" w:hAnsiTheme="minorHAnsi"/>
          <w:color w:val="000000"/>
          <w:sz w:val="22"/>
        </w:rPr>
        <w:t>is currently underway.</w:t>
      </w:r>
      <w:r w:rsidR="00D545AF">
        <w:rPr>
          <w:rFonts w:asciiTheme="minorHAnsi" w:hAnsiTheme="minorHAnsi"/>
          <w:color w:val="000000"/>
          <w:sz w:val="22"/>
        </w:rPr>
        <w:t xml:space="preserve"> </w:t>
      </w:r>
      <w:r w:rsidR="00556EA3" w:rsidRPr="00035CD3">
        <w:rPr>
          <w:rFonts w:asciiTheme="minorHAnsi" w:hAnsiTheme="minorHAnsi"/>
          <w:color w:val="000000"/>
          <w:sz w:val="22"/>
        </w:rPr>
        <w:t>The Bank fully recognizes the continued need to support the development of knowledge on extractive industries for frontline operations.</w:t>
      </w:r>
      <w:r w:rsidR="00D545AF">
        <w:rPr>
          <w:rFonts w:asciiTheme="minorHAnsi" w:hAnsiTheme="minorHAnsi"/>
          <w:color w:val="000000"/>
          <w:sz w:val="22"/>
        </w:rPr>
        <w:t xml:space="preserve"> </w:t>
      </w:r>
      <w:r w:rsidR="00C7189C">
        <w:rPr>
          <w:rFonts w:asciiTheme="minorHAnsi" w:hAnsiTheme="minorHAnsi"/>
          <w:color w:val="000000"/>
          <w:sz w:val="22"/>
        </w:rPr>
        <w:t xml:space="preserve">Donors to the EI-TAF have expressed varying views around sustaining the knowledge component within EI-TAF after the closing of the DGF funds. This remains a point for discussion. Some donors have also expressed interest in the possibility of providing support for the Extractives for Development initiative (E4D) through the EI-TAF—also a point for discussion (see footnote 1 on page 5). </w:t>
      </w:r>
    </w:p>
    <w:p w:rsidR="00EC7CA0" w:rsidRDefault="00EC7CA0">
      <w:pPr>
        <w:rPr>
          <w:rFonts w:asciiTheme="minorHAnsi" w:hAnsiTheme="minorHAnsi"/>
          <w:color w:val="000000"/>
          <w:sz w:val="22"/>
        </w:rPr>
      </w:pPr>
      <w:r>
        <w:rPr>
          <w:rFonts w:asciiTheme="minorHAnsi" w:hAnsiTheme="minorHAnsi"/>
          <w:color w:val="000000"/>
          <w:sz w:val="22"/>
        </w:rPr>
        <w:br w:type="page"/>
      </w:r>
    </w:p>
    <w:p w:rsidR="00556EA3" w:rsidRPr="00035CD3" w:rsidRDefault="00556EA3" w:rsidP="00556EA3">
      <w:pPr>
        <w:pStyle w:val="ListParagraph"/>
        <w:spacing w:before="100" w:beforeAutospacing="1" w:after="100" w:afterAutospacing="1" w:line="240" w:lineRule="auto"/>
        <w:ind w:left="360"/>
        <w:jc w:val="both"/>
        <w:rPr>
          <w:rFonts w:asciiTheme="minorHAnsi" w:hAnsiTheme="minorHAnsi"/>
          <w:color w:val="000000"/>
          <w:sz w:val="22"/>
        </w:rPr>
      </w:pPr>
    </w:p>
    <w:p w:rsidR="002D60C1" w:rsidRPr="00035CD3" w:rsidRDefault="00E11673" w:rsidP="00857515">
      <w:pPr>
        <w:pStyle w:val="ListParagraph"/>
        <w:numPr>
          <w:ilvl w:val="0"/>
          <w:numId w:val="20"/>
        </w:numPr>
        <w:spacing w:before="100" w:beforeAutospacing="1" w:after="100" w:afterAutospacing="1" w:line="240" w:lineRule="auto"/>
        <w:jc w:val="both"/>
        <w:rPr>
          <w:rFonts w:asciiTheme="minorHAnsi" w:hAnsiTheme="minorHAnsi"/>
          <w:color w:val="000000"/>
          <w:sz w:val="22"/>
        </w:rPr>
      </w:pPr>
      <w:r w:rsidRPr="00035CD3">
        <w:rPr>
          <w:rFonts w:asciiTheme="minorHAnsi" w:hAnsiTheme="minorHAnsi"/>
          <w:b/>
          <w:i/>
          <w:color w:val="000000"/>
          <w:sz w:val="22"/>
        </w:rPr>
        <w:t xml:space="preserve">Cap on </w:t>
      </w:r>
      <w:r w:rsidR="00D545AF">
        <w:rPr>
          <w:rFonts w:asciiTheme="minorHAnsi" w:hAnsiTheme="minorHAnsi"/>
          <w:b/>
          <w:i/>
          <w:color w:val="000000"/>
          <w:sz w:val="22"/>
        </w:rPr>
        <w:t xml:space="preserve">Bank </w:t>
      </w:r>
      <w:r w:rsidRPr="00035CD3">
        <w:rPr>
          <w:rFonts w:asciiTheme="minorHAnsi" w:hAnsiTheme="minorHAnsi"/>
          <w:b/>
          <w:i/>
          <w:color w:val="000000"/>
          <w:sz w:val="22"/>
        </w:rPr>
        <w:t>Staff Time</w:t>
      </w:r>
      <w:r w:rsidRPr="00035CD3">
        <w:rPr>
          <w:rFonts w:asciiTheme="minorHAnsi" w:hAnsiTheme="minorHAnsi"/>
          <w:color w:val="000000"/>
          <w:sz w:val="22"/>
        </w:rPr>
        <w:t xml:space="preserve">: </w:t>
      </w:r>
      <w:r w:rsidR="00556EA3" w:rsidRPr="00035CD3">
        <w:rPr>
          <w:rFonts w:asciiTheme="minorHAnsi" w:hAnsiTheme="minorHAnsi"/>
          <w:color w:val="000000"/>
          <w:sz w:val="22"/>
        </w:rPr>
        <w:t xml:space="preserve">As </w:t>
      </w:r>
      <w:r w:rsidR="007D65CE" w:rsidRPr="00035CD3">
        <w:rPr>
          <w:rFonts w:asciiTheme="minorHAnsi" w:hAnsiTheme="minorHAnsi"/>
          <w:color w:val="000000"/>
          <w:sz w:val="22"/>
        </w:rPr>
        <w:t>EI-TAF</w:t>
      </w:r>
      <w:r w:rsidR="00556EA3" w:rsidRPr="00035CD3">
        <w:rPr>
          <w:rFonts w:asciiTheme="minorHAnsi" w:hAnsiTheme="minorHAnsi"/>
          <w:color w:val="000000"/>
          <w:sz w:val="22"/>
        </w:rPr>
        <w:t xml:space="preserve"> moves </w:t>
      </w:r>
      <w:r w:rsidR="007D65CE" w:rsidRPr="00035CD3">
        <w:rPr>
          <w:rFonts w:asciiTheme="minorHAnsi" w:hAnsiTheme="minorHAnsi"/>
          <w:color w:val="000000"/>
          <w:sz w:val="22"/>
        </w:rPr>
        <w:t xml:space="preserve">toward increasing its portfolio of </w:t>
      </w:r>
      <w:r w:rsidR="007D65CE" w:rsidRPr="00035CD3">
        <w:rPr>
          <w:rFonts w:asciiTheme="minorHAnsi" w:hAnsiTheme="minorHAnsi"/>
          <w:i/>
          <w:color w:val="000000"/>
          <w:sz w:val="22"/>
        </w:rPr>
        <w:t>Bank-executed</w:t>
      </w:r>
      <w:r w:rsidR="007D65CE" w:rsidRPr="00035CD3">
        <w:rPr>
          <w:rFonts w:asciiTheme="minorHAnsi" w:hAnsiTheme="minorHAnsi"/>
          <w:color w:val="000000"/>
          <w:sz w:val="22"/>
        </w:rPr>
        <w:t xml:space="preserve"> activities in an effort to facilitate rapid</w:t>
      </w:r>
      <w:r w:rsidR="009C6503" w:rsidRPr="00035CD3">
        <w:rPr>
          <w:rFonts w:asciiTheme="minorHAnsi" w:hAnsiTheme="minorHAnsi"/>
          <w:color w:val="000000"/>
          <w:sz w:val="22"/>
        </w:rPr>
        <w:t>-response</w:t>
      </w:r>
      <w:r w:rsidR="007D65CE" w:rsidRPr="00035CD3">
        <w:rPr>
          <w:rFonts w:asciiTheme="minorHAnsi" w:hAnsiTheme="minorHAnsi"/>
          <w:color w:val="000000"/>
          <w:sz w:val="22"/>
        </w:rPr>
        <w:t xml:space="preserve"> advisory services, t</w:t>
      </w:r>
      <w:r w:rsidRPr="00035CD3">
        <w:rPr>
          <w:rFonts w:asciiTheme="minorHAnsi" w:hAnsiTheme="minorHAnsi"/>
          <w:color w:val="000000"/>
          <w:sz w:val="22"/>
        </w:rPr>
        <w:t xml:space="preserve">he </w:t>
      </w:r>
      <w:r w:rsidR="00556EA3" w:rsidRPr="00035CD3">
        <w:rPr>
          <w:rFonts w:asciiTheme="minorHAnsi" w:hAnsiTheme="minorHAnsi"/>
          <w:color w:val="000000"/>
          <w:sz w:val="22"/>
        </w:rPr>
        <w:t xml:space="preserve">current cap of 20 percent on costs associated with staff-time </w:t>
      </w:r>
      <w:r w:rsidR="007D65CE" w:rsidRPr="00035CD3">
        <w:rPr>
          <w:rFonts w:asciiTheme="minorHAnsi" w:hAnsiTheme="minorHAnsi"/>
          <w:color w:val="000000"/>
          <w:sz w:val="22"/>
        </w:rPr>
        <w:t xml:space="preserve">has become increasingly difficult to manage. </w:t>
      </w:r>
      <w:r w:rsidR="008B1585" w:rsidRPr="00035CD3">
        <w:rPr>
          <w:rFonts w:asciiTheme="minorHAnsi" w:hAnsiTheme="minorHAnsi"/>
          <w:color w:val="000000"/>
          <w:sz w:val="22"/>
        </w:rPr>
        <w:t>The advantage of Bank-execution is that task managers within SEGOM, with strong sector expertise and a sound operating and management structure, can dedicate additional</w:t>
      </w:r>
      <w:r w:rsidR="00F1272A" w:rsidRPr="00035CD3">
        <w:rPr>
          <w:rFonts w:asciiTheme="minorHAnsi" w:hAnsiTheme="minorHAnsi"/>
          <w:color w:val="000000"/>
          <w:sz w:val="22"/>
        </w:rPr>
        <w:t xml:space="preserve"> time and </w:t>
      </w:r>
      <w:r w:rsidR="008B1585" w:rsidRPr="00035CD3">
        <w:rPr>
          <w:rFonts w:asciiTheme="minorHAnsi" w:hAnsiTheme="minorHAnsi"/>
          <w:color w:val="000000"/>
          <w:sz w:val="22"/>
        </w:rPr>
        <w:t>resources to</w:t>
      </w:r>
      <w:r w:rsidR="00F1272A" w:rsidRPr="00035CD3">
        <w:rPr>
          <w:rFonts w:asciiTheme="minorHAnsi" w:hAnsiTheme="minorHAnsi"/>
          <w:color w:val="000000"/>
          <w:sz w:val="22"/>
        </w:rPr>
        <w:t>wards</w:t>
      </w:r>
      <w:r w:rsidR="008B1585" w:rsidRPr="00035CD3">
        <w:rPr>
          <w:rFonts w:asciiTheme="minorHAnsi" w:hAnsiTheme="minorHAnsi"/>
          <w:color w:val="000000"/>
          <w:sz w:val="22"/>
        </w:rPr>
        <w:t xml:space="preserve"> ensur</w:t>
      </w:r>
      <w:r w:rsidR="00F1272A" w:rsidRPr="00035CD3">
        <w:rPr>
          <w:rFonts w:asciiTheme="minorHAnsi" w:hAnsiTheme="minorHAnsi"/>
          <w:color w:val="000000"/>
          <w:sz w:val="22"/>
        </w:rPr>
        <w:t xml:space="preserve">ing </w:t>
      </w:r>
      <w:r w:rsidR="008B1585" w:rsidRPr="00035CD3">
        <w:rPr>
          <w:rFonts w:asciiTheme="minorHAnsi" w:hAnsiTheme="minorHAnsi"/>
          <w:color w:val="000000"/>
          <w:sz w:val="22"/>
        </w:rPr>
        <w:t xml:space="preserve">that client countries receive advisory support in a timely manner. </w:t>
      </w:r>
      <w:r w:rsidR="007D65CE" w:rsidRPr="00035CD3">
        <w:rPr>
          <w:rFonts w:asciiTheme="minorHAnsi" w:hAnsiTheme="minorHAnsi"/>
          <w:color w:val="000000"/>
          <w:sz w:val="22"/>
        </w:rPr>
        <w:t>Those costs</w:t>
      </w:r>
      <w:r w:rsidR="008B1585" w:rsidRPr="00035CD3">
        <w:rPr>
          <w:rFonts w:asciiTheme="minorHAnsi" w:hAnsiTheme="minorHAnsi"/>
          <w:color w:val="000000"/>
          <w:sz w:val="22"/>
        </w:rPr>
        <w:t xml:space="preserve"> that would</w:t>
      </w:r>
      <w:r w:rsidR="007D65CE" w:rsidRPr="00035CD3">
        <w:rPr>
          <w:rFonts w:asciiTheme="minorHAnsi" w:hAnsiTheme="minorHAnsi"/>
          <w:color w:val="000000"/>
          <w:sz w:val="22"/>
        </w:rPr>
        <w:t xml:space="preserve"> </w:t>
      </w:r>
      <w:r w:rsidR="009C6503" w:rsidRPr="00035CD3">
        <w:rPr>
          <w:rFonts w:asciiTheme="minorHAnsi" w:hAnsiTheme="minorHAnsi"/>
          <w:color w:val="000000"/>
          <w:sz w:val="22"/>
        </w:rPr>
        <w:t xml:space="preserve">typically </w:t>
      </w:r>
      <w:r w:rsidR="00D475B5">
        <w:rPr>
          <w:rFonts w:asciiTheme="minorHAnsi" w:hAnsiTheme="minorHAnsi"/>
          <w:color w:val="000000"/>
          <w:sz w:val="22"/>
        </w:rPr>
        <w:t xml:space="preserve">be </w:t>
      </w:r>
      <w:r w:rsidR="009C6503" w:rsidRPr="00035CD3">
        <w:rPr>
          <w:rFonts w:asciiTheme="minorHAnsi" w:hAnsiTheme="minorHAnsi"/>
          <w:color w:val="000000"/>
          <w:sz w:val="22"/>
        </w:rPr>
        <w:t xml:space="preserve">allocated under a </w:t>
      </w:r>
      <w:r w:rsidR="008B1585" w:rsidRPr="00035CD3">
        <w:rPr>
          <w:rFonts w:asciiTheme="minorHAnsi" w:hAnsiTheme="minorHAnsi"/>
          <w:i/>
          <w:color w:val="000000"/>
          <w:sz w:val="22"/>
        </w:rPr>
        <w:t>R</w:t>
      </w:r>
      <w:r w:rsidR="009C6503" w:rsidRPr="00035CD3">
        <w:rPr>
          <w:rFonts w:asciiTheme="minorHAnsi" w:hAnsiTheme="minorHAnsi"/>
          <w:i/>
          <w:color w:val="000000"/>
          <w:sz w:val="22"/>
        </w:rPr>
        <w:t>ecipient-executed</w:t>
      </w:r>
      <w:r w:rsidR="009C6503" w:rsidRPr="00035CD3">
        <w:rPr>
          <w:rFonts w:asciiTheme="minorHAnsi" w:hAnsiTheme="minorHAnsi"/>
          <w:color w:val="000000"/>
          <w:sz w:val="22"/>
        </w:rPr>
        <w:t xml:space="preserve"> grant to</w:t>
      </w:r>
      <w:r w:rsidR="007D65CE" w:rsidRPr="00035CD3">
        <w:rPr>
          <w:rFonts w:asciiTheme="minorHAnsi" w:hAnsiTheme="minorHAnsi"/>
          <w:color w:val="000000"/>
          <w:sz w:val="22"/>
        </w:rPr>
        <w:t xml:space="preserve"> maintain a project management unit i</w:t>
      </w:r>
      <w:r w:rsidR="009C6503" w:rsidRPr="00035CD3">
        <w:rPr>
          <w:rFonts w:asciiTheme="minorHAnsi" w:hAnsiTheme="minorHAnsi"/>
          <w:color w:val="000000"/>
          <w:sz w:val="22"/>
        </w:rPr>
        <w:t>n-</w:t>
      </w:r>
      <w:r w:rsidR="007D65CE" w:rsidRPr="00035CD3">
        <w:rPr>
          <w:rFonts w:asciiTheme="minorHAnsi" w:hAnsiTheme="minorHAnsi"/>
          <w:color w:val="000000"/>
          <w:sz w:val="22"/>
        </w:rPr>
        <w:t>country</w:t>
      </w:r>
      <w:r w:rsidR="007B1330" w:rsidRPr="00035CD3">
        <w:rPr>
          <w:rFonts w:asciiTheme="minorHAnsi" w:hAnsiTheme="minorHAnsi"/>
          <w:color w:val="000000"/>
          <w:sz w:val="22"/>
        </w:rPr>
        <w:t xml:space="preserve"> are </w:t>
      </w:r>
      <w:r w:rsidR="00F1272A" w:rsidRPr="00035CD3">
        <w:rPr>
          <w:rFonts w:asciiTheme="minorHAnsi" w:hAnsiTheme="minorHAnsi"/>
          <w:color w:val="000000"/>
          <w:sz w:val="22"/>
        </w:rPr>
        <w:t xml:space="preserve">capped for the </w:t>
      </w:r>
      <w:r w:rsidR="009C6503" w:rsidRPr="00035CD3">
        <w:rPr>
          <w:rFonts w:asciiTheme="minorHAnsi" w:hAnsiTheme="minorHAnsi"/>
          <w:color w:val="000000"/>
          <w:sz w:val="22"/>
        </w:rPr>
        <w:t xml:space="preserve">Bank team for </w:t>
      </w:r>
      <w:r w:rsidR="009C6503" w:rsidRPr="00035CD3">
        <w:rPr>
          <w:rFonts w:asciiTheme="minorHAnsi" w:hAnsiTheme="minorHAnsi"/>
          <w:i/>
          <w:color w:val="000000"/>
          <w:sz w:val="22"/>
        </w:rPr>
        <w:t xml:space="preserve">Bank-executed </w:t>
      </w:r>
      <w:r w:rsidR="009C6503" w:rsidRPr="00035CD3">
        <w:rPr>
          <w:rFonts w:asciiTheme="minorHAnsi" w:hAnsiTheme="minorHAnsi"/>
          <w:color w:val="000000"/>
          <w:sz w:val="22"/>
        </w:rPr>
        <w:t>activities under the current arrangement</w:t>
      </w:r>
      <w:r w:rsidR="009E22BC" w:rsidRPr="00035CD3">
        <w:rPr>
          <w:rFonts w:asciiTheme="minorHAnsi" w:hAnsiTheme="minorHAnsi"/>
          <w:color w:val="000000"/>
          <w:sz w:val="22"/>
        </w:rPr>
        <w:t xml:space="preserve"> (see </w:t>
      </w:r>
      <w:r w:rsidR="002808D8" w:rsidRPr="00035CD3">
        <w:rPr>
          <w:rFonts w:asciiTheme="minorHAnsi" w:hAnsiTheme="minorHAnsi"/>
          <w:color w:val="000000"/>
          <w:sz w:val="22"/>
        </w:rPr>
        <w:t>F</w:t>
      </w:r>
      <w:r w:rsidR="009E22BC" w:rsidRPr="00035CD3">
        <w:rPr>
          <w:rFonts w:asciiTheme="minorHAnsi" w:hAnsiTheme="minorHAnsi"/>
          <w:color w:val="000000"/>
          <w:sz w:val="22"/>
        </w:rPr>
        <w:t>igure</w:t>
      </w:r>
      <w:r w:rsidR="002808D8" w:rsidRPr="00035CD3">
        <w:rPr>
          <w:rFonts w:asciiTheme="minorHAnsi" w:hAnsiTheme="minorHAnsi"/>
          <w:color w:val="000000"/>
          <w:sz w:val="22"/>
        </w:rPr>
        <w:t xml:space="preserve"> 2 </w:t>
      </w:r>
      <w:r w:rsidR="009E22BC" w:rsidRPr="00035CD3">
        <w:rPr>
          <w:rFonts w:asciiTheme="minorHAnsi" w:hAnsiTheme="minorHAnsi"/>
          <w:color w:val="000000"/>
          <w:sz w:val="22"/>
        </w:rPr>
        <w:t>below)</w:t>
      </w:r>
      <w:r w:rsidR="009C6503" w:rsidRPr="00035CD3">
        <w:rPr>
          <w:rFonts w:asciiTheme="minorHAnsi" w:hAnsiTheme="minorHAnsi"/>
          <w:color w:val="000000"/>
          <w:sz w:val="22"/>
        </w:rPr>
        <w:t>.</w:t>
      </w:r>
      <w:r w:rsidR="00D545AF">
        <w:rPr>
          <w:rFonts w:asciiTheme="minorHAnsi" w:hAnsiTheme="minorHAnsi"/>
          <w:i/>
          <w:color w:val="000000"/>
          <w:sz w:val="22"/>
        </w:rPr>
        <w:t xml:space="preserve"> </w:t>
      </w:r>
      <w:r w:rsidR="007D65CE" w:rsidRPr="00035CD3">
        <w:rPr>
          <w:rFonts w:asciiTheme="minorHAnsi" w:hAnsiTheme="minorHAnsi"/>
          <w:color w:val="000000"/>
          <w:sz w:val="22"/>
        </w:rPr>
        <w:t xml:space="preserve">Moreover, the Bank has moved towards a trend </w:t>
      </w:r>
      <w:r w:rsidR="006A6EE4" w:rsidRPr="00035CD3">
        <w:rPr>
          <w:rFonts w:asciiTheme="minorHAnsi" w:hAnsiTheme="minorHAnsi"/>
          <w:color w:val="000000"/>
          <w:sz w:val="22"/>
        </w:rPr>
        <w:t xml:space="preserve">of </w:t>
      </w:r>
      <w:r w:rsidR="007B1330" w:rsidRPr="00035CD3">
        <w:rPr>
          <w:rFonts w:asciiTheme="minorHAnsi" w:hAnsiTheme="minorHAnsi"/>
          <w:color w:val="000000"/>
          <w:sz w:val="22"/>
        </w:rPr>
        <w:t>providing for more flexibility with regards to</w:t>
      </w:r>
      <w:r w:rsidR="006A6EE4" w:rsidRPr="00035CD3">
        <w:rPr>
          <w:rFonts w:asciiTheme="minorHAnsi" w:hAnsiTheme="minorHAnsi"/>
          <w:color w:val="000000"/>
          <w:sz w:val="22"/>
        </w:rPr>
        <w:t xml:space="preserve"> staff costs for activities financed through trust funds.</w:t>
      </w:r>
      <w:r w:rsidR="0092474B" w:rsidRPr="00035CD3">
        <w:rPr>
          <w:rFonts w:asciiTheme="minorHAnsi" w:hAnsiTheme="minorHAnsi"/>
          <w:color w:val="000000"/>
          <w:sz w:val="22"/>
        </w:rPr>
        <w:t xml:space="preserve"> The Bank </w:t>
      </w:r>
      <w:r w:rsidR="00D475B5">
        <w:rPr>
          <w:rFonts w:asciiTheme="minorHAnsi" w:hAnsiTheme="minorHAnsi"/>
          <w:color w:val="000000"/>
          <w:sz w:val="22"/>
        </w:rPr>
        <w:t xml:space="preserve">team </w:t>
      </w:r>
      <w:r w:rsidR="0092474B" w:rsidRPr="00035CD3">
        <w:rPr>
          <w:rFonts w:asciiTheme="minorHAnsi" w:hAnsiTheme="minorHAnsi"/>
          <w:color w:val="000000"/>
          <w:sz w:val="22"/>
        </w:rPr>
        <w:t xml:space="preserve">would, therefore, like to propose eliminating </w:t>
      </w:r>
      <w:r w:rsidR="007B1330" w:rsidRPr="00035CD3">
        <w:rPr>
          <w:rFonts w:asciiTheme="minorHAnsi" w:hAnsiTheme="minorHAnsi"/>
          <w:color w:val="000000"/>
          <w:sz w:val="22"/>
        </w:rPr>
        <w:t xml:space="preserve">or raising </w:t>
      </w:r>
      <w:r w:rsidR="0092474B" w:rsidRPr="00035CD3">
        <w:rPr>
          <w:rFonts w:asciiTheme="minorHAnsi" w:hAnsiTheme="minorHAnsi"/>
          <w:color w:val="000000"/>
          <w:sz w:val="22"/>
        </w:rPr>
        <w:t>the ceiling on staff-costs for EI-TAF activities.</w:t>
      </w:r>
    </w:p>
    <w:p w:rsidR="002808D8" w:rsidRDefault="002808D8" w:rsidP="002808D8">
      <w:pPr>
        <w:pStyle w:val="ListParagraph"/>
        <w:rPr>
          <w:rFonts w:asciiTheme="minorHAnsi" w:hAnsiTheme="minorHAnsi"/>
          <w:color w:val="000000"/>
          <w:sz w:val="22"/>
        </w:rPr>
      </w:pPr>
    </w:p>
    <w:p w:rsidR="00EC7CA0" w:rsidRPr="00035CD3" w:rsidRDefault="00EC7CA0" w:rsidP="002808D8">
      <w:pPr>
        <w:pStyle w:val="ListParagraph"/>
        <w:rPr>
          <w:rFonts w:asciiTheme="minorHAnsi" w:hAnsiTheme="minorHAnsi"/>
          <w:color w:val="000000"/>
          <w:sz w:val="22"/>
        </w:rPr>
      </w:pPr>
    </w:p>
    <w:p w:rsidR="002808D8" w:rsidRPr="00035CD3" w:rsidRDefault="002808D8" w:rsidP="002808D8">
      <w:pPr>
        <w:pStyle w:val="ListParagraph"/>
        <w:spacing w:before="100" w:beforeAutospacing="1" w:after="100" w:afterAutospacing="1" w:line="240" w:lineRule="auto"/>
        <w:ind w:left="360"/>
        <w:jc w:val="center"/>
        <w:rPr>
          <w:rFonts w:asciiTheme="minorHAnsi" w:hAnsiTheme="minorHAnsi"/>
          <w:b/>
          <w:color w:val="000000"/>
          <w:sz w:val="22"/>
        </w:rPr>
      </w:pPr>
      <w:r w:rsidRPr="00035CD3">
        <w:rPr>
          <w:rFonts w:asciiTheme="minorHAnsi" w:hAnsiTheme="minorHAnsi"/>
          <w:b/>
          <w:color w:val="000000"/>
          <w:sz w:val="22"/>
        </w:rPr>
        <w:t>Figure 2: Recipient vs. Bank Executed Admin and Management Costs</w:t>
      </w:r>
    </w:p>
    <w:p w:rsidR="00633B3B" w:rsidRDefault="002808D8" w:rsidP="002808D8">
      <w:pPr>
        <w:pStyle w:val="ListParagraph"/>
        <w:spacing w:before="100" w:beforeAutospacing="1" w:after="100" w:afterAutospacing="1" w:line="240" w:lineRule="auto"/>
        <w:ind w:left="360"/>
        <w:jc w:val="center"/>
        <w:rPr>
          <w:rFonts w:asciiTheme="minorHAnsi" w:hAnsiTheme="minorHAnsi"/>
          <w:color w:val="000000"/>
          <w:sz w:val="22"/>
        </w:rPr>
      </w:pPr>
      <w:r w:rsidRPr="00035CD3">
        <w:rPr>
          <w:rFonts w:asciiTheme="minorHAnsi" w:hAnsiTheme="minorHAnsi"/>
          <w:noProof/>
          <w:lang w:val="en-AU" w:eastAsia="en-AU"/>
        </w:rPr>
        <w:drawing>
          <wp:inline distT="0" distB="0" distL="0" distR="0">
            <wp:extent cx="2159606" cy="120859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59461" cy="1208517"/>
                    </a:xfrm>
                    <a:prstGeom prst="rect">
                      <a:avLst/>
                    </a:prstGeom>
                    <a:noFill/>
                    <a:ln w="9525">
                      <a:noFill/>
                      <a:miter lim="800000"/>
                      <a:headEnd/>
                      <a:tailEnd/>
                    </a:ln>
                  </pic:spPr>
                </pic:pic>
              </a:graphicData>
            </a:graphic>
          </wp:inline>
        </w:drawing>
      </w:r>
      <w:r w:rsidRPr="00035CD3">
        <w:rPr>
          <w:rFonts w:asciiTheme="minorHAnsi" w:hAnsiTheme="minorHAnsi"/>
          <w:noProof/>
          <w:lang w:val="en-AU" w:eastAsia="en-AU"/>
        </w:rPr>
        <w:drawing>
          <wp:inline distT="0" distB="0" distL="0" distR="0">
            <wp:extent cx="2219272" cy="1208598"/>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228683" cy="1213723"/>
                    </a:xfrm>
                    <a:prstGeom prst="rect">
                      <a:avLst/>
                    </a:prstGeom>
                    <a:noFill/>
                    <a:ln w="9525">
                      <a:noFill/>
                      <a:miter lim="800000"/>
                      <a:headEnd/>
                      <a:tailEnd/>
                    </a:ln>
                  </pic:spPr>
                </pic:pic>
              </a:graphicData>
            </a:graphic>
          </wp:inline>
        </w:drawing>
      </w:r>
    </w:p>
    <w:p w:rsidR="00633B3B" w:rsidRDefault="00633B3B">
      <w:pPr>
        <w:rPr>
          <w:rFonts w:asciiTheme="minorHAnsi" w:hAnsiTheme="minorHAnsi"/>
          <w:color w:val="000000"/>
          <w:sz w:val="22"/>
        </w:rPr>
        <w:sectPr w:rsidR="00633B3B" w:rsidSect="002E46A8">
          <w:headerReference w:type="even" r:id="rId15"/>
          <w:headerReference w:type="default" r:id="rId16"/>
          <w:footerReference w:type="even" r:id="rId17"/>
          <w:footerReference w:type="default" r:id="rId18"/>
          <w:headerReference w:type="first" r:id="rId19"/>
          <w:footerReference w:type="first" r:id="rId20"/>
          <w:pgSz w:w="12240" w:h="15840"/>
          <w:pgMar w:top="1260" w:right="1440" w:bottom="990" w:left="1440" w:header="720" w:footer="720" w:gutter="0"/>
          <w:pgNumType w:start="0"/>
          <w:cols w:space="720"/>
          <w:titlePg/>
          <w:docGrid w:linePitch="360"/>
        </w:sectPr>
      </w:pPr>
    </w:p>
    <w:p w:rsidR="00633B3B" w:rsidRDefault="00633B3B">
      <w:pPr>
        <w:rPr>
          <w:rFonts w:asciiTheme="minorHAnsi" w:hAnsiTheme="minorHAnsi"/>
          <w:color w:val="000000"/>
          <w:sz w:val="22"/>
        </w:rPr>
      </w:pPr>
    </w:p>
    <w:tbl>
      <w:tblPr>
        <w:tblStyle w:val="MediumGrid1-Accent1"/>
        <w:tblW w:w="5000" w:type="pct"/>
        <w:tblLook w:val="04A0" w:firstRow="1" w:lastRow="0" w:firstColumn="1" w:lastColumn="0" w:noHBand="0" w:noVBand="1"/>
      </w:tblPr>
      <w:tblGrid>
        <w:gridCol w:w="1939"/>
        <w:gridCol w:w="4909"/>
        <w:gridCol w:w="671"/>
        <w:gridCol w:w="1463"/>
        <w:gridCol w:w="4824"/>
      </w:tblGrid>
      <w:tr w:rsidR="00633B3B" w:rsidRPr="000C6EF9" w:rsidTr="000C6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rsidR="00633B3B" w:rsidRPr="000C6EF9" w:rsidRDefault="00D475B5" w:rsidP="000C6EF9">
            <w:pPr>
              <w:rPr>
                <w:rFonts w:asciiTheme="minorHAnsi" w:hAnsiTheme="minorHAnsi"/>
                <w:b w:val="0"/>
                <w:bCs w:val="0"/>
                <w:sz w:val="18"/>
                <w:szCs w:val="18"/>
              </w:rPr>
            </w:pPr>
            <w:r>
              <w:rPr>
                <w:rFonts w:asciiTheme="minorHAnsi" w:hAnsiTheme="minorHAnsi"/>
                <w:sz w:val="18"/>
                <w:szCs w:val="18"/>
              </w:rPr>
              <w:t xml:space="preserve">Annex </w:t>
            </w:r>
            <w:r w:rsidR="00633B3B" w:rsidRPr="000C6EF9">
              <w:rPr>
                <w:rFonts w:asciiTheme="minorHAnsi" w:hAnsiTheme="minorHAnsi"/>
                <w:sz w:val="18"/>
                <w:szCs w:val="18"/>
              </w:rPr>
              <w:t xml:space="preserve">Table 1: Extractive Industries Technical Advisory Facility (EI-TAF) Current Projects </w:t>
            </w:r>
          </w:p>
        </w:tc>
      </w:tr>
      <w:tr w:rsidR="00633B3B" w:rsidRPr="000C6EF9" w:rsidTr="000C6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pct"/>
          </w:tcPr>
          <w:p w:rsidR="00633B3B" w:rsidRPr="000C6EF9" w:rsidRDefault="00633B3B" w:rsidP="00633B3B">
            <w:pPr>
              <w:jc w:val="center"/>
              <w:rPr>
                <w:rFonts w:asciiTheme="minorHAnsi" w:hAnsiTheme="minorHAnsi"/>
                <w:sz w:val="18"/>
                <w:szCs w:val="18"/>
              </w:rPr>
            </w:pPr>
            <w:r w:rsidRPr="000C6EF9">
              <w:rPr>
                <w:rFonts w:asciiTheme="minorHAnsi" w:hAnsiTheme="minorHAnsi"/>
                <w:sz w:val="18"/>
                <w:szCs w:val="18"/>
              </w:rPr>
              <w:t>Project Title</w:t>
            </w:r>
          </w:p>
        </w:tc>
        <w:tc>
          <w:tcPr>
            <w:tcW w:w="1778" w:type="pct"/>
          </w:tcPr>
          <w:p w:rsidR="00633B3B" w:rsidRPr="000C6EF9" w:rsidRDefault="00633B3B" w:rsidP="00633B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Brief Description</w:t>
            </w:r>
          </w:p>
        </w:tc>
        <w:tc>
          <w:tcPr>
            <w:tcW w:w="243" w:type="pct"/>
          </w:tcPr>
          <w:p w:rsidR="00633B3B" w:rsidRPr="000C6EF9" w:rsidRDefault="00633B3B" w:rsidP="00633B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US$</w:t>
            </w:r>
          </w:p>
          <w:p w:rsidR="00633B3B" w:rsidRPr="000C6EF9" w:rsidRDefault="00633B3B" w:rsidP="00633B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000’</w:t>
            </w:r>
          </w:p>
        </w:tc>
        <w:tc>
          <w:tcPr>
            <w:tcW w:w="530" w:type="pct"/>
          </w:tcPr>
          <w:p w:rsidR="00633B3B" w:rsidRPr="000C6EF9" w:rsidRDefault="00633B3B" w:rsidP="00633B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Task Team Leader</w:t>
            </w:r>
          </w:p>
        </w:tc>
        <w:tc>
          <w:tcPr>
            <w:tcW w:w="1747" w:type="pct"/>
          </w:tcPr>
          <w:p w:rsidR="00633B3B" w:rsidRPr="000C6EF9" w:rsidRDefault="00633B3B" w:rsidP="00633B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Status</w:t>
            </w:r>
          </w:p>
        </w:tc>
      </w:tr>
      <w:tr w:rsidR="00633B3B" w:rsidRPr="000C6EF9" w:rsidTr="000C6EF9">
        <w:tc>
          <w:tcPr>
            <w:cnfStyle w:val="001000000000" w:firstRow="0" w:lastRow="0" w:firstColumn="1" w:lastColumn="0" w:oddVBand="0" w:evenVBand="0" w:oddHBand="0" w:evenHBand="0" w:firstRowFirstColumn="0" w:firstRowLastColumn="0" w:lastRowFirstColumn="0" w:lastRowLastColumn="0"/>
            <w:tcW w:w="702" w:type="pct"/>
          </w:tcPr>
          <w:p w:rsidR="00633B3B" w:rsidRPr="000C6EF9" w:rsidRDefault="00633B3B" w:rsidP="00633B3B">
            <w:pPr>
              <w:rPr>
                <w:rFonts w:asciiTheme="minorHAnsi" w:hAnsiTheme="minorHAnsi"/>
                <w:b w:val="0"/>
                <w:sz w:val="18"/>
                <w:szCs w:val="18"/>
              </w:rPr>
            </w:pPr>
            <w:r w:rsidRPr="000C6EF9">
              <w:rPr>
                <w:rFonts w:asciiTheme="minorHAnsi" w:hAnsiTheme="minorHAnsi"/>
                <w:b w:val="0"/>
                <w:sz w:val="18"/>
                <w:szCs w:val="18"/>
              </w:rPr>
              <w:t>Guinea: Extractive Industries Technical Advisory Facility</w:t>
            </w:r>
          </w:p>
        </w:tc>
        <w:tc>
          <w:tcPr>
            <w:tcW w:w="1778" w:type="pct"/>
          </w:tcPr>
          <w:p w:rsidR="00633B3B" w:rsidRPr="000C6EF9" w:rsidRDefault="00633B3B" w:rsidP="00E52F7D">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Aimed at supporting the government to address key constraints to the realization of proposed large mining investments, specific activities as follows: (a) facilitate consensus and shared vision amongst stakeholders in the development of the mining and hydrocarbon sectors in Guinea</w:t>
            </w:r>
            <w:r w:rsidR="00E52F7D">
              <w:rPr>
                <w:rFonts w:asciiTheme="minorHAnsi" w:hAnsiTheme="minorHAnsi"/>
                <w:sz w:val="18"/>
                <w:szCs w:val="18"/>
              </w:rPr>
              <w:t xml:space="preserve">—in </w:t>
            </w:r>
            <w:r w:rsidRPr="000C6EF9">
              <w:rPr>
                <w:rFonts w:asciiTheme="minorHAnsi" w:hAnsiTheme="minorHAnsi"/>
                <w:sz w:val="18"/>
                <w:szCs w:val="18"/>
              </w:rPr>
              <w:t>response to a time-bound proposal for</w:t>
            </w:r>
            <w:r w:rsidR="00D545AF">
              <w:rPr>
                <w:rFonts w:asciiTheme="minorHAnsi" w:hAnsiTheme="minorHAnsi"/>
                <w:sz w:val="18"/>
                <w:szCs w:val="18"/>
              </w:rPr>
              <w:t xml:space="preserve"> </w:t>
            </w:r>
            <w:r w:rsidRPr="000C6EF9">
              <w:rPr>
                <w:rFonts w:asciiTheme="minorHAnsi" w:hAnsiTheme="minorHAnsi"/>
                <w:sz w:val="18"/>
                <w:szCs w:val="18"/>
              </w:rPr>
              <w:t>mining/infrastructure developments; (b) build the capacity of the GoG to review mineral development agreements in response to a time-bound proposal for</w:t>
            </w:r>
            <w:r w:rsidR="00D545AF">
              <w:rPr>
                <w:rFonts w:asciiTheme="minorHAnsi" w:hAnsiTheme="minorHAnsi"/>
                <w:sz w:val="18"/>
                <w:szCs w:val="18"/>
              </w:rPr>
              <w:t xml:space="preserve"> </w:t>
            </w:r>
            <w:r w:rsidRPr="000C6EF9">
              <w:rPr>
                <w:rFonts w:asciiTheme="minorHAnsi" w:hAnsiTheme="minorHAnsi"/>
                <w:sz w:val="18"/>
                <w:szCs w:val="18"/>
              </w:rPr>
              <w:t>mining/infrastructure developments; and (c) support updating of the legal, regulatory, and fiscal framework in the mining and hydrocarbon sectors.</w:t>
            </w:r>
          </w:p>
        </w:tc>
        <w:tc>
          <w:tcPr>
            <w:tcW w:w="243" w:type="pct"/>
          </w:tcPr>
          <w:p w:rsidR="00633B3B" w:rsidRPr="000C6EF9" w:rsidRDefault="00633B3B" w:rsidP="00633B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500</w:t>
            </w:r>
          </w:p>
        </w:tc>
        <w:tc>
          <w:tcPr>
            <w:tcW w:w="530" w:type="pct"/>
          </w:tcPr>
          <w:p w:rsidR="00633B3B" w:rsidRPr="000C6EF9" w:rsidRDefault="00633B3B" w:rsidP="00633B3B">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Boubacar Bocoum</w:t>
            </w:r>
          </w:p>
        </w:tc>
        <w:tc>
          <w:tcPr>
            <w:tcW w:w="1747" w:type="pct"/>
          </w:tcPr>
          <w:p w:rsidR="00633B3B" w:rsidRPr="000C6EF9" w:rsidRDefault="00633B3B" w:rsidP="00633B3B">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The roundtable has been discussed several times with relevant government officials, while definitive dates will likely be set shortly.</w:t>
            </w:r>
          </w:p>
          <w:p w:rsidR="00633B3B" w:rsidRPr="000C6EF9" w:rsidRDefault="00633B3B" w:rsidP="00633B3B">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p w:rsidR="00633B3B" w:rsidRPr="000C6EF9" w:rsidRDefault="00633B3B" w:rsidP="00633B3B">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In addition, the assessment of three agreements has been completed, and a road map developed.</w:t>
            </w:r>
            <w:r w:rsidR="00D545AF">
              <w:rPr>
                <w:rFonts w:asciiTheme="minorHAnsi" w:hAnsiTheme="minorHAnsi"/>
                <w:sz w:val="18"/>
                <w:szCs w:val="18"/>
              </w:rPr>
              <w:t xml:space="preserve"> </w:t>
            </w:r>
            <w:r w:rsidRPr="000C6EF9">
              <w:rPr>
                <w:rFonts w:asciiTheme="minorHAnsi" w:hAnsiTheme="minorHAnsi"/>
                <w:sz w:val="18"/>
                <w:szCs w:val="18"/>
              </w:rPr>
              <w:t>The new mining code was enacted in September 2011.</w:t>
            </w:r>
          </w:p>
        </w:tc>
      </w:tr>
      <w:tr w:rsidR="00633B3B" w:rsidRPr="000C6EF9" w:rsidTr="000C6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pct"/>
          </w:tcPr>
          <w:p w:rsidR="00633B3B" w:rsidRPr="000C6EF9" w:rsidRDefault="00633B3B" w:rsidP="00633B3B">
            <w:pPr>
              <w:rPr>
                <w:rFonts w:asciiTheme="minorHAnsi" w:hAnsiTheme="minorHAnsi"/>
                <w:b w:val="0"/>
                <w:sz w:val="18"/>
                <w:szCs w:val="18"/>
              </w:rPr>
            </w:pPr>
            <w:r w:rsidRPr="000C6EF9">
              <w:rPr>
                <w:rFonts w:asciiTheme="minorHAnsi" w:hAnsiTheme="minorHAnsi"/>
                <w:b w:val="0"/>
                <w:sz w:val="18"/>
                <w:szCs w:val="18"/>
              </w:rPr>
              <w:t>Kyrgyz Republic: Mining Sector TA</w:t>
            </w:r>
          </w:p>
        </w:tc>
        <w:tc>
          <w:tcPr>
            <w:tcW w:w="1778" w:type="pct"/>
          </w:tcPr>
          <w:p w:rsidR="00633B3B" w:rsidRPr="000C6EF9" w:rsidRDefault="00633B3B" w:rsidP="00633B3B">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In the Kyrgyz Republic, EI-TAF financed a full review of the mining investment climate, including a review of licensing, legal, regulatory and institutional arrangements in support of the Togolak Gold Tender. Based on the review, which was shared with the authorities, a three-day seminar was organized to build capacity around mining legislation, regulations, fiscal arrangements, and on mining tender procedures.</w:t>
            </w:r>
          </w:p>
        </w:tc>
        <w:tc>
          <w:tcPr>
            <w:tcW w:w="243" w:type="pct"/>
          </w:tcPr>
          <w:p w:rsidR="00633B3B" w:rsidRPr="000C6EF9" w:rsidRDefault="00633B3B" w:rsidP="00633B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500</w:t>
            </w:r>
          </w:p>
        </w:tc>
        <w:tc>
          <w:tcPr>
            <w:tcW w:w="530" w:type="pct"/>
          </w:tcPr>
          <w:p w:rsidR="00633B3B" w:rsidRPr="000C6EF9" w:rsidRDefault="00633B3B" w:rsidP="00633B3B">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Gary McMahon</w:t>
            </w:r>
          </w:p>
        </w:tc>
        <w:tc>
          <w:tcPr>
            <w:tcW w:w="1747" w:type="pct"/>
          </w:tcPr>
          <w:p w:rsidR="00633B3B" w:rsidRPr="000C6EF9" w:rsidRDefault="00633B3B" w:rsidP="00633B3B">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The Project will be implemented in two Phases. Activities under Phase 1 have largely been completed, while those in phase II are on-going:</w:t>
            </w:r>
          </w:p>
          <w:p w:rsidR="00633B3B" w:rsidRPr="000C6EF9" w:rsidRDefault="00633B3B" w:rsidP="00633B3B">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Activities that have been fully implemented include the following:</w:t>
            </w:r>
            <w:r w:rsidR="00E52F7D">
              <w:rPr>
                <w:rFonts w:asciiTheme="minorHAnsi" w:hAnsiTheme="minorHAnsi"/>
                <w:sz w:val="18"/>
                <w:szCs w:val="18"/>
              </w:rPr>
              <w:t xml:space="preserve"> </w:t>
            </w:r>
            <w:r w:rsidRPr="000C6EF9">
              <w:rPr>
                <w:rFonts w:asciiTheme="minorHAnsi" w:hAnsiTheme="minorHAnsi"/>
                <w:sz w:val="18"/>
                <w:szCs w:val="18"/>
              </w:rPr>
              <w:t>(i) assisting and advising Ministry of Natural Resources (MNR) in reviewing relevant legislation regulating the mining sector;</w:t>
            </w:r>
            <w:r w:rsidR="00E52F7D">
              <w:rPr>
                <w:rFonts w:asciiTheme="minorHAnsi" w:hAnsiTheme="minorHAnsi"/>
                <w:sz w:val="18"/>
                <w:szCs w:val="18"/>
              </w:rPr>
              <w:t xml:space="preserve"> </w:t>
            </w:r>
            <w:r w:rsidRPr="000C6EF9">
              <w:rPr>
                <w:rFonts w:asciiTheme="minorHAnsi" w:hAnsiTheme="minorHAnsi"/>
                <w:sz w:val="18"/>
                <w:szCs w:val="18"/>
              </w:rPr>
              <w:t>(ii) providing requisite training in structuring mining (namely gold) public offerings (tender\ auction) for designated staff; and (iii) assisting MNR in developing a model, competitive and transparent tender package for future tenders\auctions</w:t>
            </w:r>
            <w:r w:rsidR="00E52F7D">
              <w:rPr>
                <w:rFonts w:asciiTheme="minorHAnsi" w:hAnsiTheme="minorHAnsi"/>
                <w:sz w:val="18"/>
                <w:szCs w:val="18"/>
              </w:rPr>
              <w:t xml:space="preserve">. </w:t>
            </w:r>
          </w:p>
          <w:p w:rsidR="00633B3B" w:rsidRPr="000C6EF9" w:rsidRDefault="00633B3B" w:rsidP="00E52F7D">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In addition, the team continues to:</w:t>
            </w:r>
            <w:r w:rsidR="00E52F7D">
              <w:rPr>
                <w:rFonts w:asciiTheme="minorHAnsi" w:hAnsiTheme="minorHAnsi"/>
                <w:sz w:val="18"/>
                <w:szCs w:val="18"/>
              </w:rPr>
              <w:t xml:space="preserve"> </w:t>
            </w:r>
            <w:r w:rsidRPr="000C6EF9">
              <w:rPr>
                <w:rFonts w:asciiTheme="minorHAnsi" w:hAnsiTheme="minorHAnsi"/>
                <w:sz w:val="18"/>
                <w:szCs w:val="18"/>
              </w:rPr>
              <w:t>(i) build the capacity of stakeholders involved in mining sector negotiations mainly within the MNR, but also including Ministry of Finance, Parliament and CSOs; and ii) assist and advise MNR on conducting the tender for the Togolok gold deposit.</w:t>
            </w:r>
          </w:p>
        </w:tc>
      </w:tr>
      <w:tr w:rsidR="00633B3B" w:rsidRPr="000C6EF9" w:rsidTr="000C6EF9">
        <w:tc>
          <w:tcPr>
            <w:cnfStyle w:val="001000000000" w:firstRow="0" w:lastRow="0" w:firstColumn="1" w:lastColumn="0" w:oddVBand="0" w:evenVBand="0" w:oddHBand="0" w:evenHBand="0" w:firstRowFirstColumn="0" w:firstRowLastColumn="0" w:lastRowFirstColumn="0" w:lastRowLastColumn="0"/>
            <w:tcW w:w="702" w:type="pct"/>
          </w:tcPr>
          <w:p w:rsidR="00633B3B" w:rsidRPr="000C6EF9" w:rsidRDefault="00633B3B" w:rsidP="00633B3B">
            <w:pPr>
              <w:rPr>
                <w:rFonts w:asciiTheme="minorHAnsi" w:hAnsiTheme="minorHAnsi"/>
                <w:b w:val="0"/>
                <w:sz w:val="18"/>
                <w:szCs w:val="18"/>
              </w:rPr>
            </w:pPr>
            <w:r w:rsidRPr="000C6EF9">
              <w:rPr>
                <w:rFonts w:asciiTheme="minorHAnsi" w:hAnsiTheme="minorHAnsi"/>
                <w:b w:val="0"/>
                <w:sz w:val="18"/>
                <w:szCs w:val="18"/>
              </w:rPr>
              <w:t xml:space="preserve">Liberia - Support from Extractive Industries -Technical Advisory Facility </w:t>
            </w:r>
          </w:p>
        </w:tc>
        <w:tc>
          <w:tcPr>
            <w:tcW w:w="1778" w:type="pct"/>
          </w:tcPr>
          <w:p w:rsidR="00633B3B" w:rsidRPr="000C6EF9" w:rsidRDefault="00633B3B" w:rsidP="00633B3B">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The objective of this project is to assist the Government of Liberia to (a) build capacity with contract negotiations and management of mining concession process, and (b) move</w:t>
            </w:r>
            <w:r w:rsidR="00D545AF">
              <w:rPr>
                <w:rFonts w:asciiTheme="minorHAnsi" w:hAnsiTheme="minorHAnsi"/>
                <w:sz w:val="18"/>
                <w:szCs w:val="18"/>
              </w:rPr>
              <w:t xml:space="preserve"> </w:t>
            </w:r>
            <w:r w:rsidRPr="000C6EF9">
              <w:rPr>
                <w:rFonts w:asciiTheme="minorHAnsi" w:hAnsiTheme="minorHAnsi"/>
                <w:sz w:val="18"/>
                <w:szCs w:val="18"/>
              </w:rPr>
              <w:t xml:space="preserve">three identified extractive industries transactions towards contractual close. The Grant will provide technical advice on due diligence and evaluation of mining proposals, make recommendations on selection of proposals and on the required regulatory adjustments to provide level playing field for future investors. It will also provide capacity building to improve sector </w:t>
            </w:r>
            <w:r w:rsidRPr="000C6EF9">
              <w:rPr>
                <w:rFonts w:asciiTheme="minorHAnsi" w:hAnsiTheme="minorHAnsi"/>
                <w:sz w:val="18"/>
                <w:szCs w:val="18"/>
              </w:rPr>
              <w:lastRenderedPageBreak/>
              <w:t xml:space="preserve">governance. </w:t>
            </w:r>
          </w:p>
        </w:tc>
        <w:tc>
          <w:tcPr>
            <w:tcW w:w="243" w:type="pct"/>
          </w:tcPr>
          <w:p w:rsidR="00633B3B" w:rsidRPr="000C6EF9" w:rsidRDefault="00633B3B" w:rsidP="00633B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lastRenderedPageBreak/>
              <w:t>1,000</w:t>
            </w:r>
          </w:p>
        </w:tc>
        <w:tc>
          <w:tcPr>
            <w:tcW w:w="530" w:type="pct"/>
          </w:tcPr>
          <w:p w:rsidR="00633B3B" w:rsidRPr="000C6EF9" w:rsidRDefault="00633B3B" w:rsidP="00633B3B">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Ekaterina Mikhaylova/ Mamadou Barry</w:t>
            </w:r>
          </w:p>
        </w:tc>
        <w:tc>
          <w:tcPr>
            <w:tcW w:w="1747" w:type="pct"/>
          </w:tcPr>
          <w:p w:rsidR="00633B3B" w:rsidRPr="000C6EF9" w:rsidRDefault="00633B3B" w:rsidP="00633B3B">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This project has been successfully and fully implemented</w:t>
            </w:r>
          </w:p>
        </w:tc>
      </w:tr>
      <w:tr w:rsidR="00633B3B" w:rsidRPr="000C6EF9" w:rsidTr="000C6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pct"/>
          </w:tcPr>
          <w:p w:rsidR="00633B3B" w:rsidRPr="000C6EF9" w:rsidRDefault="00633B3B" w:rsidP="00633B3B">
            <w:pPr>
              <w:rPr>
                <w:rFonts w:asciiTheme="minorHAnsi" w:hAnsiTheme="minorHAnsi"/>
                <w:b w:val="0"/>
                <w:sz w:val="18"/>
                <w:szCs w:val="18"/>
              </w:rPr>
            </w:pPr>
            <w:r w:rsidRPr="000C6EF9">
              <w:rPr>
                <w:rFonts w:asciiTheme="minorHAnsi" w:hAnsiTheme="minorHAnsi"/>
                <w:b w:val="0"/>
                <w:sz w:val="18"/>
                <w:szCs w:val="18"/>
              </w:rPr>
              <w:lastRenderedPageBreak/>
              <w:t>Mauritania - Gas-to-Power Negotiations Technical Assistance Project</w:t>
            </w:r>
          </w:p>
        </w:tc>
        <w:tc>
          <w:tcPr>
            <w:tcW w:w="1778" w:type="pct"/>
          </w:tcPr>
          <w:p w:rsidR="00633B3B" w:rsidRPr="000C6EF9" w:rsidRDefault="00633B3B" w:rsidP="00633B3B">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 xml:space="preserve">In line with the objective of EI-TAF to provide transaction-oriented consulting services, the activities under this project will finance capacity building aimed at moving the identified transactions towards contractual closing. In particular, Consultants will assist the Government of Mauritania’s (GoM) negotiation team in: (i) structuring and reviewing the contractual arrangements related to the GoM’s participation in the power utility company; (ii) reviewing the terms of the Gas Supply and Purchase Agreements; (iii) reviewing the contractual arrangements related to the construction and operation of the power plant; and (iv) defining negotiation strategies. However, negotiations will be conducted by the GoM’s negotiation team without the participation of the Consultants. The Consultants will also develop recommendations on the required legal, regulatory, licensing, and fiscal adjustments driven by the transaction. </w:t>
            </w:r>
          </w:p>
        </w:tc>
        <w:tc>
          <w:tcPr>
            <w:tcW w:w="243" w:type="pct"/>
          </w:tcPr>
          <w:p w:rsidR="00633B3B" w:rsidRPr="000C6EF9" w:rsidRDefault="00633B3B" w:rsidP="00633B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500</w:t>
            </w:r>
          </w:p>
        </w:tc>
        <w:tc>
          <w:tcPr>
            <w:tcW w:w="530" w:type="pct"/>
          </w:tcPr>
          <w:p w:rsidR="00633B3B" w:rsidRPr="000C6EF9" w:rsidRDefault="00633B3B" w:rsidP="00633B3B">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Silvana Tordo</w:t>
            </w:r>
          </w:p>
        </w:tc>
        <w:tc>
          <w:tcPr>
            <w:tcW w:w="1747" w:type="pct"/>
          </w:tcPr>
          <w:p w:rsidR="00633B3B" w:rsidRPr="000C6EF9" w:rsidRDefault="00633B3B" w:rsidP="00633B3B">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This project was approved in early 2012, and was waiting an extension of EI-TAF’s closing date, prior to initiating implementation. Now that the extension has been granted, the project will now proceed.</w:t>
            </w:r>
          </w:p>
        </w:tc>
      </w:tr>
      <w:tr w:rsidR="00633B3B" w:rsidRPr="000C6EF9" w:rsidTr="000C6EF9">
        <w:tc>
          <w:tcPr>
            <w:cnfStyle w:val="001000000000" w:firstRow="0" w:lastRow="0" w:firstColumn="1" w:lastColumn="0" w:oddVBand="0" w:evenVBand="0" w:oddHBand="0" w:evenHBand="0" w:firstRowFirstColumn="0" w:firstRowLastColumn="0" w:lastRowFirstColumn="0" w:lastRowLastColumn="0"/>
            <w:tcW w:w="702" w:type="pct"/>
          </w:tcPr>
          <w:p w:rsidR="00633B3B" w:rsidRPr="000C6EF9" w:rsidRDefault="00633B3B" w:rsidP="00633B3B">
            <w:pPr>
              <w:rPr>
                <w:rFonts w:asciiTheme="minorHAnsi" w:hAnsiTheme="minorHAnsi"/>
                <w:b w:val="0"/>
                <w:sz w:val="18"/>
                <w:szCs w:val="18"/>
              </w:rPr>
            </w:pPr>
            <w:r w:rsidRPr="000C6EF9">
              <w:rPr>
                <w:rFonts w:asciiTheme="minorHAnsi" w:hAnsiTheme="minorHAnsi"/>
                <w:b w:val="0"/>
                <w:sz w:val="18"/>
                <w:szCs w:val="18"/>
              </w:rPr>
              <w:t>Mexico Royalties Reform for the Mineral Sector</w:t>
            </w:r>
          </w:p>
          <w:p w:rsidR="00633B3B" w:rsidRPr="000C6EF9" w:rsidRDefault="00633B3B" w:rsidP="00633B3B">
            <w:pPr>
              <w:rPr>
                <w:rFonts w:asciiTheme="minorHAnsi" w:hAnsiTheme="minorHAnsi"/>
                <w:sz w:val="18"/>
                <w:szCs w:val="18"/>
              </w:rPr>
            </w:pPr>
          </w:p>
        </w:tc>
        <w:tc>
          <w:tcPr>
            <w:tcW w:w="1778" w:type="pct"/>
          </w:tcPr>
          <w:p w:rsidR="00633B3B" w:rsidRPr="000C6EF9" w:rsidRDefault="00633B3B" w:rsidP="00E52F7D">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 xml:space="preserve">This project aims to achieve the following objectives: 1) </w:t>
            </w:r>
            <w:r w:rsidR="00E52F7D">
              <w:rPr>
                <w:rFonts w:asciiTheme="minorHAnsi" w:hAnsiTheme="minorHAnsi"/>
                <w:sz w:val="18"/>
                <w:szCs w:val="18"/>
              </w:rPr>
              <w:t>S</w:t>
            </w:r>
            <w:r w:rsidRPr="000C6EF9">
              <w:rPr>
                <w:rFonts w:asciiTheme="minorHAnsi" w:hAnsiTheme="minorHAnsi"/>
                <w:sz w:val="18"/>
                <w:szCs w:val="18"/>
              </w:rPr>
              <w:t>upport an assessment of Mexico’s legal, fiscal and regulatory framework for the adoption of a new fiscal regime for the mining sector – in response to a rapid increase in in-bound investments;</w:t>
            </w:r>
            <w:r w:rsidR="00E52F7D">
              <w:rPr>
                <w:rFonts w:asciiTheme="minorHAnsi" w:hAnsiTheme="minorHAnsi"/>
                <w:sz w:val="18"/>
                <w:szCs w:val="18"/>
              </w:rPr>
              <w:t xml:space="preserve"> </w:t>
            </w:r>
            <w:r w:rsidRPr="000C6EF9">
              <w:rPr>
                <w:rFonts w:asciiTheme="minorHAnsi" w:hAnsiTheme="minorHAnsi"/>
                <w:sz w:val="18"/>
                <w:szCs w:val="18"/>
              </w:rPr>
              <w:t xml:space="preserve">2) </w:t>
            </w:r>
            <w:r w:rsidR="00E52F7D">
              <w:rPr>
                <w:rFonts w:asciiTheme="minorHAnsi" w:hAnsiTheme="minorHAnsi"/>
                <w:sz w:val="18"/>
                <w:szCs w:val="18"/>
              </w:rPr>
              <w:t>B</w:t>
            </w:r>
            <w:r w:rsidRPr="000C6EF9">
              <w:rPr>
                <w:rFonts w:asciiTheme="minorHAnsi" w:hAnsiTheme="minorHAnsi"/>
                <w:sz w:val="18"/>
                <w:szCs w:val="18"/>
              </w:rPr>
              <w:t>uild capacity around</w:t>
            </w:r>
            <w:r w:rsidR="00D545AF">
              <w:rPr>
                <w:rFonts w:asciiTheme="minorHAnsi" w:hAnsiTheme="minorHAnsi"/>
                <w:sz w:val="18"/>
                <w:szCs w:val="18"/>
              </w:rPr>
              <w:t xml:space="preserve"> </w:t>
            </w:r>
            <w:r w:rsidRPr="000C6EF9">
              <w:rPr>
                <w:rFonts w:asciiTheme="minorHAnsi" w:hAnsiTheme="minorHAnsi"/>
                <w:sz w:val="18"/>
                <w:szCs w:val="18"/>
              </w:rPr>
              <w:t>international best practices on fiscal reforms for the mining sector with the consideration of the adoption of mineral royalty instruments vis-</w:t>
            </w:r>
            <w:r w:rsidR="00E52F7D">
              <w:rPr>
                <w:rFonts w:asciiTheme="minorHAnsi" w:hAnsiTheme="minorHAnsi"/>
                <w:sz w:val="18"/>
                <w:szCs w:val="18"/>
              </w:rPr>
              <w:t>à-</w:t>
            </w:r>
            <w:r w:rsidRPr="000C6EF9">
              <w:rPr>
                <w:rFonts w:asciiTheme="minorHAnsi" w:hAnsiTheme="minorHAnsi"/>
                <w:sz w:val="18"/>
                <w:szCs w:val="18"/>
              </w:rPr>
              <w:t xml:space="preserve">vis the Mexican framework in response to a rapid increase in inbound investments; 3) </w:t>
            </w:r>
            <w:r w:rsidR="00E52F7D">
              <w:rPr>
                <w:rFonts w:asciiTheme="minorHAnsi" w:hAnsiTheme="minorHAnsi"/>
                <w:sz w:val="18"/>
                <w:szCs w:val="18"/>
              </w:rPr>
              <w:t>S</w:t>
            </w:r>
            <w:r w:rsidRPr="000C6EF9">
              <w:rPr>
                <w:rFonts w:asciiTheme="minorHAnsi" w:hAnsiTheme="minorHAnsi"/>
                <w:sz w:val="18"/>
                <w:szCs w:val="18"/>
              </w:rPr>
              <w:t>upport an assessment and build capacity around the implications for the adoption of royalties and other fiscal regimes for different Mexican stakeholders; and</w:t>
            </w:r>
            <w:r w:rsidR="00D545AF">
              <w:rPr>
                <w:rFonts w:asciiTheme="minorHAnsi" w:hAnsiTheme="minorHAnsi"/>
                <w:sz w:val="18"/>
                <w:szCs w:val="18"/>
              </w:rPr>
              <w:t xml:space="preserve"> </w:t>
            </w:r>
            <w:r w:rsidR="00E52F7D">
              <w:rPr>
                <w:rFonts w:asciiTheme="minorHAnsi" w:hAnsiTheme="minorHAnsi"/>
                <w:sz w:val="18"/>
                <w:szCs w:val="18"/>
              </w:rPr>
              <w:t>4</w:t>
            </w:r>
            <w:r w:rsidRPr="000C6EF9">
              <w:rPr>
                <w:rFonts w:asciiTheme="minorHAnsi" w:hAnsiTheme="minorHAnsi"/>
                <w:sz w:val="18"/>
                <w:szCs w:val="18"/>
              </w:rPr>
              <w:t xml:space="preserve">) </w:t>
            </w:r>
            <w:r w:rsidR="00E52F7D">
              <w:rPr>
                <w:rFonts w:asciiTheme="minorHAnsi" w:hAnsiTheme="minorHAnsi"/>
                <w:sz w:val="18"/>
                <w:szCs w:val="18"/>
              </w:rPr>
              <w:t>S</w:t>
            </w:r>
            <w:r w:rsidRPr="000C6EF9">
              <w:rPr>
                <w:rFonts w:asciiTheme="minorHAnsi" w:hAnsiTheme="minorHAnsi"/>
                <w:sz w:val="18"/>
                <w:szCs w:val="18"/>
              </w:rPr>
              <w:t>upport the preparation of a consultation roadmap for the adoption of a new fiscal regime for the mining sector.</w:t>
            </w:r>
          </w:p>
        </w:tc>
        <w:tc>
          <w:tcPr>
            <w:tcW w:w="243" w:type="pct"/>
          </w:tcPr>
          <w:p w:rsidR="00633B3B" w:rsidRPr="000C6EF9" w:rsidRDefault="00633B3B" w:rsidP="00633B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500</w:t>
            </w:r>
          </w:p>
        </w:tc>
        <w:tc>
          <w:tcPr>
            <w:tcW w:w="530" w:type="pct"/>
          </w:tcPr>
          <w:p w:rsidR="00633B3B" w:rsidRPr="000C6EF9" w:rsidRDefault="00633B3B" w:rsidP="00633B3B">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Daniele La Porta</w:t>
            </w:r>
          </w:p>
        </w:tc>
        <w:tc>
          <w:tcPr>
            <w:tcW w:w="1747" w:type="pct"/>
          </w:tcPr>
          <w:p w:rsidR="00633B3B" w:rsidRPr="000C6EF9" w:rsidRDefault="00633B3B" w:rsidP="00E52F7D">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 xml:space="preserve">All activities under this project have been successfully implemented. Some of the highlights from this project include: </w:t>
            </w:r>
            <w:r w:rsidRPr="000C6EF9">
              <w:rPr>
                <w:rFonts w:asciiTheme="minorHAnsi" w:hAnsiTheme="minorHAnsi"/>
                <w:b/>
                <w:sz w:val="18"/>
                <w:szCs w:val="18"/>
              </w:rPr>
              <w:t>(i) Royalty Options</w:t>
            </w:r>
            <w:r w:rsidR="00E52F7D">
              <w:rPr>
                <w:rFonts w:asciiTheme="minorHAnsi" w:hAnsiTheme="minorHAnsi"/>
                <w:b/>
                <w:sz w:val="18"/>
                <w:szCs w:val="18"/>
              </w:rPr>
              <w:t xml:space="preserve"> </w:t>
            </w:r>
            <w:r w:rsidRPr="000C6EF9">
              <w:rPr>
                <w:rFonts w:asciiTheme="minorHAnsi" w:hAnsiTheme="minorHAnsi"/>
                <w:sz w:val="18"/>
                <w:szCs w:val="18"/>
              </w:rPr>
              <w:t>Based on a long- list of best practice “royalty” options identified and presented by the World Bank team, three fiscal options were jointly selected by the Secretaria de Economia and Secretaria de Hacienda.</w:t>
            </w:r>
            <w:r w:rsidR="00E52F7D">
              <w:rPr>
                <w:rFonts w:asciiTheme="minorHAnsi" w:hAnsiTheme="minorHAnsi"/>
                <w:sz w:val="18"/>
                <w:szCs w:val="18"/>
              </w:rPr>
              <w:t xml:space="preserve"> </w:t>
            </w:r>
            <w:r w:rsidRPr="000C6EF9">
              <w:rPr>
                <w:rFonts w:asciiTheme="minorHAnsi" w:hAnsiTheme="minorHAnsi"/>
                <w:sz w:val="18"/>
                <w:szCs w:val="18"/>
              </w:rPr>
              <w:t>A detailed roadmap was prepared and discussed with Secretaria de Economia listing the alternative steps that would be necessary for the implementation of a royalty scheme. After the selection of the royalty type, a selection of the best legal approach to carry out the necessary reforms was presented.</w:t>
            </w:r>
            <w:r w:rsidR="00E52F7D">
              <w:rPr>
                <w:rFonts w:asciiTheme="minorHAnsi" w:hAnsiTheme="minorHAnsi"/>
                <w:sz w:val="18"/>
                <w:szCs w:val="18"/>
              </w:rPr>
              <w:t xml:space="preserve"> </w:t>
            </w:r>
            <w:r w:rsidRPr="000C6EF9">
              <w:rPr>
                <w:rFonts w:asciiTheme="minorHAnsi" w:hAnsiTheme="minorHAnsi"/>
                <w:b/>
                <w:sz w:val="18"/>
                <w:szCs w:val="18"/>
              </w:rPr>
              <w:t>(ii) Community development investment</w:t>
            </w:r>
            <w:r w:rsidR="00E52F7D">
              <w:rPr>
                <w:rFonts w:asciiTheme="minorHAnsi" w:hAnsiTheme="minorHAnsi"/>
                <w:b/>
                <w:sz w:val="18"/>
                <w:szCs w:val="18"/>
              </w:rPr>
              <w:t xml:space="preserve"> </w:t>
            </w:r>
            <w:r w:rsidRPr="000C6EF9">
              <w:rPr>
                <w:rFonts w:asciiTheme="minorHAnsi" w:hAnsiTheme="minorHAnsi"/>
                <w:sz w:val="18"/>
                <w:szCs w:val="18"/>
              </w:rPr>
              <w:t>In discussions with policy-makers there was a strong preference not to create a new statute requiring a tax revenue distribution system, but an acceptance that direct investment by miners in mining community development should be encouraged. The proposed example legislation presented in the report was discussed and a roadmap was prepared, taking into account the different options and respective timetable for the fiscal reform.</w:t>
            </w:r>
            <w:r w:rsidR="00E52F7D">
              <w:rPr>
                <w:rFonts w:asciiTheme="minorHAnsi" w:hAnsiTheme="minorHAnsi"/>
                <w:sz w:val="18"/>
                <w:szCs w:val="18"/>
              </w:rPr>
              <w:t xml:space="preserve"> </w:t>
            </w:r>
            <w:r w:rsidRPr="000C6EF9">
              <w:rPr>
                <w:rFonts w:asciiTheme="minorHAnsi" w:hAnsiTheme="minorHAnsi"/>
                <w:b/>
                <w:sz w:val="18"/>
                <w:szCs w:val="18"/>
              </w:rPr>
              <w:t>(iii) Amendments to mining law and regulations</w:t>
            </w:r>
            <w:r w:rsidR="00E52F7D">
              <w:rPr>
                <w:rFonts w:asciiTheme="minorHAnsi" w:hAnsiTheme="minorHAnsi"/>
                <w:b/>
                <w:sz w:val="18"/>
                <w:szCs w:val="18"/>
              </w:rPr>
              <w:t xml:space="preserve"> </w:t>
            </w:r>
            <w:r w:rsidRPr="000C6EF9">
              <w:rPr>
                <w:rFonts w:asciiTheme="minorHAnsi" w:hAnsiTheme="minorHAnsi"/>
                <w:sz w:val="18"/>
                <w:szCs w:val="18"/>
              </w:rPr>
              <w:t xml:space="preserve">The review of </w:t>
            </w:r>
            <w:r w:rsidRPr="000C6EF9">
              <w:rPr>
                <w:rFonts w:asciiTheme="minorHAnsi" w:hAnsiTheme="minorHAnsi"/>
                <w:sz w:val="18"/>
                <w:szCs w:val="18"/>
              </w:rPr>
              <w:lastRenderedPageBreak/>
              <w:t>Mexico’s current fiscal regime for the mining sector identified the need for updates to the current mining law and regulations so that the sector is in line with best international practices.</w:t>
            </w:r>
          </w:p>
        </w:tc>
      </w:tr>
      <w:tr w:rsidR="00633B3B" w:rsidRPr="000C6EF9" w:rsidTr="000C6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pct"/>
          </w:tcPr>
          <w:p w:rsidR="00633B3B" w:rsidRPr="000C6EF9" w:rsidRDefault="00633B3B" w:rsidP="00633B3B">
            <w:pPr>
              <w:rPr>
                <w:rFonts w:asciiTheme="minorHAnsi" w:hAnsiTheme="minorHAnsi"/>
                <w:b w:val="0"/>
                <w:sz w:val="18"/>
                <w:szCs w:val="18"/>
              </w:rPr>
            </w:pPr>
            <w:r w:rsidRPr="000C6EF9">
              <w:rPr>
                <w:rFonts w:asciiTheme="minorHAnsi" w:hAnsiTheme="minorHAnsi"/>
                <w:b w:val="0"/>
                <w:sz w:val="18"/>
                <w:szCs w:val="18"/>
              </w:rPr>
              <w:lastRenderedPageBreak/>
              <w:t>Mozambique: Extractive Industries-Technical Advisory Facility</w:t>
            </w:r>
          </w:p>
        </w:tc>
        <w:tc>
          <w:tcPr>
            <w:tcW w:w="1778" w:type="pct"/>
          </w:tcPr>
          <w:p w:rsidR="00633B3B" w:rsidRPr="000C6EF9" w:rsidRDefault="00633B3B" w:rsidP="00633B3B">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 xml:space="preserve">Aimed at addressing immediate regulatory and capacity bottlenecks towards successful negotiations of new mineral development agreements, the activities under this project include: (a) supporting government's negotiations and technical teams on Chibuto Mineral Sands Project tender; (b) updating mining cadastre to enable issuance of large-scale mining licenses through tenders in accordance with regulations; and (c) updating the current legal and regulatory framework for the management of large-scale mining associated with the tender. </w:t>
            </w:r>
          </w:p>
        </w:tc>
        <w:tc>
          <w:tcPr>
            <w:tcW w:w="243" w:type="pct"/>
          </w:tcPr>
          <w:p w:rsidR="00633B3B" w:rsidRPr="000C6EF9" w:rsidRDefault="00633B3B" w:rsidP="00633B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750</w:t>
            </w:r>
          </w:p>
        </w:tc>
        <w:tc>
          <w:tcPr>
            <w:tcW w:w="530" w:type="pct"/>
          </w:tcPr>
          <w:p w:rsidR="00633B3B" w:rsidRPr="000C6EF9" w:rsidRDefault="00633B3B" w:rsidP="00633B3B">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Ekaterina Mikhaylova</w:t>
            </w:r>
          </w:p>
        </w:tc>
        <w:tc>
          <w:tcPr>
            <w:tcW w:w="1747" w:type="pct"/>
          </w:tcPr>
          <w:p w:rsidR="00633B3B" w:rsidRPr="000C6EF9" w:rsidRDefault="00633B3B" w:rsidP="00633B3B">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In November 2011, the Ministry of Mineral Resources requested to include new eligible activity for this grant – specifically support for liquefied natural gas (LNG) infrastructure negotiations.</w:t>
            </w:r>
            <w:r w:rsidR="00D545AF">
              <w:rPr>
                <w:rFonts w:asciiTheme="minorHAnsi" w:hAnsiTheme="minorHAnsi"/>
                <w:sz w:val="18"/>
                <w:szCs w:val="18"/>
              </w:rPr>
              <w:t xml:space="preserve"> </w:t>
            </w:r>
            <w:r w:rsidRPr="000C6EF9">
              <w:rPr>
                <w:rFonts w:asciiTheme="minorHAnsi" w:hAnsiTheme="minorHAnsi"/>
                <w:sz w:val="18"/>
                <w:szCs w:val="18"/>
              </w:rPr>
              <w:t>A</w:t>
            </w:r>
            <w:r w:rsidR="00E52F7D">
              <w:rPr>
                <w:rFonts w:asciiTheme="minorHAnsi" w:hAnsiTheme="minorHAnsi"/>
                <w:sz w:val="18"/>
                <w:szCs w:val="18"/>
              </w:rPr>
              <w:t>s</w:t>
            </w:r>
            <w:r w:rsidRPr="000C6EF9">
              <w:rPr>
                <w:rFonts w:asciiTheme="minorHAnsi" w:hAnsiTheme="minorHAnsi"/>
                <w:sz w:val="18"/>
                <w:szCs w:val="18"/>
              </w:rPr>
              <w:t xml:space="preserve"> a result, the grant closing date will be extended until June 30, 2013 to allow for sufficient time for implementation.</w:t>
            </w:r>
          </w:p>
          <w:p w:rsidR="00633B3B" w:rsidRPr="000C6EF9" w:rsidRDefault="00633B3B" w:rsidP="00633B3B">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There has been some grant implementation delays due to (i) a delay with opening the designated account (now opened); and (ii) delay on the Chibuto tender due to non-compliance of the investor (the framework agreement with the investor was cancelled in November 2011; the new bid was issued in December and the proposals are due in April 2012 -- thus the grant will provide assistance only starting in April, starting with the bids evaluation).</w:t>
            </w:r>
            <w:r w:rsidR="00D545AF">
              <w:rPr>
                <w:rFonts w:asciiTheme="minorHAnsi" w:hAnsiTheme="minorHAnsi"/>
                <w:sz w:val="18"/>
                <w:szCs w:val="18"/>
              </w:rPr>
              <w:t xml:space="preserve"> </w:t>
            </w:r>
            <w:r w:rsidRPr="000C6EF9">
              <w:rPr>
                <w:rFonts w:asciiTheme="minorHAnsi" w:hAnsiTheme="minorHAnsi"/>
                <w:sz w:val="18"/>
                <w:szCs w:val="18"/>
              </w:rPr>
              <w:t>The mining cadastre contract is under review.</w:t>
            </w:r>
            <w:r w:rsidR="00D545AF">
              <w:rPr>
                <w:rFonts w:asciiTheme="minorHAnsi" w:hAnsiTheme="minorHAnsi"/>
                <w:sz w:val="18"/>
                <w:szCs w:val="18"/>
              </w:rPr>
              <w:t xml:space="preserve"> </w:t>
            </w:r>
          </w:p>
        </w:tc>
      </w:tr>
      <w:tr w:rsidR="00633B3B" w:rsidRPr="000C6EF9" w:rsidTr="000C6EF9">
        <w:tc>
          <w:tcPr>
            <w:cnfStyle w:val="001000000000" w:firstRow="0" w:lastRow="0" w:firstColumn="1" w:lastColumn="0" w:oddVBand="0" w:evenVBand="0" w:oddHBand="0" w:evenHBand="0" w:firstRowFirstColumn="0" w:firstRowLastColumn="0" w:lastRowFirstColumn="0" w:lastRowLastColumn="0"/>
            <w:tcW w:w="702" w:type="pct"/>
          </w:tcPr>
          <w:p w:rsidR="00633B3B" w:rsidRPr="000C6EF9" w:rsidRDefault="00633B3B" w:rsidP="00633B3B">
            <w:pPr>
              <w:rPr>
                <w:rFonts w:asciiTheme="minorHAnsi" w:hAnsiTheme="minorHAnsi"/>
                <w:b w:val="0"/>
                <w:sz w:val="18"/>
                <w:szCs w:val="18"/>
              </w:rPr>
            </w:pPr>
            <w:r w:rsidRPr="000C6EF9">
              <w:rPr>
                <w:rFonts w:asciiTheme="minorHAnsi" w:hAnsiTheme="minorHAnsi"/>
                <w:b w:val="0"/>
                <w:sz w:val="18"/>
                <w:szCs w:val="18"/>
              </w:rPr>
              <w:t>Pakistan (Balochistan) Technical Advisory Facility</w:t>
            </w:r>
          </w:p>
        </w:tc>
        <w:tc>
          <w:tcPr>
            <w:tcW w:w="1778" w:type="pct"/>
          </w:tcPr>
          <w:p w:rsidR="00633B3B" w:rsidRPr="000C6EF9" w:rsidRDefault="00633B3B" w:rsidP="00E52F7D">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 xml:space="preserve">Launched in August 2011, the EI-TAF assistance to the mineral rich province of Balochistan focuses on building capacity </w:t>
            </w:r>
            <w:r w:rsidR="00E52F7D">
              <w:rPr>
                <w:rFonts w:asciiTheme="minorHAnsi" w:hAnsiTheme="minorHAnsi"/>
                <w:sz w:val="18"/>
                <w:szCs w:val="18"/>
              </w:rPr>
              <w:t xml:space="preserve">in </w:t>
            </w:r>
            <w:r w:rsidRPr="000C6EF9">
              <w:rPr>
                <w:rFonts w:asciiTheme="minorHAnsi" w:hAnsiTheme="minorHAnsi"/>
                <w:sz w:val="18"/>
                <w:szCs w:val="18"/>
              </w:rPr>
              <w:t>one of the country’s most impoverished and perhaps unstable regions, where if structured properly, the mining sector could have a significant impact on the economic development of the province and the communities around a mine. As the provincial government embarks on awarding one of the country’s first contracts for large-scale mining, capacity building is in response to a time-bound proposal for resource developments and will center on: (a) global norms to establish governance and support policy formulation, leading to strong mineral development agreements and (b) the evaluation of technical reports, including feasibility studies associated with the award of mining concessions.</w:t>
            </w:r>
          </w:p>
        </w:tc>
        <w:tc>
          <w:tcPr>
            <w:tcW w:w="243" w:type="pct"/>
          </w:tcPr>
          <w:p w:rsidR="00633B3B" w:rsidRPr="000C6EF9" w:rsidRDefault="00633B3B" w:rsidP="00633B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500</w:t>
            </w:r>
          </w:p>
        </w:tc>
        <w:tc>
          <w:tcPr>
            <w:tcW w:w="530" w:type="pct"/>
          </w:tcPr>
          <w:p w:rsidR="00633B3B" w:rsidRPr="000C6EF9" w:rsidRDefault="00633B3B" w:rsidP="00633B3B">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Daniele La Porta</w:t>
            </w:r>
          </w:p>
        </w:tc>
        <w:tc>
          <w:tcPr>
            <w:tcW w:w="1747" w:type="pct"/>
          </w:tcPr>
          <w:p w:rsidR="00633B3B" w:rsidRPr="000C6EF9" w:rsidRDefault="00633B3B" w:rsidP="00633B3B">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 xml:space="preserve">In October 2011, in coordination with Balochistan and federal counterparts, the World Bank team carried out the first two workshops to introduce global norms of large-scale mineral development to a mix of policymakers, civil society representatives, media </w:t>
            </w:r>
            <w:r w:rsidR="00E52F7D">
              <w:rPr>
                <w:rFonts w:asciiTheme="minorHAnsi" w:hAnsiTheme="minorHAnsi"/>
                <w:sz w:val="18"/>
                <w:szCs w:val="18"/>
              </w:rPr>
              <w:t xml:space="preserve">reps, </w:t>
            </w:r>
            <w:r w:rsidRPr="000C6EF9">
              <w:rPr>
                <w:rFonts w:asciiTheme="minorHAnsi" w:hAnsiTheme="minorHAnsi"/>
                <w:sz w:val="18"/>
                <w:szCs w:val="18"/>
              </w:rPr>
              <w:t>and community leaders. The workshop was held in Islamabad and was facilitated by a team of mining industry experts, aimed at training key stakeholders on global mining norms.</w:t>
            </w:r>
          </w:p>
          <w:p w:rsidR="00633B3B" w:rsidRPr="000C6EF9" w:rsidRDefault="00633B3B" w:rsidP="00051314">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In April 2012, the World Bank team hosted, in collaboration with other dono</w:t>
            </w:r>
            <w:r w:rsidR="00051314">
              <w:rPr>
                <w:rFonts w:asciiTheme="minorHAnsi" w:hAnsiTheme="minorHAnsi"/>
                <w:sz w:val="18"/>
                <w:szCs w:val="18"/>
              </w:rPr>
              <w:t>r</w:t>
            </w:r>
            <w:r w:rsidRPr="000C6EF9">
              <w:rPr>
                <w:rFonts w:asciiTheme="minorHAnsi" w:hAnsiTheme="minorHAnsi"/>
                <w:sz w:val="18"/>
                <w:szCs w:val="18"/>
              </w:rPr>
              <w:t>s, a round table discussion, targeted towards provincial secretaries (mining) from around the country and relevant representatives of the federal government. The round table was lead by the government and aimed to build capacity around sector promotion and to establish a forum for dialogue between provinces.</w:t>
            </w:r>
          </w:p>
        </w:tc>
      </w:tr>
      <w:tr w:rsidR="00633B3B" w:rsidRPr="000C6EF9" w:rsidTr="000C6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pct"/>
          </w:tcPr>
          <w:p w:rsidR="00633B3B" w:rsidRPr="000C6EF9" w:rsidRDefault="00633B3B" w:rsidP="00633B3B">
            <w:pPr>
              <w:rPr>
                <w:rFonts w:asciiTheme="minorHAnsi" w:hAnsiTheme="minorHAnsi"/>
                <w:b w:val="0"/>
                <w:sz w:val="18"/>
                <w:szCs w:val="18"/>
              </w:rPr>
            </w:pPr>
            <w:r w:rsidRPr="000C6EF9">
              <w:rPr>
                <w:rFonts w:asciiTheme="minorHAnsi" w:hAnsiTheme="minorHAnsi"/>
                <w:b w:val="0"/>
                <w:sz w:val="18"/>
                <w:szCs w:val="18"/>
              </w:rPr>
              <w:t xml:space="preserve">Rwanda - Support from Extractive Industries Technical Advisory </w:t>
            </w:r>
            <w:r w:rsidRPr="000C6EF9">
              <w:rPr>
                <w:rFonts w:asciiTheme="minorHAnsi" w:hAnsiTheme="minorHAnsi"/>
                <w:b w:val="0"/>
                <w:sz w:val="18"/>
                <w:szCs w:val="18"/>
              </w:rPr>
              <w:lastRenderedPageBreak/>
              <w:t>Facility</w:t>
            </w:r>
          </w:p>
        </w:tc>
        <w:tc>
          <w:tcPr>
            <w:tcW w:w="1778" w:type="pct"/>
          </w:tcPr>
          <w:p w:rsidR="00633B3B" w:rsidRPr="000C6EF9" w:rsidRDefault="00633B3B" w:rsidP="00633B3B">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lastRenderedPageBreak/>
              <w:t xml:space="preserve">Aimed at supporting the Government of Rwanda in the preparation, negotiation, and finalization of a Production Sharing Contract (PSC), this project consists of the following </w:t>
            </w:r>
            <w:r w:rsidRPr="000C6EF9">
              <w:rPr>
                <w:rFonts w:asciiTheme="minorHAnsi" w:hAnsiTheme="minorHAnsi"/>
                <w:sz w:val="18"/>
                <w:szCs w:val="18"/>
              </w:rPr>
              <w:lastRenderedPageBreak/>
              <w:t>activities: (a) technical advice on drafting and negotiating PSC, (b) designing an economic/fiscal model to assess the fiscal and financial impact of proposed contract terms under a variety of economic conditions of the Recipient; and (c) preparation of a medium-term and final report on the final outcomes of PSC.</w:t>
            </w:r>
          </w:p>
        </w:tc>
        <w:tc>
          <w:tcPr>
            <w:tcW w:w="243" w:type="pct"/>
          </w:tcPr>
          <w:p w:rsidR="00633B3B" w:rsidRPr="000C6EF9" w:rsidRDefault="00633B3B" w:rsidP="00633B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lastRenderedPageBreak/>
              <w:t>350</w:t>
            </w:r>
          </w:p>
        </w:tc>
        <w:tc>
          <w:tcPr>
            <w:tcW w:w="530" w:type="pct"/>
          </w:tcPr>
          <w:p w:rsidR="00633B3B" w:rsidRPr="000C6EF9" w:rsidRDefault="00633B3B" w:rsidP="00633B3B">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David Santley</w:t>
            </w:r>
          </w:p>
        </w:tc>
        <w:tc>
          <w:tcPr>
            <w:tcW w:w="1747" w:type="pct"/>
          </w:tcPr>
          <w:p w:rsidR="00633B3B" w:rsidRPr="000C6EF9" w:rsidRDefault="00633B3B" w:rsidP="00633B3B">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After some delays in initiating the implementation of the Grant activities, Rwanda is now making good progress.</w:t>
            </w:r>
            <w:r w:rsidR="00D545AF">
              <w:rPr>
                <w:rFonts w:asciiTheme="minorHAnsi" w:hAnsiTheme="minorHAnsi"/>
                <w:sz w:val="18"/>
                <w:szCs w:val="18"/>
              </w:rPr>
              <w:t xml:space="preserve"> </w:t>
            </w:r>
            <w:r w:rsidRPr="000C6EF9">
              <w:rPr>
                <w:rFonts w:asciiTheme="minorHAnsi" w:hAnsiTheme="minorHAnsi"/>
                <w:sz w:val="18"/>
                <w:szCs w:val="18"/>
              </w:rPr>
              <w:t xml:space="preserve">A draft Production Sharing Contract (PSC) has been prepared and the </w:t>
            </w:r>
            <w:r w:rsidRPr="000C6EF9">
              <w:rPr>
                <w:rFonts w:asciiTheme="minorHAnsi" w:hAnsiTheme="minorHAnsi"/>
                <w:sz w:val="18"/>
                <w:szCs w:val="18"/>
              </w:rPr>
              <w:lastRenderedPageBreak/>
              <w:t>economic and technical reports have been delivered.</w:t>
            </w:r>
            <w:r w:rsidR="00D545AF">
              <w:rPr>
                <w:rFonts w:asciiTheme="minorHAnsi" w:hAnsiTheme="minorHAnsi"/>
                <w:sz w:val="18"/>
                <w:szCs w:val="18"/>
              </w:rPr>
              <w:t xml:space="preserve"> </w:t>
            </w:r>
            <w:r w:rsidRPr="000C6EF9">
              <w:rPr>
                <w:rFonts w:asciiTheme="minorHAnsi" w:hAnsiTheme="minorHAnsi"/>
                <w:sz w:val="18"/>
                <w:szCs w:val="18"/>
              </w:rPr>
              <w:t>An important negotiation session with the investor is scheduled for early 2012 after which the PSC will need to be finalized and the enabling policy and legislation drafted.</w:t>
            </w:r>
            <w:r w:rsidR="00D545AF">
              <w:rPr>
                <w:rFonts w:asciiTheme="minorHAnsi" w:hAnsiTheme="minorHAnsi"/>
                <w:sz w:val="18"/>
                <w:szCs w:val="18"/>
              </w:rPr>
              <w:t xml:space="preserve"> </w:t>
            </w:r>
            <w:r w:rsidRPr="000C6EF9">
              <w:rPr>
                <w:rFonts w:asciiTheme="minorHAnsi" w:hAnsiTheme="minorHAnsi"/>
                <w:sz w:val="18"/>
                <w:szCs w:val="18"/>
              </w:rPr>
              <w:t>The GoR has prepared a Work Plan detailing the timing for these activities, which has been reviewed by the Bank team and found to be acceptable.</w:t>
            </w:r>
            <w:r w:rsidR="00D545AF">
              <w:rPr>
                <w:rFonts w:asciiTheme="minorHAnsi" w:hAnsiTheme="minorHAnsi"/>
                <w:sz w:val="18"/>
                <w:szCs w:val="18"/>
              </w:rPr>
              <w:t xml:space="preserve"> </w:t>
            </w:r>
          </w:p>
        </w:tc>
      </w:tr>
      <w:tr w:rsidR="000C6EF9" w:rsidRPr="000C6EF9" w:rsidTr="000C6EF9">
        <w:tc>
          <w:tcPr>
            <w:cnfStyle w:val="001000000000" w:firstRow="0" w:lastRow="0" w:firstColumn="1" w:lastColumn="0" w:oddVBand="0" w:evenVBand="0" w:oddHBand="0" w:evenHBand="0" w:firstRowFirstColumn="0" w:firstRowLastColumn="0" w:lastRowFirstColumn="0" w:lastRowLastColumn="0"/>
            <w:tcW w:w="702" w:type="pct"/>
          </w:tcPr>
          <w:p w:rsidR="00633B3B" w:rsidRPr="000C6EF9" w:rsidRDefault="00633B3B" w:rsidP="00633B3B">
            <w:pPr>
              <w:rPr>
                <w:rFonts w:asciiTheme="minorHAnsi" w:hAnsiTheme="minorHAnsi"/>
                <w:b w:val="0"/>
                <w:sz w:val="18"/>
                <w:szCs w:val="18"/>
              </w:rPr>
            </w:pPr>
            <w:r w:rsidRPr="000C6EF9">
              <w:rPr>
                <w:rFonts w:asciiTheme="minorHAnsi" w:hAnsiTheme="minorHAnsi"/>
                <w:b w:val="0"/>
                <w:sz w:val="18"/>
                <w:szCs w:val="18"/>
              </w:rPr>
              <w:lastRenderedPageBreak/>
              <w:t>Sierra Leone Technical Advisory Facility</w:t>
            </w:r>
          </w:p>
        </w:tc>
        <w:tc>
          <w:tcPr>
            <w:tcW w:w="1778" w:type="pct"/>
          </w:tcPr>
          <w:p w:rsidR="00633B3B" w:rsidRPr="000C6EF9" w:rsidRDefault="00633B3B" w:rsidP="00633B3B">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The Grant will finance the services of a multi-disciplinary team of five specialists to build capacity of Government of Sierra Leone (GoSL) to review existing mining development agreements and negotiate new ones. The objective of the project is to strengthen the Government's capacity to assess time-bound investment proposals, review or negotiate terms for mining development agreements (in line with the Mines and Minerals Act of 2009), and manage the concession granting process.</w:t>
            </w:r>
          </w:p>
        </w:tc>
        <w:tc>
          <w:tcPr>
            <w:tcW w:w="243" w:type="pct"/>
          </w:tcPr>
          <w:p w:rsidR="00633B3B" w:rsidRPr="000C6EF9" w:rsidRDefault="00633B3B" w:rsidP="00633B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750</w:t>
            </w:r>
          </w:p>
        </w:tc>
        <w:tc>
          <w:tcPr>
            <w:tcW w:w="530" w:type="pct"/>
          </w:tcPr>
          <w:p w:rsidR="00633B3B" w:rsidRPr="000C6EF9" w:rsidRDefault="00633B3B" w:rsidP="00633B3B">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Mamadou Barry</w:t>
            </w:r>
          </w:p>
        </w:tc>
        <w:tc>
          <w:tcPr>
            <w:tcW w:w="1747" w:type="pct"/>
          </w:tcPr>
          <w:p w:rsidR="00633B3B" w:rsidRPr="000C6EF9" w:rsidRDefault="00633B3B" w:rsidP="00633B3B">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Implementation of this project is still at a very early stage. A $600K legal contract is being finalized. The project team is considering additional funding of about $200K to add assistance with oil block bidding round.</w:t>
            </w:r>
          </w:p>
        </w:tc>
      </w:tr>
    </w:tbl>
    <w:p w:rsidR="00E52F7D" w:rsidRDefault="00E52F7D" w:rsidP="002808D8">
      <w:pPr>
        <w:pStyle w:val="ListParagraph"/>
        <w:spacing w:before="100" w:beforeAutospacing="1" w:after="100" w:afterAutospacing="1" w:line="240" w:lineRule="auto"/>
        <w:ind w:left="360"/>
        <w:jc w:val="center"/>
        <w:rPr>
          <w:rFonts w:asciiTheme="minorHAnsi" w:hAnsiTheme="minorHAnsi"/>
          <w:color w:val="000000"/>
          <w:sz w:val="22"/>
        </w:rPr>
      </w:pPr>
    </w:p>
    <w:p w:rsidR="00E52F7D" w:rsidRDefault="00E52F7D">
      <w:pPr>
        <w:rPr>
          <w:rFonts w:asciiTheme="minorHAnsi" w:hAnsiTheme="minorHAnsi"/>
          <w:color w:val="000000"/>
          <w:sz w:val="22"/>
        </w:rPr>
      </w:pPr>
      <w:r>
        <w:rPr>
          <w:rFonts w:asciiTheme="minorHAnsi" w:hAnsiTheme="minorHAnsi"/>
          <w:color w:val="000000"/>
          <w:sz w:val="22"/>
        </w:rPr>
        <w:br w:type="page"/>
      </w:r>
    </w:p>
    <w:tbl>
      <w:tblPr>
        <w:tblStyle w:val="MediumGrid1-Accent1"/>
        <w:tblW w:w="5000" w:type="pct"/>
        <w:tblLook w:val="04A0" w:firstRow="1" w:lastRow="0" w:firstColumn="1" w:lastColumn="0" w:noHBand="0" w:noVBand="1"/>
      </w:tblPr>
      <w:tblGrid>
        <w:gridCol w:w="1443"/>
        <w:gridCol w:w="4447"/>
        <w:gridCol w:w="4412"/>
        <w:gridCol w:w="1016"/>
        <w:gridCol w:w="1502"/>
        <w:gridCol w:w="986"/>
      </w:tblGrid>
      <w:tr w:rsidR="000C6EF9" w:rsidRPr="000C6EF9" w:rsidTr="000C6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rsidR="000C6EF9" w:rsidRPr="000C6EF9" w:rsidRDefault="000C6EF9" w:rsidP="000C6EF9">
            <w:pPr>
              <w:rPr>
                <w:rFonts w:asciiTheme="minorHAnsi" w:hAnsiTheme="minorHAnsi"/>
                <w:b w:val="0"/>
                <w:bCs w:val="0"/>
                <w:sz w:val="18"/>
                <w:szCs w:val="18"/>
              </w:rPr>
            </w:pPr>
            <w:r>
              <w:rPr>
                <w:rFonts w:asciiTheme="minorHAnsi" w:hAnsiTheme="minorHAnsi"/>
                <w:color w:val="000000"/>
                <w:sz w:val="22"/>
              </w:rPr>
              <w:lastRenderedPageBreak/>
              <w:br w:type="page"/>
            </w:r>
            <w:r w:rsidRPr="000C6EF9">
              <w:rPr>
                <w:rFonts w:asciiTheme="minorHAnsi" w:hAnsiTheme="minorHAnsi"/>
                <w:color w:val="000000"/>
                <w:sz w:val="18"/>
                <w:szCs w:val="18"/>
              </w:rPr>
              <w:t xml:space="preserve">Annex </w:t>
            </w:r>
            <w:r w:rsidRPr="000C6EF9">
              <w:rPr>
                <w:rFonts w:asciiTheme="minorHAnsi" w:hAnsiTheme="minorHAnsi"/>
                <w:sz w:val="18"/>
                <w:szCs w:val="18"/>
              </w:rPr>
              <w:t>Table 2: Extractive Industries Technical Advisory Facility (EI-TAF) Potential Pipeline</w:t>
            </w:r>
          </w:p>
        </w:tc>
      </w:tr>
      <w:tr w:rsidR="000C6EF9" w:rsidRPr="000C6EF9" w:rsidTr="00A52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pct"/>
          </w:tcPr>
          <w:p w:rsidR="000C6EF9" w:rsidRPr="000C6EF9" w:rsidRDefault="000C6EF9" w:rsidP="000C6EF9">
            <w:pPr>
              <w:rPr>
                <w:rFonts w:asciiTheme="minorHAnsi" w:hAnsiTheme="minorHAnsi"/>
                <w:sz w:val="18"/>
                <w:szCs w:val="18"/>
              </w:rPr>
            </w:pPr>
            <w:r w:rsidRPr="000C6EF9">
              <w:rPr>
                <w:rFonts w:asciiTheme="minorHAnsi" w:hAnsiTheme="minorHAnsi"/>
                <w:sz w:val="18"/>
                <w:szCs w:val="18"/>
              </w:rPr>
              <w:t>Country</w:t>
            </w:r>
          </w:p>
        </w:tc>
        <w:tc>
          <w:tcPr>
            <w:tcW w:w="1611" w:type="pct"/>
          </w:tcPr>
          <w:p w:rsidR="000C6EF9" w:rsidRPr="000C6EF9" w:rsidRDefault="000C6EF9" w:rsidP="000C6EF9">
            <w:pP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sidRPr="000C6EF9">
              <w:rPr>
                <w:rFonts w:asciiTheme="minorHAnsi" w:hAnsiTheme="minorHAnsi"/>
                <w:b/>
                <w:sz w:val="18"/>
                <w:szCs w:val="18"/>
              </w:rPr>
              <w:t>Background</w:t>
            </w:r>
          </w:p>
        </w:tc>
        <w:tc>
          <w:tcPr>
            <w:tcW w:w="1598" w:type="pct"/>
          </w:tcPr>
          <w:p w:rsidR="000C6EF9" w:rsidRPr="000C6EF9" w:rsidRDefault="000C6EF9" w:rsidP="000C6EF9">
            <w:pP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sidRPr="000C6EF9">
              <w:rPr>
                <w:rFonts w:asciiTheme="minorHAnsi" w:hAnsiTheme="minorHAnsi"/>
                <w:b/>
                <w:sz w:val="18"/>
                <w:szCs w:val="18"/>
              </w:rPr>
              <w:t>Proposed Objectives</w:t>
            </w:r>
          </w:p>
        </w:tc>
        <w:tc>
          <w:tcPr>
            <w:tcW w:w="368" w:type="pct"/>
          </w:tcPr>
          <w:p w:rsidR="000C6EF9" w:rsidRPr="000C6EF9" w:rsidRDefault="000C6EF9" w:rsidP="000C6EF9">
            <w:pP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sidRPr="000C6EF9">
              <w:rPr>
                <w:rFonts w:asciiTheme="minorHAnsi" w:hAnsiTheme="minorHAnsi"/>
                <w:b/>
                <w:sz w:val="18"/>
                <w:szCs w:val="18"/>
              </w:rPr>
              <w:t>Sector</w:t>
            </w:r>
          </w:p>
        </w:tc>
        <w:tc>
          <w:tcPr>
            <w:tcW w:w="544" w:type="pct"/>
          </w:tcPr>
          <w:p w:rsidR="000C6EF9" w:rsidRPr="000C6EF9" w:rsidRDefault="000C6EF9" w:rsidP="000C6EF9">
            <w:pP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sidRPr="000C6EF9">
              <w:rPr>
                <w:rFonts w:asciiTheme="minorHAnsi" w:hAnsiTheme="minorHAnsi"/>
                <w:b/>
                <w:sz w:val="18"/>
                <w:szCs w:val="18"/>
              </w:rPr>
              <w:t>Implementation Period (est</w:t>
            </w:r>
            <w:r>
              <w:rPr>
                <w:rFonts w:asciiTheme="minorHAnsi" w:hAnsiTheme="minorHAnsi"/>
                <w:b/>
                <w:sz w:val="18"/>
                <w:szCs w:val="18"/>
              </w:rPr>
              <w:t>imate</w:t>
            </w:r>
            <w:r w:rsidRPr="000C6EF9">
              <w:rPr>
                <w:rFonts w:asciiTheme="minorHAnsi" w:hAnsiTheme="minorHAnsi"/>
                <w:b/>
                <w:sz w:val="18"/>
                <w:szCs w:val="18"/>
              </w:rPr>
              <w:t>)</w:t>
            </w:r>
          </w:p>
        </w:tc>
        <w:tc>
          <w:tcPr>
            <w:tcW w:w="357" w:type="pct"/>
          </w:tcPr>
          <w:p w:rsidR="000C6EF9" w:rsidRPr="000C6EF9" w:rsidRDefault="000C6EF9" w:rsidP="000C6EF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sidRPr="000C6EF9">
              <w:rPr>
                <w:rFonts w:asciiTheme="minorHAnsi" w:hAnsiTheme="minorHAnsi"/>
                <w:b/>
                <w:sz w:val="18"/>
                <w:szCs w:val="18"/>
              </w:rPr>
              <w:t>US$</w:t>
            </w:r>
            <w:r>
              <w:rPr>
                <w:rFonts w:asciiTheme="minorHAnsi" w:hAnsiTheme="minorHAnsi"/>
                <w:b/>
                <w:sz w:val="18"/>
                <w:szCs w:val="18"/>
              </w:rPr>
              <w:t xml:space="preserve"> </w:t>
            </w:r>
            <w:r w:rsidRPr="000C6EF9">
              <w:rPr>
                <w:rFonts w:asciiTheme="minorHAnsi" w:hAnsiTheme="minorHAnsi"/>
                <w:b/>
                <w:sz w:val="18"/>
                <w:szCs w:val="18"/>
              </w:rPr>
              <w:t>000’ (est</w:t>
            </w:r>
            <w:r>
              <w:rPr>
                <w:rFonts w:asciiTheme="minorHAnsi" w:hAnsiTheme="minorHAnsi"/>
                <w:b/>
                <w:sz w:val="18"/>
                <w:szCs w:val="18"/>
              </w:rPr>
              <w:t>imate</w:t>
            </w:r>
            <w:r w:rsidRPr="000C6EF9">
              <w:rPr>
                <w:rFonts w:asciiTheme="minorHAnsi" w:hAnsiTheme="minorHAnsi"/>
                <w:b/>
                <w:sz w:val="18"/>
                <w:szCs w:val="18"/>
              </w:rPr>
              <w:t>)</w:t>
            </w:r>
          </w:p>
        </w:tc>
      </w:tr>
      <w:tr w:rsidR="000C6EF9" w:rsidRPr="000C6EF9" w:rsidTr="00A52861">
        <w:tc>
          <w:tcPr>
            <w:cnfStyle w:val="001000000000" w:firstRow="0" w:lastRow="0" w:firstColumn="1" w:lastColumn="0" w:oddVBand="0" w:evenVBand="0" w:oddHBand="0" w:evenHBand="0" w:firstRowFirstColumn="0" w:firstRowLastColumn="0" w:lastRowFirstColumn="0" w:lastRowLastColumn="0"/>
            <w:tcW w:w="523" w:type="pct"/>
          </w:tcPr>
          <w:p w:rsidR="000C6EF9" w:rsidRPr="000C6EF9" w:rsidRDefault="000C6EF9" w:rsidP="000C6EF9">
            <w:pPr>
              <w:rPr>
                <w:rFonts w:asciiTheme="minorHAnsi" w:hAnsiTheme="minorHAnsi"/>
                <w:b w:val="0"/>
                <w:sz w:val="18"/>
                <w:szCs w:val="18"/>
              </w:rPr>
            </w:pPr>
            <w:r w:rsidRPr="000C6EF9">
              <w:rPr>
                <w:rFonts w:asciiTheme="minorHAnsi" w:hAnsiTheme="minorHAnsi"/>
                <w:b w:val="0"/>
                <w:sz w:val="18"/>
                <w:szCs w:val="18"/>
              </w:rPr>
              <w:t>Colombia</w:t>
            </w:r>
          </w:p>
        </w:tc>
        <w:tc>
          <w:tcPr>
            <w:tcW w:w="1611" w:type="pct"/>
          </w:tcPr>
          <w:p w:rsidR="000C6EF9" w:rsidRPr="000C6EF9" w:rsidRDefault="000C6EF9" w:rsidP="000C6EF9">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One of Colombia’s strategies to increase the developmental impact of the exploitation of its best mineral assets was the creation of strategic reserves for key minerals such as gold, PGEs, copper, iron-ore, phosphates, uranium and coal.</w:t>
            </w:r>
            <w:r w:rsidR="00D545AF">
              <w:rPr>
                <w:rFonts w:asciiTheme="minorHAnsi" w:hAnsiTheme="minorHAnsi"/>
                <w:sz w:val="18"/>
                <w:szCs w:val="18"/>
              </w:rPr>
              <w:t xml:space="preserve"> </w:t>
            </w:r>
            <w:r w:rsidRPr="000C6EF9">
              <w:rPr>
                <w:rFonts w:asciiTheme="minorHAnsi" w:hAnsiTheme="minorHAnsi"/>
                <w:sz w:val="18"/>
                <w:szCs w:val="18"/>
              </w:rPr>
              <w:t>The strategic mineral reserve areas are to be tendered to increase the level of technical, environmental and social responsibility, which makes for a more rational use of strategic minerals owned by the country aiming at obtaining the best conditions and benefits for the state.</w:t>
            </w:r>
          </w:p>
        </w:tc>
        <w:tc>
          <w:tcPr>
            <w:tcW w:w="1598" w:type="pct"/>
          </w:tcPr>
          <w:p w:rsidR="000C6EF9" w:rsidRPr="000C6EF9" w:rsidRDefault="000C6EF9" w:rsidP="00E52F7D">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The objective of the EITAF Grant would be to support the Government of Colombia (GoC) in the preparation of template tendering documents for selected strategic mineral reserve areas. The activities would include an evaluation of the "auctionability" of the selected areas. Deliverables would include tendering packages for up to three strategic mineral reserve areas to be selected. It is expected that th</w:t>
            </w:r>
            <w:r w:rsidR="00E52F7D">
              <w:rPr>
                <w:rFonts w:asciiTheme="minorHAnsi" w:hAnsiTheme="minorHAnsi"/>
                <w:sz w:val="18"/>
                <w:szCs w:val="18"/>
              </w:rPr>
              <w:t>e</w:t>
            </w:r>
            <w:r w:rsidRPr="000C6EF9">
              <w:rPr>
                <w:rFonts w:asciiTheme="minorHAnsi" w:hAnsiTheme="minorHAnsi"/>
                <w:sz w:val="18"/>
                <w:szCs w:val="18"/>
              </w:rPr>
              <w:t xml:space="preserve"> tenders be carried out by the GoC resulting in new exploitation concessions with better terms for the country.</w:t>
            </w:r>
          </w:p>
        </w:tc>
        <w:tc>
          <w:tcPr>
            <w:tcW w:w="368" w:type="pct"/>
          </w:tcPr>
          <w:p w:rsidR="000C6EF9" w:rsidRPr="000C6EF9" w:rsidRDefault="000C6EF9" w:rsidP="000C6EF9">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Mining</w:t>
            </w:r>
          </w:p>
        </w:tc>
        <w:tc>
          <w:tcPr>
            <w:tcW w:w="544" w:type="pct"/>
          </w:tcPr>
          <w:p w:rsidR="000C6EF9" w:rsidRPr="000C6EF9" w:rsidRDefault="000C6EF9" w:rsidP="000C6EF9">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July 2012 – May 2012</w:t>
            </w:r>
          </w:p>
        </w:tc>
        <w:tc>
          <w:tcPr>
            <w:tcW w:w="357" w:type="pct"/>
          </w:tcPr>
          <w:p w:rsidR="000C6EF9" w:rsidRPr="000C6EF9" w:rsidRDefault="000C6EF9" w:rsidP="000C6EF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500</w:t>
            </w:r>
          </w:p>
        </w:tc>
      </w:tr>
      <w:tr w:rsidR="00A52861" w:rsidRPr="000C6EF9" w:rsidTr="00A52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pct"/>
          </w:tcPr>
          <w:p w:rsidR="00A52861" w:rsidRPr="00A52861" w:rsidRDefault="00A52861" w:rsidP="000C6EF9">
            <w:pPr>
              <w:rPr>
                <w:rFonts w:asciiTheme="minorHAnsi" w:hAnsiTheme="minorHAnsi"/>
                <w:b w:val="0"/>
                <w:sz w:val="18"/>
                <w:szCs w:val="18"/>
              </w:rPr>
            </w:pPr>
            <w:r w:rsidRPr="00A52861">
              <w:rPr>
                <w:rFonts w:asciiTheme="minorHAnsi" w:hAnsiTheme="minorHAnsi"/>
                <w:b w:val="0"/>
                <w:sz w:val="18"/>
                <w:szCs w:val="18"/>
              </w:rPr>
              <w:t>Guinea</w:t>
            </w:r>
            <w:r>
              <w:rPr>
                <w:rFonts w:asciiTheme="minorHAnsi" w:hAnsiTheme="minorHAnsi"/>
                <w:b w:val="0"/>
                <w:sz w:val="18"/>
                <w:szCs w:val="18"/>
              </w:rPr>
              <w:t xml:space="preserve"> – Second Phase</w:t>
            </w:r>
          </w:p>
        </w:tc>
        <w:tc>
          <w:tcPr>
            <w:tcW w:w="1611" w:type="pct"/>
          </w:tcPr>
          <w:p w:rsidR="00A52861" w:rsidRPr="000C6EF9" w:rsidRDefault="00A52861" w:rsidP="00BF798E">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Second phase funding</w:t>
            </w:r>
            <w:r w:rsidR="00BF798E">
              <w:rPr>
                <w:rFonts w:asciiTheme="minorHAnsi" w:hAnsiTheme="minorHAnsi"/>
                <w:sz w:val="18"/>
                <w:szCs w:val="18"/>
              </w:rPr>
              <w:t>. First phase a</w:t>
            </w:r>
            <w:r w:rsidR="00BF798E" w:rsidRPr="000C6EF9">
              <w:rPr>
                <w:rFonts w:asciiTheme="minorHAnsi" w:hAnsiTheme="minorHAnsi"/>
                <w:sz w:val="18"/>
                <w:szCs w:val="18"/>
              </w:rPr>
              <w:t>imed at supporting the government to address key constraints to the realization of proposed large mining investments, specific activities as follows: (a) facilitate consensus and shared vision amongst stakeholders in the development of the mining and hydrocarbon sectors in Guinea</w:t>
            </w:r>
            <w:r w:rsidR="00BF798E">
              <w:rPr>
                <w:rFonts w:asciiTheme="minorHAnsi" w:hAnsiTheme="minorHAnsi"/>
                <w:sz w:val="18"/>
                <w:szCs w:val="18"/>
              </w:rPr>
              <w:t xml:space="preserve">—in </w:t>
            </w:r>
            <w:r w:rsidR="00BF798E" w:rsidRPr="000C6EF9">
              <w:rPr>
                <w:rFonts w:asciiTheme="minorHAnsi" w:hAnsiTheme="minorHAnsi"/>
                <w:sz w:val="18"/>
                <w:szCs w:val="18"/>
              </w:rPr>
              <w:t>response to a time-bound proposal for</w:t>
            </w:r>
            <w:r w:rsidR="00BF798E">
              <w:rPr>
                <w:rFonts w:asciiTheme="minorHAnsi" w:hAnsiTheme="minorHAnsi"/>
                <w:sz w:val="18"/>
                <w:szCs w:val="18"/>
              </w:rPr>
              <w:t xml:space="preserve"> </w:t>
            </w:r>
            <w:r w:rsidR="00BF798E" w:rsidRPr="000C6EF9">
              <w:rPr>
                <w:rFonts w:asciiTheme="minorHAnsi" w:hAnsiTheme="minorHAnsi"/>
                <w:sz w:val="18"/>
                <w:szCs w:val="18"/>
              </w:rPr>
              <w:t>mining/infrastructure developments; (b) build the capacity of the GoG to review mineral development agreements in response to a time-bound proposal for</w:t>
            </w:r>
            <w:r w:rsidR="00BF798E">
              <w:rPr>
                <w:rFonts w:asciiTheme="minorHAnsi" w:hAnsiTheme="minorHAnsi"/>
                <w:sz w:val="18"/>
                <w:szCs w:val="18"/>
              </w:rPr>
              <w:t xml:space="preserve"> </w:t>
            </w:r>
            <w:r w:rsidR="00BF798E" w:rsidRPr="000C6EF9">
              <w:rPr>
                <w:rFonts w:asciiTheme="minorHAnsi" w:hAnsiTheme="minorHAnsi"/>
                <w:sz w:val="18"/>
                <w:szCs w:val="18"/>
              </w:rPr>
              <w:t>mining/infrastructure developments; and (c) support updating of the legal, regulatory, and fiscal framework in the mining and hydrocarbon sectors.</w:t>
            </w:r>
          </w:p>
        </w:tc>
        <w:tc>
          <w:tcPr>
            <w:tcW w:w="1598" w:type="pct"/>
          </w:tcPr>
          <w:p w:rsidR="00A52861" w:rsidRPr="000C6EF9" w:rsidRDefault="00A52861" w:rsidP="00BF798E">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 xml:space="preserve">The objective of the proposed </w:t>
            </w:r>
            <w:r w:rsidR="00BF798E">
              <w:rPr>
                <w:rFonts w:asciiTheme="minorHAnsi" w:hAnsiTheme="minorHAnsi"/>
                <w:sz w:val="18"/>
                <w:szCs w:val="18"/>
              </w:rPr>
              <w:t xml:space="preserve">second phase of funding </w:t>
            </w:r>
            <w:r w:rsidRPr="000C6EF9">
              <w:rPr>
                <w:rFonts w:asciiTheme="minorHAnsi" w:hAnsiTheme="minorHAnsi"/>
                <w:sz w:val="18"/>
                <w:szCs w:val="18"/>
              </w:rPr>
              <w:t>under the Guinea EI-TAF grant is to provide the government with advisory services aimed at strengthening its technical and financial negotiation skills on mining ancillary infrastructure to enable meaningful progress toward infrastructure licensing and development in the short term, and in so doing create conditions for the mining companies to fulfill their engagement to exploit and export iron ore within the next 2-3 years.</w:t>
            </w:r>
          </w:p>
        </w:tc>
        <w:tc>
          <w:tcPr>
            <w:tcW w:w="368" w:type="pct"/>
          </w:tcPr>
          <w:p w:rsidR="00A52861" w:rsidRPr="000C6EF9" w:rsidRDefault="00A52861" w:rsidP="000C6EF9">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Mining</w:t>
            </w:r>
          </w:p>
        </w:tc>
        <w:tc>
          <w:tcPr>
            <w:tcW w:w="544" w:type="pct"/>
          </w:tcPr>
          <w:p w:rsidR="00A52861" w:rsidRPr="000C6EF9" w:rsidRDefault="00A52861" w:rsidP="000C6EF9">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357" w:type="pct"/>
          </w:tcPr>
          <w:p w:rsidR="00A52861" w:rsidRPr="000C6EF9" w:rsidRDefault="00A52861" w:rsidP="000C6EF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350</w:t>
            </w:r>
          </w:p>
        </w:tc>
      </w:tr>
      <w:tr w:rsidR="00A52861" w:rsidRPr="000C6EF9" w:rsidTr="00A52861">
        <w:tc>
          <w:tcPr>
            <w:cnfStyle w:val="001000000000" w:firstRow="0" w:lastRow="0" w:firstColumn="1" w:lastColumn="0" w:oddVBand="0" w:evenVBand="0" w:oddHBand="0" w:evenHBand="0" w:firstRowFirstColumn="0" w:firstRowLastColumn="0" w:lastRowFirstColumn="0" w:lastRowLastColumn="0"/>
            <w:tcW w:w="523" w:type="pct"/>
          </w:tcPr>
          <w:p w:rsidR="00A52861" w:rsidRPr="000C6EF9" w:rsidRDefault="00A52861" w:rsidP="000C6EF9">
            <w:pPr>
              <w:rPr>
                <w:rFonts w:asciiTheme="minorHAnsi" w:hAnsiTheme="minorHAnsi"/>
                <w:b w:val="0"/>
                <w:sz w:val="18"/>
                <w:szCs w:val="18"/>
              </w:rPr>
            </w:pPr>
            <w:r w:rsidRPr="000C6EF9">
              <w:rPr>
                <w:rFonts w:asciiTheme="minorHAnsi" w:hAnsiTheme="minorHAnsi"/>
                <w:b w:val="0"/>
                <w:sz w:val="18"/>
                <w:szCs w:val="18"/>
              </w:rPr>
              <w:t xml:space="preserve">Mauritania </w:t>
            </w:r>
          </w:p>
        </w:tc>
        <w:tc>
          <w:tcPr>
            <w:tcW w:w="1611" w:type="pct"/>
          </w:tcPr>
          <w:p w:rsidR="00A52861" w:rsidRPr="000C6EF9" w:rsidRDefault="00A52861" w:rsidP="000C6EF9">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1598" w:type="pct"/>
          </w:tcPr>
          <w:p w:rsidR="00A52861" w:rsidRPr="000C6EF9" w:rsidRDefault="00A52861" w:rsidP="000C6EF9">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The objective of the activity would be to enhance Government of Mauritania’s negotiation position and capacity prior to final negotiations of mining deals in 2012/13 with Xstrata (iron ore), Kinross (gold), Bumi (iron ore).</w:t>
            </w:r>
          </w:p>
        </w:tc>
        <w:tc>
          <w:tcPr>
            <w:tcW w:w="368" w:type="pct"/>
          </w:tcPr>
          <w:p w:rsidR="00A52861" w:rsidRPr="000C6EF9" w:rsidRDefault="00A52861" w:rsidP="000C6EF9">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Mining</w:t>
            </w:r>
          </w:p>
        </w:tc>
        <w:tc>
          <w:tcPr>
            <w:tcW w:w="544" w:type="pct"/>
          </w:tcPr>
          <w:p w:rsidR="00A52861" w:rsidRPr="000C6EF9" w:rsidRDefault="00A52861" w:rsidP="000C6EF9">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June 2012 – February 2013</w:t>
            </w:r>
          </w:p>
        </w:tc>
        <w:tc>
          <w:tcPr>
            <w:tcW w:w="357" w:type="pct"/>
          </w:tcPr>
          <w:p w:rsidR="00A52861" w:rsidRPr="000C6EF9" w:rsidRDefault="00A52861" w:rsidP="000C6EF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500</w:t>
            </w:r>
          </w:p>
        </w:tc>
      </w:tr>
      <w:tr w:rsidR="00A52861" w:rsidRPr="000C6EF9" w:rsidTr="00A52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pct"/>
          </w:tcPr>
          <w:p w:rsidR="00A52861" w:rsidRPr="000C6EF9" w:rsidRDefault="00A52861" w:rsidP="0004330E">
            <w:pPr>
              <w:rPr>
                <w:rFonts w:asciiTheme="minorHAnsi" w:hAnsiTheme="minorHAnsi"/>
                <w:b w:val="0"/>
                <w:sz w:val="18"/>
                <w:szCs w:val="18"/>
              </w:rPr>
            </w:pPr>
            <w:r w:rsidRPr="000C6EF9">
              <w:rPr>
                <w:rFonts w:asciiTheme="minorHAnsi" w:hAnsiTheme="minorHAnsi"/>
                <w:b w:val="0"/>
                <w:sz w:val="18"/>
                <w:szCs w:val="18"/>
              </w:rPr>
              <w:t>Pakistan</w:t>
            </w:r>
            <w:r w:rsidR="0004330E">
              <w:rPr>
                <w:rFonts w:asciiTheme="minorHAnsi" w:hAnsiTheme="minorHAnsi"/>
                <w:b w:val="0"/>
                <w:sz w:val="18"/>
                <w:szCs w:val="18"/>
              </w:rPr>
              <w:t xml:space="preserve"> (Punjab)</w:t>
            </w:r>
          </w:p>
        </w:tc>
        <w:tc>
          <w:tcPr>
            <w:tcW w:w="1611" w:type="pct"/>
          </w:tcPr>
          <w:p w:rsidR="00A52861" w:rsidRPr="000C6EF9" w:rsidRDefault="00A52861" w:rsidP="00E52F7D">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 xml:space="preserve">In response to a transfer of power for the federal government to the provincial mining and minerals department, the provincial government of Punjab has requested support </w:t>
            </w:r>
            <w:r>
              <w:rPr>
                <w:rFonts w:asciiTheme="minorHAnsi" w:hAnsiTheme="minorHAnsi"/>
                <w:sz w:val="18"/>
                <w:szCs w:val="18"/>
              </w:rPr>
              <w:t xml:space="preserve">to </w:t>
            </w:r>
            <w:r w:rsidRPr="000C6EF9">
              <w:rPr>
                <w:rFonts w:asciiTheme="minorHAnsi" w:hAnsiTheme="minorHAnsi"/>
                <w:sz w:val="18"/>
                <w:szCs w:val="18"/>
              </w:rPr>
              <w:t>develop a tender methodology for an iron ore deposit.</w:t>
            </w:r>
          </w:p>
        </w:tc>
        <w:tc>
          <w:tcPr>
            <w:tcW w:w="1598" w:type="pct"/>
          </w:tcPr>
          <w:p w:rsidR="00A52861" w:rsidRPr="000C6EF9" w:rsidRDefault="00A52861" w:rsidP="000C6EF9">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The objective of this activity is to provide support to the provincial Government of Punjab (GoP) on the tender of an iron ore deposit. Support will include a review of the province</w:t>
            </w:r>
            <w:r w:rsidR="0004330E">
              <w:rPr>
                <w:rFonts w:asciiTheme="minorHAnsi" w:hAnsiTheme="minorHAnsi"/>
                <w:sz w:val="18"/>
                <w:szCs w:val="18"/>
              </w:rPr>
              <w:t>’</w:t>
            </w:r>
            <w:r w:rsidRPr="000C6EF9">
              <w:rPr>
                <w:rFonts w:asciiTheme="minorHAnsi" w:hAnsiTheme="minorHAnsi"/>
                <w:sz w:val="18"/>
                <w:szCs w:val="18"/>
              </w:rPr>
              <w:t>s fiscal, legal and policy frameworks.</w:t>
            </w:r>
          </w:p>
        </w:tc>
        <w:tc>
          <w:tcPr>
            <w:tcW w:w="368" w:type="pct"/>
          </w:tcPr>
          <w:p w:rsidR="00A52861" w:rsidRPr="000C6EF9" w:rsidRDefault="00A52861" w:rsidP="000C6EF9">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Mining</w:t>
            </w:r>
          </w:p>
        </w:tc>
        <w:tc>
          <w:tcPr>
            <w:tcW w:w="544" w:type="pct"/>
          </w:tcPr>
          <w:p w:rsidR="00A52861" w:rsidRPr="000C6EF9" w:rsidRDefault="00A52861" w:rsidP="000C6EF9">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June 2012 – Dec 2012</w:t>
            </w:r>
          </w:p>
        </w:tc>
        <w:tc>
          <w:tcPr>
            <w:tcW w:w="357" w:type="pct"/>
          </w:tcPr>
          <w:p w:rsidR="00A52861" w:rsidRPr="000C6EF9" w:rsidRDefault="00A52861" w:rsidP="000C6EF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250</w:t>
            </w:r>
          </w:p>
        </w:tc>
      </w:tr>
      <w:tr w:rsidR="00A52861" w:rsidRPr="000C6EF9" w:rsidTr="00A52861">
        <w:tc>
          <w:tcPr>
            <w:cnfStyle w:val="001000000000" w:firstRow="0" w:lastRow="0" w:firstColumn="1" w:lastColumn="0" w:oddVBand="0" w:evenVBand="0" w:oddHBand="0" w:evenHBand="0" w:firstRowFirstColumn="0" w:firstRowLastColumn="0" w:lastRowFirstColumn="0" w:lastRowLastColumn="0"/>
            <w:tcW w:w="523" w:type="pct"/>
          </w:tcPr>
          <w:p w:rsidR="00A52861" w:rsidRPr="000C6EF9" w:rsidRDefault="00A52861" w:rsidP="000C6EF9">
            <w:pPr>
              <w:rPr>
                <w:rFonts w:asciiTheme="minorHAnsi" w:hAnsiTheme="minorHAnsi"/>
                <w:b w:val="0"/>
                <w:sz w:val="18"/>
                <w:szCs w:val="18"/>
              </w:rPr>
            </w:pPr>
            <w:r w:rsidRPr="000C6EF9">
              <w:rPr>
                <w:rFonts w:asciiTheme="minorHAnsi" w:hAnsiTheme="minorHAnsi"/>
                <w:b w:val="0"/>
                <w:sz w:val="18"/>
                <w:szCs w:val="18"/>
              </w:rPr>
              <w:lastRenderedPageBreak/>
              <w:t>Seychelles</w:t>
            </w:r>
          </w:p>
        </w:tc>
        <w:tc>
          <w:tcPr>
            <w:tcW w:w="1611" w:type="pct"/>
          </w:tcPr>
          <w:p w:rsidR="00A52861" w:rsidRPr="000C6EF9" w:rsidRDefault="00A52861" w:rsidP="000C6EF9">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The Seychelles intends to conduct an open tender to solicit proposals from international oil companies (IOCs) to enter into petroleum agreements with the Government.</w:t>
            </w:r>
            <w:r>
              <w:rPr>
                <w:rFonts w:asciiTheme="minorHAnsi" w:hAnsiTheme="minorHAnsi"/>
                <w:sz w:val="18"/>
                <w:szCs w:val="18"/>
              </w:rPr>
              <w:t xml:space="preserve"> </w:t>
            </w:r>
            <w:r w:rsidRPr="000C6EF9">
              <w:rPr>
                <w:rFonts w:asciiTheme="minorHAnsi" w:hAnsiTheme="minorHAnsi"/>
                <w:sz w:val="18"/>
                <w:szCs w:val="18"/>
              </w:rPr>
              <w:t>Public announcement of the bid round tender is expected to be made in April 2012 and will be followed by a six-nine month period during which the bid round will be promoted, proposals will be received and evaluated and petroleum agreements will be negotiated.</w:t>
            </w:r>
          </w:p>
        </w:tc>
        <w:tc>
          <w:tcPr>
            <w:tcW w:w="1598" w:type="pct"/>
          </w:tcPr>
          <w:p w:rsidR="00A52861" w:rsidRPr="000C6EF9" w:rsidRDefault="00A52861" w:rsidP="000C6EF9">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The proposed EI TAF grant will support the engagement of a legal consultant(s) to assist the Government of the Seychelles in the preparation of a draft petroleum agreement, bid round legal documentation and the negotiation of final petroleum agreements.</w:t>
            </w:r>
          </w:p>
        </w:tc>
        <w:tc>
          <w:tcPr>
            <w:tcW w:w="368" w:type="pct"/>
          </w:tcPr>
          <w:p w:rsidR="00A52861" w:rsidRPr="000C6EF9" w:rsidRDefault="00A52861" w:rsidP="000C6EF9">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O&amp;G</w:t>
            </w:r>
          </w:p>
        </w:tc>
        <w:tc>
          <w:tcPr>
            <w:tcW w:w="544" w:type="pct"/>
          </w:tcPr>
          <w:p w:rsidR="00A52861" w:rsidRPr="000C6EF9" w:rsidRDefault="00A52861" w:rsidP="000C6EF9">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July 2012 – March 2013</w:t>
            </w:r>
          </w:p>
        </w:tc>
        <w:tc>
          <w:tcPr>
            <w:tcW w:w="357" w:type="pct"/>
          </w:tcPr>
          <w:p w:rsidR="00A52861" w:rsidRPr="000C6EF9" w:rsidRDefault="00A52861" w:rsidP="000C6EF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500</w:t>
            </w:r>
          </w:p>
        </w:tc>
      </w:tr>
      <w:tr w:rsidR="00A52861" w:rsidRPr="000C6EF9" w:rsidTr="00A52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pct"/>
          </w:tcPr>
          <w:p w:rsidR="00A52861" w:rsidRPr="000C6EF9" w:rsidRDefault="00A52861" w:rsidP="000C6EF9">
            <w:pPr>
              <w:rPr>
                <w:rFonts w:asciiTheme="minorHAnsi" w:hAnsiTheme="minorHAnsi"/>
                <w:b w:val="0"/>
                <w:sz w:val="18"/>
                <w:szCs w:val="18"/>
              </w:rPr>
            </w:pPr>
            <w:r w:rsidRPr="000C6EF9">
              <w:rPr>
                <w:rFonts w:asciiTheme="minorHAnsi" w:hAnsiTheme="minorHAnsi"/>
                <w:b w:val="0"/>
                <w:sz w:val="18"/>
                <w:szCs w:val="18"/>
              </w:rPr>
              <w:t xml:space="preserve"> Yemen</w:t>
            </w:r>
          </w:p>
        </w:tc>
        <w:tc>
          <w:tcPr>
            <w:tcW w:w="1611" w:type="pct"/>
          </w:tcPr>
          <w:p w:rsidR="00A52861" w:rsidRPr="000C6EF9" w:rsidRDefault="00A52861" w:rsidP="00E52F7D">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In 1997, a group of foreign and domestic companies established the Yemen LNG Project.</w:t>
            </w:r>
            <w:r>
              <w:rPr>
                <w:rFonts w:asciiTheme="minorHAnsi" w:hAnsiTheme="minorHAnsi"/>
                <w:sz w:val="18"/>
                <w:szCs w:val="18"/>
              </w:rPr>
              <w:t xml:space="preserve"> </w:t>
            </w:r>
            <w:r w:rsidRPr="000C6EF9">
              <w:rPr>
                <w:rFonts w:asciiTheme="minorHAnsi" w:hAnsiTheme="minorHAnsi"/>
                <w:sz w:val="18"/>
                <w:szCs w:val="18"/>
              </w:rPr>
              <w:t>Of the 16.9 TCF of estimated reserves in Yemen only 10.3 TCF have been formally certified.</w:t>
            </w:r>
            <w:r>
              <w:rPr>
                <w:rFonts w:asciiTheme="minorHAnsi" w:hAnsiTheme="minorHAnsi"/>
                <w:sz w:val="18"/>
                <w:szCs w:val="18"/>
              </w:rPr>
              <w:t xml:space="preserve"> </w:t>
            </w:r>
            <w:r w:rsidRPr="000C6EF9">
              <w:rPr>
                <w:rFonts w:asciiTheme="minorHAnsi" w:hAnsiTheme="minorHAnsi"/>
                <w:sz w:val="18"/>
                <w:szCs w:val="18"/>
              </w:rPr>
              <w:t>Given that the definition of “estimated reserves” can vary depending on the country, only certified reserves that have been confirmed by a reputable third party E&amp;P company can be trusted to exist.</w:t>
            </w:r>
            <w:r>
              <w:rPr>
                <w:rFonts w:asciiTheme="minorHAnsi" w:hAnsiTheme="minorHAnsi"/>
                <w:sz w:val="18"/>
                <w:szCs w:val="18"/>
              </w:rPr>
              <w:t xml:space="preserve"> </w:t>
            </w:r>
            <w:r w:rsidRPr="000C6EF9">
              <w:rPr>
                <w:rFonts w:asciiTheme="minorHAnsi" w:hAnsiTheme="minorHAnsi"/>
                <w:sz w:val="18"/>
                <w:szCs w:val="18"/>
              </w:rPr>
              <w:t xml:space="preserve">Under the terms of the YLNG agreement, 10.1 TCF of the certified reserves were specifically allocated to YLNG. The time-bound decision is that </w:t>
            </w:r>
            <w:r>
              <w:rPr>
                <w:rFonts w:asciiTheme="minorHAnsi" w:hAnsiTheme="minorHAnsi"/>
                <w:sz w:val="18"/>
                <w:szCs w:val="18"/>
              </w:rPr>
              <w:t>t</w:t>
            </w:r>
            <w:r w:rsidRPr="000C6EF9">
              <w:rPr>
                <w:rFonts w:asciiTheme="minorHAnsi" w:hAnsiTheme="minorHAnsi"/>
                <w:sz w:val="18"/>
                <w:szCs w:val="18"/>
              </w:rPr>
              <w:t>he Yemen Gas to Power Program (YGPP) anticipates the installation of additional generation capacity, for which investments need to be attracted. The absence of certified gas reserves is hampering the implementation of the YGPP.</w:t>
            </w:r>
          </w:p>
        </w:tc>
        <w:tc>
          <w:tcPr>
            <w:tcW w:w="1598" w:type="pct"/>
          </w:tcPr>
          <w:p w:rsidR="00A52861" w:rsidRPr="000C6EF9" w:rsidRDefault="00A52861" w:rsidP="000C6EF9">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The objective of this activity would be to support the Government of Yemen to certify, confirm commercial viability, and allocate gas reserves to be used for domestic power generation.</w:t>
            </w:r>
            <w:r>
              <w:rPr>
                <w:rFonts w:asciiTheme="minorHAnsi" w:hAnsiTheme="minorHAnsi"/>
                <w:sz w:val="18"/>
                <w:szCs w:val="18"/>
              </w:rPr>
              <w:t xml:space="preserve"> </w:t>
            </w:r>
            <w:r w:rsidRPr="000C6EF9">
              <w:rPr>
                <w:rFonts w:asciiTheme="minorHAnsi" w:hAnsiTheme="minorHAnsi"/>
                <w:sz w:val="18"/>
                <w:szCs w:val="18"/>
              </w:rPr>
              <w:t>At a minimum this should include the Block 5 and S2 reserves that can be used for power generation in addition to the 1 TCF of gas allocated under the YLNG agreement.</w:t>
            </w:r>
          </w:p>
        </w:tc>
        <w:tc>
          <w:tcPr>
            <w:tcW w:w="368" w:type="pct"/>
          </w:tcPr>
          <w:p w:rsidR="00A52861" w:rsidRPr="000C6EF9" w:rsidRDefault="00A52861" w:rsidP="000C6EF9">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O&amp;G</w:t>
            </w:r>
          </w:p>
        </w:tc>
        <w:tc>
          <w:tcPr>
            <w:tcW w:w="544" w:type="pct"/>
          </w:tcPr>
          <w:p w:rsidR="00A52861" w:rsidRPr="000C6EF9" w:rsidRDefault="00A52861" w:rsidP="000C6EF9">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357" w:type="pct"/>
          </w:tcPr>
          <w:p w:rsidR="00A52861" w:rsidRPr="000C6EF9" w:rsidRDefault="00A52861" w:rsidP="000C6EF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750</w:t>
            </w:r>
          </w:p>
        </w:tc>
      </w:tr>
      <w:tr w:rsidR="00A52861" w:rsidRPr="000C6EF9" w:rsidTr="00A52861">
        <w:tc>
          <w:tcPr>
            <w:cnfStyle w:val="001000000000" w:firstRow="0" w:lastRow="0" w:firstColumn="1" w:lastColumn="0" w:oddVBand="0" w:evenVBand="0" w:oddHBand="0" w:evenHBand="0" w:firstRowFirstColumn="0" w:firstRowLastColumn="0" w:lastRowFirstColumn="0" w:lastRowLastColumn="0"/>
            <w:tcW w:w="523" w:type="pct"/>
          </w:tcPr>
          <w:p w:rsidR="00A52861" w:rsidRPr="00E52F7D" w:rsidRDefault="00A52861" w:rsidP="000C6EF9">
            <w:pPr>
              <w:rPr>
                <w:rFonts w:asciiTheme="minorHAnsi" w:hAnsiTheme="minorHAnsi"/>
                <w:b w:val="0"/>
                <w:sz w:val="18"/>
                <w:szCs w:val="18"/>
              </w:rPr>
            </w:pPr>
            <w:r w:rsidRPr="00E52F7D">
              <w:rPr>
                <w:rFonts w:asciiTheme="minorHAnsi" w:hAnsiTheme="minorHAnsi"/>
                <w:b w:val="0"/>
                <w:sz w:val="18"/>
                <w:szCs w:val="18"/>
              </w:rPr>
              <w:t>Extractives for Development Initiative (E4D)</w:t>
            </w:r>
          </w:p>
        </w:tc>
        <w:tc>
          <w:tcPr>
            <w:tcW w:w="1611" w:type="pct"/>
          </w:tcPr>
          <w:p w:rsidR="00A52861" w:rsidRPr="000C6EF9" w:rsidRDefault="00A52861" w:rsidP="000C6EF9">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There is an emerging consensus that discovery and depletion of extractives has, when properly guided, the potential to drive broader economic growth and poverty reduction objectives.</w:t>
            </w:r>
            <w:r>
              <w:rPr>
                <w:rFonts w:asciiTheme="minorHAnsi" w:hAnsiTheme="minorHAnsi"/>
                <w:sz w:val="18"/>
                <w:szCs w:val="18"/>
              </w:rPr>
              <w:t xml:space="preserve"> </w:t>
            </w:r>
            <w:r w:rsidRPr="000C6EF9">
              <w:rPr>
                <w:rFonts w:asciiTheme="minorHAnsi" w:hAnsiTheme="minorHAnsi"/>
                <w:sz w:val="18"/>
                <w:szCs w:val="18"/>
              </w:rPr>
              <w:t>Achievement of these outcomes requires an integrated approach across all links of the extractive industry value chain.</w:t>
            </w:r>
            <w:r>
              <w:rPr>
                <w:rFonts w:asciiTheme="minorHAnsi" w:hAnsiTheme="minorHAnsi"/>
                <w:sz w:val="18"/>
                <w:szCs w:val="18"/>
              </w:rPr>
              <w:t xml:space="preserve"> </w:t>
            </w:r>
            <w:r w:rsidRPr="000C6EF9">
              <w:rPr>
                <w:rFonts w:asciiTheme="minorHAnsi" w:hAnsiTheme="minorHAnsi"/>
                <w:sz w:val="18"/>
                <w:szCs w:val="18"/>
              </w:rPr>
              <w:t>Integration is promoted by investing in governments, civil society/citizens, the private sector, and development partners with effective knowledge and partnerships to leverage natural resource endowments for broad-based development.</w:t>
            </w:r>
          </w:p>
        </w:tc>
        <w:tc>
          <w:tcPr>
            <w:tcW w:w="1598" w:type="pct"/>
          </w:tcPr>
          <w:p w:rsidR="00A52861" w:rsidRPr="000C6EF9" w:rsidRDefault="00A52861" w:rsidP="00051314">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E4D’s work program focuses on the generation, dissemination and application of knowledge that responds to client demand and can be adapted to diverse country contexts. The work program has three components:</w:t>
            </w:r>
            <w:r>
              <w:rPr>
                <w:rFonts w:asciiTheme="minorHAnsi" w:hAnsiTheme="minorHAnsi"/>
                <w:sz w:val="18"/>
                <w:szCs w:val="18"/>
              </w:rPr>
              <w:t xml:space="preserve"> </w:t>
            </w:r>
            <w:r w:rsidRPr="000C6EF9">
              <w:rPr>
                <w:rFonts w:asciiTheme="minorHAnsi" w:hAnsiTheme="minorHAnsi"/>
                <w:sz w:val="18"/>
                <w:szCs w:val="18"/>
              </w:rPr>
              <w:t>1) advancing knowledge on demand-driven operational issues; 2) promoting global partnerships and collaboration on the E4D knowledge, advocacy and operational work; and 3) supporting frontline, operational assistance to country clients.</w:t>
            </w:r>
          </w:p>
        </w:tc>
        <w:tc>
          <w:tcPr>
            <w:tcW w:w="368" w:type="pct"/>
          </w:tcPr>
          <w:p w:rsidR="00A52861" w:rsidRPr="000C6EF9" w:rsidRDefault="00A52861" w:rsidP="000C6EF9">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Global knowledge</w:t>
            </w:r>
          </w:p>
        </w:tc>
        <w:tc>
          <w:tcPr>
            <w:tcW w:w="544" w:type="pct"/>
          </w:tcPr>
          <w:p w:rsidR="00A52861" w:rsidRPr="000C6EF9" w:rsidRDefault="00A52861" w:rsidP="000C6EF9">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C6EF9">
              <w:rPr>
                <w:rFonts w:asciiTheme="minorHAnsi" w:hAnsiTheme="minorHAnsi"/>
                <w:sz w:val="18"/>
                <w:szCs w:val="18"/>
              </w:rPr>
              <w:t>July 2012 – June 2014</w:t>
            </w:r>
          </w:p>
        </w:tc>
        <w:tc>
          <w:tcPr>
            <w:tcW w:w="357" w:type="pct"/>
          </w:tcPr>
          <w:p w:rsidR="00A52861" w:rsidRPr="000C6EF9" w:rsidRDefault="008F0A74" w:rsidP="000C6EF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350</w:t>
            </w:r>
          </w:p>
        </w:tc>
      </w:tr>
    </w:tbl>
    <w:p w:rsidR="00E56D0D" w:rsidRPr="00B30790" w:rsidRDefault="00E56D0D" w:rsidP="00B30790">
      <w:pPr>
        <w:spacing w:before="100" w:beforeAutospacing="1" w:after="100" w:afterAutospacing="1" w:line="240" w:lineRule="auto"/>
        <w:rPr>
          <w:rFonts w:asciiTheme="minorHAnsi" w:hAnsiTheme="minorHAnsi"/>
          <w:color w:val="000000"/>
          <w:sz w:val="22"/>
        </w:rPr>
      </w:pPr>
    </w:p>
    <w:sectPr w:rsidR="00E56D0D" w:rsidRPr="00B30790" w:rsidSect="00F75F2B">
      <w:pgSz w:w="15840" w:h="12240" w:orient="landscape"/>
      <w:pgMar w:top="1440" w:right="1260" w:bottom="1440" w:left="99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790" w:rsidRDefault="00B30790" w:rsidP="00687971">
      <w:pPr>
        <w:spacing w:after="0" w:line="240" w:lineRule="auto"/>
      </w:pPr>
      <w:r>
        <w:separator/>
      </w:r>
    </w:p>
  </w:endnote>
  <w:endnote w:type="continuationSeparator" w:id="0">
    <w:p w:rsidR="00B30790" w:rsidRDefault="00B30790" w:rsidP="0068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9B7" w:rsidRDefault="00AC49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826978"/>
      <w:docPartObj>
        <w:docPartGallery w:val="Page Numbers (Bottom of Page)"/>
        <w:docPartUnique/>
      </w:docPartObj>
    </w:sdtPr>
    <w:sdtEndPr/>
    <w:sdtContent>
      <w:p w:rsidR="00F75F2B" w:rsidRDefault="00AC49B7">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B30790" w:rsidRDefault="00B307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826974"/>
      <w:docPartObj>
        <w:docPartGallery w:val="Page Numbers (Bottom of Page)"/>
        <w:docPartUnique/>
      </w:docPartObj>
    </w:sdtPr>
    <w:sdtEndPr/>
    <w:sdtContent>
      <w:p w:rsidR="00F75F2B" w:rsidRDefault="00AC49B7">
        <w:pPr>
          <w:pStyle w:val="Footer"/>
          <w:jc w:val="center"/>
        </w:pPr>
      </w:p>
    </w:sdtContent>
  </w:sdt>
  <w:p w:rsidR="00F75F2B" w:rsidRDefault="00F75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790" w:rsidRDefault="00B30790" w:rsidP="00687971">
      <w:pPr>
        <w:spacing w:after="0" w:line="240" w:lineRule="auto"/>
      </w:pPr>
      <w:r>
        <w:separator/>
      </w:r>
    </w:p>
  </w:footnote>
  <w:footnote w:type="continuationSeparator" w:id="0">
    <w:p w:rsidR="00B30790" w:rsidRDefault="00B30790" w:rsidP="00687971">
      <w:pPr>
        <w:spacing w:after="0" w:line="240" w:lineRule="auto"/>
      </w:pPr>
      <w:r>
        <w:continuationSeparator/>
      </w:r>
    </w:p>
  </w:footnote>
  <w:footnote w:id="1">
    <w:p w:rsidR="00B30790" w:rsidRPr="00D475B5" w:rsidRDefault="00B30790" w:rsidP="000904E2">
      <w:pPr>
        <w:spacing w:after="0" w:line="240" w:lineRule="auto"/>
        <w:rPr>
          <w:rFonts w:asciiTheme="minorHAnsi" w:hAnsiTheme="minorHAnsi"/>
          <w:sz w:val="20"/>
          <w:szCs w:val="20"/>
        </w:rPr>
      </w:pPr>
      <w:r w:rsidRPr="00D475B5">
        <w:rPr>
          <w:rStyle w:val="FootnoteReference"/>
          <w:rFonts w:asciiTheme="minorHAnsi" w:hAnsiTheme="minorHAnsi"/>
          <w:sz w:val="20"/>
          <w:szCs w:val="20"/>
        </w:rPr>
        <w:footnoteRef/>
      </w:r>
      <w:r w:rsidRPr="00D475B5">
        <w:rPr>
          <w:rFonts w:asciiTheme="minorHAnsi" w:hAnsiTheme="minorHAnsi"/>
          <w:sz w:val="20"/>
          <w:szCs w:val="20"/>
        </w:rPr>
        <w:t xml:space="preserve"> The World Bank-led Extractives for Development (E4D) initiative aims to establish a formal global knowledge partnership to support int</w:t>
      </w:r>
      <w:r>
        <w:rPr>
          <w:rFonts w:asciiTheme="minorHAnsi" w:hAnsiTheme="minorHAnsi"/>
          <w:sz w:val="20"/>
          <w:szCs w:val="20"/>
        </w:rPr>
        <w:t xml:space="preserve">ernational development partners—including </w:t>
      </w:r>
      <w:r w:rsidRPr="00D475B5">
        <w:rPr>
          <w:rFonts w:asciiTheme="minorHAnsi" w:hAnsiTheme="minorHAnsi"/>
          <w:sz w:val="20"/>
          <w:szCs w:val="20"/>
        </w:rPr>
        <w:t>government</w:t>
      </w:r>
      <w:r>
        <w:rPr>
          <w:rFonts w:asciiTheme="minorHAnsi" w:hAnsiTheme="minorHAnsi"/>
          <w:sz w:val="20"/>
          <w:szCs w:val="20"/>
        </w:rPr>
        <w:t>s</w:t>
      </w:r>
      <w:r w:rsidRPr="00D475B5">
        <w:rPr>
          <w:rFonts w:asciiTheme="minorHAnsi" w:hAnsiTheme="minorHAnsi"/>
          <w:sz w:val="20"/>
          <w:szCs w:val="20"/>
        </w:rPr>
        <w:t>, civil society, donors, bi/multilateral development banks, and industry</w:t>
      </w:r>
      <w:r>
        <w:rPr>
          <w:rFonts w:asciiTheme="minorHAnsi" w:hAnsiTheme="minorHAnsi"/>
          <w:sz w:val="20"/>
          <w:szCs w:val="20"/>
        </w:rPr>
        <w:t xml:space="preserve">—to </w:t>
      </w:r>
      <w:r w:rsidRPr="00D475B5">
        <w:rPr>
          <w:rFonts w:asciiTheme="minorHAnsi" w:hAnsiTheme="minorHAnsi"/>
          <w:sz w:val="20"/>
          <w:szCs w:val="20"/>
        </w:rPr>
        <w:t xml:space="preserve">better leverage natural resource </w:t>
      </w:r>
      <w:r>
        <w:rPr>
          <w:rFonts w:asciiTheme="minorHAnsi" w:hAnsiTheme="minorHAnsi"/>
          <w:sz w:val="20"/>
          <w:szCs w:val="20"/>
        </w:rPr>
        <w:t xml:space="preserve">wealth </w:t>
      </w:r>
      <w:r w:rsidRPr="00D475B5">
        <w:rPr>
          <w:rFonts w:asciiTheme="minorHAnsi" w:hAnsiTheme="minorHAnsi"/>
          <w:sz w:val="20"/>
          <w:szCs w:val="20"/>
        </w:rPr>
        <w:t>for development in resource-rich setting</w:t>
      </w:r>
      <w:r>
        <w:rPr>
          <w:rFonts w:asciiTheme="minorHAnsi" w:hAnsiTheme="minorHAnsi"/>
          <w:sz w:val="20"/>
          <w:szCs w:val="20"/>
        </w:rPr>
        <w:t>s</w:t>
      </w:r>
      <w:r w:rsidRPr="00D475B5">
        <w:rPr>
          <w:rFonts w:asciiTheme="minorHAnsi" w:hAnsiTheme="minorHAnsi"/>
          <w:sz w:val="20"/>
          <w:szCs w:val="20"/>
        </w:rPr>
        <w:t>. Through sustained partnerships and collaboration the global platform will: (i) establish a “one stop” knowledge-hub for E4D</w:t>
      </w:r>
      <w:r>
        <w:rPr>
          <w:rFonts w:asciiTheme="minorHAnsi" w:hAnsiTheme="minorHAnsi"/>
          <w:sz w:val="20"/>
          <w:szCs w:val="20"/>
        </w:rPr>
        <w:t>,</w:t>
      </w:r>
      <w:r w:rsidRPr="00D475B5">
        <w:rPr>
          <w:rFonts w:asciiTheme="minorHAnsi" w:hAnsiTheme="minorHAnsi"/>
          <w:sz w:val="20"/>
          <w:szCs w:val="20"/>
        </w:rPr>
        <w:t xml:space="preserve"> supporting learning between the global, country, and regional levels (including through vibrant and sustained on-line resources, such as the EI Source Book), (ii) advance knowledge around a set of demand driven operational frontline issues, and (iii) provide a platform through which international development partners, civil society, and private sector companies can collaborate to help oil, gas, mining resource endowed countries better</w:t>
      </w:r>
      <w:r w:rsidRPr="00D475B5">
        <w:rPr>
          <w:sz w:val="20"/>
          <w:szCs w:val="20"/>
        </w:rPr>
        <w:t xml:space="preserve"> </w:t>
      </w:r>
      <w:r w:rsidRPr="00D475B5">
        <w:rPr>
          <w:rFonts w:asciiTheme="minorHAnsi" w:hAnsiTheme="minorHAnsi"/>
          <w:sz w:val="20"/>
          <w:szCs w:val="20"/>
        </w:rPr>
        <w:t>leverage resources for development.</w:t>
      </w:r>
    </w:p>
  </w:footnote>
  <w:footnote w:id="2">
    <w:p w:rsidR="00B30790" w:rsidRPr="00D475B5" w:rsidRDefault="00B30790" w:rsidP="000904E2">
      <w:pPr>
        <w:pStyle w:val="FootnoteText"/>
        <w:rPr>
          <w:rFonts w:asciiTheme="minorHAnsi" w:hAnsiTheme="minorHAnsi"/>
        </w:rPr>
      </w:pPr>
      <w:r w:rsidRPr="00D475B5">
        <w:rPr>
          <w:rStyle w:val="FootnoteReference"/>
          <w:rFonts w:asciiTheme="minorHAnsi" w:hAnsiTheme="minorHAnsi"/>
        </w:rPr>
        <w:footnoteRef/>
      </w:r>
      <w:r w:rsidRPr="00D475B5">
        <w:rPr>
          <w:rFonts w:asciiTheme="minorHAnsi" w:hAnsiTheme="minorHAnsi"/>
        </w:rPr>
        <w:t xml:space="preserve"> </w:t>
      </w:r>
      <w:r>
        <w:rPr>
          <w:rFonts w:asciiTheme="minorHAnsi" w:hAnsiTheme="minorHAnsi"/>
        </w:rPr>
        <w:t xml:space="preserve">The </w:t>
      </w:r>
      <w:r w:rsidRPr="00D475B5">
        <w:rPr>
          <w:rFonts w:asciiTheme="minorHAnsi" w:hAnsiTheme="minorHAnsi"/>
        </w:rPr>
        <w:t xml:space="preserve">EI Global Knowledge Consortium (GKC) </w:t>
      </w:r>
      <w:r>
        <w:rPr>
          <w:rFonts w:asciiTheme="minorHAnsi" w:hAnsiTheme="minorHAnsi"/>
        </w:rPr>
        <w:t xml:space="preserve">is </w:t>
      </w:r>
      <w:r w:rsidRPr="00D475B5">
        <w:rPr>
          <w:rFonts w:asciiTheme="minorHAnsi" w:hAnsiTheme="minorHAnsi"/>
        </w:rPr>
        <w:t>led by the University of Dundee, and include</w:t>
      </w:r>
      <w:r>
        <w:rPr>
          <w:rFonts w:asciiTheme="minorHAnsi" w:hAnsiTheme="minorHAnsi"/>
        </w:rPr>
        <w:t>s</w:t>
      </w:r>
      <w:r w:rsidRPr="00D475B5">
        <w:rPr>
          <w:rFonts w:asciiTheme="minorHAnsi" w:hAnsiTheme="minorHAnsi"/>
        </w:rPr>
        <w:t xml:space="preserve"> the Universities of Witswatersrand (South Africa) and Queensland (Australia), Adam Smith International (ASI), International Council on Mining and Metals (ICMM), Revenue Watch </w:t>
      </w:r>
      <w:r>
        <w:rPr>
          <w:rFonts w:asciiTheme="minorHAnsi" w:hAnsiTheme="minorHAnsi"/>
        </w:rPr>
        <w:t xml:space="preserve">Institute </w:t>
      </w:r>
      <w:r w:rsidRPr="00D475B5">
        <w:rPr>
          <w:rFonts w:asciiTheme="minorHAnsi" w:hAnsiTheme="minorHAnsi"/>
        </w:rPr>
        <w:t xml:space="preserve">(RWI), the African Center for Economic Transformation, Global Witness, </w:t>
      </w:r>
      <w:r>
        <w:rPr>
          <w:rFonts w:asciiTheme="minorHAnsi" w:hAnsiTheme="minorHAnsi"/>
        </w:rPr>
        <w:t xml:space="preserve">and </w:t>
      </w:r>
      <w:r w:rsidRPr="00D475B5">
        <w:rPr>
          <w:rFonts w:asciiTheme="minorHAnsi" w:hAnsiTheme="minorHAnsi"/>
        </w:rPr>
        <w:t>others.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9B7" w:rsidRDefault="00AC49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90" w:rsidRPr="00ED45A5" w:rsidRDefault="00B30790" w:rsidP="00ED45A5">
    <w:pPr>
      <w:pStyle w:val="NoSpacing"/>
      <w:spacing w:before="100" w:beforeAutospacing="1" w:after="100" w:afterAutospacing="1"/>
      <w:rPr>
        <w:rFonts w:eastAsiaTheme="majorEastAsia" w:cstheme="majorBidi"/>
        <w:b/>
        <w:sz w:val="56"/>
        <w:szCs w:val="56"/>
      </w:rPr>
    </w:pPr>
    <w:r w:rsidRPr="00641E96">
      <w:rPr>
        <w:noProof/>
        <w:lang w:val="en-AU" w:eastAsia="en-AU"/>
      </w:rPr>
      <w:drawing>
        <wp:inline distT="0" distB="0" distL="0" distR="0">
          <wp:extent cx="1409700" cy="885825"/>
          <wp:effectExtent l="1905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duotone>
                      <a:schemeClr val="accent1">
                        <a:shade val="45000"/>
                        <a:satMod val="135000"/>
                      </a:schemeClr>
                      <a:prstClr val="white"/>
                    </a:duotone>
                  </a:blip>
                  <a:srcRect/>
                  <a:stretch>
                    <a:fillRect/>
                  </a:stretch>
                </pic:blipFill>
                <pic:spPr bwMode="auto">
                  <a:xfrm>
                    <a:off x="0" y="0"/>
                    <a:ext cx="1411349" cy="886861"/>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9B7" w:rsidRDefault="00AC49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8A1"/>
    <w:multiLevelType w:val="hybridMultilevel"/>
    <w:tmpl w:val="0A6C4800"/>
    <w:lvl w:ilvl="0" w:tplc="D02012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8732E1"/>
    <w:multiLevelType w:val="hybridMultilevel"/>
    <w:tmpl w:val="3F7E2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1212CF"/>
    <w:multiLevelType w:val="hybridMultilevel"/>
    <w:tmpl w:val="A100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43596B"/>
    <w:multiLevelType w:val="hybridMultilevel"/>
    <w:tmpl w:val="CA5A8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146090"/>
    <w:multiLevelType w:val="hybridMultilevel"/>
    <w:tmpl w:val="F0823A0A"/>
    <w:lvl w:ilvl="0" w:tplc="FF7CCF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67A21"/>
    <w:multiLevelType w:val="hybridMultilevel"/>
    <w:tmpl w:val="1E64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7F4A6B"/>
    <w:multiLevelType w:val="hybridMultilevel"/>
    <w:tmpl w:val="6502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672F4A"/>
    <w:multiLevelType w:val="hybridMultilevel"/>
    <w:tmpl w:val="DDA0CCDA"/>
    <w:lvl w:ilvl="0" w:tplc="D9369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195029"/>
    <w:multiLevelType w:val="hybridMultilevel"/>
    <w:tmpl w:val="0E6E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9857AC"/>
    <w:multiLevelType w:val="hybridMultilevel"/>
    <w:tmpl w:val="5F12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4E349C"/>
    <w:multiLevelType w:val="hybridMultilevel"/>
    <w:tmpl w:val="18C0C652"/>
    <w:lvl w:ilvl="0" w:tplc="FF7CCF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D52EB5"/>
    <w:multiLevelType w:val="hybridMultilevel"/>
    <w:tmpl w:val="12FA86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6A40B85"/>
    <w:multiLevelType w:val="hybridMultilevel"/>
    <w:tmpl w:val="3D6C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49368B"/>
    <w:multiLevelType w:val="hybridMultilevel"/>
    <w:tmpl w:val="5A749AC2"/>
    <w:lvl w:ilvl="0" w:tplc="1A06DFD8">
      <w:start w:val="1"/>
      <w:numFmt w:val="bullet"/>
      <w:lvlText w:val="◦"/>
      <w:lvlJc w:val="left"/>
      <w:pPr>
        <w:tabs>
          <w:tab w:val="num" w:pos="720"/>
        </w:tabs>
        <w:ind w:left="720" w:hanging="360"/>
      </w:pPr>
      <w:rPr>
        <w:rFonts w:ascii="Verdana" w:hAnsi="Verdana" w:hint="default"/>
      </w:rPr>
    </w:lvl>
    <w:lvl w:ilvl="1" w:tplc="04090001">
      <w:start w:val="1"/>
      <w:numFmt w:val="bullet"/>
      <w:lvlText w:val=""/>
      <w:lvlJc w:val="left"/>
      <w:pPr>
        <w:tabs>
          <w:tab w:val="num" w:pos="1440"/>
        </w:tabs>
        <w:ind w:left="1440" w:hanging="360"/>
      </w:pPr>
      <w:rPr>
        <w:rFonts w:ascii="Symbol" w:hAnsi="Symbol" w:hint="default"/>
      </w:rPr>
    </w:lvl>
    <w:lvl w:ilvl="2" w:tplc="757CA4AA" w:tentative="1">
      <w:start w:val="1"/>
      <w:numFmt w:val="bullet"/>
      <w:lvlText w:val="◦"/>
      <w:lvlJc w:val="left"/>
      <w:pPr>
        <w:tabs>
          <w:tab w:val="num" w:pos="2160"/>
        </w:tabs>
        <w:ind w:left="2160" w:hanging="360"/>
      </w:pPr>
      <w:rPr>
        <w:rFonts w:ascii="Verdana" w:hAnsi="Verdana" w:hint="default"/>
      </w:rPr>
    </w:lvl>
    <w:lvl w:ilvl="3" w:tplc="B5D660D4" w:tentative="1">
      <w:start w:val="1"/>
      <w:numFmt w:val="bullet"/>
      <w:lvlText w:val="◦"/>
      <w:lvlJc w:val="left"/>
      <w:pPr>
        <w:tabs>
          <w:tab w:val="num" w:pos="2880"/>
        </w:tabs>
        <w:ind w:left="2880" w:hanging="360"/>
      </w:pPr>
      <w:rPr>
        <w:rFonts w:ascii="Verdana" w:hAnsi="Verdana" w:hint="default"/>
      </w:rPr>
    </w:lvl>
    <w:lvl w:ilvl="4" w:tplc="1B666B80" w:tentative="1">
      <w:start w:val="1"/>
      <w:numFmt w:val="bullet"/>
      <w:lvlText w:val="◦"/>
      <w:lvlJc w:val="left"/>
      <w:pPr>
        <w:tabs>
          <w:tab w:val="num" w:pos="3600"/>
        </w:tabs>
        <w:ind w:left="3600" w:hanging="360"/>
      </w:pPr>
      <w:rPr>
        <w:rFonts w:ascii="Verdana" w:hAnsi="Verdana" w:hint="default"/>
      </w:rPr>
    </w:lvl>
    <w:lvl w:ilvl="5" w:tplc="8D7EAFC8" w:tentative="1">
      <w:start w:val="1"/>
      <w:numFmt w:val="bullet"/>
      <w:lvlText w:val="◦"/>
      <w:lvlJc w:val="left"/>
      <w:pPr>
        <w:tabs>
          <w:tab w:val="num" w:pos="4320"/>
        </w:tabs>
        <w:ind w:left="4320" w:hanging="360"/>
      </w:pPr>
      <w:rPr>
        <w:rFonts w:ascii="Verdana" w:hAnsi="Verdana" w:hint="default"/>
      </w:rPr>
    </w:lvl>
    <w:lvl w:ilvl="6" w:tplc="22BC029C" w:tentative="1">
      <w:start w:val="1"/>
      <w:numFmt w:val="bullet"/>
      <w:lvlText w:val="◦"/>
      <w:lvlJc w:val="left"/>
      <w:pPr>
        <w:tabs>
          <w:tab w:val="num" w:pos="5040"/>
        </w:tabs>
        <w:ind w:left="5040" w:hanging="360"/>
      </w:pPr>
      <w:rPr>
        <w:rFonts w:ascii="Verdana" w:hAnsi="Verdana" w:hint="default"/>
      </w:rPr>
    </w:lvl>
    <w:lvl w:ilvl="7" w:tplc="643850AC" w:tentative="1">
      <w:start w:val="1"/>
      <w:numFmt w:val="bullet"/>
      <w:lvlText w:val="◦"/>
      <w:lvlJc w:val="left"/>
      <w:pPr>
        <w:tabs>
          <w:tab w:val="num" w:pos="5760"/>
        </w:tabs>
        <w:ind w:left="5760" w:hanging="360"/>
      </w:pPr>
      <w:rPr>
        <w:rFonts w:ascii="Verdana" w:hAnsi="Verdana" w:hint="default"/>
      </w:rPr>
    </w:lvl>
    <w:lvl w:ilvl="8" w:tplc="64DE23BA" w:tentative="1">
      <w:start w:val="1"/>
      <w:numFmt w:val="bullet"/>
      <w:lvlText w:val="◦"/>
      <w:lvlJc w:val="left"/>
      <w:pPr>
        <w:tabs>
          <w:tab w:val="num" w:pos="6480"/>
        </w:tabs>
        <w:ind w:left="6480" w:hanging="360"/>
      </w:pPr>
      <w:rPr>
        <w:rFonts w:ascii="Verdana" w:hAnsi="Verdana" w:hint="default"/>
      </w:rPr>
    </w:lvl>
  </w:abstractNum>
  <w:abstractNum w:abstractNumId="14">
    <w:nsid w:val="5C905B3D"/>
    <w:multiLevelType w:val="hybridMultilevel"/>
    <w:tmpl w:val="129A1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D403C02"/>
    <w:multiLevelType w:val="hybridMultilevel"/>
    <w:tmpl w:val="B010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A51CCD"/>
    <w:multiLevelType w:val="hybridMultilevel"/>
    <w:tmpl w:val="2F681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456724E"/>
    <w:multiLevelType w:val="hybridMultilevel"/>
    <w:tmpl w:val="B2B0B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916B49"/>
    <w:multiLevelType w:val="hybridMultilevel"/>
    <w:tmpl w:val="23BC6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9F58F5"/>
    <w:multiLevelType w:val="hybridMultilevel"/>
    <w:tmpl w:val="EFC4D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CA3DE9"/>
    <w:multiLevelType w:val="hybridMultilevel"/>
    <w:tmpl w:val="5952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DB6D71"/>
    <w:multiLevelType w:val="hybridMultilevel"/>
    <w:tmpl w:val="9BAE1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2"/>
  </w:num>
  <w:num w:numId="3">
    <w:abstractNumId w:val="6"/>
  </w:num>
  <w:num w:numId="4">
    <w:abstractNumId w:val="9"/>
  </w:num>
  <w:num w:numId="5">
    <w:abstractNumId w:val="14"/>
  </w:num>
  <w:num w:numId="6">
    <w:abstractNumId w:val="4"/>
  </w:num>
  <w:num w:numId="7">
    <w:abstractNumId w:val="13"/>
  </w:num>
  <w:num w:numId="8">
    <w:abstractNumId w:val="0"/>
  </w:num>
  <w:num w:numId="9">
    <w:abstractNumId w:val="8"/>
  </w:num>
  <w:num w:numId="10">
    <w:abstractNumId w:val="5"/>
  </w:num>
  <w:num w:numId="11">
    <w:abstractNumId w:val="2"/>
  </w:num>
  <w:num w:numId="12">
    <w:abstractNumId w:val="7"/>
  </w:num>
  <w:num w:numId="13">
    <w:abstractNumId w:val="15"/>
  </w:num>
  <w:num w:numId="14">
    <w:abstractNumId w:val="11"/>
  </w:num>
  <w:num w:numId="15">
    <w:abstractNumId w:val="10"/>
  </w:num>
  <w:num w:numId="16">
    <w:abstractNumId w:val="3"/>
  </w:num>
  <w:num w:numId="17">
    <w:abstractNumId w:val="21"/>
  </w:num>
  <w:num w:numId="18">
    <w:abstractNumId w:val="19"/>
  </w:num>
  <w:num w:numId="19">
    <w:abstractNumId w:val="17"/>
  </w:num>
  <w:num w:numId="20">
    <w:abstractNumId w:val="18"/>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20"/>
  <w:displayHorizontalDrawingGridEvery w:val="2"/>
  <w:characterSpacingControl w:val="doNotCompress"/>
  <w:hdrShapeDefaults>
    <o:shapedefaults v:ext="edit" spidmax="18433" style="mso-position-horizontal:center;mso-position-horizontal-relative:right-margin-area;mso-position-vertical:center;mso-position-vertical-relative:bottom-margin-area" fill="f" fillcolor="none [3204]" stroke="f" strokecolor="none [1789]">
      <v:fill color="none [3204]" color2="none [1620]" on="f" type="pattern"/>
      <v:stroke color="none [1789]" on="f"/>
    </o:shapedefaults>
  </w:hdrShapeDefaults>
  <w:footnotePr>
    <w:footnote w:id="-1"/>
    <w:footnote w:id="0"/>
  </w:footnotePr>
  <w:endnotePr>
    <w:endnote w:id="-1"/>
    <w:endnote w:id="0"/>
  </w:endnotePr>
  <w:compat>
    <w:compatSetting w:name="compatibilityMode" w:uri="http://schemas.microsoft.com/office/word" w:val="12"/>
  </w:compat>
  <w:rsids>
    <w:rsidRoot w:val="002833D9"/>
    <w:rsid w:val="00013954"/>
    <w:rsid w:val="000139AF"/>
    <w:rsid w:val="000156C4"/>
    <w:rsid w:val="00020149"/>
    <w:rsid w:val="000315D4"/>
    <w:rsid w:val="00035CD3"/>
    <w:rsid w:val="00037626"/>
    <w:rsid w:val="0004330E"/>
    <w:rsid w:val="00043702"/>
    <w:rsid w:val="00043D09"/>
    <w:rsid w:val="00051314"/>
    <w:rsid w:val="00052647"/>
    <w:rsid w:val="000536C7"/>
    <w:rsid w:val="0005502D"/>
    <w:rsid w:val="000628EB"/>
    <w:rsid w:val="00080112"/>
    <w:rsid w:val="000904E2"/>
    <w:rsid w:val="00094A5B"/>
    <w:rsid w:val="0009536D"/>
    <w:rsid w:val="000A2976"/>
    <w:rsid w:val="000A7542"/>
    <w:rsid w:val="000B13BC"/>
    <w:rsid w:val="000C52B3"/>
    <w:rsid w:val="000C6EF9"/>
    <w:rsid w:val="000D0BE1"/>
    <w:rsid w:val="000E6FC3"/>
    <w:rsid w:val="000F1FCA"/>
    <w:rsid w:val="00104343"/>
    <w:rsid w:val="001146B8"/>
    <w:rsid w:val="001159BF"/>
    <w:rsid w:val="00127D48"/>
    <w:rsid w:val="001411D6"/>
    <w:rsid w:val="001430B0"/>
    <w:rsid w:val="00174C0C"/>
    <w:rsid w:val="00190FBC"/>
    <w:rsid w:val="0019569B"/>
    <w:rsid w:val="001A4DFE"/>
    <w:rsid w:val="001C438D"/>
    <w:rsid w:val="001C7E39"/>
    <w:rsid w:val="001D4C74"/>
    <w:rsid w:val="001E21B9"/>
    <w:rsid w:val="002073EA"/>
    <w:rsid w:val="00214642"/>
    <w:rsid w:val="00220168"/>
    <w:rsid w:val="0022343B"/>
    <w:rsid w:val="002236D7"/>
    <w:rsid w:val="00227DA1"/>
    <w:rsid w:val="002340A3"/>
    <w:rsid w:val="0023744D"/>
    <w:rsid w:val="00243F7C"/>
    <w:rsid w:val="002442B1"/>
    <w:rsid w:val="00263E22"/>
    <w:rsid w:val="002714A1"/>
    <w:rsid w:val="002735B4"/>
    <w:rsid w:val="002756E8"/>
    <w:rsid w:val="002765DB"/>
    <w:rsid w:val="002808D8"/>
    <w:rsid w:val="002833D9"/>
    <w:rsid w:val="002858F3"/>
    <w:rsid w:val="002954AA"/>
    <w:rsid w:val="00295FC0"/>
    <w:rsid w:val="00297319"/>
    <w:rsid w:val="002A48BE"/>
    <w:rsid w:val="002A6FBD"/>
    <w:rsid w:val="002A7FC8"/>
    <w:rsid w:val="002C6CEB"/>
    <w:rsid w:val="002D60C1"/>
    <w:rsid w:val="002D7DFB"/>
    <w:rsid w:val="002E16D7"/>
    <w:rsid w:val="002E46A8"/>
    <w:rsid w:val="002E5EA0"/>
    <w:rsid w:val="00305069"/>
    <w:rsid w:val="00306E22"/>
    <w:rsid w:val="003153AC"/>
    <w:rsid w:val="0031646C"/>
    <w:rsid w:val="003259B0"/>
    <w:rsid w:val="00330E51"/>
    <w:rsid w:val="00334EC9"/>
    <w:rsid w:val="00342A74"/>
    <w:rsid w:val="003458B9"/>
    <w:rsid w:val="00353492"/>
    <w:rsid w:val="003618F8"/>
    <w:rsid w:val="003626F2"/>
    <w:rsid w:val="0037496C"/>
    <w:rsid w:val="00387E13"/>
    <w:rsid w:val="00396F47"/>
    <w:rsid w:val="003A2441"/>
    <w:rsid w:val="003A7729"/>
    <w:rsid w:val="003B4C3C"/>
    <w:rsid w:val="003B6AF2"/>
    <w:rsid w:val="003B76F4"/>
    <w:rsid w:val="003C44F5"/>
    <w:rsid w:val="003D0316"/>
    <w:rsid w:val="003D0A7B"/>
    <w:rsid w:val="003E2B79"/>
    <w:rsid w:val="003E5C26"/>
    <w:rsid w:val="003F2337"/>
    <w:rsid w:val="00424FA2"/>
    <w:rsid w:val="004324ED"/>
    <w:rsid w:val="004479A9"/>
    <w:rsid w:val="004534E4"/>
    <w:rsid w:val="00456307"/>
    <w:rsid w:val="0046641A"/>
    <w:rsid w:val="00467A2B"/>
    <w:rsid w:val="004740FA"/>
    <w:rsid w:val="004761DC"/>
    <w:rsid w:val="00480944"/>
    <w:rsid w:val="004A0B37"/>
    <w:rsid w:val="004B0672"/>
    <w:rsid w:val="004B35BC"/>
    <w:rsid w:val="004B750C"/>
    <w:rsid w:val="004B7AC1"/>
    <w:rsid w:val="004C2640"/>
    <w:rsid w:val="004D02BB"/>
    <w:rsid w:val="004D4708"/>
    <w:rsid w:val="004E0014"/>
    <w:rsid w:val="004E1E08"/>
    <w:rsid w:val="004E63ED"/>
    <w:rsid w:val="004F4290"/>
    <w:rsid w:val="004F4FE1"/>
    <w:rsid w:val="004F7953"/>
    <w:rsid w:val="00501670"/>
    <w:rsid w:val="005120A4"/>
    <w:rsid w:val="0051264A"/>
    <w:rsid w:val="00512B9D"/>
    <w:rsid w:val="0051727B"/>
    <w:rsid w:val="0052641B"/>
    <w:rsid w:val="0053187E"/>
    <w:rsid w:val="00545B2A"/>
    <w:rsid w:val="00556655"/>
    <w:rsid w:val="00556EA3"/>
    <w:rsid w:val="00557BAD"/>
    <w:rsid w:val="00564CA2"/>
    <w:rsid w:val="0058148E"/>
    <w:rsid w:val="005874B4"/>
    <w:rsid w:val="00595575"/>
    <w:rsid w:val="005960C5"/>
    <w:rsid w:val="005A0B7A"/>
    <w:rsid w:val="005A260A"/>
    <w:rsid w:val="005B1079"/>
    <w:rsid w:val="005B1915"/>
    <w:rsid w:val="005C126A"/>
    <w:rsid w:val="005C68FE"/>
    <w:rsid w:val="005C7F35"/>
    <w:rsid w:val="005D4D47"/>
    <w:rsid w:val="005E525F"/>
    <w:rsid w:val="005F6D85"/>
    <w:rsid w:val="00611645"/>
    <w:rsid w:val="00611A45"/>
    <w:rsid w:val="00614B0E"/>
    <w:rsid w:val="00620AE2"/>
    <w:rsid w:val="006239E0"/>
    <w:rsid w:val="00624060"/>
    <w:rsid w:val="006268AE"/>
    <w:rsid w:val="006336C1"/>
    <w:rsid w:val="00633B3B"/>
    <w:rsid w:val="006400C5"/>
    <w:rsid w:val="00640365"/>
    <w:rsid w:val="00641E96"/>
    <w:rsid w:val="00647474"/>
    <w:rsid w:val="00654289"/>
    <w:rsid w:val="00654B20"/>
    <w:rsid w:val="00656A1B"/>
    <w:rsid w:val="00660E5F"/>
    <w:rsid w:val="00665F7E"/>
    <w:rsid w:val="0068167A"/>
    <w:rsid w:val="0068219F"/>
    <w:rsid w:val="0068339A"/>
    <w:rsid w:val="00686851"/>
    <w:rsid w:val="00687971"/>
    <w:rsid w:val="006939A2"/>
    <w:rsid w:val="006966BD"/>
    <w:rsid w:val="006A2D62"/>
    <w:rsid w:val="006A3F62"/>
    <w:rsid w:val="006A4CB8"/>
    <w:rsid w:val="006A6EE4"/>
    <w:rsid w:val="006C5B74"/>
    <w:rsid w:val="006D3F2C"/>
    <w:rsid w:val="006D4678"/>
    <w:rsid w:val="006D7759"/>
    <w:rsid w:val="006D7A31"/>
    <w:rsid w:val="006E3191"/>
    <w:rsid w:val="006E3BCC"/>
    <w:rsid w:val="006F2D15"/>
    <w:rsid w:val="007025CE"/>
    <w:rsid w:val="007119AD"/>
    <w:rsid w:val="00713931"/>
    <w:rsid w:val="00716812"/>
    <w:rsid w:val="00724C74"/>
    <w:rsid w:val="00732F93"/>
    <w:rsid w:val="00743AFA"/>
    <w:rsid w:val="00744CC1"/>
    <w:rsid w:val="00747382"/>
    <w:rsid w:val="00752775"/>
    <w:rsid w:val="00757821"/>
    <w:rsid w:val="007634CF"/>
    <w:rsid w:val="00775471"/>
    <w:rsid w:val="00775B02"/>
    <w:rsid w:val="00781484"/>
    <w:rsid w:val="00787976"/>
    <w:rsid w:val="007A4D20"/>
    <w:rsid w:val="007A5962"/>
    <w:rsid w:val="007B1330"/>
    <w:rsid w:val="007B4303"/>
    <w:rsid w:val="007C07AF"/>
    <w:rsid w:val="007C1928"/>
    <w:rsid w:val="007C20FE"/>
    <w:rsid w:val="007C71F2"/>
    <w:rsid w:val="007C75EF"/>
    <w:rsid w:val="007D0407"/>
    <w:rsid w:val="007D408A"/>
    <w:rsid w:val="007D5A58"/>
    <w:rsid w:val="007D65CE"/>
    <w:rsid w:val="007E4B35"/>
    <w:rsid w:val="007E5132"/>
    <w:rsid w:val="007E5307"/>
    <w:rsid w:val="00801B9B"/>
    <w:rsid w:val="00803DC1"/>
    <w:rsid w:val="008057CB"/>
    <w:rsid w:val="0080623D"/>
    <w:rsid w:val="00833A75"/>
    <w:rsid w:val="00837768"/>
    <w:rsid w:val="00844ADF"/>
    <w:rsid w:val="00857515"/>
    <w:rsid w:val="00862D2F"/>
    <w:rsid w:val="008666AB"/>
    <w:rsid w:val="008669DA"/>
    <w:rsid w:val="00866DD8"/>
    <w:rsid w:val="00872C23"/>
    <w:rsid w:val="00872E4C"/>
    <w:rsid w:val="0087686F"/>
    <w:rsid w:val="00876CF0"/>
    <w:rsid w:val="00880501"/>
    <w:rsid w:val="00887A37"/>
    <w:rsid w:val="008910A0"/>
    <w:rsid w:val="00891D52"/>
    <w:rsid w:val="008936CB"/>
    <w:rsid w:val="00893804"/>
    <w:rsid w:val="008A6063"/>
    <w:rsid w:val="008B1585"/>
    <w:rsid w:val="008B6491"/>
    <w:rsid w:val="008C209B"/>
    <w:rsid w:val="008C6925"/>
    <w:rsid w:val="008C6935"/>
    <w:rsid w:val="008C6C9A"/>
    <w:rsid w:val="008D0CFB"/>
    <w:rsid w:val="008D336C"/>
    <w:rsid w:val="008E71DF"/>
    <w:rsid w:val="008E7F2B"/>
    <w:rsid w:val="008F0A74"/>
    <w:rsid w:val="008F66B7"/>
    <w:rsid w:val="00900080"/>
    <w:rsid w:val="00904786"/>
    <w:rsid w:val="009063AA"/>
    <w:rsid w:val="00910646"/>
    <w:rsid w:val="00924565"/>
    <w:rsid w:val="0092474B"/>
    <w:rsid w:val="00931661"/>
    <w:rsid w:val="00934AC9"/>
    <w:rsid w:val="00940747"/>
    <w:rsid w:val="009469F4"/>
    <w:rsid w:val="009470D6"/>
    <w:rsid w:val="009544B3"/>
    <w:rsid w:val="00965C58"/>
    <w:rsid w:val="00976F7A"/>
    <w:rsid w:val="00984B91"/>
    <w:rsid w:val="009A0E2A"/>
    <w:rsid w:val="009A4242"/>
    <w:rsid w:val="009B6C57"/>
    <w:rsid w:val="009C19E5"/>
    <w:rsid w:val="009C5A81"/>
    <w:rsid w:val="009C6503"/>
    <w:rsid w:val="009D2E0D"/>
    <w:rsid w:val="009E22BC"/>
    <w:rsid w:val="009E63E1"/>
    <w:rsid w:val="009F16B9"/>
    <w:rsid w:val="00A034A2"/>
    <w:rsid w:val="00A14B41"/>
    <w:rsid w:val="00A15C22"/>
    <w:rsid w:val="00A247D6"/>
    <w:rsid w:val="00A32A4E"/>
    <w:rsid w:val="00A353CD"/>
    <w:rsid w:val="00A4336A"/>
    <w:rsid w:val="00A50D69"/>
    <w:rsid w:val="00A52069"/>
    <w:rsid w:val="00A52861"/>
    <w:rsid w:val="00A802A9"/>
    <w:rsid w:val="00A82542"/>
    <w:rsid w:val="00A857B2"/>
    <w:rsid w:val="00AB7A96"/>
    <w:rsid w:val="00AC49B7"/>
    <w:rsid w:val="00AD179C"/>
    <w:rsid w:val="00AD313C"/>
    <w:rsid w:val="00AE2832"/>
    <w:rsid w:val="00AE334C"/>
    <w:rsid w:val="00AF1F0A"/>
    <w:rsid w:val="00B07DFB"/>
    <w:rsid w:val="00B102D3"/>
    <w:rsid w:val="00B136D2"/>
    <w:rsid w:val="00B147D7"/>
    <w:rsid w:val="00B15B1B"/>
    <w:rsid w:val="00B20B87"/>
    <w:rsid w:val="00B2322B"/>
    <w:rsid w:val="00B25082"/>
    <w:rsid w:val="00B25EAB"/>
    <w:rsid w:val="00B30079"/>
    <w:rsid w:val="00B30790"/>
    <w:rsid w:val="00B32725"/>
    <w:rsid w:val="00B36969"/>
    <w:rsid w:val="00B4298B"/>
    <w:rsid w:val="00B464DA"/>
    <w:rsid w:val="00B4664C"/>
    <w:rsid w:val="00B5345F"/>
    <w:rsid w:val="00B54C51"/>
    <w:rsid w:val="00B606A6"/>
    <w:rsid w:val="00B660CB"/>
    <w:rsid w:val="00B73F12"/>
    <w:rsid w:val="00B753B4"/>
    <w:rsid w:val="00B760FE"/>
    <w:rsid w:val="00B90319"/>
    <w:rsid w:val="00B95D5B"/>
    <w:rsid w:val="00BA3AD9"/>
    <w:rsid w:val="00BA440A"/>
    <w:rsid w:val="00BC1508"/>
    <w:rsid w:val="00BC5915"/>
    <w:rsid w:val="00BE5B38"/>
    <w:rsid w:val="00BE5E66"/>
    <w:rsid w:val="00BF0E1D"/>
    <w:rsid w:val="00BF5829"/>
    <w:rsid w:val="00BF726F"/>
    <w:rsid w:val="00BF798E"/>
    <w:rsid w:val="00C0758E"/>
    <w:rsid w:val="00C12AE8"/>
    <w:rsid w:val="00C1666B"/>
    <w:rsid w:val="00C25F9A"/>
    <w:rsid w:val="00C267BD"/>
    <w:rsid w:val="00C36F73"/>
    <w:rsid w:val="00C51ED2"/>
    <w:rsid w:val="00C5615A"/>
    <w:rsid w:val="00C661C7"/>
    <w:rsid w:val="00C7189C"/>
    <w:rsid w:val="00C71BEA"/>
    <w:rsid w:val="00C7274C"/>
    <w:rsid w:val="00C733F5"/>
    <w:rsid w:val="00C73AA8"/>
    <w:rsid w:val="00C80ACB"/>
    <w:rsid w:val="00C90489"/>
    <w:rsid w:val="00C9676E"/>
    <w:rsid w:val="00C97807"/>
    <w:rsid w:val="00CA00EE"/>
    <w:rsid w:val="00CA134D"/>
    <w:rsid w:val="00CB7F46"/>
    <w:rsid w:val="00CC3B5B"/>
    <w:rsid w:val="00CC4A7D"/>
    <w:rsid w:val="00CC7263"/>
    <w:rsid w:val="00CC734F"/>
    <w:rsid w:val="00CF5774"/>
    <w:rsid w:val="00CF6501"/>
    <w:rsid w:val="00D002EB"/>
    <w:rsid w:val="00D030C9"/>
    <w:rsid w:val="00D034C6"/>
    <w:rsid w:val="00D034E9"/>
    <w:rsid w:val="00D06169"/>
    <w:rsid w:val="00D10A78"/>
    <w:rsid w:val="00D20E1A"/>
    <w:rsid w:val="00D212DA"/>
    <w:rsid w:val="00D24755"/>
    <w:rsid w:val="00D475B5"/>
    <w:rsid w:val="00D5279E"/>
    <w:rsid w:val="00D53F6D"/>
    <w:rsid w:val="00D545AF"/>
    <w:rsid w:val="00D5520C"/>
    <w:rsid w:val="00D61DFA"/>
    <w:rsid w:val="00D766EB"/>
    <w:rsid w:val="00D90F61"/>
    <w:rsid w:val="00DB1E5D"/>
    <w:rsid w:val="00DB29BF"/>
    <w:rsid w:val="00DB34A2"/>
    <w:rsid w:val="00DB452B"/>
    <w:rsid w:val="00DC0E9C"/>
    <w:rsid w:val="00DE03CA"/>
    <w:rsid w:val="00DE199E"/>
    <w:rsid w:val="00DE7D71"/>
    <w:rsid w:val="00E00058"/>
    <w:rsid w:val="00E03576"/>
    <w:rsid w:val="00E03B24"/>
    <w:rsid w:val="00E03EFC"/>
    <w:rsid w:val="00E049C2"/>
    <w:rsid w:val="00E11673"/>
    <w:rsid w:val="00E16DCA"/>
    <w:rsid w:val="00E210D6"/>
    <w:rsid w:val="00E23748"/>
    <w:rsid w:val="00E30A30"/>
    <w:rsid w:val="00E364A3"/>
    <w:rsid w:val="00E52F7D"/>
    <w:rsid w:val="00E56D0D"/>
    <w:rsid w:val="00E656CA"/>
    <w:rsid w:val="00E66827"/>
    <w:rsid w:val="00E67341"/>
    <w:rsid w:val="00E70CA1"/>
    <w:rsid w:val="00E75DC3"/>
    <w:rsid w:val="00E9119C"/>
    <w:rsid w:val="00E94EA0"/>
    <w:rsid w:val="00E9511C"/>
    <w:rsid w:val="00E97BB5"/>
    <w:rsid w:val="00EA0EF4"/>
    <w:rsid w:val="00EB0EEC"/>
    <w:rsid w:val="00EB40F2"/>
    <w:rsid w:val="00EC173D"/>
    <w:rsid w:val="00EC39E8"/>
    <w:rsid w:val="00EC7CA0"/>
    <w:rsid w:val="00ED0823"/>
    <w:rsid w:val="00ED098B"/>
    <w:rsid w:val="00ED0AA6"/>
    <w:rsid w:val="00ED45A5"/>
    <w:rsid w:val="00ED6AA5"/>
    <w:rsid w:val="00EE292B"/>
    <w:rsid w:val="00EF3B57"/>
    <w:rsid w:val="00EF4580"/>
    <w:rsid w:val="00EF5A41"/>
    <w:rsid w:val="00F00D61"/>
    <w:rsid w:val="00F02BEF"/>
    <w:rsid w:val="00F037AB"/>
    <w:rsid w:val="00F05EEA"/>
    <w:rsid w:val="00F079BB"/>
    <w:rsid w:val="00F07AB5"/>
    <w:rsid w:val="00F102F5"/>
    <w:rsid w:val="00F11833"/>
    <w:rsid w:val="00F1272A"/>
    <w:rsid w:val="00F12D23"/>
    <w:rsid w:val="00F16482"/>
    <w:rsid w:val="00F21A77"/>
    <w:rsid w:val="00F24D43"/>
    <w:rsid w:val="00F36321"/>
    <w:rsid w:val="00F467C9"/>
    <w:rsid w:val="00F5364C"/>
    <w:rsid w:val="00F53908"/>
    <w:rsid w:val="00F54AB5"/>
    <w:rsid w:val="00F5605A"/>
    <w:rsid w:val="00F611A0"/>
    <w:rsid w:val="00F62500"/>
    <w:rsid w:val="00F70D75"/>
    <w:rsid w:val="00F75F2B"/>
    <w:rsid w:val="00F813CE"/>
    <w:rsid w:val="00F84B79"/>
    <w:rsid w:val="00F86886"/>
    <w:rsid w:val="00F95631"/>
    <w:rsid w:val="00FB07F2"/>
    <w:rsid w:val="00FC4693"/>
    <w:rsid w:val="00FD7367"/>
    <w:rsid w:val="00FE595D"/>
    <w:rsid w:val="00FF59F8"/>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style="mso-position-horizontal:center;mso-position-horizontal-relative:right-margin-area;mso-position-vertical:center;mso-position-vertical-relative:bottom-margin-area" fill="f" fillcolor="none [3204]" stroke="f" strokecolor="none [1789]">
      <v:fill color="none [3204]" color2="none [1620]" on="f" type="pattern"/>
      <v:stroke color="none [1789]"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833D9"/>
    <w:pPr>
      <w:spacing w:after="0" w:line="240" w:lineRule="auto"/>
    </w:pPr>
    <w:rPr>
      <w:rFonts w:asciiTheme="minorHAnsi" w:eastAsiaTheme="minorEastAsia" w:hAnsiTheme="minorHAnsi" w:cstheme="minorBidi"/>
      <w:sz w:val="22"/>
    </w:rPr>
  </w:style>
  <w:style w:type="character" w:customStyle="1" w:styleId="NoSpacingChar">
    <w:name w:val="No Spacing Char"/>
    <w:basedOn w:val="DefaultParagraphFont"/>
    <w:link w:val="NoSpacing"/>
    <w:uiPriority w:val="1"/>
    <w:rsid w:val="002833D9"/>
    <w:rPr>
      <w:rFonts w:asciiTheme="minorHAnsi" w:eastAsiaTheme="minorEastAsia" w:hAnsiTheme="minorHAnsi" w:cstheme="minorBidi"/>
      <w:sz w:val="22"/>
    </w:rPr>
  </w:style>
  <w:style w:type="paragraph" w:styleId="BalloonText">
    <w:name w:val="Balloon Text"/>
    <w:basedOn w:val="Normal"/>
    <w:link w:val="BalloonTextChar"/>
    <w:uiPriority w:val="99"/>
    <w:semiHidden/>
    <w:unhideWhenUsed/>
    <w:rsid w:val="00283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3D9"/>
    <w:rPr>
      <w:rFonts w:ascii="Tahoma" w:hAnsi="Tahoma" w:cs="Tahoma"/>
      <w:sz w:val="16"/>
      <w:szCs w:val="16"/>
    </w:rPr>
  </w:style>
  <w:style w:type="paragraph" w:styleId="Header">
    <w:name w:val="header"/>
    <w:basedOn w:val="Normal"/>
    <w:link w:val="HeaderChar"/>
    <w:uiPriority w:val="99"/>
    <w:unhideWhenUsed/>
    <w:rsid w:val="00687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971"/>
  </w:style>
  <w:style w:type="paragraph" w:styleId="Footer">
    <w:name w:val="footer"/>
    <w:basedOn w:val="Normal"/>
    <w:link w:val="FooterChar"/>
    <w:uiPriority w:val="99"/>
    <w:unhideWhenUsed/>
    <w:rsid w:val="00687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971"/>
  </w:style>
  <w:style w:type="paragraph" w:styleId="ListParagraph">
    <w:name w:val="List Paragraph"/>
    <w:basedOn w:val="Normal"/>
    <w:uiPriority w:val="34"/>
    <w:qFormat/>
    <w:rsid w:val="002A6FBD"/>
    <w:pPr>
      <w:ind w:left="720"/>
      <w:contextualSpacing/>
    </w:pPr>
  </w:style>
  <w:style w:type="character" w:styleId="CommentReference">
    <w:name w:val="annotation reference"/>
    <w:basedOn w:val="DefaultParagraphFont"/>
    <w:uiPriority w:val="99"/>
    <w:semiHidden/>
    <w:unhideWhenUsed/>
    <w:rsid w:val="00043702"/>
    <w:rPr>
      <w:sz w:val="16"/>
      <w:szCs w:val="16"/>
    </w:rPr>
  </w:style>
  <w:style w:type="paragraph" w:styleId="CommentText">
    <w:name w:val="annotation text"/>
    <w:basedOn w:val="Normal"/>
    <w:link w:val="CommentTextChar"/>
    <w:uiPriority w:val="99"/>
    <w:semiHidden/>
    <w:unhideWhenUsed/>
    <w:rsid w:val="00043702"/>
    <w:pPr>
      <w:spacing w:line="240" w:lineRule="auto"/>
    </w:pPr>
    <w:rPr>
      <w:sz w:val="20"/>
      <w:szCs w:val="20"/>
    </w:rPr>
  </w:style>
  <w:style w:type="character" w:customStyle="1" w:styleId="CommentTextChar">
    <w:name w:val="Comment Text Char"/>
    <w:basedOn w:val="DefaultParagraphFont"/>
    <w:link w:val="CommentText"/>
    <w:uiPriority w:val="99"/>
    <w:semiHidden/>
    <w:rsid w:val="00043702"/>
    <w:rPr>
      <w:sz w:val="20"/>
      <w:szCs w:val="20"/>
    </w:rPr>
  </w:style>
  <w:style w:type="paragraph" w:styleId="CommentSubject">
    <w:name w:val="annotation subject"/>
    <w:basedOn w:val="CommentText"/>
    <w:next w:val="CommentText"/>
    <w:link w:val="CommentSubjectChar"/>
    <w:uiPriority w:val="99"/>
    <w:semiHidden/>
    <w:unhideWhenUsed/>
    <w:rsid w:val="00043702"/>
    <w:rPr>
      <w:b/>
      <w:bCs/>
    </w:rPr>
  </w:style>
  <w:style w:type="character" w:customStyle="1" w:styleId="CommentSubjectChar">
    <w:name w:val="Comment Subject Char"/>
    <w:basedOn w:val="CommentTextChar"/>
    <w:link w:val="CommentSubject"/>
    <w:uiPriority w:val="99"/>
    <w:semiHidden/>
    <w:rsid w:val="00043702"/>
    <w:rPr>
      <w:b/>
      <w:bCs/>
      <w:sz w:val="20"/>
      <w:szCs w:val="20"/>
    </w:rPr>
  </w:style>
  <w:style w:type="paragraph" w:styleId="Revision">
    <w:name w:val="Revision"/>
    <w:hidden/>
    <w:uiPriority w:val="99"/>
    <w:semiHidden/>
    <w:rsid w:val="00043702"/>
    <w:pPr>
      <w:spacing w:after="0" w:line="240" w:lineRule="auto"/>
    </w:pPr>
  </w:style>
  <w:style w:type="paragraph" w:customStyle="1" w:styleId="Default">
    <w:name w:val="Default"/>
    <w:rsid w:val="00043702"/>
    <w:pPr>
      <w:autoSpaceDE w:val="0"/>
      <w:autoSpaceDN w:val="0"/>
      <w:adjustRightInd w:val="0"/>
      <w:spacing w:after="0" w:line="240" w:lineRule="auto"/>
    </w:pPr>
    <w:rPr>
      <w:rFonts w:ascii="TimesNewRoman,Bold" w:eastAsia="Times New Roman" w:hAnsi="TimesNewRoman,Bold"/>
      <w:sz w:val="20"/>
      <w:szCs w:val="20"/>
    </w:rPr>
  </w:style>
  <w:style w:type="paragraph" w:styleId="FootnoteText">
    <w:name w:val="footnote text"/>
    <w:basedOn w:val="Normal"/>
    <w:link w:val="FootnoteTextChar"/>
    <w:uiPriority w:val="99"/>
    <w:unhideWhenUsed/>
    <w:rsid w:val="0068339A"/>
    <w:pPr>
      <w:spacing w:after="0" w:line="240" w:lineRule="auto"/>
    </w:pPr>
    <w:rPr>
      <w:sz w:val="20"/>
      <w:szCs w:val="20"/>
    </w:rPr>
  </w:style>
  <w:style w:type="character" w:customStyle="1" w:styleId="FootnoteTextChar">
    <w:name w:val="Footnote Text Char"/>
    <w:basedOn w:val="DefaultParagraphFont"/>
    <w:link w:val="FootnoteText"/>
    <w:uiPriority w:val="99"/>
    <w:rsid w:val="0068339A"/>
    <w:rPr>
      <w:sz w:val="20"/>
      <w:szCs w:val="20"/>
    </w:rPr>
  </w:style>
  <w:style w:type="character" w:styleId="FootnoteReference">
    <w:name w:val="footnote reference"/>
    <w:basedOn w:val="DefaultParagraphFont"/>
    <w:uiPriority w:val="99"/>
    <w:semiHidden/>
    <w:unhideWhenUsed/>
    <w:rsid w:val="0068339A"/>
    <w:rPr>
      <w:vertAlign w:val="superscript"/>
    </w:rPr>
  </w:style>
  <w:style w:type="table" w:styleId="MediumGrid1-Accent1">
    <w:name w:val="Medium Grid 1 Accent 1"/>
    <w:basedOn w:val="TableNormal"/>
    <w:uiPriority w:val="67"/>
    <w:rsid w:val="002D7DF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ntenttitle">
    <w:name w:val="contenttitle"/>
    <w:basedOn w:val="DefaultParagraphFont"/>
    <w:rsid w:val="002D7DFB"/>
  </w:style>
  <w:style w:type="character" w:styleId="Hyperlink">
    <w:name w:val="Hyperlink"/>
    <w:basedOn w:val="DefaultParagraphFont"/>
    <w:uiPriority w:val="99"/>
    <w:unhideWhenUsed/>
    <w:rsid w:val="00CA134D"/>
    <w:rPr>
      <w:color w:val="0000FF"/>
      <w:u w:val="single"/>
    </w:rPr>
  </w:style>
  <w:style w:type="table" w:styleId="TableGrid">
    <w:name w:val="Table Grid"/>
    <w:basedOn w:val="TableNormal"/>
    <w:uiPriority w:val="59"/>
    <w:rsid w:val="00E30A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E30A3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30A3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Accent11">
    <w:name w:val="Light List - Accent 11"/>
    <w:basedOn w:val="TableNormal"/>
    <w:uiPriority w:val="61"/>
    <w:rsid w:val="00E30A3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07848">
      <w:bodyDiv w:val="1"/>
      <w:marLeft w:val="0"/>
      <w:marRight w:val="0"/>
      <w:marTop w:val="0"/>
      <w:marBottom w:val="0"/>
      <w:divBdr>
        <w:top w:val="none" w:sz="0" w:space="0" w:color="auto"/>
        <w:left w:val="none" w:sz="0" w:space="0" w:color="auto"/>
        <w:bottom w:val="none" w:sz="0" w:space="0" w:color="auto"/>
        <w:right w:val="none" w:sz="0" w:space="0" w:color="auto"/>
      </w:divBdr>
    </w:div>
    <w:div w:id="557278385">
      <w:bodyDiv w:val="1"/>
      <w:marLeft w:val="0"/>
      <w:marRight w:val="0"/>
      <w:marTop w:val="0"/>
      <w:marBottom w:val="0"/>
      <w:divBdr>
        <w:top w:val="none" w:sz="0" w:space="0" w:color="auto"/>
        <w:left w:val="none" w:sz="0" w:space="0" w:color="auto"/>
        <w:bottom w:val="none" w:sz="0" w:space="0" w:color="auto"/>
        <w:right w:val="none" w:sz="0" w:space="0" w:color="auto"/>
      </w:divBdr>
    </w:div>
    <w:div w:id="592402171">
      <w:bodyDiv w:val="1"/>
      <w:marLeft w:val="0"/>
      <w:marRight w:val="0"/>
      <w:marTop w:val="0"/>
      <w:marBottom w:val="0"/>
      <w:divBdr>
        <w:top w:val="none" w:sz="0" w:space="0" w:color="auto"/>
        <w:left w:val="none" w:sz="0" w:space="0" w:color="auto"/>
        <w:bottom w:val="none" w:sz="0" w:space="0" w:color="auto"/>
        <w:right w:val="none" w:sz="0" w:space="0" w:color="auto"/>
      </w:divBdr>
    </w:div>
    <w:div w:id="601836555">
      <w:bodyDiv w:val="1"/>
      <w:marLeft w:val="0"/>
      <w:marRight w:val="0"/>
      <w:marTop w:val="0"/>
      <w:marBottom w:val="0"/>
      <w:divBdr>
        <w:top w:val="none" w:sz="0" w:space="0" w:color="auto"/>
        <w:left w:val="none" w:sz="0" w:space="0" w:color="auto"/>
        <w:bottom w:val="none" w:sz="0" w:space="0" w:color="auto"/>
        <w:right w:val="none" w:sz="0" w:space="0" w:color="auto"/>
      </w:divBdr>
    </w:div>
    <w:div w:id="642544193">
      <w:bodyDiv w:val="1"/>
      <w:marLeft w:val="0"/>
      <w:marRight w:val="0"/>
      <w:marTop w:val="0"/>
      <w:marBottom w:val="0"/>
      <w:divBdr>
        <w:top w:val="none" w:sz="0" w:space="0" w:color="auto"/>
        <w:left w:val="none" w:sz="0" w:space="0" w:color="auto"/>
        <w:bottom w:val="none" w:sz="0" w:space="0" w:color="auto"/>
        <w:right w:val="none" w:sz="0" w:space="0" w:color="auto"/>
      </w:divBdr>
    </w:div>
    <w:div w:id="738021157">
      <w:bodyDiv w:val="1"/>
      <w:marLeft w:val="0"/>
      <w:marRight w:val="0"/>
      <w:marTop w:val="0"/>
      <w:marBottom w:val="0"/>
      <w:divBdr>
        <w:top w:val="none" w:sz="0" w:space="0" w:color="auto"/>
        <w:left w:val="none" w:sz="0" w:space="0" w:color="auto"/>
        <w:bottom w:val="none" w:sz="0" w:space="0" w:color="auto"/>
        <w:right w:val="none" w:sz="0" w:space="0" w:color="auto"/>
      </w:divBdr>
    </w:div>
    <w:div w:id="821431598">
      <w:bodyDiv w:val="1"/>
      <w:marLeft w:val="0"/>
      <w:marRight w:val="0"/>
      <w:marTop w:val="0"/>
      <w:marBottom w:val="0"/>
      <w:divBdr>
        <w:top w:val="none" w:sz="0" w:space="0" w:color="auto"/>
        <w:left w:val="none" w:sz="0" w:space="0" w:color="auto"/>
        <w:bottom w:val="none" w:sz="0" w:space="0" w:color="auto"/>
        <w:right w:val="none" w:sz="0" w:space="0" w:color="auto"/>
      </w:divBdr>
    </w:div>
    <w:div w:id="837504673">
      <w:bodyDiv w:val="1"/>
      <w:marLeft w:val="0"/>
      <w:marRight w:val="0"/>
      <w:marTop w:val="0"/>
      <w:marBottom w:val="0"/>
      <w:divBdr>
        <w:top w:val="none" w:sz="0" w:space="0" w:color="auto"/>
        <w:left w:val="none" w:sz="0" w:space="0" w:color="auto"/>
        <w:bottom w:val="none" w:sz="0" w:space="0" w:color="auto"/>
        <w:right w:val="none" w:sz="0" w:space="0" w:color="auto"/>
      </w:divBdr>
    </w:div>
    <w:div w:id="877351087">
      <w:bodyDiv w:val="1"/>
      <w:marLeft w:val="0"/>
      <w:marRight w:val="0"/>
      <w:marTop w:val="0"/>
      <w:marBottom w:val="0"/>
      <w:divBdr>
        <w:top w:val="none" w:sz="0" w:space="0" w:color="auto"/>
        <w:left w:val="none" w:sz="0" w:space="0" w:color="auto"/>
        <w:bottom w:val="none" w:sz="0" w:space="0" w:color="auto"/>
        <w:right w:val="none" w:sz="0" w:space="0" w:color="auto"/>
      </w:divBdr>
    </w:div>
    <w:div w:id="1091313120">
      <w:bodyDiv w:val="1"/>
      <w:marLeft w:val="0"/>
      <w:marRight w:val="0"/>
      <w:marTop w:val="0"/>
      <w:marBottom w:val="0"/>
      <w:divBdr>
        <w:top w:val="none" w:sz="0" w:space="0" w:color="auto"/>
        <w:left w:val="none" w:sz="0" w:space="0" w:color="auto"/>
        <w:bottom w:val="none" w:sz="0" w:space="0" w:color="auto"/>
        <w:right w:val="none" w:sz="0" w:space="0" w:color="auto"/>
      </w:divBdr>
    </w:div>
    <w:div w:id="19402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eisourcebook.org" TargetMode="External"/><Relationship Id="rId17" Type="http://schemas.openxmlformats.org/officeDocument/2006/relationships/footer" Target="footer1.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customXml" Target="../customXml/item4.xm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01F93C06-9436-42E9-B592-1A4C96A62116}"/>
</file>

<file path=customXml/itemProps3.xml><?xml version="1.0" encoding="utf-8"?>
<ds:datastoreItem xmlns:ds="http://schemas.openxmlformats.org/officeDocument/2006/customXml" ds:itemID="{FA58891C-958D-4AFC-8FB8-94FDFFDBB4C5}"/>
</file>

<file path=customXml/itemProps4.xml><?xml version="1.0" encoding="utf-8"?>
<ds:datastoreItem xmlns:ds="http://schemas.openxmlformats.org/officeDocument/2006/customXml" ds:itemID="{38A7E953-CBA1-4403-BFAF-0757D38DDCCD}"/>
</file>

<file path=customXml/itemProps5.xml><?xml version="1.0" encoding="utf-8"?>
<ds:datastoreItem xmlns:ds="http://schemas.openxmlformats.org/officeDocument/2006/customXml" ds:itemID="{EDD9D3DC-2A9D-4178-8845-BE7C89C961BB}"/>
</file>

<file path=docProps/app.xml><?xml version="1.0" encoding="utf-8"?>
<Properties xmlns="http://schemas.openxmlformats.org/officeDocument/2006/extended-properties" xmlns:vt="http://schemas.openxmlformats.org/officeDocument/2006/docPropsVTypes">
  <Template>Normal.dotm</Template>
  <TotalTime>0</TotalTime>
  <Pages>15</Pages>
  <Words>5341</Words>
  <Characters>30445</Characters>
  <Application>Microsoft Office Word</Application>
  <DocSecurity>0</DocSecurity>
  <Lines>253</Lines>
  <Paragraphs>71</Paragraphs>
  <ScaleCrop>false</ScaleCrop>
  <Company/>
  <LinksUpToDate>false</LinksUpToDate>
  <CharactersWithSpaces>35715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2013-02-04T23:05:00Z</dcterms:created>
  <dcterms:modified xsi:type="dcterms:W3CDTF">2013-02-04T23:05:00Z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