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9.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5026A" w14:textId="397B9B12" w:rsidR="0050529F" w:rsidRPr="00D17249" w:rsidRDefault="000D4D23" w:rsidP="00256840">
      <w:pPr>
        <w:pStyle w:val="Title"/>
        <w:spacing w:after="120"/>
        <w:ind w:right="-313"/>
      </w:pPr>
      <w:bookmarkStart w:id="0" w:name="_GoBack"/>
      <w:bookmarkEnd w:id="0"/>
      <w:r w:rsidRPr="00CA6DB6">
        <w:t>Aid Program Performance Report</w:t>
      </w:r>
      <w:r w:rsidR="002C7662">
        <w:t xml:space="preserve"> </w:t>
      </w:r>
      <w:r w:rsidRPr="00CA6DB6">
        <w:t>2012</w:t>
      </w:r>
      <w:r w:rsidRPr="00052BF3">
        <w:t>−</w:t>
      </w:r>
      <w:r w:rsidRPr="00CA6DB6">
        <w:t xml:space="preserve">13 </w:t>
      </w:r>
      <w:r w:rsidR="002C7662">
        <w:t>T</w:t>
      </w:r>
      <w:r w:rsidR="002D7241">
        <w:t xml:space="preserve">he Middle East and North Africa </w:t>
      </w:r>
    </w:p>
    <w:p w14:paraId="4645026D" w14:textId="77777777" w:rsidR="00180B19" w:rsidRPr="00F35DE7" w:rsidRDefault="00180B19" w:rsidP="00F35DE7">
      <w:pPr>
        <w:pStyle w:val="Heading1"/>
      </w:pPr>
      <w:r w:rsidRPr="00F35DE7">
        <w:t xml:space="preserve">Key </w:t>
      </w:r>
      <w:r w:rsidR="00944155">
        <w:t>m</w:t>
      </w:r>
      <w:r w:rsidRPr="00F35DE7">
        <w:t>essages</w:t>
      </w:r>
    </w:p>
    <w:p w14:paraId="4645026E" w14:textId="2FC03EBF" w:rsidR="008810FA" w:rsidRPr="005D2876" w:rsidRDefault="00180B19" w:rsidP="00F35DE7">
      <w:pPr>
        <w:pStyle w:val="BodyText"/>
      </w:pPr>
      <w:r w:rsidRPr="005D2876">
        <w:t>This</w:t>
      </w:r>
      <w:r w:rsidR="00D67B4C">
        <w:t xml:space="preserve"> </w:t>
      </w:r>
      <w:r w:rsidR="00ED2784">
        <w:t xml:space="preserve">APPR </w:t>
      </w:r>
      <w:r w:rsidRPr="005D2876">
        <w:t>summarises th</w:t>
      </w:r>
      <w:r w:rsidR="006223DA" w:rsidRPr="005D2876">
        <w:t xml:space="preserve">e aid program’s progress in </w:t>
      </w:r>
      <w:r w:rsidR="00D67B4C">
        <w:t>MENA</w:t>
      </w:r>
      <w:r w:rsidR="00776E25" w:rsidRPr="005D2876">
        <w:t xml:space="preserve"> (</w:t>
      </w:r>
      <w:r w:rsidR="00A66C1C" w:rsidRPr="005D2876">
        <w:t xml:space="preserve">Syria, Iraq, Yemen, Egypt, Algeria, Morocco, Lebanon, Jordan, </w:t>
      </w:r>
      <w:r w:rsidR="00F04746" w:rsidRPr="005D2876">
        <w:t xml:space="preserve">and </w:t>
      </w:r>
      <w:r w:rsidR="00A66C1C" w:rsidRPr="005D2876">
        <w:t>Tunisia</w:t>
      </w:r>
      <w:r w:rsidR="00F04746" w:rsidRPr="005D2876">
        <w:t>)</w:t>
      </w:r>
      <w:r w:rsidR="00A46DA0" w:rsidRPr="005D2876">
        <w:t xml:space="preserve"> between January 2012 and June 2013</w:t>
      </w:r>
      <w:r w:rsidRPr="005D2876">
        <w:t>.</w:t>
      </w:r>
      <w:r w:rsidR="008D0CBF">
        <w:t xml:space="preserve"> </w:t>
      </w:r>
      <w:r w:rsidR="00A46DA0" w:rsidRPr="005D2876">
        <w:t>It update</w:t>
      </w:r>
      <w:r w:rsidR="00D67B4C">
        <w:t>s</w:t>
      </w:r>
      <w:r w:rsidR="00A46DA0" w:rsidRPr="005D2876">
        <w:t xml:space="preserve"> on performance</w:t>
      </w:r>
      <w:r w:rsidR="00462108" w:rsidRPr="005D2876">
        <w:t xml:space="preserve">, </w:t>
      </w:r>
      <w:r w:rsidR="00A46DA0" w:rsidRPr="005D2876">
        <w:t>identif</w:t>
      </w:r>
      <w:r w:rsidR="00D67B4C">
        <w:t>ies</w:t>
      </w:r>
      <w:r w:rsidR="00A46DA0" w:rsidRPr="005D2876">
        <w:t xml:space="preserve"> achievements and outlin</w:t>
      </w:r>
      <w:r w:rsidR="00D67B4C">
        <w:t>es</w:t>
      </w:r>
      <w:r w:rsidR="00A46DA0" w:rsidRPr="005D2876">
        <w:t xml:space="preserve"> future management strategies to address </w:t>
      </w:r>
      <w:r w:rsidR="00BC19C8" w:rsidRPr="005D2876">
        <w:t xml:space="preserve">key </w:t>
      </w:r>
      <w:r w:rsidR="00A46DA0" w:rsidRPr="005D2876">
        <w:t>challenges.</w:t>
      </w:r>
    </w:p>
    <w:p w14:paraId="4645026F" w14:textId="7D33F734" w:rsidR="006B5FDC" w:rsidRPr="00F35DE7" w:rsidRDefault="00776E25" w:rsidP="00F35DE7">
      <w:pPr>
        <w:pStyle w:val="ListBullet"/>
      </w:pPr>
      <w:r w:rsidRPr="00F35DE7">
        <w:t xml:space="preserve">The conflict in Syria is now in its third year and the humanitarian crisis </w:t>
      </w:r>
      <w:r w:rsidR="00374F02" w:rsidRPr="00F35DE7">
        <w:t xml:space="preserve">has </w:t>
      </w:r>
      <w:r w:rsidRPr="00F35DE7">
        <w:t>reached unprecedented levels.</w:t>
      </w:r>
      <w:r w:rsidR="008D0CBF">
        <w:t xml:space="preserve"> </w:t>
      </w:r>
      <w:r w:rsidR="00E70277" w:rsidRPr="00F35DE7">
        <w:t>A strong</w:t>
      </w:r>
      <w:r w:rsidR="007464D8" w:rsidRPr="00F35DE7">
        <w:t xml:space="preserve"> </w:t>
      </w:r>
      <w:r w:rsidRPr="00F35DE7">
        <w:t>Australia</w:t>
      </w:r>
      <w:r w:rsidR="007464D8" w:rsidRPr="00F35DE7">
        <w:t>n response to date</w:t>
      </w:r>
      <w:r w:rsidR="00D67B4C">
        <w:t>—</w:t>
      </w:r>
      <w:r w:rsidR="00340F6A" w:rsidRPr="00F35DE7">
        <w:t>$</w:t>
      </w:r>
      <w:r w:rsidR="00BA18B0" w:rsidRPr="00F35DE7">
        <w:t>7</w:t>
      </w:r>
      <w:r w:rsidR="000E2416" w:rsidRPr="00F35DE7">
        <w:t>5</w:t>
      </w:r>
      <w:r w:rsidR="00340F6A" w:rsidRPr="00F35DE7">
        <w:t>.5</w:t>
      </w:r>
      <w:r w:rsidR="00D67B4C">
        <w:t xml:space="preserve"> </w:t>
      </w:r>
      <w:r w:rsidR="00340F6A" w:rsidRPr="00F35DE7">
        <w:t>m</w:t>
      </w:r>
      <w:r w:rsidR="00D67B4C">
        <w:t>illion</w:t>
      </w:r>
      <w:r w:rsidR="00340F6A" w:rsidRPr="00F35DE7">
        <w:t xml:space="preserve"> in this </w:t>
      </w:r>
      <w:r w:rsidR="00ED2784">
        <w:t xml:space="preserve">APPR </w:t>
      </w:r>
      <w:r w:rsidR="00340F6A" w:rsidRPr="00F35DE7">
        <w:t>period</w:t>
      </w:r>
      <w:r w:rsidR="00D67B4C">
        <w:t>—</w:t>
      </w:r>
      <w:r w:rsidR="007464D8" w:rsidRPr="00F35DE7">
        <w:t>is helping to provide water, food, shelter</w:t>
      </w:r>
      <w:r w:rsidR="009F6B91" w:rsidRPr="00F35DE7">
        <w:t>,</w:t>
      </w:r>
      <w:r w:rsidR="007464D8" w:rsidRPr="00F35DE7">
        <w:t xml:space="preserve"> medical care</w:t>
      </w:r>
      <w:r w:rsidR="009F6B91" w:rsidRPr="00F35DE7">
        <w:t xml:space="preserve"> and protection</w:t>
      </w:r>
      <w:r w:rsidR="007464D8" w:rsidRPr="00F35DE7">
        <w:t xml:space="preserve"> for </w:t>
      </w:r>
      <w:r w:rsidR="00340F6A" w:rsidRPr="00F35DE7">
        <w:t>people</w:t>
      </w:r>
      <w:r w:rsidR="007464D8" w:rsidRPr="00F35DE7">
        <w:t xml:space="preserve"> affected.</w:t>
      </w:r>
    </w:p>
    <w:p w14:paraId="46450270" w14:textId="5C66B69F" w:rsidR="00776E25" w:rsidRPr="00F35DE7" w:rsidRDefault="00C050FD" w:rsidP="00F35DE7">
      <w:pPr>
        <w:pStyle w:val="ListBullet"/>
      </w:pPr>
      <w:r w:rsidRPr="00F35DE7">
        <w:t>Development results</w:t>
      </w:r>
      <w:r w:rsidR="00CC025E" w:rsidRPr="00F35DE7">
        <w:t xml:space="preserve">  </w:t>
      </w:r>
      <w:r w:rsidR="00E70277" w:rsidRPr="00F35DE7">
        <w:t xml:space="preserve">in North Africa </w:t>
      </w:r>
      <w:r w:rsidRPr="00F35DE7">
        <w:t>have been mixed.</w:t>
      </w:r>
      <w:r w:rsidR="008D0CBF">
        <w:t xml:space="preserve"> </w:t>
      </w:r>
      <w:r w:rsidR="001D587C" w:rsidRPr="00F35DE7">
        <w:t>Programs are</w:t>
      </w:r>
      <w:r w:rsidRPr="00F35DE7">
        <w:t xml:space="preserve"> still in</w:t>
      </w:r>
      <w:r w:rsidR="00D67B4C">
        <w:t xml:space="preserve"> the</w:t>
      </w:r>
      <w:r w:rsidRPr="00F35DE7">
        <w:t xml:space="preserve"> early stages </w:t>
      </w:r>
      <w:r w:rsidR="001D587C" w:rsidRPr="00F35DE7">
        <w:t>of implementation in an environment of</w:t>
      </w:r>
      <w:r w:rsidRPr="00F35DE7">
        <w:t xml:space="preserve"> significant political and economic uncertainty.</w:t>
      </w:r>
      <w:r w:rsidR="008D0CBF">
        <w:t xml:space="preserve"> </w:t>
      </w:r>
    </w:p>
    <w:p w14:paraId="46450271" w14:textId="77777777" w:rsidR="006B5FDC" w:rsidRPr="00F35DE7" w:rsidRDefault="004A5C73" w:rsidP="00F35DE7">
      <w:pPr>
        <w:pStyle w:val="ListBullet"/>
      </w:pPr>
      <w:r w:rsidRPr="00F35DE7">
        <w:t xml:space="preserve">Australia’s </w:t>
      </w:r>
      <w:r w:rsidR="007E02AD" w:rsidRPr="00F35DE7">
        <w:t xml:space="preserve">bilateral </w:t>
      </w:r>
      <w:r w:rsidRPr="00F35DE7">
        <w:t>aid program to Iraq continue</w:t>
      </w:r>
      <w:r w:rsidR="00482BFD" w:rsidRPr="00F35DE7">
        <w:t>d</w:t>
      </w:r>
      <w:r w:rsidRPr="00F35DE7">
        <w:t xml:space="preserve"> to </w:t>
      </w:r>
      <w:r w:rsidR="00E70277" w:rsidRPr="00F35DE7">
        <w:t>phase out</w:t>
      </w:r>
      <w:r w:rsidRPr="00F35DE7">
        <w:t xml:space="preserve"> </w:t>
      </w:r>
      <w:r w:rsidR="009C3E84" w:rsidRPr="00F35DE7">
        <w:t>in 2012</w:t>
      </w:r>
      <w:r w:rsidR="00D67B4C">
        <w:t>–</w:t>
      </w:r>
      <w:r w:rsidR="00CF057B" w:rsidRPr="00F35DE7">
        <w:t xml:space="preserve">13 </w:t>
      </w:r>
      <w:r w:rsidRPr="00F35DE7">
        <w:t xml:space="preserve">in line with </w:t>
      </w:r>
      <w:r w:rsidR="00CC025E" w:rsidRPr="00F35DE7">
        <w:t xml:space="preserve">Australian Government policy and similar withdrawal of </w:t>
      </w:r>
      <w:r w:rsidRPr="00F35DE7">
        <w:t>like-minded donor</w:t>
      </w:r>
      <w:r w:rsidR="009C3E84" w:rsidRPr="00F35DE7">
        <w:t>s</w:t>
      </w:r>
      <w:r w:rsidR="00A01947" w:rsidRPr="00F35DE7">
        <w:t>,</w:t>
      </w:r>
      <w:r w:rsidR="00482BFD" w:rsidRPr="00F35DE7">
        <w:t xml:space="preserve"> </w:t>
      </w:r>
      <w:r w:rsidRPr="00F35DE7">
        <w:t>as Iraq’s economy continue</w:t>
      </w:r>
      <w:r w:rsidR="00340F6A" w:rsidRPr="00F35DE7">
        <w:t>s</w:t>
      </w:r>
      <w:r w:rsidRPr="00F35DE7">
        <w:t xml:space="preserve"> to grow</w:t>
      </w:r>
      <w:r w:rsidR="00092306" w:rsidRPr="00F35DE7">
        <w:t>.</w:t>
      </w:r>
      <w:r w:rsidR="008D0CBF">
        <w:t xml:space="preserve"> </w:t>
      </w:r>
      <w:r w:rsidR="00092306" w:rsidRPr="00F35DE7">
        <w:t>Iraq has advanced to the point where it is able to fund its own development</w:t>
      </w:r>
      <w:r w:rsidRPr="00F35DE7">
        <w:t>.</w:t>
      </w:r>
    </w:p>
    <w:p w14:paraId="46450272" w14:textId="77777777" w:rsidR="00D764E9" w:rsidRPr="00F35DE7" w:rsidRDefault="00180B19" w:rsidP="00F35DE7">
      <w:pPr>
        <w:pStyle w:val="Heading1"/>
      </w:pPr>
      <w:r w:rsidRPr="00F35DE7">
        <w:t xml:space="preserve">Context </w:t>
      </w:r>
    </w:p>
    <w:p w14:paraId="46450273" w14:textId="77777777" w:rsidR="00E73EC0" w:rsidRPr="005D2876" w:rsidRDefault="00DC04FB" w:rsidP="00F35DE7">
      <w:pPr>
        <w:pStyle w:val="BodyText"/>
        <w:rPr>
          <w:rFonts w:eastAsiaTheme="minorHAnsi"/>
        </w:rPr>
      </w:pPr>
      <w:r w:rsidRPr="00F35DE7">
        <w:rPr>
          <w:rFonts w:eastAsiaTheme="minorHAnsi"/>
          <w:b/>
        </w:rPr>
        <w:t>In 2012</w:t>
      </w:r>
      <w:r w:rsidR="00D67B4C">
        <w:rPr>
          <w:rFonts w:eastAsiaTheme="minorHAnsi"/>
          <w:b/>
        </w:rPr>
        <w:t>–</w:t>
      </w:r>
      <w:r w:rsidRPr="00F35DE7">
        <w:rPr>
          <w:rFonts w:eastAsiaTheme="minorHAnsi"/>
          <w:b/>
        </w:rPr>
        <w:t xml:space="preserve">13, the </w:t>
      </w:r>
      <w:r w:rsidR="007806C8" w:rsidRPr="00F35DE7">
        <w:rPr>
          <w:rFonts w:eastAsiaTheme="minorHAnsi"/>
          <w:b/>
        </w:rPr>
        <w:t xml:space="preserve">initial </w:t>
      </w:r>
      <w:r w:rsidR="00F50BEF" w:rsidRPr="00F35DE7">
        <w:rPr>
          <w:rFonts w:eastAsiaTheme="minorHAnsi"/>
          <w:b/>
        </w:rPr>
        <w:t xml:space="preserve">confidence brought about by </w:t>
      </w:r>
      <w:r w:rsidR="007806C8" w:rsidRPr="00F35DE7">
        <w:rPr>
          <w:rFonts w:eastAsiaTheme="minorHAnsi"/>
          <w:b/>
        </w:rPr>
        <w:t>the Arab Spring</w:t>
      </w:r>
      <w:r w:rsidR="00D67B4C">
        <w:rPr>
          <w:rStyle w:val="FootnoteReference"/>
          <w:rFonts w:eastAsiaTheme="minorHAnsi"/>
          <w:b/>
        </w:rPr>
        <w:footnoteReference w:id="1"/>
      </w:r>
      <w:r w:rsidR="007806C8" w:rsidRPr="00F35DE7">
        <w:rPr>
          <w:rFonts w:eastAsiaTheme="minorHAnsi"/>
          <w:b/>
        </w:rPr>
        <w:t xml:space="preserve"> has given way to concern </w:t>
      </w:r>
      <w:r w:rsidR="00E73EC0" w:rsidRPr="00F35DE7">
        <w:rPr>
          <w:rFonts w:eastAsiaTheme="minorHAnsi"/>
          <w:b/>
        </w:rPr>
        <w:t xml:space="preserve">that </w:t>
      </w:r>
      <w:r w:rsidR="000F1E30" w:rsidRPr="00F35DE7">
        <w:rPr>
          <w:rFonts w:eastAsiaTheme="minorHAnsi"/>
          <w:b/>
        </w:rPr>
        <w:t xml:space="preserve">the momentum for change </w:t>
      </w:r>
      <w:r w:rsidR="00E73EC0" w:rsidRPr="00F35DE7">
        <w:rPr>
          <w:rFonts w:eastAsiaTheme="minorHAnsi"/>
          <w:b/>
        </w:rPr>
        <w:t>is stalling</w:t>
      </w:r>
      <w:r w:rsidR="000F1E30" w:rsidRPr="00F35DE7">
        <w:rPr>
          <w:rFonts w:eastAsiaTheme="minorHAnsi"/>
          <w:b/>
        </w:rPr>
        <w:t>.</w:t>
      </w:r>
      <w:r w:rsidR="008D0CBF">
        <w:rPr>
          <w:rFonts w:eastAsiaTheme="minorHAnsi"/>
        </w:rPr>
        <w:t xml:space="preserve"> </w:t>
      </w:r>
      <w:r w:rsidR="00DD3C76" w:rsidRPr="005D2876">
        <w:rPr>
          <w:rFonts w:eastAsiaTheme="minorHAnsi"/>
        </w:rPr>
        <w:t>The region is undergoing momentous change</w:t>
      </w:r>
      <w:r w:rsidR="001D0048" w:rsidRPr="005D2876">
        <w:rPr>
          <w:rFonts w:eastAsiaTheme="minorHAnsi"/>
        </w:rPr>
        <w:t xml:space="preserve"> as </w:t>
      </w:r>
      <w:r w:rsidR="00DD3C76" w:rsidRPr="005D2876">
        <w:rPr>
          <w:rFonts w:eastAsiaTheme="minorHAnsi"/>
        </w:rPr>
        <w:t xml:space="preserve">entrenched governments in Egypt, </w:t>
      </w:r>
      <w:r w:rsidR="004F2C97">
        <w:rPr>
          <w:rFonts w:eastAsiaTheme="minorHAnsi"/>
        </w:rPr>
        <w:t xml:space="preserve">Libya and </w:t>
      </w:r>
      <w:r w:rsidR="00DD3C76" w:rsidRPr="005D2876">
        <w:rPr>
          <w:rFonts w:eastAsiaTheme="minorHAnsi"/>
        </w:rPr>
        <w:t>Tunisia have fallen, Yemen’s government has ceded power, and monarchies in Jordan and Morocco are introducing measures of democratic reform.</w:t>
      </w:r>
      <w:r w:rsidR="008D0CBF">
        <w:rPr>
          <w:rFonts w:eastAsiaTheme="minorHAnsi"/>
        </w:rPr>
        <w:t xml:space="preserve"> </w:t>
      </w:r>
      <w:r w:rsidR="00967BEF" w:rsidRPr="005D2876">
        <w:rPr>
          <w:rFonts w:eastAsiaTheme="minorHAnsi"/>
        </w:rPr>
        <w:t xml:space="preserve">Expectations for social, political and economic freedoms are high, but </w:t>
      </w:r>
      <w:r w:rsidR="00E73EC0" w:rsidRPr="005D2876">
        <w:rPr>
          <w:rFonts w:eastAsiaTheme="minorHAnsi"/>
        </w:rPr>
        <w:t>democratic transition</w:t>
      </w:r>
      <w:r w:rsidR="007E6B55" w:rsidRPr="005D2876">
        <w:rPr>
          <w:rFonts w:eastAsiaTheme="minorHAnsi"/>
        </w:rPr>
        <w:t>s</w:t>
      </w:r>
      <w:r w:rsidR="00E73EC0" w:rsidRPr="005D2876">
        <w:rPr>
          <w:rFonts w:eastAsiaTheme="minorHAnsi"/>
        </w:rPr>
        <w:t xml:space="preserve"> can take decades and are </w:t>
      </w:r>
      <w:r w:rsidR="003F003F" w:rsidRPr="005D2876">
        <w:rPr>
          <w:rFonts w:eastAsiaTheme="minorHAnsi"/>
        </w:rPr>
        <w:t>sustained</w:t>
      </w:r>
      <w:r w:rsidR="00E73EC0" w:rsidRPr="005D2876">
        <w:rPr>
          <w:rFonts w:eastAsiaTheme="minorHAnsi"/>
        </w:rPr>
        <w:t xml:space="preserve"> as much by their ability to deliver economic stability and rising living standards as by the strengthening of formal governance institutions.</w:t>
      </w:r>
      <w:r w:rsidR="008D0CBF">
        <w:rPr>
          <w:rFonts w:eastAsiaTheme="minorHAnsi"/>
        </w:rPr>
        <w:t xml:space="preserve"> </w:t>
      </w:r>
      <w:r w:rsidR="00CC025E" w:rsidRPr="005D2876">
        <w:rPr>
          <w:rFonts w:eastAsiaTheme="minorHAnsi"/>
        </w:rPr>
        <w:t xml:space="preserve">Concern </w:t>
      </w:r>
      <w:r w:rsidR="00C3482B" w:rsidRPr="005D2876">
        <w:rPr>
          <w:rFonts w:eastAsiaTheme="minorHAnsi"/>
        </w:rPr>
        <w:t xml:space="preserve">that governments in many MENA </w:t>
      </w:r>
      <w:r w:rsidR="00482BFD" w:rsidRPr="005D2876">
        <w:rPr>
          <w:rFonts w:eastAsiaTheme="minorHAnsi"/>
        </w:rPr>
        <w:t xml:space="preserve">countries are </w:t>
      </w:r>
      <w:r w:rsidR="006057C6" w:rsidRPr="005D2876">
        <w:rPr>
          <w:rFonts w:eastAsiaTheme="minorHAnsi"/>
        </w:rPr>
        <w:t>not addressing fundamental economic issues</w:t>
      </w:r>
      <w:r w:rsidR="00923B73" w:rsidRPr="005D2876">
        <w:rPr>
          <w:rFonts w:eastAsiaTheme="minorHAnsi"/>
        </w:rPr>
        <w:t xml:space="preserve"> </w:t>
      </w:r>
      <w:r w:rsidR="00506051" w:rsidRPr="005D2876">
        <w:rPr>
          <w:rFonts w:eastAsiaTheme="minorHAnsi"/>
        </w:rPr>
        <w:t>(</w:t>
      </w:r>
      <w:r w:rsidR="00D67B4C">
        <w:rPr>
          <w:rFonts w:eastAsiaTheme="minorHAnsi"/>
        </w:rPr>
        <w:t>for example,</w:t>
      </w:r>
      <w:r w:rsidR="00506051" w:rsidRPr="005D2876">
        <w:rPr>
          <w:rFonts w:eastAsiaTheme="minorHAnsi"/>
        </w:rPr>
        <w:t xml:space="preserve"> employment generation) </w:t>
      </w:r>
      <w:r w:rsidR="006057C6" w:rsidRPr="005D2876">
        <w:rPr>
          <w:rFonts w:eastAsiaTheme="minorHAnsi"/>
        </w:rPr>
        <w:t>quickly enough</w:t>
      </w:r>
      <w:r w:rsidR="00506051" w:rsidRPr="005D2876">
        <w:rPr>
          <w:rFonts w:eastAsiaTheme="minorHAnsi"/>
        </w:rPr>
        <w:t xml:space="preserve"> </w:t>
      </w:r>
      <w:r w:rsidR="00482BFD" w:rsidRPr="005D2876">
        <w:rPr>
          <w:rFonts w:eastAsiaTheme="minorHAnsi"/>
        </w:rPr>
        <w:t xml:space="preserve">is </w:t>
      </w:r>
      <w:r w:rsidR="00170A88" w:rsidRPr="005D2876">
        <w:rPr>
          <w:rFonts w:eastAsiaTheme="minorHAnsi"/>
        </w:rPr>
        <w:t xml:space="preserve">a </w:t>
      </w:r>
      <w:r w:rsidR="00482BFD" w:rsidRPr="005D2876">
        <w:rPr>
          <w:rFonts w:eastAsiaTheme="minorHAnsi"/>
        </w:rPr>
        <w:t xml:space="preserve">driving </w:t>
      </w:r>
      <w:r w:rsidR="00170A88" w:rsidRPr="005D2876">
        <w:rPr>
          <w:rFonts w:eastAsiaTheme="minorHAnsi"/>
        </w:rPr>
        <w:t xml:space="preserve">force behind </w:t>
      </w:r>
      <w:r w:rsidR="00482BFD" w:rsidRPr="005D2876">
        <w:rPr>
          <w:rFonts w:eastAsiaTheme="minorHAnsi"/>
        </w:rPr>
        <w:t>civil unrest, particularly among youth.</w:t>
      </w:r>
    </w:p>
    <w:p w14:paraId="46450274" w14:textId="77777777" w:rsidR="00F35DE7" w:rsidRDefault="007E02AD" w:rsidP="00F35DE7">
      <w:pPr>
        <w:pStyle w:val="BodyText"/>
        <w:rPr>
          <w:rFonts w:eastAsiaTheme="minorHAnsi"/>
        </w:rPr>
      </w:pPr>
      <w:r w:rsidRPr="00F35DE7">
        <w:rPr>
          <w:rFonts w:eastAsiaTheme="minorHAnsi"/>
          <w:b/>
        </w:rPr>
        <w:t xml:space="preserve">Political uncertainty </w:t>
      </w:r>
      <w:r w:rsidR="00923B73" w:rsidRPr="00F35DE7">
        <w:rPr>
          <w:rFonts w:eastAsiaTheme="minorHAnsi"/>
          <w:b/>
        </w:rPr>
        <w:t xml:space="preserve">and civil unrest </w:t>
      </w:r>
      <w:r w:rsidRPr="00F35DE7">
        <w:rPr>
          <w:rFonts w:eastAsiaTheme="minorHAnsi"/>
          <w:b/>
        </w:rPr>
        <w:t xml:space="preserve">continues to affect economic activity </w:t>
      </w:r>
      <w:r w:rsidR="00801605" w:rsidRPr="00F35DE7">
        <w:rPr>
          <w:rFonts w:eastAsiaTheme="minorHAnsi"/>
          <w:b/>
        </w:rPr>
        <w:t xml:space="preserve">and investment </w:t>
      </w:r>
      <w:r w:rsidRPr="00F35DE7">
        <w:rPr>
          <w:rFonts w:eastAsiaTheme="minorHAnsi"/>
          <w:b/>
        </w:rPr>
        <w:t>in many MENA countries</w:t>
      </w:r>
      <w:r w:rsidR="00C25FD3" w:rsidRPr="00F35DE7">
        <w:rPr>
          <w:rFonts w:eastAsiaTheme="minorHAnsi"/>
          <w:b/>
        </w:rPr>
        <w:t>.</w:t>
      </w:r>
      <w:r w:rsidR="008D0CBF">
        <w:rPr>
          <w:rFonts w:eastAsiaTheme="minorHAnsi"/>
        </w:rPr>
        <w:t xml:space="preserve"> </w:t>
      </w:r>
      <w:r w:rsidR="00923B73" w:rsidRPr="005D2876">
        <w:rPr>
          <w:rFonts w:eastAsiaTheme="minorHAnsi"/>
        </w:rPr>
        <w:t xml:space="preserve">Regional growth </w:t>
      </w:r>
      <w:r w:rsidR="00352D5B" w:rsidRPr="005D2876">
        <w:rPr>
          <w:rFonts w:eastAsiaTheme="minorHAnsi"/>
        </w:rPr>
        <w:t>increased</w:t>
      </w:r>
      <w:r w:rsidR="00923B73" w:rsidRPr="005D2876">
        <w:rPr>
          <w:rFonts w:eastAsiaTheme="minorHAnsi"/>
        </w:rPr>
        <w:t xml:space="preserve"> to 3.5 per cent in 2012</w:t>
      </w:r>
      <w:r w:rsidR="00D67B4C">
        <w:rPr>
          <w:rFonts w:eastAsiaTheme="minorHAnsi"/>
        </w:rPr>
        <w:t>,</w:t>
      </w:r>
      <w:r w:rsidR="00923B73" w:rsidRPr="005D2876">
        <w:rPr>
          <w:rFonts w:eastAsiaTheme="minorHAnsi"/>
        </w:rPr>
        <w:t xml:space="preserve"> from minus 2.2 per cent in 2011, reflecting a rebound in Libya’s crude oil production </w:t>
      </w:r>
      <w:r w:rsidR="00352D5B" w:rsidRPr="005D2876">
        <w:rPr>
          <w:rFonts w:eastAsiaTheme="minorHAnsi"/>
        </w:rPr>
        <w:t xml:space="preserve">which saw </w:t>
      </w:r>
      <w:r w:rsidR="00D67B4C">
        <w:rPr>
          <w:rFonts w:eastAsiaTheme="minorHAnsi"/>
        </w:rPr>
        <w:t>gross domestic product</w:t>
      </w:r>
      <w:r w:rsidR="00352D5B" w:rsidRPr="005D2876">
        <w:rPr>
          <w:rFonts w:eastAsiaTheme="minorHAnsi"/>
        </w:rPr>
        <w:t xml:space="preserve"> expand by 105 per cent, </w:t>
      </w:r>
      <w:r w:rsidR="00F61A2E" w:rsidRPr="005D2876">
        <w:rPr>
          <w:rFonts w:eastAsiaTheme="minorHAnsi"/>
        </w:rPr>
        <w:t>and weak growth recovery in Egypt</w:t>
      </w:r>
      <w:r w:rsidR="00D67B4C">
        <w:rPr>
          <w:rFonts w:eastAsiaTheme="minorHAnsi"/>
        </w:rPr>
        <w:t xml:space="preserve">, which rose </w:t>
      </w:r>
      <w:r w:rsidR="00F61A2E" w:rsidRPr="005D2876">
        <w:rPr>
          <w:rFonts w:eastAsiaTheme="minorHAnsi"/>
        </w:rPr>
        <w:t>from 1.8 per cent in 2011 to 2.2 per cent in 2012.</w:t>
      </w:r>
      <w:r w:rsidR="008D0CBF">
        <w:rPr>
          <w:rFonts w:eastAsiaTheme="minorHAnsi"/>
        </w:rPr>
        <w:t xml:space="preserve"> </w:t>
      </w:r>
      <w:r w:rsidR="005D2018" w:rsidRPr="005D2876">
        <w:rPr>
          <w:rFonts w:eastAsiaTheme="minorHAnsi"/>
        </w:rPr>
        <w:t xml:space="preserve">However, </w:t>
      </w:r>
      <w:r w:rsidR="00352D5B" w:rsidRPr="005D2876">
        <w:rPr>
          <w:rFonts w:eastAsiaTheme="minorHAnsi"/>
        </w:rPr>
        <w:t xml:space="preserve">growth was largely subdued among oil importing countries in the </w:t>
      </w:r>
      <w:r w:rsidR="00352D5B" w:rsidRPr="00944155">
        <w:rPr>
          <w:rFonts w:eastAsiaTheme="minorHAnsi"/>
        </w:rPr>
        <w:t xml:space="preserve">region as </w:t>
      </w:r>
      <w:r w:rsidR="00352D5B" w:rsidRPr="00763DA1">
        <w:rPr>
          <w:rFonts w:eastAsiaTheme="minorHAnsi"/>
          <w:shd w:val="clear" w:color="auto" w:fill="FFFFFF" w:themeFill="background1"/>
        </w:rPr>
        <w:t>spillovers</w:t>
      </w:r>
      <w:r w:rsidR="00352D5B" w:rsidRPr="005D2876">
        <w:rPr>
          <w:rFonts w:eastAsiaTheme="minorHAnsi"/>
        </w:rPr>
        <w:t xml:space="preserve"> from conflict and weak external demand from Euro </w:t>
      </w:r>
      <w:r w:rsidR="00620CE4">
        <w:rPr>
          <w:rFonts w:eastAsiaTheme="minorHAnsi"/>
        </w:rPr>
        <w:t>a</w:t>
      </w:r>
      <w:r w:rsidR="00352D5B" w:rsidRPr="005D2876">
        <w:rPr>
          <w:rFonts w:eastAsiaTheme="minorHAnsi"/>
        </w:rPr>
        <w:t>rea trading partners continued.</w:t>
      </w:r>
      <w:r w:rsidR="008D0CBF">
        <w:rPr>
          <w:rFonts w:eastAsiaTheme="minorHAnsi"/>
        </w:rPr>
        <w:t xml:space="preserve"> </w:t>
      </w:r>
      <w:r w:rsidR="00352D5B" w:rsidRPr="005D2876">
        <w:rPr>
          <w:rFonts w:eastAsiaTheme="minorHAnsi"/>
        </w:rPr>
        <w:t xml:space="preserve">Though difficult to quantify, estimates suggest </w:t>
      </w:r>
      <w:r w:rsidR="00D67B4C">
        <w:rPr>
          <w:rFonts w:eastAsiaTheme="minorHAnsi"/>
        </w:rPr>
        <w:t xml:space="preserve">that </w:t>
      </w:r>
      <w:r w:rsidR="00352D5B" w:rsidRPr="005D2876">
        <w:rPr>
          <w:rFonts w:eastAsiaTheme="minorHAnsi"/>
        </w:rPr>
        <w:t xml:space="preserve">Syria’s economy has shrunk by nearly </w:t>
      </w:r>
      <w:r w:rsidR="00D67B4C">
        <w:rPr>
          <w:rFonts w:eastAsiaTheme="minorHAnsi"/>
        </w:rPr>
        <w:t>one-</w:t>
      </w:r>
      <w:r w:rsidR="00352D5B" w:rsidRPr="005D2876">
        <w:rPr>
          <w:rFonts w:eastAsiaTheme="minorHAnsi"/>
        </w:rPr>
        <w:t>third as a result of conflict as domestic demand and exports collapsed.</w:t>
      </w:r>
      <w:r w:rsidR="008D0CBF">
        <w:rPr>
          <w:rFonts w:eastAsiaTheme="minorHAnsi"/>
        </w:rPr>
        <w:t xml:space="preserve"> </w:t>
      </w:r>
      <w:r w:rsidR="00352D5B" w:rsidRPr="005D2876">
        <w:rPr>
          <w:rFonts w:eastAsiaTheme="minorHAnsi"/>
        </w:rPr>
        <w:t>G</w:t>
      </w:r>
      <w:r w:rsidR="00D67B4C">
        <w:rPr>
          <w:rFonts w:eastAsiaTheme="minorHAnsi"/>
        </w:rPr>
        <w:t>ross domestic product</w:t>
      </w:r>
      <w:r w:rsidR="00352D5B" w:rsidRPr="005D2876">
        <w:rPr>
          <w:rFonts w:eastAsiaTheme="minorHAnsi"/>
        </w:rPr>
        <w:t xml:space="preserve"> growth in Lebanon </w:t>
      </w:r>
      <w:r w:rsidR="00352D5B" w:rsidRPr="005D2876">
        <w:rPr>
          <w:rFonts w:eastAsiaTheme="minorHAnsi"/>
        </w:rPr>
        <w:lastRenderedPageBreak/>
        <w:t xml:space="preserve">remained flat at 1.5 per cent, and Jordan experienced slight growth </w:t>
      </w:r>
      <w:r w:rsidR="00D67B4C">
        <w:rPr>
          <w:rFonts w:eastAsiaTheme="minorHAnsi"/>
        </w:rPr>
        <w:t>(</w:t>
      </w:r>
      <w:r w:rsidR="00352D5B" w:rsidRPr="005D2876">
        <w:rPr>
          <w:rFonts w:eastAsiaTheme="minorHAnsi"/>
        </w:rPr>
        <w:t>2.6 per cent to 2.8 per cent</w:t>
      </w:r>
      <w:r w:rsidR="00D67B4C">
        <w:rPr>
          <w:rFonts w:eastAsiaTheme="minorHAnsi"/>
        </w:rPr>
        <w:t>)</w:t>
      </w:r>
      <w:r w:rsidR="00352D5B" w:rsidRPr="005D2876">
        <w:rPr>
          <w:rFonts w:eastAsiaTheme="minorHAnsi"/>
        </w:rPr>
        <w:t xml:space="preserve"> as the conflict in Syria undermined tourism and public resources came under increasing pressure to cope with </w:t>
      </w:r>
      <w:r w:rsidR="00F558BF" w:rsidRPr="005D2876">
        <w:rPr>
          <w:rFonts w:eastAsiaTheme="minorHAnsi"/>
        </w:rPr>
        <w:t>the growing influx of refugees.</w:t>
      </w:r>
      <w:r w:rsidR="008D0CBF">
        <w:rPr>
          <w:rFonts w:eastAsiaTheme="minorHAnsi"/>
        </w:rPr>
        <w:t xml:space="preserve"> </w:t>
      </w:r>
      <w:r w:rsidR="00F558BF" w:rsidRPr="005D2876">
        <w:rPr>
          <w:rFonts w:eastAsiaTheme="minorHAnsi"/>
        </w:rPr>
        <w:t xml:space="preserve">Yemen began to show signs of recovery but remains fragile, with </w:t>
      </w:r>
      <w:r w:rsidR="00D67B4C">
        <w:rPr>
          <w:rFonts w:eastAsiaTheme="minorHAnsi"/>
        </w:rPr>
        <w:t>gross domestic product</w:t>
      </w:r>
      <w:r w:rsidR="00F558BF" w:rsidRPr="005D2876">
        <w:rPr>
          <w:rFonts w:eastAsiaTheme="minorHAnsi"/>
        </w:rPr>
        <w:t xml:space="preserve"> growth expanding 0.1 per cent from a 10.5</w:t>
      </w:r>
      <w:r w:rsidR="00944155">
        <w:rPr>
          <w:rFonts w:eastAsiaTheme="minorHAnsi"/>
        </w:rPr>
        <w:t> </w:t>
      </w:r>
      <w:r w:rsidR="00F558BF" w:rsidRPr="005D2876">
        <w:rPr>
          <w:rFonts w:eastAsiaTheme="minorHAnsi"/>
        </w:rPr>
        <w:t>per cent contraction in 2011.</w:t>
      </w:r>
      <w:r w:rsidR="008D0CBF">
        <w:rPr>
          <w:rFonts w:eastAsiaTheme="minorHAnsi"/>
        </w:rPr>
        <w:t xml:space="preserve"> </w:t>
      </w:r>
      <w:r w:rsidR="00F558BF" w:rsidRPr="005D2876">
        <w:rPr>
          <w:rFonts w:eastAsiaTheme="minorHAnsi"/>
        </w:rPr>
        <w:t>Drought has affected Morocco’s agricultural output and</w:t>
      </w:r>
      <w:r w:rsidR="00D67B4C">
        <w:rPr>
          <w:rFonts w:eastAsiaTheme="minorHAnsi"/>
        </w:rPr>
        <w:t>,</w:t>
      </w:r>
      <w:r w:rsidR="00F558BF" w:rsidRPr="005D2876">
        <w:rPr>
          <w:rFonts w:eastAsiaTheme="minorHAnsi"/>
        </w:rPr>
        <w:t xml:space="preserve"> when coupled with weak demand from Euro trading</w:t>
      </w:r>
      <w:r w:rsidR="00D67B4C">
        <w:rPr>
          <w:rFonts w:eastAsiaTheme="minorHAnsi"/>
        </w:rPr>
        <w:t>,</w:t>
      </w:r>
      <w:r w:rsidR="00F558BF" w:rsidRPr="005D2876">
        <w:rPr>
          <w:rFonts w:eastAsiaTheme="minorHAnsi"/>
        </w:rPr>
        <w:t xml:space="preserve"> partners saw growth curtailed from 5</w:t>
      </w:r>
      <w:r w:rsidR="00944155">
        <w:rPr>
          <w:rFonts w:eastAsiaTheme="minorHAnsi"/>
        </w:rPr>
        <w:t> </w:t>
      </w:r>
      <w:r w:rsidR="00F558BF" w:rsidRPr="005D2876">
        <w:rPr>
          <w:rFonts w:eastAsiaTheme="minorHAnsi"/>
        </w:rPr>
        <w:t>per cent in 2011 to just 2.7 per cent in 2012.</w:t>
      </w:r>
      <w:r w:rsidR="008D0CBF">
        <w:rPr>
          <w:rFonts w:eastAsiaTheme="minorHAnsi"/>
        </w:rPr>
        <w:t xml:space="preserve"> </w:t>
      </w:r>
      <w:r w:rsidR="00F558BF" w:rsidRPr="005D2876">
        <w:rPr>
          <w:rFonts w:eastAsiaTheme="minorHAnsi"/>
        </w:rPr>
        <w:t xml:space="preserve">Tunisia remains the exception in the region where growth accelerated to 3.6 per cent </w:t>
      </w:r>
      <w:r w:rsidR="005E4D19" w:rsidRPr="005D2876">
        <w:rPr>
          <w:rFonts w:eastAsiaTheme="minorHAnsi"/>
        </w:rPr>
        <w:t>from 2 per cent in 2011on the back of increased domestic demand and a recovery in tourism receipts.</w:t>
      </w:r>
      <w:r w:rsidR="005E4D19" w:rsidRPr="005D2876">
        <w:rPr>
          <w:rStyle w:val="FootnoteReference"/>
          <w:rFonts w:eastAsiaTheme="minorHAnsi"/>
        </w:rPr>
        <w:footnoteReference w:id="2"/>
      </w:r>
    </w:p>
    <w:p w14:paraId="46450275" w14:textId="77777777" w:rsidR="00F35DE7" w:rsidRDefault="00C10EE9" w:rsidP="00F35DE7">
      <w:pPr>
        <w:pStyle w:val="BodyText"/>
        <w:rPr>
          <w:rFonts w:eastAsiaTheme="minorHAnsi"/>
        </w:rPr>
      </w:pPr>
      <w:r w:rsidRPr="00F35DE7">
        <w:rPr>
          <w:rFonts w:eastAsiaTheme="minorHAnsi"/>
          <w:b/>
        </w:rPr>
        <w:t>Youth unemployment in the region is among the highest in the world, at 25 per</w:t>
      </w:r>
      <w:r w:rsidR="00C3482B" w:rsidRPr="00F35DE7">
        <w:rPr>
          <w:rFonts w:eastAsiaTheme="minorHAnsi"/>
          <w:b/>
        </w:rPr>
        <w:t xml:space="preserve"> </w:t>
      </w:r>
      <w:r w:rsidRPr="00F35DE7">
        <w:rPr>
          <w:rFonts w:eastAsiaTheme="minorHAnsi"/>
          <w:b/>
        </w:rPr>
        <w:t>cent (40</w:t>
      </w:r>
      <w:r w:rsidR="00944155">
        <w:rPr>
          <w:rFonts w:eastAsiaTheme="minorHAnsi"/>
          <w:b/>
        </w:rPr>
        <w:t> </w:t>
      </w:r>
      <w:r w:rsidRPr="00F35DE7">
        <w:rPr>
          <w:rFonts w:eastAsiaTheme="minorHAnsi"/>
          <w:b/>
        </w:rPr>
        <w:t>per cent for young women).</w:t>
      </w:r>
      <w:r w:rsidR="008D0CBF">
        <w:rPr>
          <w:rFonts w:eastAsiaTheme="minorHAnsi"/>
        </w:rPr>
        <w:t xml:space="preserve"> </w:t>
      </w:r>
      <w:r w:rsidRPr="00F35DE7">
        <w:rPr>
          <w:rFonts w:eastAsiaTheme="minorHAnsi"/>
        </w:rPr>
        <w:t>It is estimated the MENA countries will need to generate 105 million new job</w:t>
      </w:r>
      <w:r w:rsidR="00525552" w:rsidRPr="00F35DE7">
        <w:rPr>
          <w:rFonts w:eastAsiaTheme="minorHAnsi"/>
        </w:rPr>
        <w:t xml:space="preserve">s by 2020 to meet the needs of </w:t>
      </w:r>
      <w:r w:rsidR="00D67B4C">
        <w:rPr>
          <w:rFonts w:eastAsiaTheme="minorHAnsi"/>
        </w:rPr>
        <w:t>those looking for work</w:t>
      </w:r>
      <w:r w:rsidR="00F5307D" w:rsidRPr="00F35DE7">
        <w:rPr>
          <w:rFonts w:eastAsiaTheme="minorHAnsi"/>
        </w:rPr>
        <w:t xml:space="preserve"> and </w:t>
      </w:r>
      <w:r w:rsidRPr="00F35DE7">
        <w:rPr>
          <w:rFonts w:eastAsiaTheme="minorHAnsi"/>
        </w:rPr>
        <w:t>new labour mark</w:t>
      </w:r>
      <w:r w:rsidR="006057C6" w:rsidRPr="00F35DE7">
        <w:rPr>
          <w:rFonts w:eastAsiaTheme="minorHAnsi"/>
        </w:rPr>
        <w:t>et entrants.</w:t>
      </w:r>
      <w:r w:rsidR="008D0CBF">
        <w:rPr>
          <w:rFonts w:eastAsiaTheme="minorHAnsi"/>
        </w:rPr>
        <w:t xml:space="preserve"> </w:t>
      </w:r>
      <w:r w:rsidR="006057C6" w:rsidRPr="00F35DE7">
        <w:rPr>
          <w:rFonts w:eastAsiaTheme="minorHAnsi"/>
        </w:rPr>
        <w:t>Unlike</w:t>
      </w:r>
      <w:r w:rsidR="00D67B4C">
        <w:rPr>
          <w:rFonts w:eastAsiaTheme="minorHAnsi"/>
        </w:rPr>
        <w:t xml:space="preserve"> in</w:t>
      </w:r>
      <w:r w:rsidR="006057C6" w:rsidRPr="00F35DE7">
        <w:rPr>
          <w:rFonts w:eastAsiaTheme="minorHAnsi"/>
        </w:rPr>
        <w:t xml:space="preserve"> other parts of the world</w:t>
      </w:r>
      <w:r w:rsidR="00525552" w:rsidRPr="00F35DE7">
        <w:rPr>
          <w:rFonts w:eastAsiaTheme="minorHAnsi"/>
        </w:rPr>
        <w:t xml:space="preserve">, youth unemployment in the region is highest among more educated youth, a result of the large disconnect between </w:t>
      </w:r>
      <w:r w:rsidR="006057C6" w:rsidRPr="00F35DE7">
        <w:rPr>
          <w:rFonts w:eastAsiaTheme="minorHAnsi"/>
        </w:rPr>
        <w:t xml:space="preserve">education institutions and the </w:t>
      </w:r>
      <w:r w:rsidR="00525552" w:rsidRPr="00F35DE7">
        <w:rPr>
          <w:rFonts w:eastAsiaTheme="minorHAnsi"/>
        </w:rPr>
        <w:t>labour market</w:t>
      </w:r>
      <w:r w:rsidR="006057C6" w:rsidRPr="00F35DE7">
        <w:rPr>
          <w:rFonts w:eastAsiaTheme="minorHAnsi"/>
        </w:rPr>
        <w:t>.</w:t>
      </w:r>
      <w:r w:rsidR="008D0CBF">
        <w:rPr>
          <w:rFonts w:eastAsiaTheme="minorHAnsi"/>
        </w:rPr>
        <w:t xml:space="preserve"> </w:t>
      </w:r>
      <w:r w:rsidR="00C3482B" w:rsidRPr="00F35DE7">
        <w:rPr>
          <w:rFonts w:eastAsiaTheme="minorHAnsi"/>
        </w:rPr>
        <w:t>Simply put, t</w:t>
      </w:r>
      <w:r w:rsidR="00525552" w:rsidRPr="00F35DE7">
        <w:rPr>
          <w:rFonts w:eastAsiaTheme="minorHAnsi"/>
        </w:rPr>
        <w:t>he region is producing more university graduates than it needs.</w:t>
      </w:r>
      <w:r w:rsidR="008D0CBF">
        <w:rPr>
          <w:rFonts w:eastAsiaTheme="minorHAnsi"/>
        </w:rPr>
        <w:t xml:space="preserve"> </w:t>
      </w:r>
      <w:r w:rsidR="00525552" w:rsidRPr="00F35DE7">
        <w:rPr>
          <w:rFonts w:eastAsiaTheme="minorHAnsi"/>
        </w:rPr>
        <w:t>A resulting lack of good jobs</w:t>
      </w:r>
      <w:r w:rsidR="00481DD8" w:rsidRPr="00F35DE7">
        <w:rPr>
          <w:rFonts w:eastAsiaTheme="minorHAnsi"/>
        </w:rPr>
        <w:t xml:space="preserve"> and narrowing economic prospects in the region</w:t>
      </w:r>
      <w:r w:rsidR="00525552" w:rsidRPr="00F35DE7">
        <w:rPr>
          <w:rFonts w:eastAsiaTheme="minorHAnsi"/>
        </w:rPr>
        <w:t xml:space="preserve"> </w:t>
      </w:r>
      <w:r w:rsidR="00D67B4C">
        <w:rPr>
          <w:rFonts w:eastAsiaTheme="minorHAnsi"/>
        </w:rPr>
        <w:t>was</w:t>
      </w:r>
      <w:r w:rsidR="00D67B4C" w:rsidRPr="00F35DE7">
        <w:rPr>
          <w:rFonts w:eastAsiaTheme="minorHAnsi"/>
        </w:rPr>
        <w:t xml:space="preserve"> </w:t>
      </w:r>
      <w:r w:rsidR="00525552" w:rsidRPr="00F35DE7">
        <w:rPr>
          <w:rFonts w:eastAsiaTheme="minorHAnsi"/>
        </w:rPr>
        <w:t xml:space="preserve">a </w:t>
      </w:r>
      <w:r w:rsidR="00F54F8E" w:rsidRPr="00F35DE7">
        <w:rPr>
          <w:rFonts w:eastAsiaTheme="minorHAnsi"/>
        </w:rPr>
        <w:t xml:space="preserve">driver </w:t>
      </w:r>
      <w:r w:rsidR="00525552" w:rsidRPr="00F35DE7">
        <w:rPr>
          <w:rFonts w:eastAsiaTheme="minorHAnsi"/>
        </w:rPr>
        <w:t xml:space="preserve">of </w:t>
      </w:r>
      <w:r w:rsidR="00050985" w:rsidRPr="00F35DE7">
        <w:rPr>
          <w:rFonts w:eastAsiaTheme="minorHAnsi"/>
        </w:rPr>
        <w:t>instability</w:t>
      </w:r>
      <w:r w:rsidR="00525552" w:rsidRPr="00F35DE7">
        <w:rPr>
          <w:rFonts w:eastAsiaTheme="minorHAnsi"/>
        </w:rPr>
        <w:t xml:space="preserve"> and </w:t>
      </w:r>
      <w:r w:rsidR="00F54F8E" w:rsidRPr="00F35DE7">
        <w:rPr>
          <w:rFonts w:eastAsiaTheme="minorHAnsi"/>
        </w:rPr>
        <w:t xml:space="preserve">protest </w:t>
      </w:r>
      <w:r w:rsidR="00481DD8" w:rsidRPr="00F35DE7">
        <w:rPr>
          <w:rFonts w:eastAsiaTheme="minorHAnsi"/>
        </w:rPr>
        <w:t>in 2012</w:t>
      </w:r>
      <w:r w:rsidR="00D67B4C">
        <w:rPr>
          <w:rFonts w:eastAsiaTheme="minorHAnsi"/>
        </w:rPr>
        <w:t>–</w:t>
      </w:r>
      <w:r w:rsidR="00481DD8" w:rsidRPr="00F35DE7">
        <w:rPr>
          <w:rFonts w:eastAsiaTheme="minorHAnsi"/>
        </w:rPr>
        <w:t>13</w:t>
      </w:r>
      <w:r w:rsidR="003B5D60" w:rsidRPr="00F35DE7">
        <w:rPr>
          <w:rFonts w:eastAsiaTheme="minorHAnsi"/>
        </w:rPr>
        <w:t>.</w:t>
      </w:r>
      <w:r w:rsidR="003B5D60" w:rsidRPr="00F35DE7">
        <w:rPr>
          <w:rFonts w:eastAsiaTheme="minorHAnsi"/>
          <w:vertAlign w:val="superscript"/>
        </w:rPr>
        <w:footnoteReference w:id="3"/>
      </w:r>
    </w:p>
    <w:p w14:paraId="46450276" w14:textId="77777777" w:rsidR="00F35DE7" w:rsidRDefault="00D67B4C" w:rsidP="00F35DE7">
      <w:pPr>
        <w:pStyle w:val="BodyText"/>
      </w:pPr>
      <w:r>
        <w:rPr>
          <w:b/>
        </w:rPr>
        <w:t>A</w:t>
      </w:r>
      <w:r w:rsidR="00F50BEF" w:rsidRPr="00F35DE7">
        <w:rPr>
          <w:b/>
        </w:rPr>
        <w:t>round 14 per cent of MENA’s 355 million population</w:t>
      </w:r>
      <w:r>
        <w:rPr>
          <w:b/>
        </w:rPr>
        <w:t xml:space="preserve"> (50 million people) live on </w:t>
      </w:r>
      <w:r w:rsidRPr="00F35DE7">
        <w:rPr>
          <w:b/>
        </w:rPr>
        <w:t>less than US$2 a day</w:t>
      </w:r>
      <w:r w:rsidR="00C5723F" w:rsidRPr="00F35DE7">
        <w:rPr>
          <w:b/>
        </w:rPr>
        <w:t>.</w:t>
      </w:r>
      <w:r w:rsidR="00C5723F" w:rsidRPr="00763DA1">
        <w:rPr>
          <w:rStyle w:val="FootnoteReference"/>
        </w:rPr>
        <w:footnoteReference w:id="4"/>
      </w:r>
      <w:r w:rsidR="00C5723F" w:rsidRPr="005D2876">
        <w:rPr>
          <w:rFonts w:eastAsiaTheme="minorHAnsi"/>
        </w:rPr>
        <w:t xml:space="preserve"> </w:t>
      </w:r>
      <w:r w:rsidR="00296C42" w:rsidRPr="005D2876">
        <w:rPr>
          <w:rFonts w:eastAsiaTheme="minorHAnsi"/>
        </w:rPr>
        <w:t>Fifty</w:t>
      </w:r>
      <w:r w:rsidR="00B00902" w:rsidRPr="005D2876">
        <w:rPr>
          <w:rFonts w:eastAsiaTheme="minorHAnsi"/>
        </w:rPr>
        <w:t xml:space="preserve"> per</w:t>
      </w:r>
      <w:r w:rsidR="00F2799D" w:rsidRPr="005D2876">
        <w:rPr>
          <w:rFonts w:eastAsiaTheme="minorHAnsi"/>
        </w:rPr>
        <w:t xml:space="preserve"> </w:t>
      </w:r>
      <w:r w:rsidR="00B00902" w:rsidRPr="005D2876">
        <w:rPr>
          <w:rFonts w:eastAsiaTheme="minorHAnsi"/>
        </w:rPr>
        <w:t>cent of MENA’s poor live in rural areas.</w:t>
      </w:r>
      <w:r w:rsidR="00296C42" w:rsidRPr="005D2876">
        <w:rPr>
          <w:rStyle w:val="FootnoteReference"/>
          <w:rFonts w:eastAsiaTheme="minorHAnsi"/>
        </w:rPr>
        <w:footnoteReference w:id="5"/>
      </w:r>
      <w:r w:rsidR="008D0CBF">
        <w:rPr>
          <w:rFonts w:eastAsiaTheme="minorHAnsi"/>
        </w:rPr>
        <w:t xml:space="preserve"> </w:t>
      </w:r>
      <w:r w:rsidR="00C5723F" w:rsidRPr="005D2876">
        <w:rPr>
          <w:rFonts w:eastAsiaTheme="minorHAnsi"/>
        </w:rPr>
        <w:t>R</w:t>
      </w:r>
      <w:r w:rsidR="00B00902" w:rsidRPr="005D2876">
        <w:rPr>
          <w:rFonts w:eastAsiaTheme="minorHAnsi"/>
        </w:rPr>
        <w:t>ural poverty is</w:t>
      </w:r>
      <w:r w:rsidR="00F2799D" w:rsidRPr="005D2876">
        <w:rPr>
          <w:rFonts w:eastAsiaTheme="minorHAnsi"/>
        </w:rPr>
        <w:t xml:space="preserve"> </w:t>
      </w:r>
      <w:r w:rsidR="00B00902" w:rsidRPr="005D2876">
        <w:rPr>
          <w:rFonts w:eastAsiaTheme="minorHAnsi"/>
        </w:rPr>
        <w:t>not generalised (with the exception of Yemen). I</w:t>
      </w:r>
      <w:r>
        <w:rPr>
          <w:rFonts w:eastAsiaTheme="minorHAnsi"/>
        </w:rPr>
        <w:t>nstead, i</w:t>
      </w:r>
      <w:r w:rsidR="00B00902" w:rsidRPr="005D2876">
        <w:rPr>
          <w:rFonts w:eastAsiaTheme="minorHAnsi"/>
        </w:rPr>
        <w:t>t is concentrated in certain</w:t>
      </w:r>
      <w:r w:rsidR="00F2799D" w:rsidRPr="005D2876">
        <w:rPr>
          <w:rFonts w:eastAsiaTheme="minorHAnsi"/>
        </w:rPr>
        <w:t xml:space="preserve"> </w:t>
      </w:r>
      <w:r w:rsidR="00B00902" w:rsidRPr="005D2876">
        <w:rPr>
          <w:rFonts w:eastAsiaTheme="minorHAnsi"/>
        </w:rPr>
        <w:t>social groups, such as households headed by women, the landless and farm</w:t>
      </w:r>
      <w:r w:rsidR="00F2799D" w:rsidRPr="005D2876">
        <w:rPr>
          <w:rFonts w:eastAsiaTheme="minorHAnsi"/>
        </w:rPr>
        <w:t xml:space="preserve"> </w:t>
      </w:r>
      <w:r w:rsidR="00B00902" w:rsidRPr="005D2876">
        <w:rPr>
          <w:rFonts w:eastAsiaTheme="minorHAnsi"/>
        </w:rPr>
        <w:t>labourers</w:t>
      </w:r>
      <w:r>
        <w:rPr>
          <w:rFonts w:eastAsiaTheme="minorHAnsi"/>
        </w:rPr>
        <w:t>. It is also concentrated</w:t>
      </w:r>
      <w:r w:rsidR="00B00902" w:rsidRPr="005D2876">
        <w:rPr>
          <w:rFonts w:eastAsiaTheme="minorHAnsi"/>
        </w:rPr>
        <w:t xml:space="preserve"> in defined regions such as Upper Egypt, the mountains and steppes plains of Morocco</w:t>
      </w:r>
      <w:r w:rsidR="00BA71DA" w:rsidRPr="005D2876">
        <w:rPr>
          <w:rFonts w:eastAsiaTheme="minorHAnsi"/>
        </w:rPr>
        <w:t>, central and southern Iraq,</w:t>
      </w:r>
      <w:r w:rsidR="00B00902" w:rsidRPr="005D2876">
        <w:rPr>
          <w:rFonts w:eastAsiaTheme="minorHAnsi"/>
        </w:rPr>
        <w:t xml:space="preserve"> </w:t>
      </w:r>
      <w:r w:rsidR="00BA71DA" w:rsidRPr="005D2876">
        <w:rPr>
          <w:rFonts w:eastAsiaTheme="minorHAnsi"/>
        </w:rPr>
        <w:t>and</w:t>
      </w:r>
      <w:r w:rsidR="00B00902" w:rsidRPr="005D2876">
        <w:rPr>
          <w:rFonts w:eastAsiaTheme="minorHAnsi"/>
        </w:rPr>
        <w:t xml:space="preserve"> north-west Tunisia</w:t>
      </w:r>
      <w:r w:rsidR="00C5723F" w:rsidRPr="005D2876">
        <w:rPr>
          <w:rFonts w:eastAsiaTheme="minorHAnsi"/>
        </w:rPr>
        <w:t>.</w:t>
      </w:r>
      <w:r w:rsidR="008D0CBF">
        <w:rPr>
          <w:rFonts w:eastAsiaTheme="minorHAnsi"/>
        </w:rPr>
        <w:t xml:space="preserve"> </w:t>
      </w:r>
      <w:r w:rsidR="00506051" w:rsidRPr="005D2876">
        <w:t>Tackling food insecurity remains one of the biggest long</w:t>
      </w:r>
      <w:r>
        <w:t>-</w:t>
      </w:r>
      <w:r w:rsidR="00506051" w:rsidRPr="005D2876">
        <w:t>term development challenges facing the region.</w:t>
      </w:r>
      <w:r w:rsidR="008D0CBF">
        <w:t xml:space="preserve"> </w:t>
      </w:r>
      <w:r w:rsidR="000E2416" w:rsidRPr="005D2876">
        <w:t>Poverty levels are sensitive to price fluctuations in basic staples such as food and oil</w:t>
      </w:r>
      <w:r>
        <w:t>.</w:t>
      </w:r>
      <w:r w:rsidR="003172D7" w:rsidRPr="005D2876">
        <w:t xml:space="preserve"> </w:t>
      </w:r>
      <w:r w:rsidR="000E2416" w:rsidRPr="005D2876">
        <w:t>MENA</w:t>
      </w:r>
      <w:r w:rsidR="00506051" w:rsidRPr="005D2876">
        <w:t xml:space="preserve"> is the most food import-dependent region in the world, importing 30 per cent of the world’s traded wheat, and </w:t>
      </w:r>
      <w:r>
        <w:t xml:space="preserve">it </w:t>
      </w:r>
      <w:r w:rsidR="00506051" w:rsidRPr="005D2876">
        <w:t>has the lowest level of renewable water resources.</w:t>
      </w:r>
      <w:r w:rsidR="00506051" w:rsidRPr="005D2876">
        <w:rPr>
          <w:rStyle w:val="FootnoteReference"/>
        </w:rPr>
        <w:footnoteReference w:id="6"/>
      </w:r>
      <w:r w:rsidR="00506051" w:rsidRPr="005D2876">
        <w:t xml:space="preserve"> </w:t>
      </w:r>
    </w:p>
    <w:p w14:paraId="46450277" w14:textId="77777777" w:rsidR="00B11E6E" w:rsidRPr="005D2876" w:rsidRDefault="00045BEC" w:rsidP="00F35DE7">
      <w:pPr>
        <w:pStyle w:val="BodyText"/>
        <w:rPr>
          <w:lang w:val="en"/>
        </w:rPr>
      </w:pPr>
      <w:r w:rsidRPr="00F35DE7">
        <w:rPr>
          <w:b/>
          <w:lang w:val="en"/>
        </w:rPr>
        <w:t>Syria and Yemen are experiencing immense humanitarian and development challenges.</w:t>
      </w:r>
      <w:r w:rsidRPr="005D2876">
        <w:rPr>
          <w:lang w:val="en"/>
        </w:rPr>
        <w:t xml:space="preserve"> </w:t>
      </w:r>
      <w:r w:rsidR="002E3C77" w:rsidRPr="005D2876">
        <w:rPr>
          <w:lang w:val="en"/>
        </w:rPr>
        <w:t>In Syria, v</w:t>
      </w:r>
      <w:r w:rsidRPr="005D2876">
        <w:rPr>
          <w:lang w:val="en"/>
        </w:rPr>
        <w:t xml:space="preserve">iolent conflict </w:t>
      </w:r>
      <w:r w:rsidR="009C3E84" w:rsidRPr="005D2876">
        <w:rPr>
          <w:lang w:val="en"/>
        </w:rPr>
        <w:t xml:space="preserve">has </w:t>
      </w:r>
      <w:r w:rsidRPr="005D2876">
        <w:rPr>
          <w:lang w:val="en"/>
        </w:rPr>
        <w:t xml:space="preserve">contributed to massive displacement, food insecurity and acute malnutrition, a lack of basic services </w:t>
      </w:r>
      <w:r w:rsidR="00843BF1" w:rsidRPr="005D2876">
        <w:rPr>
          <w:lang w:val="en"/>
        </w:rPr>
        <w:t xml:space="preserve">and </w:t>
      </w:r>
      <w:r w:rsidRPr="005D2876">
        <w:rPr>
          <w:lang w:val="en"/>
        </w:rPr>
        <w:t>poor housing</w:t>
      </w:r>
      <w:r w:rsidR="00BA18B0" w:rsidRPr="005D2876">
        <w:rPr>
          <w:lang w:val="en"/>
        </w:rPr>
        <w:t>.</w:t>
      </w:r>
      <w:r w:rsidR="008D0CBF">
        <w:rPr>
          <w:lang w:val="en"/>
        </w:rPr>
        <w:t xml:space="preserve"> </w:t>
      </w:r>
      <w:r w:rsidR="00F25F17">
        <w:rPr>
          <w:lang w:val="en"/>
        </w:rPr>
        <w:t>As at June 2013</w:t>
      </w:r>
      <w:r w:rsidR="00D67B4C">
        <w:rPr>
          <w:lang w:val="en"/>
        </w:rPr>
        <w:t>,</w:t>
      </w:r>
      <w:r w:rsidR="00F25F17">
        <w:rPr>
          <w:lang w:val="en"/>
        </w:rPr>
        <w:t xml:space="preserve"> </w:t>
      </w:r>
      <w:r w:rsidR="00D67B4C">
        <w:rPr>
          <w:lang w:val="en"/>
        </w:rPr>
        <w:t>more than</w:t>
      </w:r>
      <w:r w:rsidR="00D67B4C" w:rsidRPr="005D2876">
        <w:rPr>
          <w:lang w:val="en"/>
        </w:rPr>
        <w:t xml:space="preserve"> </w:t>
      </w:r>
      <w:r w:rsidR="00BA18B0" w:rsidRPr="005D2876">
        <w:rPr>
          <w:lang w:val="en"/>
        </w:rPr>
        <w:t>9</w:t>
      </w:r>
      <w:r w:rsidR="008C6D9F">
        <w:rPr>
          <w:lang w:val="en"/>
        </w:rPr>
        <w:t>0 </w:t>
      </w:r>
      <w:r w:rsidR="00124ADA" w:rsidRPr="005D2876">
        <w:rPr>
          <w:lang w:val="en"/>
        </w:rPr>
        <w:t>000</w:t>
      </w:r>
      <w:r w:rsidR="00944155">
        <w:rPr>
          <w:lang w:val="en"/>
        </w:rPr>
        <w:t> </w:t>
      </w:r>
      <w:r w:rsidR="00124ADA" w:rsidRPr="005D2876">
        <w:rPr>
          <w:lang w:val="en"/>
        </w:rPr>
        <w:t>people have died, 4.25 million remain</w:t>
      </w:r>
      <w:r w:rsidR="00D67B4C">
        <w:rPr>
          <w:lang w:val="en"/>
        </w:rPr>
        <w:t xml:space="preserve"> have been</w:t>
      </w:r>
      <w:r w:rsidR="00124ADA" w:rsidRPr="005D2876">
        <w:rPr>
          <w:lang w:val="en"/>
        </w:rPr>
        <w:t xml:space="preserve"> displaced, and </w:t>
      </w:r>
      <w:r w:rsidR="00D67B4C">
        <w:rPr>
          <w:lang w:val="en"/>
        </w:rPr>
        <w:t>more than</w:t>
      </w:r>
      <w:r w:rsidR="00D67B4C" w:rsidRPr="005D2876">
        <w:rPr>
          <w:lang w:val="en"/>
        </w:rPr>
        <w:t xml:space="preserve"> </w:t>
      </w:r>
      <w:r w:rsidR="00124ADA" w:rsidRPr="005D2876">
        <w:rPr>
          <w:lang w:val="en"/>
        </w:rPr>
        <w:t>1.6 million have fled to neighbo</w:t>
      </w:r>
      <w:r w:rsidR="00CE1ED3" w:rsidRPr="005D2876">
        <w:rPr>
          <w:lang w:val="en"/>
        </w:rPr>
        <w:t>u</w:t>
      </w:r>
      <w:r w:rsidR="00124ADA" w:rsidRPr="005D2876">
        <w:rPr>
          <w:lang w:val="en"/>
        </w:rPr>
        <w:t>ring countries as refugees</w:t>
      </w:r>
      <w:r w:rsidR="00D67B4C">
        <w:rPr>
          <w:lang w:val="en"/>
        </w:rPr>
        <w:t>.</w:t>
      </w:r>
      <w:r w:rsidR="00B11E6E" w:rsidRPr="005D2876">
        <w:rPr>
          <w:rStyle w:val="FootnoteReference"/>
          <w:lang w:val="en"/>
        </w:rPr>
        <w:footnoteReference w:id="7"/>
      </w:r>
      <w:r w:rsidR="008D0CBF">
        <w:rPr>
          <w:lang w:val="en"/>
        </w:rPr>
        <w:t xml:space="preserve"> </w:t>
      </w:r>
      <w:r w:rsidR="00F25F17">
        <w:rPr>
          <w:lang w:val="en"/>
        </w:rPr>
        <w:t xml:space="preserve">The conflict and humanitarian crisis in Syria </w:t>
      </w:r>
      <w:r w:rsidR="002E3C77" w:rsidRPr="005D2876">
        <w:rPr>
          <w:rFonts w:eastAsiaTheme="minorHAnsi"/>
        </w:rPr>
        <w:t xml:space="preserve">is </w:t>
      </w:r>
      <w:r w:rsidR="00C25FD3" w:rsidRPr="005D2876">
        <w:rPr>
          <w:rFonts w:eastAsiaTheme="minorHAnsi"/>
        </w:rPr>
        <w:t xml:space="preserve">a key source of </w:t>
      </w:r>
      <w:r w:rsidR="009A73C2" w:rsidRPr="005D2876">
        <w:rPr>
          <w:rFonts w:eastAsiaTheme="minorHAnsi"/>
        </w:rPr>
        <w:t xml:space="preserve">regional </w:t>
      </w:r>
      <w:r w:rsidR="00C25FD3" w:rsidRPr="005D2876">
        <w:rPr>
          <w:rFonts w:eastAsiaTheme="minorHAnsi"/>
        </w:rPr>
        <w:t>instability</w:t>
      </w:r>
      <w:r w:rsidR="00D67B4C">
        <w:rPr>
          <w:rFonts w:eastAsiaTheme="minorHAnsi"/>
        </w:rPr>
        <w:t>. E</w:t>
      </w:r>
      <w:r w:rsidR="00C25FD3" w:rsidRPr="005D2876">
        <w:rPr>
          <w:rFonts w:eastAsiaTheme="minorHAnsi"/>
        </w:rPr>
        <w:t>conomi</w:t>
      </w:r>
      <w:r w:rsidR="00C25FD3" w:rsidRPr="00944155">
        <w:rPr>
          <w:rFonts w:eastAsiaTheme="minorHAnsi"/>
        </w:rPr>
        <w:t>c spillovers to</w:t>
      </w:r>
      <w:r w:rsidR="00C25FD3" w:rsidRPr="005D2876">
        <w:rPr>
          <w:rFonts w:eastAsiaTheme="minorHAnsi"/>
        </w:rPr>
        <w:t xml:space="preserve"> Lebanon, Jordan, Turkey and Iraq </w:t>
      </w:r>
      <w:r w:rsidR="002E3C77" w:rsidRPr="005D2876">
        <w:rPr>
          <w:rFonts w:eastAsiaTheme="minorHAnsi"/>
        </w:rPr>
        <w:t>will</w:t>
      </w:r>
      <w:r w:rsidR="00C25FD3" w:rsidRPr="005D2876">
        <w:rPr>
          <w:rFonts w:eastAsiaTheme="minorHAnsi"/>
        </w:rPr>
        <w:t xml:space="preserve"> intensify </w:t>
      </w:r>
      <w:r w:rsidR="009C3E84" w:rsidRPr="005D2876">
        <w:rPr>
          <w:rFonts w:eastAsiaTheme="minorHAnsi"/>
        </w:rPr>
        <w:t>as</w:t>
      </w:r>
      <w:r w:rsidR="00C25FD3" w:rsidRPr="005D2876">
        <w:rPr>
          <w:rFonts w:eastAsiaTheme="minorHAnsi"/>
        </w:rPr>
        <w:t xml:space="preserve"> the crisis worsens.</w:t>
      </w:r>
      <w:r w:rsidR="008D0CBF">
        <w:rPr>
          <w:rFonts w:eastAsiaTheme="minorHAnsi"/>
        </w:rPr>
        <w:t xml:space="preserve"> </w:t>
      </w:r>
      <w:r w:rsidR="00C25FD3" w:rsidRPr="005D2876">
        <w:rPr>
          <w:rFonts w:eastAsiaTheme="minorHAnsi"/>
        </w:rPr>
        <w:t xml:space="preserve">Jordan and Lebanon </w:t>
      </w:r>
      <w:r w:rsidR="009A73C2" w:rsidRPr="005D2876">
        <w:rPr>
          <w:rFonts w:eastAsiaTheme="minorHAnsi"/>
        </w:rPr>
        <w:t xml:space="preserve">are </w:t>
      </w:r>
      <w:r w:rsidR="002E3C77" w:rsidRPr="005D2876">
        <w:rPr>
          <w:rFonts w:eastAsiaTheme="minorHAnsi"/>
        </w:rPr>
        <w:t xml:space="preserve">already </w:t>
      </w:r>
      <w:r w:rsidR="009A73C2" w:rsidRPr="005D2876">
        <w:rPr>
          <w:rFonts w:eastAsiaTheme="minorHAnsi"/>
        </w:rPr>
        <w:t xml:space="preserve">struggling to cope with the </w:t>
      </w:r>
      <w:r w:rsidR="00340F6A" w:rsidRPr="005D2876">
        <w:rPr>
          <w:rFonts w:eastAsiaTheme="minorHAnsi"/>
        </w:rPr>
        <w:t xml:space="preserve">massive </w:t>
      </w:r>
      <w:r w:rsidR="009A73C2" w:rsidRPr="005D2876">
        <w:rPr>
          <w:rFonts w:eastAsiaTheme="minorHAnsi"/>
        </w:rPr>
        <w:t xml:space="preserve">influx of refugees, which has increased their </w:t>
      </w:r>
      <w:r w:rsidR="00340F6A" w:rsidRPr="005D2876">
        <w:rPr>
          <w:rFonts w:eastAsiaTheme="minorHAnsi"/>
        </w:rPr>
        <w:t xml:space="preserve">combined </w:t>
      </w:r>
      <w:r w:rsidR="009A73C2" w:rsidRPr="005D2876">
        <w:rPr>
          <w:rFonts w:eastAsiaTheme="minorHAnsi"/>
        </w:rPr>
        <w:t xml:space="preserve">populations </w:t>
      </w:r>
      <w:r w:rsidR="00C25FD3" w:rsidRPr="005D2876">
        <w:rPr>
          <w:rFonts w:eastAsiaTheme="minorHAnsi"/>
        </w:rPr>
        <w:t>by</w:t>
      </w:r>
      <w:r w:rsidR="002E3C77" w:rsidRPr="005D2876">
        <w:rPr>
          <w:rFonts w:eastAsiaTheme="minorHAnsi"/>
        </w:rPr>
        <w:t xml:space="preserve"> </w:t>
      </w:r>
      <w:r w:rsidR="00C25FD3" w:rsidRPr="005D2876">
        <w:rPr>
          <w:rFonts w:eastAsiaTheme="minorHAnsi"/>
        </w:rPr>
        <w:t>10 per cent.</w:t>
      </w:r>
      <w:r w:rsidR="008D0CBF">
        <w:rPr>
          <w:rFonts w:eastAsiaTheme="minorHAnsi"/>
        </w:rPr>
        <w:t xml:space="preserve"> </w:t>
      </w:r>
      <w:r w:rsidR="00340F6A" w:rsidRPr="005D2876">
        <w:rPr>
          <w:rFonts w:eastAsiaTheme="minorHAnsi"/>
        </w:rPr>
        <w:t xml:space="preserve">The fledgling transition state of </w:t>
      </w:r>
      <w:r w:rsidR="009C3E84" w:rsidRPr="005D2876">
        <w:rPr>
          <w:lang w:val="en"/>
        </w:rPr>
        <w:t xml:space="preserve">Yemen is </w:t>
      </w:r>
      <w:r w:rsidR="00340F6A" w:rsidRPr="005D2876">
        <w:rPr>
          <w:lang w:val="en"/>
        </w:rPr>
        <w:t xml:space="preserve">also </w:t>
      </w:r>
      <w:r w:rsidR="00BA18B0" w:rsidRPr="005D2876">
        <w:rPr>
          <w:lang w:val="en"/>
        </w:rPr>
        <w:t xml:space="preserve">in </w:t>
      </w:r>
      <w:r w:rsidR="00340F6A" w:rsidRPr="005D2876">
        <w:rPr>
          <w:lang w:val="en"/>
        </w:rPr>
        <w:t>a</w:t>
      </w:r>
      <w:r w:rsidR="009C3E84" w:rsidRPr="005D2876">
        <w:rPr>
          <w:lang w:val="en"/>
        </w:rPr>
        <w:t xml:space="preserve"> major humanitarian cris</w:t>
      </w:r>
      <w:r w:rsidR="00124ADA" w:rsidRPr="005D2876">
        <w:rPr>
          <w:lang w:val="en"/>
        </w:rPr>
        <w:t>i</w:t>
      </w:r>
      <w:r w:rsidR="009C3E84" w:rsidRPr="005D2876">
        <w:rPr>
          <w:lang w:val="en"/>
        </w:rPr>
        <w:t xml:space="preserve">s, with more than half of </w:t>
      </w:r>
      <w:r w:rsidR="00D67B4C">
        <w:rPr>
          <w:lang w:val="en"/>
        </w:rPr>
        <w:t>its</w:t>
      </w:r>
      <w:r w:rsidR="00D67B4C" w:rsidRPr="005D2876">
        <w:rPr>
          <w:lang w:val="en"/>
        </w:rPr>
        <w:t xml:space="preserve"> </w:t>
      </w:r>
      <w:r w:rsidR="009C3E84" w:rsidRPr="005D2876">
        <w:rPr>
          <w:lang w:val="en"/>
        </w:rPr>
        <w:t xml:space="preserve">population affected </w:t>
      </w:r>
      <w:r w:rsidR="00BA18B0" w:rsidRPr="005D2876">
        <w:rPr>
          <w:lang w:val="en"/>
        </w:rPr>
        <w:t xml:space="preserve">by food shortages </w:t>
      </w:r>
      <w:r w:rsidR="009C3E84" w:rsidRPr="005D2876">
        <w:rPr>
          <w:lang w:val="en"/>
        </w:rPr>
        <w:t xml:space="preserve">and </w:t>
      </w:r>
      <w:r w:rsidR="00D67B4C">
        <w:rPr>
          <w:lang w:val="en"/>
        </w:rPr>
        <w:t>one-</w:t>
      </w:r>
      <w:r w:rsidR="009C3E84" w:rsidRPr="005D2876">
        <w:rPr>
          <w:lang w:val="en"/>
        </w:rPr>
        <w:t>third targeted for humanitarian aid.</w:t>
      </w:r>
      <w:r w:rsidR="008D0CBF">
        <w:rPr>
          <w:lang w:val="en"/>
        </w:rPr>
        <w:t xml:space="preserve"> </w:t>
      </w:r>
      <w:r w:rsidR="009F6B91" w:rsidRPr="005D2876">
        <w:rPr>
          <w:rFonts w:eastAsiaTheme="minorHAnsi"/>
        </w:rPr>
        <w:t>Sustained efforts are required to address the humanitarian crisis</w:t>
      </w:r>
      <w:r w:rsidR="009F6B91" w:rsidRPr="005D2876">
        <w:rPr>
          <w:lang w:val="en"/>
        </w:rPr>
        <w:t>.</w:t>
      </w:r>
      <w:r w:rsidR="008D0CBF">
        <w:rPr>
          <w:lang w:val="en"/>
        </w:rPr>
        <w:t xml:space="preserve"> </w:t>
      </w:r>
      <w:r w:rsidR="009F6B91" w:rsidRPr="005D2876">
        <w:rPr>
          <w:lang w:val="en"/>
        </w:rPr>
        <w:t xml:space="preserve">Without a well-supported and comprehensive plan to respond to </w:t>
      </w:r>
      <w:r w:rsidR="00D67B4C">
        <w:rPr>
          <w:lang w:val="en"/>
        </w:rPr>
        <w:t>this</w:t>
      </w:r>
      <w:r w:rsidR="009F6B91" w:rsidRPr="005D2876">
        <w:rPr>
          <w:lang w:val="en"/>
        </w:rPr>
        <w:t xml:space="preserve"> crisis, the current fragile political process will be further threatened.</w:t>
      </w:r>
      <w:r w:rsidR="00B11E6E" w:rsidRPr="005D2876">
        <w:rPr>
          <w:rStyle w:val="FootnoteReference"/>
          <w:lang w:val="en"/>
        </w:rPr>
        <w:footnoteReference w:id="8"/>
      </w:r>
      <w:r w:rsidR="00340F6A" w:rsidRPr="005D2876">
        <w:rPr>
          <w:lang w:val="en"/>
        </w:rPr>
        <w:t xml:space="preserve"> </w:t>
      </w:r>
    </w:p>
    <w:p w14:paraId="46450278" w14:textId="77777777" w:rsidR="007D40B4" w:rsidRPr="005D2876" w:rsidRDefault="00C3482B" w:rsidP="00F35DE7">
      <w:pPr>
        <w:pStyle w:val="BodyText"/>
      </w:pPr>
      <w:r w:rsidRPr="00F35DE7">
        <w:rPr>
          <w:b/>
        </w:rPr>
        <w:lastRenderedPageBreak/>
        <w:t xml:space="preserve">Australia’s bilateral aid program to Iraq will phase out by 2015 </w:t>
      </w:r>
      <w:r w:rsidR="00340F6A" w:rsidRPr="00F35DE7">
        <w:rPr>
          <w:b/>
        </w:rPr>
        <w:t>in line with like-minded donors and as Iraq’s economy continues to grow.</w:t>
      </w:r>
      <w:r w:rsidR="008D0CBF">
        <w:rPr>
          <w:b/>
        </w:rPr>
        <w:t xml:space="preserve"> </w:t>
      </w:r>
      <w:r w:rsidR="00340F6A" w:rsidRPr="005D2876">
        <w:t xml:space="preserve">This approach is consistent with </w:t>
      </w:r>
      <w:r w:rsidR="00B34129" w:rsidRPr="005D2876">
        <w:t>the Iraqi Government’s wish to normalise bilateral relations and progress beyond a donor-recipient relationship</w:t>
      </w:r>
      <w:r w:rsidR="003440D6" w:rsidRPr="005D2876">
        <w:t>, as agreed at annual Senior Officials Talks</w:t>
      </w:r>
      <w:r w:rsidR="00B34129" w:rsidRPr="005D2876">
        <w:t>.</w:t>
      </w:r>
      <w:r w:rsidR="008D0CBF">
        <w:t xml:space="preserve"> </w:t>
      </w:r>
      <w:r w:rsidR="003440D6" w:rsidRPr="005D2876">
        <w:t xml:space="preserve">The World </w:t>
      </w:r>
      <w:r w:rsidR="00D97F93" w:rsidRPr="005D2876">
        <w:t>B</w:t>
      </w:r>
      <w:r w:rsidR="003440D6" w:rsidRPr="005D2876">
        <w:t xml:space="preserve">ank has noted that, in the medium-term, Iraq </w:t>
      </w:r>
      <w:r w:rsidR="003440D6" w:rsidRPr="005D2876">
        <w:rPr>
          <w:rFonts w:eastAsiaTheme="minorHAnsi"/>
          <w:bCs/>
          <w:sz w:val="23"/>
          <w:szCs w:val="23"/>
        </w:rPr>
        <w:t>will have no significant budget or external</w:t>
      </w:r>
      <w:r w:rsidR="00D97F93" w:rsidRPr="005D2876">
        <w:rPr>
          <w:rFonts w:eastAsiaTheme="minorHAnsi"/>
          <w:bCs/>
          <w:sz w:val="23"/>
          <w:szCs w:val="23"/>
        </w:rPr>
        <w:t xml:space="preserve"> </w:t>
      </w:r>
      <w:r w:rsidR="003440D6" w:rsidRPr="005D2876">
        <w:rPr>
          <w:rFonts w:eastAsiaTheme="minorHAnsi"/>
          <w:bCs/>
          <w:sz w:val="23"/>
          <w:szCs w:val="23"/>
        </w:rPr>
        <w:t>financing needs</w:t>
      </w:r>
      <w:r w:rsidR="003172D7" w:rsidRPr="005D2876">
        <w:rPr>
          <w:rFonts w:eastAsiaTheme="minorHAnsi"/>
          <w:bCs/>
          <w:sz w:val="23"/>
          <w:szCs w:val="23"/>
        </w:rPr>
        <w:t xml:space="preserve"> as </w:t>
      </w:r>
      <w:r w:rsidR="003440D6" w:rsidRPr="005D2876">
        <w:rPr>
          <w:rFonts w:eastAsiaTheme="minorHAnsi"/>
          <w:sz w:val="23"/>
          <w:szCs w:val="23"/>
        </w:rPr>
        <w:t xml:space="preserve">oil revenues </w:t>
      </w:r>
      <w:r w:rsidR="00D97F93" w:rsidRPr="005D2876">
        <w:rPr>
          <w:rFonts w:eastAsiaTheme="minorHAnsi"/>
          <w:sz w:val="23"/>
          <w:szCs w:val="23"/>
        </w:rPr>
        <w:t>are increasing and g</w:t>
      </w:r>
      <w:r w:rsidR="003440D6" w:rsidRPr="005D2876">
        <w:rPr>
          <w:rFonts w:eastAsiaTheme="minorHAnsi"/>
          <w:sz w:val="23"/>
          <w:szCs w:val="23"/>
        </w:rPr>
        <w:t>ross</w:t>
      </w:r>
      <w:r w:rsidR="00D97F93" w:rsidRPr="005D2876">
        <w:rPr>
          <w:rFonts w:eastAsiaTheme="minorHAnsi"/>
          <w:sz w:val="23"/>
          <w:szCs w:val="23"/>
        </w:rPr>
        <w:t xml:space="preserve"> </w:t>
      </w:r>
      <w:r w:rsidR="003440D6" w:rsidRPr="005D2876">
        <w:rPr>
          <w:rFonts w:eastAsiaTheme="minorHAnsi"/>
          <w:sz w:val="23"/>
          <w:szCs w:val="23"/>
        </w:rPr>
        <w:t>foreign reserves are likely to reach US$84 billion in 2015</w:t>
      </w:r>
      <w:r w:rsidR="00D97F93" w:rsidRPr="005D2876">
        <w:rPr>
          <w:rFonts w:eastAsiaTheme="minorHAnsi"/>
          <w:sz w:val="23"/>
          <w:szCs w:val="23"/>
        </w:rPr>
        <w:t>.</w:t>
      </w:r>
      <w:r w:rsidR="00D97F93" w:rsidRPr="005D2876">
        <w:rPr>
          <w:rStyle w:val="FootnoteReference"/>
          <w:rFonts w:eastAsiaTheme="minorHAnsi"/>
        </w:rPr>
        <w:footnoteReference w:id="9"/>
      </w:r>
      <w:r w:rsidR="008D0CBF">
        <w:rPr>
          <w:rFonts w:eastAsiaTheme="minorHAnsi"/>
          <w:sz w:val="23"/>
          <w:szCs w:val="23"/>
        </w:rPr>
        <w:t xml:space="preserve"> </w:t>
      </w:r>
      <w:r w:rsidR="007D40B4" w:rsidRPr="005D2876">
        <w:t xml:space="preserve">The key development challenge for Iraq will be to continue to use </w:t>
      </w:r>
      <w:r w:rsidRPr="005D2876">
        <w:t>its</w:t>
      </w:r>
      <w:r w:rsidR="007D40B4" w:rsidRPr="005D2876">
        <w:t xml:space="preserve"> substantial oil resources to the benefit of current and future generations.</w:t>
      </w:r>
      <w:r w:rsidR="008D0CBF">
        <w:t xml:space="preserve"> </w:t>
      </w:r>
      <w:r w:rsidR="00CC025E" w:rsidRPr="005D2876">
        <w:t>It does not need large bilateral grant aid from donors.</w:t>
      </w:r>
      <w:r w:rsidR="008D0CBF">
        <w:t xml:space="preserve"> </w:t>
      </w:r>
      <w:r w:rsidR="007D40B4" w:rsidRPr="005D2876">
        <w:t xml:space="preserve">Iraq has advanced to the point where it </w:t>
      </w:r>
      <w:r w:rsidR="00A01947" w:rsidRPr="005D2876">
        <w:t>is</w:t>
      </w:r>
      <w:r w:rsidR="007D40B4" w:rsidRPr="005D2876">
        <w:t xml:space="preserve"> able to fund its own capacity building</w:t>
      </w:r>
      <w:r w:rsidR="00CC025E" w:rsidRPr="005D2876">
        <w:t xml:space="preserve">, technical cooperation </w:t>
      </w:r>
      <w:r w:rsidR="007D40B4" w:rsidRPr="005D2876">
        <w:t>and development.</w:t>
      </w:r>
    </w:p>
    <w:p w14:paraId="46450279" w14:textId="77777777" w:rsidR="00F35DE7" w:rsidRDefault="00B34129" w:rsidP="00F35DE7">
      <w:pPr>
        <w:pStyle w:val="BodyText"/>
        <w:rPr>
          <w:lang w:val="en"/>
        </w:rPr>
      </w:pPr>
      <w:r w:rsidRPr="00F35DE7">
        <w:rPr>
          <w:b/>
          <w:lang w:val="en"/>
        </w:rPr>
        <w:t>The latest M</w:t>
      </w:r>
      <w:r w:rsidR="00D67B4C">
        <w:rPr>
          <w:b/>
          <w:lang w:val="en"/>
        </w:rPr>
        <w:t>illennium Development Goals (M</w:t>
      </w:r>
      <w:r w:rsidRPr="00F35DE7">
        <w:rPr>
          <w:b/>
          <w:lang w:val="en"/>
        </w:rPr>
        <w:t>DG</w:t>
      </w:r>
      <w:r w:rsidR="00D67B4C">
        <w:rPr>
          <w:b/>
          <w:lang w:val="en"/>
        </w:rPr>
        <w:t>)</w:t>
      </w:r>
      <w:r w:rsidRPr="00F35DE7">
        <w:rPr>
          <w:b/>
          <w:lang w:val="en"/>
        </w:rPr>
        <w:t xml:space="preserve"> reporting from 2010 suggest</w:t>
      </w:r>
      <w:r w:rsidR="00F2799D" w:rsidRPr="00F35DE7">
        <w:rPr>
          <w:b/>
          <w:lang w:val="en"/>
        </w:rPr>
        <w:t>s</w:t>
      </w:r>
      <w:r w:rsidRPr="00F35DE7">
        <w:rPr>
          <w:b/>
          <w:lang w:val="en"/>
        </w:rPr>
        <w:t xml:space="preserve"> a</w:t>
      </w:r>
      <w:r w:rsidR="0012331B" w:rsidRPr="00F35DE7">
        <w:rPr>
          <w:b/>
          <w:lang w:val="en"/>
        </w:rPr>
        <w:t>ll MENA countries</w:t>
      </w:r>
      <w:r w:rsidR="00D67B4C">
        <w:rPr>
          <w:b/>
          <w:lang w:val="en"/>
        </w:rPr>
        <w:t>—</w:t>
      </w:r>
      <w:r w:rsidR="0012331B" w:rsidRPr="00F35DE7">
        <w:rPr>
          <w:b/>
          <w:lang w:val="en"/>
        </w:rPr>
        <w:t>with the exception of Iraq, Syria and Yemen</w:t>
      </w:r>
      <w:r w:rsidR="00D67B4C">
        <w:rPr>
          <w:b/>
          <w:lang w:val="en"/>
        </w:rPr>
        <w:t>—</w:t>
      </w:r>
      <w:r w:rsidR="0012331B" w:rsidRPr="00F35DE7">
        <w:rPr>
          <w:b/>
          <w:lang w:val="en"/>
        </w:rPr>
        <w:t>st</w:t>
      </w:r>
      <w:r w:rsidR="00F2799D" w:rsidRPr="00F35DE7">
        <w:rPr>
          <w:b/>
          <w:lang w:val="en"/>
        </w:rPr>
        <w:t>and</w:t>
      </w:r>
      <w:r w:rsidR="0012331B" w:rsidRPr="00F35DE7">
        <w:rPr>
          <w:b/>
          <w:lang w:val="en"/>
        </w:rPr>
        <w:t xml:space="preserve"> to meet or narrowly miss most MDGs.</w:t>
      </w:r>
      <w:r w:rsidR="008D0CBF">
        <w:rPr>
          <w:lang w:val="en"/>
        </w:rPr>
        <w:t xml:space="preserve"> </w:t>
      </w:r>
      <w:r w:rsidR="00F50BEF" w:rsidRPr="005D2876">
        <w:rPr>
          <w:lang w:val="en"/>
        </w:rPr>
        <w:t>By 2010</w:t>
      </w:r>
      <w:r w:rsidR="00D67B4C">
        <w:rPr>
          <w:lang w:val="en"/>
        </w:rPr>
        <w:t>,</w:t>
      </w:r>
      <w:r w:rsidR="00F50BEF" w:rsidRPr="005D2876">
        <w:rPr>
          <w:lang w:val="en"/>
        </w:rPr>
        <w:t xml:space="preserve"> t</w:t>
      </w:r>
      <w:r w:rsidR="009D63CF" w:rsidRPr="005D2876">
        <w:rPr>
          <w:lang w:val="en"/>
        </w:rPr>
        <w:t>he region ha</w:t>
      </w:r>
      <w:r w:rsidR="00F50BEF" w:rsidRPr="005D2876">
        <w:rPr>
          <w:lang w:val="en"/>
        </w:rPr>
        <w:t>d</w:t>
      </w:r>
      <w:r w:rsidR="009D63CF" w:rsidRPr="005D2876">
        <w:rPr>
          <w:lang w:val="en"/>
        </w:rPr>
        <w:t xml:space="preserve"> already achieved five of the nine targets (</w:t>
      </w:r>
      <w:r w:rsidR="00D67B4C">
        <w:rPr>
          <w:lang w:val="en"/>
        </w:rPr>
        <w:t>that is,</w:t>
      </w:r>
      <w:r w:rsidR="009D63CF" w:rsidRPr="005D2876">
        <w:rPr>
          <w:lang w:val="en"/>
        </w:rPr>
        <w:t xml:space="preserve"> halving extreme pov</w:t>
      </w:r>
      <w:r w:rsidR="005330F5">
        <w:rPr>
          <w:lang w:val="en"/>
        </w:rPr>
        <w:t>erty, reducing infant, child and</w:t>
      </w:r>
      <w:r w:rsidR="009D63CF" w:rsidRPr="005D2876">
        <w:rPr>
          <w:lang w:val="en"/>
        </w:rPr>
        <w:t xml:space="preserve"> maternal mortality and improving access to sanitation).</w:t>
      </w:r>
      <w:r w:rsidR="008D0CBF">
        <w:rPr>
          <w:lang w:val="en"/>
        </w:rPr>
        <w:t xml:space="preserve"> </w:t>
      </w:r>
      <w:r w:rsidR="009D63CF" w:rsidRPr="005D2876">
        <w:rPr>
          <w:lang w:val="en"/>
        </w:rPr>
        <w:t xml:space="preserve">However, it </w:t>
      </w:r>
      <w:r w:rsidR="00F50BEF" w:rsidRPr="005D2876">
        <w:rPr>
          <w:lang w:val="en"/>
        </w:rPr>
        <w:t>was</w:t>
      </w:r>
      <w:r w:rsidR="009D63CF" w:rsidRPr="005D2876">
        <w:rPr>
          <w:lang w:val="en"/>
        </w:rPr>
        <w:t xml:space="preserve"> still lagging on MDGs related to undernourishment, primary school completion, gender parity in primary education, and access to safe drinking water.</w:t>
      </w:r>
      <w:r w:rsidR="008D0CBF">
        <w:rPr>
          <w:lang w:val="en"/>
        </w:rPr>
        <w:t xml:space="preserve"> </w:t>
      </w:r>
      <w:r w:rsidR="00CF057B">
        <w:rPr>
          <w:lang w:val="en"/>
        </w:rPr>
        <w:t>I</w:t>
      </w:r>
      <w:r w:rsidR="000E2416" w:rsidRPr="005D2876">
        <w:rPr>
          <w:lang w:val="en"/>
        </w:rPr>
        <w:t xml:space="preserve">nstability and uncertainty </w:t>
      </w:r>
      <w:r w:rsidR="001E2AD7" w:rsidRPr="005D2876">
        <w:rPr>
          <w:lang w:val="en"/>
        </w:rPr>
        <w:t xml:space="preserve">brought about by </w:t>
      </w:r>
      <w:r w:rsidR="000E2416" w:rsidRPr="005D2876">
        <w:rPr>
          <w:lang w:val="en"/>
        </w:rPr>
        <w:t xml:space="preserve">the </w:t>
      </w:r>
      <w:r w:rsidR="00D815A0">
        <w:rPr>
          <w:lang w:val="en"/>
        </w:rPr>
        <w:t xml:space="preserve">2011 </w:t>
      </w:r>
      <w:r w:rsidR="000E2416" w:rsidRPr="005D2876">
        <w:rPr>
          <w:lang w:val="en"/>
        </w:rPr>
        <w:t>Arab Spring</w:t>
      </w:r>
      <w:r w:rsidR="00CF057B">
        <w:rPr>
          <w:lang w:val="en"/>
        </w:rPr>
        <w:t xml:space="preserve"> and</w:t>
      </w:r>
      <w:r w:rsidR="00F50BEF" w:rsidRPr="005D2876">
        <w:rPr>
          <w:lang w:val="en"/>
        </w:rPr>
        <w:t xml:space="preserve"> </w:t>
      </w:r>
      <w:r w:rsidR="00CF057B">
        <w:rPr>
          <w:lang w:val="en"/>
        </w:rPr>
        <w:t>o</w:t>
      </w:r>
      <w:r w:rsidR="00F50BEF" w:rsidRPr="005D2876">
        <w:rPr>
          <w:lang w:val="en"/>
        </w:rPr>
        <w:t xml:space="preserve">ngoing conflict </w:t>
      </w:r>
      <w:r w:rsidR="00974F49" w:rsidRPr="005D2876">
        <w:rPr>
          <w:lang w:val="en"/>
        </w:rPr>
        <w:t>in the region will l</w:t>
      </w:r>
      <w:r w:rsidR="00F50BEF" w:rsidRPr="005D2876">
        <w:rPr>
          <w:lang w:val="en"/>
        </w:rPr>
        <w:t>ikel</w:t>
      </w:r>
      <w:r w:rsidR="00974F49" w:rsidRPr="005D2876">
        <w:rPr>
          <w:lang w:val="en"/>
        </w:rPr>
        <w:t>y see</w:t>
      </w:r>
      <w:r w:rsidR="00F50BEF" w:rsidRPr="005D2876">
        <w:rPr>
          <w:lang w:val="en"/>
        </w:rPr>
        <w:t xml:space="preserve"> past achievements curtailed, and eroded, in some MENA countries</w:t>
      </w:r>
      <w:r w:rsidR="00974F49" w:rsidRPr="005D2876">
        <w:rPr>
          <w:lang w:val="en"/>
        </w:rPr>
        <w:t>.</w:t>
      </w:r>
    </w:p>
    <w:p w14:paraId="4645027A" w14:textId="77777777" w:rsidR="00F35DE7" w:rsidRDefault="0082403D" w:rsidP="00F35DE7">
      <w:pPr>
        <w:pStyle w:val="BodyText"/>
        <w:rPr>
          <w:lang w:val="en"/>
        </w:rPr>
      </w:pPr>
      <w:r w:rsidRPr="00F35DE7">
        <w:rPr>
          <w:b/>
          <w:lang w:val="en"/>
        </w:rPr>
        <w:t>Gender equality remains a paradox</w:t>
      </w:r>
      <w:r w:rsidR="001E2AD7" w:rsidRPr="00F35DE7">
        <w:rPr>
          <w:b/>
          <w:lang w:val="en"/>
        </w:rPr>
        <w:t xml:space="preserve"> </w:t>
      </w:r>
      <w:r w:rsidR="003172D7" w:rsidRPr="00F35DE7">
        <w:rPr>
          <w:b/>
          <w:lang w:val="en"/>
        </w:rPr>
        <w:t xml:space="preserve">in MENA </w:t>
      </w:r>
      <w:r w:rsidR="001E2AD7" w:rsidRPr="00F35DE7">
        <w:rPr>
          <w:b/>
          <w:lang w:val="en"/>
        </w:rPr>
        <w:t>as</w:t>
      </w:r>
      <w:r w:rsidRPr="00F35DE7">
        <w:rPr>
          <w:b/>
          <w:lang w:val="en"/>
        </w:rPr>
        <w:t xml:space="preserve"> most countries have made progress in closing their gender gaps in education and health outcomes, but this has not translated into higher rates of female participation in economic and political life.</w:t>
      </w:r>
      <w:r w:rsidR="008D0CBF">
        <w:rPr>
          <w:lang w:val="en"/>
        </w:rPr>
        <w:t xml:space="preserve"> </w:t>
      </w:r>
      <w:r w:rsidRPr="005D2876">
        <w:rPr>
          <w:lang w:val="en"/>
        </w:rPr>
        <w:t>With higher levels of education and lower fertility rates than at any time in the past, more women in the region are looking for work.</w:t>
      </w:r>
      <w:r w:rsidR="008D0CBF">
        <w:rPr>
          <w:lang w:val="en"/>
        </w:rPr>
        <w:t xml:space="preserve"> </w:t>
      </w:r>
      <w:r w:rsidRPr="005D2876">
        <w:rPr>
          <w:lang w:val="en"/>
        </w:rPr>
        <w:t xml:space="preserve">Almost all MENA countries have </w:t>
      </w:r>
      <w:r w:rsidRPr="00944155">
        <w:rPr>
          <w:lang w:val="en"/>
        </w:rPr>
        <w:t>female labour force</w:t>
      </w:r>
      <w:r w:rsidRPr="005D2876">
        <w:rPr>
          <w:lang w:val="en"/>
        </w:rPr>
        <w:t xml:space="preserve"> participation rates below the average for lower and middle income countries.</w:t>
      </w:r>
      <w:r w:rsidR="008D0CBF">
        <w:rPr>
          <w:lang w:val="en"/>
        </w:rPr>
        <w:t xml:space="preserve"> </w:t>
      </w:r>
      <w:r w:rsidRPr="005D2876">
        <w:rPr>
          <w:lang w:val="en"/>
        </w:rPr>
        <w:t>The lowest rates are in the fragile and conflict-affected countries</w:t>
      </w:r>
      <w:r w:rsidR="00D67B4C">
        <w:rPr>
          <w:lang w:val="en"/>
        </w:rPr>
        <w:t>, which</w:t>
      </w:r>
      <w:r w:rsidRPr="005D2876">
        <w:rPr>
          <w:lang w:val="en"/>
        </w:rPr>
        <w:t xml:space="preserve"> includ</w:t>
      </w:r>
      <w:r w:rsidR="00D67B4C">
        <w:rPr>
          <w:lang w:val="en"/>
        </w:rPr>
        <w:t>e</w:t>
      </w:r>
      <w:r w:rsidRPr="005D2876">
        <w:rPr>
          <w:lang w:val="en"/>
        </w:rPr>
        <w:t xml:space="preserve"> Iraq, the Palestinian Territories and Yemen</w:t>
      </w:r>
      <w:r w:rsidR="00506051" w:rsidRPr="005D2876">
        <w:rPr>
          <w:lang w:val="en"/>
        </w:rPr>
        <w:t>.</w:t>
      </w:r>
      <w:r w:rsidR="001E2AD7" w:rsidRPr="005D2876">
        <w:rPr>
          <w:rStyle w:val="FootnoteReference"/>
          <w:lang w:val="en"/>
        </w:rPr>
        <w:footnoteReference w:id="10"/>
      </w:r>
    </w:p>
    <w:p w14:paraId="4645027B" w14:textId="0CF2C35C" w:rsidR="00D67B4C" w:rsidRDefault="00783B0A" w:rsidP="00F35DE7">
      <w:pPr>
        <w:pStyle w:val="BodyText"/>
        <w:rPr>
          <w:rFonts w:eastAsiaTheme="minorHAnsi"/>
        </w:rPr>
      </w:pPr>
      <w:r w:rsidRPr="00F35DE7">
        <w:rPr>
          <w:rFonts w:eastAsiaTheme="minorHAnsi"/>
          <w:b/>
        </w:rPr>
        <w:t xml:space="preserve">Australia’s aid program to the MENA region </w:t>
      </w:r>
      <w:r w:rsidR="005A6666" w:rsidRPr="00F35DE7">
        <w:rPr>
          <w:rFonts w:eastAsiaTheme="minorHAnsi"/>
          <w:b/>
        </w:rPr>
        <w:t>has been</w:t>
      </w:r>
      <w:r w:rsidRPr="00F35DE7">
        <w:rPr>
          <w:rFonts w:eastAsiaTheme="minorHAnsi"/>
          <w:b/>
        </w:rPr>
        <w:t xml:space="preserve"> designed </w:t>
      </w:r>
      <w:r w:rsidR="00AC2525" w:rsidRPr="00F35DE7">
        <w:rPr>
          <w:rFonts w:eastAsiaTheme="minorHAnsi"/>
          <w:b/>
        </w:rPr>
        <w:t xml:space="preserve">around the need for immediate response </w:t>
      </w:r>
      <w:r w:rsidRPr="00F35DE7">
        <w:rPr>
          <w:rFonts w:eastAsiaTheme="minorHAnsi"/>
          <w:b/>
        </w:rPr>
        <w:t xml:space="preserve">during </w:t>
      </w:r>
      <w:r w:rsidR="002E3C77" w:rsidRPr="00F35DE7">
        <w:rPr>
          <w:rFonts w:eastAsiaTheme="minorHAnsi"/>
          <w:b/>
        </w:rPr>
        <w:t>the Arab Spring uprisings, and</w:t>
      </w:r>
      <w:r w:rsidR="00B36C76" w:rsidRPr="00F35DE7">
        <w:rPr>
          <w:rFonts w:eastAsiaTheme="minorHAnsi"/>
          <w:b/>
        </w:rPr>
        <w:t xml:space="preserve"> </w:t>
      </w:r>
      <w:r w:rsidR="00EB2CBC" w:rsidRPr="00F35DE7">
        <w:rPr>
          <w:rFonts w:eastAsiaTheme="minorHAnsi"/>
          <w:b/>
        </w:rPr>
        <w:t xml:space="preserve">humanitarian crises such as </w:t>
      </w:r>
      <w:r w:rsidR="00620CE4" w:rsidRPr="00F35DE7">
        <w:rPr>
          <w:rFonts w:eastAsiaTheme="minorHAnsi"/>
          <w:b/>
        </w:rPr>
        <w:t xml:space="preserve">in </w:t>
      </w:r>
      <w:r w:rsidR="00EB2CBC" w:rsidRPr="00F35DE7">
        <w:rPr>
          <w:rFonts w:eastAsiaTheme="minorHAnsi"/>
          <w:b/>
        </w:rPr>
        <w:t xml:space="preserve">Yemen and </w:t>
      </w:r>
      <w:r w:rsidR="00045BEC" w:rsidRPr="00F35DE7">
        <w:rPr>
          <w:rFonts w:eastAsiaTheme="minorHAnsi"/>
          <w:b/>
        </w:rPr>
        <w:t>Syria</w:t>
      </w:r>
      <w:r w:rsidRPr="00F35DE7">
        <w:rPr>
          <w:rFonts w:eastAsiaTheme="minorHAnsi"/>
          <w:b/>
        </w:rPr>
        <w:t>.</w:t>
      </w:r>
      <w:r w:rsidR="008D0CBF">
        <w:rPr>
          <w:rFonts w:eastAsiaTheme="minorHAnsi"/>
        </w:rPr>
        <w:t xml:space="preserve"> </w:t>
      </w:r>
      <w:r w:rsidR="00F73742" w:rsidRPr="00F35DE7">
        <w:rPr>
          <w:rFonts w:eastAsiaTheme="minorHAnsi"/>
        </w:rPr>
        <w:t>Currently, assistance to the region is characterised by a disparate group of modest bilateral programs and a considerable humanitarian response in Syria.</w:t>
      </w:r>
      <w:r w:rsidR="008D0CBF">
        <w:rPr>
          <w:rFonts w:eastAsiaTheme="minorHAnsi"/>
        </w:rPr>
        <w:t xml:space="preserve"> </w:t>
      </w:r>
      <w:r w:rsidR="00274C8D" w:rsidRPr="00F35DE7">
        <w:rPr>
          <w:rFonts w:eastAsiaTheme="minorHAnsi"/>
        </w:rPr>
        <w:t>In 2012</w:t>
      </w:r>
      <w:r w:rsidR="00D67B4C">
        <w:rPr>
          <w:rFonts w:eastAsiaTheme="minorHAnsi"/>
        </w:rPr>
        <w:t>–</w:t>
      </w:r>
      <w:r w:rsidR="00CF057B" w:rsidRPr="00F35DE7">
        <w:rPr>
          <w:rFonts w:eastAsiaTheme="minorHAnsi"/>
        </w:rPr>
        <w:t>13</w:t>
      </w:r>
      <w:r w:rsidR="00D67B4C">
        <w:rPr>
          <w:rFonts w:eastAsiaTheme="minorHAnsi"/>
        </w:rPr>
        <w:t>,</w:t>
      </w:r>
      <w:r w:rsidR="00274C8D" w:rsidRPr="00F35DE7">
        <w:rPr>
          <w:rFonts w:eastAsiaTheme="minorHAnsi"/>
        </w:rPr>
        <w:t xml:space="preserve"> t</w:t>
      </w:r>
      <w:r w:rsidR="00F73742" w:rsidRPr="00F35DE7">
        <w:rPr>
          <w:rFonts w:eastAsiaTheme="minorHAnsi"/>
        </w:rPr>
        <w:t xml:space="preserve">he program </w:t>
      </w:r>
      <w:r w:rsidR="00274C8D" w:rsidRPr="00F35DE7">
        <w:rPr>
          <w:rFonts w:eastAsiaTheme="minorHAnsi"/>
        </w:rPr>
        <w:t>began</w:t>
      </w:r>
      <w:r w:rsidR="00F73742" w:rsidRPr="00F35DE7">
        <w:rPr>
          <w:rFonts w:eastAsiaTheme="minorHAnsi"/>
        </w:rPr>
        <w:t xml:space="preserve"> </w:t>
      </w:r>
      <w:r w:rsidR="00274C8D" w:rsidRPr="00F35DE7">
        <w:rPr>
          <w:rFonts w:eastAsiaTheme="minorHAnsi"/>
        </w:rPr>
        <w:t>transform</w:t>
      </w:r>
      <w:r w:rsidR="00D67B4C">
        <w:rPr>
          <w:rFonts w:eastAsiaTheme="minorHAnsi"/>
        </w:rPr>
        <w:t>ing into</w:t>
      </w:r>
      <w:r w:rsidR="00274C8D" w:rsidRPr="00F35DE7">
        <w:rPr>
          <w:rFonts w:eastAsiaTheme="minorHAnsi"/>
        </w:rPr>
        <w:t xml:space="preserve"> a </w:t>
      </w:r>
      <w:r w:rsidR="00F73742" w:rsidRPr="00F35DE7">
        <w:rPr>
          <w:rFonts w:eastAsiaTheme="minorHAnsi"/>
        </w:rPr>
        <w:t>more coheren</w:t>
      </w:r>
      <w:r w:rsidR="00274C8D" w:rsidRPr="00F35DE7">
        <w:rPr>
          <w:rFonts w:eastAsiaTheme="minorHAnsi"/>
        </w:rPr>
        <w:t>t regional approach</w:t>
      </w:r>
      <w:r w:rsidR="00F73742" w:rsidRPr="00F35DE7">
        <w:rPr>
          <w:rFonts w:eastAsiaTheme="minorHAnsi"/>
        </w:rPr>
        <w:t xml:space="preserve"> </w:t>
      </w:r>
      <w:r w:rsidR="00D67B4C">
        <w:rPr>
          <w:rFonts w:eastAsiaTheme="minorHAnsi"/>
        </w:rPr>
        <w:t>by</w:t>
      </w:r>
      <w:r w:rsidR="00F73742" w:rsidRPr="00F35DE7">
        <w:rPr>
          <w:rFonts w:eastAsiaTheme="minorHAnsi"/>
        </w:rPr>
        <w:t xml:space="preserve"> focus</w:t>
      </w:r>
      <w:r w:rsidR="00D67B4C">
        <w:rPr>
          <w:rFonts w:eastAsiaTheme="minorHAnsi"/>
        </w:rPr>
        <w:t>ing</w:t>
      </w:r>
      <w:r w:rsidR="00F73742" w:rsidRPr="00F35DE7">
        <w:rPr>
          <w:rFonts w:eastAsiaTheme="minorHAnsi"/>
        </w:rPr>
        <w:t xml:space="preserve"> on the region’s key long</w:t>
      </w:r>
      <w:r w:rsidR="00D67B4C">
        <w:rPr>
          <w:rFonts w:eastAsiaTheme="minorHAnsi"/>
        </w:rPr>
        <w:t>-</w:t>
      </w:r>
      <w:r w:rsidR="00F73742" w:rsidRPr="00F35DE7">
        <w:rPr>
          <w:rFonts w:eastAsiaTheme="minorHAnsi"/>
        </w:rPr>
        <w:t>term development challe</w:t>
      </w:r>
      <w:r w:rsidR="00274C8D" w:rsidRPr="00F35DE7">
        <w:rPr>
          <w:rFonts w:eastAsiaTheme="minorHAnsi"/>
        </w:rPr>
        <w:t>nge</w:t>
      </w:r>
      <w:r w:rsidR="003B2D10" w:rsidRPr="00F35DE7">
        <w:rPr>
          <w:rFonts w:eastAsiaTheme="minorHAnsi"/>
        </w:rPr>
        <w:t xml:space="preserve"> recognised in all governments</w:t>
      </w:r>
      <w:r w:rsidR="00620CE4" w:rsidRPr="00F35DE7">
        <w:rPr>
          <w:rFonts w:eastAsiaTheme="minorHAnsi"/>
        </w:rPr>
        <w:t>’</w:t>
      </w:r>
      <w:r w:rsidR="003B2D10" w:rsidRPr="00F35DE7">
        <w:rPr>
          <w:rFonts w:eastAsiaTheme="minorHAnsi"/>
        </w:rPr>
        <w:t xml:space="preserve"> development plans</w:t>
      </w:r>
      <w:r w:rsidR="00974F49" w:rsidRPr="00F35DE7">
        <w:rPr>
          <w:rFonts w:eastAsiaTheme="minorHAnsi"/>
        </w:rPr>
        <w:t xml:space="preserve"> as</w:t>
      </w:r>
      <w:r w:rsidR="00274C8D" w:rsidRPr="00F35DE7">
        <w:rPr>
          <w:rFonts w:eastAsiaTheme="minorHAnsi"/>
        </w:rPr>
        <w:t xml:space="preserve"> food insecurity</w:t>
      </w:r>
      <w:r w:rsidR="0086210B">
        <w:rPr>
          <w:rFonts w:eastAsiaTheme="minorHAnsi"/>
        </w:rPr>
        <w:t xml:space="preserve"> as well as </w:t>
      </w:r>
      <w:r w:rsidR="00274C8D" w:rsidRPr="00F35DE7">
        <w:rPr>
          <w:rFonts w:eastAsiaTheme="minorHAnsi"/>
        </w:rPr>
        <w:t xml:space="preserve"> an increasing focus on humanitarian response</w:t>
      </w:r>
      <w:r w:rsidR="0086210B">
        <w:rPr>
          <w:rFonts w:eastAsiaTheme="minorHAnsi"/>
        </w:rPr>
        <w:t>.</w:t>
      </w:r>
      <w:r w:rsidR="008D0CBF">
        <w:rPr>
          <w:rFonts w:eastAsiaTheme="minorHAnsi"/>
        </w:rPr>
        <w:t xml:space="preserve"> </w:t>
      </w:r>
    </w:p>
    <w:p w14:paraId="4645027C" w14:textId="4D9F9394" w:rsidR="00F35DE7" w:rsidRDefault="00190E1F" w:rsidP="00F35DE7">
      <w:pPr>
        <w:pStyle w:val="BodyText"/>
        <w:rPr>
          <w:rFonts w:eastAsiaTheme="minorHAnsi"/>
        </w:rPr>
      </w:pPr>
      <w:r w:rsidRPr="00F35DE7">
        <w:rPr>
          <w:rFonts w:eastAsiaTheme="minorHAnsi"/>
        </w:rPr>
        <w:t xml:space="preserve"> </w:t>
      </w:r>
      <w:r w:rsidR="0086210B">
        <w:rPr>
          <w:rFonts w:eastAsiaTheme="minorHAnsi"/>
        </w:rPr>
        <w:t>T</w:t>
      </w:r>
      <w:r w:rsidRPr="00F35DE7">
        <w:rPr>
          <w:rFonts w:eastAsiaTheme="minorHAnsi"/>
        </w:rPr>
        <w:t xml:space="preserve">his </w:t>
      </w:r>
      <w:r w:rsidR="00ED2784">
        <w:rPr>
          <w:rFonts w:eastAsiaTheme="minorHAnsi"/>
        </w:rPr>
        <w:t xml:space="preserve">APPR </w:t>
      </w:r>
      <w:r w:rsidRPr="00F35DE7">
        <w:rPr>
          <w:rFonts w:eastAsiaTheme="minorHAnsi"/>
        </w:rPr>
        <w:t xml:space="preserve">measures </w:t>
      </w:r>
      <w:r w:rsidR="00D862FB" w:rsidRPr="00F35DE7">
        <w:rPr>
          <w:rFonts w:eastAsiaTheme="minorHAnsi"/>
        </w:rPr>
        <w:t>aid</w:t>
      </w:r>
      <w:r w:rsidRPr="00F35DE7">
        <w:rPr>
          <w:rFonts w:eastAsiaTheme="minorHAnsi"/>
        </w:rPr>
        <w:t xml:space="preserve"> performance through two broad</w:t>
      </w:r>
      <w:r w:rsidR="00763DA1">
        <w:rPr>
          <w:rFonts w:eastAsiaTheme="minorHAnsi"/>
        </w:rPr>
        <w:t xml:space="preserve"> objectives</w:t>
      </w:r>
      <w:r w:rsidRPr="00F35DE7">
        <w:rPr>
          <w:rFonts w:eastAsiaTheme="minorHAnsi"/>
        </w:rPr>
        <w:t>:</w:t>
      </w:r>
    </w:p>
    <w:p w14:paraId="4645027D" w14:textId="77777777" w:rsidR="00D815A0" w:rsidRDefault="00190E1F" w:rsidP="00F35DE7">
      <w:pPr>
        <w:pStyle w:val="ListNumber"/>
        <w:rPr>
          <w:rFonts w:eastAsiaTheme="minorHAnsi"/>
        </w:rPr>
      </w:pPr>
      <w:r w:rsidRPr="005D2876">
        <w:rPr>
          <w:rFonts w:eastAsiaTheme="minorHAnsi"/>
        </w:rPr>
        <w:t>Supporting sustainable economic growth, including helping vulnerable groups and rural communities overcome poverty</w:t>
      </w:r>
      <w:r w:rsidR="00D67B4C">
        <w:rPr>
          <w:rFonts w:eastAsiaTheme="minorHAnsi"/>
        </w:rPr>
        <w:t>.</w:t>
      </w:r>
    </w:p>
    <w:p w14:paraId="4645027E" w14:textId="77777777" w:rsidR="00783B0A" w:rsidRPr="00D815A0" w:rsidRDefault="00190E1F" w:rsidP="00F35DE7">
      <w:pPr>
        <w:pStyle w:val="ListNumber"/>
        <w:rPr>
          <w:rFonts w:eastAsiaTheme="minorHAnsi"/>
        </w:rPr>
      </w:pPr>
      <w:r w:rsidRPr="00D815A0">
        <w:rPr>
          <w:rFonts w:eastAsiaTheme="minorHAnsi"/>
        </w:rPr>
        <w:t>Supporting humanitarian response, post</w:t>
      </w:r>
      <w:r w:rsidR="00D67B4C">
        <w:rPr>
          <w:rFonts w:eastAsiaTheme="minorHAnsi"/>
        </w:rPr>
        <w:t>-</w:t>
      </w:r>
      <w:r w:rsidRPr="00D815A0">
        <w:rPr>
          <w:rFonts w:eastAsiaTheme="minorHAnsi"/>
        </w:rPr>
        <w:t>conflict stabilisation and recovery.</w:t>
      </w:r>
    </w:p>
    <w:p w14:paraId="4645027F" w14:textId="77777777" w:rsidR="00843BF1" w:rsidRPr="005D2876" w:rsidRDefault="00843BF1" w:rsidP="00F35DE7">
      <w:pPr>
        <w:pStyle w:val="BodyText"/>
        <w:rPr>
          <w:rFonts w:eastAsiaTheme="minorHAnsi"/>
        </w:rPr>
      </w:pPr>
      <w:r w:rsidRPr="00F35DE7">
        <w:rPr>
          <w:rFonts w:eastAsiaTheme="minorHAnsi"/>
          <w:b/>
        </w:rPr>
        <w:t xml:space="preserve">Australia is a relatively small </w:t>
      </w:r>
      <w:r w:rsidR="003B2D10" w:rsidRPr="00F35DE7">
        <w:rPr>
          <w:rFonts w:eastAsiaTheme="minorHAnsi"/>
          <w:b/>
        </w:rPr>
        <w:t xml:space="preserve">bilateral </w:t>
      </w:r>
      <w:r w:rsidRPr="00F35DE7">
        <w:rPr>
          <w:rFonts w:eastAsiaTheme="minorHAnsi"/>
          <w:b/>
        </w:rPr>
        <w:t>donor to the MENA region</w:t>
      </w:r>
      <w:r w:rsidR="003B2D10" w:rsidRPr="00F35DE7">
        <w:rPr>
          <w:rFonts w:eastAsiaTheme="minorHAnsi"/>
          <w:b/>
        </w:rPr>
        <w:t>, but</w:t>
      </w:r>
      <w:r w:rsidR="00763DA1">
        <w:rPr>
          <w:rFonts w:eastAsiaTheme="minorHAnsi"/>
          <w:b/>
        </w:rPr>
        <w:t xml:space="preserve"> Australia’s</w:t>
      </w:r>
      <w:r w:rsidR="003B2D10" w:rsidRPr="00F35DE7">
        <w:rPr>
          <w:rFonts w:eastAsiaTheme="minorHAnsi"/>
          <w:b/>
        </w:rPr>
        <w:t xml:space="preserve"> presence is growing</w:t>
      </w:r>
      <w:r w:rsidRPr="00F35DE7">
        <w:rPr>
          <w:rFonts w:eastAsiaTheme="minorHAnsi"/>
          <w:b/>
        </w:rPr>
        <w:t xml:space="preserve"> </w:t>
      </w:r>
      <w:r w:rsidR="003B2D10" w:rsidRPr="00F35DE7">
        <w:rPr>
          <w:rFonts w:eastAsiaTheme="minorHAnsi"/>
          <w:b/>
        </w:rPr>
        <w:t xml:space="preserve">due to </w:t>
      </w:r>
      <w:r w:rsidR="004E44B6">
        <w:rPr>
          <w:rFonts w:eastAsiaTheme="minorHAnsi"/>
          <w:b/>
        </w:rPr>
        <w:t xml:space="preserve">our </w:t>
      </w:r>
      <w:r w:rsidR="003B2D10" w:rsidRPr="00F35DE7">
        <w:rPr>
          <w:rFonts w:eastAsiaTheme="minorHAnsi"/>
          <w:b/>
        </w:rPr>
        <w:t xml:space="preserve">significant </w:t>
      </w:r>
      <w:r w:rsidR="0096317E" w:rsidRPr="00F35DE7">
        <w:rPr>
          <w:rFonts w:eastAsiaTheme="minorHAnsi"/>
          <w:b/>
        </w:rPr>
        <w:t xml:space="preserve">humanitarian </w:t>
      </w:r>
      <w:r w:rsidR="003B2D10" w:rsidRPr="00F35DE7">
        <w:rPr>
          <w:rFonts w:eastAsiaTheme="minorHAnsi"/>
          <w:b/>
        </w:rPr>
        <w:t>contribution</w:t>
      </w:r>
      <w:r w:rsidR="0096317E" w:rsidRPr="00F35DE7">
        <w:rPr>
          <w:rFonts w:eastAsiaTheme="minorHAnsi"/>
          <w:b/>
        </w:rPr>
        <w:t>.</w:t>
      </w:r>
      <w:r w:rsidR="0096317E" w:rsidRPr="005D2876">
        <w:rPr>
          <w:rFonts w:eastAsiaTheme="minorHAnsi"/>
        </w:rPr>
        <w:t xml:space="preserve"> </w:t>
      </w:r>
      <w:r w:rsidR="003B2D10" w:rsidRPr="005D2876">
        <w:rPr>
          <w:rFonts w:eastAsiaTheme="minorHAnsi"/>
        </w:rPr>
        <w:t xml:space="preserve">Currently, </w:t>
      </w:r>
      <w:r w:rsidR="004E44B6">
        <w:rPr>
          <w:rFonts w:eastAsiaTheme="minorHAnsi"/>
        </w:rPr>
        <w:t xml:space="preserve">Australia is </w:t>
      </w:r>
      <w:r w:rsidR="00D67B4C">
        <w:rPr>
          <w:rFonts w:eastAsiaTheme="minorHAnsi"/>
        </w:rPr>
        <w:t xml:space="preserve">one of </w:t>
      </w:r>
      <w:r w:rsidR="0096317E" w:rsidRPr="005D2876">
        <w:rPr>
          <w:rFonts w:eastAsiaTheme="minorHAnsi"/>
        </w:rPr>
        <w:t xml:space="preserve">the top </w:t>
      </w:r>
      <w:r w:rsidR="00D67B4C">
        <w:rPr>
          <w:rFonts w:eastAsiaTheme="minorHAnsi"/>
        </w:rPr>
        <w:t>10</w:t>
      </w:r>
      <w:r w:rsidR="0096317E" w:rsidRPr="005D2876">
        <w:rPr>
          <w:rFonts w:eastAsiaTheme="minorHAnsi"/>
        </w:rPr>
        <w:t xml:space="preserve"> donors responding to the crisis in Syria.</w:t>
      </w:r>
      <w:r w:rsidR="001504D0" w:rsidRPr="005D2876">
        <w:rPr>
          <w:rStyle w:val="FootnoteReference"/>
          <w:rFonts w:eastAsiaTheme="minorHAnsi"/>
        </w:rPr>
        <w:footnoteReference w:id="11"/>
      </w:r>
      <w:r w:rsidR="008D0CBF">
        <w:rPr>
          <w:rFonts w:eastAsiaTheme="minorHAnsi"/>
        </w:rPr>
        <w:t xml:space="preserve"> </w:t>
      </w:r>
      <w:r w:rsidR="00D67B4C">
        <w:rPr>
          <w:rFonts w:eastAsiaTheme="minorHAnsi"/>
        </w:rPr>
        <w:t>We target o</w:t>
      </w:r>
      <w:r w:rsidRPr="005D2876">
        <w:rPr>
          <w:rFonts w:eastAsiaTheme="minorHAnsi"/>
        </w:rPr>
        <w:t xml:space="preserve">ur </w:t>
      </w:r>
      <w:r w:rsidR="0096317E" w:rsidRPr="005D2876">
        <w:rPr>
          <w:rFonts w:eastAsiaTheme="minorHAnsi"/>
        </w:rPr>
        <w:t xml:space="preserve">non-humanitarian </w:t>
      </w:r>
      <w:r w:rsidRPr="005D2876">
        <w:rPr>
          <w:rFonts w:eastAsiaTheme="minorHAnsi"/>
        </w:rPr>
        <w:t>aid at niche areas where we have practical expertise.</w:t>
      </w:r>
      <w:r w:rsidR="008D0CBF">
        <w:rPr>
          <w:rFonts w:eastAsiaTheme="minorHAnsi"/>
        </w:rPr>
        <w:t xml:space="preserve"> </w:t>
      </w:r>
      <w:r w:rsidRPr="005D2876">
        <w:rPr>
          <w:rFonts w:eastAsiaTheme="minorHAnsi"/>
        </w:rPr>
        <w:t xml:space="preserve">With similar natural environments, and facing many of the same issues (soil </w:t>
      </w:r>
      <w:r w:rsidR="00124ADA" w:rsidRPr="005D2876">
        <w:rPr>
          <w:rFonts w:eastAsiaTheme="minorHAnsi"/>
        </w:rPr>
        <w:t xml:space="preserve">and water </w:t>
      </w:r>
      <w:r w:rsidRPr="005D2876">
        <w:rPr>
          <w:rFonts w:eastAsiaTheme="minorHAnsi"/>
        </w:rPr>
        <w:t xml:space="preserve">salinity for example), </w:t>
      </w:r>
      <w:r w:rsidR="00944155">
        <w:rPr>
          <w:rFonts w:eastAsiaTheme="minorHAnsi"/>
        </w:rPr>
        <w:t>our</w:t>
      </w:r>
      <w:r w:rsidR="00944155" w:rsidRPr="005D2876">
        <w:rPr>
          <w:rFonts w:eastAsiaTheme="minorHAnsi"/>
        </w:rPr>
        <w:t xml:space="preserve"> </w:t>
      </w:r>
      <w:r w:rsidRPr="005D2876">
        <w:rPr>
          <w:rFonts w:eastAsiaTheme="minorHAnsi"/>
        </w:rPr>
        <w:t xml:space="preserve">agricultural expertise is </w:t>
      </w:r>
      <w:r w:rsidR="00553F78" w:rsidRPr="005D2876">
        <w:rPr>
          <w:rFonts w:eastAsiaTheme="minorHAnsi"/>
        </w:rPr>
        <w:t xml:space="preserve">highly </w:t>
      </w:r>
      <w:r w:rsidRPr="005D2876">
        <w:rPr>
          <w:rFonts w:eastAsiaTheme="minorHAnsi"/>
        </w:rPr>
        <w:t>valued in the region.</w:t>
      </w:r>
      <w:r w:rsidR="008D0CBF">
        <w:rPr>
          <w:rFonts w:eastAsiaTheme="minorHAnsi"/>
        </w:rPr>
        <w:t xml:space="preserve"> </w:t>
      </w:r>
      <w:r w:rsidR="00D67B4C">
        <w:rPr>
          <w:rFonts w:eastAsiaTheme="minorHAnsi"/>
        </w:rPr>
        <w:t>We deliver our</w:t>
      </w:r>
      <w:r w:rsidR="00D67B4C" w:rsidRPr="005D2876">
        <w:rPr>
          <w:rFonts w:eastAsiaTheme="minorHAnsi"/>
        </w:rPr>
        <w:t xml:space="preserve"> </w:t>
      </w:r>
      <w:r w:rsidR="00045B72" w:rsidRPr="005D2876">
        <w:rPr>
          <w:rFonts w:eastAsiaTheme="minorHAnsi"/>
        </w:rPr>
        <w:t xml:space="preserve">aid through </w:t>
      </w:r>
      <w:r w:rsidR="00CE1ED3" w:rsidRPr="005D2876">
        <w:rPr>
          <w:rFonts w:eastAsiaTheme="minorHAnsi"/>
        </w:rPr>
        <w:t>established</w:t>
      </w:r>
      <w:r w:rsidR="00ED0EC6" w:rsidRPr="005D2876">
        <w:rPr>
          <w:rFonts w:eastAsiaTheme="minorHAnsi"/>
        </w:rPr>
        <w:t xml:space="preserve"> </w:t>
      </w:r>
      <w:r w:rsidR="00ED0EC6" w:rsidRPr="005D2876">
        <w:rPr>
          <w:rFonts w:eastAsiaTheme="minorHAnsi"/>
        </w:rPr>
        <w:lastRenderedPageBreak/>
        <w:t xml:space="preserve">and credible </w:t>
      </w:r>
      <w:r w:rsidR="00045B72" w:rsidRPr="005D2876">
        <w:rPr>
          <w:rFonts w:eastAsiaTheme="minorHAnsi"/>
        </w:rPr>
        <w:t xml:space="preserve">partners, including </w:t>
      </w:r>
      <w:r w:rsidR="00BF0E51">
        <w:rPr>
          <w:rFonts w:eastAsiaTheme="minorHAnsi"/>
        </w:rPr>
        <w:t xml:space="preserve">the World Bank, </w:t>
      </w:r>
      <w:r w:rsidR="00EB2CBC" w:rsidRPr="005D2876">
        <w:rPr>
          <w:rFonts w:eastAsiaTheme="minorHAnsi"/>
        </w:rPr>
        <w:t>U</w:t>
      </w:r>
      <w:r w:rsidR="00D67B4C">
        <w:rPr>
          <w:rFonts w:eastAsiaTheme="minorHAnsi"/>
        </w:rPr>
        <w:t xml:space="preserve">nited </w:t>
      </w:r>
      <w:r w:rsidR="00EB2CBC" w:rsidRPr="005D2876">
        <w:rPr>
          <w:rFonts w:eastAsiaTheme="minorHAnsi"/>
        </w:rPr>
        <w:t>N</w:t>
      </w:r>
      <w:r w:rsidR="00D67B4C">
        <w:rPr>
          <w:rFonts w:eastAsiaTheme="minorHAnsi"/>
        </w:rPr>
        <w:t>ations (UN)</w:t>
      </w:r>
      <w:r w:rsidR="00EB2CBC" w:rsidRPr="005D2876">
        <w:rPr>
          <w:rFonts w:eastAsiaTheme="minorHAnsi"/>
        </w:rPr>
        <w:t xml:space="preserve"> agencies</w:t>
      </w:r>
      <w:r w:rsidR="00D67B4C">
        <w:rPr>
          <w:rStyle w:val="FootnoteReference"/>
          <w:rFonts w:eastAsiaTheme="minorHAnsi"/>
        </w:rPr>
        <w:footnoteReference w:id="12"/>
      </w:r>
      <w:r w:rsidR="00CF057B">
        <w:rPr>
          <w:rFonts w:eastAsiaTheme="minorHAnsi"/>
        </w:rPr>
        <w:t xml:space="preserve"> , </w:t>
      </w:r>
      <w:r w:rsidR="00D67B4C">
        <w:rPr>
          <w:rFonts w:eastAsiaTheme="minorHAnsi"/>
        </w:rPr>
        <w:t>the</w:t>
      </w:r>
      <w:r w:rsidR="00BA18B0" w:rsidRPr="005D2876">
        <w:rPr>
          <w:rFonts w:eastAsiaTheme="minorHAnsi"/>
        </w:rPr>
        <w:t xml:space="preserve"> German Development Agency</w:t>
      </w:r>
      <w:r w:rsidR="00D67B4C">
        <w:rPr>
          <w:rStyle w:val="FootnoteReference"/>
          <w:rFonts w:eastAsiaTheme="minorHAnsi"/>
        </w:rPr>
        <w:footnoteReference w:id="13"/>
      </w:r>
      <w:r w:rsidR="00045B72" w:rsidRPr="005D2876">
        <w:rPr>
          <w:rFonts w:eastAsiaTheme="minorHAnsi"/>
        </w:rPr>
        <w:t xml:space="preserve">, </w:t>
      </w:r>
      <w:r w:rsidR="00D815A0">
        <w:rPr>
          <w:rFonts w:eastAsiaTheme="minorHAnsi"/>
        </w:rPr>
        <w:t>international humanitarian organisations,</w:t>
      </w:r>
      <w:r w:rsidR="00EB2CBC" w:rsidRPr="005D2876">
        <w:rPr>
          <w:rFonts w:eastAsiaTheme="minorHAnsi"/>
        </w:rPr>
        <w:t xml:space="preserve"> </w:t>
      </w:r>
      <w:r w:rsidR="00045B72" w:rsidRPr="005D2876">
        <w:rPr>
          <w:rFonts w:eastAsiaTheme="minorHAnsi"/>
        </w:rPr>
        <w:t xml:space="preserve">and </w:t>
      </w:r>
      <w:r w:rsidR="00BA18B0" w:rsidRPr="005D2876">
        <w:rPr>
          <w:rFonts w:eastAsiaTheme="minorHAnsi"/>
        </w:rPr>
        <w:t xml:space="preserve">the </w:t>
      </w:r>
      <w:r w:rsidR="00045B72" w:rsidRPr="005D2876">
        <w:rPr>
          <w:rFonts w:eastAsiaTheme="minorHAnsi"/>
        </w:rPr>
        <w:t>A</w:t>
      </w:r>
      <w:r w:rsidR="00BA18B0" w:rsidRPr="005D2876">
        <w:rPr>
          <w:rFonts w:eastAsiaTheme="minorHAnsi"/>
        </w:rPr>
        <w:t xml:space="preserve">ustralian </w:t>
      </w:r>
      <w:r w:rsidR="00045B72" w:rsidRPr="005D2876">
        <w:rPr>
          <w:rFonts w:eastAsiaTheme="minorHAnsi"/>
        </w:rPr>
        <w:t>C</w:t>
      </w:r>
      <w:r w:rsidR="00BA18B0" w:rsidRPr="005D2876">
        <w:rPr>
          <w:rFonts w:eastAsiaTheme="minorHAnsi"/>
        </w:rPr>
        <w:t xml:space="preserve">entre for International </w:t>
      </w:r>
      <w:r w:rsidR="00045B72" w:rsidRPr="005D2876">
        <w:rPr>
          <w:rFonts w:eastAsiaTheme="minorHAnsi"/>
        </w:rPr>
        <w:t>A</w:t>
      </w:r>
      <w:r w:rsidR="00BA18B0" w:rsidRPr="005D2876">
        <w:rPr>
          <w:rFonts w:eastAsiaTheme="minorHAnsi"/>
        </w:rPr>
        <w:t xml:space="preserve">gricultural </w:t>
      </w:r>
      <w:r w:rsidR="00045B72" w:rsidRPr="005D2876">
        <w:rPr>
          <w:rFonts w:eastAsiaTheme="minorHAnsi"/>
        </w:rPr>
        <w:t>R</w:t>
      </w:r>
      <w:r w:rsidR="00BA18B0" w:rsidRPr="005D2876">
        <w:rPr>
          <w:rFonts w:eastAsiaTheme="minorHAnsi"/>
        </w:rPr>
        <w:t>esearch (ACIAR)</w:t>
      </w:r>
      <w:r w:rsidR="00045B72" w:rsidRPr="005D2876">
        <w:rPr>
          <w:rFonts w:eastAsiaTheme="minorHAnsi"/>
        </w:rPr>
        <w:t>.</w:t>
      </w:r>
    </w:p>
    <w:p w14:paraId="46450280" w14:textId="77777777" w:rsidR="00180B19" w:rsidRPr="005D2876" w:rsidRDefault="003440D6" w:rsidP="00F35DE7">
      <w:pPr>
        <w:pStyle w:val="Heading1"/>
      </w:pPr>
      <w:r w:rsidRPr="005D2876">
        <w:t>E</w:t>
      </w:r>
      <w:r w:rsidR="00180B19" w:rsidRPr="005D2876">
        <w:t>xpenditure</w:t>
      </w:r>
    </w:p>
    <w:p w14:paraId="46450281" w14:textId="7DED812F" w:rsidR="00D67B4C" w:rsidRDefault="00DD442B" w:rsidP="00F35DE7">
      <w:pPr>
        <w:pStyle w:val="BodyText"/>
      </w:pPr>
      <w:r w:rsidRPr="00D815A0">
        <w:t>To align with the timing of the Annual Review of Aid Effectiveness</w:t>
      </w:r>
      <w:r w:rsidR="00D67B4C">
        <w:rPr>
          <w:rStyle w:val="FootnoteReference"/>
        </w:rPr>
        <w:footnoteReference w:id="14"/>
      </w:r>
      <w:r w:rsidRPr="00D815A0">
        <w:t xml:space="preserve">, APPRs are moving from calendar year to financial year reporting. As a result, for this year, financial expenditure </w:t>
      </w:r>
      <w:r w:rsidR="00D67B4C">
        <w:t>is</w:t>
      </w:r>
      <w:r w:rsidRPr="00D815A0">
        <w:t xml:space="preserve"> reported</w:t>
      </w:r>
      <w:r w:rsidR="00D67B4C">
        <w:t xml:space="preserve"> on for</w:t>
      </w:r>
      <w:r w:rsidRPr="00D815A0">
        <w:t xml:space="preserve"> two periods</w:t>
      </w:r>
      <w:r w:rsidR="00944155">
        <w:t xml:space="preserve">: </w:t>
      </w:r>
      <w:r w:rsidRPr="00D815A0">
        <w:t>January 2012 to June 2012</w:t>
      </w:r>
      <w:r w:rsidR="00944155">
        <w:t>;</w:t>
      </w:r>
      <w:r w:rsidR="00D67B4C">
        <w:t xml:space="preserve"> and</w:t>
      </w:r>
      <w:r w:rsidRPr="00D815A0">
        <w:t xml:space="preserve"> 2012</w:t>
      </w:r>
      <w:r w:rsidR="00D67B4C">
        <w:t>–</w:t>
      </w:r>
      <w:r w:rsidRPr="00D815A0">
        <w:t>13. Activity reporting covers 18</w:t>
      </w:r>
      <w:r w:rsidR="00944155">
        <w:t xml:space="preserve"> </w:t>
      </w:r>
      <w:r w:rsidRPr="00D815A0">
        <w:t>month</w:t>
      </w:r>
      <w:r w:rsidR="00944155">
        <w:t>s—</w:t>
      </w:r>
      <w:r w:rsidRPr="00D815A0">
        <w:t>January 2012 to June 2013.</w:t>
      </w:r>
      <w:r w:rsidR="008D0CBF">
        <w:t xml:space="preserve"> </w:t>
      </w:r>
    </w:p>
    <w:p w14:paraId="46450282" w14:textId="77777777" w:rsidR="00D67B4C" w:rsidRDefault="00A10D17" w:rsidP="00F35DE7">
      <w:pPr>
        <w:pStyle w:val="BodyText"/>
      </w:pPr>
      <w:r w:rsidRPr="00D815A0">
        <w:t>Expenditure is grouped by objective</w:t>
      </w:r>
      <w:r w:rsidR="00D67B4C">
        <w:t>s</w:t>
      </w:r>
      <w:r w:rsidRPr="00D815A0">
        <w:t xml:space="preserve"> in </w:t>
      </w:r>
      <w:r w:rsidR="00D67B4C">
        <w:t xml:space="preserve">Table 1 (for </w:t>
      </w:r>
      <w:r w:rsidRPr="00D815A0">
        <w:t>Jan</w:t>
      </w:r>
      <w:r w:rsidR="00DD442B" w:rsidRPr="00D815A0">
        <w:t>uary</w:t>
      </w:r>
      <w:r w:rsidRPr="00D815A0">
        <w:t xml:space="preserve"> 2012</w:t>
      </w:r>
      <w:r w:rsidR="00D67B4C">
        <w:t xml:space="preserve"> to </w:t>
      </w:r>
      <w:r w:rsidRPr="00D815A0">
        <w:t>June 2012</w:t>
      </w:r>
      <w:r w:rsidR="00D67B4C">
        <w:t>)</w:t>
      </w:r>
      <w:r w:rsidRPr="00D815A0">
        <w:t xml:space="preserve"> and</w:t>
      </w:r>
      <w:r w:rsidR="00D67B4C">
        <w:t xml:space="preserve"> in T</w:t>
      </w:r>
      <w:r w:rsidRPr="00D815A0">
        <w:t xml:space="preserve">able 1B </w:t>
      </w:r>
      <w:r w:rsidR="00D67B4C">
        <w:t>(</w:t>
      </w:r>
      <w:r w:rsidRPr="00D815A0">
        <w:t>2012</w:t>
      </w:r>
      <w:r w:rsidR="00D67B4C">
        <w:t>–</w:t>
      </w:r>
      <w:r w:rsidRPr="00D815A0">
        <w:t>13</w:t>
      </w:r>
      <w:r w:rsidR="00D67B4C">
        <w:t>)</w:t>
      </w:r>
      <w:r w:rsidR="00A03911" w:rsidRPr="00D815A0">
        <w:t>.</w:t>
      </w:r>
      <w:r w:rsidR="008D0CBF">
        <w:t xml:space="preserve"> </w:t>
      </w:r>
    </w:p>
    <w:p w14:paraId="46450283" w14:textId="1B81E1E9" w:rsidR="009F07A0" w:rsidRPr="00D815A0" w:rsidRDefault="00D42BED" w:rsidP="00F35DE7">
      <w:pPr>
        <w:pStyle w:val="BodyText"/>
      </w:pPr>
      <w:r w:rsidRPr="00D815A0">
        <w:t xml:space="preserve">Expenditure was on-track during the </w:t>
      </w:r>
      <w:r w:rsidR="00ED2784">
        <w:t xml:space="preserve">APPR </w:t>
      </w:r>
      <w:r w:rsidRPr="00D815A0">
        <w:t>review period</w:t>
      </w:r>
      <w:r w:rsidR="00D67B4C">
        <w:t>. T</w:t>
      </w:r>
      <w:r w:rsidRPr="00D815A0">
        <w:t xml:space="preserve">he </w:t>
      </w:r>
      <w:r w:rsidR="00AD6AC9" w:rsidRPr="00D815A0">
        <w:t xml:space="preserve">increased </w:t>
      </w:r>
      <w:r w:rsidRPr="00D815A0">
        <w:t xml:space="preserve">figure and percentage for </w:t>
      </w:r>
      <w:r w:rsidR="00D67B4C">
        <w:t>O</w:t>
      </w:r>
      <w:r w:rsidRPr="00D815A0">
        <w:t>bjective 2 reflect</w:t>
      </w:r>
      <w:r w:rsidR="00D67B4C">
        <w:t>s our</w:t>
      </w:r>
      <w:r w:rsidRPr="00D815A0">
        <w:t xml:space="preserve"> considerable response to the humanitarian crisis in Syria.</w:t>
      </w:r>
      <w:r w:rsidR="008D0CBF">
        <w:t xml:space="preserve"> </w:t>
      </w:r>
      <w:r w:rsidR="00944155">
        <w:t>Our</w:t>
      </w:r>
      <w:r w:rsidR="009F07A0" w:rsidRPr="00D815A0">
        <w:t xml:space="preserve"> funding for the </w:t>
      </w:r>
      <w:r w:rsidR="00D815A0">
        <w:t>humanitarian response</w:t>
      </w:r>
      <w:r w:rsidR="009F07A0" w:rsidRPr="00D815A0">
        <w:t xml:space="preserve"> in Syria is drawn primarily from </w:t>
      </w:r>
      <w:r w:rsidR="00D67B4C">
        <w:t xml:space="preserve">the </w:t>
      </w:r>
      <w:r w:rsidR="00233FB1">
        <w:t>Department of Foreign Affairs and Trade’s</w:t>
      </w:r>
      <w:r w:rsidR="00D67B4C">
        <w:t xml:space="preserve"> (</w:t>
      </w:r>
      <w:r w:rsidR="00233FB1">
        <w:t>DFAT</w:t>
      </w:r>
      <w:r w:rsidR="00D67B4C">
        <w:t>)</w:t>
      </w:r>
      <w:r w:rsidR="009F07A0" w:rsidRPr="00D815A0">
        <w:t xml:space="preserve"> emergency response allocation</w:t>
      </w:r>
      <w:r w:rsidR="00D815A0">
        <w:t xml:space="preserve"> when required</w:t>
      </w:r>
      <w:r w:rsidR="009F07A0" w:rsidRPr="00D815A0">
        <w:t>, supplemented by a small portion of program funds.</w:t>
      </w:r>
    </w:p>
    <w:p w14:paraId="46450284" w14:textId="77777777" w:rsidR="00BE65E4" w:rsidRDefault="00BE65E4" w:rsidP="00E6631F">
      <w:pPr>
        <w:pStyle w:val="Caption"/>
      </w:pPr>
      <w:r>
        <w:t xml:space="preserve">Table </w:t>
      </w:r>
      <w:fldSimple w:instr=" SEQ Table \* ARABIC ">
        <w:r w:rsidR="00B22F61">
          <w:rPr>
            <w:noProof/>
          </w:rPr>
          <w:t>1</w:t>
        </w:r>
      </w:fldSimple>
      <w:r>
        <w:t xml:space="preserve">A Expenditure 01 Jan 2012- 30 Jun </w:t>
      </w:r>
      <w:r w:rsidR="009A28D2">
        <w:t>2012</w:t>
      </w:r>
    </w:p>
    <w:tbl>
      <w:tblPr>
        <w:tblStyle w:val="APPR"/>
        <w:tblW w:w="5000" w:type="pct"/>
        <w:tblLayout w:type="fixed"/>
        <w:tblLook w:val="0000" w:firstRow="0" w:lastRow="0" w:firstColumn="0" w:lastColumn="0" w:noHBand="0" w:noVBand="0"/>
      </w:tblPr>
      <w:tblGrid>
        <w:gridCol w:w="6131"/>
        <w:gridCol w:w="998"/>
        <w:gridCol w:w="1477"/>
      </w:tblGrid>
      <w:tr w:rsidR="00180B19" w:rsidRPr="00180B19" w14:paraId="46450288" w14:textId="77777777" w:rsidTr="00E231A2">
        <w:trPr>
          <w:cnfStyle w:val="000000010000" w:firstRow="0" w:lastRow="0" w:firstColumn="0" w:lastColumn="0" w:oddVBand="0" w:evenVBand="0" w:oddHBand="0" w:evenHBand="1" w:firstRowFirstColumn="0" w:firstRowLastColumn="0" w:lastRowFirstColumn="0" w:lastRowLastColumn="0"/>
        </w:trPr>
        <w:tc>
          <w:tcPr>
            <w:tcW w:w="6089" w:type="dxa"/>
          </w:tcPr>
          <w:p w14:paraId="46450285" w14:textId="77777777" w:rsidR="00180B19" w:rsidRPr="00F35DE7" w:rsidRDefault="00180B19" w:rsidP="00F35DE7">
            <w:pPr>
              <w:pStyle w:val="TableTextColumnHeading"/>
            </w:pPr>
            <w:r w:rsidRPr="00F35DE7">
              <w:t>Objective</w:t>
            </w:r>
          </w:p>
        </w:tc>
        <w:tc>
          <w:tcPr>
            <w:tcW w:w="970" w:type="dxa"/>
          </w:tcPr>
          <w:p w14:paraId="46450286" w14:textId="77777777" w:rsidR="00180B19" w:rsidRPr="00F35DE7" w:rsidRDefault="00180B19" w:rsidP="00F35DE7">
            <w:pPr>
              <w:pStyle w:val="TableTextColumnHeading"/>
            </w:pPr>
            <w:r w:rsidRPr="00F35DE7">
              <w:t>A$ million</w:t>
            </w:r>
          </w:p>
        </w:tc>
        <w:tc>
          <w:tcPr>
            <w:tcW w:w="1435" w:type="dxa"/>
          </w:tcPr>
          <w:p w14:paraId="46450287" w14:textId="77777777" w:rsidR="00180B19" w:rsidRPr="00F35DE7" w:rsidRDefault="00180B19" w:rsidP="00F35DE7">
            <w:pPr>
              <w:pStyle w:val="TableTextColumnHeading"/>
            </w:pPr>
            <w:r w:rsidRPr="00F35DE7">
              <w:t>% of bilateral program</w:t>
            </w:r>
          </w:p>
        </w:tc>
      </w:tr>
      <w:tr w:rsidR="004C4A3E" w:rsidRPr="00180B19" w14:paraId="4645028C" w14:textId="77777777" w:rsidTr="00E231A2">
        <w:trPr>
          <w:cnfStyle w:val="000000010000" w:firstRow="0" w:lastRow="0" w:firstColumn="0" w:lastColumn="0" w:oddVBand="0" w:evenVBand="0" w:oddHBand="0" w:evenHBand="1" w:firstRowFirstColumn="0" w:firstRowLastColumn="0" w:lastRowFirstColumn="0" w:lastRowLastColumn="0"/>
        </w:trPr>
        <w:tc>
          <w:tcPr>
            <w:tcW w:w="6089" w:type="dxa"/>
          </w:tcPr>
          <w:p w14:paraId="46450289" w14:textId="77777777" w:rsidR="004C4A3E" w:rsidRPr="00F35DE7" w:rsidRDefault="00B76FA4" w:rsidP="00F35DE7">
            <w:pPr>
              <w:pStyle w:val="TableTextEntries"/>
            </w:pPr>
            <w:r w:rsidRPr="00F35DE7">
              <w:t>Supporting sustainable economic growth</w:t>
            </w:r>
            <w:r w:rsidR="00D67B4C">
              <w:t>,</w:t>
            </w:r>
            <w:r w:rsidRPr="00F35DE7">
              <w:t xml:space="preserve"> including helping vulnerable groups and rural communities overcome poverty</w:t>
            </w:r>
          </w:p>
        </w:tc>
        <w:tc>
          <w:tcPr>
            <w:tcW w:w="970" w:type="dxa"/>
          </w:tcPr>
          <w:p w14:paraId="4645028A" w14:textId="77777777" w:rsidR="004C4A3E" w:rsidRPr="00F35DE7" w:rsidRDefault="00E77CCE" w:rsidP="00F35DE7">
            <w:pPr>
              <w:pStyle w:val="TableTextEntries"/>
            </w:pPr>
            <w:r w:rsidRPr="00F35DE7">
              <w:t>1</w:t>
            </w:r>
            <w:r w:rsidR="00B64F67" w:rsidRPr="00F35DE7">
              <w:t>5</w:t>
            </w:r>
          </w:p>
        </w:tc>
        <w:tc>
          <w:tcPr>
            <w:tcW w:w="1435" w:type="dxa"/>
          </w:tcPr>
          <w:p w14:paraId="4645028B" w14:textId="77777777" w:rsidR="004C4A3E" w:rsidRPr="00F35DE7" w:rsidRDefault="006E1DE6" w:rsidP="00F35DE7">
            <w:pPr>
              <w:pStyle w:val="TableTextEntries"/>
            </w:pPr>
            <w:r w:rsidRPr="00F35DE7">
              <w:t>3</w:t>
            </w:r>
            <w:r w:rsidR="00B64F67" w:rsidRPr="00F35DE7">
              <w:t>9</w:t>
            </w:r>
            <w:r w:rsidRPr="00F35DE7">
              <w:t>.</w:t>
            </w:r>
            <w:r w:rsidR="00B64F67" w:rsidRPr="00F35DE7">
              <w:t>5</w:t>
            </w:r>
          </w:p>
        </w:tc>
      </w:tr>
      <w:tr w:rsidR="004C4A3E" w:rsidRPr="00180B19" w14:paraId="46450292" w14:textId="77777777" w:rsidTr="00E231A2">
        <w:trPr>
          <w:cnfStyle w:val="000000010000" w:firstRow="0" w:lastRow="0" w:firstColumn="0" w:lastColumn="0" w:oddVBand="0" w:evenVBand="0" w:oddHBand="0" w:evenHBand="1" w:firstRowFirstColumn="0" w:firstRowLastColumn="0" w:lastRowFirstColumn="0" w:lastRowLastColumn="0"/>
        </w:trPr>
        <w:tc>
          <w:tcPr>
            <w:tcW w:w="6089" w:type="dxa"/>
          </w:tcPr>
          <w:p w14:paraId="4645028F" w14:textId="22497ED0" w:rsidR="006B30CE" w:rsidRPr="00E231A2" w:rsidRDefault="00B76FA4" w:rsidP="00D67B4C">
            <w:pPr>
              <w:pStyle w:val="TableTextEntries"/>
            </w:pPr>
            <w:r w:rsidRPr="00F35DE7">
              <w:t xml:space="preserve">Supporting </w:t>
            </w:r>
            <w:r w:rsidR="00384629" w:rsidRPr="00F35DE7">
              <w:t>humanitarian response, post</w:t>
            </w:r>
            <w:r w:rsidR="00D67B4C">
              <w:t>-</w:t>
            </w:r>
            <w:r w:rsidR="00384629" w:rsidRPr="00F35DE7">
              <w:t>conflict stabilisation and recovery</w:t>
            </w:r>
            <w:r w:rsidRPr="00F35DE7">
              <w:t xml:space="preserve"> </w:t>
            </w:r>
          </w:p>
        </w:tc>
        <w:tc>
          <w:tcPr>
            <w:tcW w:w="970" w:type="dxa"/>
          </w:tcPr>
          <w:p w14:paraId="46450290" w14:textId="77777777" w:rsidR="004C4A3E" w:rsidRPr="00F35DE7" w:rsidRDefault="006E1DE6" w:rsidP="00F35DE7">
            <w:pPr>
              <w:pStyle w:val="TableTextEntries"/>
            </w:pPr>
            <w:r w:rsidRPr="00F35DE7">
              <w:t>2</w:t>
            </w:r>
            <w:r w:rsidR="00B64F67" w:rsidRPr="00F35DE7">
              <w:t>3</w:t>
            </w:r>
          </w:p>
        </w:tc>
        <w:tc>
          <w:tcPr>
            <w:tcW w:w="1435" w:type="dxa"/>
          </w:tcPr>
          <w:p w14:paraId="46450291" w14:textId="77777777" w:rsidR="004C4A3E" w:rsidRPr="00F35DE7" w:rsidRDefault="006E1DE6" w:rsidP="00F35DE7">
            <w:pPr>
              <w:pStyle w:val="TableTextEntries"/>
            </w:pPr>
            <w:r w:rsidRPr="00F35DE7">
              <w:t>6</w:t>
            </w:r>
            <w:r w:rsidR="00B64F67" w:rsidRPr="00F35DE7">
              <w:t>0</w:t>
            </w:r>
            <w:r w:rsidRPr="00F35DE7">
              <w:t>.</w:t>
            </w:r>
            <w:r w:rsidR="00B64F67" w:rsidRPr="00F35DE7">
              <w:t>5</w:t>
            </w:r>
          </w:p>
        </w:tc>
      </w:tr>
    </w:tbl>
    <w:p w14:paraId="46450293" w14:textId="7892A782" w:rsidR="00F35DE7" w:rsidRPr="00F35DE7" w:rsidRDefault="00E231A2" w:rsidP="00E231A2">
      <w:pPr>
        <w:pStyle w:val="Note"/>
      </w:pPr>
      <w:r w:rsidRPr="006B30CE">
        <w:t>Source: AidWorks</w:t>
      </w:r>
    </w:p>
    <w:p w14:paraId="46450294" w14:textId="77777777" w:rsidR="00180B19" w:rsidRPr="00180B19" w:rsidRDefault="00180B19" w:rsidP="00E6631F">
      <w:pPr>
        <w:pStyle w:val="Caption"/>
      </w:pPr>
      <w:r w:rsidRPr="00180B19">
        <w:t>Table 1B Estimated expenditure in FY 2012-13</w:t>
      </w:r>
    </w:p>
    <w:tbl>
      <w:tblPr>
        <w:tblStyle w:val="APPR"/>
        <w:tblW w:w="5000" w:type="pct"/>
        <w:tblLayout w:type="fixed"/>
        <w:tblLook w:val="0000" w:firstRow="0" w:lastRow="0" w:firstColumn="0" w:lastColumn="0" w:noHBand="0" w:noVBand="0"/>
      </w:tblPr>
      <w:tblGrid>
        <w:gridCol w:w="6129"/>
        <w:gridCol w:w="999"/>
        <w:gridCol w:w="1478"/>
      </w:tblGrid>
      <w:tr w:rsidR="00100AA2" w:rsidRPr="00180B19" w14:paraId="46450298" w14:textId="77777777" w:rsidTr="00E231A2">
        <w:trPr>
          <w:cnfStyle w:val="000000010000" w:firstRow="0" w:lastRow="0" w:firstColumn="0" w:lastColumn="0" w:oddVBand="0" w:evenVBand="0" w:oddHBand="0" w:evenHBand="1" w:firstRowFirstColumn="0" w:firstRowLastColumn="0" w:lastRowFirstColumn="0" w:lastRowLastColumn="0"/>
          <w:trHeight w:val="387"/>
        </w:trPr>
        <w:tc>
          <w:tcPr>
            <w:tcW w:w="6087" w:type="dxa"/>
          </w:tcPr>
          <w:p w14:paraId="46450295" w14:textId="77777777" w:rsidR="00100AA2" w:rsidRPr="00F35DE7" w:rsidRDefault="00100AA2" w:rsidP="00F35DE7">
            <w:pPr>
              <w:pStyle w:val="TableTextColumnHeading"/>
            </w:pPr>
            <w:r w:rsidRPr="00F35DE7">
              <w:t>Objective</w:t>
            </w:r>
          </w:p>
        </w:tc>
        <w:tc>
          <w:tcPr>
            <w:tcW w:w="971" w:type="dxa"/>
          </w:tcPr>
          <w:p w14:paraId="46450296" w14:textId="77777777" w:rsidR="00100AA2" w:rsidRPr="00F35DE7" w:rsidRDefault="00100AA2" w:rsidP="00F35DE7">
            <w:pPr>
              <w:pStyle w:val="TableTextColumnHeading"/>
            </w:pPr>
            <w:r w:rsidRPr="00F35DE7">
              <w:t>A$ million</w:t>
            </w:r>
          </w:p>
        </w:tc>
        <w:tc>
          <w:tcPr>
            <w:tcW w:w="1436" w:type="dxa"/>
          </w:tcPr>
          <w:p w14:paraId="46450297" w14:textId="77777777" w:rsidR="00100AA2" w:rsidRPr="00F35DE7" w:rsidRDefault="00100AA2" w:rsidP="00F35DE7">
            <w:pPr>
              <w:pStyle w:val="TableTextColumnHeading"/>
            </w:pPr>
            <w:r w:rsidRPr="00F35DE7">
              <w:t>% of bilateral program</w:t>
            </w:r>
          </w:p>
        </w:tc>
      </w:tr>
      <w:tr w:rsidR="00100AA2" w:rsidRPr="00180B19" w14:paraId="4645029C" w14:textId="77777777" w:rsidTr="00E231A2">
        <w:trPr>
          <w:cnfStyle w:val="000000010000" w:firstRow="0" w:lastRow="0" w:firstColumn="0" w:lastColumn="0" w:oddVBand="0" w:evenVBand="0" w:oddHBand="0" w:evenHBand="1" w:firstRowFirstColumn="0" w:firstRowLastColumn="0" w:lastRowFirstColumn="0" w:lastRowLastColumn="0"/>
          <w:trHeight w:val="336"/>
        </w:trPr>
        <w:tc>
          <w:tcPr>
            <w:tcW w:w="6087" w:type="dxa"/>
          </w:tcPr>
          <w:p w14:paraId="46450299" w14:textId="77777777" w:rsidR="00100AA2" w:rsidRPr="00F35DE7" w:rsidRDefault="007A1D7A" w:rsidP="00F35DE7">
            <w:pPr>
              <w:pStyle w:val="TableTextEntries"/>
            </w:pPr>
            <w:r w:rsidRPr="00F35DE7">
              <w:t>Supporting sustainable economic growth</w:t>
            </w:r>
            <w:r w:rsidR="00D67B4C">
              <w:t>,</w:t>
            </w:r>
            <w:r w:rsidRPr="00F35DE7">
              <w:t xml:space="preserve"> including helping vulnerable groups and</w:t>
            </w:r>
            <w:r w:rsidR="008D0CBF">
              <w:t xml:space="preserve"> </w:t>
            </w:r>
            <w:r w:rsidRPr="00F35DE7">
              <w:t>rural communities overcome poverty</w:t>
            </w:r>
          </w:p>
        </w:tc>
        <w:tc>
          <w:tcPr>
            <w:tcW w:w="971" w:type="dxa"/>
          </w:tcPr>
          <w:p w14:paraId="4645029A" w14:textId="77777777" w:rsidR="00100AA2" w:rsidRPr="00F35DE7" w:rsidRDefault="006E1DE6" w:rsidP="00F35DE7">
            <w:pPr>
              <w:pStyle w:val="TableTextEntries"/>
            </w:pPr>
            <w:r w:rsidRPr="00F35DE7">
              <w:t>1</w:t>
            </w:r>
            <w:r w:rsidR="00B64F67" w:rsidRPr="00F35DE7">
              <w:t>9</w:t>
            </w:r>
            <w:r w:rsidRPr="00F35DE7">
              <w:t>.</w:t>
            </w:r>
            <w:r w:rsidR="00B64F67" w:rsidRPr="00F35DE7">
              <w:t>5</w:t>
            </w:r>
          </w:p>
        </w:tc>
        <w:tc>
          <w:tcPr>
            <w:tcW w:w="1436" w:type="dxa"/>
          </w:tcPr>
          <w:p w14:paraId="4645029B" w14:textId="77777777" w:rsidR="00100AA2" w:rsidRPr="00F35DE7" w:rsidRDefault="00B64F67" w:rsidP="00F35DE7">
            <w:pPr>
              <w:pStyle w:val="TableTextEntries"/>
            </w:pPr>
            <w:r w:rsidRPr="00F35DE7">
              <w:t>21.7</w:t>
            </w:r>
          </w:p>
        </w:tc>
      </w:tr>
      <w:tr w:rsidR="00100AA2" w:rsidRPr="00180B19" w14:paraId="464502A4" w14:textId="77777777" w:rsidTr="00E231A2">
        <w:trPr>
          <w:cnfStyle w:val="000000010000" w:firstRow="0" w:lastRow="0" w:firstColumn="0" w:lastColumn="0" w:oddVBand="0" w:evenVBand="0" w:oddHBand="0" w:evenHBand="1" w:firstRowFirstColumn="0" w:firstRowLastColumn="0" w:lastRowFirstColumn="0" w:lastRowLastColumn="0"/>
          <w:trHeight w:val="194"/>
        </w:trPr>
        <w:tc>
          <w:tcPr>
            <w:tcW w:w="6087" w:type="dxa"/>
          </w:tcPr>
          <w:p w14:paraId="4645029F" w14:textId="32BCE2B0" w:rsidR="006B30CE" w:rsidRPr="006B30CE" w:rsidRDefault="007A1D7A" w:rsidP="00E231A2">
            <w:pPr>
              <w:pStyle w:val="TableTextEntries"/>
            </w:pPr>
            <w:r w:rsidRPr="00F35DE7">
              <w:t xml:space="preserve">Supporting </w:t>
            </w:r>
            <w:r w:rsidR="00384629" w:rsidRPr="00F35DE7">
              <w:t>humanitarian response, post</w:t>
            </w:r>
            <w:r w:rsidR="00D67B4C">
              <w:t>-</w:t>
            </w:r>
            <w:r w:rsidR="00384629" w:rsidRPr="00F35DE7">
              <w:t>conflict stabilisation and recovery</w:t>
            </w:r>
          </w:p>
        </w:tc>
        <w:tc>
          <w:tcPr>
            <w:tcW w:w="971" w:type="dxa"/>
          </w:tcPr>
          <w:p w14:paraId="464502A0" w14:textId="77777777" w:rsidR="00100AA2" w:rsidRPr="00F35DE7" w:rsidRDefault="006E1DE6" w:rsidP="00F35DE7">
            <w:pPr>
              <w:pStyle w:val="TableTextEntries"/>
            </w:pPr>
            <w:r w:rsidRPr="00F35DE7">
              <w:t>7</w:t>
            </w:r>
            <w:r w:rsidR="00B64F67" w:rsidRPr="00F35DE7">
              <w:t>0</w:t>
            </w:r>
            <w:r w:rsidRPr="00F35DE7">
              <w:t>.</w:t>
            </w:r>
            <w:r w:rsidR="00B64F67" w:rsidRPr="00F35DE7">
              <w:t>5</w:t>
            </w:r>
          </w:p>
        </w:tc>
        <w:tc>
          <w:tcPr>
            <w:tcW w:w="1436" w:type="dxa"/>
          </w:tcPr>
          <w:p w14:paraId="464502A3" w14:textId="3D990761" w:rsidR="006B30CE" w:rsidRPr="00F35DE7" w:rsidRDefault="00B64F67" w:rsidP="00E231A2">
            <w:pPr>
              <w:pStyle w:val="TableTextEntries"/>
            </w:pPr>
            <w:r w:rsidRPr="00F35DE7">
              <w:t>78.3</w:t>
            </w:r>
          </w:p>
        </w:tc>
      </w:tr>
    </w:tbl>
    <w:p w14:paraId="3CF8C9DB" w14:textId="2F64AFB9" w:rsidR="00E231A2" w:rsidRDefault="00E231A2" w:rsidP="00E231A2">
      <w:pPr>
        <w:pStyle w:val="Note"/>
      </w:pPr>
      <w:r w:rsidRPr="00F35DE7">
        <w:t>Source: Aid</w:t>
      </w:r>
      <w:r>
        <w:t>W</w:t>
      </w:r>
      <w:r w:rsidRPr="00F35DE7">
        <w:t>orks</w:t>
      </w:r>
    </w:p>
    <w:p w14:paraId="1BBEA1F2" w14:textId="77777777" w:rsidR="00E231A2" w:rsidRPr="00E231A2" w:rsidRDefault="00E231A2" w:rsidP="00E231A2"/>
    <w:p w14:paraId="464502A5" w14:textId="77777777" w:rsidR="00180B19" w:rsidRPr="00F35DE7" w:rsidRDefault="00180B19" w:rsidP="00F35DE7">
      <w:pPr>
        <w:pStyle w:val="Heading1"/>
      </w:pPr>
      <w:r w:rsidRPr="00F35DE7">
        <w:t>Progress towards objectives</w:t>
      </w:r>
    </w:p>
    <w:p w14:paraId="464502A6" w14:textId="67E96F88" w:rsidR="004D1BCD" w:rsidRDefault="004D1BCD" w:rsidP="00F35DE7">
      <w:pPr>
        <w:pStyle w:val="BodyText"/>
      </w:pPr>
      <w:r w:rsidRPr="009C3736">
        <w:t xml:space="preserve">In the absence of a </w:t>
      </w:r>
      <w:r w:rsidR="00316171">
        <w:t>p</w:t>
      </w:r>
      <w:r w:rsidRPr="009C3736">
        <w:t xml:space="preserve">rogram </w:t>
      </w:r>
      <w:r w:rsidR="00316171">
        <w:t>s</w:t>
      </w:r>
      <w:r w:rsidR="00D42BED">
        <w:t xml:space="preserve">trategy </w:t>
      </w:r>
      <w:r w:rsidRPr="009C3736">
        <w:t xml:space="preserve">this </w:t>
      </w:r>
      <w:r w:rsidR="00ED2784">
        <w:t xml:space="preserve">APPR </w:t>
      </w:r>
      <w:r w:rsidRPr="009C3736">
        <w:t xml:space="preserve">reports against the two broad themes </w:t>
      </w:r>
      <w:r w:rsidR="00D67B4C">
        <w:t>listed in ‘Context’</w:t>
      </w:r>
      <w:r w:rsidRPr="009C3736">
        <w:t>.</w:t>
      </w:r>
      <w:r w:rsidR="008D0CBF">
        <w:t xml:space="preserve"> </w:t>
      </w:r>
      <w:r w:rsidRPr="009C3736">
        <w:t>Program in</w:t>
      </w:r>
      <w:r w:rsidR="006B4A18">
        <w:t>vestments</w:t>
      </w:r>
      <w:r w:rsidRPr="009C3736">
        <w:t xml:space="preserve"> </w:t>
      </w:r>
      <w:r w:rsidR="00D67B4C">
        <w:t>are</w:t>
      </w:r>
      <w:r w:rsidRPr="009C3736">
        <w:t xml:space="preserve"> consolidated under these themes, including </w:t>
      </w:r>
      <w:r w:rsidR="00D67B4C">
        <w:t>investments</w:t>
      </w:r>
      <w:r w:rsidR="00D67B4C" w:rsidRPr="009C3736">
        <w:t xml:space="preserve"> </w:t>
      </w:r>
      <w:r w:rsidRPr="009C3736">
        <w:t xml:space="preserve">under the Iraq Program which </w:t>
      </w:r>
      <w:r w:rsidR="00D67B4C">
        <w:t xml:space="preserve">were, </w:t>
      </w:r>
      <w:r w:rsidRPr="009C3736">
        <w:t>in previous years</w:t>
      </w:r>
      <w:r w:rsidR="00D67B4C">
        <w:t>,</w:t>
      </w:r>
      <w:r w:rsidRPr="009C3736">
        <w:t xml:space="preserve"> </w:t>
      </w:r>
      <w:r w:rsidR="00D42BED">
        <w:t xml:space="preserve">the </w:t>
      </w:r>
      <w:r w:rsidR="00ED2784">
        <w:t xml:space="preserve">subject of a separate </w:t>
      </w:r>
      <w:r w:rsidR="0086210B">
        <w:t>A</w:t>
      </w:r>
      <w:r w:rsidRPr="009C3736">
        <w:t>PPR.</w:t>
      </w:r>
      <w:r w:rsidR="008D0CBF">
        <w:t xml:space="preserve"> </w:t>
      </w:r>
      <w:r w:rsidRPr="009C3736">
        <w:t xml:space="preserve">These two themes reflect the likely </w:t>
      </w:r>
      <w:r w:rsidR="000B340E" w:rsidRPr="009C3736">
        <w:t xml:space="preserve">starting point for </w:t>
      </w:r>
      <w:r w:rsidRPr="009C3736">
        <w:t>future direction</w:t>
      </w:r>
      <w:r w:rsidR="000B340E" w:rsidRPr="009C3736">
        <w:t xml:space="preserve">s and </w:t>
      </w:r>
      <w:r w:rsidRPr="009C3736">
        <w:t>program</w:t>
      </w:r>
      <w:r w:rsidR="006B4A18">
        <w:t>ming</w:t>
      </w:r>
      <w:r w:rsidR="000B340E" w:rsidRPr="009C3736">
        <w:t xml:space="preserve">. </w:t>
      </w:r>
    </w:p>
    <w:p w14:paraId="464502A7" w14:textId="77777777" w:rsidR="00D67B4C" w:rsidRPr="009C3736" w:rsidRDefault="00D67B4C" w:rsidP="00F35DE7">
      <w:pPr>
        <w:pStyle w:val="BodyText"/>
      </w:pPr>
      <w:r>
        <w:t xml:space="preserve">Table 2 rates the MENA program’s progress towards the two </w:t>
      </w:r>
      <w:r w:rsidR="004E44B6">
        <w:t>objectives</w:t>
      </w:r>
      <w:r>
        <w:t>.</w:t>
      </w:r>
    </w:p>
    <w:p w14:paraId="464502A9" w14:textId="77777777" w:rsidR="00BE65E4" w:rsidRPr="00F35DE7" w:rsidRDefault="00BE65E4" w:rsidP="00F35DE7">
      <w:pPr>
        <w:pStyle w:val="Caption"/>
      </w:pPr>
      <w:r w:rsidRPr="00F35DE7">
        <w:lastRenderedPageBreak/>
        <w:t xml:space="preserve">Table </w:t>
      </w:r>
      <w:fldSimple w:instr=" SEQ Table \* ARABIC ">
        <w:r w:rsidR="00B22F61">
          <w:rPr>
            <w:noProof/>
          </w:rPr>
          <w:t>2</w:t>
        </w:r>
      </w:fldSimple>
      <w:r w:rsidRPr="00F35DE7">
        <w:t xml:space="preserve"> Rating of the program's progress towards the objectives</w:t>
      </w:r>
    </w:p>
    <w:tbl>
      <w:tblPr>
        <w:tblStyle w:val="APPR"/>
        <w:tblW w:w="5000" w:type="pct"/>
        <w:tblLook w:val="0000" w:firstRow="0" w:lastRow="0" w:firstColumn="0" w:lastColumn="0" w:noHBand="0" w:noVBand="0"/>
      </w:tblPr>
      <w:tblGrid>
        <w:gridCol w:w="5724"/>
        <w:gridCol w:w="1434"/>
        <w:gridCol w:w="1448"/>
      </w:tblGrid>
      <w:tr w:rsidR="00F35DE7" w:rsidRPr="0019341B" w14:paraId="464502AD" w14:textId="77777777" w:rsidTr="00007F50">
        <w:trPr>
          <w:cantSplit/>
          <w:tblHeader w:val="0"/>
        </w:trPr>
        <w:tc>
          <w:tcPr>
            <w:tcW w:w="5664" w:type="dxa"/>
          </w:tcPr>
          <w:p w14:paraId="464502AA" w14:textId="77777777" w:rsidR="00F35DE7" w:rsidRPr="00F35DE7" w:rsidRDefault="00F35DE7" w:rsidP="00F35DE7">
            <w:pPr>
              <w:pStyle w:val="TableTextColumnHeading"/>
            </w:pPr>
            <w:r w:rsidRPr="00F35DE7">
              <w:rPr>
                <w:noProof/>
                <w:lang w:eastAsia="en-AU"/>
              </w:rPr>
              <w:drawing>
                <wp:anchor distT="0" distB="0" distL="114300" distR="114300" simplePos="0" relativeHeight="251666432" behindDoc="0" locked="0" layoutInCell="1" allowOverlap="1" wp14:anchorId="464503E5" wp14:editId="464503E6">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DE7">
              <w:t>Objective</w:t>
            </w:r>
            <w:r w:rsidR="00D67B4C">
              <w:t>s</w:t>
            </w:r>
          </w:p>
        </w:tc>
        <w:tc>
          <w:tcPr>
            <w:tcW w:w="1402" w:type="dxa"/>
          </w:tcPr>
          <w:p w14:paraId="464502AB" w14:textId="77777777" w:rsidR="00F35DE7" w:rsidRPr="00F35DE7" w:rsidRDefault="00F35DE7" w:rsidP="00D67B4C">
            <w:pPr>
              <w:pStyle w:val="TableTextColumnHeading"/>
            </w:pPr>
            <w:r w:rsidRPr="00F35DE7">
              <w:t xml:space="preserve">Current </w:t>
            </w:r>
            <w:r w:rsidR="00D67B4C">
              <w:t>r</w:t>
            </w:r>
            <w:r w:rsidRPr="00F35DE7">
              <w:t>ating</w:t>
            </w:r>
          </w:p>
        </w:tc>
        <w:tc>
          <w:tcPr>
            <w:tcW w:w="1372" w:type="dxa"/>
          </w:tcPr>
          <w:p w14:paraId="464502AC" w14:textId="77777777" w:rsidR="00F35DE7" w:rsidRPr="00F35DE7" w:rsidRDefault="00F35DE7" w:rsidP="00D67B4C">
            <w:pPr>
              <w:pStyle w:val="TableTextColumnHeading"/>
            </w:pPr>
            <w:r w:rsidRPr="00F35DE7">
              <w:t xml:space="preserve">Previous </w:t>
            </w:r>
            <w:r w:rsidR="00D67B4C">
              <w:t>r</w:t>
            </w:r>
            <w:r w:rsidRPr="00F35DE7">
              <w:t>ating</w:t>
            </w:r>
          </w:p>
        </w:tc>
      </w:tr>
      <w:tr w:rsidR="00F35DE7" w:rsidRPr="009D53C4" w14:paraId="464502B1" w14:textId="77777777" w:rsidTr="00007F50">
        <w:trPr>
          <w:cnfStyle w:val="000000010000" w:firstRow="0" w:lastRow="0" w:firstColumn="0" w:lastColumn="0" w:oddVBand="0" w:evenVBand="0" w:oddHBand="0" w:evenHBand="1" w:firstRowFirstColumn="0" w:firstRowLastColumn="0" w:lastRowFirstColumn="0" w:lastRowLastColumn="0"/>
          <w:cantSplit/>
          <w:tblHeader w:val="0"/>
        </w:trPr>
        <w:tc>
          <w:tcPr>
            <w:tcW w:w="5664" w:type="dxa"/>
          </w:tcPr>
          <w:p w14:paraId="464502AE" w14:textId="77777777" w:rsidR="00F35DE7" w:rsidRPr="00F35DE7" w:rsidRDefault="00F35DE7" w:rsidP="00F35DE7">
            <w:pPr>
              <w:pStyle w:val="TableTextEntries"/>
            </w:pPr>
            <w:r w:rsidRPr="00F35DE7">
              <w:t>Supporting sustainable economic growth</w:t>
            </w:r>
            <w:r w:rsidR="00D67B4C">
              <w:t>,</w:t>
            </w:r>
            <w:r w:rsidRPr="00F35DE7">
              <w:t xml:space="preserve"> including helping vulnerable groups and rural communities overcome poverty </w:t>
            </w:r>
          </w:p>
        </w:tc>
        <w:tc>
          <w:tcPr>
            <w:tcW w:w="1402" w:type="dxa"/>
            <w:shd w:val="clear" w:color="auto" w:fill="F79646" w:themeFill="accent6"/>
            <w:noWrap/>
          </w:tcPr>
          <w:p w14:paraId="464502AF" w14:textId="77777777" w:rsidR="00F35DE7" w:rsidRPr="00F35DE7" w:rsidRDefault="00F35DE7" w:rsidP="00007F50">
            <w:pPr>
              <w:pStyle w:val="TableTextEntries"/>
              <w:tabs>
                <w:tab w:val="left" w:pos="854"/>
              </w:tabs>
              <w:ind w:left="720"/>
              <w:jc w:val="right"/>
            </w:pPr>
            <w:r w:rsidRPr="00F35DE7">
              <w:t>Amber</w:t>
            </w:r>
            <w:r>
              <w:tab/>
            </w:r>
          </w:p>
        </w:tc>
        <w:tc>
          <w:tcPr>
            <w:tcW w:w="1372" w:type="dxa"/>
            <w:shd w:val="clear" w:color="auto" w:fill="F79646" w:themeFill="accent6"/>
            <w:noWrap/>
          </w:tcPr>
          <w:p w14:paraId="464502B0" w14:textId="77777777" w:rsidR="00F35DE7" w:rsidRPr="00F35DE7" w:rsidRDefault="00F35DE7" w:rsidP="00007F50">
            <w:pPr>
              <w:pStyle w:val="TableTextEntries"/>
              <w:ind w:left="720"/>
            </w:pPr>
            <w:r w:rsidRPr="00F35DE7">
              <w:t>Amber</w:t>
            </w:r>
          </w:p>
        </w:tc>
      </w:tr>
      <w:tr w:rsidR="00F35DE7" w:rsidRPr="009D53C4" w14:paraId="464502B5" w14:textId="77777777" w:rsidTr="00007F50">
        <w:trPr>
          <w:cantSplit/>
          <w:tblHeader w:val="0"/>
        </w:trPr>
        <w:tc>
          <w:tcPr>
            <w:tcW w:w="5664" w:type="dxa"/>
          </w:tcPr>
          <w:p w14:paraId="464502B2" w14:textId="77777777" w:rsidR="00F35DE7" w:rsidRPr="00F35DE7" w:rsidRDefault="00F35DE7" w:rsidP="00D67B4C">
            <w:pPr>
              <w:pStyle w:val="TableTextEntries"/>
            </w:pPr>
            <w:r w:rsidRPr="00F35DE7">
              <w:t>Supporting humanitarian response, post</w:t>
            </w:r>
            <w:r w:rsidR="00D67B4C">
              <w:t>-</w:t>
            </w:r>
            <w:r w:rsidRPr="00F35DE7">
              <w:t>conflict stabilisation and recovery</w:t>
            </w:r>
            <w:r w:rsidR="008D0CBF">
              <w:t xml:space="preserve"> </w:t>
            </w:r>
          </w:p>
        </w:tc>
        <w:tc>
          <w:tcPr>
            <w:tcW w:w="1402" w:type="dxa"/>
            <w:tcBorders>
              <w:top w:val="nil"/>
              <w:bottom w:val="nil"/>
            </w:tcBorders>
            <w:shd w:val="clear" w:color="auto" w:fill="92D050"/>
            <w:noWrap/>
          </w:tcPr>
          <w:p w14:paraId="464502B3" w14:textId="77777777" w:rsidR="00F35DE7" w:rsidRPr="00F35DE7" w:rsidRDefault="00F35DE7" w:rsidP="00D67B4C">
            <w:pPr>
              <w:pStyle w:val="TableTextEntries"/>
            </w:pPr>
            <w:r w:rsidRPr="00F35DE7">
              <w:tab/>
              <w:t>Green</w:t>
            </w:r>
          </w:p>
        </w:tc>
        <w:tc>
          <w:tcPr>
            <w:tcW w:w="1372" w:type="dxa"/>
            <w:tcBorders>
              <w:top w:val="nil"/>
              <w:bottom w:val="nil"/>
            </w:tcBorders>
            <w:shd w:val="clear" w:color="auto" w:fill="92D050"/>
            <w:noWrap/>
          </w:tcPr>
          <w:p w14:paraId="464502B4" w14:textId="77777777" w:rsidR="00F35DE7" w:rsidRPr="00F35DE7" w:rsidRDefault="00F35DE7" w:rsidP="00F35DE7">
            <w:pPr>
              <w:pStyle w:val="TableTextEntries"/>
            </w:pPr>
            <w:r w:rsidRPr="00F35DE7">
              <w:tab/>
              <w:t>Green</w:t>
            </w:r>
          </w:p>
        </w:tc>
      </w:tr>
    </w:tbl>
    <w:p w14:paraId="464502B6" w14:textId="77777777" w:rsidR="00180B19" w:rsidRPr="00180B19" w:rsidRDefault="00180B19" w:rsidP="0004714C">
      <w:pPr>
        <w:pStyle w:val="Note"/>
      </w:pPr>
      <w:r w:rsidRPr="00180B19">
        <w:t xml:space="preserve">Note: </w:t>
      </w:r>
    </w:p>
    <w:p w14:paraId="464502B7" w14:textId="77777777" w:rsidR="00180B19" w:rsidRPr="00180B19" w:rsidRDefault="00180B19" w:rsidP="0004714C">
      <w:pPr>
        <w:pStyle w:val="Note"/>
      </w:pPr>
      <w:r w:rsidRPr="004C4A3E">
        <w:rPr>
          <w:color w:val="92D050"/>
        </w:rPr>
        <w:sym w:font="Webdings" w:char="F067"/>
      </w:r>
      <w:r w:rsidRPr="00180B19">
        <w:t> </w:t>
      </w:r>
      <w:r w:rsidRPr="00180B19">
        <w:t xml:space="preserve"> </w:t>
      </w:r>
      <w:r w:rsidR="00443639">
        <w:t xml:space="preserve">Green. </w:t>
      </w:r>
      <w:r w:rsidRPr="00180B19">
        <w:t>Progress is as expected for this point in time and it is likely that the objective will be achieved. Standard program management practices are sufficient.</w:t>
      </w:r>
    </w:p>
    <w:p w14:paraId="464502B8" w14:textId="77777777" w:rsidR="00180B19" w:rsidRPr="00180B19" w:rsidRDefault="00180B19" w:rsidP="0004714C">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464502B9" w14:textId="77777777" w:rsidR="00180B19" w:rsidRPr="00180B19" w:rsidRDefault="00180B19" w:rsidP="0004714C">
      <w:pPr>
        <w:pStyle w:val="Note"/>
      </w:pPr>
      <w:r w:rsidRPr="004C4A3E">
        <w:rPr>
          <w:color w:val="FF0000"/>
        </w:rPr>
        <w:sym w:font="Webdings" w:char="F067"/>
      </w:r>
      <w:r w:rsidRPr="00180B19">
        <w:t> </w:t>
      </w:r>
      <w:r w:rsidRPr="00180B19">
        <w:t xml:space="preserve"> </w:t>
      </w:r>
      <w:r w:rsidR="00443639">
        <w:t xml:space="preserve">Red. </w:t>
      </w:r>
      <w:r w:rsidRPr="00180B19">
        <w:t xml:space="preserve">Progress is significantly less than expected for this point in time and the objective is not likely to be met given available resources and priorities. Recasting the objective may be required. </w:t>
      </w:r>
    </w:p>
    <w:p w14:paraId="464502BA" w14:textId="77777777" w:rsidR="00180B19" w:rsidRPr="0004714C" w:rsidRDefault="00180B19" w:rsidP="0004714C">
      <w:pPr>
        <w:pStyle w:val="Heading2"/>
      </w:pPr>
      <w:r w:rsidRPr="0004714C">
        <w:t>Objective</w:t>
      </w:r>
      <w:r w:rsidR="007A1D7A" w:rsidRPr="0004714C">
        <w:t xml:space="preserve"> 1</w:t>
      </w:r>
      <w:r w:rsidR="00E03766" w:rsidRPr="0004714C">
        <w:t>: Supporting sustainable economic growth</w:t>
      </w:r>
      <w:r w:rsidR="00D67B4C">
        <w:t>,</w:t>
      </w:r>
      <w:r w:rsidR="00E03766" w:rsidRPr="0004714C">
        <w:t xml:space="preserve"> including helping vulnerable groups and rural communities overcome poverty</w:t>
      </w:r>
    </w:p>
    <w:p w14:paraId="464502BB" w14:textId="77777777" w:rsidR="008477BD" w:rsidRDefault="00D67B4C" w:rsidP="0004714C">
      <w:pPr>
        <w:pStyle w:val="BodyText"/>
      </w:pPr>
      <w:r>
        <w:t xml:space="preserve">This current </w:t>
      </w:r>
      <w:r w:rsidR="004D1BCD">
        <w:t xml:space="preserve">rating </w:t>
      </w:r>
      <w:r>
        <w:t xml:space="preserve">of amber </w:t>
      </w:r>
      <w:r w:rsidR="004D1BCD">
        <w:t xml:space="preserve">reflects a balance between good </w:t>
      </w:r>
      <w:r w:rsidR="00E87360" w:rsidRPr="00DD442B">
        <w:t>overall</w:t>
      </w:r>
      <w:r w:rsidR="00E87360">
        <w:t xml:space="preserve"> </w:t>
      </w:r>
      <w:r w:rsidR="004D1BCD">
        <w:t>program progress in Iraq, and</w:t>
      </w:r>
      <w:r w:rsidR="008477BD">
        <w:t xml:space="preserve"> the</w:t>
      </w:r>
      <w:r w:rsidR="004D1BCD">
        <w:t xml:space="preserve"> </w:t>
      </w:r>
      <w:r w:rsidR="00D42BED">
        <w:t xml:space="preserve">recent </w:t>
      </w:r>
      <w:r w:rsidR="008477BD">
        <w:t xml:space="preserve">start </w:t>
      </w:r>
      <w:r w:rsidR="00D42BED">
        <w:t xml:space="preserve">of </w:t>
      </w:r>
      <w:r w:rsidR="000E6268">
        <w:t>rural development and employment</w:t>
      </w:r>
      <w:r w:rsidR="008477BD">
        <w:t>-</w:t>
      </w:r>
      <w:r w:rsidR="000E6268">
        <w:t xml:space="preserve">generation </w:t>
      </w:r>
      <w:r w:rsidR="00D42BED">
        <w:t>activities in North Africa</w:t>
      </w:r>
      <w:r w:rsidR="00B312AF">
        <w:t>.</w:t>
      </w:r>
      <w:r w:rsidR="008D0CBF">
        <w:t xml:space="preserve"> </w:t>
      </w:r>
      <w:r w:rsidR="00520F07">
        <w:t xml:space="preserve">Delayed progress under the Decent Jobs for Young People initiative in Egypt, due to the resignation in a key political position required to support the </w:t>
      </w:r>
      <w:r w:rsidR="008477BD">
        <w:t>initiative</w:t>
      </w:r>
      <w:r w:rsidR="00520F07">
        <w:t>, is manageable and not expected to have a lasting negative impact.</w:t>
      </w:r>
      <w:r w:rsidR="008D0CBF">
        <w:t xml:space="preserve"> </w:t>
      </w:r>
    </w:p>
    <w:p w14:paraId="464502BC" w14:textId="77777777" w:rsidR="00FE3729" w:rsidRDefault="00FE3729" w:rsidP="0004714C">
      <w:pPr>
        <w:pStyle w:val="BodyText"/>
      </w:pPr>
      <w:r w:rsidRPr="00694675">
        <w:t xml:space="preserve">Australia contributes to this objective by supporting </w:t>
      </w:r>
      <w:r w:rsidR="00D815A0">
        <w:t>eight</w:t>
      </w:r>
      <w:r w:rsidRPr="00694675">
        <w:t xml:space="preserve"> major activities</w:t>
      </w:r>
      <w:r w:rsidR="008477BD">
        <w:t>, as follows</w:t>
      </w:r>
      <w:r w:rsidRPr="00694675">
        <w:t>:</w:t>
      </w:r>
    </w:p>
    <w:p w14:paraId="464502BD" w14:textId="01689FB5" w:rsidR="00FE3729" w:rsidRPr="0004714C" w:rsidRDefault="00233FB1" w:rsidP="0004714C">
      <w:pPr>
        <w:pStyle w:val="Heading3"/>
      </w:pPr>
      <w:r>
        <w:t>DFAT</w:t>
      </w:r>
      <w:r w:rsidR="008477BD">
        <w:t xml:space="preserve"> – </w:t>
      </w:r>
      <w:r w:rsidR="00FE3729" w:rsidRPr="0004714C">
        <w:t>ACIAR Agricultural and Research Development Partnership in North Africa</w:t>
      </w:r>
      <w:r w:rsidR="00D266FA" w:rsidRPr="0004714C">
        <w:t xml:space="preserve"> ($</w:t>
      </w:r>
      <w:r w:rsidR="006E1DE6" w:rsidRPr="0004714C">
        <w:t>2.3</w:t>
      </w:r>
      <w:r w:rsidR="008477BD">
        <w:t> </w:t>
      </w:r>
      <w:r w:rsidR="00D266FA" w:rsidRPr="0004714C">
        <w:t xml:space="preserve">million over </w:t>
      </w:r>
      <w:r w:rsidR="008477BD">
        <w:t xml:space="preserve">the </w:t>
      </w:r>
      <w:r w:rsidR="00ED2784">
        <w:t xml:space="preserve">APPR </w:t>
      </w:r>
      <w:r w:rsidR="00D266FA" w:rsidRPr="0004714C">
        <w:t>period)</w:t>
      </w:r>
    </w:p>
    <w:p w14:paraId="464502BE" w14:textId="77777777" w:rsidR="001663B8" w:rsidRDefault="00424AEF" w:rsidP="0004714C">
      <w:pPr>
        <w:pStyle w:val="BodyText"/>
      </w:pPr>
      <w:r w:rsidRPr="00424AEF">
        <w:t xml:space="preserve">This activity seeks </w:t>
      </w:r>
      <w:r>
        <w:t xml:space="preserve">to increase agricultural productivity and improve crop yields for farmers on Egypt’s Nile Delta and </w:t>
      </w:r>
      <w:r w:rsidR="001663B8">
        <w:t xml:space="preserve">in </w:t>
      </w:r>
      <w:r>
        <w:t>North Africa (Tunisia, Algeria and Morocco).</w:t>
      </w:r>
      <w:r w:rsidR="008D0CBF">
        <w:t xml:space="preserve"> </w:t>
      </w:r>
      <w:r>
        <w:t xml:space="preserve">To achieve this, the </w:t>
      </w:r>
      <w:r w:rsidR="001663B8">
        <w:t xml:space="preserve">partnership </w:t>
      </w:r>
      <w:r w:rsidR="00FA078A">
        <w:t>will analyse productivity const</w:t>
      </w:r>
      <w:r>
        <w:t>raints, develop context-specific solutions to the identified constraints, and then transfer expertise and knowledge through research extension services.</w:t>
      </w:r>
      <w:r w:rsidR="008D0CBF">
        <w:t xml:space="preserve"> </w:t>
      </w:r>
      <w:r>
        <w:t xml:space="preserve">In Egypt </w:t>
      </w:r>
      <w:r w:rsidR="001663B8">
        <w:t>it</w:t>
      </w:r>
      <w:r>
        <w:t xml:space="preserve"> will focus on addressing water salinity and adopti</w:t>
      </w:r>
      <w:r w:rsidR="001663B8">
        <w:t>ng</w:t>
      </w:r>
      <w:r>
        <w:t xml:space="preserve"> improved agricultural technology</w:t>
      </w:r>
      <w:r w:rsidR="001663B8">
        <w:t>. I</w:t>
      </w:r>
      <w:r>
        <w:t>n North Africa</w:t>
      </w:r>
      <w:r w:rsidR="001663B8">
        <w:t xml:space="preserve"> it will target</w:t>
      </w:r>
      <w:r>
        <w:t xml:space="preserve"> </w:t>
      </w:r>
      <w:r w:rsidR="000172A2">
        <w:t>smallholder farmers to help them meet climate change and food security challenges.</w:t>
      </w:r>
      <w:r w:rsidR="008D0CBF">
        <w:t xml:space="preserve"> </w:t>
      </w:r>
    </w:p>
    <w:p w14:paraId="464502BF" w14:textId="54C16AE9" w:rsidR="000172A2" w:rsidRDefault="000172A2" w:rsidP="0004714C">
      <w:pPr>
        <w:pStyle w:val="BodyText"/>
      </w:pPr>
      <w:r w:rsidRPr="007A5E50">
        <w:rPr>
          <w:b/>
        </w:rPr>
        <w:t>The p</w:t>
      </w:r>
      <w:r w:rsidR="00BA18B0">
        <w:rPr>
          <w:b/>
        </w:rPr>
        <w:t>artnership</w:t>
      </w:r>
      <w:r w:rsidRPr="007A5E50">
        <w:rPr>
          <w:b/>
        </w:rPr>
        <w:t xml:space="preserve"> is still in its early stages and</w:t>
      </w:r>
      <w:r w:rsidR="001663B8">
        <w:rPr>
          <w:b/>
        </w:rPr>
        <w:t>,</w:t>
      </w:r>
      <w:r w:rsidRPr="007A5E50">
        <w:rPr>
          <w:b/>
        </w:rPr>
        <w:t xml:space="preserve"> as a consequence</w:t>
      </w:r>
      <w:r w:rsidR="001663B8">
        <w:rPr>
          <w:b/>
        </w:rPr>
        <w:t>,</w:t>
      </w:r>
      <w:r w:rsidRPr="007A5E50">
        <w:rPr>
          <w:b/>
        </w:rPr>
        <w:t xml:space="preserve"> there are few quantifiable development results to report.</w:t>
      </w:r>
      <w:r w:rsidR="008D0CBF">
        <w:t xml:space="preserve"> </w:t>
      </w:r>
      <w:r>
        <w:t xml:space="preserve">However, </w:t>
      </w:r>
      <w:r w:rsidR="001663B8">
        <w:t>the</w:t>
      </w:r>
      <w:r>
        <w:t xml:space="preserve"> sharp increase in donor investment in the region a</w:t>
      </w:r>
      <w:r w:rsidR="000E6268">
        <w:t xml:space="preserve">fter </w:t>
      </w:r>
      <w:r>
        <w:t>the Arab Spring uprisings</w:t>
      </w:r>
      <w:r w:rsidR="001663B8">
        <w:t xml:space="preserve"> has made it clear that</w:t>
      </w:r>
      <w:r>
        <w:t xml:space="preserve"> the absorptive capacity of partners has been stretched, particularly</w:t>
      </w:r>
      <w:r w:rsidR="001663B8">
        <w:t xml:space="preserve"> with</w:t>
      </w:r>
      <w:r>
        <w:t xml:space="preserve"> the human and physical resources needed to deliver projects on time.</w:t>
      </w:r>
      <w:r w:rsidR="008D0CBF">
        <w:t xml:space="preserve"> </w:t>
      </w:r>
      <w:r>
        <w:t xml:space="preserve">This may impact on timelines for delivery of outcomes and will require careful management between </w:t>
      </w:r>
      <w:r w:rsidR="00233FB1">
        <w:t>DFAT</w:t>
      </w:r>
      <w:r>
        <w:t xml:space="preserve"> and ACIAR.</w:t>
      </w:r>
      <w:r w:rsidR="008D0CBF">
        <w:t xml:space="preserve"> </w:t>
      </w:r>
      <w:r w:rsidR="002972AE">
        <w:t>It is important to note that the crisis in Syria has</w:t>
      </w:r>
      <w:r w:rsidR="001663B8">
        <w:t xml:space="preserve"> had an</w:t>
      </w:r>
      <w:r w:rsidR="002972AE">
        <w:t xml:space="preserve"> impact on the operations of ACIAR’s key development partner in the region, the International Centre for Agricultural Research in Dry Areas.</w:t>
      </w:r>
      <w:r w:rsidR="008D0CBF">
        <w:t xml:space="preserve"> </w:t>
      </w:r>
      <w:r w:rsidR="001663B8">
        <w:t xml:space="preserve">This centre </w:t>
      </w:r>
      <w:r w:rsidR="002972AE">
        <w:t xml:space="preserve">is normally based in Aleppo </w:t>
      </w:r>
      <w:r w:rsidR="00EB51B0">
        <w:t xml:space="preserve">(Syria) </w:t>
      </w:r>
      <w:r w:rsidR="002972AE">
        <w:t xml:space="preserve">but has </w:t>
      </w:r>
      <w:r w:rsidR="000E6268">
        <w:t>now</w:t>
      </w:r>
      <w:r w:rsidR="002972AE">
        <w:t xml:space="preserve"> relocate</w:t>
      </w:r>
      <w:r w:rsidR="000E6268">
        <w:t>d</w:t>
      </w:r>
      <w:r w:rsidR="002972AE">
        <w:t xml:space="preserve"> to other offices across the region.</w:t>
      </w:r>
      <w:r w:rsidR="008D0CBF">
        <w:t xml:space="preserve"> </w:t>
      </w:r>
      <w:r w:rsidR="000E6268">
        <w:t>The relocation has not negatively impacted on Australian-funded aid activities.</w:t>
      </w:r>
    </w:p>
    <w:p w14:paraId="464502C0" w14:textId="25C39A6D" w:rsidR="009C3736" w:rsidRPr="0004714C" w:rsidRDefault="00FE3729" w:rsidP="0004714C">
      <w:pPr>
        <w:pStyle w:val="Heading3"/>
      </w:pPr>
      <w:r w:rsidRPr="0004714C">
        <w:t>World Bank Egypt Farm Level Irri</w:t>
      </w:r>
      <w:r w:rsidR="00F1748A" w:rsidRPr="0004714C">
        <w:t xml:space="preserve">gation Management Project </w:t>
      </w:r>
      <w:r w:rsidR="008477BD">
        <w:br/>
      </w:r>
      <w:r w:rsidR="00F1748A" w:rsidRPr="0004714C">
        <w:t>($</w:t>
      </w:r>
      <w:r w:rsidR="006E1DE6" w:rsidRPr="0004714C">
        <w:t>1.5</w:t>
      </w:r>
      <w:r w:rsidR="00F1748A" w:rsidRPr="0004714C">
        <w:t xml:space="preserve"> million over</w:t>
      </w:r>
      <w:r w:rsidR="008477BD">
        <w:t xml:space="preserve"> the</w:t>
      </w:r>
      <w:r w:rsidR="00F1748A" w:rsidRPr="0004714C">
        <w:t xml:space="preserve"> </w:t>
      </w:r>
      <w:r w:rsidR="00ED2784">
        <w:t xml:space="preserve">APPR </w:t>
      </w:r>
      <w:r w:rsidR="00620CE4" w:rsidRPr="0004714C">
        <w:t>p</w:t>
      </w:r>
      <w:r w:rsidR="00F1748A" w:rsidRPr="0004714C">
        <w:t>eriod)</w:t>
      </w:r>
    </w:p>
    <w:p w14:paraId="464502C1" w14:textId="77777777" w:rsidR="00FA078A" w:rsidRDefault="009C3736" w:rsidP="0004714C">
      <w:pPr>
        <w:pStyle w:val="BodyText"/>
      </w:pPr>
      <w:r>
        <w:t>Th</w:t>
      </w:r>
      <w:r w:rsidR="001663B8">
        <w:t>is</w:t>
      </w:r>
      <w:r>
        <w:t xml:space="preserve"> </w:t>
      </w:r>
      <w:r w:rsidR="00F1748A">
        <w:t>project</w:t>
      </w:r>
      <w:r>
        <w:t xml:space="preserve"> seeks to improve the management of water on farms, and water use efficiency and environmental sustainability of crop production in the Nile Delta.</w:t>
      </w:r>
      <w:r w:rsidR="008D0CBF">
        <w:t xml:space="preserve"> </w:t>
      </w:r>
      <w:r>
        <w:t>Implemented through the World Bank, Australian funding specifically seeks to improve irrigation systems technology in the Nile Delta and is co-financed with the French Development Agency.</w:t>
      </w:r>
      <w:r w:rsidR="008D0CBF">
        <w:t xml:space="preserve"> </w:t>
      </w:r>
      <w:r w:rsidRPr="007A5E50">
        <w:rPr>
          <w:b/>
        </w:rPr>
        <w:t xml:space="preserve">It is too early to assess the effectiveness of this activity as </w:t>
      </w:r>
      <w:r w:rsidR="007A5E50">
        <w:rPr>
          <w:b/>
        </w:rPr>
        <w:t xml:space="preserve">the </w:t>
      </w:r>
      <w:r w:rsidRPr="007A5E50">
        <w:rPr>
          <w:b/>
        </w:rPr>
        <w:t xml:space="preserve">project design </w:t>
      </w:r>
      <w:r w:rsidR="007A5E50">
        <w:rPr>
          <w:b/>
        </w:rPr>
        <w:t xml:space="preserve">has only recently been finalised and project implementation </w:t>
      </w:r>
      <w:r w:rsidR="00944155">
        <w:rPr>
          <w:b/>
        </w:rPr>
        <w:t>has just started</w:t>
      </w:r>
      <w:r w:rsidR="007A5E50">
        <w:rPr>
          <w:b/>
        </w:rPr>
        <w:t>.</w:t>
      </w:r>
    </w:p>
    <w:p w14:paraId="464502C2" w14:textId="4CECBEF7" w:rsidR="0052008A" w:rsidRPr="0004714C" w:rsidRDefault="00D815A0" w:rsidP="0004714C">
      <w:pPr>
        <w:pStyle w:val="Heading3"/>
        <w:rPr>
          <w:rFonts w:eastAsiaTheme="minorHAnsi"/>
          <w:b/>
          <w:lang w:eastAsia="en-US"/>
        </w:rPr>
      </w:pPr>
      <w:r w:rsidRPr="0004714C">
        <w:lastRenderedPageBreak/>
        <w:t>Egypt Employment Generation Program</w:t>
      </w:r>
      <w:r w:rsidR="008477BD">
        <w:t xml:space="preserve">, </w:t>
      </w:r>
      <w:r w:rsidR="008477BD" w:rsidRPr="0004714C">
        <w:t>consisting of</w:t>
      </w:r>
      <w:r w:rsidR="008477BD">
        <w:t xml:space="preserve"> </w:t>
      </w:r>
      <w:r w:rsidR="001663B8">
        <w:t>the Employment Promotion Programme in Egypt and Decent Jobs for Egypt’s Young People</w:t>
      </w:r>
      <w:r w:rsidR="008477BD">
        <w:br/>
      </w:r>
      <w:r w:rsidRPr="0004714C">
        <w:t>(</w:t>
      </w:r>
      <w:r w:rsidR="001663B8">
        <w:t xml:space="preserve">combined total of </w:t>
      </w:r>
      <w:r w:rsidRPr="0004714C">
        <w:t>$2.67 million over</w:t>
      </w:r>
      <w:r w:rsidR="008477BD">
        <w:t xml:space="preserve"> the</w:t>
      </w:r>
      <w:r w:rsidRPr="0004714C">
        <w:t xml:space="preserve"> </w:t>
      </w:r>
      <w:r w:rsidR="00ED2784">
        <w:t xml:space="preserve">APPR </w:t>
      </w:r>
      <w:r w:rsidR="0052008A" w:rsidRPr="0004714C">
        <w:t>period)</w:t>
      </w:r>
    </w:p>
    <w:p w14:paraId="464502C3" w14:textId="1B2F4A62" w:rsidR="0004714C" w:rsidRDefault="001663B8" w:rsidP="0004714C">
      <w:pPr>
        <w:pStyle w:val="BodyText"/>
        <w:rPr>
          <w:b/>
          <w:szCs w:val="22"/>
        </w:rPr>
      </w:pPr>
      <w:r w:rsidRPr="00F81DC3">
        <w:rPr>
          <w:b/>
          <w:szCs w:val="22"/>
        </w:rPr>
        <w:t>Employment Promotion Programme in Egypt</w:t>
      </w:r>
      <w:r>
        <w:rPr>
          <w:b/>
          <w:szCs w:val="22"/>
        </w:rPr>
        <w:t>—</w:t>
      </w:r>
      <w:r w:rsidR="0052008A" w:rsidRPr="0068403E">
        <w:rPr>
          <w:szCs w:val="22"/>
        </w:rPr>
        <w:t xml:space="preserve">The </w:t>
      </w:r>
      <w:r>
        <w:rPr>
          <w:szCs w:val="22"/>
        </w:rPr>
        <w:t>objectives</w:t>
      </w:r>
      <w:r w:rsidRPr="0068403E">
        <w:rPr>
          <w:szCs w:val="22"/>
        </w:rPr>
        <w:t xml:space="preserve"> </w:t>
      </w:r>
      <w:r w:rsidR="0052008A" w:rsidRPr="0068403E">
        <w:rPr>
          <w:szCs w:val="22"/>
        </w:rPr>
        <w:t>of th</w:t>
      </w:r>
      <w:r>
        <w:rPr>
          <w:szCs w:val="22"/>
        </w:rPr>
        <w:t>is</w:t>
      </w:r>
      <w:r w:rsidR="0052008A" w:rsidRPr="0068403E">
        <w:rPr>
          <w:szCs w:val="22"/>
        </w:rPr>
        <w:t xml:space="preserve"> </w:t>
      </w:r>
      <w:r w:rsidR="0052008A" w:rsidRPr="004E44B6">
        <w:rPr>
          <w:szCs w:val="22"/>
        </w:rPr>
        <w:t>GIZ</w:t>
      </w:r>
      <w:r w:rsidRPr="004E44B6">
        <w:rPr>
          <w:szCs w:val="22"/>
        </w:rPr>
        <w:t xml:space="preserve"> and </w:t>
      </w:r>
      <w:r w:rsidR="00233FB1">
        <w:rPr>
          <w:szCs w:val="22"/>
        </w:rPr>
        <w:t>Australian</w:t>
      </w:r>
      <w:r w:rsidRPr="004E44B6">
        <w:rPr>
          <w:szCs w:val="22"/>
        </w:rPr>
        <w:t>-funded program</w:t>
      </w:r>
      <w:r w:rsidR="0052008A" w:rsidRPr="0068403E">
        <w:rPr>
          <w:b/>
          <w:szCs w:val="22"/>
        </w:rPr>
        <w:t xml:space="preserve"> </w:t>
      </w:r>
      <w:r w:rsidR="0052008A">
        <w:rPr>
          <w:szCs w:val="22"/>
        </w:rPr>
        <w:t xml:space="preserve">is to increase </w:t>
      </w:r>
      <w:r w:rsidR="0052008A" w:rsidRPr="0068403E">
        <w:rPr>
          <w:szCs w:val="22"/>
        </w:rPr>
        <w:t>employment opportunities and employable skills among youth, as well as to work with Egypt’s Ministry of Education and the private sector to implement innovative labour market policies address</w:t>
      </w:r>
      <w:r>
        <w:rPr>
          <w:szCs w:val="22"/>
        </w:rPr>
        <w:t>ing</w:t>
      </w:r>
      <w:r w:rsidR="0052008A" w:rsidRPr="0068403E">
        <w:rPr>
          <w:szCs w:val="22"/>
        </w:rPr>
        <w:t xml:space="preserve"> restraints to youth employment. The</w:t>
      </w:r>
      <w:r>
        <w:rPr>
          <w:szCs w:val="22"/>
        </w:rPr>
        <w:t>se</w:t>
      </w:r>
      <w:r w:rsidR="0052008A" w:rsidRPr="0068403E">
        <w:rPr>
          <w:szCs w:val="22"/>
        </w:rPr>
        <w:t xml:space="preserve"> objectives will be achieved by addressing structural imbalance in Egypt’s labour market and ensuring the demand for labour in the private sector corresponds to qualifications </w:t>
      </w:r>
      <w:r>
        <w:rPr>
          <w:szCs w:val="22"/>
        </w:rPr>
        <w:t>in</w:t>
      </w:r>
      <w:r w:rsidRPr="0068403E">
        <w:rPr>
          <w:szCs w:val="22"/>
        </w:rPr>
        <w:t xml:space="preserve"> </w:t>
      </w:r>
      <w:r w:rsidR="0052008A" w:rsidRPr="0068403E">
        <w:rPr>
          <w:szCs w:val="22"/>
        </w:rPr>
        <w:t>the potential workforce</w:t>
      </w:r>
      <w:r w:rsidR="0052008A">
        <w:rPr>
          <w:szCs w:val="22"/>
        </w:rPr>
        <w:t>.</w:t>
      </w:r>
      <w:r w:rsidR="008D0CBF">
        <w:rPr>
          <w:szCs w:val="22"/>
        </w:rPr>
        <w:t xml:space="preserve"> </w:t>
      </w:r>
      <w:r w:rsidR="0052008A" w:rsidRPr="0068403E">
        <w:rPr>
          <w:b/>
          <w:szCs w:val="22"/>
        </w:rPr>
        <w:t>The project is progressing on schedule and according to agreed objectives.</w:t>
      </w:r>
    </w:p>
    <w:p w14:paraId="464502C4" w14:textId="77777777" w:rsidR="001663B8" w:rsidRDefault="0052008A" w:rsidP="0004714C">
      <w:pPr>
        <w:pStyle w:val="BodyText"/>
      </w:pPr>
      <w:r w:rsidRPr="0068403E">
        <w:t xml:space="preserve">To date the </w:t>
      </w:r>
      <w:r w:rsidRPr="0068403E">
        <w:rPr>
          <w:rFonts w:eastAsiaTheme="minorHAnsi"/>
        </w:rPr>
        <w:t>project</w:t>
      </w:r>
      <w:r w:rsidRPr="0068403E">
        <w:t xml:space="preserve"> has</w:t>
      </w:r>
      <w:r w:rsidR="001663B8">
        <w:t>:</w:t>
      </w:r>
    </w:p>
    <w:p w14:paraId="464502C5" w14:textId="77777777" w:rsidR="001663B8" w:rsidRDefault="0052008A" w:rsidP="004E44B6">
      <w:pPr>
        <w:pStyle w:val="ListBullet"/>
      </w:pPr>
      <w:r w:rsidRPr="0068403E">
        <w:t>set up a planning and coordination unit in the M</w:t>
      </w:r>
      <w:r w:rsidR="001663B8">
        <w:t>inistry of Education</w:t>
      </w:r>
      <w:r w:rsidRPr="0068403E">
        <w:t xml:space="preserve"> to assist the Egyptian Government to develop evidence-based labour market policies</w:t>
      </w:r>
    </w:p>
    <w:p w14:paraId="464502C6" w14:textId="77777777" w:rsidR="001663B8" w:rsidRDefault="001663B8" w:rsidP="004E44B6">
      <w:pPr>
        <w:pStyle w:val="ListBullet"/>
      </w:pPr>
      <w:r>
        <w:t>trained</w:t>
      </w:r>
      <w:r w:rsidR="0052008A" w:rsidRPr="0068403E">
        <w:t xml:space="preserve"> 82 teachers (30</w:t>
      </w:r>
      <w:r>
        <w:t> </w:t>
      </w:r>
      <w:r w:rsidR="0052008A" w:rsidRPr="0068403E">
        <w:t>women) in employment promotion skills</w:t>
      </w:r>
    </w:p>
    <w:p w14:paraId="464502C7" w14:textId="77777777" w:rsidR="0004714C" w:rsidRDefault="001663B8" w:rsidP="004E44B6">
      <w:pPr>
        <w:pStyle w:val="ListBullet"/>
      </w:pPr>
      <w:r>
        <w:t>held</w:t>
      </w:r>
      <w:r w:rsidR="0052008A" w:rsidRPr="0068403E">
        <w:t xml:space="preserve"> a conference</w:t>
      </w:r>
      <w:r>
        <w:t>—</w:t>
      </w:r>
      <w:r w:rsidR="0052008A" w:rsidRPr="0068403E">
        <w:t>Innovative Approaches to Youth Employment</w:t>
      </w:r>
      <w:r>
        <w:t>—</w:t>
      </w:r>
      <w:r w:rsidR="0052008A" w:rsidRPr="0068403E">
        <w:t>in November 2012 with 140</w:t>
      </w:r>
      <w:r>
        <w:t> </w:t>
      </w:r>
      <w:r w:rsidR="0052008A" w:rsidRPr="0068403E">
        <w:t xml:space="preserve">participants (63 women) from government, private sector, and civil society to discuss </w:t>
      </w:r>
      <w:r>
        <w:t>ways</w:t>
      </w:r>
      <w:r w:rsidRPr="0068403E">
        <w:t xml:space="preserve"> </w:t>
      </w:r>
      <w:r w:rsidR="0052008A" w:rsidRPr="0068403E">
        <w:t>to increas</w:t>
      </w:r>
      <w:r>
        <w:t>e</w:t>
      </w:r>
      <w:r w:rsidR="0052008A" w:rsidRPr="0068403E">
        <w:t xml:space="preserve"> unemployment and generate policy recommendations for the Government</w:t>
      </w:r>
      <w:r>
        <w:t xml:space="preserve"> of Egypt</w:t>
      </w:r>
      <w:r w:rsidR="0052008A" w:rsidRPr="0068403E">
        <w:t>.</w:t>
      </w:r>
    </w:p>
    <w:p w14:paraId="464502C8" w14:textId="00454DFF" w:rsidR="0052008A" w:rsidRDefault="001663B8" w:rsidP="0004714C">
      <w:pPr>
        <w:pStyle w:val="BodyText"/>
      </w:pPr>
      <w:r w:rsidRPr="00E87360">
        <w:rPr>
          <w:b/>
        </w:rPr>
        <w:t>Decent Jobs for Egypt’s Young People</w:t>
      </w:r>
      <w:r>
        <w:t>—</w:t>
      </w:r>
      <w:r w:rsidR="00233FB1">
        <w:t>DFAT</w:t>
      </w:r>
      <w:r w:rsidR="0052008A" w:rsidRPr="0068403E">
        <w:t>’s contribution to th</w:t>
      </w:r>
      <w:r>
        <w:t>is</w:t>
      </w:r>
      <w:r w:rsidR="0052008A" w:rsidRPr="0068403E">
        <w:t xml:space="preserve"> I</w:t>
      </w:r>
      <w:r w:rsidR="00D67B4C">
        <w:t>nternational Labour Organization</w:t>
      </w:r>
      <w:r w:rsidR="0052008A" w:rsidRPr="0068403E">
        <w:t xml:space="preserve">’s project aims to increase employment opportunities for young </w:t>
      </w:r>
      <w:r>
        <w:t>wo</w:t>
      </w:r>
      <w:r w:rsidR="0052008A" w:rsidRPr="0068403E">
        <w:t>men and men, especially groups find</w:t>
      </w:r>
      <w:r>
        <w:t>ing</w:t>
      </w:r>
      <w:r w:rsidR="0052008A" w:rsidRPr="0068403E">
        <w:t xml:space="preserve"> it particularly hard to access such opportunities</w:t>
      </w:r>
      <w:r>
        <w:t>. It does this</w:t>
      </w:r>
      <w:r w:rsidR="0052008A" w:rsidRPr="0068403E">
        <w:t xml:space="preserve"> by strengthening regional and local</w:t>
      </w:r>
      <w:r>
        <w:t>-</w:t>
      </w:r>
      <w:r w:rsidR="0052008A" w:rsidRPr="0068403E">
        <w:t xml:space="preserve">level performance in delivering youth employment services in </w:t>
      </w:r>
      <w:r w:rsidR="0052008A" w:rsidRPr="00944155">
        <w:t>three governorates.</w:t>
      </w:r>
      <w:r w:rsidR="0052008A" w:rsidRPr="0068403E">
        <w:t xml:space="preserve"> </w:t>
      </w:r>
    </w:p>
    <w:p w14:paraId="464502C9" w14:textId="77777777" w:rsidR="001663B8" w:rsidRDefault="0052008A" w:rsidP="0004714C">
      <w:pPr>
        <w:pStyle w:val="BodyText"/>
        <w:rPr>
          <w:rFonts w:ascii="Times Roman" w:hAnsi="Times Roman" w:cs="Arial"/>
        </w:rPr>
      </w:pPr>
      <w:r w:rsidRPr="001337B3">
        <w:rPr>
          <w:rFonts w:ascii="Times Roman" w:hAnsi="Times Roman" w:cs="Arial"/>
        </w:rPr>
        <w:t>In November 2012</w:t>
      </w:r>
      <w:r w:rsidR="001663B8">
        <w:rPr>
          <w:rFonts w:ascii="Times Roman" w:hAnsi="Times Roman" w:cs="Arial"/>
        </w:rPr>
        <w:t>,</w:t>
      </w:r>
      <w:r w:rsidRPr="001337B3">
        <w:rPr>
          <w:rFonts w:ascii="Times Roman" w:hAnsi="Times Roman" w:cs="Arial"/>
        </w:rPr>
        <w:t xml:space="preserve"> the initial project inception mission in Aswan</w:t>
      </w:r>
      <w:r w:rsidR="001663B8">
        <w:rPr>
          <w:rFonts w:ascii="Times Roman" w:hAnsi="Times Roman" w:cs="Arial"/>
        </w:rPr>
        <w:t xml:space="preserve"> was completed</w:t>
      </w:r>
      <w:r w:rsidRPr="001337B3">
        <w:rPr>
          <w:rFonts w:ascii="Times Roman" w:hAnsi="Times Roman" w:cs="Arial"/>
        </w:rPr>
        <w:t>, receiving</w:t>
      </w:r>
      <w:r w:rsidR="001663B8">
        <w:rPr>
          <w:rFonts w:ascii="Times Roman" w:hAnsi="Times Roman" w:cs="Arial"/>
        </w:rPr>
        <w:t xml:space="preserve"> the</w:t>
      </w:r>
      <w:r w:rsidRPr="001337B3">
        <w:rPr>
          <w:rFonts w:ascii="Times Roman" w:hAnsi="Times Roman" w:cs="Arial"/>
        </w:rPr>
        <w:t xml:space="preserve"> support of key </w:t>
      </w:r>
      <w:r w:rsidR="001663B8">
        <w:rPr>
          <w:rFonts w:ascii="Times Roman" w:hAnsi="Times Roman" w:cs="Arial"/>
        </w:rPr>
        <w:t>g</w:t>
      </w:r>
      <w:r w:rsidRPr="001337B3">
        <w:rPr>
          <w:rFonts w:ascii="Times Roman" w:hAnsi="Times Roman" w:cs="Arial"/>
        </w:rPr>
        <w:t xml:space="preserve">overnorate officials. The </w:t>
      </w:r>
      <w:r w:rsidR="001663B8">
        <w:rPr>
          <w:rFonts w:ascii="Times Roman" w:hAnsi="Times Roman" w:cs="Arial"/>
        </w:rPr>
        <w:t>project</w:t>
      </w:r>
      <w:r w:rsidR="001663B8" w:rsidRPr="001337B3">
        <w:rPr>
          <w:rFonts w:ascii="Times Roman" w:hAnsi="Times Roman" w:cs="Arial"/>
        </w:rPr>
        <w:t xml:space="preserve"> </w:t>
      </w:r>
      <w:r w:rsidRPr="001337B3">
        <w:rPr>
          <w:rFonts w:ascii="Times Roman" w:hAnsi="Times Roman" w:cs="Arial"/>
        </w:rPr>
        <w:t xml:space="preserve">was expected to begin implementation in early 2013 but </w:t>
      </w:r>
      <w:r w:rsidR="001663B8">
        <w:rPr>
          <w:rFonts w:ascii="Times Roman" w:hAnsi="Times Roman" w:cs="Arial"/>
        </w:rPr>
        <w:t>this</w:t>
      </w:r>
      <w:r w:rsidR="001663B8" w:rsidRPr="001337B3">
        <w:rPr>
          <w:rFonts w:ascii="Times Roman" w:hAnsi="Times Roman" w:cs="Arial"/>
        </w:rPr>
        <w:t xml:space="preserve"> </w:t>
      </w:r>
      <w:r w:rsidRPr="001337B3">
        <w:rPr>
          <w:rFonts w:ascii="Times Roman" w:hAnsi="Times Roman" w:cs="Arial"/>
        </w:rPr>
        <w:t xml:space="preserve">was delayed due to the Governor’s resignation. Securing support from the Governor is critical to implementation </w:t>
      </w:r>
      <w:r w:rsidR="001663B8">
        <w:rPr>
          <w:rFonts w:ascii="Times Roman" w:hAnsi="Times Roman" w:cs="Arial"/>
        </w:rPr>
        <w:t>since</w:t>
      </w:r>
      <w:r w:rsidR="001663B8" w:rsidRPr="001337B3">
        <w:rPr>
          <w:rFonts w:ascii="Times Roman" w:hAnsi="Times Roman" w:cs="Arial"/>
        </w:rPr>
        <w:t xml:space="preserve"> </w:t>
      </w:r>
      <w:r w:rsidRPr="001337B3">
        <w:rPr>
          <w:rFonts w:ascii="Times Roman" w:hAnsi="Times Roman" w:cs="Arial"/>
        </w:rPr>
        <w:t xml:space="preserve">activities in Egypt are not permitted to </w:t>
      </w:r>
      <w:r w:rsidR="001663B8">
        <w:rPr>
          <w:rFonts w:ascii="Times Roman" w:hAnsi="Times Roman" w:cs="Arial"/>
        </w:rPr>
        <w:t>start</w:t>
      </w:r>
      <w:r w:rsidR="001663B8" w:rsidRPr="001337B3">
        <w:rPr>
          <w:rFonts w:ascii="Times Roman" w:hAnsi="Times Roman" w:cs="Arial"/>
        </w:rPr>
        <w:t xml:space="preserve"> </w:t>
      </w:r>
      <w:r w:rsidRPr="001337B3">
        <w:rPr>
          <w:rFonts w:ascii="Times Roman" w:hAnsi="Times Roman" w:cs="Arial"/>
        </w:rPr>
        <w:t xml:space="preserve">without Government approval. </w:t>
      </w:r>
    </w:p>
    <w:p w14:paraId="464502CA" w14:textId="7DCDF28B" w:rsidR="0052008A" w:rsidRDefault="0052008A" w:rsidP="0004714C">
      <w:pPr>
        <w:pStyle w:val="BodyText"/>
        <w:rPr>
          <w:rFonts w:ascii="Times Roman" w:hAnsi="Times Roman" w:cs="Arial"/>
        </w:rPr>
      </w:pPr>
      <w:r w:rsidRPr="001337B3">
        <w:rPr>
          <w:rFonts w:ascii="Times Roman" w:hAnsi="Times Roman" w:cs="Arial"/>
        </w:rPr>
        <w:t xml:space="preserve">The </w:t>
      </w:r>
      <w:r w:rsidR="001663B8">
        <w:rPr>
          <w:rFonts w:ascii="Times Roman" w:hAnsi="Times Roman" w:cs="Arial"/>
        </w:rPr>
        <w:t>project</w:t>
      </w:r>
      <w:r w:rsidR="001663B8" w:rsidRPr="001337B3">
        <w:rPr>
          <w:rFonts w:ascii="Times Roman" w:hAnsi="Times Roman" w:cs="Arial"/>
        </w:rPr>
        <w:t xml:space="preserve"> </w:t>
      </w:r>
      <w:r w:rsidRPr="001337B3">
        <w:rPr>
          <w:rFonts w:ascii="Times Roman" w:hAnsi="Times Roman" w:cs="Arial"/>
        </w:rPr>
        <w:t xml:space="preserve">also completed initial planning for engagement with local partners. Challenges have arisen </w:t>
      </w:r>
      <w:r w:rsidR="001663B8">
        <w:rPr>
          <w:rFonts w:ascii="Times Roman" w:hAnsi="Times Roman" w:cs="Arial"/>
        </w:rPr>
        <w:t>because</w:t>
      </w:r>
      <w:r w:rsidRPr="001337B3">
        <w:rPr>
          <w:rFonts w:ascii="Times Roman" w:hAnsi="Times Roman" w:cs="Arial"/>
        </w:rPr>
        <w:t xml:space="preserve"> local Government agencies, civil society organisations and </w:t>
      </w:r>
      <w:r w:rsidR="001663B8">
        <w:rPr>
          <w:rFonts w:ascii="Times Roman" w:hAnsi="Times Roman" w:cs="Arial"/>
        </w:rPr>
        <w:t>non-government organisation</w:t>
      </w:r>
      <w:r w:rsidRPr="001337B3">
        <w:rPr>
          <w:rFonts w:ascii="Times Roman" w:hAnsi="Times Roman" w:cs="Arial"/>
        </w:rPr>
        <w:t xml:space="preserve"> in Aswan have little capacity and resources. The I</w:t>
      </w:r>
      <w:r w:rsidR="00D67B4C">
        <w:rPr>
          <w:rFonts w:ascii="Times Roman" w:hAnsi="Times Roman" w:cs="Arial"/>
        </w:rPr>
        <w:t>nternational Labour Organization</w:t>
      </w:r>
      <w:r w:rsidRPr="001337B3">
        <w:rPr>
          <w:rFonts w:ascii="Times Roman" w:hAnsi="Times Roman" w:cs="Arial"/>
        </w:rPr>
        <w:t xml:space="preserve"> increased the number of activity staff to provide technical expertise to support implementation.</w:t>
      </w:r>
      <w:r w:rsidR="008D0CBF">
        <w:rPr>
          <w:rFonts w:ascii="Times Roman" w:hAnsi="Times Roman" w:cs="Arial"/>
        </w:rPr>
        <w:t xml:space="preserve"> </w:t>
      </w:r>
      <w:r w:rsidRPr="001337B3">
        <w:rPr>
          <w:rFonts w:ascii="Times Roman" w:hAnsi="Times Roman" w:cs="Arial"/>
        </w:rPr>
        <w:t xml:space="preserve">A </w:t>
      </w:r>
      <w:r>
        <w:rPr>
          <w:rFonts w:ascii="Times Roman" w:hAnsi="Times Roman" w:cs="Arial"/>
        </w:rPr>
        <w:t>June 2013</w:t>
      </w:r>
      <w:r w:rsidRPr="001337B3">
        <w:rPr>
          <w:rFonts w:ascii="Times Roman" w:hAnsi="Times Roman" w:cs="Arial"/>
        </w:rPr>
        <w:t xml:space="preserve"> monitoring visit by </w:t>
      </w:r>
      <w:r w:rsidR="00233FB1">
        <w:rPr>
          <w:rFonts w:ascii="Times Roman" w:hAnsi="Times Roman" w:cs="Arial"/>
        </w:rPr>
        <w:t>the</w:t>
      </w:r>
      <w:r w:rsidRPr="001337B3">
        <w:rPr>
          <w:rFonts w:ascii="Times Roman" w:hAnsi="Times Roman" w:cs="Arial"/>
        </w:rPr>
        <w:t xml:space="preserve"> MENA section (Cairo and Canberra) saw that </w:t>
      </w:r>
      <w:r w:rsidRPr="00637AF8">
        <w:rPr>
          <w:rFonts w:ascii="Times Roman" w:hAnsi="Times Roman" w:cs="Arial"/>
        </w:rPr>
        <w:t xml:space="preserve">early progress had been made in </w:t>
      </w:r>
      <w:r w:rsidR="001663B8">
        <w:rPr>
          <w:rFonts w:ascii="Times Roman" w:hAnsi="Times Roman" w:cs="Arial"/>
        </w:rPr>
        <w:t>project</w:t>
      </w:r>
      <w:r w:rsidR="001663B8" w:rsidRPr="00637AF8">
        <w:rPr>
          <w:rFonts w:ascii="Times Roman" w:hAnsi="Times Roman" w:cs="Arial"/>
        </w:rPr>
        <w:t xml:space="preserve"> </w:t>
      </w:r>
      <w:r w:rsidRPr="00637AF8">
        <w:rPr>
          <w:rFonts w:ascii="Times Roman" w:hAnsi="Times Roman" w:cs="Arial"/>
        </w:rPr>
        <w:t>implementation.</w:t>
      </w:r>
      <w:r w:rsidR="008D0CBF">
        <w:rPr>
          <w:rFonts w:ascii="Times Roman" w:hAnsi="Times Roman" w:cs="Arial"/>
        </w:rPr>
        <w:t xml:space="preserve"> </w:t>
      </w:r>
      <w:r w:rsidRPr="00637AF8">
        <w:rPr>
          <w:rFonts w:ascii="Times Roman" w:hAnsi="Times Roman" w:cs="Arial"/>
        </w:rPr>
        <w:t xml:space="preserve">Financial management and </w:t>
      </w:r>
      <w:r w:rsidR="001663B8">
        <w:rPr>
          <w:rFonts w:ascii="Times Roman" w:hAnsi="Times Roman" w:cs="Arial"/>
        </w:rPr>
        <w:t xml:space="preserve">training to market </w:t>
      </w:r>
      <w:r w:rsidRPr="00637AF8">
        <w:rPr>
          <w:rFonts w:ascii="Times Roman" w:hAnsi="Times Roman" w:cs="Arial"/>
        </w:rPr>
        <w:t>product</w:t>
      </w:r>
      <w:r w:rsidR="001663B8">
        <w:rPr>
          <w:rFonts w:ascii="Times Roman" w:hAnsi="Times Roman" w:cs="Arial"/>
        </w:rPr>
        <w:t>s</w:t>
      </w:r>
      <w:r w:rsidRPr="00637AF8">
        <w:rPr>
          <w:rFonts w:ascii="Times Roman" w:hAnsi="Times Roman" w:cs="Arial"/>
        </w:rPr>
        <w:t xml:space="preserve"> </w:t>
      </w:r>
      <w:r w:rsidR="001663B8">
        <w:rPr>
          <w:rFonts w:ascii="Times Roman" w:hAnsi="Times Roman" w:cs="Arial"/>
        </w:rPr>
        <w:t xml:space="preserve">was underway </w:t>
      </w:r>
      <w:r w:rsidRPr="00637AF8">
        <w:rPr>
          <w:rFonts w:ascii="Times Roman" w:hAnsi="Times Roman" w:cs="Arial"/>
        </w:rPr>
        <w:t xml:space="preserve">for micro-entrepreneurs, as </w:t>
      </w:r>
      <w:r w:rsidR="001663B8">
        <w:rPr>
          <w:rFonts w:ascii="Times Roman" w:hAnsi="Times Roman" w:cs="Arial"/>
        </w:rPr>
        <w:t>was</w:t>
      </w:r>
      <w:r w:rsidR="001663B8" w:rsidRPr="00637AF8">
        <w:rPr>
          <w:rFonts w:ascii="Times Roman" w:hAnsi="Times Roman" w:cs="Arial"/>
        </w:rPr>
        <w:t xml:space="preserve"> </w:t>
      </w:r>
      <w:r w:rsidRPr="00637AF8">
        <w:rPr>
          <w:rFonts w:ascii="Times Roman" w:hAnsi="Times Roman" w:cs="Arial"/>
        </w:rPr>
        <w:t>training in greenhouse horticulture for students and farmers seeking to improve crop productivity and quality.</w:t>
      </w:r>
      <w:r>
        <w:rPr>
          <w:rFonts w:ascii="Times Roman" w:hAnsi="Times Roman" w:cs="Arial"/>
        </w:rPr>
        <w:t xml:space="preserve"> Implementation </w:t>
      </w:r>
      <w:r w:rsidRPr="001337B3">
        <w:rPr>
          <w:rFonts w:ascii="Times Roman" w:hAnsi="Times Roman" w:cs="Arial"/>
        </w:rPr>
        <w:t>timelines may have to be adjusted</w:t>
      </w:r>
      <w:r>
        <w:rPr>
          <w:rFonts w:ascii="Times Roman" w:hAnsi="Times Roman" w:cs="Arial"/>
        </w:rPr>
        <w:t xml:space="preserve"> as a result of the delayed </w:t>
      </w:r>
      <w:r w:rsidR="001663B8">
        <w:rPr>
          <w:rFonts w:ascii="Times Roman" w:hAnsi="Times Roman" w:cs="Arial"/>
        </w:rPr>
        <w:t>start. T</w:t>
      </w:r>
      <w:r>
        <w:rPr>
          <w:rFonts w:ascii="Times Roman" w:hAnsi="Times Roman" w:cs="Arial"/>
        </w:rPr>
        <w:t xml:space="preserve">he project will assess this in the </w:t>
      </w:r>
      <w:r w:rsidRPr="001337B3">
        <w:rPr>
          <w:rFonts w:ascii="Times Roman" w:hAnsi="Times Roman" w:cs="Arial"/>
        </w:rPr>
        <w:t xml:space="preserve">first quarter of </w:t>
      </w:r>
      <w:r>
        <w:rPr>
          <w:rFonts w:ascii="Times Roman" w:hAnsi="Times Roman" w:cs="Arial"/>
        </w:rPr>
        <w:t>2013</w:t>
      </w:r>
      <w:r w:rsidR="001663B8">
        <w:rPr>
          <w:rFonts w:ascii="Times Roman" w:hAnsi="Times Roman" w:cs="Arial"/>
        </w:rPr>
        <w:t>–</w:t>
      </w:r>
      <w:r>
        <w:rPr>
          <w:rFonts w:ascii="Times Roman" w:hAnsi="Times Roman" w:cs="Arial"/>
        </w:rPr>
        <w:t>14</w:t>
      </w:r>
      <w:r w:rsidRPr="001337B3">
        <w:rPr>
          <w:rFonts w:ascii="Times Roman" w:hAnsi="Times Roman" w:cs="Arial"/>
        </w:rPr>
        <w:t>.</w:t>
      </w:r>
    </w:p>
    <w:p w14:paraId="464502CB" w14:textId="77777777" w:rsidR="00007F50" w:rsidRDefault="00FA078A" w:rsidP="00007F50">
      <w:pPr>
        <w:pStyle w:val="Heading3"/>
        <w:spacing w:after="0"/>
      </w:pPr>
      <w:r w:rsidRPr="0004714C">
        <w:t>The Iraq Agriculture Program</w:t>
      </w:r>
      <w:r w:rsidR="00A535B4" w:rsidRPr="0004714C">
        <w:t xml:space="preserve">, managed by </w:t>
      </w:r>
      <w:r w:rsidR="001663B8">
        <w:t xml:space="preserve">the </w:t>
      </w:r>
      <w:r w:rsidR="00A535B4" w:rsidRPr="0004714C">
        <w:t>ACIAR</w:t>
      </w:r>
    </w:p>
    <w:p w14:paraId="464502CC" w14:textId="5C081FDD" w:rsidR="00B21368" w:rsidRDefault="00B21368" w:rsidP="00007F50">
      <w:pPr>
        <w:pStyle w:val="Heading3"/>
        <w:spacing w:before="0"/>
      </w:pPr>
      <w:r>
        <w:t>($</w:t>
      </w:r>
      <w:r w:rsidR="004E4853">
        <w:t>4.93</w:t>
      </w:r>
      <w:r>
        <w:t xml:space="preserve"> million in total over the </w:t>
      </w:r>
      <w:r w:rsidR="00ED2784">
        <w:t xml:space="preserve">APPR </w:t>
      </w:r>
      <w:r>
        <w:t>period)</w:t>
      </w:r>
    </w:p>
    <w:p w14:paraId="464502CD" w14:textId="77777777" w:rsidR="001663B8" w:rsidRDefault="001663B8" w:rsidP="004E44B6">
      <w:r w:rsidRPr="004E44B6">
        <w:rPr>
          <w:rFonts w:eastAsia="Times New Roman"/>
          <w:sz w:val="22"/>
          <w:szCs w:val="22"/>
        </w:rPr>
        <w:t xml:space="preserve">This program comprises three </w:t>
      </w:r>
      <w:r>
        <w:rPr>
          <w:rFonts w:eastAsia="Times New Roman"/>
          <w:sz w:val="22"/>
          <w:szCs w:val="22"/>
        </w:rPr>
        <w:t>projects</w:t>
      </w:r>
      <w:r w:rsidRPr="004E44B6">
        <w:rPr>
          <w:rFonts w:eastAsia="Times New Roman"/>
          <w:sz w:val="22"/>
          <w:szCs w:val="22"/>
        </w:rPr>
        <w:t>, outlined below</w:t>
      </w:r>
      <w:r>
        <w:t>:</w:t>
      </w:r>
    </w:p>
    <w:p w14:paraId="464502CE" w14:textId="77777777" w:rsidR="003172D7" w:rsidRPr="0004714C" w:rsidRDefault="008477BD" w:rsidP="004E44B6">
      <w:r>
        <w:t xml:space="preserve"> </w:t>
      </w:r>
    </w:p>
    <w:p w14:paraId="464502CF" w14:textId="7E44F7E5" w:rsidR="00A535B4" w:rsidRDefault="00A535B4" w:rsidP="0004714C">
      <w:pPr>
        <w:pStyle w:val="BodyText"/>
        <w:rPr>
          <w:szCs w:val="22"/>
        </w:rPr>
      </w:pPr>
      <w:r w:rsidRPr="0004714C">
        <w:rPr>
          <w:i/>
          <w:szCs w:val="22"/>
        </w:rPr>
        <w:t xml:space="preserve">i) </w:t>
      </w:r>
      <w:r w:rsidR="00725032" w:rsidRPr="0004714C">
        <w:rPr>
          <w:i/>
          <w:szCs w:val="22"/>
        </w:rPr>
        <w:t>Conservation Cropping Systems in Northern Iraq</w:t>
      </w:r>
      <w:r w:rsidR="006E1DE6" w:rsidRPr="0004714C">
        <w:rPr>
          <w:i/>
          <w:szCs w:val="22"/>
        </w:rPr>
        <w:t xml:space="preserve"> ($2.95 million over </w:t>
      </w:r>
      <w:r w:rsidR="008477BD">
        <w:rPr>
          <w:i/>
          <w:szCs w:val="22"/>
        </w:rPr>
        <w:t xml:space="preserve">the </w:t>
      </w:r>
      <w:r w:rsidR="00ED2784">
        <w:rPr>
          <w:i/>
          <w:szCs w:val="22"/>
        </w:rPr>
        <w:t xml:space="preserve">APPR </w:t>
      </w:r>
      <w:r w:rsidR="006E1DE6" w:rsidRPr="0004714C">
        <w:rPr>
          <w:i/>
          <w:szCs w:val="22"/>
        </w:rPr>
        <w:t>period)</w:t>
      </w:r>
      <w:r>
        <w:rPr>
          <w:szCs w:val="22"/>
        </w:rPr>
        <w:t xml:space="preserve">  </w:t>
      </w:r>
      <w:r w:rsidR="008477BD">
        <w:rPr>
          <w:szCs w:val="22"/>
        </w:rPr>
        <w:t>D</w:t>
      </w:r>
      <w:r w:rsidRPr="00A535B4">
        <w:rPr>
          <w:szCs w:val="22"/>
        </w:rPr>
        <w:t>elivered in partnership with the ACIAR</w:t>
      </w:r>
      <w:r w:rsidR="001663B8">
        <w:rPr>
          <w:szCs w:val="22"/>
        </w:rPr>
        <w:t>, this project</w:t>
      </w:r>
      <w:r w:rsidRPr="00A535B4">
        <w:rPr>
          <w:szCs w:val="22"/>
        </w:rPr>
        <w:t xml:space="preserve"> seeks to improve conservation cropping practices and techniques by Iraqi farmers </w:t>
      </w:r>
      <w:r w:rsidR="001663B8">
        <w:rPr>
          <w:szCs w:val="22"/>
        </w:rPr>
        <w:t>so they can</w:t>
      </w:r>
      <w:r w:rsidR="001663B8" w:rsidRPr="00A535B4">
        <w:rPr>
          <w:szCs w:val="22"/>
        </w:rPr>
        <w:t xml:space="preserve"> </w:t>
      </w:r>
      <w:r w:rsidRPr="00A535B4">
        <w:rPr>
          <w:szCs w:val="22"/>
        </w:rPr>
        <w:t>increase crop productivity, profitability and sustainability in the dry</w:t>
      </w:r>
      <w:r w:rsidR="007E6B55">
        <w:rPr>
          <w:szCs w:val="22"/>
        </w:rPr>
        <w:t>-</w:t>
      </w:r>
      <w:r w:rsidRPr="00A535B4">
        <w:rPr>
          <w:szCs w:val="22"/>
        </w:rPr>
        <w:t>lands of northern Iraq.</w:t>
      </w:r>
      <w:r w:rsidR="008D0CBF">
        <w:rPr>
          <w:szCs w:val="22"/>
        </w:rPr>
        <w:t xml:space="preserve"> </w:t>
      </w:r>
      <w:r w:rsidR="00E85F28">
        <w:rPr>
          <w:szCs w:val="22"/>
        </w:rPr>
        <w:t xml:space="preserve">The project is progressing well, despite ongoing conflict and civil unrest in Syria and Iraq, and most planned outputs </w:t>
      </w:r>
      <w:r w:rsidR="001663B8">
        <w:rPr>
          <w:szCs w:val="22"/>
        </w:rPr>
        <w:t>were</w:t>
      </w:r>
      <w:r w:rsidR="00E85F28">
        <w:rPr>
          <w:szCs w:val="22"/>
        </w:rPr>
        <w:t xml:space="preserve"> achieved </w:t>
      </w:r>
      <w:r w:rsidR="001663B8">
        <w:rPr>
          <w:szCs w:val="22"/>
        </w:rPr>
        <w:t>after</w:t>
      </w:r>
      <w:r w:rsidR="00E85F28">
        <w:rPr>
          <w:szCs w:val="22"/>
        </w:rPr>
        <w:t xml:space="preserve"> </w:t>
      </w:r>
      <w:r w:rsidR="001663B8">
        <w:t xml:space="preserve">International Centre for Agricultural Research in Dry Areas </w:t>
      </w:r>
      <w:r w:rsidR="00E85F28">
        <w:rPr>
          <w:szCs w:val="22"/>
        </w:rPr>
        <w:t>staff</w:t>
      </w:r>
      <w:r w:rsidR="001663B8">
        <w:rPr>
          <w:szCs w:val="22"/>
        </w:rPr>
        <w:t xml:space="preserve"> were relocated</w:t>
      </w:r>
      <w:r w:rsidR="00E85F28">
        <w:rPr>
          <w:szCs w:val="22"/>
        </w:rPr>
        <w:t xml:space="preserve"> from </w:t>
      </w:r>
      <w:r w:rsidR="00E85F28">
        <w:rPr>
          <w:szCs w:val="22"/>
        </w:rPr>
        <w:lastRenderedPageBreak/>
        <w:t>Syria to Jordan and other regional offices.</w:t>
      </w:r>
      <w:r w:rsidR="008D0CBF">
        <w:rPr>
          <w:szCs w:val="22"/>
        </w:rPr>
        <w:t xml:space="preserve"> </w:t>
      </w:r>
      <w:r w:rsidR="00600C7A" w:rsidRPr="00637AF8">
        <w:rPr>
          <w:szCs w:val="22"/>
        </w:rPr>
        <w:t xml:space="preserve">During the </w:t>
      </w:r>
      <w:r w:rsidR="00ED2784">
        <w:rPr>
          <w:szCs w:val="22"/>
        </w:rPr>
        <w:t xml:space="preserve">APPR </w:t>
      </w:r>
      <w:r w:rsidR="00600C7A" w:rsidRPr="00637AF8">
        <w:rPr>
          <w:szCs w:val="22"/>
        </w:rPr>
        <w:t>period the project reported</w:t>
      </w:r>
      <w:r w:rsidR="001663B8">
        <w:rPr>
          <w:szCs w:val="22"/>
        </w:rPr>
        <w:t xml:space="preserve"> that</w:t>
      </w:r>
      <w:r w:rsidR="00600C7A" w:rsidRPr="00637AF8">
        <w:rPr>
          <w:szCs w:val="22"/>
        </w:rPr>
        <w:t xml:space="preserve"> more than 600 farmers in Iraq and Syria had benefited from zero-tillage</w:t>
      </w:r>
      <w:r w:rsidR="00540363" w:rsidRPr="00637AF8">
        <w:rPr>
          <w:szCs w:val="22"/>
        </w:rPr>
        <w:t xml:space="preserve"> </w:t>
      </w:r>
      <w:r w:rsidR="00600C7A" w:rsidRPr="00637AF8">
        <w:rPr>
          <w:szCs w:val="22"/>
        </w:rPr>
        <w:t xml:space="preserve">techniques and </w:t>
      </w:r>
      <w:r w:rsidR="001663B8">
        <w:rPr>
          <w:szCs w:val="22"/>
        </w:rPr>
        <w:t xml:space="preserve">that the </w:t>
      </w:r>
      <w:r w:rsidR="00600C7A" w:rsidRPr="00637AF8">
        <w:rPr>
          <w:szCs w:val="22"/>
        </w:rPr>
        <w:t xml:space="preserve">farm land area now </w:t>
      </w:r>
      <w:r w:rsidR="008477BD">
        <w:rPr>
          <w:szCs w:val="22"/>
        </w:rPr>
        <w:t>using zero-tillage</w:t>
      </w:r>
      <w:r w:rsidR="00600C7A" w:rsidRPr="00637AF8">
        <w:rPr>
          <w:szCs w:val="22"/>
        </w:rPr>
        <w:t xml:space="preserve"> farming</w:t>
      </w:r>
      <w:r w:rsidR="001663B8">
        <w:rPr>
          <w:szCs w:val="22"/>
        </w:rPr>
        <w:t xml:space="preserve"> had increased by 38 per cent (</w:t>
      </w:r>
      <w:r w:rsidR="00600C7A" w:rsidRPr="00637AF8">
        <w:rPr>
          <w:szCs w:val="22"/>
        </w:rPr>
        <w:t>7800 hectares to 10</w:t>
      </w:r>
      <w:r w:rsidR="008477BD">
        <w:rPr>
          <w:szCs w:val="22"/>
        </w:rPr>
        <w:t xml:space="preserve"> </w:t>
      </w:r>
      <w:r w:rsidR="00600C7A" w:rsidRPr="00637AF8">
        <w:rPr>
          <w:szCs w:val="22"/>
        </w:rPr>
        <w:t>800 hectares</w:t>
      </w:r>
      <w:r w:rsidR="001663B8">
        <w:rPr>
          <w:szCs w:val="22"/>
        </w:rPr>
        <w:t>)</w:t>
      </w:r>
      <w:r w:rsidR="00600C7A" w:rsidRPr="00637AF8">
        <w:rPr>
          <w:szCs w:val="22"/>
        </w:rPr>
        <w:t>.</w:t>
      </w:r>
      <w:r w:rsidR="00540363" w:rsidRPr="00637AF8">
        <w:rPr>
          <w:rStyle w:val="FootnoteReference"/>
        </w:rPr>
        <w:footnoteReference w:id="15"/>
      </w:r>
      <w:r w:rsidR="008D0CBF">
        <w:rPr>
          <w:szCs w:val="22"/>
        </w:rPr>
        <w:t xml:space="preserve"> </w:t>
      </w:r>
    </w:p>
    <w:p w14:paraId="464502D0" w14:textId="31690A4B" w:rsidR="008477BD" w:rsidRDefault="00A535B4" w:rsidP="0004714C">
      <w:pPr>
        <w:pStyle w:val="BodyText"/>
        <w:rPr>
          <w:i/>
        </w:rPr>
      </w:pPr>
      <w:r w:rsidRPr="0004714C">
        <w:rPr>
          <w:i/>
        </w:rPr>
        <w:t>iii)</w:t>
      </w:r>
      <w:r w:rsidR="008D0CBF">
        <w:rPr>
          <w:i/>
        </w:rPr>
        <w:t xml:space="preserve"> </w:t>
      </w:r>
      <w:r w:rsidRPr="0004714C">
        <w:rPr>
          <w:i/>
        </w:rPr>
        <w:t>Soil Salinity Management in Iraq</w:t>
      </w:r>
      <w:r w:rsidR="006E1DE6" w:rsidRPr="0004714C">
        <w:rPr>
          <w:i/>
        </w:rPr>
        <w:t xml:space="preserve"> ($1 million over </w:t>
      </w:r>
      <w:r w:rsidR="008477BD">
        <w:rPr>
          <w:i/>
        </w:rPr>
        <w:t xml:space="preserve">the </w:t>
      </w:r>
      <w:r w:rsidR="00ED2784">
        <w:rPr>
          <w:i/>
        </w:rPr>
        <w:t xml:space="preserve">APPR </w:t>
      </w:r>
      <w:r w:rsidR="006E1DE6" w:rsidRPr="0004714C">
        <w:rPr>
          <w:i/>
        </w:rPr>
        <w:t>period)</w:t>
      </w:r>
    </w:p>
    <w:p w14:paraId="464502D1" w14:textId="77777777" w:rsidR="001663B8" w:rsidRDefault="008477BD" w:rsidP="0004714C">
      <w:pPr>
        <w:pStyle w:val="BodyText"/>
      </w:pPr>
      <w:r>
        <w:t>M</w:t>
      </w:r>
      <w:r w:rsidR="00A535B4" w:rsidRPr="00A535B4">
        <w:t>anaged by ACIAR to improve the Government of Iraq’s</w:t>
      </w:r>
      <w:r w:rsidR="007E6B55">
        <w:t xml:space="preserve"> </w:t>
      </w:r>
      <w:r w:rsidR="00A535B4" w:rsidRPr="00A535B4">
        <w:t>capacity for salinity management in central and southern Iraq (the ‘food bowl’ of the Mesopotamian Basin)</w:t>
      </w:r>
      <w:r w:rsidR="001663B8">
        <w:t xml:space="preserve"> this </w:t>
      </w:r>
      <w:r w:rsidR="00E85F28">
        <w:t xml:space="preserve"> project has</w:t>
      </w:r>
      <w:r w:rsidR="001663B8">
        <w:t>:</w:t>
      </w:r>
    </w:p>
    <w:p w14:paraId="464502D2" w14:textId="77777777" w:rsidR="001663B8" w:rsidRDefault="00E85F28" w:rsidP="004E44B6">
      <w:pPr>
        <w:pStyle w:val="ListBullet"/>
      </w:pPr>
      <w:r>
        <w:t xml:space="preserve">prepared </w:t>
      </w:r>
      <w:r w:rsidR="001663B8">
        <w:t xml:space="preserve">a </w:t>
      </w:r>
      <w:r>
        <w:t xml:space="preserve">detailed analysis of the </w:t>
      </w:r>
      <w:r w:rsidR="001663B8">
        <w:t xml:space="preserve">country’s </w:t>
      </w:r>
      <w:r>
        <w:t>salinity problem</w:t>
      </w:r>
    </w:p>
    <w:p w14:paraId="464502D3" w14:textId="77777777" w:rsidR="001663B8" w:rsidRDefault="00E85F28" w:rsidP="004E44B6">
      <w:pPr>
        <w:pStyle w:val="ListBullet"/>
      </w:pPr>
      <w:r>
        <w:t>outlined potential solutions in a framework for a national integrated approach to salinity management</w:t>
      </w:r>
      <w:r w:rsidR="00AA37FB">
        <w:t xml:space="preserve"> and investment options for the Government to consider</w:t>
      </w:r>
    </w:p>
    <w:p w14:paraId="464502D4" w14:textId="77777777" w:rsidR="00A535B4" w:rsidRDefault="00520F07" w:rsidP="004E44B6">
      <w:pPr>
        <w:pStyle w:val="ListBullet"/>
      </w:pPr>
      <w:r>
        <w:t>support</w:t>
      </w:r>
      <w:r w:rsidR="001663B8">
        <w:t>ed</w:t>
      </w:r>
      <w:r w:rsidR="00AA37FB">
        <w:t xml:space="preserve"> a long-term strategy to combat salinity.</w:t>
      </w:r>
      <w:r w:rsidR="008D0CBF">
        <w:t xml:space="preserve"> </w:t>
      </w:r>
    </w:p>
    <w:p w14:paraId="464502D5" w14:textId="25BCBCAF" w:rsidR="008477BD" w:rsidRDefault="00A535B4" w:rsidP="0004714C">
      <w:pPr>
        <w:pStyle w:val="BodyText"/>
        <w:rPr>
          <w:lang w:eastAsia="en-US"/>
        </w:rPr>
      </w:pPr>
      <w:r w:rsidRPr="0004714C">
        <w:rPr>
          <w:i/>
          <w:lang w:eastAsia="en-US"/>
        </w:rPr>
        <w:t>iv)</w:t>
      </w:r>
      <w:r w:rsidR="008D0CBF">
        <w:rPr>
          <w:i/>
          <w:lang w:eastAsia="en-US"/>
        </w:rPr>
        <w:t xml:space="preserve"> </w:t>
      </w:r>
      <w:r w:rsidR="00620CE4" w:rsidRPr="0004714C">
        <w:rPr>
          <w:i/>
          <w:lang w:eastAsia="en-US"/>
        </w:rPr>
        <w:t>I</w:t>
      </w:r>
      <w:r w:rsidRPr="0004714C">
        <w:rPr>
          <w:i/>
          <w:lang w:eastAsia="en-US"/>
        </w:rPr>
        <w:t>mproving Small Ruminant Productivity in Iraq</w:t>
      </w:r>
      <w:r w:rsidR="006E1DE6" w:rsidRPr="0004714C">
        <w:rPr>
          <w:i/>
          <w:lang w:eastAsia="en-US"/>
        </w:rPr>
        <w:t xml:space="preserve"> (0.98 million over</w:t>
      </w:r>
      <w:r w:rsidR="008477BD">
        <w:rPr>
          <w:i/>
          <w:lang w:eastAsia="en-US"/>
        </w:rPr>
        <w:t xml:space="preserve"> the</w:t>
      </w:r>
      <w:r w:rsidR="006E1DE6" w:rsidRPr="0004714C">
        <w:rPr>
          <w:i/>
          <w:lang w:eastAsia="en-US"/>
        </w:rPr>
        <w:t xml:space="preserve"> </w:t>
      </w:r>
      <w:r w:rsidR="00ED2784">
        <w:rPr>
          <w:i/>
          <w:lang w:eastAsia="en-US"/>
        </w:rPr>
        <w:t xml:space="preserve">APPR </w:t>
      </w:r>
      <w:r w:rsidR="006E1DE6" w:rsidRPr="0004714C">
        <w:rPr>
          <w:i/>
          <w:lang w:eastAsia="en-US"/>
        </w:rPr>
        <w:t>period)</w:t>
      </w:r>
      <w:r>
        <w:rPr>
          <w:lang w:eastAsia="en-US"/>
        </w:rPr>
        <w:t xml:space="preserve"> </w:t>
      </w:r>
    </w:p>
    <w:p w14:paraId="464502D6" w14:textId="77777777" w:rsidR="00A535B4" w:rsidRPr="00A535B4" w:rsidRDefault="008477BD" w:rsidP="0004714C">
      <w:pPr>
        <w:pStyle w:val="BodyText"/>
      </w:pPr>
      <w:r>
        <w:rPr>
          <w:lang w:eastAsia="en-US"/>
        </w:rPr>
        <w:t>M</w:t>
      </w:r>
      <w:r w:rsidR="00A535B4">
        <w:rPr>
          <w:lang w:eastAsia="en-US"/>
        </w:rPr>
        <w:t xml:space="preserve">anaged by </w:t>
      </w:r>
      <w:r w:rsidR="00A535B4" w:rsidRPr="00A535B4">
        <w:rPr>
          <w:lang w:eastAsia="en-US"/>
        </w:rPr>
        <w:t>ACIAR to support research aimed at increasing animal productivity through improved feed systems</w:t>
      </w:r>
      <w:r w:rsidR="00B21368">
        <w:rPr>
          <w:lang w:eastAsia="en-US"/>
        </w:rPr>
        <w:t>, this project s</w:t>
      </w:r>
      <w:r w:rsidR="00A535B4" w:rsidRPr="00A535B4">
        <w:rPr>
          <w:lang w:eastAsia="en-US"/>
        </w:rPr>
        <w:t>pecifically</w:t>
      </w:r>
      <w:r w:rsidR="00A535B4">
        <w:rPr>
          <w:lang w:eastAsia="en-US"/>
        </w:rPr>
        <w:t xml:space="preserve"> seeks to </w:t>
      </w:r>
      <w:r w:rsidR="00A535B4" w:rsidRPr="00A535B4">
        <w:rPr>
          <w:lang w:eastAsia="en-US"/>
        </w:rPr>
        <w:t xml:space="preserve">identify and develop best-bet ways </w:t>
      </w:r>
      <w:r w:rsidR="00A535B4">
        <w:rPr>
          <w:lang w:eastAsia="en-US"/>
        </w:rPr>
        <w:t>to</w:t>
      </w:r>
      <w:r w:rsidR="00A535B4" w:rsidRPr="00A535B4">
        <w:rPr>
          <w:lang w:eastAsia="en-US"/>
        </w:rPr>
        <w:t xml:space="preserve"> increas</w:t>
      </w:r>
      <w:r w:rsidR="00A535B4">
        <w:rPr>
          <w:lang w:eastAsia="en-US"/>
        </w:rPr>
        <w:t>e</w:t>
      </w:r>
      <w:r w:rsidR="00A535B4" w:rsidRPr="00A535B4">
        <w:rPr>
          <w:lang w:eastAsia="en-US"/>
        </w:rPr>
        <w:t xml:space="preserve"> fodder production</w:t>
      </w:r>
      <w:r w:rsidR="00B21368">
        <w:rPr>
          <w:lang w:eastAsia="en-US"/>
        </w:rPr>
        <w:t xml:space="preserve"> and </w:t>
      </w:r>
      <w:r w:rsidR="00A535B4" w:rsidRPr="00A535B4">
        <w:rPr>
          <w:lang w:eastAsia="en-US"/>
        </w:rPr>
        <w:t xml:space="preserve"> disseminate</w:t>
      </w:r>
      <w:r w:rsidR="00B21368">
        <w:rPr>
          <w:lang w:eastAsia="en-US"/>
        </w:rPr>
        <w:t xml:space="preserve"> the fo</w:t>
      </w:r>
      <w:r w:rsidR="00A535B4" w:rsidRPr="00A535B4">
        <w:rPr>
          <w:lang w:eastAsia="en-US"/>
        </w:rPr>
        <w:t>d</w:t>
      </w:r>
      <w:r w:rsidR="00B21368">
        <w:rPr>
          <w:lang w:eastAsia="en-US"/>
        </w:rPr>
        <w:t>der</w:t>
      </w:r>
      <w:r w:rsidR="00A535B4" w:rsidRPr="00A535B4">
        <w:rPr>
          <w:lang w:eastAsia="en-US"/>
        </w:rPr>
        <w:t xml:space="preserve"> to farming communities in Iraq</w:t>
      </w:r>
      <w:r w:rsidR="00A535B4">
        <w:rPr>
          <w:lang w:eastAsia="en-US"/>
        </w:rPr>
        <w:t>.</w:t>
      </w:r>
      <w:r w:rsidR="008D0CBF">
        <w:rPr>
          <w:lang w:eastAsia="en-US"/>
        </w:rPr>
        <w:t xml:space="preserve"> </w:t>
      </w:r>
      <w:r w:rsidR="00540363" w:rsidRPr="00637AF8">
        <w:rPr>
          <w:lang w:eastAsia="en-US"/>
        </w:rPr>
        <w:t xml:space="preserve">The </w:t>
      </w:r>
      <w:r w:rsidR="00B21368">
        <w:rPr>
          <w:lang w:eastAsia="en-US"/>
        </w:rPr>
        <w:t xml:space="preserve">project’s </w:t>
      </w:r>
      <w:r w:rsidR="00540363" w:rsidRPr="00637AF8">
        <w:rPr>
          <w:lang w:eastAsia="en-US"/>
        </w:rPr>
        <w:t xml:space="preserve">design </w:t>
      </w:r>
      <w:r w:rsidR="00B21368">
        <w:rPr>
          <w:lang w:eastAsia="en-US"/>
        </w:rPr>
        <w:t>w</w:t>
      </w:r>
      <w:r w:rsidR="00540363" w:rsidRPr="00637AF8">
        <w:rPr>
          <w:lang w:eastAsia="en-US"/>
        </w:rPr>
        <w:t xml:space="preserve">as delayed by the crisis in Syria </w:t>
      </w:r>
      <w:r w:rsidR="006A5F98" w:rsidRPr="00637AF8">
        <w:rPr>
          <w:lang w:eastAsia="en-US"/>
        </w:rPr>
        <w:t xml:space="preserve">as key staff were re-located to Jordan </w:t>
      </w:r>
      <w:r w:rsidR="00540363" w:rsidRPr="00637AF8">
        <w:rPr>
          <w:lang w:eastAsia="en-US"/>
        </w:rPr>
        <w:t xml:space="preserve">and </w:t>
      </w:r>
      <w:r w:rsidR="006A5F98" w:rsidRPr="00637AF8">
        <w:rPr>
          <w:lang w:eastAsia="en-US"/>
        </w:rPr>
        <w:t>the project leader re-located to Ethiopia.</w:t>
      </w:r>
      <w:r w:rsidR="008D0CBF">
        <w:rPr>
          <w:lang w:eastAsia="en-US"/>
        </w:rPr>
        <w:t xml:space="preserve"> </w:t>
      </w:r>
      <w:r w:rsidR="006A5F98" w:rsidRPr="00637AF8">
        <w:rPr>
          <w:lang w:eastAsia="en-US"/>
        </w:rPr>
        <w:t>ACIAR is managing the situation with</w:t>
      </w:r>
      <w:r w:rsidR="00B21368">
        <w:rPr>
          <w:lang w:eastAsia="en-US"/>
        </w:rPr>
        <w:t xml:space="preserve"> the</w:t>
      </w:r>
      <w:r w:rsidR="006A5F98" w:rsidRPr="00637AF8">
        <w:rPr>
          <w:lang w:eastAsia="en-US"/>
        </w:rPr>
        <w:t xml:space="preserve"> </w:t>
      </w:r>
      <w:r w:rsidR="001663B8">
        <w:t xml:space="preserve">International Centre for Agricultural Research in Dry Areas </w:t>
      </w:r>
      <w:r w:rsidR="006A5F98" w:rsidRPr="00637AF8">
        <w:rPr>
          <w:lang w:eastAsia="en-US"/>
        </w:rPr>
        <w:t xml:space="preserve">to bring project </w:t>
      </w:r>
      <w:r w:rsidR="005160A8" w:rsidRPr="00637AF8">
        <w:rPr>
          <w:lang w:eastAsia="en-US"/>
        </w:rPr>
        <w:t xml:space="preserve">design </w:t>
      </w:r>
      <w:r w:rsidR="006A5F98" w:rsidRPr="00637AF8">
        <w:rPr>
          <w:lang w:eastAsia="en-US"/>
        </w:rPr>
        <w:t>back on schedule</w:t>
      </w:r>
      <w:r w:rsidR="00540363" w:rsidRPr="00637AF8">
        <w:rPr>
          <w:lang w:eastAsia="en-US"/>
        </w:rPr>
        <w:t>.</w:t>
      </w:r>
      <w:r w:rsidR="008D0CBF">
        <w:rPr>
          <w:lang w:eastAsia="en-US"/>
        </w:rPr>
        <w:t xml:space="preserve"> </w:t>
      </w:r>
      <w:r w:rsidR="006A5F98" w:rsidRPr="00637AF8">
        <w:rPr>
          <w:lang w:eastAsia="en-US"/>
        </w:rPr>
        <w:t>This may involve increased use of Australian partners.</w:t>
      </w:r>
      <w:r w:rsidR="008D0CBF">
        <w:rPr>
          <w:lang w:eastAsia="en-US"/>
        </w:rPr>
        <w:t xml:space="preserve"> </w:t>
      </w:r>
    </w:p>
    <w:p w14:paraId="464502D7" w14:textId="59C7A55F" w:rsidR="00FE3729" w:rsidRPr="0004714C" w:rsidRDefault="00AD6AC9" w:rsidP="0004714C">
      <w:pPr>
        <w:pStyle w:val="Heading3"/>
      </w:pPr>
      <w:r w:rsidRPr="0004714C">
        <w:t>Iraq Partnership Facility</w:t>
      </w:r>
      <w:r w:rsidR="00FB0B38" w:rsidRPr="0004714C">
        <w:t xml:space="preserve"> </w:t>
      </w:r>
      <w:r w:rsidR="00B21368">
        <w:br/>
      </w:r>
      <w:r w:rsidR="00FB0B38" w:rsidRPr="0004714C">
        <w:t xml:space="preserve">($14 million </w:t>
      </w:r>
      <w:r w:rsidR="006E1DE6" w:rsidRPr="0004714C">
        <w:t>over</w:t>
      </w:r>
      <w:r w:rsidR="00FB0B38" w:rsidRPr="0004714C">
        <w:t xml:space="preserve"> </w:t>
      </w:r>
      <w:r w:rsidR="008477BD">
        <w:t xml:space="preserve">the </w:t>
      </w:r>
      <w:r w:rsidR="00ED2784">
        <w:t xml:space="preserve">APPR </w:t>
      </w:r>
      <w:r w:rsidR="00FB0B38" w:rsidRPr="0004714C">
        <w:t>period)</w:t>
      </w:r>
    </w:p>
    <w:p w14:paraId="464502D8" w14:textId="77777777" w:rsidR="00BA18B0" w:rsidRDefault="00B21368" w:rsidP="0004714C">
      <w:pPr>
        <w:pStyle w:val="BodyText"/>
      </w:pPr>
      <w:r>
        <w:t>T</w:t>
      </w:r>
      <w:r w:rsidR="00BA18B0" w:rsidRPr="00AD6AC9">
        <w:t xml:space="preserve">he Iraq Partnership Facility </w:t>
      </w:r>
      <w:r w:rsidR="000E6268">
        <w:t>wa</w:t>
      </w:r>
      <w:r w:rsidR="00BA18B0" w:rsidRPr="00AD6AC9">
        <w:t xml:space="preserve">s an AusAID mechanism designed to provide capacity building and targeted technical training programs in Australia to key Iraqi Ministries and agencies. </w:t>
      </w:r>
      <w:r>
        <w:t>It</w:t>
      </w:r>
      <w:r w:rsidR="00BA18B0" w:rsidRPr="00AD6AC9">
        <w:t xml:space="preserve"> facilitate</w:t>
      </w:r>
      <w:r w:rsidR="000939EE">
        <w:t>d</w:t>
      </w:r>
      <w:r w:rsidR="00BA18B0" w:rsidRPr="00AD6AC9">
        <w:t xml:space="preserve"> institutional linkages between Australian and Iraqi agencies within niche areas where </w:t>
      </w:r>
      <w:r w:rsidR="00944155">
        <w:t xml:space="preserve">we </w:t>
      </w:r>
      <w:r w:rsidR="00BA18B0" w:rsidRPr="00AD6AC9">
        <w:t>ha</w:t>
      </w:r>
      <w:r w:rsidR="000939EE">
        <w:t>d</w:t>
      </w:r>
      <w:r w:rsidR="00BA18B0" w:rsidRPr="00AD6AC9">
        <w:t xml:space="preserve"> particular expertise</w:t>
      </w:r>
      <w:r w:rsidR="00FB0B38">
        <w:t xml:space="preserve"> (</w:t>
      </w:r>
      <w:r>
        <w:t>for example, in</w:t>
      </w:r>
      <w:r w:rsidR="00FB0B38">
        <w:t xml:space="preserve"> agriculture, trade, finance</w:t>
      </w:r>
      <w:r>
        <w:t xml:space="preserve"> and</w:t>
      </w:r>
      <w:r w:rsidR="00FB0B38">
        <w:t xml:space="preserve"> human rights)</w:t>
      </w:r>
      <w:r w:rsidR="00BA18B0" w:rsidRPr="00AD6AC9">
        <w:t>.</w:t>
      </w:r>
      <w:r w:rsidR="008D0CBF">
        <w:t xml:space="preserve"> </w:t>
      </w:r>
      <w:r w:rsidR="00F979EF">
        <w:t xml:space="preserve">The </w:t>
      </w:r>
      <w:r>
        <w:t xml:space="preserve">facility </w:t>
      </w:r>
      <w:r w:rsidR="00F979EF">
        <w:t xml:space="preserve">was </w:t>
      </w:r>
      <w:r w:rsidR="00B1799D">
        <w:t xml:space="preserve">independently </w:t>
      </w:r>
      <w:r w:rsidR="00F979EF">
        <w:t>reviewed upon completion in March 2013 and was found to have provided high</w:t>
      </w:r>
      <w:r>
        <w:t>-</w:t>
      </w:r>
      <w:r w:rsidR="00F979EF">
        <w:t>quality training</w:t>
      </w:r>
      <w:r w:rsidR="00FB0B38">
        <w:t xml:space="preserve"> that was responsive</w:t>
      </w:r>
      <w:r>
        <w:t xml:space="preserve"> and</w:t>
      </w:r>
      <w:r w:rsidR="00F979EF">
        <w:t xml:space="preserve"> </w:t>
      </w:r>
      <w:r w:rsidR="00FB0B38">
        <w:t>valued by Iraqi counterparts</w:t>
      </w:r>
      <w:r>
        <w:t>. It was also found to have served as</w:t>
      </w:r>
      <w:r w:rsidR="00FB0B38">
        <w:t xml:space="preserve"> a functional vehicle for </w:t>
      </w:r>
      <w:r w:rsidR="00944155">
        <w:t xml:space="preserve">our </w:t>
      </w:r>
      <w:r w:rsidR="00FB0B38">
        <w:t>engagement with Iraq.</w:t>
      </w:r>
      <w:r w:rsidR="008D0CBF">
        <w:t xml:space="preserve"> </w:t>
      </w:r>
      <w:r w:rsidR="00FB0B38">
        <w:t xml:space="preserve">The </w:t>
      </w:r>
      <w:r>
        <w:t xml:space="preserve">independent </w:t>
      </w:r>
      <w:r w:rsidR="00FB0B38">
        <w:t xml:space="preserve">review also noted that the severe institutional and security constraints in post-conflict Iraq </w:t>
      </w:r>
      <w:r w:rsidR="000939EE">
        <w:t>meant that a strategic development agenda was often lacking</w:t>
      </w:r>
      <w:r w:rsidR="00B1799D">
        <w:t xml:space="preserve"> which made it difficult to assess impact.</w:t>
      </w:r>
      <w:r w:rsidR="008D0CBF">
        <w:t xml:space="preserve"> </w:t>
      </w:r>
      <w:r w:rsidR="00620CE4">
        <w:t>For this reason, t</w:t>
      </w:r>
      <w:r w:rsidR="00B1799D">
        <w:t>he likelihood of long-term sustainability of the training was assessed as less than adequate.</w:t>
      </w:r>
      <w:r w:rsidR="008D0CBF">
        <w:t xml:space="preserve"> </w:t>
      </w:r>
      <w:r>
        <w:t>A</w:t>
      </w:r>
      <w:r w:rsidR="00FB0B38">
        <w:t>ll training was conducted in</w:t>
      </w:r>
      <w:r>
        <w:t xml:space="preserve"> </w:t>
      </w:r>
      <w:r w:rsidR="00FB0B38">
        <w:t>Australia</w:t>
      </w:r>
      <w:r>
        <w:t xml:space="preserve"> and </w:t>
      </w:r>
      <w:r w:rsidR="00FB0B38">
        <w:t xml:space="preserve">the review </w:t>
      </w:r>
      <w:r>
        <w:t>concluded that while the training itself was high quality it also was</w:t>
      </w:r>
      <w:r w:rsidR="00F979EF">
        <w:t xml:space="preserve"> high cost.</w:t>
      </w:r>
      <w:r w:rsidR="000939EE">
        <w:rPr>
          <w:rStyle w:val="FootnoteReference"/>
        </w:rPr>
        <w:footnoteReference w:id="16"/>
      </w:r>
      <w:r w:rsidR="008D0CBF">
        <w:t xml:space="preserve"> </w:t>
      </w:r>
    </w:p>
    <w:p w14:paraId="464502D9" w14:textId="77777777" w:rsidR="001B58D5" w:rsidRPr="0004714C" w:rsidRDefault="001B58D5" w:rsidP="0004714C">
      <w:pPr>
        <w:pStyle w:val="BodyText"/>
        <w:rPr>
          <w:b/>
        </w:rPr>
      </w:pPr>
      <w:r w:rsidRPr="0004714C">
        <w:rPr>
          <w:b/>
        </w:rPr>
        <w:t>In total, 1022 Iraqi government officials (739 males and 283 females) were trained under the I</w:t>
      </w:r>
      <w:r w:rsidR="00B21368">
        <w:rPr>
          <w:b/>
        </w:rPr>
        <w:t>raq Partnership Facility</w:t>
      </w:r>
      <w:r w:rsidR="00924F28" w:rsidRPr="0004714C">
        <w:rPr>
          <w:b/>
        </w:rPr>
        <w:t xml:space="preserve"> from July 2009 to March 2013</w:t>
      </w:r>
      <w:r w:rsidRPr="0004714C">
        <w:rPr>
          <w:b/>
        </w:rPr>
        <w:t>.</w:t>
      </w:r>
    </w:p>
    <w:p w14:paraId="464502DA" w14:textId="5B2001E1" w:rsidR="00FE3729" w:rsidRPr="00AD6AC9" w:rsidRDefault="00EB51B0" w:rsidP="0004714C">
      <w:pPr>
        <w:pStyle w:val="Heading3"/>
      </w:pPr>
      <w:r>
        <w:t>6</w:t>
      </w:r>
      <w:r w:rsidR="00AD6AC9" w:rsidRPr="00AD6AC9">
        <w:t>.</w:t>
      </w:r>
      <w:r w:rsidR="008D0CBF">
        <w:t xml:space="preserve"> </w:t>
      </w:r>
      <w:r w:rsidR="00FE3729" w:rsidRPr="00AD6AC9">
        <w:t>Australia</w:t>
      </w:r>
      <w:r w:rsidR="00B21368">
        <w:t xml:space="preserve"> - </w:t>
      </w:r>
      <w:r w:rsidR="00FE3729" w:rsidRPr="00AD6AC9">
        <w:t>Iraq Agr</w:t>
      </w:r>
      <w:r w:rsidR="00AD6AC9" w:rsidRPr="00AD6AC9">
        <w:t>icultural Scholarships Program</w:t>
      </w:r>
      <w:r w:rsidR="00FB0B38">
        <w:t xml:space="preserve"> </w:t>
      </w:r>
      <w:r w:rsidR="00B21368">
        <w:br/>
      </w:r>
      <w:r w:rsidR="00FB0B38">
        <w:t xml:space="preserve">($8.3 million </w:t>
      </w:r>
      <w:r w:rsidR="006E1DE6">
        <w:t>over</w:t>
      </w:r>
      <w:r w:rsidR="00FB0B38">
        <w:t xml:space="preserve"> </w:t>
      </w:r>
      <w:r w:rsidR="008477BD">
        <w:t xml:space="preserve">the </w:t>
      </w:r>
      <w:r w:rsidR="00ED2784">
        <w:t xml:space="preserve">APPR </w:t>
      </w:r>
      <w:r w:rsidR="00FB0B38">
        <w:t>period)</w:t>
      </w:r>
    </w:p>
    <w:p w14:paraId="464502DB" w14:textId="77777777" w:rsidR="00B21368" w:rsidRDefault="00BA18B0" w:rsidP="0004714C">
      <w:pPr>
        <w:pStyle w:val="BodyText"/>
      </w:pPr>
      <w:r w:rsidRPr="00AD6AC9">
        <w:t>Australia</w:t>
      </w:r>
      <w:r w:rsidR="00B21368">
        <w:t xml:space="preserve">- </w:t>
      </w:r>
      <w:r w:rsidRPr="00AD6AC9">
        <w:t xml:space="preserve">Iraq Agricultural Scholarships </w:t>
      </w:r>
      <w:r w:rsidR="00B1799D">
        <w:t>wa</w:t>
      </w:r>
      <w:r w:rsidRPr="00AD6AC9">
        <w:t>s an Iraq</w:t>
      </w:r>
      <w:r w:rsidR="00B21368">
        <w:t>-</w:t>
      </w:r>
      <w:r w:rsidRPr="00AD6AC9">
        <w:t>specific, one-off scholarship program, providing a four</w:t>
      </w:r>
      <w:r w:rsidR="00B21368">
        <w:t>-</w:t>
      </w:r>
      <w:r w:rsidRPr="00AD6AC9">
        <w:t>year program of support</w:t>
      </w:r>
      <w:r w:rsidR="00B21368">
        <w:t>—</w:t>
      </w:r>
      <w:r w:rsidRPr="00AD6AC9">
        <w:t>two years for English language training and two years for a Masters</w:t>
      </w:r>
      <w:r w:rsidR="00620CE4">
        <w:t>’</w:t>
      </w:r>
      <w:r w:rsidRPr="00AD6AC9">
        <w:t xml:space="preserve"> program in an Australian </w:t>
      </w:r>
      <w:r w:rsidR="00620CE4">
        <w:t>u</w:t>
      </w:r>
      <w:r w:rsidRPr="00AD6AC9">
        <w:t>niversity.</w:t>
      </w:r>
      <w:r w:rsidR="008D0CBF">
        <w:t xml:space="preserve"> </w:t>
      </w:r>
      <w:r w:rsidRPr="00AD6AC9">
        <w:t>The program fulfil</w:t>
      </w:r>
      <w:r w:rsidR="00620CE4">
        <w:t>led</w:t>
      </w:r>
      <w:r w:rsidR="00B21368">
        <w:t xml:space="preserve"> our</w:t>
      </w:r>
      <w:r w:rsidRPr="00AD6AC9">
        <w:t xml:space="preserve"> commitment to provide 100 post-graduate scholarships for Iraqis in agriculture</w:t>
      </w:r>
      <w:r w:rsidR="00B21368">
        <w:t>-</w:t>
      </w:r>
      <w:r w:rsidRPr="00AD6AC9">
        <w:t xml:space="preserve">related fields </w:t>
      </w:r>
      <w:r w:rsidRPr="00AD6AC9">
        <w:lastRenderedPageBreak/>
        <w:t>in Australian institutions</w:t>
      </w:r>
      <w:r w:rsidR="009C332D">
        <w:t>.</w:t>
      </w:r>
      <w:r w:rsidR="008D0CBF">
        <w:t xml:space="preserve"> </w:t>
      </w:r>
      <w:r w:rsidR="00B1799D">
        <w:t xml:space="preserve">The </w:t>
      </w:r>
      <w:r w:rsidR="00B21368">
        <w:t xml:space="preserve">program </w:t>
      </w:r>
      <w:r w:rsidR="00B1799D">
        <w:t>conclude</w:t>
      </w:r>
      <w:r w:rsidR="00B21368">
        <w:t>d</w:t>
      </w:r>
      <w:r w:rsidR="00B1799D">
        <w:t xml:space="preserve"> in June 2013 and an independent review assessed it as a highly relevant, effective initiative.</w:t>
      </w:r>
      <w:r w:rsidR="008D0CBF">
        <w:t xml:space="preserve"> </w:t>
      </w:r>
    </w:p>
    <w:p w14:paraId="464502DC" w14:textId="77777777" w:rsidR="00B21368" w:rsidRDefault="00B1799D" w:rsidP="0004714C">
      <w:pPr>
        <w:pStyle w:val="BodyText"/>
      </w:pPr>
      <w:r w:rsidRPr="00F1748A">
        <w:rPr>
          <w:b/>
        </w:rPr>
        <w:t xml:space="preserve">Of the 109 scholars who have, or are soon to complete their </w:t>
      </w:r>
      <w:r w:rsidR="00B21368">
        <w:rPr>
          <w:b/>
        </w:rPr>
        <w:t>studies</w:t>
      </w:r>
      <w:r w:rsidR="00620CE4">
        <w:rPr>
          <w:b/>
        </w:rPr>
        <w:t>, 105 have attained a Master</w:t>
      </w:r>
      <w:r w:rsidRPr="00F1748A">
        <w:rPr>
          <w:b/>
        </w:rPr>
        <w:t>s</w:t>
      </w:r>
      <w:r w:rsidR="00620CE4">
        <w:rPr>
          <w:b/>
        </w:rPr>
        <w:t>’</w:t>
      </w:r>
      <w:r w:rsidRPr="00F1748A">
        <w:rPr>
          <w:b/>
        </w:rPr>
        <w:t xml:space="preserve"> Degree</w:t>
      </w:r>
      <w:r w:rsidR="00B21368">
        <w:rPr>
          <w:b/>
        </w:rPr>
        <w:t xml:space="preserve"> and</w:t>
      </w:r>
      <w:r w:rsidRPr="00F1748A">
        <w:rPr>
          <w:b/>
        </w:rPr>
        <w:t xml:space="preserve"> four Graduate Diplomas.</w:t>
      </w:r>
      <w:r w:rsidR="008D0CBF">
        <w:t xml:space="preserve"> </w:t>
      </w:r>
      <w:r w:rsidR="00956428">
        <w:t>A</w:t>
      </w:r>
      <w:r w:rsidR="00B21368">
        <w:t>nother eight</w:t>
      </w:r>
      <w:r w:rsidR="00956428">
        <w:t xml:space="preserve"> scholars will finish their studies</w:t>
      </w:r>
      <w:r w:rsidR="00AB4E95">
        <w:t xml:space="preserve"> in 2013.</w:t>
      </w:r>
      <w:r w:rsidR="00956428">
        <w:t xml:space="preserve"> </w:t>
      </w:r>
      <w:r>
        <w:t>Exit interviews conducted by universities found the students left with an overwhelmingly positive attitude to Australia</w:t>
      </w:r>
      <w:r w:rsidR="00F1748A">
        <w:t>, and some have already assumed significant new roles in Iraq</w:t>
      </w:r>
      <w:r w:rsidR="00620CE4">
        <w:t>, including key government managerial positions on other donor agricultural projects</w:t>
      </w:r>
      <w:r w:rsidR="00F1748A">
        <w:t>.</w:t>
      </w:r>
      <w:r w:rsidR="008D0CBF">
        <w:t xml:space="preserve"> </w:t>
      </w:r>
    </w:p>
    <w:p w14:paraId="464502DD" w14:textId="77777777" w:rsidR="00BA18B0" w:rsidRPr="00AD6AC9" w:rsidRDefault="00B1799D" w:rsidP="0004714C">
      <w:pPr>
        <w:pStyle w:val="BodyText"/>
      </w:pPr>
      <w:r>
        <w:t>The</w:t>
      </w:r>
      <w:r w:rsidR="00B21368">
        <w:t xml:space="preserve"> independent</w:t>
      </w:r>
      <w:r>
        <w:t xml:space="preserve"> </w:t>
      </w:r>
      <w:r w:rsidR="00F1748A">
        <w:t>review noted</w:t>
      </w:r>
      <w:r w:rsidR="00B21368">
        <w:t>, however,</w:t>
      </w:r>
      <w:r w:rsidR="00F1748A">
        <w:t xml:space="preserve"> that </w:t>
      </w:r>
      <w:r>
        <w:t>student</w:t>
      </w:r>
      <w:r w:rsidR="00F1748A">
        <w:t xml:space="preserve"> selection could have been better, particularly</w:t>
      </w:r>
      <w:r w:rsidR="00B21368">
        <w:t xml:space="preserve"> in the area of</w:t>
      </w:r>
      <w:r w:rsidR="00F1748A">
        <w:t xml:space="preserve"> English language skills, and that students could have been better briefed on study and life in Australia before </w:t>
      </w:r>
      <w:r w:rsidR="00B21368">
        <w:t>starting at their respective institutions</w:t>
      </w:r>
      <w:r w:rsidR="00F1748A">
        <w:t>.</w:t>
      </w:r>
      <w:r w:rsidR="00F1748A">
        <w:rPr>
          <w:rStyle w:val="FootnoteReference"/>
        </w:rPr>
        <w:footnoteReference w:id="17"/>
      </w:r>
      <w:r w:rsidR="008D0CBF">
        <w:t xml:space="preserve"> </w:t>
      </w:r>
      <w:r w:rsidR="00737752">
        <w:t>There will be no further large</w:t>
      </w:r>
      <w:r w:rsidR="00B21368">
        <w:t>-</w:t>
      </w:r>
      <w:r w:rsidR="00737752">
        <w:t>scale scholarship intakes from Iraq.</w:t>
      </w:r>
      <w:r w:rsidR="008D0CBF">
        <w:t xml:space="preserve"> </w:t>
      </w:r>
      <w:r w:rsidR="00737752">
        <w:t xml:space="preserve">Lessons from the </w:t>
      </w:r>
      <w:r w:rsidR="00B21368">
        <w:t>r</w:t>
      </w:r>
      <w:r w:rsidR="00737752">
        <w:t>eview will be shared with other fragile-state country programs providing scholarships for study in Australia.</w:t>
      </w:r>
    </w:p>
    <w:p w14:paraId="464502DE" w14:textId="549F4C75" w:rsidR="00FE3729" w:rsidRPr="00AD6AC9" w:rsidRDefault="00FE3729" w:rsidP="0004714C">
      <w:pPr>
        <w:pStyle w:val="Heading3"/>
      </w:pPr>
      <w:r w:rsidRPr="00AD6AC9">
        <w:t>Danish Refugee Council Vocational Education Training for Female Headed Households and Extremely Vulner</w:t>
      </w:r>
      <w:r w:rsidR="00AD6AC9">
        <w:t xml:space="preserve">able Individuals Project </w:t>
      </w:r>
      <w:r w:rsidR="00B21368">
        <w:br/>
      </w:r>
      <w:r w:rsidR="00FB0B38">
        <w:t xml:space="preserve">($4.5 million </w:t>
      </w:r>
      <w:r w:rsidR="006E1DE6">
        <w:t>over</w:t>
      </w:r>
      <w:r w:rsidR="00FB0B38">
        <w:t xml:space="preserve"> </w:t>
      </w:r>
      <w:r w:rsidR="008477BD">
        <w:t xml:space="preserve">the </w:t>
      </w:r>
      <w:r w:rsidR="00ED2784">
        <w:t xml:space="preserve">APPR </w:t>
      </w:r>
      <w:r w:rsidR="00FB0B38">
        <w:t>period)</w:t>
      </w:r>
    </w:p>
    <w:p w14:paraId="464502DF" w14:textId="60DEC691" w:rsidR="00BA18B0" w:rsidRDefault="00BA18B0" w:rsidP="0004714C">
      <w:pPr>
        <w:pStyle w:val="BodyText"/>
      </w:pPr>
      <w:r w:rsidRPr="00AD6AC9">
        <w:t>Th</w:t>
      </w:r>
      <w:r w:rsidR="004F2C97">
        <w:t>is</w:t>
      </w:r>
      <w:r w:rsidRPr="00AD6AC9">
        <w:t xml:space="preserve"> </w:t>
      </w:r>
      <w:r w:rsidR="00D54B80">
        <w:t xml:space="preserve">three year </w:t>
      </w:r>
      <w:r w:rsidRPr="00AD6AC9">
        <w:t>project</w:t>
      </w:r>
      <w:r w:rsidR="00D54B80">
        <w:t>,</w:t>
      </w:r>
      <w:r w:rsidRPr="00AD6AC9">
        <w:t xml:space="preserve"> </w:t>
      </w:r>
      <w:r w:rsidR="00D54B80">
        <w:t>will target</w:t>
      </w:r>
      <w:r w:rsidRPr="00AD6AC9">
        <w:t>1400 beneficiaries, including 280 female</w:t>
      </w:r>
      <w:r w:rsidR="004F2C97">
        <w:t>-</w:t>
      </w:r>
      <w:r w:rsidRPr="00AD6AC9">
        <w:t>headed households from displaced communities or host communities</w:t>
      </w:r>
      <w:r w:rsidR="00620CE4">
        <w:t xml:space="preserve"> in Iraq</w:t>
      </w:r>
      <w:r w:rsidRPr="00AD6AC9">
        <w:t xml:space="preserve">. </w:t>
      </w:r>
      <w:r w:rsidR="004F2C97">
        <w:t>It</w:t>
      </w:r>
      <w:r w:rsidRPr="00AD6AC9">
        <w:t xml:space="preserve"> also aims to strengthen the direct provision of necessary </w:t>
      </w:r>
      <w:r w:rsidR="001E351C">
        <w:t xml:space="preserve">technical </w:t>
      </w:r>
      <w:r w:rsidRPr="00AD6AC9">
        <w:t>vocational</w:t>
      </w:r>
      <w:r w:rsidR="00007F50">
        <w:t xml:space="preserve"> education and</w:t>
      </w:r>
      <w:r w:rsidRPr="00AD6AC9">
        <w:t xml:space="preserve"> training </w:t>
      </w:r>
      <w:r w:rsidR="001E351C">
        <w:t xml:space="preserve">(TVET) </w:t>
      </w:r>
      <w:r w:rsidRPr="00AD6AC9">
        <w:t>in the short term whil</w:t>
      </w:r>
      <w:r w:rsidR="004F2C97">
        <w:t>e</w:t>
      </w:r>
      <w:r w:rsidRPr="00AD6AC9">
        <w:t xml:space="preserve"> promoting institutional (including government) buy-in and capacity to provide the same in the long term. </w:t>
      </w:r>
      <w:r w:rsidR="004F2C97">
        <w:t>Three</w:t>
      </w:r>
      <w:r w:rsidRPr="00AD6AC9">
        <w:t xml:space="preserve"> donors</w:t>
      </w:r>
      <w:r w:rsidR="004F2C97">
        <w:rPr>
          <w:rStyle w:val="FootnoteReference"/>
        </w:rPr>
        <w:footnoteReference w:id="18"/>
      </w:r>
      <w:r w:rsidRPr="00AD6AC9">
        <w:t xml:space="preserve"> are also involved in the capacity building of vocational training institutions with the Government of Iraq.</w:t>
      </w:r>
      <w:r w:rsidR="008D0CBF">
        <w:t xml:space="preserve"> </w:t>
      </w:r>
      <w:r w:rsidR="00D54B80">
        <w:t>In April 2013 t</w:t>
      </w:r>
      <w:r w:rsidR="001E351C">
        <w:t>he project completed its first year of implementation and is on track to meet its objectives.</w:t>
      </w:r>
      <w:r w:rsidR="008D0CBF">
        <w:t xml:space="preserve"> </w:t>
      </w:r>
      <w:r w:rsidR="001E351C">
        <w:t xml:space="preserve">Beneficiaries </w:t>
      </w:r>
      <w:r w:rsidR="004F2C97">
        <w:t>were</w:t>
      </w:r>
      <w:r w:rsidR="001E351C">
        <w:t xml:space="preserve"> selected after a needs assessment</w:t>
      </w:r>
      <w:r w:rsidR="004F2C97">
        <w:t>, a</w:t>
      </w:r>
      <w:r w:rsidR="001E351C">
        <w:t xml:space="preserve"> mapping exercise was completed, and advocacy </w:t>
      </w:r>
      <w:r w:rsidR="004F2C97">
        <w:t>started</w:t>
      </w:r>
      <w:r w:rsidR="001E351C">
        <w:t xml:space="preserve"> at national level</w:t>
      </w:r>
      <w:r w:rsidR="004F2C97">
        <w:t xml:space="preserve">, with </w:t>
      </w:r>
      <w:r w:rsidR="001E351C">
        <w:t>Government ministries</w:t>
      </w:r>
      <w:r w:rsidR="004F2C97">
        <w:t>,</w:t>
      </w:r>
      <w:r w:rsidR="001E351C">
        <w:t xml:space="preserve"> to promote mainstreaming of TVET services to vulnerable individuals.</w:t>
      </w:r>
      <w:r w:rsidR="008D0CBF">
        <w:t xml:space="preserve"> </w:t>
      </w:r>
      <w:r w:rsidR="001E351C">
        <w:t>However, there are concerns that the three</w:t>
      </w:r>
      <w:r w:rsidR="004F2C97">
        <w:t>-</w:t>
      </w:r>
      <w:r w:rsidR="001E351C">
        <w:t xml:space="preserve">year implementation timetable may be </w:t>
      </w:r>
      <w:r w:rsidR="004F2C97">
        <w:t xml:space="preserve">too </w:t>
      </w:r>
      <w:r w:rsidR="001E351C">
        <w:t xml:space="preserve">ambitious </w:t>
      </w:r>
      <w:r w:rsidR="004F2C97">
        <w:t>for</w:t>
      </w:r>
      <w:r w:rsidR="001E351C">
        <w:t xml:space="preserve"> the project to str</w:t>
      </w:r>
      <w:r w:rsidR="00FB0B38">
        <w:t>e</w:t>
      </w:r>
      <w:r w:rsidR="001E351C">
        <w:t>ngthen the capacity of</w:t>
      </w:r>
      <w:r w:rsidR="00FB0B38">
        <w:t xml:space="preserve"> TVET institutions.</w:t>
      </w:r>
      <w:r w:rsidR="008D0CBF">
        <w:t xml:space="preserve"> </w:t>
      </w:r>
      <w:r w:rsidR="00FB0B38">
        <w:t>This will need to be monitored closely over the remain</w:t>
      </w:r>
      <w:r w:rsidR="0086210B">
        <w:t xml:space="preserve">der </w:t>
      </w:r>
      <w:r w:rsidR="00FB0B38">
        <w:t xml:space="preserve"> of the project.</w:t>
      </w:r>
      <w:r w:rsidR="00FB0B38">
        <w:rPr>
          <w:rStyle w:val="FootnoteReference"/>
          <w:rFonts w:cs="Arial"/>
        </w:rPr>
        <w:footnoteReference w:id="19"/>
      </w:r>
      <w:r w:rsidR="008D0CBF">
        <w:t xml:space="preserve"> </w:t>
      </w:r>
    </w:p>
    <w:p w14:paraId="464502E0" w14:textId="36E712C3" w:rsidR="009C332D" w:rsidRDefault="003172D7" w:rsidP="0004714C">
      <w:pPr>
        <w:pStyle w:val="BodyText"/>
        <w:rPr>
          <w:b/>
        </w:rPr>
      </w:pPr>
      <w:r>
        <w:rPr>
          <w:b/>
        </w:rPr>
        <w:t xml:space="preserve">During the </w:t>
      </w:r>
      <w:r w:rsidR="00ED2784">
        <w:rPr>
          <w:b/>
        </w:rPr>
        <w:t xml:space="preserve">APPR </w:t>
      </w:r>
      <w:r>
        <w:rPr>
          <w:b/>
        </w:rPr>
        <w:t>period</w:t>
      </w:r>
      <w:r w:rsidR="004F2C97">
        <w:rPr>
          <w:b/>
        </w:rPr>
        <w:t>,</w:t>
      </w:r>
      <w:r w:rsidR="009C332D" w:rsidRPr="009C332D">
        <w:rPr>
          <w:b/>
        </w:rPr>
        <w:t xml:space="preserve"> 200 extremely vulnerable households, including 112</w:t>
      </w:r>
      <w:r w:rsidR="004F2C97">
        <w:rPr>
          <w:b/>
        </w:rPr>
        <w:t> </w:t>
      </w:r>
      <w:r w:rsidR="009C332D" w:rsidRPr="009C332D">
        <w:rPr>
          <w:b/>
        </w:rPr>
        <w:t>female-headed households in the Iraqi governorates of Diyala and Missan accessed TVET to support improved incomes and livelihood opportunities</w:t>
      </w:r>
      <w:r w:rsidR="009C332D">
        <w:rPr>
          <w:b/>
        </w:rPr>
        <w:t>.</w:t>
      </w:r>
    </w:p>
    <w:p w14:paraId="464502E1" w14:textId="77777777" w:rsidR="00CB3CFB" w:rsidRPr="006E1DE6" w:rsidRDefault="006E7F98" w:rsidP="0004714C">
      <w:pPr>
        <w:pStyle w:val="Heading3"/>
      </w:pPr>
      <w:r w:rsidRPr="006E1DE6">
        <w:t>Safe and Healing Learning for Marginalised and Conflict-affected Children and Youth in</w:t>
      </w:r>
      <w:r w:rsidR="00CB3CFB" w:rsidRPr="006E1DE6">
        <w:t xml:space="preserve"> Iraq </w:t>
      </w:r>
      <w:r w:rsidR="006A0E6D">
        <w:t>P</w:t>
      </w:r>
      <w:r w:rsidR="00CB3CFB" w:rsidRPr="006E1DE6">
        <w:t xml:space="preserve">roject </w:t>
      </w:r>
      <w:r w:rsidR="008477BD">
        <w:br/>
      </w:r>
      <w:r w:rsidR="00CB3CFB" w:rsidRPr="006E1DE6">
        <w:t>($2.4 million</w:t>
      </w:r>
      <w:r w:rsidR="008477BD">
        <w:t xml:space="preserve"> in</w:t>
      </w:r>
      <w:r w:rsidR="00CB3CFB" w:rsidRPr="006E1DE6">
        <w:t xml:space="preserve"> 2012</w:t>
      </w:r>
      <w:r w:rsidR="008477BD">
        <w:t>–</w:t>
      </w:r>
      <w:r w:rsidRPr="006E1DE6">
        <w:t>13)</w:t>
      </w:r>
    </w:p>
    <w:p w14:paraId="464502E2" w14:textId="75F502CE" w:rsidR="006E7F98" w:rsidRPr="006E1DE6" w:rsidRDefault="00CB3CFB" w:rsidP="0004714C">
      <w:pPr>
        <w:pStyle w:val="BodyText"/>
        <w:rPr>
          <w:rFonts w:cs="Arial"/>
          <w:b/>
        </w:rPr>
      </w:pPr>
      <w:r w:rsidRPr="006E1DE6">
        <w:t xml:space="preserve">This project </w:t>
      </w:r>
      <w:r w:rsidR="006E7F98" w:rsidRPr="006E1DE6">
        <w:t xml:space="preserve">seeks to improve access to quality education for marginalised and conflict-affected children and youth in Iraq. In the </w:t>
      </w:r>
      <w:r w:rsidR="00ED2784">
        <w:t xml:space="preserve">APPR </w:t>
      </w:r>
      <w:r w:rsidR="006E7F98" w:rsidRPr="006E1DE6">
        <w:t>perio</w:t>
      </w:r>
      <w:r w:rsidR="009302B0" w:rsidRPr="006E1DE6">
        <w:t xml:space="preserve">d, </w:t>
      </w:r>
      <w:r w:rsidR="00233FB1">
        <w:t>DFAT</w:t>
      </w:r>
      <w:r w:rsidR="009302B0" w:rsidRPr="006E1DE6">
        <w:t xml:space="preserve">’s partnership with the </w:t>
      </w:r>
      <w:r w:rsidR="006E7F98" w:rsidRPr="006E1DE6">
        <w:t>International Rescue Committee has helped to</w:t>
      </w:r>
      <w:r w:rsidR="004F2C97">
        <w:t>:</w:t>
      </w:r>
      <w:r w:rsidR="006E7F98" w:rsidRPr="006E1DE6">
        <w:t xml:space="preserve"> </w:t>
      </w:r>
      <w:r w:rsidR="004F2C97">
        <w:t xml:space="preserve">build and/or </w:t>
      </w:r>
      <w:r w:rsidR="006E7F98" w:rsidRPr="006E1DE6">
        <w:t>rehabilitate 20</w:t>
      </w:r>
      <w:r w:rsidR="004F2C97">
        <w:t> </w:t>
      </w:r>
      <w:r w:rsidR="006E7F98" w:rsidRPr="006E1DE6">
        <w:t xml:space="preserve">primary schools (out of </w:t>
      </w:r>
      <w:r w:rsidRPr="006E1DE6">
        <w:t xml:space="preserve">a project target of </w:t>
      </w:r>
      <w:r w:rsidR="006E7F98" w:rsidRPr="006E1DE6">
        <w:t>30) benefiting more than 12</w:t>
      </w:r>
      <w:r w:rsidR="004F2C97">
        <w:t xml:space="preserve"> </w:t>
      </w:r>
      <w:r w:rsidR="006E7F98" w:rsidRPr="006E1DE6">
        <w:t>000 students (around 67 per cent girls)</w:t>
      </w:r>
      <w:r w:rsidR="004F2C97">
        <w:t>;</w:t>
      </w:r>
      <w:r w:rsidR="006E7F98" w:rsidRPr="006E1DE6">
        <w:t xml:space="preserve"> and train 420 teachers (out of </w:t>
      </w:r>
      <w:r w:rsidRPr="006E1DE6">
        <w:t xml:space="preserve">a project target of </w:t>
      </w:r>
      <w:r w:rsidR="006E7F98" w:rsidRPr="006E1DE6">
        <w:t xml:space="preserve">434) in the districts of Baghdad and Northern Iraq. </w:t>
      </w:r>
      <w:r w:rsidRPr="006E1DE6">
        <w:t>While the project is on track</w:t>
      </w:r>
      <w:r w:rsidR="004F2C97">
        <w:t xml:space="preserve">, the </w:t>
      </w:r>
      <w:r w:rsidR="0086210B">
        <w:t xml:space="preserve">end date </w:t>
      </w:r>
      <w:r w:rsidR="006E7F98" w:rsidRPr="006E1DE6">
        <w:t xml:space="preserve"> </w:t>
      </w:r>
      <w:r w:rsidR="0086210B">
        <w:t xml:space="preserve">was </w:t>
      </w:r>
      <w:r w:rsidR="006E7F98" w:rsidRPr="006E1DE6">
        <w:t>exten</w:t>
      </w:r>
      <w:r w:rsidR="0086210B">
        <w:t xml:space="preserve">ded </w:t>
      </w:r>
      <w:r w:rsidR="006E7F98" w:rsidRPr="006E1DE6">
        <w:t xml:space="preserve"> to 30 September 2013 </w:t>
      </w:r>
      <w:r w:rsidRPr="006E1DE6">
        <w:t>(</w:t>
      </w:r>
      <w:r w:rsidR="004F2C97">
        <w:t xml:space="preserve">from </w:t>
      </w:r>
      <w:r w:rsidR="004F2C97">
        <w:lastRenderedPageBreak/>
        <w:t xml:space="preserve">the </w:t>
      </w:r>
      <w:r w:rsidRPr="006E1DE6">
        <w:t xml:space="preserve">original completion date </w:t>
      </w:r>
      <w:r w:rsidR="004F2C97">
        <w:t>of</w:t>
      </w:r>
      <w:r w:rsidR="004F2C97" w:rsidRPr="006E1DE6">
        <w:t xml:space="preserve"> </w:t>
      </w:r>
      <w:r w:rsidRPr="006E1DE6">
        <w:t xml:space="preserve">June 2013) </w:t>
      </w:r>
      <w:r w:rsidR="006E7F98" w:rsidRPr="006E1DE6">
        <w:t>to</w:t>
      </w:r>
      <w:r w:rsidR="004F2C97">
        <w:t xml:space="preserve"> enable it to</w:t>
      </w:r>
      <w:r w:rsidR="006E7F98" w:rsidRPr="006E1DE6">
        <w:t xml:space="preserve"> complete some critical construction works that were delayed due to security and annual school examinations</w:t>
      </w:r>
      <w:r w:rsidRPr="006E1DE6">
        <w:t>.</w:t>
      </w:r>
    </w:p>
    <w:p w14:paraId="464502E3" w14:textId="77777777" w:rsidR="007A1D7A" w:rsidRDefault="007A1D7A" w:rsidP="0004714C">
      <w:pPr>
        <w:pStyle w:val="Heading2"/>
      </w:pPr>
      <w:r w:rsidRPr="00021A9E">
        <w:t>Objective</w:t>
      </w:r>
      <w:r>
        <w:t xml:space="preserve"> 2: Supporting </w:t>
      </w:r>
      <w:r w:rsidR="00B15671">
        <w:t>humanitarian response, post</w:t>
      </w:r>
      <w:r w:rsidR="00944155">
        <w:t>-</w:t>
      </w:r>
      <w:r w:rsidR="00B15671">
        <w:t>conflict stabilisation and response</w:t>
      </w:r>
    </w:p>
    <w:p w14:paraId="464502E4" w14:textId="77777777" w:rsidR="00FE3729" w:rsidRDefault="00FE3729" w:rsidP="0004714C">
      <w:pPr>
        <w:pStyle w:val="BodyText"/>
      </w:pPr>
      <w:r>
        <w:t xml:space="preserve">Australia contributes to this objective by supporting </w:t>
      </w:r>
      <w:r w:rsidR="00520F07">
        <w:t xml:space="preserve">three </w:t>
      </w:r>
      <w:r>
        <w:t>major activities</w:t>
      </w:r>
      <w:r w:rsidR="004F7FDC">
        <w:t>.</w:t>
      </w:r>
      <w:r w:rsidR="008D0CBF">
        <w:t xml:space="preserve"> </w:t>
      </w:r>
      <w:r w:rsidR="004F7FDC">
        <w:t>The</w:t>
      </w:r>
      <w:r w:rsidR="00D67B4C">
        <w:t xml:space="preserve"> current</w:t>
      </w:r>
      <w:r w:rsidR="004F7FDC">
        <w:t xml:space="preserve"> rating</w:t>
      </w:r>
      <w:r w:rsidR="00D67B4C">
        <w:t xml:space="preserve"> of green</w:t>
      </w:r>
      <w:r w:rsidR="004F7FDC">
        <w:t xml:space="preserve"> reflects the good progress of </w:t>
      </w:r>
      <w:r w:rsidR="00944155">
        <w:t xml:space="preserve">our </w:t>
      </w:r>
      <w:r w:rsidR="004F7FDC">
        <w:t>humanitarian response in Syria and Yemen</w:t>
      </w:r>
      <w:r w:rsidR="003C2A34">
        <w:t>, and mine action activities</w:t>
      </w:r>
      <w:r w:rsidR="00ED0EC6">
        <w:t>.</w:t>
      </w:r>
      <w:r w:rsidR="00D67B4C">
        <w:t xml:space="preserve"> </w:t>
      </w:r>
    </w:p>
    <w:p w14:paraId="464502E5" w14:textId="53799285" w:rsidR="00FE3729" w:rsidRPr="00AD6AC9" w:rsidRDefault="00FE3729" w:rsidP="0004714C">
      <w:pPr>
        <w:pStyle w:val="Heading3"/>
      </w:pPr>
      <w:r w:rsidRPr="00AD6AC9">
        <w:t>Humanitarian Support for Syria</w:t>
      </w:r>
      <w:r w:rsidR="006E1DE6">
        <w:t xml:space="preserve"> </w:t>
      </w:r>
      <w:r w:rsidR="008477BD">
        <w:br/>
      </w:r>
      <w:r w:rsidR="006E1DE6">
        <w:t>($75.5 million over</w:t>
      </w:r>
      <w:r w:rsidR="003172D7">
        <w:t xml:space="preserve"> </w:t>
      </w:r>
      <w:r w:rsidR="008477BD">
        <w:t xml:space="preserve">the </w:t>
      </w:r>
      <w:r w:rsidR="00ED2784">
        <w:t xml:space="preserve">APPR </w:t>
      </w:r>
      <w:r w:rsidR="003172D7">
        <w:t>period)</w:t>
      </w:r>
    </w:p>
    <w:p w14:paraId="464502E6" w14:textId="77777777" w:rsidR="009F07A0" w:rsidRDefault="00AD6AC9" w:rsidP="0004714C">
      <w:pPr>
        <w:pStyle w:val="BodyText"/>
      </w:pPr>
      <w:r w:rsidRPr="00BC7B90">
        <w:t>Australia has contributed to the international humanitarian response to the Syrian conf</w:t>
      </w:r>
      <w:r w:rsidR="00BC7B90">
        <w:t xml:space="preserve">lict and </w:t>
      </w:r>
      <w:r w:rsidRPr="00BC7B90">
        <w:t>regional refugee crisis to collectively assist more than 6.8 million people inside Syria and 1.6</w:t>
      </w:r>
      <w:r w:rsidR="004F2C97">
        <w:t> </w:t>
      </w:r>
      <w:r w:rsidRPr="00BC7B90">
        <w:t>million refugees</w:t>
      </w:r>
      <w:r w:rsidR="00620CE4">
        <w:t xml:space="preserve"> in the region</w:t>
      </w:r>
      <w:r w:rsidRPr="00BC7B90">
        <w:t xml:space="preserve">. </w:t>
      </w:r>
      <w:r w:rsidR="00944155">
        <w:t>We have</w:t>
      </w:r>
      <w:r w:rsidRPr="00BC7B90">
        <w:t xml:space="preserve"> channelled assistance through </w:t>
      </w:r>
      <w:r w:rsidR="004F2C97">
        <w:t xml:space="preserve">two </w:t>
      </w:r>
      <w:r w:rsidRPr="00BC7B90">
        <w:t>UN appeals (</w:t>
      </w:r>
      <w:r w:rsidR="004F2C97">
        <w:t xml:space="preserve">the </w:t>
      </w:r>
      <w:r w:rsidRPr="00BC7B90">
        <w:t>Syria Humanitarian Assistance Response Plan and Syria Regional Response Plan</w:t>
      </w:r>
      <w:r w:rsidR="004F2C97">
        <w:t>), to a range of UN</w:t>
      </w:r>
      <w:r w:rsidRPr="00BC7B90">
        <w:t xml:space="preserve"> agencies</w:t>
      </w:r>
      <w:r w:rsidR="004F2C97">
        <w:rPr>
          <w:rStyle w:val="FootnoteReference"/>
        </w:rPr>
        <w:footnoteReference w:id="20"/>
      </w:r>
      <w:r w:rsidR="004F2C97">
        <w:t xml:space="preserve"> </w:t>
      </w:r>
      <w:r w:rsidRPr="00BC7B90">
        <w:t>and to international humanitarian and non-government organisations.</w:t>
      </w:r>
      <w:r w:rsidR="008D0CBF">
        <w:t xml:space="preserve"> </w:t>
      </w:r>
      <w:r w:rsidR="005F3027" w:rsidRPr="00BC7B90">
        <w:t xml:space="preserve">To reduce social and economic stress from the refugee influx, some </w:t>
      </w:r>
      <w:r w:rsidR="004F2C97">
        <w:t>of our</w:t>
      </w:r>
      <w:r w:rsidR="004F2C97" w:rsidRPr="00BC7B90">
        <w:t xml:space="preserve"> </w:t>
      </w:r>
      <w:r w:rsidR="005F3027" w:rsidRPr="00BC7B90">
        <w:t xml:space="preserve">support also benefits vulnerable people </w:t>
      </w:r>
      <w:r w:rsidR="005F3027">
        <w:t>i</w:t>
      </w:r>
      <w:r w:rsidR="005F3027" w:rsidRPr="00BC7B90">
        <w:t xml:space="preserve">n </w:t>
      </w:r>
      <w:r w:rsidR="005F3027">
        <w:t>neighbouring countries</w:t>
      </w:r>
      <w:r w:rsidR="005F3027" w:rsidRPr="00BC7B90">
        <w:t>.</w:t>
      </w:r>
    </w:p>
    <w:p w14:paraId="464502E7" w14:textId="736BC74D" w:rsidR="004F2C97" w:rsidRDefault="004F2C97" w:rsidP="0004714C">
      <w:pPr>
        <w:pStyle w:val="BodyText"/>
      </w:pPr>
      <w:r>
        <w:t>Our</w:t>
      </w:r>
      <w:r w:rsidRPr="00BC7B90">
        <w:t xml:space="preserve"> </w:t>
      </w:r>
      <w:r w:rsidR="00AD6AC9" w:rsidRPr="00BC7B90">
        <w:t xml:space="preserve">support has provided food, shelter, household and hygiene supplies, basic medical supplies and vaccinations, water and sanitation, protection and other emergency </w:t>
      </w:r>
      <w:r w:rsidR="00AD6AC9" w:rsidRPr="004F7FDC">
        <w:rPr>
          <w:rFonts w:eastAsiaTheme="minorHAnsi"/>
          <w:lang w:eastAsia="en-US"/>
        </w:rPr>
        <w:t>assistance</w:t>
      </w:r>
      <w:r w:rsidR="00AD6AC9" w:rsidRPr="00BC7B90">
        <w:t xml:space="preserve"> to people affected by the crisis. </w:t>
      </w:r>
      <w:r w:rsidR="009F07A0">
        <w:t xml:space="preserve">For example, </w:t>
      </w:r>
      <w:r w:rsidR="005F3027">
        <w:t xml:space="preserve">during the </w:t>
      </w:r>
      <w:r w:rsidR="00ED2784">
        <w:t xml:space="preserve">APPR </w:t>
      </w:r>
      <w:r w:rsidR="005F3027">
        <w:t>period</w:t>
      </w:r>
      <w:r w:rsidR="009F07A0" w:rsidRPr="005F3027">
        <w:t xml:space="preserve"> Australian support to the ICRC facilitated the</w:t>
      </w:r>
      <w:r>
        <w:t>:</w:t>
      </w:r>
    </w:p>
    <w:p w14:paraId="464502E8" w14:textId="77777777" w:rsidR="004F2C97" w:rsidRDefault="009F07A0" w:rsidP="00D00E3D">
      <w:pPr>
        <w:pStyle w:val="ListBullet"/>
      </w:pPr>
      <w:r w:rsidRPr="005F3027">
        <w:t>provision of water to</w:t>
      </w:r>
      <w:r w:rsidR="004F2C97">
        <w:t xml:space="preserve"> some</w:t>
      </w:r>
      <w:r w:rsidRPr="005F3027">
        <w:t xml:space="preserve"> 14.88 million people</w:t>
      </w:r>
    </w:p>
    <w:p w14:paraId="464502E9" w14:textId="77777777" w:rsidR="004F2C97" w:rsidRDefault="004F2C97" w:rsidP="00D00E3D">
      <w:pPr>
        <w:pStyle w:val="ListBullet"/>
      </w:pPr>
      <w:r>
        <w:t>provision of</w:t>
      </w:r>
      <w:r w:rsidR="009F07A0" w:rsidRPr="005F3027">
        <w:t xml:space="preserve"> food parcels to some 1.53 million people,</w:t>
      </w:r>
      <w:r w:rsidR="009F07A0">
        <w:t xml:space="preserve"> hundreds of thousands of whom also benefited from the provision of blankets, mattresses</w:t>
      </w:r>
      <w:r>
        <w:t xml:space="preserve"> and</w:t>
      </w:r>
      <w:r w:rsidR="009F07A0">
        <w:t xml:space="preserve"> hygiene kits</w:t>
      </w:r>
    </w:p>
    <w:p w14:paraId="464502EA" w14:textId="77777777" w:rsidR="004F2C97" w:rsidRDefault="009F07A0" w:rsidP="00D00E3D">
      <w:pPr>
        <w:pStyle w:val="ListBullet"/>
      </w:pPr>
      <w:r>
        <w:t>rehabilitation</w:t>
      </w:r>
      <w:r w:rsidR="004F2C97">
        <w:t xml:space="preserve"> and</w:t>
      </w:r>
      <w:r>
        <w:t>/</w:t>
      </w:r>
      <w:r w:rsidR="004F2C97">
        <w:t xml:space="preserve">or </w:t>
      </w:r>
      <w:r>
        <w:t>upgrade of buildings hosting internally displaced people</w:t>
      </w:r>
      <w:r w:rsidR="00D67B4C">
        <w:t>.</w:t>
      </w:r>
      <w:r w:rsidR="00DC24E8">
        <w:rPr>
          <w:rStyle w:val="FootnoteReference"/>
        </w:rPr>
        <w:footnoteReference w:id="21"/>
      </w:r>
      <w:r w:rsidR="008D0CBF">
        <w:t xml:space="preserve"> </w:t>
      </w:r>
    </w:p>
    <w:p w14:paraId="464502EB" w14:textId="77777777" w:rsidR="004F2C97" w:rsidRDefault="004F2C97" w:rsidP="00D00E3D">
      <w:pPr>
        <w:pStyle w:val="ListBullet"/>
        <w:numPr>
          <w:ilvl w:val="0"/>
          <w:numId w:val="0"/>
        </w:numPr>
      </w:pPr>
      <w:r>
        <w:t>Our</w:t>
      </w:r>
      <w:r w:rsidRPr="005F3027">
        <w:t xml:space="preserve"> </w:t>
      </w:r>
      <w:r w:rsidR="005F3027" w:rsidRPr="005F3027">
        <w:t xml:space="preserve">support has also helped </w:t>
      </w:r>
      <w:r>
        <w:t>the:</w:t>
      </w:r>
    </w:p>
    <w:p w14:paraId="464502EC" w14:textId="77777777" w:rsidR="004F2C97" w:rsidRDefault="005F3027" w:rsidP="00D00E3D">
      <w:pPr>
        <w:pStyle w:val="ListBullet"/>
      </w:pPr>
      <w:r w:rsidRPr="005F3027">
        <w:t>WFP maintain essential food supplies and nutrition for up to 2.</w:t>
      </w:r>
      <w:r w:rsidR="00A54F5F">
        <w:t>4</w:t>
      </w:r>
      <w:r w:rsidRPr="005F3027">
        <w:t xml:space="preserve"> million people</w:t>
      </w:r>
      <w:r w:rsidR="00DC24E8">
        <w:rPr>
          <w:rStyle w:val="FootnoteReference"/>
        </w:rPr>
        <w:footnoteReference w:id="22"/>
      </w:r>
    </w:p>
    <w:p w14:paraId="464502ED" w14:textId="77777777" w:rsidR="004F2C97" w:rsidRDefault="005F3027" w:rsidP="00D00E3D">
      <w:pPr>
        <w:pStyle w:val="ListBullet"/>
      </w:pPr>
      <w:r w:rsidRPr="005F3027">
        <w:t>WHO meet critical shortages in medical supplies and medicines and provision of basic health care for up to one million people</w:t>
      </w:r>
      <w:r w:rsidR="00A54F5F">
        <w:rPr>
          <w:rStyle w:val="FootnoteReference"/>
        </w:rPr>
        <w:footnoteReference w:id="23"/>
      </w:r>
    </w:p>
    <w:p w14:paraId="464502EE" w14:textId="77777777" w:rsidR="00AD6AC9" w:rsidRPr="005F3027" w:rsidRDefault="005F3027" w:rsidP="00D00E3D">
      <w:pPr>
        <w:pStyle w:val="ListBullet"/>
      </w:pPr>
      <w:r w:rsidRPr="005F3027">
        <w:t xml:space="preserve">UNHCR provide shelter, food, water and protection to </w:t>
      </w:r>
      <w:r w:rsidR="00A54F5F">
        <w:t>approximately 1.8</w:t>
      </w:r>
      <w:r w:rsidR="004F2C97">
        <w:t> </w:t>
      </w:r>
      <w:r w:rsidRPr="005F3027">
        <w:t>million refugees in the region</w:t>
      </w:r>
      <w:r w:rsidR="00EB51B0">
        <w:t>.</w:t>
      </w:r>
      <w:r w:rsidR="00A54F5F">
        <w:rPr>
          <w:rStyle w:val="FootnoteReference"/>
        </w:rPr>
        <w:footnoteReference w:id="24"/>
      </w:r>
    </w:p>
    <w:p w14:paraId="464502EF" w14:textId="77777777" w:rsidR="00B22F61" w:rsidRDefault="00B22F61" w:rsidP="0004714C">
      <w:pPr>
        <w:pStyle w:val="BodyText"/>
        <w:rPr>
          <w:b/>
        </w:rPr>
      </w:pPr>
    </w:p>
    <w:p w14:paraId="464502F0" w14:textId="77777777" w:rsidR="00EE5D77" w:rsidRPr="0004714C" w:rsidRDefault="00BC7B90" w:rsidP="0004714C">
      <w:pPr>
        <w:pStyle w:val="BodyText"/>
        <w:rPr>
          <w:b/>
        </w:rPr>
      </w:pPr>
      <w:r w:rsidRPr="0004714C">
        <w:rPr>
          <w:b/>
        </w:rPr>
        <w:t>In 2012</w:t>
      </w:r>
      <w:r w:rsidR="008477BD">
        <w:rPr>
          <w:b/>
        </w:rPr>
        <w:t>–</w:t>
      </w:r>
      <w:r w:rsidRPr="0004714C">
        <w:rPr>
          <w:rFonts w:eastAsiaTheme="minorHAnsi"/>
          <w:b/>
          <w:lang w:eastAsia="en-US"/>
        </w:rPr>
        <w:t>13</w:t>
      </w:r>
      <w:r w:rsidRPr="0004714C">
        <w:rPr>
          <w:b/>
        </w:rPr>
        <w:t xml:space="preserve">, </w:t>
      </w:r>
      <w:r w:rsidR="008477BD">
        <w:rPr>
          <w:b/>
        </w:rPr>
        <w:t>more than</w:t>
      </w:r>
      <w:r w:rsidR="008477BD" w:rsidRPr="0004714C">
        <w:rPr>
          <w:b/>
        </w:rPr>
        <w:t xml:space="preserve"> </w:t>
      </w:r>
      <w:r w:rsidRPr="0004714C">
        <w:rPr>
          <w:b/>
        </w:rPr>
        <w:t xml:space="preserve">1.9 million vulnerable people </w:t>
      </w:r>
      <w:r w:rsidR="004F2C97">
        <w:rPr>
          <w:b/>
        </w:rPr>
        <w:t>were</w:t>
      </w:r>
      <w:r w:rsidRPr="0004714C">
        <w:rPr>
          <w:b/>
        </w:rPr>
        <w:t xml:space="preserve"> provided with life-saving </w:t>
      </w:r>
      <w:r w:rsidRPr="0004714C">
        <w:rPr>
          <w:rFonts w:eastAsiaTheme="minorHAnsi"/>
          <w:b/>
          <w:lang w:eastAsia="en-US"/>
        </w:rPr>
        <w:t>assistance</w:t>
      </w:r>
      <w:r w:rsidRPr="0004714C">
        <w:rPr>
          <w:b/>
        </w:rPr>
        <w:t xml:space="preserve"> in the Syrian conflict and regional refugee crisis as a result of </w:t>
      </w:r>
      <w:r w:rsidR="00944155">
        <w:rPr>
          <w:b/>
        </w:rPr>
        <w:t>our</w:t>
      </w:r>
      <w:r w:rsidR="00944155" w:rsidRPr="0004714C">
        <w:rPr>
          <w:b/>
        </w:rPr>
        <w:t xml:space="preserve"> </w:t>
      </w:r>
      <w:r w:rsidRPr="0004714C">
        <w:rPr>
          <w:b/>
        </w:rPr>
        <w:t xml:space="preserve">contributions. </w:t>
      </w:r>
    </w:p>
    <w:p w14:paraId="464502F1" w14:textId="77777777" w:rsidR="00AD6AC9" w:rsidRPr="005F3027" w:rsidRDefault="00EE5D77" w:rsidP="0004714C">
      <w:pPr>
        <w:pStyle w:val="BodyText"/>
      </w:pPr>
      <w:r>
        <w:t xml:space="preserve">Given the protracted nature of the crisis in Syria and the considerable support </w:t>
      </w:r>
      <w:r w:rsidR="004F2C97">
        <w:t>we have</w:t>
      </w:r>
      <w:r>
        <w:t xml:space="preserve"> </w:t>
      </w:r>
      <w:r w:rsidRPr="00EE5D77">
        <w:rPr>
          <w:rFonts w:eastAsiaTheme="minorHAnsi"/>
          <w:lang w:eastAsia="en-US"/>
        </w:rPr>
        <w:t>provided</w:t>
      </w:r>
      <w:r>
        <w:t xml:space="preserve"> so far, </w:t>
      </w:r>
      <w:r w:rsidR="00FF67DB" w:rsidRPr="00FF67DB">
        <w:t xml:space="preserve">ongoing efforts are </w:t>
      </w:r>
      <w:r w:rsidR="004F2C97">
        <w:t>underway</w:t>
      </w:r>
      <w:r w:rsidR="00FF67DB" w:rsidRPr="00FF67DB">
        <w:t xml:space="preserve"> to understand the extent to which humanitarian action supported by Australia (and delivered by UN and </w:t>
      </w:r>
      <w:r w:rsidR="004F2C97">
        <w:t>non-government organisation</w:t>
      </w:r>
      <w:r w:rsidR="00FF67DB" w:rsidRPr="00FF67DB">
        <w:t xml:space="preserve"> </w:t>
      </w:r>
      <w:r w:rsidR="00FF67DB" w:rsidRPr="00FF67DB">
        <w:lastRenderedPageBreak/>
        <w:t>partners) is appropriate and effective.</w:t>
      </w:r>
      <w:r w:rsidR="008D0CBF">
        <w:t xml:space="preserve"> </w:t>
      </w:r>
      <w:r w:rsidR="005F3027" w:rsidRPr="005F3027">
        <w:t xml:space="preserve">Monitoring </w:t>
      </w:r>
      <w:r w:rsidR="004F2C97">
        <w:t>our</w:t>
      </w:r>
      <w:r w:rsidR="004F2C97" w:rsidRPr="005F3027">
        <w:t xml:space="preserve"> </w:t>
      </w:r>
      <w:r w:rsidR="005F3027" w:rsidRPr="005F3027">
        <w:t>contribution remains a challenge given the fluid security situation in Syria.</w:t>
      </w:r>
      <w:r w:rsidR="008D0CBF">
        <w:t xml:space="preserve"> </w:t>
      </w:r>
      <w:r w:rsidR="005F3027" w:rsidRPr="005F3027">
        <w:t>However, humanitarian partners are developing innovative monitoring tools to address this</w:t>
      </w:r>
      <w:r w:rsidR="004F2C97">
        <w:t>,</w:t>
      </w:r>
      <w:r w:rsidR="005F3027" w:rsidRPr="005F3027">
        <w:t xml:space="preserve"> including through the use of </w:t>
      </w:r>
      <w:r w:rsidR="004F2C97">
        <w:t>global positioning system</w:t>
      </w:r>
      <w:r w:rsidR="005F3027" w:rsidRPr="005F3027">
        <w:t xml:space="preserve"> technology and training local staff on us</w:t>
      </w:r>
      <w:r w:rsidR="004F2C97">
        <w:t>ing</w:t>
      </w:r>
      <w:r w:rsidR="005F3027" w:rsidRPr="005F3027">
        <w:t xml:space="preserve"> remote monitoring techniques.</w:t>
      </w:r>
      <w:r w:rsidR="008D0CBF">
        <w:t xml:space="preserve"> </w:t>
      </w:r>
      <w:r w:rsidR="005F3027" w:rsidRPr="005F3027">
        <w:t xml:space="preserve">Regular dialogue and monthly UN and </w:t>
      </w:r>
      <w:r w:rsidR="004F2C97">
        <w:t xml:space="preserve">international non-government </w:t>
      </w:r>
      <w:r w:rsidR="00944155">
        <w:t>organisation</w:t>
      </w:r>
      <w:r w:rsidR="004F2C97">
        <w:t xml:space="preserve"> </w:t>
      </w:r>
      <w:r w:rsidR="005F3027" w:rsidRPr="005F3027">
        <w:t xml:space="preserve">reporting </w:t>
      </w:r>
      <w:r w:rsidR="004F2C97">
        <w:t xml:space="preserve">is </w:t>
      </w:r>
      <w:r w:rsidR="005F3027" w:rsidRPr="005F3027">
        <w:t>help</w:t>
      </w:r>
      <w:r w:rsidR="004F2C97">
        <w:t>ing</w:t>
      </w:r>
      <w:r w:rsidR="005F3027" w:rsidRPr="005F3027">
        <w:t xml:space="preserve"> to ensure </w:t>
      </w:r>
      <w:r w:rsidR="004F2C97">
        <w:t>our</w:t>
      </w:r>
      <w:r w:rsidR="004F2C97" w:rsidRPr="005F3027">
        <w:t xml:space="preserve"> </w:t>
      </w:r>
      <w:r w:rsidR="005F3027" w:rsidRPr="005F3027">
        <w:t>contribution reaches intended beneficiaries in Syria and</w:t>
      </w:r>
      <w:r w:rsidR="004F2C97">
        <w:t xml:space="preserve"> throughout</w:t>
      </w:r>
      <w:r w:rsidR="005F3027" w:rsidRPr="005F3027">
        <w:t xml:space="preserve"> the region.</w:t>
      </w:r>
    </w:p>
    <w:p w14:paraId="464502F2" w14:textId="79F6D18E" w:rsidR="00AD6AC9" w:rsidRPr="0044020F" w:rsidRDefault="00AD6AC9" w:rsidP="0044020F">
      <w:pPr>
        <w:pStyle w:val="Heading3"/>
      </w:pPr>
      <w:r w:rsidRPr="0044020F">
        <w:t>Humanitarian Support for Yemen</w:t>
      </w:r>
      <w:r w:rsidR="00E231A2">
        <w:br/>
      </w:r>
      <w:r w:rsidR="003172D7" w:rsidRPr="0044020F">
        <w:t xml:space="preserve">($8.5 million </w:t>
      </w:r>
      <w:r w:rsidR="006E1DE6" w:rsidRPr="0044020F">
        <w:t>over</w:t>
      </w:r>
      <w:r w:rsidR="008477BD">
        <w:t xml:space="preserve"> the</w:t>
      </w:r>
      <w:r w:rsidR="003172D7" w:rsidRPr="0044020F">
        <w:t xml:space="preserve"> </w:t>
      </w:r>
      <w:r w:rsidR="00ED2784">
        <w:t xml:space="preserve">APPR </w:t>
      </w:r>
      <w:r w:rsidR="003172D7" w:rsidRPr="0044020F">
        <w:t>period)</w:t>
      </w:r>
    </w:p>
    <w:p w14:paraId="464502F3" w14:textId="77777777" w:rsidR="0043746F" w:rsidRPr="0044020F" w:rsidRDefault="00A53F94" w:rsidP="0044020F">
      <w:pPr>
        <w:pStyle w:val="BodyText"/>
        <w:rPr>
          <w:rFonts w:eastAsiaTheme="minorHAnsi"/>
        </w:rPr>
      </w:pPr>
      <w:r w:rsidRPr="0044020F">
        <w:rPr>
          <w:rFonts w:eastAsiaTheme="minorHAnsi"/>
        </w:rPr>
        <w:t>In 2012</w:t>
      </w:r>
      <w:r w:rsidR="004F2C97">
        <w:rPr>
          <w:rFonts w:eastAsiaTheme="minorHAnsi"/>
        </w:rPr>
        <w:t>–</w:t>
      </w:r>
      <w:r w:rsidRPr="0044020F">
        <w:rPr>
          <w:rFonts w:eastAsiaTheme="minorHAnsi"/>
        </w:rPr>
        <w:t>13 Australian assistance for international humanitarian response efforts in Yemen</w:t>
      </w:r>
      <w:r w:rsidR="00D27132" w:rsidRPr="0044020F">
        <w:rPr>
          <w:rFonts w:eastAsiaTheme="minorHAnsi"/>
        </w:rPr>
        <w:t xml:space="preserve"> </w:t>
      </w:r>
      <w:r w:rsidRPr="0044020F">
        <w:rPr>
          <w:rFonts w:eastAsiaTheme="minorHAnsi"/>
        </w:rPr>
        <w:t xml:space="preserve">has </w:t>
      </w:r>
      <w:r w:rsidR="004F2C97">
        <w:rPr>
          <w:rFonts w:eastAsiaTheme="minorHAnsi"/>
        </w:rPr>
        <w:t>helped i</w:t>
      </w:r>
      <w:r w:rsidRPr="0044020F">
        <w:rPr>
          <w:rFonts w:eastAsiaTheme="minorHAnsi"/>
        </w:rPr>
        <w:t xml:space="preserve">nternational </w:t>
      </w:r>
      <w:r w:rsidR="004F2C97">
        <w:rPr>
          <w:rFonts w:eastAsiaTheme="minorHAnsi"/>
        </w:rPr>
        <w:t>o</w:t>
      </w:r>
      <w:r w:rsidR="00EB51B0" w:rsidRPr="0044020F">
        <w:rPr>
          <w:rFonts w:eastAsiaTheme="minorHAnsi"/>
        </w:rPr>
        <w:t>rganisation</w:t>
      </w:r>
      <w:r w:rsidRPr="0044020F">
        <w:rPr>
          <w:rFonts w:eastAsiaTheme="minorHAnsi"/>
        </w:rPr>
        <w:t xml:space="preserve">s and UN agencies to address critical humanitarian needs such as </w:t>
      </w:r>
      <w:r w:rsidRPr="0044020F">
        <w:t>healthcare</w:t>
      </w:r>
      <w:r w:rsidRPr="0044020F">
        <w:rPr>
          <w:rFonts w:eastAsiaTheme="minorHAnsi"/>
        </w:rPr>
        <w:t xml:space="preserve"> and protection for people increasingly subject to attack and displacement due to conflict.</w:t>
      </w:r>
      <w:r w:rsidR="008D0CBF" w:rsidRPr="0044020F">
        <w:rPr>
          <w:rFonts w:eastAsiaTheme="minorHAnsi"/>
        </w:rPr>
        <w:t xml:space="preserve"> </w:t>
      </w:r>
      <w:r w:rsidRPr="0044020F">
        <w:rPr>
          <w:rFonts w:eastAsiaTheme="minorHAnsi"/>
          <w:b/>
        </w:rPr>
        <w:t xml:space="preserve">Support to UNICEF has facilitated </w:t>
      </w:r>
      <w:r w:rsidR="00620CE4" w:rsidRPr="0044020F">
        <w:rPr>
          <w:rFonts w:eastAsiaTheme="minorHAnsi"/>
          <w:b/>
        </w:rPr>
        <w:t xml:space="preserve">treatment for </w:t>
      </w:r>
      <w:r w:rsidR="008D0CBF" w:rsidRPr="0044020F">
        <w:rPr>
          <w:rFonts w:eastAsiaTheme="minorHAnsi"/>
          <w:b/>
        </w:rPr>
        <w:t>up to 160 </w:t>
      </w:r>
      <w:r w:rsidRPr="0044020F">
        <w:rPr>
          <w:rFonts w:eastAsiaTheme="minorHAnsi"/>
          <w:b/>
        </w:rPr>
        <w:t>000 children with acute maln</w:t>
      </w:r>
      <w:r w:rsidR="008D0CBF" w:rsidRPr="0044020F">
        <w:rPr>
          <w:rFonts w:eastAsiaTheme="minorHAnsi"/>
          <w:b/>
        </w:rPr>
        <w:t>utrition, provided water to 600 </w:t>
      </w:r>
      <w:r w:rsidRPr="0044020F">
        <w:rPr>
          <w:rFonts w:eastAsiaTheme="minorHAnsi"/>
          <w:b/>
        </w:rPr>
        <w:t xml:space="preserve">000 people in water-scarce communities and </w:t>
      </w:r>
      <w:r w:rsidR="009F6B91" w:rsidRPr="0044020F">
        <w:rPr>
          <w:rFonts w:eastAsiaTheme="minorHAnsi"/>
          <w:b/>
        </w:rPr>
        <w:t>settlem</w:t>
      </w:r>
      <w:r w:rsidR="00E65BE7" w:rsidRPr="0044020F">
        <w:rPr>
          <w:rFonts w:eastAsiaTheme="minorHAnsi"/>
          <w:b/>
        </w:rPr>
        <w:t>ents</w:t>
      </w:r>
      <w:r w:rsidR="009F6B91" w:rsidRPr="0044020F">
        <w:rPr>
          <w:rFonts w:eastAsiaTheme="minorHAnsi"/>
          <w:b/>
        </w:rPr>
        <w:t xml:space="preserve"> for displaced people</w:t>
      </w:r>
      <w:r w:rsidRPr="0044020F">
        <w:rPr>
          <w:rFonts w:eastAsiaTheme="minorHAnsi"/>
          <w:b/>
        </w:rPr>
        <w:t>, and provided protection for up to 400</w:t>
      </w:r>
      <w:r w:rsidR="004F2C97">
        <w:rPr>
          <w:rFonts w:eastAsiaTheme="minorHAnsi"/>
          <w:b/>
        </w:rPr>
        <w:t xml:space="preserve"> </w:t>
      </w:r>
      <w:r w:rsidRPr="0044020F">
        <w:rPr>
          <w:rFonts w:eastAsiaTheme="minorHAnsi"/>
          <w:b/>
        </w:rPr>
        <w:t>000 conflict-affected children.</w:t>
      </w:r>
      <w:r w:rsidR="008D0CBF" w:rsidRPr="0044020F">
        <w:rPr>
          <w:rFonts w:eastAsiaTheme="minorHAnsi"/>
          <w:b/>
        </w:rPr>
        <w:t xml:space="preserve"> </w:t>
      </w:r>
      <w:r w:rsidRPr="0044020F">
        <w:rPr>
          <w:rFonts w:eastAsiaTheme="minorHAnsi"/>
          <w:b/>
        </w:rPr>
        <w:t>Through the</w:t>
      </w:r>
      <w:r w:rsidR="008D0CBF" w:rsidRPr="0044020F">
        <w:rPr>
          <w:rFonts w:eastAsiaTheme="minorHAnsi"/>
          <w:b/>
        </w:rPr>
        <w:t xml:space="preserve"> WFP</w:t>
      </w:r>
      <w:r w:rsidR="004F2C97">
        <w:rPr>
          <w:rFonts w:eastAsiaTheme="minorHAnsi"/>
          <w:b/>
        </w:rPr>
        <w:t>, we</w:t>
      </w:r>
      <w:r w:rsidR="008D0CBF" w:rsidRPr="0044020F">
        <w:rPr>
          <w:rFonts w:eastAsiaTheme="minorHAnsi"/>
          <w:b/>
        </w:rPr>
        <w:t xml:space="preserve"> has provided 120 </w:t>
      </w:r>
      <w:r w:rsidRPr="0044020F">
        <w:rPr>
          <w:rFonts w:eastAsiaTheme="minorHAnsi"/>
          <w:b/>
        </w:rPr>
        <w:t>000</w:t>
      </w:r>
      <w:r w:rsidR="008D0CBF" w:rsidRPr="0044020F">
        <w:rPr>
          <w:rFonts w:eastAsiaTheme="minorHAnsi"/>
          <w:b/>
        </w:rPr>
        <w:t xml:space="preserve"> tonnes of food aid to over 550 </w:t>
      </w:r>
      <w:r w:rsidRPr="0044020F">
        <w:rPr>
          <w:rFonts w:eastAsiaTheme="minorHAnsi"/>
          <w:b/>
        </w:rPr>
        <w:t>000 people</w:t>
      </w:r>
      <w:r w:rsidR="00E65BE7" w:rsidRPr="0044020F">
        <w:rPr>
          <w:rFonts w:eastAsiaTheme="minorHAnsi"/>
          <w:b/>
        </w:rPr>
        <w:t>.</w:t>
      </w:r>
      <w:r w:rsidR="00E65BE7" w:rsidRPr="0044020F">
        <w:rPr>
          <w:rFonts w:eastAsiaTheme="minorHAnsi"/>
          <w:b/>
          <w:vertAlign w:val="superscript"/>
        </w:rPr>
        <w:footnoteReference w:id="25"/>
      </w:r>
    </w:p>
    <w:p w14:paraId="464502F5" w14:textId="0CD21B3E" w:rsidR="00841350" w:rsidRDefault="002648EF" w:rsidP="0043746F">
      <w:pPr>
        <w:pStyle w:val="Heading3"/>
      </w:pPr>
      <w:r w:rsidRPr="00841350">
        <w:t xml:space="preserve">Mine </w:t>
      </w:r>
      <w:r w:rsidR="00D67B4C">
        <w:t>a</w:t>
      </w:r>
      <w:r w:rsidRPr="00841350">
        <w:t>ction</w:t>
      </w:r>
      <w:r w:rsidR="00E231A2">
        <w:br/>
      </w:r>
      <w:r w:rsidR="00841350" w:rsidRPr="00841350">
        <w:t>($6.2 million over</w:t>
      </w:r>
      <w:r w:rsidR="008477BD">
        <w:t xml:space="preserve"> the</w:t>
      </w:r>
      <w:r w:rsidR="00841350" w:rsidRPr="00841350">
        <w:t xml:space="preserve"> </w:t>
      </w:r>
      <w:r w:rsidR="00ED2784">
        <w:t xml:space="preserve">APPR </w:t>
      </w:r>
      <w:r w:rsidR="00841350" w:rsidRPr="00841350">
        <w:t>period)</w:t>
      </w:r>
    </w:p>
    <w:p w14:paraId="464502F6" w14:textId="08C9D481" w:rsidR="002648EF" w:rsidRPr="002648EF" w:rsidRDefault="002648EF" w:rsidP="0043746F">
      <w:pPr>
        <w:pStyle w:val="BodyText"/>
      </w:pPr>
      <w:r>
        <w:t xml:space="preserve">MENA </w:t>
      </w:r>
      <w:r w:rsidR="004F2C97">
        <w:t>r</w:t>
      </w:r>
      <w:r>
        <w:t xml:space="preserve">egional mine action activities are undertaken by </w:t>
      </w:r>
      <w:r w:rsidR="006E7F98">
        <w:t xml:space="preserve">the Mines Advisory Group (MAG) in Iraq; </w:t>
      </w:r>
      <w:r>
        <w:t>U</w:t>
      </w:r>
      <w:r w:rsidR="00D67B4C">
        <w:t>nited Nations Development Programme</w:t>
      </w:r>
      <w:r>
        <w:t xml:space="preserve"> in Egypt</w:t>
      </w:r>
      <w:r w:rsidR="006E7F98">
        <w:t>;</w:t>
      </w:r>
      <w:r>
        <w:t xml:space="preserve"> Norwegian Peoples Aid (NPA) in Jordan</w:t>
      </w:r>
      <w:r w:rsidR="006E7F98">
        <w:t>;</w:t>
      </w:r>
      <w:r>
        <w:t xml:space="preserve"> and the M</w:t>
      </w:r>
      <w:r w:rsidR="006E7F98">
        <w:t>AG</w:t>
      </w:r>
      <w:r>
        <w:t xml:space="preserve"> </w:t>
      </w:r>
      <w:r w:rsidR="006E7F98">
        <w:t xml:space="preserve">and </w:t>
      </w:r>
      <w:r>
        <w:t>NPA in Lebanon.</w:t>
      </w:r>
      <w:r w:rsidR="008D0CBF">
        <w:t xml:space="preserve"> </w:t>
      </w:r>
      <w:r>
        <w:t xml:space="preserve">These partners are working to remove the threat of mines and cluster munitions to improve the safety of communities and help them to rebuild by making land available for agricultural development </w:t>
      </w:r>
      <w:r w:rsidR="006E7F98">
        <w:t>and infrastructure rehabilitation.</w:t>
      </w:r>
      <w:r w:rsidR="008D0CBF">
        <w:t xml:space="preserve"> </w:t>
      </w:r>
      <w:r w:rsidR="006E7F98">
        <w:t xml:space="preserve">During the </w:t>
      </w:r>
      <w:r w:rsidR="00ED2784">
        <w:t xml:space="preserve">APPR </w:t>
      </w:r>
      <w:r w:rsidR="006E7F98">
        <w:t>period in Lebanon</w:t>
      </w:r>
      <w:r w:rsidR="004F2C97">
        <w:t>,</w:t>
      </w:r>
      <w:r w:rsidR="006E7F98">
        <w:t xml:space="preserve"> </w:t>
      </w:r>
      <w:r w:rsidR="00233FB1">
        <w:t>Australian</w:t>
      </w:r>
      <w:r w:rsidR="006E7F98">
        <w:t xml:space="preserve">-funded </w:t>
      </w:r>
      <w:r w:rsidR="004F2C97">
        <w:t xml:space="preserve">mine </w:t>
      </w:r>
      <w:r w:rsidR="006E7F98">
        <w:t>activities cl</w:t>
      </w:r>
      <w:r w:rsidR="008D0CBF">
        <w:t>eared 169 </w:t>
      </w:r>
      <w:r w:rsidR="006E7F98">
        <w:t>855</w:t>
      </w:r>
      <w:r w:rsidR="00D02013">
        <w:t xml:space="preserve"> square metres of land</w:t>
      </w:r>
      <w:r w:rsidR="006E7F98">
        <w:t xml:space="preserve"> (NPA).</w:t>
      </w:r>
      <w:r w:rsidR="008D0CBF">
        <w:t xml:space="preserve"> </w:t>
      </w:r>
      <w:r w:rsidR="00EE49E2" w:rsidRPr="00EE49E2">
        <w:t xml:space="preserve">With </w:t>
      </w:r>
      <w:r w:rsidR="00944155">
        <w:t>our</w:t>
      </w:r>
      <w:r w:rsidR="00944155" w:rsidRPr="00EE49E2">
        <w:t xml:space="preserve"> </w:t>
      </w:r>
      <w:r w:rsidR="00EE49E2" w:rsidRPr="00EE49E2">
        <w:t>assistance, Jordan has become the first country in the Middle East to have removed all minefields in its territory in accordance with its obligations under the International Mine Ban Convention.</w:t>
      </w:r>
      <w:r w:rsidR="008D0CBF">
        <w:t xml:space="preserve"> </w:t>
      </w:r>
      <w:r w:rsidR="00EE49E2" w:rsidRPr="00EE49E2">
        <w:t xml:space="preserve">The </w:t>
      </w:r>
      <w:r w:rsidR="00A61BD4">
        <w:t xml:space="preserve">Jordan </w:t>
      </w:r>
      <w:r w:rsidR="00EE49E2" w:rsidRPr="00EE49E2">
        <w:t xml:space="preserve">project also trained and employed the first all-female demining team in the Middle East. </w:t>
      </w:r>
      <w:r w:rsidR="008D0CBF">
        <w:t>In Jordan</w:t>
      </w:r>
      <w:r w:rsidR="004F2C97">
        <w:t>,</w:t>
      </w:r>
      <w:r w:rsidR="008D0CBF">
        <w:t xml:space="preserve"> NPA cleared 15 </w:t>
      </w:r>
      <w:r w:rsidR="006E7F98">
        <w:t>811</w:t>
      </w:r>
      <w:r w:rsidR="00D02013">
        <w:t xml:space="preserve"> square metres of land</w:t>
      </w:r>
      <w:r w:rsidR="006E7F98">
        <w:t>, and in Egypt</w:t>
      </w:r>
      <w:r w:rsidR="004F2C97">
        <w:t xml:space="preserve"> the United Nations Development Programme cleared</w:t>
      </w:r>
      <w:r w:rsidR="006E7F98">
        <w:t xml:space="preserve"> 126</w:t>
      </w:r>
      <w:r w:rsidR="008D0CBF">
        <w:t> </w:t>
      </w:r>
      <w:r w:rsidR="006E7F98">
        <w:t>46</w:t>
      </w:r>
      <w:r w:rsidR="008D0CBF">
        <w:t>0 </w:t>
      </w:r>
      <w:r w:rsidR="00D02013">
        <w:t>000 square metres</w:t>
      </w:r>
      <w:r w:rsidR="006E7F98">
        <w:t>.</w:t>
      </w:r>
      <w:r w:rsidR="008D0CBF">
        <w:t xml:space="preserve"> </w:t>
      </w:r>
      <w:r w:rsidR="006E7F98">
        <w:t>In Iraq MAG has helped</w:t>
      </w:r>
      <w:r w:rsidR="008D0CBF">
        <w:t xml:space="preserve"> clear </w:t>
      </w:r>
      <w:r w:rsidR="008D0CBF" w:rsidRPr="00944155">
        <w:t>16 minefields and</w:t>
      </w:r>
      <w:r w:rsidR="008D0CBF">
        <w:t xml:space="preserve"> 354 </w:t>
      </w:r>
      <w:r w:rsidR="006E7F98">
        <w:t>309</w:t>
      </w:r>
      <w:r w:rsidR="00D02013">
        <w:t xml:space="preserve"> square metres </w:t>
      </w:r>
      <w:r w:rsidR="006E7F98">
        <w:t>of land from mines and other explosive rem</w:t>
      </w:r>
      <w:r w:rsidR="008D0CBF">
        <w:t>nants of war, benefiting some 1</w:t>
      </w:r>
      <w:r w:rsidR="006E7F98">
        <w:t>317 conflict-affected people.</w:t>
      </w:r>
      <w:r w:rsidR="008D0CBF">
        <w:t xml:space="preserve"> </w:t>
      </w:r>
    </w:p>
    <w:p w14:paraId="464502F7" w14:textId="77777777" w:rsidR="00B10FFF" w:rsidRPr="000A3541" w:rsidRDefault="00B10FFF" w:rsidP="0043746F">
      <w:pPr>
        <w:pStyle w:val="Heading3"/>
      </w:pPr>
      <w:r w:rsidRPr="000A3541">
        <w:t xml:space="preserve">Other </w:t>
      </w:r>
      <w:r w:rsidR="00D67B4C">
        <w:t>b</w:t>
      </w:r>
      <w:r w:rsidRPr="000A3541">
        <w:t xml:space="preserve">ilateral </w:t>
      </w:r>
      <w:r w:rsidR="00D67B4C">
        <w:t>a</w:t>
      </w:r>
      <w:r w:rsidRPr="000A3541">
        <w:t>ctivities</w:t>
      </w:r>
    </w:p>
    <w:p w14:paraId="464502F8" w14:textId="77777777" w:rsidR="00D67B4C" w:rsidRDefault="00D02013" w:rsidP="0043746F">
      <w:pPr>
        <w:pStyle w:val="BodyText"/>
        <w:rPr>
          <w:u w:val="single"/>
        </w:rPr>
      </w:pPr>
      <w:r>
        <w:rPr>
          <w:u w:val="single"/>
        </w:rPr>
        <w:t>Australia Awards</w:t>
      </w:r>
    </w:p>
    <w:p w14:paraId="464502F9" w14:textId="77777777" w:rsidR="000A3541" w:rsidRPr="000A3541" w:rsidRDefault="000A3541" w:rsidP="0043746F">
      <w:pPr>
        <w:pStyle w:val="BodyText"/>
        <w:rPr>
          <w:caps/>
          <w:u w:val="single"/>
        </w:rPr>
      </w:pPr>
      <w:r w:rsidRPr="000A3541">
        <w:t xml:space="preserve">In </w:t>
      </w:r>
      <w:r>
        <w:t>2012</w:t>
      </w:r>
      <w:r w:rsidR="00D67B4C">
        <w:t>,</w:t>
      </w:r>
      <w:r>
        <w:t xml:space="preserve"> Egypt received 28 </w:t>
      </w:r>
      <w:r w:rsidR="00D02013">
        <w:t>Australia Awards</w:t>
      </w:r>
      <w:r>
        <w:t>, 3 long</w:t>
      </w:r>
      <w:r w:rsidR="00944155">
        <w:t>-</w:t>
      </w:r>
      <w:r>
        <w:t>term and 25 short</w:t>
      </w:r>
      <w:r w:rsidR="00944155">
        <w:t>-</w:t>
      </w:r>
      <w:r>
        <w:t>term.</w:t>
      </w:r>
      <w:r w:rsidR="008D0CBF">
        <w:t xml:space="preserve"> </w:t>
      </w:r>
      <w:r w:rsidR="00A932DE">
        <w:t>In 2013</w:t>
      </w:r>
      <w:r w:rsidR="00D67B4C">
        <w:t>,</w:t>
      </w:r>
      <w:r w:rsidR="00A932DE">
        <w:t xml:space="preserve"> Egypt received 3 long-term and one short-term awards; Tunisia one long-term and 5 short-term awards; Morocco 4 short-term awards</w:t>
      </w:r>
      <w:r w:rsidR="00D67B4C">
        <w:t>;</w:t>
      </w:r>
      <w:r w:rsidR="00A932DE">
        <w:t xml:space="preserve"> and Algeria 3</w:t>
      </w:r>
      <w:r w:rsidR="004F2C97">
        <w:t> </w:t>
      </w:r>
      <w:r w:rsidR="00A932DE">
        <w:t>long-term and 5 short-term awards.</w:t>
      </w:r>
      <w:r w:rsidR="008D0CBF">
        <w:t xml:space="preserve"> </w:t>
      </w:r>
      <w:r w:rsidR="004F2C97">
        <w:t>The awards</w:t>
      </w:r>
      <w:r w:rsidR="00A932DE">
        <w:t xml:space="preserve"> focused on agriculture and technical and vocational training.</w:t>
      </w:r>
    </w:p>
    <w:p w14:paraId="464502FB" w14:textId="77777777" w:rsidR="00D67B4C" w:rsidRDefault="00A932DE" w:rsidP="0043746F">
      <w:pPr>
        <w:pStyle w:val="BodyText"/>
        <w:rPr>
          <w:u w:val="single"/>
        </w:rPr>
      </w:pPr>
      <w:r w:rsidRPr="00A932DE">
        <w:rPr>
          <w:u w:val="single"/>
        </w:rPr>
        <w:t>Volunteers</w:t>
      </w:r>
    </w:p>
    <w:p w14:paraId="464502FC" w14:textId="77777777" w:rsidR="00A932DE" w:rsidRDefault="00A932DE" w:rsidP="0043746F">
      <w:pPr>
        <w:pStyle w:val="BodyText"/>
      </w:pPr>
      <w:r>
        <w:t>In 2012</w:t>
      </w:r>
      <w:r w:rsidR="00D67B4C">
        <w:t>–</w:t>
      </w:r>
      <w:r>
        <w:t>13</w:t>
      </w:r>
      <w:r w:rsidR="004F2C97">
        <w:t>,</w:t>
      </w:r>
      <w:r>
        <w:t xml:space="preserve"> an estimated 20 volunteers </w:t>
      </w:r>
      <w:r w:rsidR="00D67B4C">
        <w:t xml:space="preserve">began </w:t>
      </w:r>
      <w:r>
        <w:t>their assignments in Lebanon and Jordan focus</w:t>
      </w:r>
      <w:r w:rsidR="004F2C97">
        <w:t>ing</w:t>
      </w:r>
      <w:r>
        <w:t xml:space="preserve"> on program priority sectors</w:t>
      </w:r>
      <w:r w:rsidR="004F2C97">
        <w:t xml:space="preserve"> such as</w:t>
      </w:r>
      <w:r>
        <w:t xml:space="preserve"> food security and humanitarian response. </w:t>
      </w:r>
    </w:p>
    <w:p w14:paraId="464502FD" w14:textId="77777777" w:rsidR="00D67B4C" w:rsidRDefault="00B10FFF" w:rsidP="0043746F">
      <w:pPr>
        <w:pStyle w:val="BodyText"/>
        <w:rPr>
          <w:u w:val="single"/>
        </w:rPr>
      </w:pPr>
      <w:r w:rsidRPr="00B10FFF">
        <w:rPr>
          <w:u w:val="single"/>
        </w:rPr>
        <w:t>Australia</w:t>
      </w:r>
      <w:r w:rsidR="00D67B4C">
        <w:rPr>
          <w:u w:val="single"/>
        </w:rPr>
        <w:t xml:space="preserve"> – </w:t>
      </w:r>
      <w:r w:rsidRPr="00B10FFF">
        <w:rPr>
          <w:u w:val="single"/>
        </w:rPr>
        <w:t>Arab Women’s Dialogue</w:t>
      </w:r>
    </w:p>
    <w:p w14:paraId="464502FE" w14:textId="77777777" w:rsidR="00B10FFF" w:rsidRPr="001337B3" w:rsidRDefault="00B10FFF" w:rsidP="0043746F">
      <w:pPr>
        <w:pStyle w:val="BodyText"/>
      </w:pPr>
      <w:r>
        <w:lastRenderedPageBreak/>
        <w:t xml:space="preserve">Held in </w:t>
      </w:r>
      <w:r w:rsidR="00EE49E2">
        <w:t xml:space="preserve">Canberra in </w:t>
      </w:r>
      <w:r>
        <w:t>April 2013, th</w:t>
      </w:r>
      <w:r w:rsidR="004F2C97">
        <w:t>is</w:t>
      </w:r>
      <w:r>
        <w:t xml:space="preserve"> Dialogue brought together eight influential Arab women leaders </w:t>
      </w:r>
      <w:r w:rsidR="00EE49E2">
        <w:t xml:space="preserve">with leading Australian women from </w:t>
      </w:r>
      <w:r w:rsidR="00EB51B0">
        <w:t>g</w:t>
      </w:r>
      <w:r w:rsidR="00EE49E2">
        <w:t xml:space="preserve">overnment, the private sector and civil society </w:t>
      </w:r>
      <w:r>
        <w:t>to discuss women’s roles and sustaining democratic practice in MENA.</w:t>
      </w:r>
    </w:p>
    <w:p w14:paraId="464502FF" w14:textId="77777777" w:rsidR="0043746F" w:rsidRDefault="00180B19" w:rsidP="0043746F">
      <w:pPr>
        <w:pStyle w:val="Heading2"/>
      </w:pPr>
      <w:r w:rsidRPr="006A0E6D">
        <w:t>Quality at Implementation ratings</w:t>
      </w:r>
    </w:p>
    <w:p w14:paraId="46450300" w14:textId="0B581365" w:rsidR="0043746F" w:rsidRDefault="00904945" w:rsidP="0043746F">
      <w:pPr>
        <w:pStyle w:val="BodyText"/>
      </w:pPr>
      <w:r w:rsidRPr="0043746F">
        <w:rPr>
          <w:b/>
        </w:rPr>
        <w:t>A</w:t>
      </w:r>
      <w:r w:rsidR="00BC73C7" w:rsidRPr="0043746F">
        <w:rPr>
          <w:b/>
        </w:rPr>
        <w:t xml:space="preserve">ssessing program quality for </w:t>
      </w:r>
      <w:r w:rsidR="00FD4FD9" w:rsidRPr="0043746F">
        <w:rPr>
          <w:b/>
        </w:rPr>
        <w:t xml:space="preserve">MENA </w:t>
      </w:r>
      <w:r w:rsidR="00316171" w:rsidRPr="0043746F">
        <w:rPr>
          <w:b/>
        </w:rPr>
        <w:t xml:space="preserve">initiatives </w:t>
      </w:r>
      <w:r w:rsidR="00BC73C7" w:rsidRPr="0043746F">
        <w:rPr>
          <w:b/>
        </w:rPr>
        <w:t>in North Africa (</w:t>
      </w:r>
      <w:r w:rsidR="00A61BD4" w:rsidRPr="00A61BD4">
        <w:rPr>
          <w:b/>
        </w:rPr>
        <w:t>Algeria</w:t>
      </w:r>
      <w:r w:rsidR="00A61BD4">
        <w:rPr>
          <w:b/>
        </w:rPr>
        <w:t xml:space="preserve">, </w:t>
      </w:r>
      <w:r w:rsidR="00BC73C7" w:rsidRPr="0043746F">
        <w:rPr>
          <w:b/>
        </w:rPr>
        <w:t xml:space="preserve">Egypt, </w:t>
      </w:r>
      <w:r w:rsidR="00A61BD4" w:rsidRPr="00A61BD4">
        <w:rPr>
          <w:b/>
        </w:rPr>
        <w:t>Morocco</w:t>
      </w:r>
      <w:r w:rsidR="00A61BD4">
        <w:rPr>
          <w:b/>
        </w:rPr>
        <w:t xml:space="preserve"> </w:t>
      </w:r>
      <w:r w:rsidR="00BC73C7" w:rsidRPr="0043746F">
        <w:rPr>
          <w:b/>
        </w:rPr>
        <w:t xml:space="preserve">and </w:t>
      </w:r>
      <w:r w:rsidR="00A61BD4" w:rsidRPr="00A61BD4">
        <w:rPr>
          <w:b/>
        </w:rPr>
        <w:t>Tunisia</w:t>
      </w:r>
      <w:r w:rsidR="00BC73C7" w:rsidRPr="0043746F">
        <w:rPr>
          <w:b/>
        </w:rPr>
        <w:t xml:space="preserve">) is </w:t>
      </w:r>
      <w:r w:rsidR="00FD4FD9" w:rsidRPr="0043746F">
        <w:rPr>
          <w:b/>
        </w:rPr>
        <w:t>difficult</w:t>
      </w:r>
      <w:r w:rsidR="00BC73C7" w:rsidRPr="0043746F">
        <w:rPr>
          <w:b/>
        </w:rPr>
        <w:t xml:space="preserve"> as it is too early at this stage to make meaningful judgements.</w:t>
      </w:r>
      <w:r w:rsidR="008D0CBF">
        <w:t xml:space="preserve"> </w:t>
      </w:r>
      <w:r w:rsidR="00BC73C7">
        <w:t xml:space="preserve">However, </w:t>
      </w:r>
      <w:r w:rsidR="00F95405">
        <w:t>it is clear that ongoing civil unrest, conflict and economic uncertainty ha</w:t>
      </w:r>
      <w:r w:rsidR="00EB75BD">
        <w:t>ve</w:t>
      </w:r>
      <w:r w:rsidR="00F95405">
        <w:t xml:space="preserve"> the potential to </w:t>
      </w:r>
      <w:r w:rsidR="00EB75BD">
        <w:t xml:space="preserve">negatively </w:t>
      </w:r>
      <w:r w:rsidR="00F95405">
        <w:t xml:space="preserve">affect program quality and sustainability </w:t>
      </w:r>
      <w:r w:rsidR="00EB75BD">
        <w:t>of</w:t>
      </w:r>
      <w:r w:rsidR="00F95405">
        <w:t xml:space="preserve"> programs</w:t>
      </w:r>
      <w:r w:rsidR="00EB75BD">
        <w:t>.</w:t>
      </w:r>
      <w:r w:rsidR="008D0CBF">
        <w:t xml:space="preserve"> </w:t>
      </w:r>
      <w:r w:rsidR="001723C9">
        <w:t xml:space="preserve">Despite the early stage of the North Africa program, more needs to be done to adequately address gender issues, which </w:t>
      </w:r>
      <w:r w:rsidR="00D02013">
        <w:t>received low scores</w:t>
      </w:r>
      <w:r w:rsidR="001723C9">
        <w:t xml:space="preserve"> during the QAI process.</w:t>
      </w:r>
      <w:r w:rsidR="008D0CBF">
        <w:t xml:space="preserve"> </w:t>
      </w:r>
      <w:r w:rsidR="00233FB1">
        <w:t>DFAT</w:t>
      </w:r>
      <w:r w:rsidR="006160DE">
        <w:t xml:space="preserve"> will work closely with ACIAR to determine how best to </w:t>
      </w:r>
      <w:r w:rsidR="00E22135">
        <w:t>strengthen</w:t>
      </w:r>
      <w:r w:rsidR="006160DE">
        <w:t xml:space="preserve"> gender </w:t>
      </w:r>
      <w:r w:rsidR="00E22135">
        <w:t>reporting</w:t>
      </w:r>
      <w:r w:rsidR="006160DE">
        <w:t xml:space="preserve"> across ACIAR-managed activities.</w:t>
      </w:r>
      <w:r w:rsidR="008D0CBF">
        <w:t xml:space="preserve"> </w:t>
      </w:r>
      <w:r w:rsidR="00FB2745">
        <w:t>QAI ratings for North Africa reflect the relatively recent start-up of activities, but also the need to ensure</w:t>
      </w:r>
      <w:r w:rsidR="006A0E6D">
        <w:t xml:space="preserve"> that</w:t>
      </w:r>
      <w:r w:rsidR="00FB2745">
        <w:t xml:space="preserve"> realistic performance frameworks</w:t>
      </w:r>
      <w:r w:rsidR="002972AE">
        <w:t xml:space="preserve"> and robust monitoring and evaluation strategies</w:t>
      </w:r>
      <w:r w:rsidR="00FB2745">
        <w:t xml:space="preserve"> are in place.</w:t>
      </w:r>
      <w:r w:rsidR="008D0CBF">
        <w:t xml:space="preserve"> </w:t>
      </w:r>
      <w:r w:rsidR="00FB2745">
        <w:t xml:space="preserve">This is </w:t>
      </w:r>
      <w:r w:rsidR="002972AE">
        <w:t>required for all North African initiatives to ensure results can be demonstrated.</w:t>
      </w:r>
      <w:r w:rsidR="008D0CBF">
        <w:t xml:space="preserve"> </w:t>
      </w:r>
      <w:r w:rsidR="006340D1">
        <w:t xml:space="preserve">Monitoring program implementation and the broader political economy of the region in general, through greater engagement </w:t>
      </w:r>
      <w:r w:rsidR="0086210B">
        <w:t xml:space="preserve">with </w:t>
      </w:r>
      <w:r w:rsidR="006340D1">
        <w:t xml:space="preserve"> Cairo </w:t>
      </w:r>
      <w:r w:rsidR="001A4F48">
        <w:t>Embassy</w:t>
      </w:r>
      <w:r w:rsidR="006A0E6D">
        <w:t>,</w:t>
      </w:r>
      <w:r w:rsidR="006340D1">
        <w:t xml:space="preserve"> will provide a clearer picture of program quality issues and improve the standard of r</w:t>
      </w:r>
      <w:r w:rsidR="00F33BD9">
        <w:t>eporting from project partners.</w:t>
      </w:r>
      <w:r w:rsidR="00B312AF">
        <w:br/>
      </w:r>
      <w:r w:rsidR="00B312AF">
        <w:br/>
      </w:r>
      <w:r w:rsidR="007D2DB8" w:rsidRPr="0043746F">
        <w:rPr>
          <w:b/>
        </w:rPr>
        <w:t>Whil</w:t>
      </w:r>
      <w:r w:rsidR="006A0E6D">
        <w:rPr>
          <w:b/>
        </w:rPr>
        <w:t>e</w:t>
      </w:r>
      <w:r w:rsidR="007D2DB8" w:rsidRPr="0043746F">
        <w:rPr>
          <w:b/>
        </w:rPr>
        <w:t xml:space="preserve"> not subject to formal QAI processes, </w:t>
      </w:r>
      <w:r w:rsidR="00CC4DA7" w:rsidRPr="0043746F">
        <w:rPr>
          <w:b/>
        </w:rPr>
        <w:t xml:space="preserve">ongoing efforts are being undertaken to understand the extent to which humanitarian action supported by Australia (and delivered by UN and </w:t>
      </w:r>
      <w:r w:rsidR="004F2C97">
        <w:rPr>
          <w:b/>
        </w:rPr>
        <w:t>non-government organisation</w:t>
      </w:r>
      <w:r w:rsidR="00CC4DA7" w:rsidRPr="0043746F">
        <w:rPr>
          <w:b/>
        </w:rPr>
        <w:t xml:space="preserve"> partners) is appropriate and effective.</w:t>
      </w:r>
      <w:r w:rsidR="008D0CBF">
        <w:t xml:space="preserve"> </w:t>
      </w:r>
      <w:r w:rsidR="00CC4DA7" w:rsidRPr="00CC4DA7">
        <w:t xml:space="preserve">Such efforts include ongoing international engagement with UN agencies and other stakeholders at international and regional levels on key areas of concern, and regular discussion with key humanitarian partners </w:t>
      </w:r>
      <w:r w:rsidR="006A0E6D">
        <w:t xml:space="preserve">in </w:t>
      </w:r>
      <w:r w:rsidR="00CC4DA7" w:rsidRPr="00CC4DA7">
        <w:t>Geneva</w:t>
      </w:r>
      <w:r w:rsidR="004F2C97">
        <w:t xml:space="preserve">, </w:t>
      </w:r>
      <w:r w:rsidR="00CC4DA7" w:rsidRPr="00CC4DA7">
        <w:t>Rome</w:t>
      </w:r>
      <w:r w:rsidR="004F2C97">
        <w:t xml:space="preserve"> and </w:t>
      </w:r>
      <w:r w:rsidR="00CC4DA7" w:rsidRPr="00CC4DA7">
        <w:t>New York</w:t>
      </w:r>
      <w:r w:rsidR="006A0E6D">
        <w:t>, as well as</w:t>
      </w:r>
      <w:r w:rsidR="00CC4DA7" w:rsidRPr="00CC4DA7">
        <w:t xml:space="preserve"> at country level </w:t>
      </w:r>
      <w:r w:rsidR="006A0E6D">
        <w:t>on</w:t>
      </w:r>
      <w:r w:rsidR="00CC4DA7" w:rsidRPr="00CC4DA7">
        <w:t xml:space="preserve"> specific country program responses</w:t>
      </w:r>
      <w:r w:rsidR="007D2DB8" w:rsidRPr="00CC4DA7">
        <w:t>.</w:t>
      </w:r>
      <w:r w:rsidR="008D0CBF">
        <w:t xml:space="preserve"> </w:t>
      </w:r>
      <w:r w:rsidR="007D2DB8">
        <w:t>Our assistance is channelled through established, credible partners</w:t>
      </w:r>
      <w:r w:rsidR="004F2C97">
        <w:rPr>
          <w:rStyle w:val="FootnoteReference"/>
        </w:rPr>
        <w:footnoteReference w:id="26"/>
      </w:r>
      <w:r w:rsidR="007D2DB8">
        <w:t xml:space="preserve">, and takes into consideration </w:t>
      </w:r>
      <w:r w:rsidR="00233FB1">
        <w:t>DFAT</w:t>
      </w:r>
      <w:r w:rsidR="007D2DB8">
        <w:t>’s multilateral assessment process.</w:t>
      </w:r>
      <w:r w:rsidR="008D0CBF">
        <w:t xml:space="preserve"> </w:t>
      </w:r>
      <w:r w:rsidR="007D2DB8">
        <w:t>Reporting from these agencies, and consultations with other like-minded donors on partner performance, indicate</w:t>
      </w:r>
      <w:r w:rsidR="006340D1">
        <w:t>s</w:t>
      </w:r>
      <w:r w:rsidR="007D2DB8">
        <w:t xml:space="preserve"> </w:t>
      </w:r>
      <w:r w:rsidR="006340D1">
        <w:t>acceptable</w:t>
      </w:r>
      <w:r w:rsidR="007D2DB8">
        <w:t xml:space="preserve"> progress.</w:t>
      </w:r>
      <w:r w:rsidR="008D0CBF">
        <w:t xml:space="preserve"> </w:t>
      </w:r>
      <w:r w:rsidR="004F2C97">
        <w:t xml:space="preserve">The </w:t>
      </w:r>
      <w:r w:rsidR="007D2DB8">
        <w:t>WFP in particular ha</w:t>
      </w:r>
      <w:r w:rsidR="0086210B">
        <w:t>s</w:t>
      </w:r>
      <w:r w:rsidR="007D2DB8">
        <w:t xml:space="preserve"> been innovative, for example</w:t>
      </w:r>
      <w:r w:rsidR="006340D1">
        <w:t xml:space="preserve"> </w:t>
      </w:r>
      <w:r w:rsidR="00484A83">
        <w:t xml:space="preserve">introducing </w:t>
      </w:r>
      <w:r w:rsidR="006340D1">
        <w:t xml:space="preserve">an </w:t>
      </w:r>
      <w:r w:rsidR="007D2DB8">
        <w:t>electronic food voucher system</w:t>
      </w:r>
      <w:r w:rsidR="00484A83">
        <w:t xml:space="preserve"> in Syria</w:t>
      </w:r>
      <w:r w:rsidR="007D2DB8">
        <w:t>,</w:t>
      </w:r>
      <w:r w:rsidR="006340D1">
        <w:t xml:space="preserve"> which has reached 2.5</w:t>
      </w:r>
      <w:r w:rsidR="004F2C97">
        <w:t> </w:t>
      </w:r>
      <w:r w:rsidR="006340D1">
        <w:t>million people.</w:t>
      </w:r>
      <w:r w:rsidR="008D0CBF">
        <w:t xml:space="preserve"> </w:t>
      </w:r>
      <w:r w:rsidR="00ED2784">
        <w:t>Working</w:t>
      </w:r>
      <w:r w:rsidR="00D305D1">
        <w:t xml:space="preserve"> with</w:t>
      </w:r>
      <w:r w:rsidR="00ED2784">
        <w:t xml:space="preserve"> Australian e</w:t>
      </w:r>
      <w:r w:rsidR="0086210B">
        <w:t xml:space="preserve">mbassies in the Middle East </w:t>
      </w:r>
      <w:r w:rsidR="00EE5D77">
        <w:t>promot</w:t>
      </w:r>
      <w:r w:rsidR="00D305D1">
        <w:t>e</w:t>
      </w:r>
      <w:r w:rsidR="00ED2784">
        <w:t>s</w:t>
      </w:r>
      <w:r w:rsidR="00EE5D77">
        <w:t xml:space="preserve"> and support</w:t>
      </w:r>
      <w:r w:rsidR="004E7989">
        <w:t>s</w:t>
      </w:r>
      <w:r w:rsidR="00EE5D77">
        <w:t xml:space="preserve"> </w:t>
      </w:r>
      <w:r w:rsidR="004E7989">
        <w:t xml:space="preserve">our </w:t>
      </w:r>
      <w:r w:rsidR="00EE5D77">
        <w:t xml:space="preserve">humanitarian </w:t>
      </w:r>
      <w:r w:rsidR="00F25F17">
        <w:t>intervention</w:t>
      </w:r>
      <w:r w:rsidR="00EE5D77">
        <w:t xml:space="preserve"> in the region, including </w:t>
      </w:r>
      <w:r w:rsidR="000A7835">
        <w:t>reporting</w:t>
      </w:r>
      <w:r w:rsidR="00EE5D77">
        <w:t xml:space="preserve"> and liaison</w:t>
      </w:r>
      <w:r w:rsidR="000A7835">
        <w:t xml:space="preserve"> </w:t>
      </w:r>
      <w:r w:rsidR="00F25F17">
        <w:t xml:space="preserve">with partners </w:t>
      </w:r>
      <w:r w:rsidR="000A7835">
        <w:t>has been invaluable</w:t>
      </w:r>
      <w:r w:rsidR="00091E7F">
        <w:t>.</w:t>
      </w:r>
    </w:p>
    <w:p w14:paraId="46450301" w14:textId="689B9C95" w:rsidR="001A18D0" w:rsidRDefault="00316171" w:rsidP="0043746F">
      <w:pPr>
        <w:pStyle w:val="BodyText"/>
        <w:rPr>
          <w:rFonts w:eastAsiaTheme="minorHAnsi"/>
          <w:sz w:val="23"/>
          <w:szCs w:val="23"/>
        </w:rPr>
      </w:pPr>
      <w:r w:rsidRPr="0043746F">
        <w:rPr>
          <w:b/>
        </w:rPr>
        <w:t>Overall, program quality for Iraq initiatives is acceptable</w:t>
      </w:r>
      <w:r w:rsidR="00F50890" w:rsidRPr="0043746F">
        <w:rPr>
          <w:b/>
        </w:rPr>
        <w:t>, though the security situation ha</w:t>
      </w:r>
      <w:r w:rsidR="006A0E6D">
        <w:rPr>
          <w:b/>
        </w:rPr>
        <w:t>d an</w:t>
      </w:r>
      <w:r w:rsidR="00F50890" w:rsidRPr="0043746F">
        <w:rPr>
          <w:b/>
        </w:rPr>
        <w:t xml:space="preserve"> impact on program delivery in 2012</w:t>
      </w:r>
      <w:r w:rsidR="004F2C97">
        <w:rPr>
          <w:b/>
        </w:rPr>
        <w:t>–</w:t>
      </w:r>
      <w:r w:rsidR="00944155">
        <w:rPr>
          <w:b/>
        </w:rPr>
        <w:t>1</w:t>
      </w:r>
      <w:r w:rsidR="00F50890" w:rsidRPr="0043746F">
        <w:rPr>
          <w:b/>
        </w:rPr>
        <w:t>3.</w:t>
      </w:r>
      <w:r w:rsidR="008D0CBF">
        <w:t xml:space="preserve"> </w:t>
      </w:r>
      <w:r w:rsidR="00F50890" w:rsidRPr="0043746F">
        <w:t>T</w:t>
      </w:r>
      <w:r w:rsidR="00F50890" w:rsidRPr="0043746F">
        <w:rPr>
          <w:rFonts w:eastAsiaTheme="minorHAnsi"/>
        </w:rPr>
        <w:t xml:space="preserve">he security situation in Iraq </w:t>
      </w:r>
      <w:r w:rsidR="00E66FD2" w:rsidRPr="0043746F">
        <w:rPr>
          <w:rFonts w:eastAsiaTheme="minorHAnsi"/>
        </w:rPr>
        <w:t xml:space="preserve">is still volatile and </w:t>
      </w:r>
      <w:r w:rsidR="00F50890" w:rsidRPr="0043746F">
        <w:rPr>
          <w:rFonts w:eastAsiaTheme="minorHAnsi"/>
        </w:rPr>
        <w:t>incidents continue regularly</w:t>
      </w:r>
      <w:r w:rsidR="00D02013" w:rsidRPr="0043746F">
        <w:rPr>
          <w:rFonts w:eastAsiaTheme="minorHAnsi"/>
        </w:rPr>
        <w:t>,</w:t>
      </w:r>
      <w:r w:rsidR="00F50890" w:rsidRPr="0043746F">
        <w:rPr>
          <w:rFonts w:eastAsiaTheme="minorHAnsi"/>
        </w:rPr>
        <w:t xml:space="preserve"> including large-scale attacks against security and civilian targets. The political situation remains unpredictable, affecting the Government’s ability to manage security and focus on development issues. </w:t>
      </w:r>
      <w:r w:rsidR="00E66FD2" w:rsidRPr="0043746F">
        <w:rPr>
          <w:rFonts w:eastAsiaTheme="minorHAnsi"/>
        </w:rPr>
        <w:t>I</w:t>
      </w:r>
      <w:r w:rsidR="00F50890" w:rsidRPr="0043746F">
        <w:rPr>
          <w:rFonts w:eastAsiaTheme="minorHAnsi"/>
        </w:rPr>
        <w:t xml:space="preserve">raq </w:t>
      </w:r>
      <w:r w:rsidR="00E66FD2" w:rsidRPr="0043746F">
        <w:rPr>
          <w:rFonts w:eastAsiaTheme="minorHAnsi"/>
        </w:rPr>
        <w:t xml:space="preserve">also </w:t>
      </w:r>
      <w:r w:rsidR="00F50890" w:rsidRPr="0043746F">
        <w:rPr>
          <w:rFonts w:eastAsiaTheme="minorHAnsi"/>
        </w:rPr>
        <w:t>remains vulnerable to regional instability. The</w:t>
      </w:r>
      <w:r w:rsidR="00E66FD2" w:rsidRPr="0043746F">
        <w:rPr>
          <w:rFonts w:eastAsiaTheme="minorHAnsi"/>
        </w:rPr>
        <w:t xml:space="preserve"> </w:t>
      </w:r>
      <w:r w:rsidR="00F50890" w:rsidRPr="0043746F">
        <w:rPr>
          <w:rFonts w:eastAsiaTheme="minorHAnsi"/>
        </w:rPr>
        <w:t xml:space="preserve">Syrian crisis, which is spilling over to Iraq </w:t>
      </w:r>
      <w:r w:rsidR="00F42A0E" w:rsidRPr="0043746F">
        <w:rPr>
          <w:rFonts w:eastAsiaTheme="minorHAnsi"/>
        </w:rPr>
        <w:t>and</w:t>
      </w:r>
      <w:r w:rsidR="00F50890" w:rsidRPr="0043746F">
        <w:rPr>
          <w:rFonts w:eastAsiaTheme="minorHAnsi"/>
        </w:rPr>
        <w:t xml:space="preserve"> other neighbouring countries, is adding to </w:t>
      </w:r>
      <w:r w:rsidR="006A0E6D">
        <w:rPr>
          <w:rFonts w:eastAsiaTheme="minorHAnsi"/>
        </w:rPr>
        <w:t>this</w:t>
      </w:r>
      <w:r w:rsidR="006A0E6D" w:rsidRPr="0043746F">
        <w:rPr>
          <w:rFonts w:eastAsiaTheme="minorHAnsi"/>
        </w:rPr>
        <w:t xml:space="preserve"> </w:t>
      </w:r>
      <w:r w:rsidR="00F50890" w:rsidRPr="0043746F">
        <w:rPr>
          <w:rFonts w:eastAsiaTheme="minorHAnsi"/>
        </w:rPr>
        <w:t>already difficult situation.</w:t>
      </w:r>
      <w:r w:rsidR="00F50890" w:rsidRPr="008D0CBF">
        <w:rPr>
          <w:rFonts w:eastAsiaTheme="minorHAnsi"/>
          <w:vertAlign w:val="superscript"/>
        </w:rPr>
        <w:footnoteReference w:id="27"/>
      </w:r>
      <w:r w:rsidR="008D0CBF">
        <w:rPr>
          <w:rFonts w:eastAsiaTheme="minorHAnsi"/>
        </w:rPr>
        <w:t xml:space="preserve"> </w:t>
      </w:r>
      <w:r w:rsidR="00F50890" w:rsidRPr="0043746F">
        <w:rPr>
          <w:rFonts w:eastAsiaTheme="minorHAnsi"/>
        </w:rPr>
        <w:t xml:space="preserve">Monitoring and evaluation of Australian aid in </w:t>
      </w:r>
      <w:r w:rsidR="00F42A0E" w:rsidRPr="0043746F">
        <w:rPr>
          <w:rFonts w:eastAsiaTheme="minorHAnsi"/>
        </w:rPr>
        <w:t xml:space="preserve">the field in </w:t>
      </w:r>
      <w:r w:rsidR="00F50890" w:rsidRPr="0043746F">
        <w:rPr>
          <w:rFonts w:eastAsiaTheme="minorHAnsi"/>
        </w:rPr>
        <w:t>Iraq is extremely difficult given the adverse security environment</w:t>
      </w:r>
      <w:r w:rsidR="00F42A0E" w:rsidRPr="0043746F">
        <w:rPr>
          <w:rFonts w:eastAsiaTheme="minorHAnsi"/>
        </w:rPr>
        <w:t xml:space="preserve"> and will remain so as the program phases out.</w:t>
      </w:r>
      <w:r w:rsidR="008D0CBF">
        <w:rPr>
          <w:rFonts w:eastAsiaTheme="minorHAnsi"/>
        </w:rPr>
        <w:t xml:space="preserve"> </w:t>
      </w:r>
      <w:r w:rsidR="00D305D1">
        <w:rPr>
          <w:rFonts w:eastAsiaTheme="minorHAnsi"/>
        </w:rPr>
        <w:t>DFAT</w:t>
      </w:r>
      <w:r w:rsidR="00D27132" w:rsidRPr="0043746F">
        <w:rPr>
          <w:rFonts w:eastAsiaTheme="minorHAnsi"/>
        </w:rPr>
        <w:t xml:space="preserve"> remains in close contact with project partners in Iraq and with Australia’s Embassy in Baghdad to monitor the security situation and its impacts on the aid program.</w:t>
      </w:r>
      <w:r w:rsidR="008D0CBF">
        <w:rPr>
          <w:rFonts w:eastAsiaTheme="minorHAnsi"/>
          <w:sz w:val="23"/>
          <w:szCs w:val="23"/>
        </w:rPr>
        <w:t xml:space="preserve"> </w:t>
      </w:r>
    </w:p>
    <w:p w14:paraId="46450302" w14:textId="1CB433AE" w:rsidR="00F42A0E" w:rsidRPr="0043746F" w:rsidRDefault="00D27132" w:rsidP="0043746F">
      <w:pPr>
        <w:pStyle w:val="BodyText"/>
        <w:rPr>
          <w:rFonts w:eastAsiaTheme="minorHAnsi"/>
        </w:rPr>
      </w:pPr>
      <w:r w:rsidRPr="0043746F">
        <w:rPr>
          <w:rFonts w:eastAsiaTheme="minorHAnsi"/>
        </w:rPr>
        <w:t xml:space="preserve">QAI ratings for gender equality </w:t>
      </w:r>
      <w:r w:rsidR="001A18D0" w:rsidRPr="0043746F">
        <w:rPr>
          <w:rFonts w:eastAsiaTheme="minorHAnsi"/>
        </w:rPr>
        <w:t>a</w:t>
      </w:r>
      <w:r w:rsidRPr="0043746F">
        <w:rPr>
          <w:rFonts w:eastAsiaTheme="minorHAnsi"/>
        </w:rPr>
        <w:t>re low.</w:t>
      </w:r>
      <w:r w:rsidR="008D0CBF">
        <w:rPr>
          <w:rFonts w:eastAsiaTheme="minorHAnsi"/>
        </w:rPr>
        <w:t xml:space="preserve"> </w:t>
      </w:r>
      <w:r w:rsidR="002B32ED" w:rsidRPr="0043746F">
        <w:rPr>
          <w:rFonts w:eastAsiaTheme="minorHAnsi"/>
        </w:rPr>
        <w:t>While existing projects demonstrate a degree of gender awareness</w:t>
      </w:r>
      <w:r w:rsidR="0083563D" w:rsidRPr="0043746F">
        <w:rPr>
          <w:rFonts w:eastAsiaTheme="minorHAnsi"/>
        </w:rPr>
        <w:t>, they do not actively promote gender equality.</w:t>
      </w:r>
      <w:r w:rsidR="008D0CBF">
        <w:rPr>
          <w:rFonts w:eastAsiaTheme="minorHAnsi"/>
        </w:rPr>
        <w:t xml:space="preserve"> </w:t>
      </w:r>
      <w:r w:rsidR="0083563D" w:rsidRPr="0043746F">
        <w:rPr>
          <w:rFonts w:eastAsiaTheme="minorHAnsi"/>
        </w:rPr>
        <w:t>Given</w:t>
      </w:r>
      <w:r w:rsidR="006A0E6D">
        <w:rPr>
          <w:rFonts w:eastAsiaTheme="minorHAnsi"/>
        </w:rPr>
        <w:t xml:space="preserve"> that</w:t>
      </w:r>
      <w:r w:rsidR="0083563D" w:rsidRPr="0043746F">
        <w:rPr>
          <w:rFonts w:eastAsiaTheme="minorHAnsi"/>
        </w:rPr>
        <w:t xml:space="preserve"> </w:t>
      </w:r>
      <w:r w:rsidR="005A572A" w:rsidRPr="0043746F">
        <w:rPr>
          <w:rFonts w:eastAsiaTheme="minorHAnsi"/>
        </w:rPr>
        <w:t xml:space="preserve">a significant </w:t>
      </w:r>
      <w:r w:rsidR="005A572A" w:rsidRPr="0043746F">
        <w:rPr>
          <w:rFonts w:eastAsiaTheme="minorHAnsi"/>
        </w:rPr>
        <w:lastRenderedPageBreak/>
        <w:t xml:space="preserve">number of </w:t>
      </w:r>
      <w:r w:rsidR="0083563D" w:rsidRPr="0043746F">
        <w:rPr>
          <w:rFonts w:eastAsiaTheme="minorHAnsi"/>
        </w:rPr>
        <w:t xml:space="preserve">farmers in the MENA region are women, women’s participation and gender equality issues need to be at the forefront of </w:t>
      </w:r>
      <w:r w:rsidR="006A0E6D">
        <w:rPr>
          <w:rFonts w:eastAsiaTheme="minorHAnsi"/>
        </w:rPr>
        <w:t>ou</w:t>
      </w:r>
      <w:r w:rsidR="00944155">
        <w:rPr>
          <w:rFonts w:eastAsiaTheme="minorHAnsi"/>
        </w:rPr>
        <w:t>r</w:t>
      </w:r>
      <w:r w:rsidR="006A0E6D" w:rsidRPr="0043746F">
        <w:rPr>
          <w:rFonts w:eastAsiaTheme="minorHAnsi"/>
        </w:rPr>
        <w:t xml:space="preserve"> </w:t>
      </w:r>
      <w:r w:rsidR="0083563D" w:rsidRPr="0043746F">
        <w:rPr>
          <w:rFonts w:eastAsiaTheme="minorHAnsi"/>
        </w:rPr>
        <w:t>work in the region.</w:t>
      </w:r>
      <w:r w:rsidR="008D0CBF">
        <w:rPr>
          <w:rFonts w:eastAsiaTheme="minorHAnsi"/>
        </w:rPr>
        <w:t xml:space="preserve"> </w:t>
      </w:r>
    </w:p>
    <w:p w14:paraId="46450303" w14:textId="77777777" w:rsidR="00180B19" w:rsidRPr="0043746F" w:rsidRDefault="00180B19" w:rsidP="0043746F">
      <w:pPr>
        <w:pStyle w:val="Heading1"/>
      </w:pPr>
      <w:r w:rsidRPr="0043746F">
        <w:t xml:space="preserve">Management </w:t>
      </w:r>
      <w:r w:rsidR="006A0E6D">
        <w:t>c</w:t>
      </w:r>
      <w:r w:rsidRPr="0043746F">
        <w:t>onsequences</w:t>
      </w:r>
    </w:p>
    <w:p w14:paraId="46450304" w14:textId="77777777" w:rsidR="00992FEA" w:rsidRPr="00270887" w:rsidRDefault="006A0E6D" w:rsidP="00737EB1">
      <w:pPr>
        <w:pStyle w:val="BodyText"/>
        <w:rPr>
          <w:szCs w:val="22"/>
        </w:rPr>
      </w:pPr>
      <w:r>
        <w:rPr>
          <w:szCs w:val="22"/>
        </w:rPr>
        <w:t>Australia’s</w:t>
      </w:r>
      <w:r w:rsidR="0026013F">
        <w:rPr>
          <w:szCs w:val="22"/>
        </w:rPr>
        <w:t xml:space="preserve"> key priority </w:t>
      </w:r>
      <w:r w:rsidR="00A61BD4">
        <w:rPr>
          <w:szCs w:val="22"/>
        </w:rPr>
        <w:t xml:space="preserve">for 2013-14 </w:t>
      </w:r>
      <w:r w:rsidR="0026013F">
        <w:rPr>
          <w:szCs w:val="22"/>
        </w:rPr>
        <w:t xml:space="preserve">will </w:t>
      </w:r>
      <w:r>
        <w:rPr>
          <w:szCs w:val="22"/>
        </w:rPr>
        <w:t xml:space="preserve">be to </w:t>
      </w:r>
      <w:r w:rsidR="009859EA">
        <w:rPr>
          <w:szCs w:val="22"/>
        </w:rPr>
        <w:t xml:space="preserve">continue </w:t>
      </w:r>
      <w:r>
        <w:rPr>
          <w:szCs w:val="22"/>
        </w:rPr>
        <w:t>our</w:t>
      </w:r>
      <w:r w:rsidR="009859EA">
        <w:rPr>
          <w:szCs w:val="22"/>
        </w:rPr>
        <w:t xml:space="preserve"> response to the </w:t>
      </w:r>
      <w:r w:rsidR="00992FEA">
        <w:rPr>
          <w:szCs w:val="22"/>
        </w:rPr>
        <w:t xml:space="preserve">humanitarian </w:t>
      </w:r>
      <w:r w:rsidR="009859EA">
        <w:rPr>
          <w:szCs w:val="22"/>
        </w:rPr>
        <w:t>crisis in Syria</w:t>
      </w:r>
      <w:r w:rsidR="00992FEA">
        <w:rPr>
          <w:szCs w:val="22"/>
        </w:rPr>
        <w:t>.</w:t>
      </w:r>
      <w:r w:rsidR="008D0CBF">
        <w:rPr>
          <w:szCs w:val="22"/>
        </w:rPr>
        <w:t xml:space="preserve"> </w:t>
      </w:r>
      <w:r w:rsidR="00992FEA">
        <w:t>Recognising</w:t>
      </w:r>
      <w:r>
        <w:t xml:space="preserve"> that</w:t>
      </w:r>
      <w:r w:rsidR="00992FEA">
        <w:t xml:space="preserve"> the crisis is likely to be protracted, and given </w:t>
      </w:r>
      <w:r>
        <w:t xml:space="preserve">our </w:t>
      </w:r>
      <w:r w:rsidR="00992FEA">
        <w:t xml:space="preserve">significant contributions to date, </w:t>
      </w:r>
      <w:r>
        <w:t>we</w:t>
      </w:r>
      <w:r w:rsidR="00992FEA">
        <w:t xml:space="preserve"> need to:</w:t>
      </w:r>
    </w:p>
    <w:p w14:paraId="46450305" w14:textId="77777777" w:rsidR="00992FEA" w:rsidRPr="001D7222" w:rsidRDefault="00EB51B0" w:rsidP="00737EB1">
      <w:pPr>
        <w:pStyle w:val="ListBullet"/>
      </w:pPr>
      <w:r>
        <w:t>c</w:t>
      </w:r>
      <w:r w:rsidR="00992FEA" w:rsidRPr="001D7222">
        <w:t>ontinually adapt and refine our strategy to respond (in terms of partners, communications strategy</w:t>
      </w:r>
      <w:r w:rsidR="006A0E6D">
        <w:t xml:space="preserve"> and</w:t>
      </w:r>
      <w:r w:rsidR="00992FEA" w:rsidRPr="001D7222">
        <w:t xml:space="preserve"> results) to ensure the effectiveness of our aid and timely allocation of</w:t>
      </w:r>
      <w:r w:rsidR="006A0E6D">
        <w:t xml:space="preserve"> our</w:t>
      </w:r>
      <w:r w:rsidR="00992FEA" w:rsidRPr="001D7222">
        <w:t xml:space="preserve"> limited funds to highest priority humanitarian needs</w:t>
      </w:r>
    </w:p>
    <w:p w14:paraId="46450306" w14:textId="77777777" w:rsidR="00992FEA" w:rsidRPr="001D7222" w:rsidRDefault="00EB51B0" w:rsidP="00737EB1">
      <w:pPr>
        <w:pStyle w:val="ListBullet"/>
      </w:pPr>
      <w:r>
        <w:t>b</w:t>
      </w:r>
      <w:r w:rsidR="00992FEA" w:rsidRPr="001D7222">
        <w:t>e alert to opportunities and needs for support of stabilisation, recovery and reconstruction post-conflict</w:t>
      </w:r>
    </w:p>
    <w:p w14:paraId="46450307" w14:textId="482F5E78" w:rsidR="00992FEA" w:rsidRPr="001D7222" w:rsidRDefault="00EB51B0" w:rsidP="00737EB1">
      <w:pPr>
        <w:pStyle w:val="ListBullet"/>
      </w:pPr>
      <w:r>
        <w:t>a</w:t>
      </w:r>
      <w:r w:rsidR="00A61BD4">
        <w:t xml:space="preserve">pply additional resources at </w:t>
      </w:r>
      <w:r w:rsidR="00D305D1">
        <w:t>DFAT</w:t>
      </w:r>
      <w:r w:rsidR="00A61BD4">
        <w:t xml:space="preserve"> in </w:t>
      </w:r>
      <w:r w:rsidR="00992FEA" w:rsidRPr="001D7222">
        <w:t>Canberra and</w:t>
      </w:r>
      <w:r w:rsidR="00A61BD4">
        <w:t xml:space="preserve"> in</w:t>
      </w:r>
      <w:r w:rsidR="00992FEA" w:rsidRPr="001D7222">
        <w:t xml:space="preserve"> the region</w:t>
      </w:r>
      <w:r w:rsidR="006A0E6D">
        <w:t>,</w:t>
      </w:r>
      <w:r w:rsidR="00992FEA" w:rsidRPr="001D7222">
        <w:t xml:space="preserve"> including humanitarian expertise in Canberra</w:t>
      </w:r>
      <w:r>
        <w:t>,</w:t>
      </w:r>
      <w:r w:rsidR="00992FEA" w:rsidRPr="001D7222">
        <w:t xml:space="preserve"> and dedicated personnel in countries bordering Syria</w:t>
      </w:r>
      <w:r>
        <w:t>, particularly Lebanon and Jordan</w:t>
      </w:r>
      <w:r w:rsidR="001D7222">
        <w:t>.</w:t>
      </w:r>
    </w:p>
    <w:p w14:paraId="46450308" w14:textId="77777777" w:rsidR="00353456" w:rsidRDefault="00992FEA" w:rsidP="00737EB1">
      <w:pPr>
        <w:pStyle w:val="BodyText"/>
      </w:pPr>
      <w:r>
        <w:t xml:space="preserve">More broadly, </w:t>
      </w:r>
      <w:r w:rsidR="006A0E6D">
        <w:t>we</w:t>
      </w:r>
      <w:r>
        <w:t xml:space="preserve"> need t</w:t>
      </w:r>
      <w:r w:rsidR="0026013F">
        <w:t xml:space="preserve">o </w:t>
      </w:r>
      <w:r w:rsidR="00353456">
        <w:t xml:space="preserve">consolidate the MENA program </w:t>
      </w:r>
      <w:r w:rsidR="000A7835">
        <w:t>by:</w:t>
      </w:r>
    </w:p>
    <w:p w14:paraId="46450309" w14:textId="0CC450BE" w:rsidR="0026013F" w:rsidRPr="001D7222" w:rsidRDefault="004E7989" w:rsidP="00737EB1">
      <w:pPr>
        <w:pStyle w:val="ListBullet"/>
      </w:pPr>
      <w:r>
        <w:t xml:space="preserve">reviewing and aligning our investments with our interests; and </w:t>
      </w:r>
    </w:p>
    <w:p w14:paraId="4645030B" w14:textId="77777777" w:rsidR="002D0D3A" w:rsidRPr="001D7222" w:rsidRDefault="00EB51B0" w:rsidP="00737EB1">
      <w:pPr>
        <w:pStyle w:val="ListBullet"/>
      </w:pPr>
      <w:r>
        <w:t>c</w:t>
      </w:r>
      <w:r w:rsidR="00992FEA" w:rsidRPr="001D7222">
        <w:t>ontinu</w:t>
      </w:r>
      <w:r w:rsidR="00944155">
        <w:t>ing</w:t>
      </w:r>
      <w:r w:rsidR="00992FEA" w:rsidRPr="001D7222">
        <w:t xml:space="preserve"> to manage the phase-out of </w:t>
      </w:r>
      <w:r w:rsidR="00944155">
        <w:t>our</w:t>
      </w:r>
      <w:r w:rsidR="00944155" w:rsidRPr="001D7222">
        <w:t xml:space="preserve"> </w:t>
      </w:r>
      <w:r w:rsidR="00992FEA" w:rsidRPr="001D7222">
        <w:t>assistance to Iraq</w:t>
      </w:r>
      <w:r w:rsidR="002D0D3A" w:rsidRPr="001D7222">
        <w:t>.</w:t>
      </w:r>
    </w:p>
    <w:p w14:paraId="4645030C" w14:textId="0556E987" w:rsidR="00E66FD2" w:rsidRDefault="00D305D1" w:rsidP="00737EB1">
      <w:pPr>
        <w:pStyle w:val="BodyText"/>
      </w:pPr>
      <w:r>
        <w:t>DFAT</w:t>
      </w:r>
      <w:r w:rsidR="006A0E6D">
        <w:t xml:space="preserve"> will refine the roles and responsibilities of </w:t>
      </w:r>
      <w:r w:rsidR="000A7835">
        <w:t xml:space="preserve">  </w:t>
      </w:r>
      <w:r w:rsidR="004E7989">
        <w:t xml:space="preserve">staff </w:t>
      </w:r>
      <w:r w:rsidR="00D02013">
        <w:t xml:space="preserve">in Cairo </w:t>
      </w:r>
      <w:r w:rsidR="000A7835">
        <w:t xml:space="preserve">to </w:t>
      </w:r>
      <w:r w:rsidR="00D02013">
        <w:t>support</w:t>
      </w:r>
      <w:r w:rsidR="001D7222">
        <w:t xml:space="preserve"> </w:t>
      </w:r>
      <w:r w:rsidR="006A0E6D">
        <w:t xml:space="preserve">program </w:t>
      </w:r>
      <w:r w:rsidR="000A7835">
        <w:t>consolidation and management</w:t>
      </w:r>
      <w:r w:rsidR="001D7222">
        <w:t>, including humanitarian response in Syria</w:t>
      </w:r>
      <w:r w:rsidR="000A7835">
        <w:t>.</w:t>
      </w:r>
    </w:p>
    <w:p w14:paraId="4645030D" w14:textId="724991DE" w:rsidR="0083563D" w:rsidRDefault="00D305D1" w:rsidP="00737EB1">
      <w:pPr>
        <w:pStyle w:val="BodyText"/>
      </w:pPr>
      <w:r>
        <w:t>DFAT</w:t>
      </w:r>
      <w:r w:rsidR="006A0E6D">
        <w:t xml:space="preserve"> will undertake a</w:t>
      </w:r>
      <w:r w:rsidR="0083563D">
        <w:t xml:space="preserve"> desk review of the gender aspects of Australia’s aid to MENA countries.</w:t>
      </w:r>
    </w:p>
    <w:p w14:paraId="4645030F" w14:textId="0B6DE9D6" w:rsidR="00737EB1" w:rsidRDefault="00A51DBC" w:rsidP="00256840">
      <w:pPr>
        <w:spacing w:after="200" w:line="276" w:lineRule="auto"/>
      </w:pPr>
      <w:r>
        <w:br w:type="page"/>
      </w:r>
    </w:p>
    <w:p w14:paraId="46450310" w14:textId="77777777" w:rsidR="00E253B7" w:rsidRPr="00737EB1" w:rsidRDefault="00BE65E4" w:rsidP="00737EB1">
      <w:pPr>
        <w:pStyle w:val="Caption"/>
      </w:pPr>
      <w:r w:rsidRPr="00737EB1">
        <w:lastRenderedPageBreak/>
        <w:t xml:space="preserve">Table </w:t>
      </w:r>
      <w:fldSimple w:instr=" SEQ Table \* ARABIC ">
        <w:r w:rsidR="00B22F61">
          <w:rPr>
            <w:noProof/>
          </w:rPr>
          <w:t>3</w:t>
        </w:r>
      </w:fldSimple>
      <w:r w:rsidRPr="00737EB1">
        <w:t xml:space="preserve"> Risks associated with the program and management actions</w:t>
      </w:r>
    </w:p>
    <w:tbl>
      <w:tblPr>
        <w:tblStyle w:val="APPR"/>
        <w:tblW w:w="5000" w:type="pct"/>
        <w:tblLook w:val="0600" w:firstRow="0" w:lastRow="0" w:firstColumn="0" w:lastColumn="0" w:noHBand="1" w:noVBand="1"/>
      </w:tblPr>
      <w:tblGrid>
        <w:gridCol w:w="4434"/>
        <w:gridCol w:w="4172"/>
      </w:tblGrid>
      <w:tr w:rsidR="00180B19" w:rsidRPr="00E30037" w14:paraId="46450313" w14:textId="77777777" w:rsidTr="00737EB1">
        <w:trPr>
          <w:cantSplit/>
          <w:tblHeader w:val="0"/>
        </w:trPr>
        <w:tc>
          <w:tcPr>
            <w:tcW w:w="4363" w:type="dxa"/>
            <w:hideMark/>
          </w:tcPr>
          <w:p w14:paraId="46450311" w14:textId="77777777" w:rsidR="00180B19" w:rsidRPr="001B11F9" w:rsidRDefault="00180B19" w:rsidP="001B11F9">
            <w:pPr>
              <w:pStyle w:val="TableTextColumnHeading"/>
            </w:pPr>
            <w:r w:rsidRPr="001B11F9">
              <w:t>Most significant risks</w:t>
            </w:r>
          </w:p>
        </w:tc>
        <w:tc>
          <w:tcPr>
            <w:tcW w:w="4103" w:type="dxa"/>
          </w:tcPr>
          <w:p w14:paraId="46450312" w14:textId="77777777" w:rsidR="00180B19" w:rsidRPr="001B11F9" w:rsidRDefault="00180B19" w:rsidP="006A0E6D">
            <w:pPr>
              <w:pStyle w:val="TableTextColumnHeading"/>
            </w:pPr>
            <w:r w:rsidRPr="001B11F9">
              <w:t xml:space="preserve">Management </w:t>
            </w:r>
            <w:r w:rsidR="006A0E6D">
              <w:t>r</w:t>
            </w:r>
            <w:r w:rsidRPr="001B11F9">
              <w:t>esponse</w:t>
            </w:r>
            <w:r w:rsidR="006A0E6D">
              <w:t>—</w:t>
            </w:r>
            <w:r w:rsidRPr="001B11F9">
              <w:t xml:space="preserve">What? Who? How? When? </w:t>
            </w:r>
          </w:p>
        </w:tc>
      </w:tr>
      <w:tr w:rsidR="00180B19" w:rsidRPr="00E30037" w14:paraId="46450316" w14:textId="77777777" w:rsidTr="00737EB1">
        <w:trPr>
          <w:cantSplit/>
          <w:tblHeader w:val="0"/>
        </w:trPr>
        <w:tc>
          <w:tcPr>
            <w:tcW w:w="4363" w:type="dxa"/>
            <w:hideMark/>
          </w:tcPr>
          <w:p w14:paraId="46450314" w14:textId="77777777" w:rsidR="00180B19" w:rsidRPr="001B11F9" w:rsidRDefault="00C4502A" w:rsidP="00C4502A">
            <w:pPr>
              <w:pStyle w:val="TableTextEntries"/>
            </w:pPr>
            <w:r>
              <w:t xml:space="preserve">The </w:t>
            </w:r>
            <w:r w:rsidR="00A51DBC">
              <w:t xml:space="preserve">unpredictability of the </w:t>
            </w:r>
            <w:r w:rsidR="001C396F" w:rsidRPr="001B11F9">
              <w:t xml:space="preserve">conflict </w:t>
            </w:r>
            <w:r w:rsidR="00532F2F" w:rsidRPr="001B11F9">
              <w:t xml:space="preserve">in Syria </w:t>
            </w:r>
            <w:r w:rsidR="001C396F" w:rsidRPr="001B11F9">
              <w:t>impact</w:t>
            </w:r>
            <w:r w:rsidR="00A51DBC">
              <w:t>s</w:t>
            </w:r>
            <w:r w:rsidR="001C396F" w:rsidRPr="001B11F9">
              <w:t xml:space="preserve"> on implementing </w:t>
            </w:r>
            <w:r w:rsidRPr="001B11F9">
              <w:t>partner</w:t>
            </w:r>
            <w:r>
              <w:t>’s access to</w:t>
            </w:r>
            <w:r w:rsidR="001C396F" w:rsidRPr="001B11F9">
              <w:t xml:space="preserve"> the most vulnerable populations</w:t>
            </w:r>
            <w:r w:rsidR="00BC73C7" w:rsidRPr="001B11F9">
              <w:t xml:space="preserve"> </w:t>
            </w:r>
            <w:r w:rsidRPr="00C4502A">
              <w:t>and planning for</w:t>
            </w:r>
            <w:r w:rsidR="00BC73C7" w:rsidRPr="001B11F9">
              <w:t xml:space="preserve"> the crisis.</w:t>
            </w:r>
          </w:p>
        </w:tc>
        <w:tc>
          <w:tcPr>
            <w:tcW w:w="4103" w:type="dxa"/>
          </w:tcPr>
          <w:p w14:paraId="46450315" w14:textId="046B7332" w:rsidR="00532F2F" w:rsidRPr="001B11F9" w:rsidRDefault="009C7099" w:rsidP="004E7989">
            <w:pPr>
              <w:pStyle w:val="TableTextEntries"/>
            </w:pPr>
            <w:r w:rsidRPr="001B11F9">
              <w:t xml:space="preserve"> Post</w:t>
            </w:r>
            <w:r w:rsidR="004E7989">
              <w:t>s</w:t>
            </w:r>
            <w:r w:rsidR="006A0E6D">
              <w:t xml:space="preserve"> to continue to report</w:t>
            </w:r>
            <w:r w:rsidRPr="001B11F9">
              <w:t xml:space="preserve"> from the region.</w:t>
            </w:r>
            <w:r w:rsidR="00AA7317" w:rsidRPr="001B11F9">
              <w:t xml:space="preserve"> </w:t>
            </w:r>
            <w:r w:rsidR="00D305D1">
              <w:t>The</w:t>
            </w:r>
            <w:r w:rsidR="00AA7317" w:rsidRPr="001B11F9">
              <w:t xml:space="preserve"> MENA Section and </w:t>
            </w:r>
            <w:r w:rsidR="00007F50">
              <w:t>H</w:t>
            </w:r>
            <w:r w:rsidR="00AA7317" w:rsidRPr="001B11F9">
              <w:t xml:space="preserve">umanitarian </w:t>
            </w:r>
            <w:r w:rsidR="00007F50">
              <w:t>Section</w:t>
            </w:r>
            <w:r w:rsidR="006A0E6D">
              <w:t xml:space="preserve"> to continue to regularly and closely monitor the situation</w:t>
            </w:r>
            <w:r w:rsidR="00AA7317" w:rsidRPr="001B11F9">
              <w:t>,</w:t>
            </w:r>
            <w:r w:rsidR="00C4502A">
              <w:t xml:space="preserve"> and provide</w:t>
            </w:r>
            <w:r w:rsidR="006A0E6D">
              <w:t xml:space="preserve"> support through</w:t>
            </w:r>
            <w:r w:rsidR="00AA7317" w:rsidRPr="001B11F9">
              <w:t xml:space="preserve"> ongoing regular </w:t>
            </w:r>
            <w:r w:rsidR="006A0E6D">
              <w:t>discussion</w:t>
            </w:r>
            <w:r w:rsidR="006A0E6D" w:rsidRPr="001B11F9">
              <w:t xml:space="preserve"> </w:t>
            </w:r>
            <w:r w:rsidR="00AA7317" w:rsidRPr="001B11F9">
              <w:t>with implementing partners.</w:t>
            </w:r>
            <w:r w:rsidR="008D0CBF">
              <w:t xml:space="preserve"> </w:t>
            </w:r>
            <w:r w:rsidR="00D305D1">
              <w:t>DFAT</w:t>
            </w:r>
            <w:r w:rsidR="006A0E6D">
              <w:t xml:space="preserve"> to m</w:t>
            </w:r>
            <w:r w:rsidR="00AA7317" w:rsidRPr="001B11F9">
              <w:t xml:space="preserve">aintain </w:t>
            </w:r>
            <w:r w:rsidR="006A0E6D">
              <w:t>discussion</w:t>
            </w:r>
            <w:r w:rsidR="006A0E6D" w:rsidRPr="001B11F9">
              <w:t xml:space="preserve"> </w:t>
            </w:r>
            <w:r w:rsidR="00AA7317" w:rsidRPr="001B11F9">
              <w:t>with like-minded donors responding to the crisis.</w:t>
            </w:r>
            <w:r w:rsidR="008D0CBF">
              <w:t xml:space="preserve"> </w:t>
            </w:r>
          </w:p>
        </w:tc>
      </w:tr>
      <w:tr w:rsidR="001B11F9" w:rsidRPr="00E30037" w14:paraId="46450319" w14:textId="77777777" w:rsidTr="00737EB1">
        <w:trPr>
          <w:cantSplit/>
          <w:tblHeader w:val="0"/>
        </w:trPr>
        <w:tc>
          <w:tcPr>
            <w:tcW w:w="4363" w:type="dxa"/>
          </w:tcPr>
          <w:p w14:paraId="46450317" w14:textId="77777777" w:rsidR="001B11F9" w:rsidRPr="001B11F9" w:rsidRDefault="001B11F9" w:rsidP="001B11F9">
            <w:pPr>
              <w:pStyle w:val="TableTextEntries"/>
            </w:pPr>
            <w:r w:rsidRPr="001B11F9">
              <w:t xml:space="preserve">Inadequate resources to manage a rapidly escalating humanitarian crisis response (Syria). </w:t>
            </w:r>
          </w:p>
        </w:tc>
        <w:tc>
          <w:tcPr>
            <w:tcW w:w="4103" w:type="dxa"/>
          </w:tcPr>
          <w:p w14:paraId="46450318" w14:textId="77777777" w:rsidR="001B11F9" w:rsidRPr="001B11F9" w:rsidRDefault="006A0E6D" w:rsidP="00CE265F">
            <w:pPr>
              <w:pStyle w:val="TableTextEntries"/>
            </w:pPr>
            <w:r w:rsidRPr="00C4502A">
              <w:t xml:space="preserve">Australia </w:t>
            </w:r>
            <w:r w:rsidR="00CE265F">
              <w:t>has allocated</w:t>
            </w:r>
            <w:r w:rsidRPr="00C4502A">
              <w:t xml:space="preserve"> a</w:t>
            </w:r>
            <w:r w:rsidR="001B11F9" w:rsidRPr="00C4502A">
              <w:t>dditional resources</w:t>
            </w:r>
            <w:r w:rsidR="00CE265F">
              <w:t xml:space="preserve"> to address this</w:t>
            </w:r>
            <w:r w:rsidR="001B11F9" w:rsidRPr="00C4502A">
              <w:t>.</w:t>
            </w:r>
            <w:r w:rsidR="001B11F9" w:rsidRPr="001B11F9">
              <w:t xml:space="preserve"> </w:t>
            </w:r>
          </w:p>
        </w:tc>
      </w:tr>
      <w:tr w:rsidR="00180B19" w:rsidRPr="00E30037" w14:paraId="4645031C" w14:textId="77777777" w:rsidTr="00737EB1">
        <w:trPr>
          <w:cantSplit/>
          <w:tblHeader w:val="0"/>
        </w:trPr>
        <w:tc>
          <w:tcPr>
            <w:tcW w:w="4363" w:type="dxa"/>
          </w:tcPr>
          <w:p w14:paraId="4645031A" w14:textId="77777777" w:rsidR="00180B19" w:rsidRPr="001B11F9" w:rsidRDefault="00C4502A" w:rsidP="00C4502A">
            <w:pPr>
              <w:pStyle w:val="TableTextEntries"/>
            </w:pPr>
            <w:r>
              <w:t>Level</w:t>
            </w:r>
            <w:r w:rsidR="001B11F9" w:rsidRPr="001B11F9">
              <w:t xml:space="preserve"> of refugees (1.6 million) destabilising </w:t>
            </w:r>
            <w:r>
              <w:t xml:space="preserve">Lebanon and Jordan, </w:t>
            </w:r>
            <w:r w:rsidR="001B11F9" w:rsidRPr="001B11F9">
              <w:t xml:space="preserve">compounding the crisis and need for further response. </w:t>
            </w:r>
          </w:p>
        </w:tc>
        <w:tc>
          <w:tcPr>
            <w:tcW w:w="4103" w:type="dxa"/>
          </w:tcPr>
          <w:p w14:paraId="4645031B" w14:textId="17B8A81E" w:rsidR="00180B19" w:rsidRPr="001B11F9" w:rsidRDefault="004E7989" w:rsidP="004E7989">
            <w:pPr>
              <w:pStyle w:val="TableTextEntries"/>
            </w:pPr>
            <w:r>
              <w:t xml:space="preserve">Canberra and Posts </w:t>
            </w:r>
            <w:r w:rsidR="006A0E6D">
              <w:t xml:space="preserve"> to continue to monitor the situation.</w:t>
            </w:r>
            <w:r w:rsidR="008D0CBF">
              <w:t xml:space="preserve"> </w:t>
            </w:r>
            <w:r w:rsidR="00CE265F">
              <w:t>Australia to provide support through the UNHCR</w:t>
            </w:r>
            <w:r w:rsidR="001B11F9" w:rsidRPr="001B11F9">
              <w:t xml:space="preserve"> to alleviate burden on </w:t>
            </w:r>
            <w:r w:rsidR="00C4502A">
              <w:t>Lebanon and Jordan</w:t>
            </w:r>
            <w:r w:rsidR="001B11F9" w:rsidRPr="001B11F9">
              <w:t xml:space="preserve"> </w:t>
            </w:r>
            <w:r w:rsidR="006A0E6D">
              <w:t>g</w:t>
            </w:r>
            <w:r w:rsidR="001B11F9" w:rsidRPr="001B11F9">
              <w:t>overnments.</w:t>
            </w:r>
            <w:r w:rsidR="00CE265F">
              <w:t xml:space="preserve"> Australia to support</w:t>
            </w:r>
            <w:r w:rsidR="008D0CBF">
              <w:t xml:space="preserve"> </w:t>
            </w:r>
            <w:r w:rsidR="006A0E6D">
              <w:t>N</w:t>
            </w:r>
            <w:r w:rsidR="001663B8">
              <w:t>on-government organisations</w:t>
            </w:r>
            <w:r w:rsidR="001B11F9" w:rsidRPr="001B11F9">
              <w:t xml:space="preserve"> to provide assistance to refugees and host communities to reduce tensions brought about by increased demands placed on public infrastructure. </w:t>
            </w:r>
          </w:p>
        </w:tc>
      </w:tr>
      <w:tr w:rsidR="00180B19" w:rsidRPr="00E30037" w14:paraId="4645031F" w14:textId="77777777" w:rsidTr="00737EB1">
        <w:trPr>
          <w:cantSplit/>
          <w:tblHeader w:val="0"/>
        </w:trPr>
        <w:tc>
          <w:tcPr>
            <w:tcW w:w="4363" w:type="dxa"/>
          </w:tcPr>
          <w:p w14:paraId="4645031D" w14:textId="22164145" w:rsidR="00180B19" w:rsidRPr="001B11F9" w:rsidRDefault="00D305D1" w:rsidP="00D305D1">
            <w:pPr>
              <w:pStyle w:val="TableTextEntries"/>
            </w:pPr>
            <w:r>
              <w:t>DFAT</w:t>
            </w:r>
            <w:r w:rsidR="006A0E6D">
              <w:t xml:space="preserve"> s</w:t>
            </w:r>
            <w:r w:rsidR="001B11F9" w:rsidRPr="001B11F9">
              <w:t>taff in the region subject to security threats.</w:t>
            </w:r>
          </w:p>
        </w:tc>
        <w:tc>
          <w:tcPr>
            <w:tcW w:w="4103" w:type="dxa"/>
          </w:tcPr>
          <w:p w14:paraId="4645031E" w14:textId="1EC1C9D5" w:rsidR="00605E0C" w:rsidRPr="001B11F9" w:rsidRDefault="00CE265F" w:rsidP="004E7989">
            <w:pPr>
              <w:pStyle w:val="TableTextEntries"/>
            </w:pPr>
            <w:r>
              <w:t xml:space="preserve"> </w:t>
            </w:r>
            <w:r w:rsidR="004E7989">
              <w:t>S</w:t>
            </w:r>
            <w:r>
              <w:t>ecurity reporting from Posts</w:t>
            </w:r>
            <w:r w:rsidR="00D305D1">
              <w:t xml:space="preserve"> </w:t>
            </w:r>
            <w:r w:rsidR="004E7989">
              <w:t xml:space="preserve">to </w:t>
            </w:r>
            <w:r w:rsidR="006A0E6D">
              <w:t xml:space="preserve"> continue to report on and regularly discuss the situation </w:t>
            </w:r>
            <w:r w:rsidR="001B11F9" w:rsidRPr="001B11F9">
              <w:t>with project partners.</w:t>
            </w:r>
            <w:r w:rsidR="00C4502A">
              <w:t xml:space="preserve"> </w:t>
            </w:r>
          </w:p>
        </w:tc>
      </w:tr>
      <w:tr w:rsidR="00180B19" w:rsidRPr="00180B19" w14:paraId="46450322" w14:textId="77777777" w:rsidTr="00737EB1">
        <w:trPr>
          <w:cantSplit/>
          <w:tblHeader w:val="0"/>
        </w:trPr>
        <w:tc>
          <w:tcPr>
            <w:tcW w:w="4363" w:type="dxa"/>
          </w:tcPr>
          <w:p w14:paraId="46450320" w14:textId="77777777" w:rsidR="00605E0C" w:rsidRPr="001B11F9" w:rsidRDefault="001B11F9" w:rsidP="001B11F9">
            <w:pPr>
              <w:pStyle w:val="TableTextEntries"/>
            </w:pPr>
            <w:r w:rsidRPr="001B11F9">
              <w:t>Ongoing political instability and insecurity delays implementation of projects.</w:t>
            </w:r>
          </w:p>
        </w:tc>
        <w:tc>
          <w:tcPr>
            <w:tcW w:w="4103" w:type="dxa"/>
          </w:tcPr>
          <w:p w14:paraId="46450321" w14:textId="77777777" w:rsidR="00180B19" w:rsidRPr="001B11F9" w:rsidRDefault="001B11F9" w:rsidP="00C4502A">
            <w:pPr>
              <w:pStyle w:val="TableTextEntries"/>
            </w:pPr>
            <w:r w:rsidRPr="001B11F9">
              <w:t>Cairo Post</w:t>
            </w:r>
            <w:r w:rsidR="006A0E6D">
              <w:t xml:space="preserve"> to monitor</w:t>
            </w:r>
            <w:r w:rsidRPr="001B11F9">
              <w:t xml:space="preserve"> program</w:t>
            </w:r>
            <w:r w:rsidR="00C4502A">
              <w:t>s</w:t>
            </w:r>
            <w:r w:rsidRPr="001B11F9">
              <w:t xml:space="preserve"> and regular</w:t>
            </w:r>
            <w:r w:rsidR="006A0E6D">
              <w:t>ly</w:t>
            </w:r>
            <w:r w:rsidRPr="001B11F9">
              <w:t xml:space="preserve"> </w:t>
            </w:r>
            <w:r w:rsidR="006A0E6D">
              <w:t xml:space="preserve">discuss </w:t>
            </w:r>
            <w:r w:rsidRPr="001B11F9">
              <w:t>with project partners.</w:t>
            </w:r>
          </w:p>
        </w:tc>
      </w:tr>
      <w:tr w:rsidR="00180B19" w:rsidRPr="00180B19" w14:paraId="46450325" w14:textId="77777777" w:rsidTr="00737EB1">
        <w:trPr>
          <w:cantSplit/>
          <w:tblHeader w:val="0"/>
        </w:trPr>
        <w:tc>
          <w:tcPr>
            <w:tcW w:w="4363" w:type="dxa"/>
          </w:tcPr>
          <w:p w14:paraId="46450323" w14:textId="77777777" w:rsidR="00180B19" w:rsidRPr="001B11F9" w:rsidRDefault="001B11F9" w:rsidP="006A0E6D">
            <w:pPr>
              <w:pStyle w:val="TableTextEntries"/>
            </w:pPr>
            <w:r w:rsidRPr="001B11F9">
              <w:t>Fiduciary risk that aid money is misused.</w:t>
            </w:r>
          </w:p>
        </w:tc>
        <w:tc>
          <w:tcPr>
            <w:tcW w:w="4103" w:type="dxa"/>
          </w:tcPr>
          <w:p w14:paraId="46450324" w14:textId="77777777" w:rsidR="00180B19" w:rsidRPr="001B11F9" w:rsidRDefault="006A0E6D" w:rsidP="006A0E6D">
            <w:pPr>
              <w:pStyle w:val="TableTextEntries"/>
            </w:pPr>
            <w:r>
              <w:t>Australia to c</w:t>
            </w:r>
            <w:r w:rsidR="001B11F9" w:rsidRPr="001B11F9">
              <w:t xml:space="preserve">ontinue to work with established and credible partners </w:t>
            </w:r>
            <w:r>
              <w:t>who have</w:t>
            </w:r>
            <w:r w:rsidRPr="001B11F9">
              <w:t xml:space="preserve"> </w:t>
            </w:r>
            <w:r w:rsidR="001B11F9" w:rsidRPr="001B11F9">
              <w:t>demonstrated track records for delivering results and sound financial management.</w:t>
            </w:r>
          </w:p>
        </w:tc>
      </w:tr>
    </w:tbl>
    <w:p w14:paraId="46450326" w14:textId="77777777" w:rsidR="00522AB9" w:rsidRDefault="00522AB9" w:rsidP="00E6631F">
      <w:pPr>
        <w:pStyle w:val="BodyText"/>
        <w:sectPr w:rsidR="00522AB9" w:rsidSect="00E231A2">
          <w:headerReference w:type="even" r:id="rId10"/>
          <w:headerReference w:type="default" r:id="rId11"/>
          <w:footerReference w:type="even" r:id="rId12"/>
          <w:footerReference w:type="default" r:id="rId13"/>
          <w:headerReference w:type="first" r:id="rId14"/>
          <w:footerReference w:type="first" r:id="rId15"/>
          <w:pgSz w:w="11906" w:h="16838" w:code="9"/>
          <w:pgMar w:top="2268" w:right="1701" w:bottom="907" w:left="1871" w:header="709" w:footer="454" w:gutter="0"/>
          <w:cols w:space="708"/>
          <w:titlePg/>
          <w:docGrid w:linePitch="360"/>
        </w:sectPr>
      </w:pPr>
    </w:p>
    <w:p w14:paraId="46450327" w14:textId="77777777" w:rsidR="00FE4491" w:rsidRPr="001B11F9" w:rsidRDefault="00C65930" w:rsidP="001B11F9">
      <w:pPr>
        <w:pStyle w:val="Heading1"/>
      </w:pPr>
      <w:r w:rsidRPr="001B11F9">
        <w:lastRenderedPageBreak/>
        <w:t>Annex A</w:t>
      </w:r>
      <w:r w:rsidR="00FE4491" w:rsidRPr="001B11F9">
        <w:t xml:space="preserve"> </w:t>
      </w:r>
    </w:p>
    <w:p w14:paraId="46450328" w14:textId="77777777" w:rsidR="00FE4491" w:rsidRPr="001B11F9" w:rsidRDefault="00FE4491" w:rsidP="001B11F9">
      <w:pPr>
        <w:pStyle w:val="Heading2"/>
      </w:pPr>
      <w:r w:rsidRPr="001B11F9">
        <w:t>Progress in addressing 2011 management consequences</w:t>
      </w:r>
    </w:p>
    <w:tbl>
      <w:tblPr>
        <w:tblStyle w:val="APPR"/>
        <w:tblW w:w="5000" w:type="pct"/>
        <w:tblLayout w:type="fixed"/>
        <w:tblLook w:val="0000" w:firstRow="0" w:lastRow="0" w:firstColumn="0" w:lastColumn="0" w:noHBand="0" w:noVBand="0"/>
      </w:tblPr>
      <w:tblGrid>
        <w:gridCol w:w="6281"/>
        <w:gridCol w:w="830"/>
        <w:gridCol w:w="6824"/>
      </w:tblGrid>
      <w:tr w:rsidR="00FE4491" w:rsidRPr="00180B19" w14:paraId="4645032C" w14:textId="77777777" w:rsidTr="001B11F9">
        <w:trPr>
          <w:cantSplit/>
          <w:tblHeader w:val="0"/>
        </w:trPr>
        <w:tc>
          <w:tcPr>
            <w:tcW w:w="6213" w:type="dxa"/>
          </w:tcPr>
          <w:p w14:paraId="46450329" w14:textId="3166E931" w:rsidR="00FE4491" w:rsidRPr="001B11F9" w:rsidRDefault="00FE4491" w:rsidP="002C7662">
            <w:pPr>
              <w:pStyle w:val="TableTextColumnHeading"/>
            </w:pPr>
            <w:r w:rsidRPr="001B11F9">
              <w:t>Management consequences identified in 2011 APPR</w:t>
            </w:r>
            <w:r w:rsidR="002C7662">
              <w:t xml:space="preserve"> (Annual Program Performance Report)</w:t>
            </w:r>
            <w:r w:rsidR="00ED2784">
              <w:rPr>
                <w:rStyle w:val="FootnoteReference"/>
              </w:rPr>
              <w:footnoteReference w:id="28"/>
            </w:r>
            <w:r w:rsidRPr="001B11F9">
              <w:tab/>
            </w:r>
          </w:p>
        </w:tc>
        <w:tc>
          <w:tcPr>
            <w:tcW w:w="799" w:type="dxa"/>
          </w:tcPr>
          <w:p w14:paraId="4645032A" w14:textId="77777777" w:rsidR="00FE4491" w:rsidRPr="001B11F9" w:rsidRDefault="00FE4491" w:rsidP="001B11F9">
            <w:pPr>
              <w:pStyle w:val="TableTextColumnHeading"/>
            </w:pPr>
            <w:r w:rsidRPr="001B11F9">
              <w:t>Rating</w:t>
            </w:r>
          </w:p>
        </w:tc>
        <w:tc>
          <w:tcPr>
            <w:tcW w:w="6754" w:type="dxa"/>
          </w:tcPr>
          <w:p w14:paraId="4645032B" w14:textId="77777777" w:rsidR="00FE4491" w:rsidRPr="001B11F9" w:rsidRDefault="00FE4491" w:rsidP="004F2C97">
            <w:pPr>
              <w:pStyle w:val="TableTextColumnHeading"/>
            </w:pPr>
            <w:r w:rsidRPr="001B11F9">
              <w:t>Progress made in 2012</w:t>
            </w:r>
            <w:r w:rsidR="004F2C97">
              <w:t>–</w:t>
            </w:r>
            <w:r w:rsidRPr="001B11F9">
              <w:t>13</w:t>
            </w:r>
          </w:p>
        </w:tc>
      </w:tr>
      <w:tr w:rsidR="00FE4491" w:rsidRPr="002E7E0F" w14:paraId="46450330" w14:textId="77777777" w:rsidTr="001B11F9">
        <w:trPr>
          <w:cnfStyle w:val="000000010000" w:firstRow="0" w:lastRow="0" w:firstColumn="0" w:lastColumn="0" w:oddVBand="0" w:evenVBand="0" w:oddHBand="0" w:evenHBand="1" w:firstRowFirstColumn="0" w:firstRowLastColumn="0" w:lastRowFirstColumn="0" w:lastRowLastColumn="0"/>
          <w:cantSplit/>
          <w:tblHeader w:val="0"/>
        </w:trPr>
        <w:tc>
          <w:tcPr>
            <w:tcW w:w="6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2D" w14:textId="77777777" w:rsidR="00FE4491" w:rsidRPr="001B11F9" w:rsidRDefault="00930AE5" w:rsidP="001B11F9">
            <w:pPr>
              <w:pStyle w:val="TableTextEntries"/>
            </w:pPr>
            <w:r w:rsidRPr="001B11F9">
              <w:t>There is a need to commission further design exercises, in order to establish programs that suit the evolving situations on the ground.</w:t>
            </w:r>
          </w:p>
        </w:tc>
        <w:tc>
          <w:tcPr>
            <w:tcW w:w="79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14:paraId="4645032E" w14:textId="77777777" w:rsidR="00FE4491" w:rsidRPr="001B11F9" w:rsidRDefault="00F42A0E" w:rsidP="001B11F9">
            <w:pPr>
              <w:pStyle w:val="TableTextEntries"/>
            </w:pPr>
            <w:r w:rsidRPr="001B11F9">
              <w:t>Amber</w:t>
            </w:r>
          </w:p>
        </w:tc>
        <w:tc>
          <w:tcPr>
            <w:tcW w:w="67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2F" w14:textId="5F7CBB61" w:rsidR="00FE4491" w:rsidRPr="001B11F9" w:rsidRDefault="00D05195" w:rsidP="00A6787C">
            <w:pPr>
              <w:pStyle w:val="TableTextEntries"/>
            </w:pPr>
            <w:r>
              <w:t xml:space="preserve"> The delay in mobilising </w:t>
            </w:r>
            <w:r w:rsidR="00A6787C">
              <w:t xml:space="preserve">a </w:t>
            </w:r>
            <w:r>
              <w:t xml:space="preserve"> Cairo</w:t>
            </w:r>
            <w:r w:rsidR="00CE265F">
              <w:t>-based</w:t>
            </w:r>
            <w:r>
              <w:t xml:space="preserve"> </w:t>
            </w:r>
            <w:r w:rsidR="00A6787C">
              <w:t xml:space="preserve">aid </w:t>
            </w:r>
            <w:r>
              <w:t>Officer has delayed this</w:t>
            </w:r>
            <w:r w:rsidR="00A6787C">
              <w:t>.</w:t>
            </w:r>
            <w:r w:rsidR="009C7099" w:rsidRPr="001B11F9">
              <w:t>.</w:t>
            </w:r>
          </w:p>
        </w:tc>
      </w:tr>
      <w:tr w:rsidR="00FE4491" w:rsidRPr="002E7E0F" w14:paraId="46450334" w14:textId="77777777" w:rsidTr="001B11F9">
        <w:trPr>
          <w:cantSplit/>
          <w:tblHeader w:val="0"/>
        </w:trPr>
        <w:tc>
          <w:tcPr>
            <w:tcW w:w="6213" w:type="dxa"/>
          </w:tcPr>
          <w:p w14:paraId="46450331" w14:textId="77777777" w:rsidR="00FE4491" w:rsidRPr="001B11F9" w:rsidRDefault="00930AE5" w:rsidP="004F2C97">
            <w:pPr>
              <w:pStyle w:val="TableTextEntries"/>
            </w:pPr>
            <w:r w:rsidRPr="001B11F9">
              <w:t>A scoping mission to examine options for agricultural and rural sector programming in selected MENA countries is planned for 2012</w:t>
            </w:r>
            <w:r w:rsidR="004F2C97">
              <w:t>–</w:t>
            </w:r>
            <w:r w:rsidRPr="001B11F9">
              <w:t>13</w:t>
            </w:r>
            <w:r w:rsidR="002E7E0F" w:rsidRPr="001B11F9">
              <w:t>.</w:t>
            </w:r>
          </w:p>
        </w:tc>
        <w:tc>
          <w:tcPr>
            <w:tcW w:w="799" w:type="dxa"/>
            <w:shd w:val="clear" w:color="auto" w:fill="F79646" w:themeFill="accent6"/>
          </w:tcPr>
          <w:p w14:paraId="46450332" w14:textId="77777777" w:rsidR="00FE4491" w:rsidRPr="001B11F9" w:rsidRDefault="00F42A0E" w:rsidP="001B11F9">
            <w:pPr>
              <w:pStyle w:val="TableTextEntries"/>
            </w:pPr>
            <w:r w:rsidRPr="001B11F9">
              <w:t>Amber</w:t>
            </w:r>
            <w:r w:rsidR="00FE4491" w:rsidRPr="001B11F9">
              <w:fldChar w:fldCharType="begin"/>
            </w:r>
            <w:r w:rsidR="00FE4491" w:rsidRPr="001B11F9">
              <w:instrText xml:space="preserve"> AUTOTEXTLIST  \s "Rating bullet"\t "Right click to choose a rating" \* MERGEFORMAT </w:instrText>
            </w:r>
            <w:r w:rsidR="00FE4491" w:rsidRPr="001B11F9">
              <w:fldChar w:fldCharType="end"/>
            </w:r>
          </w:p>
        </w:tc>
        <w:tc>
          <w:tcPr>
            <w:tcW w:w="6754" w:type="dxa"/>
          </w:tcPr>
          <w:p w14:paraId="46450333" w14:textId="77777777" w:rsidR="00FE4491" w:rsidRPr="001B11F9" w:rsidRDefault="006A0E6D" w:rsidP="00CE265F">
            <w:pPr>
              <w:pStyle w:val="TableTextEntries"/>
            </w:pPr>
            <w:r>
              <w:t>The s</w:t>
            </w:r>
            <w:r w:rsidR="009C7099" w:rsidRPr="001B11F9">
              <w:t>coping mission</w:t>
            </w:r>
            <w:r>
              <w:t xml:space="preserve"> </w:t>
            </w:r>
            <w:r w:rsidR="00CE265F">
              <w:t xml:space="preserve">is currently on hold due to the security situation. Alternative programming methodologies are under discussion. </w:t>
            </w:r>
          </w:p>
        </w:tc>
      </w:tr>
      <w:tr w:rsidR="00FE4491" w:rsidRPr="002E7E0F" w14:paraId="46450338" w14:textId="77777777" w:rsidTr="001B11F9">
        <w:trPr>
          <w:cnfStyle w:val="000000010000" w:firstRow="0" w:lastRow="0" w:firstColumn="0" w:lastColumn="0" w:oddVBand="0" w:evenVBand="0" w:oddHBand="0" w:evenHBand="1" w:firstRowFirstColumn="0" w:firstRowLastColumn="0" w:lastRowFirstColumn="0" w:lastRowLastColumn="0"/>
          <w:cantSplit/>
          <w:tblHeader w:val="0"/>
        </w:trPr>
        <w:tc>
          <w:tcPr>
            <w:tcW w:w="6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35" w14:textId="77777777" w:rsidR="00FE4491" w:rsidRPr="001B11F9" w:rsidRDefault="009A73C2" w:rsidP="004F2C97">
            <w:pPr>
              <w:pStyle w:val="TableTextEntries"/>
            </w:pPr>
            <w:r w:rsidRPr="001B11F9">
              <w:t>The duties of the A</w:t>
            </w:r>
            <w:r w:rsidR="006A0E6D">
              <w:t>ustralia</w:t>
            </w:r>
            <w:r w:rsidRPr="001B11F9">
              <w:t>-based position in Cairo will need to be reviewed after 12</w:t>
            </w:r>
            <w:r w:rsidR="004F2C97">
              <w:t> </w:t>
            </w:r>
            <w:r w:rsidRPr="001B11F9">
              <w:t>months, to assess effectiveness</w:t>
            </w:r>
            <w:r w:rsidR="002E7E0F" w:rsidRPr="001B11F9">
              <w:t>.</w:t>
            </w:r>
          </w:p>
        </w:tc>
        <w:tc>
          <w:tcPr>
            <w:tcW w:w="79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14:paraId="46450336" w14:textId="77777777" w:rsidR="00FE4491" w:rsidRPr="001B11F9" w:rsidRDefault="00F42A0E" w:rsidP="001B11F9">
            <w:pPr>
              <w:pStyle w:val="TableTextEntries"/>
            </w:pPr>
            <w:r w:rsidRPr="001B11F9">
              <w:t>Amber</w:t>
            </w:r>
          </w:p>
        </w:tc>
        <w:tc>
          <w:tcPr>
            <w:tcW w:w="67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37" w14:textId="4F2D5573" w:rsidR="00FE4491" w:rsidRPr="001B11F9" w:rsidRDefault="006A0E6D" w:rsidP="00432EE3">
            <w:pPr>
              <w:pStyle w:val="TableTextEntries"/>
            </w:pPr>
            <w:r>
              <w:t xml:space="preserve">The </w:t>
            </w:r>
            <w:r w:rsidR="009D1F99">
              <w:t xml:space="preserve">review of the </w:t>
            </w:r>
            <w:r w:rsidR="009C7099" w:rsidRPr="001B11F9">
              <w:t>Cairo</w:t>
            </w:r>
            <w:r w:rsidR="009D1F99">
              <w:t xml:space="preserve"> position </w:t>
            </w:r>
            <w:r w:rsidR="00CE265F">
              <w:t xml:space="preserve">will be completed </w:t>
            </w:r>
            <w:r w:rsidR="009D1F99">
              <w:t xml:space="preserve">in  2014. </w:t>
            </w:r>
          </w:p>
        </w:tc>
      </w:tr>
      <w:tr w:rsidR="00FE4491" w:rsidRPr="002E7E0F" w14:paraId="4645033C" w14:textId="77777777" w:rsidTr="001B11F9">
        <w:trPr>
          <w:cantSplit/>
          <w:tblHeader w:val="0"/>
        </w:trPr>
        <w:tc>
          <w:tcPr>
            <w:tcW w:w="6213" w:type="dxa"/>
          </w:tcPr>
          <w:p w14:paraId="46450339" w14:textId="77777777" w:rsidR="00FE4491" w:rsidRPr="001B11F9" w:rsidRDefault="009A73C2" w:rsidP="001B11F9">
            <w:pPr>
              <w:pStyle w:val="TableTextEntries"/>
            </w:pPr>
            <w:r w:rsidRPr="001B11F9">
              <w:t>The Iraq Country Strategy needs to be reviewed again, with a view to endorsing and finalising a scaling down approach, particularly in the area of human resources management.</w:t>
            </w:r>
          </w:p>
        </w:tc>
        <w:tc>
          <w:tcPr>
            <w:tcW w:w="799" w:type="dxa"/>
            <w:shd w:val="clear" w:color="auto" w:fill="F79646" w:themeFill="accent6"/>
          </w:tcPr>
          <w:p w14:paraId="4645033A" w14:textId="77777777" w:rsidR="00FE4491" w:rsidRPr="001B11F9" w:rsidRDefault="00FE4491" w:rsidP="001B11F9">
            <w:pPr>
              <w:pStyle w:val="TableTextEntries"/>
            </w:pPr>
            <w:r w:rsidRPr="001B11F9">
              <w:t>A</w:t>
            </w:r>
            <w:r w:rsidR="00443639" w:rsidRPr="001B11F9">
              <w:t>mber</w:t>
            </w:r>
          </w:p>
        </w:tc>
        <w:tc>
          <w:tcPr>
            <w:tcW w:w="6754" w:type="dxa"/>
          </w:tcPr>
          <w:p w14:paraId="4645033B" w14:textId="1933F51F" w:rsidR="00FE4491" w:rsidRPr="001B11F9" w:rsidRDefault="006A0E6D" w:rsidP="00432EE3">
            <w:pPr>
              <w:pStyle w:val="TableTextEntries"/>
            </w:pPr>
            <w:r>
              <w:t>T</w:t>
            </w:r>
            <w:r w:rsidR="009C7099" w:rsidRPr="001B11F9">
              <w:t>he Iraq Program</w:t>
            </w:r>
            <w:r w:rsidR="009D1F99">
              <w:t xml:space="preserve"> has</w:t>
            </w:r>
            <w:r w:rsidR="009C7099" w:rsidRPr="001B11F9">
              <w:t xml:space="preserve"> continue</w:t>
            </w:r>
            <w:r w:rsidR="009D1F99">
              <w:t>d</w:t>
            </w:r>
            <w:r w:rsidR="009C7099" w:rsidRPr="001B11F9">
              <w:t xml:space="preserve"> to </w:t>
            </w:r>
            <w:r>
              <w:t>scale</w:t>
            </w:r>
            <w:r w:rsidRPr="001B11F9">
              <w:t xml:space="preserve"> </w:t>
            </w:r>
            <w:r w:rsidR="009C7099" w:rsidRPr="001B11F9">
              <w:t>down</w:t>
            </w:r>
            <w:r w:rsidR="00CE265F">
              <w:t xml:space="preserve">, as endorsed at the Senior Officials Talks held in November 2012. All aid activities to Iraq </w:t>
            </w:r>
            <w:r w:rsidR="00432EE3">
              <w:t xml:space="preserve">are expected to </w:t>
            </w:r>
            <w:r w:rsidR="00CE265F">
              <w:t xml:space="preserve"> be completed by June 2015.</w:t>
            </w:r>
            <w:r>
              <w:t xml:space="preserve"> </w:t>
            </w:r>
          </w:p>
        </w:tc>
      </w:tr>
      <w:tr w:rsidR="00FE4491" w:rsidRPr="002E7E0F" w14:paraId="46450340" w14:textId="77777777" w:rsidTr="001B11F9">
        <w:trPr>
          <w:cnfStyle w:val="000000010000" w:firstRow="0" w:lastRow="0" w:firstColumn="0" w:lastColumn="0" w:oddVBand="0" w:evenVBand="0" w:oddHBand="0" w:evenHBand="1" w:firstRowFirstColumn="0" w:firstRowLastColumn="0" w:lastRowFirstColumn="0" w:lastRowLastColumn="0"/>
          <w:cantSplit/>
          <w:tblHeader w:val="0"/>
        </w:trPr>
        <w:tc>
          <w:tcPr>
            <w:tcW w:w="62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3D" w14:textId="77777777" w:rsidR="00FE4491" w:rsidRPr="001B11F9" w:rsidRDefault="009A73C2" w:rsidP="00944155">
            <w:pPr>
              <w:pStyle w:val="TableTextEntries"/>
            </w:pPr>
            <w:r w:rsidRPr="001B11F9">
              <w:t xml:space="preserve">The Iraq </w:t>
            </w:r>
            <w:r w:rsidR="00944155">
              <w:t>P</w:t>
            </w:r>
            <w:r w:rsidRPr="001B11F9">
              <w:t>rogram to develop a strategy (in consultation with ACIAR) on steps to quantify achievements and to disseminate research into conservation cropping and soil salinity management in Iraq</w:t>
            </w:r>
            <w:r w:rsidR="002E7E0F" w:rsidRPr="001B11F9">
              <w:t>.</w:t>
            </w:r>
          </w:p>
        </w:tc>
        <w:tc>
          <w:tcPr>
            <w:tcW w:w="79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14:paraId="4645033E" w14:textId="77777777" w:rsidR="00FE4491" w:rsidRPr="001B11F9" w:rsidRDefault="001B11F9" w:rsidP="001B11F9">
            <w:pPr>
              <w:pStyle w:val="TableTextEntries"/>
            </w:pPr>
            <w:r>
              <w:t>Amber</w:t>
            </w:r>
          </w:p>
        </w:tc>
        <w:tc>
          <w:tcPr>
            <w:tcW w:w="675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45033F" w14:textId="365034AE" w:rsidR="00735A52" w:rsidRPr="001B11F9" w:rsidRDefault="009C7099" w:rsidP="00432EE3">
            <w:pPr>
              <w:pStyle w:val="TableTextEntries"/>
            </w:pPr>
            <w:r w:rsidRPr="001B11F9">
              <w:t>This work is ongoing</w:t>
            </w:r>
            <w:r w:rsidR="008F56BE" w:rsidRPr="001B11F9">
              <w:t xml:space="preserve"> with ACIAR</w:t>
            </w:r>
            <w:r w:rsidR="00432EE3">
              <w:t>.</w:t>
            </w:r>
          </w:p>
        </w:tc>
      </w:tr>
    </w:tbl>
    <w:p w14:paraId="46450341" w14:textId="77777777" w:rsidR="00FE4491" w:rsidRPr="00FE4491" w:rsidRDefault="00FE4491" w:rsidP="0044020F">
      <w:pPr>
        <w:pStyle w:val="Note"/>
      </w:pPr>
      <w:r w:rsidRPr="00FE4491">
        <w:t xml:space="preserve">Note: </w:t>
      </w:r>
    </w:p>
    <w:p w14:paraId="46450342" w14:textId="77777777" w:rsidR="00FE4491" w:rsidRPr="00FE4491" w:rsidRDefault="00FE4491" w:rsidP="0044020F">
      <w:pPr>
        <w:pStyle w:val="Note"/>
      </w:pPr>
      <w:r w:rsidRPr="00FE4491">
        <w:rPr>
          <w:color w:val="92D050"/>
        </w:rPr>
        <w:sym w:font="Webdings" w:char="F067"/>
      </w:r>
      <w:r w:rsidRPr="00FE4491">
        <w:t> </w:t>
      </w:r>
      <w:r w:rsidRPr="00FE4491">
        <w:t xml:space="preserve"> </w:t>
      </w:r>
      <w:r w:rsidR="00443639">
        <w:t>Green</w:t>
      </w:r>
      <w:r>
        <w:t>.</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46450343" w14:textId="77777777" w:rsidR="00FE4491" w:rsidRDefault="00FE4491" w:rsidP="0044020F">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46450344" w14:textId="77777777" w:rsidR="0044020F" w:rsidRDefault="00FE4491" w:rsidP="0044020F">
      <w:pPr>
        <w:pStyle w:val="Note"/>
        <w:sectPr w:rsidR="0044020F" w:rsidSect="00E231A2">
          <w:headerReference w:type="default" r:id="rId16"/>
          <w:footerReference w:type="default" r:id="rId17"/>
          <w:headerReference w:type="first" r:id="rId18"/>
          <w:footerReference w:type="first" r:id="rId19"/>
          <w:pgSz w:w="16838" w:h="11906" w:orient="landscape" w:code="9"/>
          <w:pgMar w:top="1871" w:right="2268" w:bottom="1134" w:left="907" w:header="709" w:footer="425" w:gutter="0"/>
          <w:cols w:space="708"/>
          <w:docGrid w:linePitch="360"/>
        </w:sectPr>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46450345" w14:textId="77777777" w:rsidR="00FE4491" w:rsidRPr="00FE4491" w:rsidRDefault="00FE4491" w:rsidP="001B11F9">
      <w:pPr>
        <w:pStyle w:val="Heading1"/>
      </w:pPr>
      <w:r w:rsidRPr="00FE4491">
        <w:lastRenderedPageBreak/>
        <w:t xml:space="preserve">Annex B </w:t>
      </w:r>
    </w:p>
    <w:p w14:paraId="46450346" w14:textId="77777777" w:rsidR="00FE4491" w:rsidRPr="001B11F9" w:rsidRDefault="00FE4491" w:rsidP="001B11F9">
      <w:pPr>
        <w:pStyle w:val="Heading2"/>
      </w:pPr>
      <w:r w:rsidRPr="001B11F9">
        <w:t>Quality at Implementation ratings</w:t>
      </w:r>
    </w:p>
    <w:tbl>
      <w:tblPr>
        <w:tblStyle w:val="APPR"/>
        <w:tblW w:w="4992" w:type="pct"/>
        <w:tblLayout w:type="fixed"/>
        <w:tblLook w:val="0000" w:firstRow="0" w:lastRow="0" w:firstColumn="0" w:lastColumn="0" w:noHBand="0" w:noVBand="0"/>
      </w:tblPr>
      <w:tblGrid>
        <w:gridCol w:w="2171"/>
        <w:gridCol w:w="1111"/>
        <w:gridCol w:w="711"/>
        <w:gridCol w:w="116"/>
        <w:gridCol w:w="710"/>
        <w:gridCol w:w="629"/>
        <w:gridCol w:w="629"/>
        <w:gridCol w:w="665"/>
        <w:gridCol w:w="581"/>
        <w:gridCol w:w="629"/>
        <w:gridCol w:w="640"/>
      </w:tblGrid>
      <w:tr w:rsidR="00FE4491" w:rsidRPr="009D53C4" w14:paraId="46450351" w14:textId="77777777" w:rsidTr="001B11F9">
        <w:trPr>
          <w:trHeight w:val="1588"/>
          <w:tblHeader w:val="0"/>
        </w:trPr>
        <w:tc>
          <w:tcPr>
            <w:tcW w:w="1242" w:type="pct"/>
          </w:tcPr>
          <w:p w14:paraId="46450347" w14:textId="77777777" w:rsidR="00FE4491" w:rsidRPr="001B11F9" w:rsidRDefault="00FE4491" w:rsidP="001B11F9">
            <w:pPr>
              <w:pStyle w:val="TableTextColumnHeading"/>
            </w:pPr>
            <w:r w:rsidRPr="001B11F9">
              <w:rPr>
                <w:noProof/>
                <w:lang w:eastAsia="en-AU"/>
              </w:rPr>
              <w:drawing>
                <wp:anchor distT="0" distB="0" distL="114300" distR="114300" simplePos="0" relativeHeight="251664384" behindDoc="0" locked="0" layoutInCell="1" allowOverlap="1" wp14:anchorId="464503E7" wp14:editId="464503E8">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1F9">
              <w:t>Initiative name</w:t>
            </w:r>
          </w:p>
        </w:tc>
        <w:tc>
          <w:tcPr>
            <w:tcW w:w="631" w:type="pct"/>
            <w:textDirection w:val="btLr"/>
          </w:tcPr>
          <w:p w14:paraId="46450348" w14:textId="77777777" w:rsidR="00FE4491" w:rsidRPr="001B11F9" w:rsidRDefault="00FE4491" w:rsidP="001B11F9">
            <w:pPr>
              <w:pStyle w:val="TableTextColumnHeading"/>
            </w:pPr>
            <w:r w:rsidRPr="001B11F9">
              <w:t>Approved budget and duration</w:t>
            </w:r>
          </w:p>
        </w:tc>
        <w:tc>
          <w:tcPr>
            <w:tcW w:w="398" w:type="pct"/>
            <w:textDirection w:val="btLr"/>
          </w:tcPr>
          <w:p w14:paraId="46450349" w14:textId="77777777" w:rsidR="00FE4491" w:rsidRPr="001B11F9" w:rsidRDefault="00FE4491" w:rsidP="001B11F9">
            <w:pPr>
              <w:pStyle w:val="TableTextColumnHeading"/>
            </w:pPr>
            <w:r w:rsidRPr="001B11F9">
              <w:t>QaI year</w:t>
            </w:r>
          </w:p>
        </w:tc>
        <w:tc>
          <w:tcPr>
            <w:tcW w:w="449" w:type="pct"/>
            <w:gridSpan w:val="2"/>
            <w:textDirection w:val="btLr"/>
          </w:tcPr>
          <w:p w14:paraId="4645034A" w14:textId="77777777" w:rsidR="00FE4491" w:rsidRPr="001B11F9" w:rsidRDefault="00FE4491" w:rsidP="001B11F9">
            <w:pPr>
              <w:pStyle w:val="TableTextColumnHeading"/>
            </w:pPr>
            <w:r w:rsidRPr="001B11F9">
              <w:t>Relevance</w:t>
            </w:r>
          </w:p>
        </w:tc>
        <w:tc>
          <w:tcPr>
            <w:tcW w:w="351" w:type="pct"/>
            <w:textDirection w:val="btLr"/>
          </w:tcPr>
          <w:p w14:paraId="4645034B" w14:textId="77777777" w:rsidR="00FE4491" w:rsidRPr="001B11F9" w:rsidRDefault="00FE4491" w:rsidP="001B11F9">
            <w:pPr>
              <w:pStyle w:val="TableTextColumnHeading"/>
            </w:pPr>
            <w:r w:rsidRPr="001B11F9">
              <w:t>Effectiveness</w:t>
            </w:r>
          </w:p>
        </w:tc>
        <w:tc>
          <w:tcPr>
            <w:tcW w:w="351" w:type="pct"/>
            <w:textDirection w:val="btLr"/>
          </w:tcPr>
          <w:p w14:paraId="4645034C" w14:textId="77777777" w:rsidR="00FE4491" w:rsidRPr="001B11F9" w:rsidRDefault="00FE4491" w:rsidP="001B11F9">
            <w:pPr>
              <w:pStyle w:val="TableTextColumnHeading"/>
            </w:pPr>
            <w:r w:rsidRPr="001B11F9">
              <w:t>Efficiency</w:t>
            </w:r>
          </w:p>
        </w:tc>
        <w:tc>
          <w:tcPr>
            <w:tcW w:w="372" w:type="pct"/>
            <w:textDirection w:val="btLr"/>
          </w:tcPr>
          <w:p w14:paraId="4645034D" w14:textId="77777777" w:rsidR="00FE4491" w:rsidRPr="001B11F9" w:rsidRDefault="00FE4491" w:rsidP="001B11F9">
            <w:pPr>
              <w:pStyle w:val="TableTextColumnHeading"/>
            </w:pPr>
            <w:r w:rsidRPr="001B11F9">
              <w:t xml:space="preserve">Monitoring and </w:t>
            </w:r>
            <w:r w:rsidR="004F2C97">
              <w:t>e</w:t>
            </w:r>
            <w:r w:rsidRPr="001B11F9">
              <w:t>valuation</w:t>
            </w:r>
          </w:p>
        </w:tc>
        <w:tc>
          <w:tcPr>
            <w:tcW w:w="323" w:type="pct"/>
            <w:textDirection w:val="btLr"/>
          </w:tcPr>
          <w:p w14:paraId="4645034E" w14:textId="77777777" w:rsidR="00FE4491" w:rsidRPr="001B11F9" w:rsidRDefault="00FE4491" w:rsidP="001B11F9">
            <w:pPr>
              <w:pStyle w:val="TableTextColumnHeading"/>
            </w:pPr>
            <w:r w:rsidRPr="001B11F9">
              <w:t>Sustainability</w:t>
            </w:r>
          </w:p>
        </w:tc>
        <w:tc>
          <w:tcPr>
            <w:tcW w:w="351" w:type="pct"/>
            <w:textDirection w:val="btLr"/>
          </w:tcPr>
          <w:p w14:paraId="4645034F" w14:textId="77777777" w:rsidR="00FE4491" w:rsidRPr="001B11F9" w:rsidRDefault="00FE4491" w:rsidP="001B11F9">
            <w:pPr>
              <w:pStyle w:val="TableTextColumnHeading"/>
            </w:pPr>
            <w:r w:rsidRPr="001B11F9">
              <w:t>Gender equality</w:t>
            </w:r>
          </w:p>
        </w:tc>
        <w:tc>
          <w:tcPr>
            <w:tcW w:w="349" w:type="pct"/>
            <w:textDirection w:val="btLr"/>
          </w:tcPr>
          <w:p w14:paraId="46450350" w14:textId="77777777" w:rsidR="00FE4491" w:rsidRPr="001B11F9" w:rsidRDefault="00FE4491" w:rsidP="004F2C97">
            <w:pPr>
              <w:pStyle w:val="TableTextColumnHeading"/>
            </w:pPr>
            <w:r w:rsidRPr="001B11F9">
              <w:t xml:space="preserve">Risk </w:t>
            </w:r>
            <w:r w:rsidR="004F2C97">
              <w:t>m</w:t>
            </w:r>
            <w:r w:rsidRPr="001B11F9">
              <w:t>anagement</w:t>
            </w:r>
          </w:p>
        </w:tc>
      </w:tr>
      <w:tr w:rsidR="00071B95" w:rsidRPr="009D53C4" w14:paraId="46450360" w14:textId="77777777" w:rsidTr="001B11F9">
        <w:trPr>
          <w:cnfStyle w:val="000000010000" w:firstRow="0" w:lastRow="0" w:firstColumn="0" w:lastColumn="0" w:oddVBand="0" w:evenVBand="0" w:oddHBand="0" w:evenHBand="1" w:firstRowFirstColumn="0" w:firstRowLastColumn="0" w:lastRowFirstColumn="0" w:lastRowLastColumn="0"/>
          <w:tblHeader w:val="0"/>
        </w:trPr>
        <w:tc>
          <w:tcPr>
            <w:tcW w:w="1242" w:type="pct"/>
            <w:vMerge w:val="restart"/>
          </w:tcPr>
          <w:p w14:paraId="46450352" w14:textId="77777777" w:rsidR="00D93795" w:rsidRDefault="00EA7D14" w:rsidP="001B11F9">
            <w:pPr>
              <w:pStyle w:val="TableTextEntries"/>
            </w:pPr>
            <w:r>
              <w:t>North Africa Rural</w:t>
            </w:r>
            <w:r w:rsidR="008D0CBF">
              <w:t xml:space="preserve"> </w:t>
            </w:r>
            <w:r>
              <w:t xml:space="preserve">Development </w:t>
            </w:r>
          </w:p>
          <w:p w14:paraId="46450353" w14:textId="77777777" w:rsidR="00FE4491" w:rsidRPr="00735A52" w:rsidRDefault="00D93795" w:rsidP="001B11F9">
            <w:pPr>
              <w:pStyle w:val="TableTextEntries"/>
            </w:pPr>
            <w:r>
              <w:t>Employment Generation</w:t>
            </w:r>
            <w:r w:rsidR="008D0CBF">
              <w:t xml:space="preserve"> </w:t>
            </w:r>
          </w:p>
        </w:tc>
        <w:tc>
          <w:tcPr>
            <w:tcW w:w="631" w:type="pct"/>
            <w:vMerge w:val="restart"/>
          </w:tcPr>
          <w:p w14:paraId="46450354" w14:textId="77777777" w:rsidR="00EA7D14" w:rsidRDefault="00EA7D14" w:rsidP="001B11F9">
            <w:pPr>
              <w:pStyle w:val="TableTextEntries"/>
              <w:rPr>
                <w:rFonts w:cs="Arial"/>
                <w:szCs w:val="16"/>
              </w:rPr>
            </w:pPr>
            <w:r w:rsidRPr="00EA7D14">
              <w:rPr>
                <w:rFonts w:cs="Arial"/>
                <w:szCs w:val="16"/>
              </w:rPr>
              <w:t xml:space="preserve">$15.1m </w:t>
            </w:r>
          </w:p>
          <w:p w14:paraId="46450355" w14:textId="77777777" w:rsidR="00C053CF" w:rsidRDefault="00EA7D14" w:rsidP="001B11F9">
            <w:pPr>
              <w:pStyle w:val="TableTextEntries"/>
              <w:rPr>
                <w:rFonts w:cs="Arial"/>
                <w:szCs w:val="16"/>
              </w:rPr>
            </w:pPr>
            <w:r w:rsidRPr="00EA7D14">
              <w:rPr>
                <w:rFonts w:cs="Arial"/>
                <w:szCs w:val="16"/>
              </w:rPr>
              <w:t xml:space="preserve"> </w:t>
            </w:r>
            <w:r w:rsidR="00D93795">
              <w:rPr>
                <w:rFonts w:cs="Arial"/>
                <w:szCs w:val="16"/>
              </w:rPr>
              <w:t>Feb</w:t>
            </w:r>
            <w:r w:rsidR="004F2C97">
              <w:rPr>
                <w:rFonts w:cs="Arial"/>
                <w:szCs w:val="16"/>
              </w:rPr>
              <w:t>ruary</w:t>
            </w:r>
            <w:r w:rsidR="00D93795">
              <w:rPr>
                <w:rFonts w:cs="Arial"/>
                <w:szCs w:val="16"/>
              </w:rPr>
              <w:t xml:space="preserve"> 2013</w:t>
            </w:r>
            <w:r w:rsidRPr="00EA7D14">
              <w:rPr>
                <w:rFonts w:cs="Arial"/>
                <w:szCs w:val="16"/>
              </w:rPr>
              <w:t xml:space="preserve"> </w:t>
            </w:r>
          </w:p>
          <w:p w14:paraId="46450356" w14:textId="77777777" w:rsidR="00C053CF" w:rsidRDefault="00C053CF" w:rsidP="001B11F9">
            <w:pPr>
              <w:pStyle w:val="TableTextEntries"/>
              <w:rPr>
                <w:rFonts w:cs="Arial"/>
                <w:szCs w:val="16"/>
              </w:rPr>
            </w:pPr>
            <w:r>
              <w:rPr>
                <w:rFonts w:cs="Arial"/>
                <w:szCs w:val="16"/>
              </w:rPr>
              <w:t>$5.7m</w:t>
            </w:r>
          </w:p>
          <w:p w14:paraId="46450357" w14:textId="77777777" w:rsidR="00C053CF" w:rsidRPr="00EA7D14" w:rsidRDefault="00C053CF" w:rsidP="001B11F9">
            <w:pPr>
              <w:pStyle w:val="TableTextEntries"/>
              <w:rPr>
                <w:rFonts w:cs="Arial"/>
                <w:szCs w:val="16"/>
              </w:rPr>
            </w:pPr>
            <w:r>
              <w:rPr>
                <w:rFonts w:cs="Arial"/>
                <w:szCs w:val="16"/>
              </w:rPr>
              <w:t>June 15</w:t>
            </w:r>
          </w:p>
        </w:tc>
        <w:tc>
          <w:tcPr>
            <w:tcW w:w="449" w:type="pct"/>
            <w:gridSpan w:val="2"/>
          </w:tcPr>
          <w:p w14:paraId="46450358" w14:textId="77777777" w:rsidR="00FE4491" w:rsidRPr="00FE4491" w:rsidRDefault="00FE4491" w:rsidP="001B11F9">
            <w:pPr>
              <w:pStyle w:val="TableTextEntries"/>
            </w:pPr>
            <w:r w:rsidRPr="00FE4491">
              <w:t>2012</w:t>
            </w:r>
          </w:p>
        </w:tc>
        <w:tc>
          <w:tcPr>
            <w:tcW w:w="398" w:type="pct"/>
            <w:shd w:val="clear" w:color="auto" w:fill="92D050"/>
            <w:noWrap/>
          </w:tcPr>
          <w:p w14:paraId="46450359" w14:textId="77777777" w:rsidR="00FE4491" w:rsidRPr="00FE4491" w:rsidRDefault="00FE4491" w:rsidP="001B11F9">
            <w:pPr>
              <w:pStyle w:val="TableTextEntries"/>
              <w:jc w:val="center"/>
            </w:pPr>
            <w:r w:rsidRPr="00FE4491">
              <w:t>5</w:t>
            </w:r>
          </w:p>
        </w:tc>
        <w:tc>
          <w:tcPr>
            <w:tcW w:w="351" w:type="pct"/>
            <w:shd w:val="clear" w:color="auto" w:fill="F79646" w:themeFill="accent6"/>
            <w:noWrap/>
          </w:tcPr>
          <w:p w14:paraId="4645035A" w14:textId="77777777" w:rsidR="00FE4491" w:rsidRPr="00FE4491" w:rsidRDefault="00D93795" w:rsidP="001B11F9">
            <w:pPr>
              <w:pStyle w:val="TableTextEntries"/>
              <w:jc w:val="center"/>
            </w:pPr>
            <w:r>
              <w:t>3</w:t>
            </w:r>
          </w:p>
        </w:tc>
        <w:tc>
          <w:tcPr>
            <w:tcW w:w="351" w:type="pct"/>
            <w:shd w:val="clear" w:color="auto" w:fill="F79646" w:themeFill="accent6"/>
            <w:noWrap/>
          </w:tcPr>
          <w:p w14:paraId="4645035B" w14:textId="77777777" w:rsidR="00FE4491" w:rsidRPr="00FE4491" w:rsidRDefault="00D93795" w:rsidP="001B11F9">
            <w:pPr>
              <w:pStyle w:val="TableTextEntries"/>
              <w:jc w:val="center"/>
            </w:pPr>
            <w:r>
              <w:t>3</w:t>
            </w:r>
          </w:p>
        </w:tc>
        <w:tc>
          <w:tcPr>
            <w:tcW w:w="372" w:type="pct"/>
            <w:shd w:val="clear" w:color="auto" w:fill="FFFF00"/>
            <w:noWrap/>
          </w:tcPr>
          <w:p w14:paraId="4645035C" w14:textId="77777777" w:rsidR="00FE4491" w:rsidRPr="00FE4491" w:rsidRDefault="00D93795" w:rsidP="001B11F9">
            <w:pPr>
              <w:pStyle w:val="TableTextEntries"/>
              <w:jc w:val="center"/>
            </w:pPr>
            <w:r>
              <w:t>4</w:t>
            </w:r>
          </w:p>
        </w:tc>
        <w:tc>
          <w:tcPr>
            <w:tcW w:w="323" w:type="pct"/>
            <w:shd w:val="clear" w:color="auto" w:fill="FFFF00"/>
            <w:noWrap/>
          </w:tcPr>
          <w:p w14:paraId="4645035D" w14:textId="77777777" w:rsidR="00FE4491" w:rsidRPr="00FE4491" w:rsidRDefault="00D93795" w:rsidP="001B11F9">
            <w:pPr>
              <w:pStyle w:val="TableTextEntries"/>
              <w:jc w:val="center"/>
            </w:pPr>
            <w:r>
              <w:t>4</w:t>
            </w:r>
          </w:p>
        </w:tc>
        <w:tc>
          <w:tcPr>
            <w:tcW w:w="351" w:type="pct"/>
            <w:shd w:val="clear" w:color="auto" w:fill="F79646" w:themeFill="accent6"/>
            <w:noWrap/>
          </w:tcPr>
          <w:p w14:paraId="4645035E" w14:textId="77777777" w:rsidR="00FE4491" w:rsidRPr="00FE4491" w:rsidRDefault="00D93795" w:rsidP="001B11F9">
            <w:pPr>
              <w:pStyle w:val="TableTextEntries"/>
              <w:jc w:val="center"/>
            </w:pPr>
            <w:r>
              <w:t>3</w:t>
            </w:r>
          </w:p>
        </w:tc>
        <w:tc>
          <w:tcPr>
            <w:tcW w:w="349" w:type="pct"/>
            <w:shd w:val="clear" w:color="auto" w:fill="F79646" w:themeFill="accent6"/>
            <w:noWrap/>
          </w:tcPr>
          <w:p w14:paraId="4645035F" w14:textId="77777777" w:rsidR="00FE4491" w:rsidRPr="00FE4491" w:rsidRDefault="00F87F53" w:rsidP="001B11F9">
            <w:pPr>
              <w:pStyle w:val="TableTextEntries"/>
              <w:jc w:val="center"/>
            </w:pPr>
            <w:r>
              <w:t>I</w:t>
            </w:r>
          </w:p>
        </w:tc>
      </w:tr>
      <w:tr w:rsidR="00FE4491" w:rsidRPr="009D53C4" w14:paraId="4645036B" w14:textId="77777777" w:rsidTr="001B11F9">
        <w:trPr>
          <w:tblHeader w:val="0"/>
        </w:trPr>
        <w:tc>
          <w:tcPr>
            <w:tcW w:w="1242" w:type="pct"/>
            <w:vMerge/>
          </w:tcPr>
          <w:p w14:paraId="46450361" w14:textId="77777777" w:rsidR="00FE4491" w:rsidRPr="00FE4491" w:rsidRDefault="00FE4491" w:rsidP="001B11F9">
            <w:pPr>
              <w:pStyle w:val="TableTextEntries"/>
            </w:pPr>
          </w:p>
        </w:tc>
        <w:tc>
          <w:tcPr>
            <w:tcW w:w="631" w:type="pct"/>
            <w:vMerge/>
          </w:tcPr>
          <w:p w14:paraId="46450362" w14:textId="77777777" w:rsidR="00FE4491" w:rsidRPr="00FE4491" w:rsidRDefault="00FE4491" w:rsidP="001B11F9">
            <w:pPr>
              <w:pStyle w:val="TableTextEntries"/>
            </w:pPr>
          </w:p>
        </w:tc>
        <w:tc>
          <w:tcPr>
            <w:tcW w:w="449" w:type="pct"/>
            <w:gridSpan w:val="2"/>
          </w:tcPr>
          <w:p w14:paraId="46450363" w14:textId="77777777" w:rsidR="00FE4491" w:rsidRPr="00FE4491" w:rsidRDefault="00FE4491" w:rsidP="001B11F9">
            <w:pPr>
              <w:pStyle w:val="TableTextEntries"/>
            </w:pPr>
            <w:r w:rsidRPr="00FE4491">
              <w:t>201</w:t>
            </w:r>
            <w:r w:rsidR="00D93795">
              <w:t>2</w:t>
            </w:r>
          </w:p>
        </w:tc>
        <w:tc>
          <w:tcPr>
            <w:tcW w:w="398" w:type="pct"/>
            <w:shd w:val="clear" w:color="auto" w:fill="92D050"/>
            <w:noWrap/>
          </w:tcPr>
          <w:p w14:paraId="46450364" w14:textId="77777777" w:rsidR="00FE4491" w:rsidRPr="00FE4491" w:rsidRDefault="00C053CF" w:rsidP="001B11F9">
            <w:pPr>
              <w:pStyle w:val="TableTextEntries"/>
              <w:jc w:val="center"/>
            </w:pPr>
            <w:r>
              <w:t>5</w:t>
            </w:r>
          </w:p>
        </w:tc>
        <w:tc>
          <w:tcPr>
            <w:tcW w:w="351" w:type="pct"/>
            <w:shd w:val="clear" w:color="auto" w:fill="FFFF00"/>
            <w:noWrap/>
          </w:tcPr>
          <w:p w14:paraId="46450365" w14:textId="77777777" w:rsidR="00FE4491" w:rsidRPr="00FE4491" w:rsidRDefault="00C053CF" w:rsidP="001B11F9">
            <w:pPr>
              <w:pStyle w:val="TableTextEntries"/>
              <w:jc w:val="center"/>
            </w:pPr>
            <w:r>
              <w:t>4</w:t>
            </w:r>
          </w:p>
        </w:tc>
        <w:tc>
          <w:tcPr>
            <w:tcW w:w="351" w:type="pct"/>
            <w:shd w:val="clear" w:color="auto" w:fill="FFFF00"/>
            <w:noWrap/>
          </w:tcPr>
          <w:p w14:paraId="46450366" w14:textId="77777777" w:rsidR="00FE4491" w:rsidRPr="00FE4491" w:rsidRDefault="00C053CF" w:rsidP="001B11F9">
            <w:pPr>
              <w:pStyle w:val="TableTextEntries"/>
              <w:jc w:val="center"/>
            </w:pPr>
            <w:r>
              <w:t>4</w:t>
            </w:r>
          </w:p>
        </w:tc>
        <w:tc>
          <w:tcPr>
            <w:tcW w:w="372" w:type="pct"/>
            <w:shd w:val="clear" w:color="auto" w:fill="FFFF00"/>
            <w:noWrap/>
          </w:tcPr>
          <w:p w14:paraId="46450367" w14:textId="77777777" w:rsidR="00FE4491" w:rsidRPr="00FE4491" w:rsidRDefault="00E253B7" w:rsidP="001B11F9">
            <w:pPr>
              <w:pStyle w:val="TableTextEntries"/>
              <w:jc w:val="center"/>
            </w:pPr>
            <w:r>
              <w:t>4</w:t>
            </w:r>
          </w:p>
        </w:tc>
        <w:tc>
          <w:tcPr>
            <w:tcW w:w="323" w:type="pct"/>
            <w:shd w:val="clear" w:color="auto" w:fill="FFFF00"/>
            <w:noWrap/>
          </w:tcPr>
          <w:p w14:paraId="46450368" w14:textId="77777777" w:rsidR="00FE4491" w:rsidRPr="00FE4491" w:rsidRDefault="00C053CF" w:rsidP="001B11F9">
            <w:pPr>
              <w:pStyle w:val="TableTextEntries"/>
              <w:jc w:val="center"/>
            </w:pPr>
            <w:r>
              <w:t>4</w:t>
            </w:r>
          </w:p>
        </w:tc>
        <w:tc>
          <w:tcPr>
            <w:tcW w:w="351" w:type="pct"/>
            <w:shd w:val="clear" w:color="auto" w:fill="F79646" w:themeFill="accent6"/>
            <w:noWrap/>
          </w:tcPr>
          <w:p w14:paraId="46450369" w14:textId="77777777" w:rsidR="00FE4491" w:rsidRPr="00FE4491" w:rsidRDefault="00C053CF" w:rsidP="001B11F9">
            <w:pPr>
              <w:pStyle w:val="TableTextEntries"/>
              <w:jc w:val="center"/>
            </w:pPr>
            <w:r>
              <w:t>3</w:t>
            </w:r>
          </w:p>
        </w:tc>
        <w:tc>
          <w:tcPr>
            <w:tcW w:w="349" w:type="pct"/>
            <w:shd w:val="clear" w:color="auto" w:fill="F79646" w:themeFill="accent6"/>
            <w:noWrap/>
          </w:tcPr>
          <w:p w14:paraId="4645036A" w14:textId="77777777" w:rsidR="00FE4491" w:rsidRPr="00E253B7" w:rsidRDefault="005345F4" w:rsidP="001B11F9">
            <w:pPr>
              <w:pStyle w:val="TableTextEntries"/>
              <w:jc w:val="center"/>
            </w:pPr>
            <w:r>
              <w:t>I</w:t>
            </w:r>
          </w:p>
        </w:tc>
      </w:tr>
      <w:tr w:rsidR="00FE4491" w:rsidRPr="009D53C4" w14:paraId="4645037B" w14:textId="77777777" w:rsidTr="001B11F9">
        <w:trPr>
          <w:cnfStyle w:val="000000010000" w:firstRow="0" w:lastRow="0" w:firstColumn="0" w:lastColumn="0" w:oddVBand="0" w:evenVBand="0" w:oddHBand="0" w:evenHBand="1" w:firstRowFirstColumn="0" w:firstRowLastColumn="0" w:lastRowFirstColumn="0" w:lastRowLastColumn="0"/>
          <w:tblHeader w:val="0"/>
        </w:trPr>
        <w:tc>
          <w:tcPr>
            <w:tcW w:w="1242" w:type="pct"/>
            <w:vMerge w:val="restart"/>
          </w:tcPr>
          <w:p w14:paraId="4645036C" w14:textId="77777777" w:rsidR="00C053CF" w:rsidRDefault="00C053CF" w:rsidP="001B11F9">
            <w:pPr>
              <w:pStyle w:val="TableTextEntries"/>
            </w:pPr>
            <w:r>
              <w:t xml:space="preserve">Iraq Partnership Facility </w:t>
            </w:r>
          </w:p>
          <w:p w14:paraId="4645036D" w14:textId="77777777" w:rsidR="00C053CF" w:rsidRDefault="00C053CF" w:rsidP="001B11F9">
            <w:pPr>
              <w:pStyle w:val="TableTextEntries"/>
            </w:pPr>
            <w:r>
              <w:t>Iraq Agriculture Program</w:t>
            </w:r>
            <w:r w:rsidR="008D0CBF">
              <w:t xml:space="preserve"> </w:t>
            </w:r>
          </w:p>
          <w:p w14:paraId="4645036E" w14:textId="77777777" w:rsidR="00FE4491" w:rsidRPr="00FE4491" w:rsidRDefault="008D0CBF" w:rsidP="001B11F9">
            <w:pPr>
              <w:pStyle w:val="TableTextEntries"/>
            </w:pPr>
            <w:r>
              <w:t xml:space="preserve"> </w:t>
            </w:r>
          </w:p>
        </w:tc>
        <w:tc>
          <w:tcPr>
            <w:tcW w:w="631" w:type="pct"/>
            <w:vMerge w:val="restart"/>
          </w:tcPr>
          <w:p w14:paraId="4645036F" w14:textId="77777777" w:rsidR="00C053CF" w:rsidRDefault="00C053CF" w:rsidP="001B11F9">
            <w:pPr>
              <w:pStyle w:val="TableTextEntries"/>
            </w:pPr>
            <w:r>
              <w:t>$38.6m</w:t>
            </w:r>
          </w:p>
          <w:p w14:paraId="46450370" w14:textId="77777777" w:rsidR="00FE4491" w:rsidRDefault="00C053CF" w:rsidP="001B11F9">
            <w:pPr>
              <w:pStyle w:val="TableTextEntries"/>
            </w:pPr>
            <w:r>
              <w:t>Mar</w:t>
            </w:r>
            <w:r w:rsidR="004F2C97">
              <w:t>ch</w:t>
            </w:r>
            <w:r>
              <w:t xml:space="preserve"> 2013</w:t>
            </w:r>
          </w:p>
          <w:p w14:paraId="46450371" w14:textId="77777777" w:rsidR="00C053CF" w:rsidRDefault="00C053CF" w:rsidP="001B11F9">
            <w:pPr>
              <w:pStyle w:val="TableTextEntries"/>
            </w:pPr>
            <w:r>
              <w:t>$20.4m</w:t>
            </w:r>
          </w:p>
          <w:p w14:paraId="46450372" w14:textId="77777777" w:rsidR="00C053CF" w:rsidRPr="00FE4491" w:rsidRDefault="00C053CF" w:rsidP="001B11F9">
            <w:pPr>
              <w:pStyle w:val="TableTextEntries"/>
            </w:pPr>
            <w:r>
              <w:t>June 2015</w:t>
            </w:r>
          </w:p>
        </w:tc>
        <w:tc>
          <w:tcPr>
            <w:tcW w:w="449" w:type="pct"/>
            <w:gridSpan w:val="2"/>
          </w:tcPr>
          <w:p w14:paraId="46450373" w14:textId="77777777" w:rsidR="00FE4491" w:rsidRPr="00FE4491" w:rsidRDefault="00FE4491" w:rsidP="001B11F9">
            <w:pPr>
              <w:pStyle w:val="TableTextEntries"/>
            </w:pPr>
            <w:r w:rsidRPr="00FE4491">
              <w:t>2012</w:t>
            </w:r>
          </w:p>
        </w:tc>
        <w:tc>
          <w:tcPr>
            <w:tcW w:w="398" w:type="pct"/>
            <w:shd w:val="clear" w:color="auto" w:fill="FFFF00"/>
            <w:noWrap/>
          </w:tcPr>
          <w:p w14:paraId="46450374" w14:textId="77777777" w:rsidR="00FE4491" w:rsidRPr="00FE4491" w:rsidRDefault="00C053CF" w:rsidP="001B11F9">
            <w:pPr>
              <w:pStyle w:val="TableTextEntries"/>
              <w:jc w:val="center"/>
            </w:pPr>
            <w:r>
              <w:t>4</w:t>
            </w:r>
          </w:p>
        </w:tc>
        <w:tc>
          <w:tcPr>
            <w:tcW w:w="351" w:type="pct"/>
            <w:shd w:val="clear" w:color="auto" w:fill="FFFF00"/>
            <w:noWrap/>
          </w:tcPr>
          <w:p w14:paraId="46450375" w14:textId="77777777" w:rsidR="00FE4491" w:rsidRPr="00FE4491" w:rsidRDefault="00C053CF" w:rsidP="001B11F9">
            <w:pPr>
              <w:pStyle w:val="TableTextEntries"/>
              <w:jc w:val="center"/>
            </w:pPr>
            <w:r>
              <w:t>4</w:t>
            </w:r>
          </w:p>
        </w:tc>
        <w:tc>
          <w:tcPr>
            <w:tcW w:w="351" w:type="pct"/>
            <w:shd w:val="clear" w:color="auto" w:fill="F79646" w:themeFill="accent6"/>
            <w:noWrap/>
          </w:tcPr>
          <w:p w14:paraId="46450376" w14:textId="77777777" w:rsidR="00FE4491" w:rsidRPr="00FE4491" w:rsidRDefault="00C053CF" w:rsidP="001B11F9">
            <w:pPr>
              <w:pStyle w:val="TableTextEntries"/>
              <w:jc w:val="center"/>
            </w:pPr>
            <w:r>
              <w:t>3</w:t>
            </w:r>
          </w:p>
        </w:tc>
        <w:tc>
          <w:tcPr>
            <w:tcW w:w="372" w:type="pct"/>
            <w:shd w:val="clear" w:color="auto" w:fill="FFFF00"/>
            <w:noWrap/>
          </w:tcPr>
          <w:p w14:paraId="46450377" w14:textId="77777777" w:rsidR="00FE4491" w:rsidRPr="00FE4491" w:rsidRDefault="00F87F53" w:rsidP="001B11F9">
            <w:pPr>
              <w:pStyle w:val="TableTextEntries"/>
              <w:jc w:val="center"/>
            </w:pPr>
            <w:r>
              <w:t>4</w:t>
            </w:r>
          </w:p>
        </w:tc>
        <w:tc>
          <w:tcPr>
            <w:tcW w:w="323" w:type="pct"/>
            <w:shd w:val="clear" w:color="auto" w:fill="F79646" w:themeFill="accent6"/>
            <w:noWrap/>
          </w:tcPr>
          <w:p w14:paraId="46450378" w14:textId="77777777" w:rsidR="00FE4491" w:rsidRPr="00FE4491" w:rsidRDefault="00C053CF" w:rsidP="001B11F9">
            <w:pPr>
              <w:pStyle w:val="TableTextEntries"/>
              <w:jc w:val="center"/>
            </w:pPr>
            <w:r>
              <w:t>3</w:t>
            </w:r>
          </w:p>
        </w:tc>
        <w:tc>
          <w:tcPr>
            <w:tcW w:w="351" w:type="pct"/>
            <w:shd w:val="clear" w:color="auto" w:fill="FFFF00"/>
            <w:noWrap/>
          </w:tcPr>
          <w:p w14:paraId="46450379" w14:textId="77777777" w:rsidR="00FE4491" w:rsidRPr="00FE4491" w:rsidRDefault="00F87F53" w:rsidP="001B11F9">
            <w:pPr>
              <w:pStyle w:val="TableTextEntries"/>
              <w:jc w:val="center"/>
            </w:pPr>
            <w:r>
              <w:t>4</w:t>
            </w:r>
          </w:p>
        </w:tc>
        <w:tc>
          <w:tcPr>
            <w:tcW w:w="349" w:type="pct"/>
            <w:shd w:val="clear" w:color="auto" w:fill="F79646" w:themeFill="accent6"/>
            <w:noWrap/>
          </w:tcPr>
          <w:p w14:paraId="4645037A" w14:textId="77777777" w:rsidR="00FE4491" w:rsidRPr="00FE4491" w:rsidRDefault="00F87F53" w:rsidP="001B11F9">
            <w:pPr>
              <w:pStyle w:val="TableTextEntries"/>
              <w:jc w:val="center"/>
            </w:pPr>
            <w:r>
              <w:t>I</w:t>
            </w:r>
          </w:p>
        </w:tc>
      </w:tr>
      <w:tr w:rsidR="00FE4491" w:rsidRPr="009D53C4" w14:paraId="46450386" w14:textId="77777777" w:rsidTr="001B11F9">
        <w:trPr>
          <w:tblHeader w:val="0"/>
        </w:trPr>
        <w:tc>
          <w:tcPr>
            <w:tcW w:w="1242" w:type="pct"/>
            <w:vMerge/>
          </w:tcPr>
          <w:p w14:paraId="4645037C" w14:textId="77777777" w:rsidR="00FE4491" w:rsidRPr="00FE4491" w:rsidRDefault="00FE4491" w:rsidP="001B11F9">
            <w:pPr>
              <w:pStyle w:val="TableTextEntries"/>
            </w:pPr>
          </w:p>
        </w:tc>
        <w:tc>
          <w:tcPr>
            <w:tcW w:w="631" w:type="pct"/>
            <w:vMerge/>
          </w:tcPr>
          <w:p w14:paraId="4645037D" w14:textId="77777777" w:rsidR="00FE4491" w:rsidRPr="00FE4491" w:rsidRDefault="00FE4491" w:rsidP="001B11F9">
            <w:pPr>
              <w:pStyle w:val="TableTextEntries"/>
            </w:pPr>
          </w:p>
        </w:tc>
        <w:tc>
          <w:tcPr>
            <w:tcW w:w="449" w:type="pct"/>
            <w:gridSpan w:val="2"/>
          </w:tcPr>
          <w:p w14:paraId="4645037E" w14:textId="77777777" w:rsidR="00FE4491" w:rsidRPr="00FE4491" w:rsidRDefault="00FE4491" w:rsidP="001B11F9">
            <w:pPr>
              <w:pStyle w:val="TableTextEntries"/>
            </w:pPr>
            <w:r w:rsidRPr="00FE4491">
              <w:t>201</w:t>
            </w:r>
            <w:r w:rsidR="00C053CF">
              <w:t>2</w:t>
            </w:r>
          </w:p>
        </w:tc>
        <w:tc>
          <w:tcPr>
            <w:tcW w:w="398" w:type="pct"/>
            <w:shd w:val="clear" w:color="auto" w:fill="92D050"/>
            <w:noWrap/>
          </w:tcPr>
          <w:p w14:paraId="4645037F" w14:textId="77777777" w:rsidR="00FE4491" w:rsidRPr="00FE4491" w:rsidRDefault="00C053CF" w:rsidP="001B11F9">
            <w:pPr>
              <w:pStyle w:val="TableTextEntries"/>
              <w:jc w:val="center"/>
            </w:pPr>
            <w:r>
              <w:t>5</w:t>
            </w:r>
          </w:p>
        </w:tc>
        <w:tc>
          <w:tcPr>
            <w:tcW w:w="351" w:type="pct"/>
            <w:shd w:val="clear" w:color="auto" w:fill="92D050"/>
            <w:noWrap/>
          </w:tcPr>
          <w:p w14:paraId="46450380" w14:textId="77777777" w:rsidR="00FE4491" w:rsidRPr="00FE4491" w:rsidRDefault="00C053CF" w:rsidP="001B11F9">
            <w:pPr>
              <w:pStyle w:val="TableTextEntries"/>
              <w:jc w:val="center"/>
            </w:pPr>
            <w:r>
              <w:t>5</w:t>
            </w:r>
          </w:p>
        </w:tc>
        <w:tc>
          <w:tcPr>
            <w:tcW w:w="351" w:type="pct"/>
            <w:shd w:val="clear" w:color="auto" w:fill="FFFF00"/>
            <w:noWrap/>
          </w:tcPr>
          <w:p w14:paraId="46450381" w14:textId="77777777" w:rsidR="00FE4491" w:rsidRPr="00FE4491" w:rsidRDefault="00F87F53" w:rsidP="001B11F9">
            <w:pPr>
              <w:pStyle w:val="TableTextEntries"/>
              <w:jc w:val="center"/>
            </w:pPr>
            <w:r>
              <w:t>4</w:t>
            </w:r>
          </w:p>
        </w:tc>
        <w:tc>
          <w:tcPr>
            <w:tcW w:w="372" w:type="pct"/>
            <w:shd w:val="clear" w:color="auto" w:fill="FFFF00"/>
            <w:noWrap/>
          </w:tcPr>
          <w:p w14:paraId="46450382" w14:textId="77777777" w:rsidR="00FE4491" w:rsidRPr="00FE4491" w:rsidRDefault="00C053CF" w:rsidP="001B11F9">
            <w:pPr>
              <w:pStyle w:val="TableTextEntries"/>
              <w:jc w:val="center"/>
            </w:pPr>
            <w:r>
              <w:t>4</w:t>
            </w:r>
          </w:p>
        </w:tc>
        <w:tc>
          <w:tcPr>
            <w:tcW w:w="323" w:type="pct"/>
            <w:shd w:val="clear" w:color="auto" w:fill="FFFF00"/>
            <w:noWrap/>
          </w:tcPr>
          <w:p w14:paraId="46450383" w14:textId="77777777" w:rsidR="00FE4491" w:rsidRPr="00FE4491" w:rsidRDefault="00F87F53" w:rsidP="001B11F9">
            <w:pPr>
              <w:pStyle w:val="TableTextEntries"/>
              <w:jc w:val="center"/>
            </w:pPr>
            <w:r>
              <w:t>4</w:t>
            </w:r>
          </w:p>
        </w:tc>
        <w:tc>
          <w:tcPr>
            <w:tcW w:w="351" w:type="pct"/>
            <w:shd w:val="clear" w:color="auto" w:fill="FF0000"/>
            <w:noWrap/>
          </w:tcPr>
          <w:p w14:paraId="46450384" w14:textId="77777777" w:rsidR="00FE4491" w:rsidRPr="00FE4491" w:rsidRDefault="003C4041" w:rsidP="001B11F9">
            <w:pPr>
              <w:pStyle w:val="TableTextEntries"/>
              <w:jc w:val="center"/>
            </w:pPr>
            <w:r>
              <w:t>2</w:t>
            </w:r>
          </w:p>
        </w:tc>
        <w:tc>
          <w:tcPr>
            <w:tcW w:w="349" w:type="pct"/>
            <w:shd w:val="clear" w:color="auto" w:fill="F79646" w:themeFill="accent6"/>
            <w:noWrap/>
          </w:tcPr>
          <w:p w14:paraId="46450385" w14:textId="77777777" w:rsidR="00FE4491" w:rsidRPr="00FE4491" w:rsidRDefault="005345F4" w:rsidP="001B11F9">
            <w:pPr>
              <w:pStyle w:val="TableTextEntries"/>
              <w:jc w:val="center"/>
            </w:pPr>
            <w:r>
              <w:t>I</w:t>
            </w:r>
          </w:p>
        </w:tc>
      </w:tr>
      <w:tr w:rsidR="000514AA" w:rsidRPr="009D53C4" w14:paraId="46450392" w14:textId="77777777" w:rsidTr="001B11F9">
        <w:trPr>
          <w:cnfStyle w:val="000000010000" w:firstRow="0" w:lastRow="0" w:firstColumn="0" w:lastColumn="0" w:oddVBand="0" w:evenVBand="0" w:oddHBand="0" w:evenHBand="1" w:firstRowFirstColumn="0" w:firstRowLastColumn="0" w:lastRowFirstColumn="0" w:lastRowLastColumn="0"/>
          <w:tblHeader w:val="0"/>
        </w:trPr>
        <w:tc>
          <w:tcPr>
            <w:tcW w:w="1242" w:type="pct"/>
          </w:tcPr>
          <w:p w14:paraId="46450387" w14:textId="77777777" w:rsidR="000514AA" w:rsidRPr="00FE4491" w:rsidRDefault="003C4041" w:rsidP="006A0E6D">
            <w:pPr>
              <w:pStyle w:val="TableTextEntries"/>
            </w:pPr>
            <w:r>
              <w:t xml:space="preserve">DRC </w:t>
            </w:r>
            <w:r w:rsidR="006A0E6D">
              <w:t>e</w:t>
            </w:r>
            <w:r>
              <w:t>ducation (</w:t>
            </w:r>
            <w:r w:rsidR="00A61BD4">
              <w:t>T</w:t>
            </w:r>
            <w:r>
              <w:t>VET)</w:t>
            </w:r>
          </w:p>
        </w:tc>
        <w:tc>
          <w:tcPr>
            <w:tcW w:w="631" w:type="pct"/>
          </w:tcPr>
          <w:p w14:paraId="46450388" w14:textId="77777777" w:rsidR="000514AA" w:rsidRDefault="003C4041" w:rsidP="001B11F9">
            <w:pPr>
              <w:pStyle w:val="TableTextEntries"/>
            </w:pPr>
            <w:r>
              <w:t>$9m</w:t>
            </w:r>
          </w:p>
          <w:p w14:paraId="46450389" w14:textId="77777777" w:rsidR="003C4041" w:rsidRPr="00FE4491" w:rsidRDefault="003C4041" w:rsidP="001B11F9">
            <w:pPr>
              <w:pStyle w:val="TableTextEntries"/>
            </w:pPr>
            <w:r>
              <w:t>June 15</w:t>
            </w:r>
          </w:p>
        </w:tc>
        <w:tc>
          <w:tcPr>
            <w:tcW w:w="449" w:type="pct"/>
            <w:gridSpan w:val="2"/>
          </w:tcPr>
          <w:p w14:paraId="4645038A" w14:textId="77777777" w:rsidR="000514AA" w:rsidRPr="00FE4491" w:rsidRDefault="000514AA" w:rsidP="001B11F9">
            <w:pPr>
              <w:pStyle w:val="TableTextEntries"/>
            </w:pPr>
            <w:r>
              <w:t>2012</w:t>
            </w:r>
          </w:p>
        </w:tc>
        <w:tc>
          <w:tcPr>
            <w:tcW w:w="398" w:type="pct"/>
            <w:shd w:val="clear" w:color="auto" w:fill="92D050"/>
            <w:noWrap/>
          </w:tcPr>
          <w:p w14:paraId="4645038B" w14:textId="77777777" w:rsidR="000514AA" w:rsidRDefault="00991E37" w:rsidP="001B11F9">
            <w:pPr>
              <w:pStyle w:val="TableTextEntries"/>
              <w:jc w:val="center"/>
            </w:pPr>
            <w:r>
              <w:t>5</w:t>
            </w:r>
          </w:p>
        </w:tc>
        <w:tc>
          <w:tcPr>
            <w:tcW w:w="351" w:type="pct"/>
            <w:shd w:val="clear" w:color="auto" w:fill="FFFF00"/>
            <w:noWrap/>
          </w:tcPr>
          <w:p w14:paraId="4645038C" w14:textId="77777777" w:rsidR="000514AA" w:rsidRDefault="003C4041" w:rsidP="001B11F9">
            <w:pPr>
              <w:pStyle w:val="TableTextEntries"/>
              <w:jc w:val="center"/>
            </w:pPr>
            <w:r>
              <w:t>4</w:t>
            </w:r>
          </w:p>
        </w:tc>
        <w:tc>
          <w:tcPr>
            <w:tcW w:w="351" w:type="pct"/>
            <w:shd w:val="clear" w:color="auto" w:fill="FFFF00"/>
            <w:noWrap/>
          </w:tcPr>
          <w:p w14:paraId="4645038D" w14:textId="77777777" w:rsidR="000514AA" w:rsidRDefault="003C4041" w:rsidP="001B11F9">
            <w:pPr>
              <w:pStyle w:val="TableTextEntries"/>
              <w:jc w:val="center"/>
            </w:pPr>
            <w:r>
              <w:t>4</w:t>
            </w:r>
          </w:p>
        </w:tc>
        <w:tc>
          <w:tcPr>
            <w:tcW w:w="372" w:type="pct"/>
            <w:shd w:val="clear" w:color="auto" w:fill="FFFF00"/>
            <w:noWrap/>
          </w:tcPr>
          <w:p w14:paraId="4645038E" w14:textId="77777777" w:rsidR="000514AA" w:rsidRDefault="003C4041" w:rsidP="001B11F9">
            <w:pPr>
              <w:pStyle w:val="TableTextEntries"/>
              <w:jc w:val="center"/>
            </w:pPr>
            <w:r>
              <w:t>4</w:t>
            </w:r>
          </w:p>
        </w:tc>
        <w:tc>
          <w:tcPr>
            <w:tcW w:w="323" w:type="pct"/>
            <w:shd w:val="clear" w:color="auto" w:fill="FFFF00"/>
            <w:noWrap/>
          </w:tcPr>
          <w:p w14:paraId="4645038F" w14:textId="77777777" w:rsidR="000514AA" w:rsidRDefault="00991E37" w:rsidP="001B11F9">
            <w:pPr>
              <w:pStyle w:val="TableTextEntries"/>
              <w:jc w:val="center"/>
            </w:pPr>
            <w:r>
              <w:t>4</w:t>
            </w:r>
          </w:p>
        </w:tc>
        <w:tc>
          <w:tcPr>
            <w:tcW w:w="351" w:type="pct"/>
            <w:shd w:val="clear" w:color="auto" w:fill="F79646" w:themeFill="accent6"/>
            <w:noWrap/>
          </w:tcPr>
          <w:p w14:paraId="46450390" w14:textId="77777777" w:rsidR="000514AA" w:rsidRDefault="003C4041" w:rsidP="001B11F9">
            <w:pPr>
              <w:pStyle w:val="TableTextEntries"/>
              <w:jc w:val="center"/>
            </w:pPr>
            <w:r>
              <w:t>3</w:t>
            </w:r>
          </w:p>
        </w:tc>
        <w:tc>
          <w:tcPr>
            <w:tcW w:w="349" w:type="pct"/>
            <w:shd w:val="clear" w:color="auto" w:fill="F79646" w:themeFill="accent6"/>
            <w:noWrap/>
          </w:tcPr>
          <w:p w14:paraId="46450391" w14:textId="77777777" w:rsidR="000514AA" w:rsidRPr="00991E37" w:rsidRDefault="00991E37" w:rsidP="001B11F9">
            <w:pPr>
              <w:pStyle w:val="TableTextEntries"/>
              <w:jc w:val="center"/>
            </w:pPr>
            <w:r w:rsidRPr="00991E37">
              <w:t>I</w:t>
            </w:r>
          </w:p>
        </w:tc>
      </w:tr>
      <w:tr w:rsidR="000514AA" w:rsidRPr="009D53C4" w14:paraId="4645039F" w14:textId="77777777" w:rsidTr="001B11F9">
        <w:trPr>
          <w:tblHeader w:val="0"/>
        </w:trPr>
        <w:tc>
          <w:tcPr>
            <w:tcW w:w="1242" w:type="pct"/>
          </w:tcPr>
          <w:p w14:paraId="46450393" w14:textId="77777777" w:rsidR="003C4041" w:rsidRDefault="003C4041" w:rsidP="001B11F9">
            <w:pPr>
              <w:pStyle w:val="TableTextEntries"/>
            </w:pPr>
            <w:r>
              <w:t>Australia</w:t>
            </w:r>
            <w:r w:rsidR="006A0E6D">
              <w:t xml:space="preserve"> – </w:t>
            </w:r>
            <w:r>
              <w:t>Iraq Agricultural</w:t>
            </w:r>
          </w:p>
          <w:p w14:paraId="46450394" w14:textId="77777777" w:rsidR="003C4041" w:rsidRDefault="003C4041" w:rsidP="001B11F9">
            <w:pPr>
              <w:pStyle w:val="TableTextEntries"/>
            </w:pPr>
            <w:r>
              <w:t xml:space="preserve"> Scholarships</w:t>
            </w:r>
          </w:p>
        </w:tc>
        <w:tc>
          <w:tcPr>
            <w:tcW w:w="631" w:type="pct"/>
          </w:tcPr>
          <w:p w14:paraId="46450395" w14:textId="77777777" w:rsidR="000514AA" w:rsidRDefault="003C4041" w:rsidP="001B11F9">
            <w:pPr>
              <w:pStyle w:val="TableTextEntries"/>
            </w:pPr>
            <w:r>
              <w:t>$25.7m</w:t>
            </w:r>
          </w:p>
          <w:p w14:paraId="46450396" w14:textId="77777777" w:rsidR="003C4041" w:rsidRPr="00FE4491" w:rsidRDefault="003C4041" w:rsidP="001B11F9">
            <w:pPr>
              <w:pStyle w:val="TableTextEntries"/>
            </w:pPr>
            <w:r>
              <w:t>July 2013</w:t>
            </w:r>
          </w:p>
        </w:tc>
        <w:tc>
          <w:tcPr>
            <w:tcW w:w="449" w:type="pct"/>
            <w:gridSpan w:val="2"/>
          </w:tcPr>
          <w:p w14:paraId="46450397" w14:textId="77777777" w:rsidR="000514AA" w:rsidRDefault="000514AA" w:rsidP="001B11F9">
            <w:pPr>
              <w:pStyle w:val="TableTextEntries"/>
            </w:pPr>
            <w:r>
              <w:t>201</w:t>
            </w:r>
            <w:r w:rsidR="003C4041">
              <w:t>2</w:t>
            </w:r>
          </w:p>
        </w:tc>
        <w:tc>
          <w:tcPr>
            <w:tcW w:w="398" w:type="pct"/>
            <w:shd w:val="clear" w:color="auto" w:fill="92D050"/>
            <w:noWrap/>
          </w:tcPr>
          <w:p w14:paraId="46450398" w14:textId="77777777" w:rsidR="000514AA" w:rsidRDefault="00991E37" w:rsidP="001B11F9">
            <w:pPr>
              <w:pStyle w:val="TableTextEntries"/>
              <w:jc w:val="center"/>
            </w:pPr>
            <w:r>
              <w:t>5</w:t>
            </w:r>
          </w:p>
        </w:tc>
        <w:tc>
          <w:tcPr>
            <w:tcW w:w="351" w:type="pct"/>
            <w:shd w:val="clear" w:color="auto" w:fill="FFFF00"/>
            <w:noWrap/>
          </w:tcPr>
          <w:p w14:paraId="46450399" w14:textId="77777777" w:rsidR="000514AA" w:rsidRDefault="003C4041" w:rsidP="001B11F9">
            <w:pPr>
              <w:pStyle w:val="TableTextEntries"/>
              <w:jc w:val="center"/>
            </w:pPr>
            <w:r>
              <w:t>4</w:t>
            </w:r>
          </w:p>
        </w:tc>
        <w:tc>
          <w:tcPr>
            <w:tcW w:w="351" w:type="pct"/>
            <w:shd w:val="clear" w:color="auto" w:fill="F79646" w:themeFill="accent6"/>
            <w:noWrap/>
          </w:tcPr>
          <w:p w14:paraId="4645039A" w14:textId="77777777" w:rsidR="000514AA" w:rsidRDefault="003C4041" w:rsidP="001B11F9">
            <w:pPr>
              <w:pStyle w:val="TableTextEntries"/>
              <w:jc w:val="center"/>
            </w:pPr>
            <w:r>
              <w:t>3</w:t>
            </w:r>
          </w:p>
        </w:tc>
        <w:tc>
          <w:tcPr>
            <w:tcW w:w="372" w:type="pct"/>
            <w:shd w:val="clear" w:color="auto" w:fill="F79646" w:themeFill="accent6"/>
            <w:noWrap/>
          </w:tcPr>
          <w:p w14:paraId="4645039B" w14:textId="77777777" w:rsidR="000514AA" w:rsidRDefault="003C4041" w:rsidP="001B11F9">
            <w:pPr>
              <w:pStyle w:val="TableTextEntries"/>
              <w:jc w:val="center"/>
            </w:pPr>
            <w:r>
              <w:t>3</w:t>
            </w:r>
          </w:p>
        </w:tc>
        <w:tc>
          <w:tcPr>
            <w:tcW w:w="323" w:type="pct"/>
            <w:shd w:val="clear" w:color="auto" w:fill="FFFF00"/>
            <w:noWrap/>
          </w:tcPr>
          <w:p w14:paraId="4645039C" w14:textId="77777777" w:rsidR="000514AA" w:rsidRDefault="003C4041" w:rsidP="001B11F9">
            <w:pPr>
              <w:pStyle w:val="TableTextEntries"/>
              <w:jc w:val="center"/>
            </w:pPr>
            <w:r>
              <w:t>4</w:t>
            </w:r>
          </w:p>
        </w:tc>
        <w:tc>
          <w:tcPr>
            <w:tcW w:w="351" w:type="pct"/>
            <w:shd w:val="clear" w:color="auto" w:fill="FFFF00"/>
            <w:noWrap/>
          </w:tcPr>
          <w:p w14:paraId="4645039D" w14:textId="77777777" w:rsidR="000514AA" w:rsidRDefault="003C4041" w:rsidP="001B11F9">
            <w:pPr>
              <w:pStyle w:val="TableTextEntries"/>
              <w:jc w:val="center"/>
            </w:pPr>
            <w:r>
              <w:t>4</w:t>
            </w:r>
          </w:p>
        </w:tc>
        <w:tc>
          <w:tcPr>
            <w:tcW w:w="349" w:type="pct"/>
            <w:shd w:val="clear" w:color="auto" w:fill="F79646" w:themeFill="accent6"/>
            <w:noWrap/>
          </w:tcPr>
          <w:p w14:paraId="4645039E" w14:textId="77777777" w:rsidR="000514AA" w:rsidRDefault="00991E37" w:rsidP="001B11F9">
            <w:pPr>
              <w:pStyle w:val="TableTextEntries"/>
              <w:jc w:val="center"/>
            </w:pPr>
            <w:r>
              <w:t>I</w:t>
            </w:r>
          </w:p>
        </w:tc>
      </w:tr>
    </w:tbl>
    <w:p w14:paraId="464503A0" w14:textId="77777777" w:rsidR="00FE4491" w:rsidRDefault="00FE4491" w:rsidP="00E6631F">
      <w:pPr>
        <w:pStyle w:val="Note"/>
      </w:pPr>
      <w:r>
        <w:t>Definitions of rating scale:</w:t>
      </w:r>
      <w:r>
        <w:tab/>
      </w:r>
    </w:p>
    <w:p w14:paraId="464503A1" w14:textId="77777777" w:rsidR="00FE4491" w:rsidRDefault="00FE4491" w:rsidP="00E6631F">
      <w:pPr>
        <w:pStyle w:val="Note"/>
      </w:pPr>
      <w:r>
        <w:t>Satisfactory (4, 5 and 6)</w:t>
      </w:r>
    </w:p>
    <w:p w14:paraId="464503A2" w14:textId="77777777" w:rsidR="00FE4491" w:rsidRDefault="00FE4491" w:rsidP="00E6631F">
      <w:pPr>
        <w:pStyle w:val="Note"/>
      </w:pPr>
      <w:r w:rsidRPr="00FE4491">
        <w:rPr>
          <w:color w:val="92D050"/>
        </w:rPr>
        <w:sym w:font="Webdings" w:char="F067"/>
      </w:r>
      <w:r>
        <w:t xml:space="preserve"> = 6 = Very high quality</w:t>
      </w:r>
    </w:p>
    <w:p w14:paraId="464503A3" w14:textId="77777777" w:rsidR="00FE4491" w:rsidRDefault="00FE4491" w:rsidP="00E6631F">
      <w:pPr>
        <w:pStyle w:val="Note"/>
      </w:pPr>
      <w:r w:rsidRPr="00FE4491">
        <w:rPr>
          <w:color w:val="92D050"/>
        </w:rPr>
        <w:sym w:font="Webdings" w:char="F067"/>
      </w:r>
      <w:r>
        <w:t xml:space="preserve"> = 5 = Good quality</w:t>
      </w:r>
    </w:p>
    <w:p w14:paraId="464503A4" w14:textId="77777777" w:rsidR="00FE4491" w:rsidRDefault="00FE4491" w:rsidP="00E6631F">
      <w:pPr>
        <w:pStyle w:val="Note"/>
      </w:pPr>
      <w:r w:rsidRPr="000774FD">
        <w:rPr>
          <w:color w:val="FFFF00"/>
        </w:rPr>
        <w:sym w:font="Webdings" w:char="F067"/>
      </w:r>
      <w:r>
        <w:t xml:space="preserve"> = 4 = Adequate quality, needs some work</w:t>
      </w:r>
    </w:p>
    <w:p w14:paraId="464503A5" w14:textId="77777777" w:rsidR="00FE4491" w:rsidRDefault="00FE4491" w:rsidP="00E6631F">
      <w:pPr>
        <w:pStyle w:val="Note"/>
      </w:pPr>
      <w:r>
        <w:t>Less than satisfactory (1, 2 and 3)</w:t>
      </w:r>
    </w:p>
    <w:p w14:paraId="464503A6" w14:textId="77777777" w:rsidR="00FE4491" w:rsidRDefault="00FE4491" w:rsidP="00E6631F">
      <w:pPr>
        <w:pStyle w:val="Note"/>
      </w:pPr>
      <w:r w:rsidRPr="00FD710F">
        <w:rPr>
          <w:color w:val="F79646"/>
        </w:rPr>
        <w:sym w:font="Webdings" w:char="F067"/>
      </w:r>
      <w:r>
        <w:t xml:space="preserve"> = 3 = Less than adequate quality; needs significant work</w:t>
      </w:r>
    </w:p>
    <w:p w14:paraId="464503A7" w14:textId="77777777" w:rsidR="00FE4491" w:rsidRDefault="00FE4491" w:rsidP="00E6631F">
      <w:pPr>
        <w:pStyle w:val="Note"/>
      </w:pPr>
      <w:r w:rsidRPr="000774FD">
        <w:rPr>
          <w:color w:val="FF0000"/>
        </w:rPr>
        <w:sym w:font="Webdings" w:char="F067"/>
      </w:r>
      <w:r>
        <w:t xml:space="preserve"> = 2 = Poor quality; needs major work to improve</w:t>
      </w:r>
    </w:p>
    <w:p w14:paraId="464503A8" w14:textId="77777777" w:rsidR="00FE4491" w:rsidRDefault="00FE4491" w:rsidP="00E6631F">
      <w:pPr>
        <w:pStyle w:val="Note"/>
      </w:pPr>
      <w:r w:rsidRPr="000774FD">
        <w:rPr>
          <w:color w:val="FF0000"/>
        </w:rPr>
        <w:sym w:font="Webdings" w:char="F067"/>
      </w:r>
      <w:r>
        <w:t xml:space="preserve"> = 1 = Very poor quality; needs major overhaul</w:t>
      </w:r>
    </w:p>
    <w:p w14:paraId="464503A9" w14:textId="77777777" w:rsidR="00FE4491" w:rsidRDefault="00FE4491" w:rsidP="00E6631F">
      <w:pPr>
        <w:pStyle w:val="Note"/>
      </w:pPr>
    </w:p>
    <w:p w14:paraId="464503AA" w14:textId="77777777" w:rsidR="00FE4491" w:rsidRDefault="00FE4491" w:rsidP="00E6631F">
      <w:pPr>
        <w:pStyle w:val="Note"/>
      </w:pPr>
      <w:r>
        <w:t>Risk Management scale:</w:t>
      </w:r>
    </w:p>
    <w:p w14:paraId="464503AB" w14:textId="77777777" w:rsidR="00FE4491" w:rsidRDefault="00FE4491" w:rsidP="00E6631F">
      <w:pPr>
        <w:pStyle w:val="Note"/>
      </w:pPr>
      <w:r w:rsidRPr="00FE4491">
        <w:rPr>
          <w:color w:val="92D050"/>
        </w:rPr>
        <w:sym w:font="Webdings" w:char="F067"/>
      </w:r>
      <w:r w:rsidR="008D0CBF">
        <w:t xml:space="preserve"> </w:t>
      </w:r>
      <w:r>
        <w:t>Mature (M). Indicates the initiative manager conducts risk discussions on at least a monthly basis with all stakeholders and updates the risk registry quarterly</w:t>
      </w:r>
      <w:r w:rsidR="00C65930">
        <w:t>.</w:t>
      </w:r>
      <w:r>
        <w:t xml:space="preserve"> </w:t>
      </w:r>
    </w:p>
    <w:p w14:paraId="464503AC" w14:textId="77777777" w:rsidR="00FE4491" w:rsidRDefault="00FE4491" w:rsidP="00E6631F">
      <w:pPr>
        <w:pStyle w:val="Note"/>
      </w:pPr>
      <w:r w:rsidRPr="00FD710F">
        <w:rPr>
          <w:color w:val="F79646"/>
        </w:rPr>
        <w:sym w:font="Webdings" w:char="F067"/>
      </w:r>
      <w:r w:rsidR="008D0CBF">
        <w:t xml:space="preserve"> </w:t>
      </w:r>
      <w:r>
        <w:t>Intermediate (I). Indicates the initiative manager conducts ad-hoc risk discussion and updates the risk register occasionally</w:t>
      </w:r>
      <w:r w:rsidR="00C65930">
        <w:t>.</w:t>
      </w:r>
      <w:r>
        <w:t xml:space="preserve"> </w:t>
      </w:r>
    </w:p>
    <w:p w14:paraId="464503AD" w14:textId="77777777" w:rsidR="00071B95" w:rsidRDefault="00FE4491" w:rsidP="008D0CBF">
      <w:pPr>
        <w:pStyle w:val="Note"/>
        <w:sectPr w:rsidR="00071B95" w:rsidSect="00E231A2">
          <w:headerReference w:type="default" r:id="rId20"/>
          <w:footerReference w:type="default" r:id="rId21"/>
          <w:headerReference w:type="first" r:id="rId22"/>
          <w:footerReference w:type="first" r:id="rId23"/>
          <w:pgSz w:w="11906" w:h="16838" w:code="9"/>
          <w:pgMar w:top="2268" w:right="1701" w:bottom="907" w:left="1871" w:header="709" w:footer="454" w:gutter="0"/>
          <w:cols w:space="708"/>
          <w:docGrid w:linePitch="360"/>
        </w:sectPr>
      </w:pPr>
      <w:r w:rsidRPr="000774FD">
        <w:rPr>
          <w:color w:val="FF0000"/>
        </w:rPr>
        <w:sym w:font="Webdings" w:char="F067"/>
      </w:r>
      <w:r w:rsidR="008D0CBF">
        <w:t xml:space="preserve"> </w:t>
      </w:r>
      <w:r>
        <w:t>Basic (B). Indicates there are limited or few risk discussions and the risk register has not been updated in the past 12 months</w:t>
      </w:r>
      <w:r w:rsidR="00C65930">
        <w:t>.</w:t>
      </w:r>
    </w:p>
    <w:p w14:paraId="464503AE" w14:textId="77777777" w:rsidR="00071B95" w:rsidRPr="00071B95" w:rsidRDefault="00071B95" w:rsidP="00E6631F">
      <w:pPr>
        <w:pStyle w:val="Heading1"/>
      </w:pPr>
      <w:r w:rsidRPr="00071B95">
        <w:lastRenderedPageBreak/>
        <w:t>Annex C</w:t>
      </w:r>
    </w:p>
    <w:p w14:paraId="464503AF" w14:textId="77777777" w:rsidR="00071B95" w:rsidRPr="008D0CBF" w:rsidRDefault="00071B95" w:rsidP="008D0CBF">
      <w:pPr>
        <w:pStyle w:val="Heading2"/>
      </w:pPr>
      <w:r w:rsidRPr="008D0CBF">
        <w:t xml:space="preserve">Evaluation and </w:t>
      </w:r>
      <w:r w:rsidR="00944155">
        <w:t>r</w:t>
      </w:r>
      <w:r w:rsidRPr="008D0CBF">
        <w:t xml:space="preserve">eview </w:t>
      </w:r>
      <w:r w:rsidR="00944155">
        <w:t>p</w:t>
      </w:r>
      <w:r w:rsidRPr="008D0CBF">
        <w:t xml:space="preserve">ipeline </w:t>
      </w:r>
      <w:r w:rsidR="00944155">
        <w:t>p</w:t>
      </w:r>
      <w:r w:rsidRPr="008D0CBF">
        <w:t>lanning</w:t>
      </w:r>
    </w:p>
    <w:p w14:paraId="464503B0" w14:textId="77777777" w:rsidR="00071B95" w:rsidRPr="008D0CBF" w:rsidRDefault="00071B95" w:rsidP="008D0CBF">
      <w:pPr>
        <w:pStyle w:val="Caption"/>
      </w:pPr>
      <w:r w:rsidRPr="008D0CBF">
        <w:t xml:space="preserve">List of </w:t>
      </w:r>
      <w:r w:rsidR="00944155">
        <w:t>e</w:t>
      </w:r>
      <w:r w:rsidRPr="008D0CBF">
        <w:t>valuations completed</w:t>
      </w:r>
      <w:r w:rsidRPr="008C6D9F">
        <w:rPr>
          <w:vertAlign w:val="superscript"/>
        </w:rPr>
        <w:footnoteReference w:id="29"/>
      </w:r>
      <w:r w:rsidRPr="008C6D9F">
        <w:rPr>
          <w:vertAlign w:val="superscript"/>
        </w:rPr>
        <w:t xml:space="preserve"> </w:t>
      </w:r>
      <w:r w:rsidRPr="008D0CBF">
        <w:t xml:space="preserve">in the reporting period </w:t>
      </w:r>
    </w:p>
    <w:tbl>
      <w:tblPr>
        <w:tblStyle w:val="APPR"/>
        <w:tblW w:w="5000" w:type="pct"/>
        <w:tblLook w:val="04A0" w:firstRow="1" w:lastRow="0" w:firstColumn="1" w:lastColumn="0" w:noHBand="0" w:noVBand="1"/>
      </w:tblPr>
      <w:tblGrid>
        <w:gridCol w:w="2052"/>
        <w:gridCol w:w="2055"/>
        <w:gridCol w:w="2170"/>
        <w:gridCol w:w="2066"/>
        <w:gridCol w:w="2058"/>
        <w:gridCol w:w="1885"/>
        <w:gridCol w:w="1649"/>
      </w:tblGrid>
      <w:tr w:rsidR="00071B95" w:rsidRPr="00071B95" w14:paraId="464503B8" w14:textId="77777777" w:rsidTr="008D0CBF">
        <w:trPr>
          <w:cnfStyle w:val="100000000000" w:firstRow="1" w:lastRow="0" w:firstColumn="0" w:lastColumn="0" w:oddVBand="0" w:evenVBand="0" w:oddHBand="0" w:evenHBand="0" w:firstRowFirstColumn="0" w:firstRowLastColumn="0" w:lastRowFirstColumn="0" w:lastRowLastColumn="0"/>
        </w:trPr>
        <w:tc>
          <w:tcPr>
            <w:tcW w:w="2084" w:type="dxa"/>
          </w:tcPr>
          <w:p w14:paraId="464503B1" w14:textId="77777777" w:rsidR="00071B95" w:rsidRPr="008D0CBF" w:rsidRDefault="00071B95" w:rsidP="00944155">
            <w:pPr>
              <w:pStyle w:val="TableTextColumnHeading"/>
              <w:rPr>
                <w:b/>
              </w:rPr>
            </w:pPr>
            <w:r w:rsidRPr="008D0CBF">
              <w:rPr>
                <w:b/>
              </w:rPr>
              <w:t xml:space="preserve">Name of </w:t>
            </w:r>
            <w:r w:rsidR="00944155">
              <w:rPr>
                <w:b/>
              </w:rPr>
              <w:t>i</w:t>
            </w:r>
            <w:r w:rsidRPr="008D0CBF">
              <w:rPr>
                <w:b/>
              </w:rPr>
              <w:t>nitiative</w:t>
            </w:r>
          </w:p>
        </w:tc>
        <w:tc>
          <w:tcPr>
            <w:tcW w:w="2119" w:type="dxa"/>
          </w:tcPr>
          <w:p w14:paraId="464503B2" w14:textId="77777777" w:rsidR="00071B95" w:rsidRPr="008D0CBF" w:rsidRDefault="00071B95" w:rsidP="00944155">
            <w:pPr>
              <w:pStyle w:val="TableTextColumnHeading"/>
              <w:rPr>
                <w:b/>
              </w:rPr>
            </w:pPr>
            <w:r w:rsidRPr="008D0CBF">
              <w:rPr>
                <w:b/>
              </w:rPr>
              <w:t>Aid</w:t>
            </w:r>
            <w:r w:rsidR="00944155">
              <w:rPr>
                <w:b/>
              </w:rPr>
              <w:t>W</w:t>
            </w:r>
            <w:r w:rsidRPr="008D0CBF">
              <w:rPr>
                <w:b/>
              </w:rPr>
              <w:t>orks number</w:t>
            </w:r>
          </w:p>
        </w:tc>
        <w:tc>
          <w:tcPr>
            <w:tcW w:w="2227" w:type="dxa"/>
          </w:tcPr>
          <w:p w14:paraId="464503B3" w14:textId="77777777" w:rsidR="00071B95" w:rsidRPr="008D0CBF" w:rsidRDefault="00071B95" w:rsidP="008D0CBF">
            <w:pPr>
              <w:pStyle w:val="TableTextColumnHeading"/>
              <w:rPr>
                <w:b/>
              </w:rPr>
            </w:pPr>
            <w:r w:rsidRPr="008D0CBF">
              <w:rPr>
                <w:b/>
              </w:rPr>
              <w:t>Type of evaluation</w:t>
            </w:r>
            <w:r w:rsidRPr="008C6D9F">
              <w:rPr>
                <w:b/>
                <w:vertAlign w:val="superscript"/>
              </w:rPr>
              <w:footnoteReference w:id="30"/>
            </w:r>
          </w:p>
        </w:tc>
        <w:tc>
          <w:tcPr>
            <w:tcW w:w="2126" w:type="dxa"/>
          </w:tcPr>
          <w:p w14:paraId="464503B4" w14:textId="77777777" w:rsidR="00071B95" w:rsidRPr="008D0CBF" w:rsidRDefault="00071B95" w:rsidP="00944155">
            <w:pPr>
              <w:pStyle w:val="TableTextColumnHeading"/>
              <w:rPr>
                <w:b/>
              </w:rPr>
            </w:pPr>
            <w:r w:rsidRPr="008D0CBF">
              <w:rPr>
                <w:b/>
              </w:rPr>
              <w:t xml:space="preserve">Date </w:t>
            </w:r>
            <w:r w:rsidR="00944155">
              <w:rPr>
                <w:b/>
              </w:rPr>
              <w:t>e</w:t>
            </w:r>
            <w:r w:rsidRPr="008D0CBF">
              <w:rPr>
                <w:b/>
              </w:rPr>
              <w:t>valuation report received</w:t>
            </w:r>
          </w:p>
        </w:tc>
        <w:tc>
          <w:tcPr>
            <w:tcW w:w="2106" w:type="dxa"/>
          </w:tcPr>
          <w:p w14:paraId="464503B5" w14:textId="77777777" w:rsidR="00071B95" w:rsidRPr="008D0CBF" w:rsidRDefault="00071B95" w:rsidP="00944155">
            <w:pPr>
              <w:pStyle w:val="TableTextColumnHeading"/>
              <w:rPr>
                <w:b/>
              </w:rPr>
            </w:pPr>
            <w:r w:rsidRPr="008D0CBF">
              <w:rPr>
                <w:b/>
              </w:rPr>
              <w:t xml:space="preserve">Date </w:t>
            </w:r>
            <w:r w:rsidR="00944155">
              <w:rPr>
                <w:b/>
              </w:rPr>
              <w:t>e</w:t>
            </w:r>
            <w:r w:rsidRPr="008D0CBF">
              <w:rPr>
                <w:b/>
              </w:rPr>
              <w:t>valuation report Uploaded into Aid</w:t>
            </w:r>
            <w:r w:rsidR="00944155">
              <w:rPr>
                <w:b/>
              </w:rPr>
              <w:t>W</w:t>
            </w:r>
            <w:r w:rsidRPr="008D0CBF">
              <w:rPr>
                <w:b/>
              </w:rPr>
              <w:t>orks</w:t>
            </w:r>
          </w:p>
        </w:tc>
        <w:tc>
          <w:tcPr>
            <w:tcW w:w="1911" w:type="dxa"/>
          </w:tcPr>
          <w:p w14:paraId="464503B6" w14:textId="77777777" w:rsidR="00071B95" w:rsidRPr="008D0CBF" w:rsidRDefault="00071B95" w:rsidP="00944155">
            <w:pPr>
              <w:pStyle w:val="TableTextColumnHeading"/>
              <w:rPr>
                <w:b/>
              </w:rPr>
            </w:pPr>
            <w:r w:rsidRPr="008D0CBF">
              <w:rPr>
                <w:b/>
              </w:rPr>
              <w:t xml:space="preserve">Date </w:t>
            </w:r>
            <w:r w:rsidR="00944155">
              <w:rPr>
                <w:b/>
              </w:rPr>
              <w:t>m</w:t>
            </w:r>
            <w:r w:rsidRPr="008D0CBF">
              <w:rPr>
                <w:b/>
              </w:rPr>
              <w:t>anagement response uploaded into Aid</w:t>
            </w:r>
            <w:r w:rsidR="00944155">
              <w:rPr>
                <w:b/>
              </w:rPr>
              <w:t>W</w:t>
            </w:r>
            <w:r w:rsidRPr="008D0CBF">
              <w:rPr>
                <w:b/>
              </w:rPr>
              <w:t>orks</w:t>
            </w:r>
          </w:p>
        </w:tc>
        <w:tc>
          <w:tcPr>
            <w:tcW w:w="1648" w:type="dxa"/>
          </w:tcPr>
          <w:p w14:paraId="464503B7" w14:textId="77777777" w:rsidR="00071B95" w:rsidRPr="008D0CBF" w:rsidRDefault="00071B95" w:rsidP="008D0CBF">
            <w:pPr>
              <w:pStyle w:val="TableTextColumnHeading"/>
              <w:rPr>
                <w:b/>
              </w:rPr>
            </w:pPr>
            <w:r w:rsidRPr="008D0CBF">
              <w:rPr>
                <w:b/>
              </w:rPr>
              <w:t>Published on website</w:t>
            </w:r>
          </w:p>
        </w:tc>
      </w:tr>
      <w:tr w:rsidR="00071B95" w:rsidRPr="00071B95" w14:paraId="464503C0" w14:textId="77777777" w:rsidTr="008D0CBF">
        <w:trPr>
          <w:cnfStyle w:val="100000000000" w:firstRow="1" w:lastRow="0" w:firstColumn="0" w:lastColumn="0" w:oddVBand="0" w:evenVBand="0" w:oddHBand="0" w:evenHBand="0" w:firstRowFirstColumn="0" w:firstRowLastColumn="0" w:lastRowFirstColumn="0" w:lastRowLastColumn="0"/>
        </w:trPr>
        <w:tc>
          <w:tcPr>
            <w:tcW w:w="2084" w:type="dxa"/>
          </w:tcPr>
          <w:p w14:paraId="464503B9" w14:textId="77777777" w:rsidR="00071B95" w:rsidRPr="008D0CBF" w:rsidRDefault="00E66FD2" w:rsidP="008D0CBF">
            <w:pPr>
              <w:pStyle w:val="TableTextEntries"/>
              <w:rPr>
                <w:b w:val="0"/>
              </w:rPr>
            </w:pPr>
            <w:r w:rsidRPr="008D0CBF">
              <w:rPr>
                <w:b w:val="0"/>
              </w:rPr>
              <w:t xml:space="preserve">Iraq Partnership </w:t>
            </w:r>
            <w:r w:rsidRPr="008D0CBF">
              <w:rPr>
                <w:b w:val="0"/>
              </w:rPr>
              <w:br/>
              <w:t>Facility</w:t>
            </w:r>
          </w:p>
        </w:tc>
        <w:tc>
          <w:tcPr>
            <w:tcW w:w="2119" w:type="dxa"/>
          </w:tcPr>
          <w:p w14:paraId="464503BA" w14:textId="77777777" w:rsidR="00071B95" w:rsidRPr="008D0CBF" w:rsidRDefault="00E66FD2" w:rsidP="008D0CBF">
            <w:pPr>
              <w:pStyle w:val="TableTextEntries"/>
              <w:rPr>
                <w:b w:val="0"/>
              </w:rPr>
            </w:pPr>
            <w:r w:rsidRPr="008D0CBF">
              <w:rPr>
                <w:b w:val="0"/>
              </w:rPr>
              <w:t>INI278</w:t>
            </w:r>
          </w:p>
        </w:tc>
        <w:tc>
          <w:tcPr>
            <w:tcW w:w="2227" w:type="dxa"/>
          </w:tcPr>
          <w:p w14:paraId="464503BB" w14:textId="77777777" w:rsidR="00071B95" w:rsidRPr="008D0CBF" w:rsidRDefault="00E66FD2" w:rsidP="00944155">
            <w:pPr>
              <w:pStyle w:val="TableTextEntries"/>
              <w:rPr>
                <w:b w:val="0"/>
              </w:rPr>
            </w:pPr>
            <w:r w:rsidRPr="008D0CBF">
              <w:rPr>
                <w:b w:val="0"/>
              </w:rPr>
              <w:t xml:space="preserve">Independent </w:t>
            </w:r>
            <w:r w:rsidR="00944155">
              <w:rPr>
                <w:b w:val="0"/>
              </w:rPr>
              <w:t>r</w:t>
            </w:r>
            <w:r w:rsidRPr="008D0CBF">
              <w:rPr>
                <w:b w:val="0"/>
              </w:rPr>
              <w:t>eview</w:t>
            </w:r>
          </w:p>
        </w:tc>
        <w:tc>
          <w:tcPr>
            <w:tcW w:w="2126" w:type="dxa"/>
          </w:tcPr>
          <w:p w14:paraId="464503BC" w14:textId="77777777" w:rsidR="00071B95" w:rsidRPr="008D0CBF" w:rsidRDefault="00E66FD2" w:rsidP="008D0CBF">
            <w:pPr>
              <w:pStyle w:val="TableTextEntries"/>
              <w:rPr>
                <w:b w:val="0"/>
              </w:rPr>
            </w:pPr>
            <w:r w:rsidRPr="008D0CBF">
              <w:rPr>
                <w:b w:val="0"/>
              </w:rPr>
              <w:t>March 2013</w:t>
            </w:r>
          </w:p>
        </w:tc>
        <w:tc>
          <w:tcPr>
            <w:tcW w:w="2106" w:type="dxa"/>
          </w:tcPr>
          <w:p w14:paraId="464503BD" w14:textId="77777777" w:rsidR="00071B95" w:rsidRPr="008D0CBF" w:rsidRDefault="00E87360" w:rsidP="008D0CBF">
            <w:pPr>
              <w:pStyle w:val="TableTextEntries"/>
              <w:rPr>
                <w:b w:val="0"/>
              </w:rPr>
            </w:pPr>
            <w:r w:rsidRPr="008D0CBF">
              <w:rPr>
                <w:b w:val="0"/>
              </w:rPr>
              <w:t>Forthcoming</w:t>
            </w:r>
          </w:p>
        </w:tc>
        <w:tc>
          <w:tcPr>
            <w:tcW w:w="1911" w:type="dxa"/>
          </w:tcPr>
          <w:p w14:paraId="464503BE" w14:textId="77777777" w:rsidR="00071B95" w:rsidRPr="008D0CBF" w:rsidRDefault="00E87360" w:rsidP="008D0CBF">
            <w:pPr>
              <w:pStyle w:val="TableTextEntries"/>
              <w:rPr>
                <w:b w:val="0"/>
              </w:rPr>
            </w:pPr>
            <w:r w:rsidRPr="008D0CBF">
              <w:rPr>
                <w:b w:val="0"/>
              </w:rPr>
              <w:t>Forthcoming</w:t>
            </w:r>
          </w:p>
        </w:tc>
        <w:tc>
          <w:tcPr>
            <w:tcW w:w="1648" w:type="dxa"/>
          </w:tcPr>
          <w:p w14:paraId="464503BF" w14:textId="77777777" w:rsidR="00071B95" w:rsidRPr="008D0CBF" w:rsidRDefault="00637AF8" w:rsidP="008D0CBF">
            <w:pPr>
              <w:pStyle w:val="TableTextEntries"/>
              <w:rPr>
                <w:b w:val="0"/>
              </w:rPr>
            </w:pPr>
            <w:r w:rsidRPr="008D0CBF">
              <w:rPr>
                <w:b w:val="0"/>
              </w:rPr>
              <w:t>Forthcoming</w:t>
            </w:r>
          </w:p>
        </w:tc>
      </w:tr>
      <w:tr w:rsidR="00071B95" w:rsidRPr="00071B95" w14:paraId="464503C8" w14:textId="77777777" w:rsidTr="008D0CBF">
        <w:trPr>
          <w:cnfStyle w:val="100000000000" w:firstRow="1" w:lastRow="0" w:firstColumn="0" w:lastColumn="0" w:oddVBand="0" w:evenVBand="0" w:oddHBand="0" w:evenHBand="0" w:firstRowFirstColumn="0" w:firstRowLastColumn="0" w:lastRowFirstColumn="0" w:lastRowLastColumn="0"/>
        </w:trPr>
        <w:tc>
          <w:tcPr>
            <w:tcW w:w="2084" w:type="dxa"/>
          </w:tcPr>
          <w:p w14:paraId="464503C1" w14:textId="77777777" w:rsidR="00071B95" w:rsidRPr="008D0CBF" w:rsidRDefault="00E66FD2" w:rsidP="00944155">
            <w:pPr>
              <w:pStyle w:val="TableTextEntries"/>
              <w:rPr>
                <w:b w:val="0"/>
              </w:rPr>
            </w:pPr>
            <w:r w:rsidRPr="008D0CBF">
              <w:rPr>
                <w:b w:val="0"/>
              </w:rPr>
              <w:t>A</w:t>
            </w:r>
            <w:r w:rsidR="00944155">
              <w:rPr>
                <w:b w:val="0"/>
              </w:rPr>
              <w:t>ustralia – Iraq Agricultural Scholarships</w:t>
            </w:r>
          </w:p>
        </w:tc>
        <w:tc>
          <w:tcPr>
            <w:tcW w:w="2119" w:type="dxa"/>
          </w:tcPr>
          <w:p w14:paraId="464503C2" w14:textId="77777777" w:rsidR="00071B95" w:rsidRPr="008D0CBF" w:rsidRDefault="00E66FD2" w:rsidP="008D0CBF">
            <w:pPr>
              <w:pStyle w:val="TableTextEntries"/>
              <w:rPr>
                <w:b w:val="0"/>
              </w:rPr>
            </w:pPr>
            <w:r w:rsidRPr="008D0CBF">
              <w:rPr>
                <w:b w:val="0"/>
              </w:rPr>
              <w:t>INI254</w:t>
            </w:r>
          </w:p>
        </w:tc>
        <w:tc>
          <w:tcPr>
            <w:tcW w:w="2227" w:type="dxa"/>
          </w:tcPr>
          <w:p w14:paraId="464503C3" w14:textId="77777777" w:rsidR="00071B95" w:rsidRPr="008D0CBF" w:rsidRDefault="00E66FD2" w:rsidP="00944155">
            <w:pPr>
              <w:pStyle w:val="TableTextEntries"/>
              <w:rPr>
                <w:b w:val="0"/>
              </w:rPr>
            </w:pPr>
            <w:r w:rsidRPr="008D0CBF">
              <w:rPr>
                <w:b w:val="0"/>
              </w:rPr>
              <w:t xml:space="preserve">Independent </w:t>
            </w:r>
            <w:r w:rsidR="00944155">
              <w:rPr>
                <w:b w:val="0"/>
              </w:rPr>
              <w:t>r</w:t>
            </w:r>
            <w:r w:rsidRPr="008D0CBF">
              <w:rPr>
                <w:b w:val="0"/>
              </w:rPr>
              <w:t>eview</w:t>
            </w:r>
          </w:p>
        </w:tc>
        <w:tc>
          <w:tcPr>
            <w:tcW w:w="2126" w:type="dxa"/>
          </w:tcPr>
          <w:p w14:paraId="464503C4" w14:textId="77777777" w:rsidR="00071B95" w:rsidRPr="008D0CBF" w:rsidRDefault="00E66FD2" w:rsidP="008D0CBF">
            <w:pPr>
              <w:pStyle w:val="TableTextEntries"/>
              <w:rPr>
                <w:b w:val="0"/>
              </w:rPr>
            </w:pPr>
            <w:r w:rsidRPr="008D0CBF">
              <w:rPr>
                <w:b w:val="0"/>
              </w:rPr>
              <w:t>March 2013</w:t>
            </w:r>
          </w:p>
        </w:tc>
        <w:tc>
          <w:tcPr>
            <w:tcW w:w="2106" w:type="dxa"/>
          </w:tcPr>
          <w:p w14:paraId="464503C5" w14:textId="77777777" w:rsidR="00071B95" w:rsidRPr="008D0CBF" w:rsidRDefault="00E87360" w:rsidP="008D0CBF">
            <w:pPr>
              <w:pStyle w:val="TableTextEntries"/>
              <w:rPr>
                <w:b w:val="0"/>
              </w:rPr>
            </w:pPr>
            <w:r w:rsidRPr="008D0CBF">
              <w:rPr>
                <w:b w:val="0"/>
              </w:rPr>
              <w:t>Forthcoming</w:t>
            </w:r>
          </w:p>
        </w:tc>
        <w:tc>
          <w:tcPr>
            <w:tcW w:w="1911" w:type="dxa"/>
          </w:tcPr>
          <w:p w14:paraId="464503C6" w14:textId="77777777" w:rsidR="00071B95" w:rsidRPr="008D0CBF" w:rsidRDefault="00E87360" w:rsidP="008D0CBF">
            <w:pPr>
              <w:pStyle w:val="TableTextEntries"/>
              <w:rPr>
                <w:b w:val="0"/>
              </w:rPr>
            </w:pPr>
            <w:r w:rsidRPr="008D0CBF">
              <w:rPr>
                <w:b w:val="0"/>
              </w:rPr>
              <w:t>Forthcoming</w:t>
            </w:r>
          </w:p>
        </w:tc>
        <w:tc>
          <w:tcPr>
            <w:tcW w:w="1648" w:type="dxa"/>
          </w:tcPr>
          <w:p w14:paraId="464503C7" w14:textId="77777777" w:rsidR="00071B95" w:rsidRPr="008D0CBF" w:rsidRDefault="00637AF8" w:rsidP="008D0CBF">
            <w:pPr>
              <w:pStyle w:val="TableTextEntries"/>
              <w:rPr>
                <w:b w:val="0"/>
              </w:rPr>
            </w:pPr>
            <w:r w:rsidRPr="008D0CBF">
              <w:rPr>
                <w:b w:val="0"/>
              </w:rPr>
              <w:t>Forthcoming</w:t>
            </w:r>
          </w:p>
        </w:tc>
      </w:tr>
    </w:tbl>
    <w:p w14:paraId="464503C9" w14:textId="77777777" w:rsidR="00071B95" w:rsidRPr="00071B95" w:rsidRDefault="00071B95" w:rsidP="008D0CBF">
      <w:pPr>
        <w:pStyle w:val="BodyText"/>
      </w:pPr>
    </w:p>
    <w:p w14:paraId="464503CA" w14:textId="77777777" w:rsidR="00071B95" w:rsidRPr="00071B95" w:rsidRDefault="00071B95" w:rsidP="008D0CBF">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0"/>
        <w:gridCol w:w="2710"/>
        <w:gridCol w:w="107"/>
        <w:gridCol w:w="2691"/>
        <w:gridCol w:w="2806"/>
        <w:gridCol w:w="2821"/>
      </w:tblGrid>
      <w:tr w:rsidR="00071B95" w:rsidRPr="00071B95" w14:paraId="464503D0" w14:textId="77777777" w:rsidTr="00BA5B41">
        <w:tc>
          <w:tcPr>
            <w:tcW w:w="2862" w:type="dxa"/>
          </w:tcPr>
          <w:p w14:paraId="464503CB" w14:textId="77777777" w:rsidR="00071B95" w:rsidRPr="00071B95" w:rsidRDefault="00071B95" w:rsidP="008D0CBF">
            <w:pPr>
              <w:pStyle w:val="TableTextColumnHeading"/>
            </w:pPr>
            <w:r w:rsidRPr="00071B95">
              <w:t xml:space="preserve">Name of </w:t>
            </w:r>
            <w:r w:rsidR="00944155">
              <w:t>i</w:t>
            </w:r>
            <w:r w:rsidRPr="00071B95">
              <w:t>nitiative</w:t>
            </w:r>
          </w:p>
        </w:tc>
        <w:tc>
          <w:tcPr>
            <w:tcW w:w="2785" w:type="dxa"/>
          </w:tcPr>
          <w:p w14:paraId="464503CC" w14:textId="77777777" w:rsidR="00071B95" w:rsidRPr="00071B95" w:rsidRDefault="00071B95" w:rsidP="00944155">
            <w:pPr>
              <w:pStyle w:val="TableTextColumnHeading"/>
            </w:pPr>
            <w:r w:rsidRPr="00071B95">
              <w:t>Aid</w:t>
            </w:r>
            <w:r w:rsidR="00944155">
              <w:t>W</w:t>
            </w:r>
            <w:r w:rsidRPr="00071B95">
              <w:t>orks number</w:t>
            </w:r>
          </w:p>
        </w:tc>
        <w:tc>
          <w:tcPr>
            <w:tcW w:w="2875" w:type="dxa"/>
            <w:gridSpan w:val="2"/>
          </w:tcPr>
          <w:p w14:paraId="464503CD" w14:textId="77777777" w:rsidR="00071B95" w:rsidRPr="00071B95" w:rsidRDefault="00071B95" w:rsidP="008D0CBF">
            <w:pPr>
              <w:pStyle w:val="TableTextColumnHeading"/>
            </w:pPr>
            <w:r w:rsidRPr="00071B95">
              <w:t>Type of evaluation</w:t>
            </w:r>
          </w:p>
        </w:tc>
        <w:tc>
          <w:tcPr>
            <w:tcW w:w="2875" w:type="dxa"/>
          </w:tcPr>
          <w:p w14:paraId="464503CE" w14:textId="77777777" w:rsidR="00071B95" w:rsidRPr="00071B95" w:rsidRDefault="00071B95" w:rsidP="008D0CBF">
            <w:pPr>
              <w:pStyle w:val="TableTextColumnHeading"/>
            </w:pPr>
            <w:r w:rsidRPr="00071B95">
              <w:t>Purpose of evaluation</w:t>
            </w:r>
            <w:r w:rsidRPr="00071B95">
              <w:rPr>
                <w:vertAlign w:val="superscript"/>
              </w:rPr>
              <w:footnoteReference w:id="31"/>
            </w:r>
          </w:p>
        </w:tc>
        <w:tc>
          <w:tcPr>
            <w:tcW w:w="2880" w:type="dxa"/>
          </w:tcPr>
          <w:p w14:paraId="464503CF" w14:textId="77777777" w:rsidR="00071B95" w:rsidRPr="00071B95" w:rsidRDefault="00071B95" w:rsidP="008D0CBF">
            <w:pPr>
              <w:pStyle w:val="TableTextColumnHeading"/>
            </w:pPr>
            <w:r w:rsidRPr="00071B95">
              <w:t>Expected completion date</w:t>
            </w:r>
          </w:p>
        </w:tc>
      </w:tr>
      <w:tr w:rsidR="00BA5B41" w:rsidRPr="00071B95" w14:paraId="464503D7" w14:textId="77777777" w:rsidTr="00BA5B41">
        <w:trPr>
          <w:gridAfter w:val="3"/>
          <w:wAfter w:w="8578" w:type="dxa"/>
        </w:trPr>
        <w:tc>
          <w:tcPr>
            <w:tcW w:w="2861" w:type="dxa"/>
          </w:tcPr>
          <w:p w14:paraId="464503D1" w14:textId="77777777" w:rsidR="00BA5B41" w:rsidRDefault="00BA5B41" w:rsidP="008D0CBF">
            <w:pPr>
              <w:pStyle w:val="TableTextEntries"/>
            </w:pPr>
            <w:r>
              <w:t>Nothing scheduled for this time period</w:t>
            </w:r>
          </w:p>
          <w:p w14:paraId="464503D2" w14:textId="77777777" w:rsidR="00BA5B41" w:rsidRDefault="00BA5B41" w:rsidP="008D0CBF">
            <w:pPr>
              <w:pStyle w:val="TableTextEntries"/>
            </w:pPr>
          </w:p>
          <w:p w14:paraId="464503D3" w14:textId="77777777" w:rsidR="00BA5B41" w:rsidRPr="00071B95" w:rsidRDefault="00BA5B41" w:rsidP="008D0CBF">
            <w:pPr>
              <w:pStyle w:val="TableTextEntries"/>
            </w:pPr>
          </w:p>
        </w:tc>
        <w:tc>
          <w:tcPr>
            <w:tcW w:w="2894" w:type="dxa"/>
            <w:gridSpan w:val="2"/>
          </w:tcPr>
          <w:p w14:paraId="464503D4" w14:textId="77777777" w:rsidR="00BA5B41" w:rsidRDefault="00BA5B41" w:rsidP="008D0CBF">
            <w:pPr>
              <w:pStyle w:val="TableTextEntries"/>
            </w:pPr>
          </w:p>
          <w:p w14:paraId="464503D5" w14:textId="77777777" w:rsidR="00BA5B41" w:rsidRDefault="00BA5B41" w:rsidP="008D0CBF">
            <w:pPr>
              <w:pStyle w:val="TableTextEntries"/>
            </w:pPr>
          </w:p>
          <w:p w14:paraId="464503D6" w14:textId="77777777" w:rsidR="00BA5B41" w:rsidRPr="00071B95" w:rsidRDefault="00BA5B41" w:rsidP="008D0CBF">
            <w:pPr>
              <w:pStyle w:val="TableTextEntries"/>
            </w:pPr>
          </w:p>
        </w:tc>
      </w:tr>
      <w:tr w:rsidR="00071B95" w:rsidRPr="00071B95" w14:paraId="464503DD" w14:textId="77777777" w:rsidTr="00BA5B41">
        <w:tc>
          <w:tcPr>
            <w:tcW w:w="2862" w:type="dxa"/>
          </w:tcPr>
          <w:p w14:paraId="464503D8" w14:textId="77777777" w:rsidR="00071B95" w:rsidRPr="00071B95" w:rsidRDefault="00071B95" w:rsidP="008D0CBF">
            <w:pPr>
              <w:pStyle w:val="TableTextEntries"/>
            </w:pPr>
          </w:p>
        </w:tc>
        <w:tc>
          <w:tcPr>
            <w:tcW w:w="2785" w:type="dxa"/>
          </w:tcPr>
          <w:p w14:paraId="464503D9" w14:textId="77777777" w:rsidR="00071B95" w:rsidRPr="00071B95" w:rsidRDefault="00071B95" w:rsidP="008D0CBF">
            <w:pPr>
              <w:pStyle w:val="TableTextEntries"/>
            </w:pPr>
          </w:p>
        </w:tc>
        <w:tc>
          <w:tcPr>
            <w:tcW w:w="2875" w:type="dxa"/>
            <w:gridSpan w:val="2"/>
          </w:tcPr>
          <w:p w14:paraId="464503DA" w14:textId="77777777" w:rsidR="00071B95" w:rsidRPr="00071B95" w:rsidRDefault="00071B95" w:rsidP="008D0CBF">
            <w:pPr>
              <w:pStyle w:val="TableTextEntries"/>
            </w:pPr>
          </w:p>
        </w:tc>
        <w:tc>
          <w:tcPr>
            <w:tcW w:w="2875" w:type="dxa"/>
          </w:tcPr>
          <w:p w14:paraId="464503DB" w14:textId="77777777" w:rsidR="00071B95" w:rsidRPr="00071B95" w:rsidRDefault="00071B95" w:rsidP="008D0CBF">
            <w:pPr>
              <w:pStyle w:val="TableTextEntries"/>
            </w:pPr>
          </w:p>
        </w:tc>
        <w:tc>
          <w:tcPr>
            <w:tcW w:w="2880" w:type="dxa"/>
          </w:tcPr>
          <w:p w14:paraId="464503DC" w14:textId="77777777" w:rsidR="00071B95" w:rsidRPr="00071B95" w:rsidRDefault="00071B95" w:rsidP="008D0CBF">
            <w:pPr>
              <w:pStyle w:val="TableTextEntries"/>
            </w:pPr>
          </w:p>
        </w:tc>
      </w:tr>
      <w:tr w:rsidR="00071B95" w:rsidRPr="00071B95" w14:paraId="464503E3" w14:textId="77777777" w:rsidTr="00BA5B41">
        <w:tc>
          <w:tcPr>
            <w:tcW w:w="2862" w:type="dxa"/>
          </w:tcPr>
          <w:p w14:paraId="464503DE" w14:textId="77777777" w:rsidR="00071B95" w:rsidRPr="00071B95" w:rsidRDefault="00071B95" w:rsidP="008D0CBF">
            <w:pPr>
              <w:pStyle w:val="TableTextEntries"/>
            </w:pPr>
          </w:p>
        </w:tc>
        <w:tc>
          <w:tcPr>
            <w:tcW w:w="2785" w:type="dxa"/>
          </w:tcPr>
          <w:p w14:paraId="464503DF" w14:textId="77777777" w:rsidR="00071B95" w:rsidRPr="00071B95" w:rsidRDefault="00071B95" w:rsidP="008D0CBF">
            <w:pPr>
              <w:pStyle w:val="TableTextEntries"/>
            </w:pPr>
          </w:p>
        </w:tc>
        <w:tc>
          <w:tcPr>
            <w:tcW w:w="2875" w:type="dxa"/>
            <w:gridSpan w:val="2"/>
          </w:tcPr>
          <w:p w14:paraId="464503E0" w14:textId="77777777" w:rsidR="00071B95" w:rsidRPr="00071B95" w:rsidRDefault="00071B95" w:rsidP="008D0CBF">
            <w:pPr>
              <w:pStyle w:val="TableTextEntries"/>
            </w:pPr>
          </w:p>
        </w:tc>
        <w:tc>
          <w:tcPr>
            <w:tcW w:w="2875" w:type="dxa"/>
          </w:tcPr>
          <w:p w14:paraId="464503E1" w14:textId="77777777" w:rsidR="00071B95" w:rsidRPr="00071B95" w:rsidRDefault="00071B95" w:rsidP="008D0CBF">
            <w:pPr>
              <w:pStyle w:val="TableTextEntries"/>
            </w:pPr>
          </w:p>
        </w:tc>
        <w:tc>
          <w:tcPr>
            <w:tcW w:w="2880" w:type="dxa"/>
          </w:tcPr>
          <w:p w14:paraId="464503E2" w14:textId="77777777" w:rsidR="00071B95" w:rsidRPr="00071B95" w:rsidRDefault="00071B95" w:rsidP="008D0CBF">
            <w:pPr>
              <w:pStyle w:val="TableTextEntries"/>
            </w:pPr>
          </w:p>
        </w:tc>
      </w:tr>
    </w:tbl>
    <w:p w14:paraId="464503E4" w14:textId="77777777" w:rsidR="00071B95" w:rsidRDefault="00071B95" w:rsidP="00E6631F">
      <w:pPr>
        <w:spacing w:after="120"/>
        <w:rPr>
          <w:b/>
        </w:rPr>
      </w:pPr>
    </w:p>
    <w:sectPr w:rsidR="00071B95" w:rsidSect="00E231A2">
      <w:headerReference w:type="default" r:id="rId24"/>
      <w:footerReference w:type="default" r:id="rId25"/>
      <w:footerReference w:type="first" r:id="rId26"/>
      <w:pgSz w:w="16838" w:h="11906" w:orient="landscape" w:code="9"/>
      <w:pgMar w:top="1871" w:right="2268" w:bottom="1134" w:left="90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03EF" w14:textId="77777777" w:rsidR="00A6787C" w:rsidRDefault="00A6787C" w:rsidP="0050529F">
      <w:r>
        <w:separator/>
      </w:r>
    </w:p>
    <w:p w14:paraId="464503F0" w14:textId="77777777" w:rsidR="00A6787C" w:rsidRDefault="00A6787C"/>
    <w:p w14:paraId="464503F1" w14:textId="77777777" w:rsidR="00A6787C" w:rsidRDefault="00A6787C"/>
  </w:endnote>
  <w:endnote w:type="continuationSeparator" w:id="0">
    <w:p w14:paraId="464503F2" w14:textId="77777777" w:rsidR="00A6787C" w:rsidRDefault="00A6787C" w:rsidP="0050529F">
      <w:r>
        <w:continuationSeparator/>
      </w:r>
    </w:p>
    <w:p w14:paraId="464503F3" w14:textId="77777777" w:rsidR="00A6787C" w:rsidRDefault="00A6787C"/>
    <w:p w14:paraId="464503F4" w14:textId="77777777" w:rsidR="00A6787C" w:rsidRDefault="00A67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06E6" w14:textId="77777777" w:rsidR="00D43B0B" w:rsidRDefault="00D43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7" w14:textId="3D133E06" w:rsidR="00A6787C" w:rsidRPr="00E231A2" w:rsidRDefault="00A6787C" w:rsidP="00E231A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Aid Program Performance Report 2012−13 The Middle East and North Africa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13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5824" behindDoc="1" locked="0" layoutInCell="1" allowOverlap="1" wp14:anchorId="08AD12C7" wp14:editId="72B6025B">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4800" behindDoc="1" locked="0" layoutInCell="1" allowOverlap="1" wp14:anchorId="4B854163" wp14:editId="522A5532">
              <wp:simplePos x="0" y="0"/>
              <wp:positionH relativeFrom="column">
                <wp:posOffset>0</wp:posOffset>
              </wp:positionH>
              <wp:positionV relativeFrom="paragraph">
                <wp:posOffset>8498840</wp:posOffset>
              </wp:positionV>
              <wp:extent cx="7379970" cy="2181860"/>
              <wp:effectExtent l="0" t="2540" r="1905" b="0"/>
              <wp:wrapNone/>
              <wp:docPr id="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tS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cFuOevBXst7K8Foiio&#10;arAHIHG69iDB/aOx4tDBS3l0W+kldJtWxD4QOtFoFdgfBGjB0ZNTrws9/lqOp97/1B6+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ab7Uo&#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9" w14:textId="30A82632" w:rsidR="00A6787C" w:rsidRPr="00E231A2" w:rsidRDefault="00A6787C" w:rsidP="00E231A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Aid Program Performance Report 2012−13 The Middle East and North Africa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2752" behindDoc="1" locked="0" layoutInCell="1" allowOverlap="1" wp14:anchorId="2DAC2D15" wp14:editId="414A4E0E">
              <wp:simplePos x="0" y="0"/>
              <wp:positionH relativeFrom="column">
                <wp:posOffset>0</wp:posOffset>
              </wp:positionH>
              <wp:positionV relativeFrom="paragraph">
                <wp:posOffset>8498840</wp:posOffset>
              </wp:positionV>
              <wp:extent cx="7379970" cy="2181860"/>
              <wp:effectExtent l="0" t="2540" r="1905" b="0"/>
              <wp:wrapNone/>
              <wp:docPr id="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Hah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a2x2o&#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1728" behindDoc="1" locked="0" layoutInCell="1" allowOverlap="1" wp14:anchorId="5AA14E3E" wp14:editId="79439496">
              <wp:simplePos x="0" y="0"/>
              <wp:positionH relativeFrom="column">
                <wp:posOffset>0</wp:posOffset>
              </wp:positionH>
              <wp:positionV relativeFrom="paragraph">
                <wp:posOffset>8498840</wp:posOffset>
              </wp:positionV>
              <wp:extent cx="7379970" cy="2181860"/>
              <wp:effectExtent l="0" t="2540" r="1905" b="0"/>
              <wp:wrapNone/>
              <wp:docPr id="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Ctt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jigrb&#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06DD9" w14:textId="736AF322" w:rsidR="00A6787C" w:rsidRPr="00E231A2" w:rsidRDefault="00A6787C" w:rsidP="00E231A2">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Aid Program Performance Report 2012−13 The Middle East and North Africa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14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5040" behindDoc="1" locked="0" layoutInCell="1" allowOverlap="1" wp14:anchorId="5AF9E58A" wp14:editId="3FE7C5C9">
              <wp:simplePos x="0" y="0"/>
              <wp:positionH relativeFrom="column">
                <wp:posOffset>0</wp:posOffset>
              </wp:positionH>
              <wp:positionV relativeFrom="paragraph">
                <wp:posOffset>8498840</wp:posOffset>
              </wp:positionV>
              <wp:extent cx="7379970" cy="2181860"/>
              <wp:effectExtent l="0" t="2540" r="1905" b="0"/>
              <wp:wrapNone/>
              <wp:docPr id="2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nj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LCe&#10;M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4016" behindDoc="1" locked="0" layoutInCell="1" allowOverlap="1" wp14:anchorId="399B8404" wp14:editId="1E2458AF">
              <wp:simplePos x="0" y="0"/>
              <wp:positionH relativeFrom="column">
                <wp:posOffset>0</wp:posOffset>
              </wp:positionH>
              <wp:positionV relativeFrom="paragraph">
                <wp:posOffset>8498840</wp:posOffset>
              </wp:positionV>
              <wp:extent cx="7379970" cy="2181860"/>
              <wp:effectExtent l="0" t="2540" r="1905" b="0"/>
              <wp:wrapNone/>
              <wp:docPr id="30"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eYYl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KV5h&#10;i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6B57" w14:textId="77777777" w:rsidR="00A6787C" w:rsidRPr="00E231A2" w:rsidRDefault="00A6787C" w:rsidP="00E231A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Middle East and North Africa Annual Program Performance Report 2012–13</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8896" behindDoc="1" locked="0" layoutInCell="1" allowOverlap="1" wp14:anchorId="5FE39A82" wp14:editId="39AB4604">
              <wp:simplePos x="0" y="0"/>
              <wp:positionH relativeFrom="column">
                <wp:posOffset>0</wp:posOffset>
              </wp:positionH>
              <wp:positionV relativeFrom="paragraph">
                <wp:posOffset>8498840</wp:posOffset>
              </wp:positionV>
              <wp:extent cx="7379970" cy="2181860"/>
              <wp:effectExtent l="0" t="2540" r="1905" b="0"/>
              <wp:wrapNone/>
              <wp:docPr id="1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3ekB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zd3pA&#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7872" behindDoc="1" locked="0" layoutInCell="1" allowOverlap="1" wp14:anchorId="7AA9EAA8" wp14:editId="639C1BC0">
              <wp:simplePos x="0" y="0"/>
              <wp:positionH relativeFrom="column">
                <wp:posOffset>0</wp:posOffset>
              </wp:positionH>
              <wp:positionV relativeFrom="paragraph">
                <wp:posOffset>8498840</wp:posOffset>
              </wp:positionV>
              <wp:extent cx="7379970" cy="2181860"/>
              <wp:effectExtent l="0" t="2540" r="1905" b="0"/>
              <wp:wrapNone/>
              <wp:docPr id="1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PYR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6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YdQ9&#10;h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D" w14:textId="576BDF0D" w:rsidR="00A6787C" w:rsidRPr="00E231A2" w:rsidRDefault="00A6787C" w:rsidP="00E231A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Aid Program Performance Report 2012−13 The Middle East and North Africa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15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9680" behindDoc="1" locked="0" layoutInCell="1" allowOverlap="1" wp14:anchorId="12DDCE10" wp14:editId="6236FDAC">
              <wp:simplePos x="0" y="0"/>
              <wp:positionH relativeFrom="column">
                <wp:posOffset>0</wp:posOffset>
              </wp:positionH>
              <wp:positionV relativeFrom="paragraph">
                <wp:posOffset>8498840</wp:posOffset>
              </wp:positionV>
              <wp:extent cx="7379970" cy="2181860"/>
              <wp:effectExtent l="0" t="2540" r="1905" b="0"/>
              <wp:wrapNone/>
              <wp:docPr id="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O9B9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izvQ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8656" behindDoc="1" locked="0" layoutInCell="1" allowOverlap="1" wp14:anchorId="72AEA2B9" wp14:editId="30A57AFC">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F" w14:textId="77777777" w:rsidR="00A6787C" w:rsidRPr="004C4A3E" w:rsidRDefault="00A6787C"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6672" behindDoc="1" locked="1" layoutInCell="1" allowOverlap="1" wp14:anchorId="46450430" wp14:editId="46450431">
              <wp:simplePos x="0" y="0"/>
              <wp:positionH relativeFrom="page">
                <wp:posOffset>0</wp:posOffset>
              </wp:positionH>
              <wp:positionV relativeFrom="page">
                <wp:posOffset>8533130</wp:posOffset>
              </wp:positionV>
              <wp:extent cx="7380000" cy="2181600"/>
              <wp:effectExtent l="0" t="0" r="0" b="9525"/>
              <wp:wrapNone/>
              <wp:docPr id="16"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Description: AusAID web address graphic" style="position:absolute;margin-left:0;margin-top:671.9pt;width:581.1pt;height:17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9uWK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MD25Y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Middle East and North Africa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46450432" wp14:editId="46450433">
              <wp:simplePos x="0" y="0"/>
              <wp:positionH relativeFrom="column">
                <wp:posOffset>0</wp:posOffset>
              </wp:positionH>
              <wp:positionV relativeFrom="paragraph">
                <wp:posOffset>8498840</wp:posOffset>
              </wp:positionV>
              <wp:extent cx="7379970" cy="2181860"/>
              <wp:effectExtent l="0" t="2540" r="1905" b="0"/>
              <wp:wrapNone/>
              <wp:docPr id="17"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escription: 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kZle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KeQuj5AkHeToE7BG5EEw5OYoMzUQtjqa1f0GDWyPCKUa6EYn&#10;2hyHQ28W4Oqx/6gdC6Z/UPVng6SqWvDEVlqroWWEAvLU7U9eHXCGgaNoP7xXFBCQo1WezudGd84h&#10;EIWefdZezlljzxbVMJlP87LMIbk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s5GZX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46450434" wp14:editId="46450435">
              <wp:simplePos x="0" y="0"/>
              <wp:positionH relativeFrom="column">
                <wp:posOffset>0</wp:posOffset>
              </wp:positionH>
              <wp:positionV relativeFrom="paragraph">
                <wp:posOffset>8498840</wp:posOffset>
              </wp:positionV>
              <wp:extent cx="7379970" cy="2181860"/>
              <wp:effectExtent l="0" t="2540" r="1905" b="0"/>
              <wp:wrapNone/>
              <wp:docPr id="18"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Description: 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i4Rg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402" w14:textId="613DE6EA" w:rsidR="00A6787C" w:rsidRPr="00E231A2" w:rsidRDefault="00A6787C" w:rsidP="00E231A2">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Aid Program Performance Report 2012−13 The Middle East and North Africa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D43B0B">
      <w:rPr>
        <w:rFonts w:ascii="Franklin Gothic Medium" w:eastAsia="Times New Roman" w:hAnsi="Franklin Gothic Medium"/>
        <w:noProof/>
        <w:sz w:val="14"/>
        <w:szCs w:val="14"/>
      </w:rPr>
      <w:t>16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1968" behindDoc="1" locked="0" layoutInCell="1" allowOverlap="1" wp14:anchorId="17B162B9" wp14:editId="0B251F0A">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0944" behindDoc="1" locked="0" layoutInCell="1" allowOverlap="1" wp14:anchorId="2A246F38" wp14:editId="52CB6DBE">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403" w14:textId="77777777" w:rsidR="00A6787C" w:rsidRPr="004C4A3E" w:rsidRDefault="00A6787C"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5104" behindDoc="1" locked="1" layoutInCell="1" allowOverlap="1" wp14:anchorId="46450442" wp14:editId="46450443">
              <wp:simplePos x="0" y="0"/>
              <wp:positionH relativeFrom="page">
                <wp:posOffset>0</wp:posOffset>
              </wp:positionH>
              <wp:positionV relativeFrom="page">
                <wp:posOffset>8533130</wp:posOffset>
              </wp:positionV>
              <wp:extent cx="7380000" cy="2181600"/>
              <wp:effectExtent l="0" t="0" r="0" b="9525"/>
              <wp:wrapNone/>
              <wp:docPr id="27" name="Rectangle 2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Description: AusAID web address graphic" style="position:absolute;margin-left:0;margin-top:671.9pt;width:581.1pt;height:17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6L9+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t/ov3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Middle East and North Africa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4080" behindDoc="1" locked="0" layoutInCell="1" allowOverlap="1" wp14:anchorId="46450444" wp14:editId="46450445">
              <wp:simplePos x="0" y="0"/>
              <wp:positionH relativeFrom="column">
                <wp:posOffset>0</wp:posOffset>
              </wp:positionH>
              <wp:positionV relativeFrom="paragraph">
                <wp:posOffset>8498840</wp:posOffset>
              </wp:positionV>
              <wp:extent cx="7379970" cy="2181860"/>
              <wp:effectExtent l="0" t="2540" r="1905" b="0"/>
              <wp:wrapNone/>
              <wp:docPr id="28" name="Rectangle 2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Description: 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NY/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go1j+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3056" behindDoc="1" locked="0" layoutInCell="1" allowOverlap="1" wp14:anchorId="46450446" wp14:editId="46450447">
              <wp:simplePos x="0" y="0"/>
              <wp:positionH relativeFrom="column">
                <wp:posOffset>0</wp:posOffset>
              </wp:positionH>
              <wp:positionV relativeFrom="paragraph">
                <wp:posOffset>8498840</wp:posOffset>
              </wp:positionV>
              <wp:extent cx="7379970" cy="2181860"/>
              <wp:effectExtent l="0" t="2540" r="1905" b="0"/>
              <wp:wrapNone/>
              <wp:docPr id="29" name="Rectangle 2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alt="Description: 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jp6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JSaOn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503E9" w14:textId="77777777" w:rsidR="00A6787C" w:rsidRDefault="00A6787C" w:rsidP="0050529F">
      <w:r>
        <w:separator/>
      </w:r>
    </w:p>
    <w:p w14:paraId="464503EA" w14:textId="77777777" w:rsidR="00A6787C" w:rsidRDefault="00A6787C"/>
    <w:p w14:paraId="464503EB" w14:textId="77777777" w:rsidR="00A6787C" w:rsidRDefault="00A6787C"/>
  </w:footnote>
  <w:footnote w:type="continuationSeparator" w:id="0">
    <w:p w14:paraId="464503EC" w14:textId="77777777" w:rsidR="00A6787C" w:rsidRDefault="00A6787C" w:rsidP="0050529F">
      <w:r>
        <w:continuationSeparator/>
      </w:r>
    </w:p>
    <w:p w14:paraId="464503ED" w14:textId="77777777" w:rsidR="00A6787C" w:rsidRDefault="00A6787C"/>
    <w:p w14:paraId="464503EE" w14:textId="77777777" w:rsidR="00A6787C" w:rsidRDefault="00A6787C"/>
  </w:footnote>
  <w:footnote w:id="1">
    <w:p w14:paraId="46450448" w14:textId="77777777" w:rsidR="00A6787C" w:rsidRDefault="00A6787C">
      <w:pPr>
        <w:pStyle w:val="FootnoteText"/>
      </w:pPr>
      <w:r>
        <w:rPr>
          <w:rStyle w:val="FootnoteReference"/>
        </w:rPr>
        <w:footnoteRef/>
      </w:r>
      <w:r>
        <w:t xml:space="preserve"> The revolutionary wave of non-violent and violent demonstrations and protests, riots and civil wars in the Arab world that began on 18 December 2010.</w:t>
      </w:r>
    </w:p>
  </w:footnote>
  <w:footnote w:id="2">
    <w:p w14:paraId="46450449" w14:textId="77777777" w:rsidR="00A6787C" w:rsidRDefault="00A6787C">
      <w:pPr>
        <w:pStyle w:val="FootnoteText"/>
      </w:pPr>
      <w:r>
        <w:rPr>
          <w:rStyle w:val="FootnoteReference"/>
        </w:rPr>
        <w:footnoteRef/>
      </w:r>
      <w:r>
        <w:t xml:space="preserve"> World Bank, </w:t>
      </w:r>
      <w:r>
        <w:rPr>
          <w:i/>
        </w:rPr>
        <w:t>Global Economic Prospects, Volume 7,</w:t>
      </w:r>
      <w:r w:rsidRPr="003B5D60">
        <w:t xml:space="preserve"> June 2013</w:t>
      </w:r>
      <w:r>
        <w:t>, pp. 165–166.</w:t>
      </w:r>
    </w:p>
  </w:footnote>
  <w:footnote w:id="3">
    <w:p w14:paraId="4645044A" w14:textId="77777777" w:rsidR="00A6787C" w:rsidRDefault="00A6787C">
      <w:pPr>
        <w:pStyle w:val="FootnoteText"/>
      </w:pPr>
      <w:r>
        <w:rPr>
          <w:rStyle w:val="FootnoteReference"/>
        </w:rPr>
        <w:footnoteRef/>
      </w:r>
      <w:r>
        <w:t xml:space="preserve"> United National Industrial Development Organization, ‘</w:t>
      </w:r>
      <w:r w:rsidRPr="00D00E3D">
        <w:t>Youth Unemployment and the Arab Spring</w:t>
      </w:r>
      <w:r>
        <w:t>’</w:t>
      </w:r>
      <w:r w:rsidRPr="00D67B4C">
        <w:t>,</w:t>
      </w:r>
      <w:r>
        <w:t xml:space="preserve"> </w:t>
      </w:r>
      <w:r w:rsidRPr="00D00E3D">
        <w:rPr>
          <w:i/>
        </w:rPr>
        <w:t>Making It Magazine</w:t>
      </w:r>
      <w:r>
        <w:t>, 3</w:t>
      </w:r>
      <w:r w:rsidRPr="003B5D60">
        <w:rPr>
          <w:vertAlign w:val="superscript"/>
        </w:rPr>
        <w:t>rd</w:t>
      </w:r>
      <w:r>
        <w:t xml:space="preserve"> quarter 2012, pp. 19–20. </w:t>
      </w:r>
    </w:p>
  </w:footnote>
  <w:footnote w:id="4">
    <w:p w14:paraId="4645044B" w14:textId="77777777" w:rsidR="00A6787C" w:rsidRDefault="00A6787C">
      <w:pPr>
        <w:pStyle w:val="FootnoteText"/>
      </w:pPr>
      <w:r>
        <w:rPr>
          <w:rStyle w:val="FootnoteReference"/>
        </w:rPr>
        <w:footnoteRef/>
      </w:r>
      <w:r>
        <w:t xml:space="preserve"> African Development Brief, </w:t>
      </w:r>
      <w:r w:rsidRPr="00C5723F">
        <w:rPr>
          <w:i/>
        </w:rPr>
        <w:t>Inequality and Arab Spring Revolutions in North Africa and the Middle East</w:t>
      </w:r>
      <w:r>
        <w:t>, vol. 3, issue 7, July 2012, pp. 1–4.</w:t>
      </w:r>
    </w:p>
  </w:footnote>
  <w:footnote w:id="5">
    <w:p w14:paraId="4645044C" w14:textId="77777777" w:rsidR="00A6787C" w:rsidRDefault="00A6787C">
      <w:pPr>
        <w:pStyle w:val="FootnoteText"/>
      </w:pPr>
      <w:r>
        <w:rPr>
          <w:rStyle w:val="FootnoteReference"/>
        </w:rPr>
        <w:footnoteRef/>
      </w:r>
      <w:r>
        <w:t xml:space="preserve"> United Nations Development Programme, </w:t>
      </w:r>
      <w:r w:rsidRPr="00296C42">
        <w:rPr>
          <w:i/>
        </w:rPr>
        <w:t>Arab Development Challenges Report</w:t>
      </w:r>
      <w:r>
        <w:t>, 2011, p. 3.</w:t>
      </w:r>
    </w:p>
  </w:footnote>
  <w:footnote w:id="6">
    <w:p w14:paraId="4645044D" w14:textId="77777777" w:rsidR="00A6787C" w:rsidRDefault="00A6787C" w:rsidP="00506051">
      <w:pPr>
        <w:pStyle w:val="FootnoteText"/>
      </w:pPr>
      <w:r>
        <w:rPr>
          <w:rStyle w:val="FootnoteReference"/>
        </w:rPr>
        <w:footnoteRef/>
      </w:r>
      <w:r>
        <w:t xml:space="preserve"> World Bank, </w:t>
      </w:r>
      <w:r w:rsidRPr="00F5307D">
        <w:rPr>
          <w:i/>
        </w:rPr>
        <w:t>MENA: Emerging Developments and Challenges</w:t>
      </w:r>
      <w:r>
        <w:t>, February 2011, p. 3.</w:t>
      </w:r>
    </w:p>
  </w:footnote>
  <w:footnote w:id="7">
    <w:p w14:paraId="4645044E" w14:textId="77777777" w:rsidR="00A6787C" w:rsidRDefault="00A6787C">
      <w:pPr>
        <w:pStyle w:val="FootnoteText"/>
      </w:pPr>
      <w:r>
        <w:rPr>
          <w:rStyle w:val="FootnoteReference"/>
        </w:rPr>
        <w:footnoteRef/>
      </w:r>
      <w:r>
        <w:t xml:space="preserve"> </w:t>
      </w:r>
      <w:r w:rsidRPr="008D0CBF">
        <w:t>U</w:t>
      </w:r>
      <w:r>
        <w:t xml:space="preserve">nited </w:t>
      </w:r>
      <w:r w:rsidRPr="008D0CBF">
        <w:t>N</w:t>
      </w:r>
      <w:r>
        <w:t>ations Office for the Coordination of Humanitarian Affairs</w:t>
      </w:r>
      <w:r w:rsidRPr="008D0CBF">
        <w:t xml:space="preserve">, </w:t>
      </w:r>
      <w:hyperlink r:id="rId1" w:history="1">
        <w:r w:rsidRPr="008D0CBF">
          <w:t>http://syria.unocha.org/</w:t>
        </w:r>
      </w:hyperlink>
      <w:r w:rsidRPr="008D0CBF">
        <w:t xml:space="preserve"> June 2013</w:t>
      </w:r>
      <w:r>
        <w:t>.</w:t>
      </w:r>
    </w:p>
  </w:footnote>
  <w:footnote w:id="8">
    <w:p w14:paraId="4645044F" w14:textId="77777777" w:rsidR="00A6787C" w:rsidRDefault="00A6787C">
      <w:pPr>
        <w:pStyle w:val="FootnoteText"/>
      </w:pPr>
      <w:r>
        <w:rPr>
          <w:rStyle w:val="FootnoteReference"/>
        </w:rPr>
        <w:footnoteRef/>
      </w:r>
      <w:r>
        <w:t xml:space="preserve"> </w:t>
      </w:r>
      <w:r w:rsidRPr="008D0CBF">
        <w:t>U</w:t>
      </w:r>
      <w:r>
        <w:t xml:space="preserve">nited </w:t>
      </w:r>
      <w:r w:rsidRPr="008D0CBF">
        <w:t>N</w:t>
      </w:r>
      <w:r>
        <w:t>ations Office for the Coordination of Humanitarian Affairs</w:t>
      </w:r>
      <w:r w:rsidRPr="008D0CBF">
        <w:t xml:space="preserve">, </w:t>
      </w:r>
      <w:hyperlink r:id="rId2" w:history="1">
        <w:r w:rsidRPr="008D0CBF">
          <w:t>http://www.unocha.org/top-stories/all-stories/yemen-%E2%80%9Cdramatic-humanitarian-situation%E2%80%9D-could-erode-political-process-warns</w:t>
        </w:r>
      </w:hyperlink>
      <w:r w:rsidRPr="008D0CBF">
        <w:t xml:space="preserve"> June 2013</w:t>
      </w:r>
      <w:r>
        <w:t>.</w:t>
      </w:r>
    </w:p>
  </w:footnote>
  <w:footnote w:id="9">
    <w:p w14:paraId="46450450" w14:textId="77777777" w:rsidR="00A6787C" w:rsidRDefault="00A6787C">
      <w:pPr>
        <w:pStyle w:val="FootnoteText"/>
      </w:pPr>
      <w:r>
        <w:rPr>
          <w:rStyle w:val="FootnoteReference"/>
        </w:rPr>
        <w:footnoteRef/>
      </w:r>
      <w:r>
        <w:t xml:space="preserve"> World Bank, </w:t>
      </w:r>
      <w:r w:rsidRPr="00D97F93">
        <w:rPr>
          <w:i/>
        </w:rPr>
        <w:t>Country Partnership Strategy for the Republic of Iraq for the Period 2013</w:t>
      </w:r>
      <w:r>
        <w:rPr>
          <w:i/>
        </w:rPr>
        <w:t>–</w:t>
      </w:r>
      <w:r w:rsidRPr="00D97F93">
        <w:rPr>
          <w:i/>
        </w:rPr>
        <w:t>2016</w:t>
      </w:r>
      <w:r>
        <w:t>, November 2012, p. 7.</w:t>
      </w:r>
    </w:p>
  </w:footnote>
  <w:footnote w:id="10">
    <w:p w14:paraId="46450451" w14:textId="77777777" w:rsidR="00A6787C" w:rsidRDefault="00A6787C">
      <w:pPr>
        <w:pStyle w:val="FootnoteText"/>
      </w:pPr>
      <w:r>
        <w:rPr>
          <w:rStyle w:val="FootnoteReference"/>
        </w:rPr>
        <w:footnoteRef/>
      </w:r>
      <w:r>
        <w:t xml:space="preserve"> World Bank, </w:t>
      </w:r>
      <w:r w:rsidRPr="001E2AD7">
        <w:rPr>
          <w:i/>
        </w:rPr>
        <w:t>Opening Doors: Gender Equality and Development in the Middle East and North Africa</w:t>
      </w:r>
      <w:r>
        <w:t>, 2013, p. 7.</w:t>
      </w:r>
    </w:p>
  </w:footnote>
  <w:footnote w:id="11">
    <w:p w14:paraId="46450452" w14:textId="77777777" w:rsidR="00A6787C" w:rsidRDefault="00A6787C">
      <w:pPr>
        <w:pStyle w:val="FootnoteText"/>
      </w:pPr>
      <w:r>
        <w:rPr>
          <w:rStyle w:val="FootnoteReference"/>
        </w:rPr>
        <w:footnoteRef/>
      </w:r>
      <w:r>
        <w:t xml:space="preserve"> </w:t>
      </w:r>
      <w:hyperlink r:id="rId3" w:history="1">
        <w:r w:rsidRPr="008D0CBF">
          <w:t>http://fts.unocha.org/reports/daily/ocha_R24_E16303___1307090204.pdf</w:t>
        </w:r>
      </w:hyperlink>
    </w:p>
  </w:footnote>
  <w:footnote w:id="12">
    <w:p w14:paraId="46450453" w14:textId="77777777" w:rsidR="00A6787C" w:rsidRDefault="00A6787C">
      <w:pPr>
        <w:pStyle w:val="FootnoteText"/>
      </w:pPr>
      <w:r>
        <w:rPr>
          <w:rStyle w:val="FootnoteReference"/>
        </w:rPr>
        <w:footnoteRef/>
      </w:r>
      <w:r>
        <w:t xml:space="preserve"> World Food Programme (WFP), World Health Organization (WHO), International Labour Organization, United Nations Children’s Fund (UNICEF), United Nations Relief and Works Agency, and United Nations High Commissioner for Refugees (UNHCR). </w:t>
      </w:r>
    </w:p>
  </w:footnote>
  <w:footnote w:id="13">
    <w:p w14:paraId="46450454" w14:textId="77777777" w:rsidR="00A6787C" w:rsidRDefault="00A6787C">
      <w:pPr>
        <w:pStyle w:val="FootnoteText"/>
      </w:pPr>
      <w:r>
        <w:rPr>
          <w:rStyle w:val="FootnoteReference"/>
        </w:rPr>
        <w:footnoteRef/>
      </w:r>
      <w:r>
        <w:t xml:space="preserve"> </w:t>
      </w:r>
      <w:r w:rsidRPr="004E44B6">
        <w:rPr>
          <w:i/>
        </w:rPr>
        <w:t>Deutsche Gesellschaft für Internationale Zusammenarbeit</w:t>
      </w:r>
      <w:r>
        <w:t>—GIZ.</w:t>
      </w:r>
    </w:p>
  </w:footnote>
  <w:footnote w:id="14">
    <w:p w14:paraId="46450455" w14:textId="77777777" w:rsidR="00A6787C" w:rsidRDefault="00A6787C">
      <w:pPr>
        <w:pStyle w:val="FootnoteText"/>
      </w:pPr>
      <w:r>
        <w:rPr>
          <w:rStyle w:val="FootnoteReference"/>
        </w:rPr>
        <w:footnoteRef/>
      </w:r>
      <w:r>
        <w:t xml:space="preserve"> Annual Review of Aid Effectiveness reports cover results achieved by Australian Government agencies delivering Australia’s aid program.</w:t>
      </w:r>
    </w:p>
  </w:footnote>
  <w:footnote w:id="15">
    <w:p w14:paraId="46450456" w14:textId="77777777" w:rsidR="00A6787C" w:rsidRDefault="00A6787C">
      <w:pPr>
        <w:pStyle w:val="FootnoteText"/>
      </w:pPr>
      <w:r>
        <w:rPr>
          <w:rStyle w:val="FootnoteReference"/>
        </w:rPr>
        <w:footnoteRef/>
      </w:r>
      <w:r>
        <w:t xml:space="preserve"> ACIAR, </w:t>
      </w:r>
      <w:r w:rsidRPr="00540363">
        <w:rPr>
          <w:i/>
        </w:rPr>
        <w:t>Development of conservation cropping systems in the drylands of northern Iraq, Annual Report</w:t>
      </w:r>
      <w:r>
        <w:t>, May 2013, p. 17.</w:t>
      </w:r>
    </w:p>
  </w:footnote>
  <w:footnote w:id="16">
    <w:p w14:paraId="46450457" w14:textId="3E01CF7A" w:rsidR="00A6787C" w:rsidRDefault="00A6787C">
      <w:pPr>
        <w:pStyle w:val="FootnoteText"/>
      </w:pPr>
      <w:r>
        <w:rPr>
          <w:rStyle w:val="FootnoteReference"/>
        </w:rPr>
        <w:footnoteRef/>
      </w:r>
      <w:r>
        <w:t xml:space="preserve"> </w:t>
      </w:r>
      <w:r w:rsidRPr="000939EE">
        <w:rPr>
          <w:i/>
        </w:rPr>
        <w:t>Review of the Iraq Partnership Facility</w:t>
      </w:r>
      <w:r>
        <w:t>, March 2013, Executive Summary.</w:t>
      </w:r>
    </w:p>
  </w:footnote>
  <w:footnote w:id="17">
    <w:p w14:paraId="46450458" w14:textId="77777777" w:rsidR="00A6787C" w:rsidRDefault="00A6787C">
      <w:pPr>
        <w:pStyle w:val="FootnoteText"/>
      </w:pPr>
      <w:r>
        <w:rPr>
          <w:rStyle w:val="FootnoteReference"/>
        </w:rPr>
        <w:footnoteRef/>
      </w:r>
      <w:r>
        <w:t xml:space="preserve"> </w:t>
      </w:r>
      <w:r w:rsidRPr="00F1748A">
        <w:rPr>
          <w:i/>
        </w:rPr>
        <w:t>Review of the Australia Iraq Agricultural Scholarships Program</w:t>
      </w:r>
      <w:r>
        <w:t>, March 2013, Executive Summary.</w:t>
      </w:r>
    </w:p>
  </w:footnote>
  <w:footnote w:id="18">
    <w:p w14:paraId="46450459" w14:textId="77777777" w:rsidR="00A6787C" w:rsidRPr="004F2C97" w:rsidRDefault="00A6787C">
      <w:pPr>
        <w:pStyle w:val="FootnoteText"/>
      </w:pPr>
      <w:r>
        <w:rPr>
          <w:rStyle w:val="FootnoteReference"/>
        </w:rPr>
        <w:footnoteRef/>
      </w:r>
      <w:r>
        <w:t xml:space="preserve"> United Kingdom’s Department for International Development, German Government-owned </w:t>
      </w:r>
      <w:r w:rsidRPr="00D00E3D">
        <w:rPr>
          <w:i/>
        </w:rPr>
        <w:t>Gesellschaft</w:t>
      </w:r>
      <w:r w:rsidRPr="00D00E3D">
        <w:rPr>
          <w:rStyle w:val="Emphasis"/>
          <w:rFonts w:ascii="Arial" w:hAnsi="Arial" w:cs="Arial"/>
          <w:i/>
          <w:color w:val="222222"/>
        </w:rPr>
        <w:t xml:space="preserve"> </w:t>
      </w:r>
      <w:r w:rsidRPr="00D00E3D">
        <w:rPr>
          <w:i/>
        </w:rPr>
        <w:t>für Technische Zusammenarbeit</w:t>
      </w:r>
      <w:r w:rsidRPr="00D00E3D">
        <w:t xml:space="preserve"> (GTZ</w:t>
      </w:r>
      <w:r>
        <w:rPr>
          <w:bCs/>
        </w:rPr>
        <w:t>)</w:t>
      </w:r>
      <w:r w:rsidRPr="00D00E3D">
        <w:t xml:space="preserve"> and European Union.</w:t>
      </w:r>
    </w:p>
  </w:footnote>
  <w:footnote w:id="19">
    <w:p w14:paraId="4645045A" w14:textId="6681541C" w:rsidR="00A6787C" w:rsidRDefault="00A6787C">
      <w:pPr>
        <w:pStyle w:val="FootnoteText"/>
      </w:pPr>
      <w:r>
        <w:rPr>
          <w:rStyle w:val="FootnoteReference"/>
        </w:rPr>
        <w:footnoteRef/>
      </w:r>
      <w:r>
        <w:t xml:space="preserve"> </w:t>
      </w:r>
      <w:r w:rsidRPr="007012E6">
        <w:t>Danish Refugee Council,</w:t>
      </w:r>
      <w:r>
        <w:rPr>
          <w:i/>
        </w:rPr>
        <w:t xml:space="preserve"> </w:t>
      </w:r>
      <w:r w:rsidRPr="00F1748A">
        <w:rPr>
          <w:i/>
        </w:rPr>
        <w:t>Education for Female Headed Households and Extremely Vulnerable Individuals Project</w:t>
      </w:r>
      <w:r>
        <w:rPr>
          <w:i/>
        </w:rPr>
        <w:t>,</w:t>
      </w:r>
      <w:r>
        <w:t xml:space="preserve"> Quality at Implementation (QAI) report,  March 2013, p. 3.</w:t>
      </w:r>
    </w:p>
  </w:footnote>
  <w:footnote w:id="20">
    <w:p w14:paraId="4645045B" w14:textId="77777777" w:rsidR="00A6787C" w:rsidRDefault="00A6787C">
      <w:pPr>
        <w:pStyle w:val="FootnoteText"/>
      </w:pPr>
      <w:r>
        <w:rPr>
          <w:rStyle w:val="FootnoteReference"/>
        </w:rPr>
        <w:footnoteRef/>
      </w:r>
      <w:r>
        <w:t xml:space="preserve"> UNHCR, UNICEF, WFP, WHO, International Committee of the Red Cross (ICRC) and UN Relief and Works Agency.</w:t>
      </w:r>
    </w:p>
  </w:footnote>
  <w:footnote w:id="21">
    <w:p w14:paraId="4645045C" w14:textId="77777777" w:rsidR="00A6787C" w:rsidRDefault="00A6787C">
      <w:pPr>
        <w:pStyle w:val="FootnoteText"/>
      </w:pPr>
      <w:r>
        <w:rPr>
          <w:rStyle w:val="FootnoteReference"/>
        </w:rPr>
        <w:footnoteRef/>
      </w:r>
      <w:r>
        <w:t xml:space="preserve"> </w:t>
      </w:r>
      <w:r w:rsidRPr="006B30CE">
        <w:rPr>
          <w:i/>
        </w:rPr>
        <w:t>ICRC Syria Facts and Figures</w:t>
      </w:r>
      <w:r w:rsidRPr="006B30CE">
        <w:t xml:space="preserve"> Jan-Dec 2012</w:t>
      </w:r>
      <w:r>
        <w:t xml:space="preserve">. </w:t>
      </w:r>
    </w:p>
  </w:footnote>
  <w:footnote w:id="22">
    <w:p w14:paraId="4645045D" w14:textId="77777777" w:rsidR="00A6787C" w:rsidRDefault="00A6787C">
      <w:pPr>
        <w:pStyle w:val="FootnoteText"/>
      </w:pPr>
      <w:r>
        <w:rPr>
          <w:rStyle w:val="FootnoteReference"/>
        </w:rPr>
        <w:footnoteRef/>
      </w:r>
      <w:r>
        <w:t xml:space="preserve"> </w:t>
      </w:r>
      <w:r w:rsidRPr="006B30CE">
        <w:rPr>
          <w:i/>
        </w:rPr>
        <w:t>WFP Food Assistance</w:t>
      </w:r>
      <w:r>
        <w:t xml:space="preserve">, May 2013 Distribution Update—Syria Crisis Response. </w:t>
      </w:r>
    </w:p>
  </w:footnote>
  <w:footnote w:id="23">
    <w:p w14:paraId="4645045E" w14:textId="77777777" w:rsidR="00A6787C" w:rsidRDefault="00A6787C">
      <w:pPr>
        <w:pStyle w:val="FootnoteText"/>
      </w:pPr>
      <w:r>
        <w:rPr>
          <w:rStyle w:val="FootnoteReference"/>
        </w:rPr>
        <w:footnoteRef/>
      </w:r>
      <w:r>
        <w:t xml:space="preserve"> </w:t>
      </w:r>
      <w:r w:rsidRPr="006B30CE">
        <w:rPr>
          <w:i/>
        </w:rPr>
        <w:t>WHO, Donor Update: Syrian Arab Republic</w:t>
      </w:r>
      <w:r>
        <w:t>, 9 April 2013.</w:t>
      </w:r>
      <w:r w:rsidRPr="00D00E3D">
        <w:rPr>
          <w:highlight w:val="yellow"/>
        </w:rPr>
        <w:t xml:space="preserve"> </w:t>
      </w:r>
    </w:p>
  </w:footnote>
  <w:footnote w:id="24">
    <w:p w14:paraId="4645045F" w14:textId="77777777" w:rsidR="00A6787C" w:rsidRDefault="00A6787C">
      <w:pPr>
        <w:pStyle w:val="FootnoteText"/>
      </w:pPr>
      <w:r>
        <w:rPr>
          <w:rStyle w:val="FootnoteReference"/>
        </w:rPr>
        <w:footnoteRef/>
      </w:r>
      <w:r>
        <w:t xml:space="preserve"> UNHCR Inter-Agency Regional Response for Syrian Refugees (Egypt, Iraq, Jordan, Lebanon, Turkey), 11 to 17 July 2013.</w:t>
      </w:r>
    </w:p>
  </w:footnote>
  <w:footnote w:id="25">
    <w:p w14:paraId="46450460" w14:textId="77777777" w:rsidR="00A6787C" w:rsidRDefault="00A6787C">
      <w:pPr>
        <w:pStyle w:val="FootnoteText"/>
      </w:pPr>
      <w:r>
        <w:rPr>
          <w:rStyle w:val="FootnoteReference"/>
        </w:rPr>
        <w:footnoteRef/>
      </w:r>
      <w:r>
        <w:t xml:space="preserve"> WFP, </w:t>
      </w:r>
      <w:r w:rsidRPr="00E65BE7">
        <w:rPr>
          <w:i/>
        </w:rPr>
        <w:t>Emergency Operation Yemen 200306 Jan-Dec 2012</w:t>
      </w:r>
      <w:r>
        <w:t>, p. 9</w:t>
      </w:r>
    </w:p>
  </w:footnote>
  <w:footnote w:id="26">
    <w:p w14:paraId="46450461" w14:textId="77777777" w:rsidR="00A6787C" w:rsidRDefault="00A6787C">
      <w:pPr>
        <w:pStyle w:val="FootnoteText"/>
      </w:pPr>
      <w:r>
        <w:rPr>
          <w:rStyle w:val="FootnoteReference"/>
        </w:rPr>
        <w:footnoteRef/>
      </w:r>
      <w:r>
        <w:t xml:space="preserve"> WFP, UNHCR, UNICEF, WHO and ICRC.</w:t>
      </w:r>
    </w:p>
  </w:footnote>
  <w:footnote w:id="27">
    <w:p w14:paraId="46450462" w14:textId="77777777" w:rsidR="00A6787C" w:rsidRDefault="00A6787C">
      <w:pPr>
        <w:pStyle w:val="FootnoteText"/>
      </w:pPr>
      <w:r>
        <w:rPr>
          <w:rStyle w:val="FootnoteReference"/>
        </w:rPr>
        <w:footnoteRef/>
      </w:r>
      <w:r>
        <w:t xml:space="preserve"> World Bank, </w:t>
      </w:r>
      <w:r w:rsidRPr="00D97F93">
        <w:rPr>
          <w:i/>
        </w:rPr>
        <w:t>Country Partnership Strategy for the Republic of Iraq for the Period 2013-2016</w:t>
      </w:r>
      <w:r>
        <w:t>, November 2012, p. 1.</w:t>
      </w:r>
    </w:p>
  </w:footnote>
  <w:footnote w:id="28">
    <w:p w14:paraId="540CC003" w14:textId="5480573D" w:rsidR="00ED2784" w:rsidRDefault="00ED2784">
      <w:pPr>
        <w:pStyle w:val="FootnoteText"/>
      </w:pPr>
      <w:r>
        <w:rPr>
          <w:rStyle w:val="FootnoteReference"/>
        </w:rPr>
        <w:footnoteRef/>
      </w:r>
      <w:r>
        <w:t xml:space="preserve"> </w:t>
      </w:r>
      <w:r w:rsidRPr="00ED2784">
        <w:t>Prior to 2012-13 Aid Program Performance Reports were called Annual Program Performance Reports</w:t>
      </w:r>
      <w:r>
        <w:t>.</w:t>
      </w:r>
    </w:p>
  </w:footnote>
  <w:footnote w:id="29">
    <w:p w14:paraId="46450463" w14:textId="77777777" w:rsidR="00A6787C" w:rsidRPr="00071B95" w:rsidRDefault="00A6787C" w:rsidP="00071B95">
      <w:pPr>
        <w:pStyle w:val="FootnoteText"/>
      </w:pPr>
      <w:r w:rsidRPr="00F77E6A">
        <w:rPr>
          <w:rStyle w:val="FootnoteReference"/>
        </w:rPr>
        <w:footnoteRef/>
      </w:r>
      <w:r w:rsidRPr="00071B95">
        <w:t xml:space="preserve"> ‘completed’ means the final version of the report has been received</w:t>
      </w:r>
    </w:p>
  </w:footnote>
  <w:footnote w:id="30">
    <w:p w14:paraId="46450464" w14:textId="77777777" w:rsidR="00A6787C" w:rsidRPr="00071B95" w:rsidRDefault="00A6787C" w:rsidP="00071B95">
      <w:pPr>
        <w:pStyle w:val="FootnoteText"/>
      </w:pPr>
      <w:r w:rsidRPr="00F77E6A">
        <w:rPr>
          <w:rStyle w:val="FootnoteReference"/>
        </w:rPr>
        <w:footnoteRef/>
      </w:r>
      <w:r w:rsidRPr="00071B95">
        <w:t xml:space="preserve"> e.g. Mid-term review, Completion report, partner-led evaluation, joint evaluation</w:t>
      </w:r>
    </w:p>
  </w:footnote>
  <w:footnote w:id="31">
    <w:p w14:paraId="46450465" w14:textId="77777777" w:rsidR="00A6787C" w:rsidRPr="00551C11" w:rsidRDefault="00A6787C" w:rsidP="00071B95">
      <w:pPr>
        <w:pStyle w:val="FootnoteText"/>
      </w:pPr>
      <w:r w:rsidRPr="00F77E6A">
        <w:rPr>
          <w:rStyle w:val="FootnoteReference"/>
        </w:rPr>
        <w:footnoteRef/>
      </w:r>
      <w:r w:rsidRPr="00071B95">
        <w:t xml:space="preserve"> e.g. .To inform a future phase of program, to improve existing program; to verify program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0D747" w14:textId="77777777" w:rsidR="00D43B0B" w:rsidRDefault="00D43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5" w14:textId="041C03C4" w:rsidR="00A6787C" w:rsidRDefault="00A6787C"/>
  <w:p w14:paraId="464503F6" w14:textId="6D746217" w:rsidR="00A6787C" w:rsidRDefault="00A6787C">
    <w:r>
      <w:rPr>
        <w:noProof/>
      </w:rPr>
      <w:drawing>
        <wp:anchor distT="0" distB="0" distL="114300" distR="114300" simplePos="0" relativeHeight="251737088" behindDoc="0" locked="0" layoutInCell="1" allowOverlap="1" wp14:anchorId="24E402F8" wp14:editId="30A6EA05">
          <wp:simplePos x="0" y="0"/>
          <wp:positionH relativeFrom="page">
            <wp:align>left</wp:align>
          </wp:positionH>
          <wp:positionV relativeFrom="page">
            <wp:align>top</wp:align>
          </wp:positionV>
          <wp:extent cx="7560000" cy="1440000"/>
          <wp:effectExtent l="0" t="0" r="3175" b="825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9830D" w14:textId="2956FB6F" w:rsidR="00A6787C" w:rsidRDefault="00A6787C">
    <w:pPr>
      <w:pStyle w:val="Header"/>
    </w:pPr>
    <w:r>
      <w:rPr>
        <w:noProof/>
      </w:rPr>
      <w:drawing>
        <wp:anchor distT="0" distB="0" distL="114300" distR="114300" simplePos="0" relativeHeight="251741184" behindDoc="0" locked="0" layoutInCell="1" allowOverlap="1" wp14:anchorId="08F89A15" wp14:editId="4710A3C7">
          <wp:simplePos x="0" y="0"/>
          <wp:positionH relativeFrom="page">
            <wp:align>left</wp:align>
          </wp:positionH>
          <wp:positionV relativeFrom="page">
            <wp:align>top</wp:align>
          </wp:positionV>
          <wp:extent cx="7560000" cy="1890000"/>
          <wp:effectExtent l="0" t="0" r="3175"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35332" w14:textId="77777777" w:rsidR="00A6787C" w:rsidRDefault="00A6787C"/>
  <w:p w14:paraId="71BB68D2" w14:textId="75606EAF" w:rsidR="00A6787C" w:rsidRDefault="00A678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A" w14:textId="77777777" w:rsidR="00A6787C" w:rsidRDefault="00A6787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B" w14:textId="1DA1F247" w:rsidR="00A6787C" w:rsidRDefault="00A6787C"/>
  <w:p w14:paraId="464503FC" w14:textId="65AD9FBB" w:rsidR="00A6787C" w:rsidRDefault="00A6787C">
    <w:r>
      <w:rPr>
        <w:noProof/>
      </w:rPr>
      <w:drawing>
        <wp:anchor distT="0" distB="0" distL="114300" distR="114300" simplePos="0" relativeHeight="251739136" behindDoc="0" locked="0" layoutInCell="1" allowOverlap="1" wp14:anchorId="50D5AFE2" wp14:editId="3899EB34">
          <wp:simplePos x="0" y="0"/>
          <wp:positionH relativeFrom="page">
            <wp:align>left</wp:align>
          </wp:positionH>
          <wp:positionV relativeFrom="page">
            <wp:align>top</wp:align>
          </wp:positionV>
          <wp:extent cx="7560000" cy="1440000"/>
          <wp:effectExtent l="0" t="0" r="3175" b="825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3FE" w14:textId="77777777" w:rsidR="00A6787C" w:rsidRDefault="00A6787C">
    <w:r>
      <w:rPr>
        <w:noProof/>
      </w:rPr>
      <mc:AlternateContent>
        <mc:Choice Requires="wps">
          <w:drawing>
            <wp:anchor distT="0" distB="0" distL="114300" distR="114300" simplePos="0" relativeHeight="251672576" behindDoc="0" locked="1" layoutInCell="1" allowOverlap="1" wp14:anchorId="4645042E" wp14:editId="4645042F">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15" name="Rectangle 15" descr="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Description: Australian Aid Factsheets olive-2" style="position:absolute;margin-left:0;margin-top:0;width:595.3pt;height:11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6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" stroked="f" strokecolor="#4a7ebb" strokeweight="1.5pt">
              <v:fill r:id="rId2" o:title="Australian Aid Factsheets olive-2" recolor="t" type="frame"/>
              <v:shadow opacity="22938f" offset="0"/>
              <v:textbox inset=",7.2pt,,7.2pt"/>
              <w10:wrap type="tight" anchorx="page" anchory="page"/>
              <w10:anchorlock/>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0400" w14:textId="77777777" w:rsidR="00A6787C" w:rsidRDefault="00A6787C"/>
  <w:p w14:paraId="46450401" w14:textId="77777777" w:rsidR="00A6787C" w:rsidRDefault="00A678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4300CE0"/>
    <w:multiLevelType w:val="hybridMultilevel"/>
    <w:tmpl w:val="43B01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D12502D"/>
    <w:multiLevelType w:val="hybridMultilevel"/>
    <w:tmpl w:val="C3947A2A"/>
    <w:lvl w:ilvl="0" w:tplc="0C09000F">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1B07698"/>
    <w:multiLevelType w:val="hybridMultilevel"/>
    <w:tmpl w:val="FA32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7913E74"/>
    <w:multiLevelType w:val="hybridMultilevel"/>
    <w:tmpl w:val="6ED2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3E36097"/>
    <w:multiLevelType w:val="hybridMultilevel"/>
    <w:tmpl w:val="996E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4D0FA9"/>
    <w:multiLevelType w:val="hybridMultilevel"/>
    <w:tmpl w:val="73A63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D234E3B"/>
    <w:multiLevelType w:val="hybridMultilevel"/>
    <w:tmpl w:val="D4E2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2313D5"/>
    <w:multiLevelType w:val="hybridMultilevel"/>
    <w:tmpl w:val="ED6E1E08"/>
    <w:lvl w:ilvl="0" w:tplc="0C09000F">
      <w:start w:val="1"/>
      <w:numFmt w:val="decimal"/>
      <w:lvlText w:val="%1."/>
      <w:lvlJc w:val="left"/>
      <w:pPr>
        <w:ind w:left="788" w:hanging="360"/>
      </w:pPr>
    </w:lvl>
    <w:lvl w:ilvl="1" w:tplc="0C090019">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1">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2">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BE21BE1"/>
    <w:multiLevelType w:val="hybridMultilevel"/>
    <w:tmpl w:val="92BA77EE"/>
    <w:lvl w:ilvl="0" w:tplc="D65E58E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5">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4"/>
  </w:num>
  <w:num w:numId="4">
    <w:abstractNumId w:val="18"/>
  </w:num>
  <w:num w:numId="5">
    <w:abstractNumId w:val="3"/>
  </w:num>
  <w:num w:numId="6">
    <w:abstractNumId w:val="15"/>
  </w:num>
  <w:num w:numId="7">
    <w:abstractNumId w:val="12"/>
  </w:num>
  <w:num w:numId="8">
    <w:abstractNumId w:val="11"/>
  </w:num>
  <w:num w:numId="9">
    <w:abstractNumId w:val="22"/>
  </w:num>
  <w:num w:numId="10">
    <w:abstractNumId w:val="2"/>
  </w:num>
  <w:num w:numId="11">
    <w:abstractNumId w:val="14"/>
  </w:num>
  <w:num w:numId="12">
    <w:abstractNumId w:val="25"/>
  </w:num>
  <w:num w:numId="13">
    <w:abstractNumId w:val="5"/>
  </w:num>
  <w:num w:numId="14">
    <w:abstractNumId w:val="26"/>
  </w:num>
  <w:num w:numId="15">
    <w:abstractNumId w:val="27"/>
  </w:num>
  <w:num w:numId="16">
    <w:abstractNumId w:val="9"/>
  </w:num>
  <w:num w:numId="17">
    <w:abstractNumId w:val="0"/>
  </w:num>
  <w:num w:numId="18">
    <w:abstractNumId w:val="1"/>
  </w:num>
  <w:num w:numId="19">
    <w:abstractNumId w:val="20"/>
  </w:num>
  <w:num w:numId="20">
    <w:abstractNumId w:val="10"/>
  </w:num>
  <w:num w:numId="21">
    <w:abstractNumId w:val="17"/>
  </w:num>
  <w:num w:numId="22">
    <w:abstractNumId w:val="8"/>
  </w:num>
  <w:num w:numId="23">
    <w:abstractNumId w:val="16"/>
  </w:num>
  <w:num w:numId="24">
    <w:abstractNumId w:val="13"/>
  </w:num>
  <w:num w:numId="25">
    <w:abstractNumId w:val="19"/>
  </w:num>
  <w:num w:numId="26">
    <w:abstractNumId w:val="4"/>
  </w:num>
  <w:num w:numId="27">
    <w:abstractNumId w:val="4"/>
  </w:num>
  <w:num w:numId="28">
    <w:abstractNumId w:val="6"/>
  </w:num>
  <w:num w:numId="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04EC7"/>
    <w:rsid w:val="00007F50"/>
    <w:rsid w:val="000143D9"/>
    <w:rsid w:val="000172A2"/>
    <w:rsid w:val="00020121"/>
    <w:rsid w:val="00021A9E"/>
    <w:rsid w:val="00026197"/>
    <w:rsid w:val="000274E2"/>
    <w:rsid w:val="00030111"/>
    <w:rsid w:val="00031100"/>
    <w:rsid w:val="00033B6B"/>
    <w:rsid w:val="000344DC"/>
    <w:rsid w:val="00035F9E"/>
    <w:rsid w:val="00036ECE"/>
    <w:rsid w:val="00042412"/>
    <w:rsid w:val="00045B72"/>
    <w:rsid w:val="00045BEC"/>
    <w:rsid w:val="0004714C"/>
    <w:rsid w:val="00050985"/>
    <w:rsid w:val="000514AA"/>
    <w:rsid w:val="0005350D"/>
    <w:rsid w:val="00054C53"/>
    <w:rsid w:val="000645B2"/>
    <w:rsid w:val="00071B95"/>
    <w:rsid w:val="000745E2"/>
    <w:rsid w:val="000774FD"/>
    <w:rsid w:val="00084C52"/>
    <w:rsid w:val="00091E7F"/>
    <w:rsid w:val="00092306"/>
    <w:rsid w:val="000939EE"/>
    <w:rsid w:val="000979A0"/>
    <w:rsid w:val="000A0062"/>
    <w:rsid w:val="000A1618"/>
    <w:rsid w:val="000A3541"/>
    <w:rsid w:val="000A7835"/>
    <w:rsid w:val="000B3121"/>
    <w:rsid w:val="000B340E"/>
    <w:rsid w:val="000C29BF"/>
    <w:rsid w:val="000C5AB7"/>
    <w:rsid w:val="000C6080"/>
    <w:rsid w:val="000C6098"/>
    <w:rsid w:val="000C60A8"/>
    <w:rsid w:val="000C780E"/>
    <w:rsid w:val="000D1891"/>
    <w:rsid w:val="000D3330"/>
    <w:rsid w:val="000D4D23"/>
    <w:rsid w:val="000E2416"/>
    <w:rsid w:val="000E6268"/>
    <w:rsid w:val="000E68BB"/>
    <w:rsid w:val="000E7297"/>
    <w:rsid w:val="000F1E30"/>
    <w:rsid w:val="000F7DC7"/>
    <w:rsid w:val="00100AA2"/>
    <w:rsid w:val="001027BB"/>
    <w:rsid w:val="0010493D"/>
    <w:rsid w:val="00106069"/>
    <w:rsid w:val="00112E97"/>
    <w:rsid w:val="00112F4B"/>
    <w:rsid w:val="00120FC7"/>
    <w:rsid w:val="00123303"/>
    <w:rsid w:val="0012331B"/>
    <w:rsid w:val="00124ADA"/>
    <w:rsid w:val="00124E6B"/>
    <w:rsid w:val="00126C86"/>
    <w:rsid w:val="001270AE"/>
    <w:rsid w:val="00127E08"/>
    <w:rsid w:val="001337B3"/>
    <w:rsid w:val="001366B4"/>
    <w:rsid w:val="00136CB0"/>
    <w:rsid w:val="00141A30"/>
    <w:rsid w:val="00143688"/>
    <w:rsid w:val="0014411B"/>
    <w:rsid w:val="0014453D"/>
    <w:rsid w:val="00144DCB"/>
    <w:rsid w:val="001504D0"/>
    <w:rsid w:val="001518E6"/>
    <w:rsid w:val="00151ECA"/>
    <w:rsid w:val="001612CE"/>
    <w:rsid w:val="00164503"/>
    <w:rsid w:val="0016544D"/>
    <w:rsid w:val="00165B56"/>
    <w:rsid w:val="001663B8"/>
    <w:rsid w:val="00166482"/>
    <w:rsid w:val="00170A09"/>
    <w:rsid w:val="00170A88"/>
    <w:rsid w:val="001723C9"/>
    <w:rsid w:val="00173C6E"/>
    <w:rsid w:val="001773F1"/>
    <w:rsid w:val="00177ABD"/>
    <w:rsid w:val="00180B19"/>
    <w:rsid w:val="0018196F"/>
    <w:rsid w:val="001829BB"/>
    <w:rsid w:val="00185916"/>
    <w:rsid w:val="00186E3B"/>
    <w:rsid w:val="001874B7"/>
    <w:rsid w:val="00190E1F"/>
    <w:rsid w:val="00192498"/>
    <w:rsid w:val="001937A8"/>
    <w:rsid w:val="00194806"/>
    <w:rsid w:val="0019506B"/>
    <w:rsid w:val="001A18D0"/>
    <w:rsid w:val="001A4768"/>
    <w:rsid w:val="001A4F48"/>
    <w:rsid w:val="001B11F9"/>
    <w:rsid w:val="001B1A0C"/>
    <w:rsid w:val="001B1D79"/>
    <w:rsid w:val="001B3824"/>
    <w:rsid w:val="001B58D5"/>
    <w:rsid w:val="001B6A93"/>
    <w:rsid w:val="001B725E"/>
    <w:rsid w:val="001C0893"/>
    <w:rsid w:val="001C1755"/>
    <w:rsid w:val="001C1EA0"/>
    <w:rsid w:val="001C396F"/>
    <w:rsid w:val="001C507E"/>
    <w:rsid w:val="001C677D"/>
    <w:rsid w:val="001C686C"/>
    <w:rsid w:val="001C700E"/>
    <w:rsid w:val="001C7117"/>
    <w:rsid w:val="001C717A"/>
    <w:rsid w:val="001D0048"/>
    <w:rsid w:val="001D20FC"/>
    <w:rsid w:val="001D210A"/>
    <w:rsid w:val="001D30B7"/>
    <w:rsid w:val="001D587C"/>
    <w:rsid w:val="001D7222"/>
    <w:rsid w:val="001E16BD"/>
    <w:rsid w:val="001E2AD7"/>
    <w:rsid w:val="001E351C"/>
    <w:rsid w:val="001E3E22"/>
    <w:rsid w:val="001E5ED0"/>
    <w:rsid w:val="001E63FE"/>
    <w:rsid w:val="001F7480"/>
    <w:rsid w:val="002003C4"/>
    <w:rsid w:val="00201907"/>
    <w:rsid w:val="0020201C"/>
    <w:rsid w:val="00202F02"/>
    <w:rsid w:val="00205655"/>
    <w:rsid w:val="002115BD"/>
    <w:rsid w:val="00231D45"/>
    <w:rsid w:val="00231E32"/>
    <w:rsid w:val="00232216"/>
    <w:rsid w:val="00233FB1"/>
    <w:rsid w:val="002348C1"/>
    <w:rsid w:val="00235DE1"/>
    <w:rsid w:val="00237C4B"/>
    <w:rsid w:val="00237D33"/>
    <w:rsid w:val="00242C22"/>
    <w:rsid w:val="00246E5F"/>
    <w:rsid w:val="0025333D"/>
    <w:rsid w:val="00256840"/>
    <w:rsid w:val="0026013F"/>
    <w:rsid w:val="0026026C"/>
    <w:rsid w:val="00263050"/>
    <w:rsid w:val="002636CB"/>
    <w:rsid w:val="002648EF"/>
    <w:rsid w:val="002676E4"/>
    <w:rsid w:val="002707B4"/>
    <w:rsid w:val="00270887"/>
    <w:rsid w:val="00274C8D"/>
    <w:rsid w:val="00280C47"/>
    <w:rsid w:val="002849B4"/>
    <w:rsid w:val="00296C42"/>
    <w:rsid w:val="002972AE"/>
    <w:rsid w:val="002A1935"/>
    <w:rsid w:val="002A22F7"/>
    <w:rsid w:val="002A4EDE"/>
    <w:rsid w:val="002A6E16"/>
    <w:rsid w:val="002A738E"/>
    <w:rsid w:val="002B279F"/>
    <w:rsid w:val="002B32ED"/>
    <w:rsid w:val="002B433A"/>
    <w:rsid w:val="002B79D4"/>
    <w:rsid w:val="002C23DB"/>
    <w:rsid w:val="002C7662"/>
    <w:rsid w:val="002D0D3A"/>
    <w:rsid w:val="002D41C5"/>
    <w:rsid w:val="002D6914"/>
    <w:rsid w:val="002D7241"/>
    <w:rsid w:val="002E3C77"/>
    <w:rsid w:val="002E7E0F"/>
    <w:rsid w:val="002F479A"/>
    <w:rsid w:val="002F54F0"/>
    <w:rsid w:val="002F5A14"/>
    <w:rsid w:val="002F71B1"/>
    <w:rsid w:val="003008F3"/>
    <w:rsid w:val="003024CC"/>
    <w:rsid w:val="00303038"/>
    <w:rsid w:val="0030504D"/>
    <w:rsid w:val="00310426"/>
    <w:rsid w:val="00310AE8"/>
    <w:rsid w:val="00315D13"/>
    <w:rsid w:val="00316171"/>
    <w:rsid w:val="00316A93"/>
    <w:rsid w:val="003172D7"/>
    <w:rsid w:val="003223F8"/>
    <w:rsid w:val="0032486D"/>
    <w:rsid w:val="003260C0"/>
    <w:rsid w:val="00326B5A"/>
    <w:rsid w:val="003327F8"/>
    <w:rsid w:val="00340F6A"/>
    <w:rsid w:val="00341177"/>
    <w:rsid w:val="00342E60"/>
    <w:rsid w:val="003440D6"/>
    <w:rsid w:val="00345172"/>
    <w:rsid w:val="00345B8E"/>
    <w:rsid w:val="00351ACA"/>
    <w:rsid w:val="00352AE5"/>
    <w:rsid w:val="00352D5B"/>
    <w:rsid w:val="00353456"/>
    <w:rsid w:val="0035421B"/>
    <w:rsid w:val="00357AF7"/>
    <w:rsid w:val="00360662"/>
    <w:rsid w:val="00367503"/>
    <w:rsid w:val="00372E1B"/>
    <w:rsid w:val="00374F02"/>
    <w:rsid w:val="00383294"/>
    <w:rsid w:val="00383AEF"/>
    <w:rsid w:val="00384467"/>
    <w:rsid w:val="00384629"/>
    <w:rsid w:val="00391698"/>
    <w:rsid w:val="00392266"/>
    <w:rsid w:val="00395CFA"/>
    <w:rsid w:val="003A2D7B"/>
    <w:rsid w:val="003A74BF"/>
    <w:rsid w:val="003B2D10"/>
    <w:rsid w:val="003B2DF0"/>
    <w:rsid w:val="003B5D60"/>
    <w:rsid w:val="003C2A34"/>
    <w:rsid w:val="003C4041"/>
    <w:rsid w:val="003C7721"/>
    <w:rsid w:val="003D081D"/>
    <w:rsid w:val="003E4982"/>
    <w:rsid w:val="003E5DDF"/>
    <w:rsid w:val="003F003F"/>
    <w:rsid w:val="003F21D2"/>
    <w:rsid w:val="003F3B48"/>
    <w:rsid w:val="003F5EEF"/>
    <w:rsid w:val="004038EF"/>
    <w:rsid w:val="00407996"/>
    <w:rsid w:val="00413539"/>
    <w:rsid w:val="00415A92"/>
    <w:rsid w:val="004161E8"/>
    <w:rsid w:val="004228CD"/>
    <w:rsid w:val="00423762"/>
    <w:rsid w:val="00424AEF"/>
    <w:rsid w:val="00424FF3"/>
    <w:rsid w:val="00426354"/>
    <w:rsid w:val="00427079"/>
    <w:rsid w:val="00432617"/>
    <w:rsid w:val="00432EE3"/>
    <w:rsid w:val="0043746F"/>
    <w:rsid w:val="0044020F"/>
    <w:rsid w:val="00440ABB"/>
    <w:rsid w:val="00440C34"/>
    <w:rsid w:val="00441158"/>
    <w:rsid w:val="00443639"/>
    <w:rsid w:val="00445A3B"/>
    <w:rsid w:val="00451CB0"/>
    <w:rsid w:val="004537E5"/>
    <w:rsid w:val="00462108"/>
    <w:rsid w:val="004746C5"/>
    <w:rsid w:val="00481DD8"/>
    <w:rsid w:val="00482BFD"/>
    <w:rsid w:val="00483B67"/>
    <w:rsid w:val="00484A83"/>
    <w:rsid w:val="00485898"/>
    <w:rsid w:val="00487EF0"/>
    <w:rsid w:val="004A5C73"/>
    <w:rsid w:val="004A60CC"/>
    <w:rsid w:val="004A7400"/>
    <w:rsid w:val="004C23D5"/>
    <w:rsid w:val="004C4A3E"/>
    <w:rsid w:val="004C660D"/>
    <w:rsid w:val="004D0E08"/>
    <w:rsid w:val="004D1529"/>
    <w:rsid w:val="004D19CE"/>
    <w:rsid w:val="004D1BCD"/>
    <w:rsid w:val="004D4522"/>
    <w:rsid w:val="004E0951"/>
    <w:rsid w:val="004E44B6"/>
    <w:rsid w:val="004E4853"/>
    <w:rsid w:val="004E6400"/>
    <w:rsid w:val="004E6E33"/>
    <w:rsid w:val="004E7989"/>
    <w:rsid w:val="004F1D85"/>
    <w:rsid w:val="004F2C97"/>
    <w:rsid w:val="004F521E"/>
    <w:rsid w:val="004F7FDC"/>
    <w:rsid w:val="005004C8"/>
    <w:rsid w:val="00503586"/>
    <w:rsid w:val="00503974"/>
    <w:rsid w:val="0050529F"/>
    <w:rsid w:val="00506051"/>
    <w:rsid w:val="00514B5E"/>
    <w:rsid w:val="005160A8"/>
    <w:rsid w:val="00516C92"/>
    <w:rsid w:val="005174A1"/>
    <w:rsid w:val="0052008A"/>
    <w:rsid w:val="00520F07"/>
    <w:rsid w:val="0052286C"/>
    <w:rsid w:val="00522AB9"/>
    <w:rsid w:val="00522F92"/>
    <w:rsid w:val="00525552"/>
    <w:rsid w:val="005265B9"/>
    <w:rsid w:val="00532F2F"/>
    <w:rsid w:val="005330F5"/>
    <w:rsid w:val="00533533"/>
    <w:rsid w:val="005345F4"/>
    <w:rsid w:val="005352BE"/>
    <w:rsid w:val="00535B8E"/>
    <w:rsid w:val="00535E24"/>
    <w:rsid w:val="00535FB8"/>
    <w:rsid w:val="00540363"/>
    <w:rsid w:val="00541116"/>
    <w:rsid w:val="00543261"/>
    <w:rsid w:val="005440F6"/>
    <w:rsid w:val="0054557A"/>
    <w:rsid w:val="00546DD6"/>
    <w:rsid w:val="00552C90"/>
    <w:rsid w:val="00553F78"/>
    <w:rsid w:val="0055771D"/>
    <w:rsid w:val="00566DA3"/>
    <w:rsid w:val="005674F8"/>
    <w:rsid w:val="00567FCF"/>
    <w:rsid w:val="00571A10"/>
    <w:rsid w:val="00572308"/>
    <w:rsid w:val="005736B4"/>
    <w:rsid w:val="00575295"/>
    <w:rsid w:val="00580DA7"/>
    <w:rsid w:val="005845CB"/>
    <w:rsid w:val="0058498A"/>
    <w:rsid w:val="00585DC8"/>
    <w:rsid w:val="00586350"/>
    <w:rsid w:val="00586A02"/>
    <w:rsid w:val="0059547A"/>
    <w:rsid w:val="005A18C5"/>
    <w:rsid w:val="005A572A"/>
    <w:rsid w:val="005A6666"/>
    <w:rsid w:val="005B7C71"/>
    <w:rsid w:val="005C4A6B"/>
    <w:rsid w:val="005C5200"/>
    <w:rsid w:val="005C697B"/>
    <w:rsid w:val="005D2018"/>
    <w:rsid w:val="005D2876"/>
    <w:rsid w:val="005D2A59"/>
    <w:rsid w:val="005D4098"/>
    <w:rsid w:val="005D4131"/>
    <w:rsid w:val="005E34E0"/>
    <w:rsid w:val="005E4D19"/>
    <w:rsid w:val="005F0C00"/>
    <w:rsid w:val="005F3027"/>
    <w:rsid w:val="005F33F2"/>
    <w:rsid w:val="00600C7A"/>
    <w:rsid w:val="006057C6"/>
    <w:rsid w:val="00605E0C"/>
    <w:rsid w:val="00614121"/>
    <w:rsid w:val="00615FA0"/>
    <w:rsid w:val="006160DE"/>
    <w:rsid w:val="00617F30"/>
    <w:rsid w:val="00620CE4"/>
    <w:rsid w:val="006223DA"/>
    <w:rsid w:val="0063156D"/>
    <w:rsid w:val="006340D1"/>
    <w:rsid w:val="0063611B"/>
    <w:rsid w:val="00637AF8"/>
    <w:rsid w:val="00641DE8"/>
    <w:rsid w:val="006429F5"/>
    <w:rsid w:val="00642E50"/>
    <w:rsid w:val="00646049"/>
    <w:rsid w:val="006463EF"/>
    <w:rsid w:val="00650A34"/>
    <w:rsid w:val="0065168B"/>
    <w:rsid w:val="00654D80"/>
    <w:rsid w:val="00654E91"/>
    <w:rsid w:val="006562F3"/>
    <w:rsid w:val="00657108"/>
    <w:rsid w:val="00663909"/>
    <w:rsid w:val="006671BC"/>
    <w:rsid w:val="006766E7"/>
    <w:rsid w:val="00680679"/>
    <w:rsid w:val="00683683"/>
    <w:rsid w:val="00683FFB"/>
    <w:rsid w:val="0068403E"/>
    <w:rsid w:val="00687A42"/>
    <w:rsid w:val="00687D03"/>
    <w:rsid w:val="00691E30"/>
    <w:rsid w:val="00694675"/>
    <w:rsid w:val="00695279"/>
    <w:rsid w:val="006960DE"/>
    <w:rsid w:val="006A0E6D"/>
    <w:rsid w:val="006A5F98"/>
    <w:rsid w:val="006A72C6"/>
    <w:rsid w:val="006B22A0"/>
    <w:rsid w:val="006B30CE"/>
    <w:rsid w:val="006B4A18"/>
    <w:rsid w:val="006B5FDC"/>
    <w:rsid w:val="006B729E"/>
    <w:rsid w:val="006C6800"/>
    <w:rsid w:val="006D1A97"/>
    <w:rsid w:val="006D2E37"/>
    <w:rsid w:val="006E11D3"/>
    <w:rsid w:val="006E1DE6"/>
    <w:rsid w:val="006E39F9"/>
    <w:rsid w:val="006E57CB"/>
    <w:rsid w:val="006E7E9F"/>
    <w:rsid w:val="006E7F98"/>
    <w:rsid w:val="006E7FA8"/>
    <w:rsid w:val="006F0DAA"/>
    <w:rsid w:val="006F16A4"/>
    <w:rsid w:val="006F33CC"/>
    <w:rsid w:val="006F38C1"/>
    <w:rsid w:val="006F4623"/>
    <w:rsid w:val="006F4B40"/>
    <w:rsid w:val="007004A2"/>
    <w:rsid w:val="00701056"/>
    <w:rsid w:val="007012E6"/>
    <w:rsid w:val="00701FEA"/>
    <w:rsid w:val="007056EB"/>
    <w:rsid w:val="00706DE1"/>
    <w:rsid w:val="007072EB"/>
    <w:rsid w:val="007110C9"/>
    <w:rsid w:val="00711D9B"/>
    <w:rsid w:val="00714BA3"/>
    <w:rsid w:val="00714E5E"/>
    <w:rsid w:val="00717B95"/>
    <w:rsid w:val="00721098"/>
    <w:rsid w:val="00725032"/>
    <w:rsid w:val="007301E4"/>
    <w:rsid w:val="00733B39"/>
    <w:rsid w:val="00734CF0"/>
    <w:rsid w:val="00735A52"/>
    <w:rsid w:val="00737752"/>
    <w:rsid w:val="00737EB1"/>
    <w:rsid w:val="00744370"/>
    <w:rsid w:val="007464D8"/>
    <w:rsid w:val="00750E77"/>
    <w:rsid w:val="00750EDA"/>
    <w:rsid w:val="00751858"/>
    <w:rsid w:val="00752D57"/>
    <w:rsid w:val="00754799"/>
    <w:rsid w:val="0075621C"/>
    <w:rsid w:val="0075642F"/>
    <w:rsid w:val="00763DA1"/>
    <w:rsid w:val="00766BCF"/>
    <w:rsid w:val="00767F39"/>
    <w:rsid w:val="007726E1"/>
    <w:rsid w:val="00774F4B"/>
    <w:rsid w:val="00776E25"/>
    <w:rsid w:val="00780384"/>
    <w:rsid w:val="007806C8"/>
    <w:rsid w:val="00780718"/>
    <w:rsid w:val="00782570"/>
    <w:rsid w:val="00783B0A"/>
    <w:rsid w:val="007902AD"/>
    <w:rsid w:val="0079133B"/>
    <w:rsid w:val="0079256F"/>
    <w:rsid w:val="00794153"/>
    <w:rsid w:val="007A111F"/>
    <w:rsid w:val="007A1D7A"/>
    <w:rsid w:val="007A348B"/>
    <w:rsid w:val="007A3C6A"/>
    <w:rsid w:val="007A5821"/>
    <w:rsid w:val="007A5D06"/>
    <w:rsid w:val="007A5E50"/>
    <w:rsid w:val="007A79DB"/>
    <w:rsid w:val="007B51E2"/>
    <w:rsid w:val="007C2821"/>
    <w:rsid w:val="007C3BBF"/>
    <w:rsid w:val="007C4995"/>
    <w:rsid w:val="007D1586"/>
    <w:rsid w:val="007D2DB8"/>
    <w:rsid w:val="007D40B4"/>
    <w:rsid w:val="007E02AD"/>
    <w:rsid w:val="007E06EA"/>
    <w:rsid w:val="007E2A95"/>
    <w:rsid w:val="007E3279"/>
    <w:rsid w:val="007E49C3"/>
    <w:rsid w:val="007E6B55"/>
    <w:rsid w:val="007F2841"/>
    <w:rsid w:val="00800059"/>
    <w:rsid w:val="00801605"/>
    <w:rsid w:val="00802A66"/>
    <w:rsid w:val="0080364B"/>
    <w:rsid w:val="0081012A"/>
    <w:rsid w:val="008153A2"/>
    <w:rsid w:val="00816C30"/>
    <w:rsid w:val="00821541"/>
    <w:rsid w:val="008227D7"/>
    <w:rsid w:val="0082403D"/>
    <w:rsid w:val="00825F88"/>
    <w:rsid w:val="00830647"/>
    <w:rsid w:val="00830E80"/>
    <w:rsid w:val="00832BDF"/>
    <w:rsid w:val="0083563D"/>
    <w:rsid w:val="00840CB1"/>
    <w:rsid w:val="00841350"/>
    <w:rsid w:val="00843BF1"/>
    <w:rsid w:val="00845D86"/>
    <w:rsid w:val="008477BD"/>
    <w:rsid w:val="0086210B"/>
    <w:rsid w:val="00864215"/>
    <w:rsid w:val="00871F02"/>
    <w:rsid w:val="00874D4D"/>
    <w:rsid w:val="00880291"/>
    <w:rsid w:val="008810FA"/>
    <w:rsid w:val="00884878"/>
    <w:rsid w:val="00885B9C"/>
    <w:rsid w:val="00886A5A"/>
    <w:rsid w:val="00886D0B"/>
    <w:rsid w:val="008913D3"/>
    <w:rsid w:val="008966DB"/>
    <w:rsid w:val="00896927"/>
    <w:rsid w:val="00897E16"/>
    <w:rsid w:val="008A144E"/>
    <w:rsid w:val="008B2C68"/>
    <w:rsid w:val="008B3ED8"/>
    <w:rsid w:val="008B4E05"/>
    <w:rsid w:val="008B5F65"/>
    <w:rsid w:val="008B7DE0"/>
    <w:rsid w:val="008C0CA5"/>
    <w:rsid w:val="008C12C7"/>
    <w:rsid w:val="008C2CA9"/>
    <w:rsid w:val="008C5754"/>
    <w:rsid w:val="008C6D9F"/>
    <w:rsid w:val="008D0CBF"/>
    <w:rsid w:val="008D27EF"/>
    <w:rsid w:val="008D2DC8"/>
    <w:rsid w:val="008D3498"/>
    <w:rsid w:val="008D34F9"/>
    <w:rsid w:val="008D745E"/>
    <w:rsid w:val="008E6610"/>
    <w:rsid w:val="008F06F2"/>
    <w:rsid w:val="008F2799"/>
    <w:rsid w:val="008F4C4B"/>
    <w:rsid w:val="008F4F56"/>
    <w:rsid w:val="008F4FEC"/>
    <w:rsid w:val="008F56BE"/>
    <w:rsid w:val="008F5D80"/>
    <w:rsid w:val="008F6732"/>
    <w:rsid w:val="00900AC0"/>
    <w:rsid w:val="0090459F"/>
    <w:rsid w:val="00904945"/>
    <w:rsid w:val="00907842"/>
    <w:rsid w:val="0091042B"/>
    <w:rsid w:val="00923B73"/>
    <w:rsid w:val="00923D3D"/>
    <w:rsid w:val="00924CCB"/>
    <w:rsid w:val="00924F28"/>
    <w:rsid w:val="0092520A"/>
    <w:rsid w:val="009302B0"/>
    <w:rsid w:val="00930AE5"/>
    <w:rsid w:val="00932FAD"/>
    <w:rsid w:val="00934237"/>
    <w:rsid w:val="009371E1"/>
    <w:rsid w:val="009427CC"/>
    <w:rsid w:val="00944155"/>
    <w:rsid w:val="009460EB"/>
    <w:rsid w:val="009504CA"/>
    <w:rsid w:val="00951562"/>
    <w:rsid w:val="00954EF3"/>
    <w:rsid w:val="00956428"/>
    <w:rsid w:val="0095704C"/>
    <w:rsid w:val="00960FD6"/>
    <w:rsid w:val="0096317E"/>
    <w:rsid w:val="009668EF"/>
    <w:rsid w:val="00967BEF"/>
    <w:rsid w:val="009729A9"/>
    <w:rsid w:val="00974F49"/>
    <w:rsid w:val="00976D4D"/>
    <w:rsid w:val="0098030D"/>
    <w:rsid w:val="00981E62"/>
    <w:rsid w:val="009837F5"/>
    <w:rsid w:val="00983B91"/>
    <w:rsid w:val="009859EA"/>
    <w:rsid w:val="00990693"/>
    <w:rsid w:val="00991E37"/>
    <w:rsid w:val="00992FEA"/>
    <w:rsid w:val="009A1E07"/>
    <w:rsid w:val="009A2335"/>
    <w:rsid w:val="009A28D2"/>
    <w:rsid w:val="009A4D39"/>
    <w:rsid w:val="009A5142"/>
    <w:rsid w:val="009A73C2"/>
    <w:rsid w:val="009B5190"/>
    <w:rsid w:val="009B654F"/>
    <w:rsid w:val="009C16DF"/>
    <w:rsid w:val="009C332D"/>
    <w:rsid w:val="009C3736"/>
    <w:rsid w:val="009C3E84"/>
    <w:rsid w:val="009C4804"/>
    <w:rsid w:val="009C7099"/>
    <w:rsid w:val="009D1432"/>
    <w:rsid w:val="009D1F99"/>
    <w:rsid w:val="009D3087"/>
    <w:rsid w:val="009D3524"/>
    <w:rsid w:val="009D63CF"/>
    <w:rsid w:val="009E1E10"/>
    <w:rsid w:val="009E3504"/>
    <w:rsid w:val="009E6780"/>
    <w:rsid w:val="009F07A0"/>
    <w:rsid w:val="009F4D99"/>
    <w:rsid w:val="009F50F0"/>
    <w:rsid w:val="009F59B3"/>
    <w:rsid w:val="009F6B91"/>
    <w:rsid w:val="00A01679"/>
    <w:rsid w:val="00A01947"/>
    <w:rsid w:val="00A026C5"/>
    <w:rsid w:val="00A03911"/>
    <w:rsid w:val="00A05140"/>
    <w:rsid w:val="00A10D17"/>
    <w:rsid w:val="00A10DE1"/>
    <w:rsid w:val="00A13067"/>
    <w:rsid w:val="00A14D9F"/>
    <w:rsid w:val="00A15FF2"/>
    <w:rsid w:val="00A16F4F"/>
    <w:rsid w:val="00A22538"/>
    <w:rsid w:val="00A2506F"/>
    <w:rsid w:val="00A34039"/>
    <w:rsid w:val="00A3552E"/>
    <w:rsid w:val="00A40A3E"/>
    <w:rsid w:val="00A417FA"/>
    <w:rsid w:val="00A42760"/>
    <w:rsid w:val="00A427F1"/>
    <w:rsid w:val="00A443C7"/>
    <w:rsid w:val="00A46DA0"/>
    <w:rsid w:val="00A5050A"/>
    <w:rsid w:val="00A517C3"/>
    <w:rsid w:val="00A51DBC"/>
    <w:rsid w:val="00A535B4"/>
    <w:rsid w:val="00A53F94"/>
    <w:rsid w:val="00A546B2"/>
    <w:rsid w:val="00A54F5F"/>
    <w:rsid w:val="00A5551F"/>
    <w:rsid w:val="00A55C66"/>
    <w:rsid w:val="00A573EF"/>
    <w:rsid w:val="00A61BD4"/>
    <w:rsid w:val="00A65CAA"/>
    <w:rsid w:val="00A66C1C"/>
    <w:rsid w:val="00A6787C"/>
    <w:rsid w:val="00A74B21"/>
    <w:rsid w:val="00A75559"/>
    <w:rsid w:val="00A766FD"/>
    <w:rsid w:val="00A81372"/>
    <w:rsid w:val="00A820E7"/>
    <w:rsid w:val="00A83F3C"/>
    <w:rsid w:val="00A84B11"/>
    <w:rsid w:val="00A932DE"/>
    <w:rsid w:val="00A94C98"/>
    <w:rsid w:val="00A94EC5"/>
    <w:rsid w:val="00A95504"/>
    <w:rsid w:val="00AA3159"/>
    <w:rsid w:val="00AA3343"/>
    <w:rsid w:val="00AA37FB"/>
    <w:rsid w:val="00AA4613"/>
    <w:rsid w:val="00AA4F9F"/>
    <w:rsid w:val="00AA582E"/>
    <w:rsid w:val="00AA7317"/>
    <w:rsid w:val="00AB3900"/>
    <w:rsid w:val="00AB4E95"/>
    <w:rsid w:val="00AB7215"/>
    <w:rsid w:val="00AB7E0F"/>
    <w:rsid w:val="00AC0376"/>
    <w:rsid w:val="00AC2525"/>
    <w:rsid w:val="00AC2A0F"/>
    <w:rsid w:val="00AC4838"/>
    <w:rsid w:val="00AC56C2"/>
    <w:rsid w:val="00AC5E19"/>
    <w:rsid w:val="00AD107E"/>
    <w:rsid w:val="00AD35E5"/>
    <w:rsid w:val="00AD6AC9"/>
    <w:rsid w:val="00AE4F01"/>
    <w:rsid w:val="00AE5C52"/>
    <w:rsid w:val="00AF045F"/>
    <w:rsid w:val="00AF0EB5"/>
    <w:rsid w:val="00AF0FA2"/>
    <w:rsid w:val="00AF0FDD"/>
    <w:rsid w:val="00AF2BD6"/>
    <w:rsid w:val="00B00902"/>
    <w:rsid w:val="00B10FFF"/>
    <w:rsid w:val="00B11E6E"/>
    <w:rsid w:val="00B152BD"/>
    <w:rsid w:val="00B15671"/>
    <w:rsid w:val="00B1799D"/>
    <w:rsid w:val="00B17A9D"/>
    <w:rsid w:val="00B21368"/>
    <w:rsid w:val="00B21C2F"/>
    <w:rsid w:val="00B22F61"/>
    <w:rsid w:val="00B2764E"/>
    <w:rsid w:val="00B27937"/>
    <w:rsid w:val="00B30E77"/>
    <w:rsid w:val="00B312AF"/>
    <w:rsid w:val="00B33F27"/>
    <w:rsid w:val="00B34129"/>
    <w:rsid w:val="00B3484E"/>
    <w:rsid w:val="00B36C76"/>
    <w:rsid w:val="00B426EB"/>
    <w:rsid w:val="00B456CC"/>
    <w:rsid w:val="00B473D5"/>
    <w:rsid w:val="00B478EF"/>
    <w:rsid w:val="00B51BAD"/>
    <w:rsid w:val="00B52287"/>
    <w:rsid w:val="00B56551"/>
    <w:rsid w:val="00B57AE9"/>
    <w:rsid w:val="00B638BD"/>
    <w:rsid w:val="00B64F67"/>
    <w:rsid w:val="00B65EB5"/>
    <w:rsid w:val="00B679FB"/>
    <w:rsid w:val="00B72CEC"/>
    <w:rsid w:val="00B7378B"/>
    <w:rsid w:val="00B76FA4"/>
    <w:rsid w:val="00B80707"/>
    <w:rsid w:val="00B87675"/>
    <w:rsid w:val="00B87828"/>
    <w:rsid w:val="00B87B4B"/>
    <w:rsid w:val="00B90571"/>
    <w:rsid w:val="00B9500D"/>
    <w:rsid w:val="00B95043"/>
    <w:rsid w:val="00BA0318"/>
    <w:rsid w:val="00BA18B0"/>
    <w:rsid w:val="00BA3026"/>
    <w:rsid w:val="00BA3EFF"/>
    <w:rsid w:val="00BA4223"/>
    <w:rsid w:val="00BA4972"/>
    <w:rsid w:val="00BA5116"/>
    <w:rsid w:val="00BA5B41"/>
    <w:rsid w:val="00BA5FE7"/>
    <w:rsid w:val="00BA71DA"/>
    <w:rsid w:val="00BB1C24"/>
    <w:rsid w:val="00BB53F3"/>
    <w:rsid w:val="00BB6F38"/>
    <w:rsid w:val="00BC19C8"/>
    <w:rsid w:val="00BC403B"/>
    <w:rsid w:val="00BC6774"/>
    <w:rsid w:val="00BC6EEF"/>
    <w:rsid w:val="00BC73C7"/>
    <w:rsid w:val="00BC7980"/>
    <w:rsid w:val="00BC7B90"/>
    <w:rsid w:val="00BD4D43"/>
    <w:rsid w:val="00BE0D5C"/>
    <w:rsid w:val="00BE65E4"/>
    <w:rsid w:val="00BF0AA7"/>
    <w:rsid w:val="00BF0E51"/>
    <w:rsid w:val="00BF1C9E"/>
    <w:rsid w:val="00BF2F97"/>
    <w:rsid w:val="00BF3A38"/>
    <w:rsid w:val="00BF45C2"/>
    <w:rsid w:val="00C006E5"/>
    <w:rsid w:val="00C00765"/>
    <w:rsid w:val="00C050FD"/>
    <w:rsid w:val="00C053CF"/>
    <w:rsid w:val="00C06287"/>
    <w:rsid w:val="00C07B4D"/>
    <w:rsid w:val="00C1014C"/>
    <w:rsid w:val="00C10EE9"/>
    <w:rsid w:val="00C20D5E"/>
    <w:rsid w:val="00C22F03"/>
    <w:rsid w:val="00C23583"/>
    <w:rsid w:val="00C244F1"/>
    <w:rsid w:val="00C25FD3"/>
    <w:rsid w:val="00C3482B"/>
    <w:rsid w:val="00C36AD6"/>
    <w:rsid w:val="00C36C67"/>
    <w:rsid w:val="00C36E08"/>
    <w:rsid w:val="00C402FD"/>
    <w:rsid w:val="00C4066A"/>
    <w:rsid w:val="00C40D0E"/>
    <w:rsid w:val="00C41817"/>
    <w:rsid w:val="00C42F2D"/>
    <w:rsid w:val="00C44528"/>
    <w:rsid w:val="00C4502A"/>
    <w:rsid w:val="00C469FC"/>
    <w:rsid w:val="00C50085"/>
    <w:rsid w:val="00C50129"/>
    <w:rsid w:val="00C52B3F"/>
    <w:rsid w:val="00C535DB"/>
    <w:rsid w:val="00C53771"/>
    <w:rsid w:val="00C56BAB"/>
    <w:rsid w:val="00C5723F"/>
    <w:rsid w:val="00C60D92"/>
    <w:rsid w:val="00C65930"/>
    <w:rsid w:val="00C66AA4"/>
    <w:rsid w:val="00C75AB0"/>
    <w:rsid w:val="00C778D3"/>
    <w:rsid w:val="00C802F5"/>
    <w:rsid w:val="00C80AAE"/>
    <w:rsid w:val="00C82AA4"/>
    <w:rsid w:val="00C8305C"/>
    <w:rsid w:val="00C92A56"/>
    <w:rsid w:val="00C95691"/>
    <w:rsid w:val="00CA1ECD"/>
    <w:rsid w:val="00CA4C7F"/>
    <w:rsid w:val="00CA61AE"/>
    <w:rsid w:val="00CB3CFB"/>
    <w:rsid w:val="00CC025E"/>
    <w:rsid w:val="00CC0CFD"/>
    <w:rsid w:val="00CC4DA7"/>
    <w:rsid w:val="00CC6670"/>
    <w:rsid w:val="00CD0FA4"/>
    <w:rsid w:val="00CE1ED3"/>
    <w:rsid w:val="00CE265F"/>
    <w:rsid w:val="00CF057B"/>
    <w:rsid w:val="00CF3174"/>
    <w:rsid w:val="00CF5974"/>
    <w:rsid w:val="00CF6A4E"/>
    <w:rsid w:val="00D00E3D"/>
    <w:rsid w:val="00D02013"/>
    <w:rsid w:val="00D03428"/>
    <w:rsid w:val="00D05195"/>
    <w:rsid w:val="00D055EA"/>
    <w:rsid w:val="00D0608D"/>
    <w:rsid w:val="00D06E87"/>
    <w:rsid w:val="00D06EFC"/>
    <w:rsid w:val="00D111F9"/>
    <w:rsid w:val="00D1197E"/>
    <w:rsid w:val="00D11D81"/>
    <w:rsid w:val="00D130D2"/>
    <w:rsid w:val="00D1619E"/>
    <w:rsid w:val="00D266FA"/>
    <w:rsid w:val="00D27132"/>
    <w:rsid w:val="00D305D1"/>
    <w:rsid w:val="00D33DA7"/>
    <w:rsid w:val="00D3679A"/>
    <w:rsid w:val="00D4085F"/>
    <w:rsid w:val="00D425B8"/>
    <w:rsid w:val="00D42BED"/>
    <w:rsid w:val="00D43B0B"/>
    <w:rsid w:val="00D472D8"/>
    <w:rsid w:val="00D54B80"/>
    <w:rsid w:val="00D56FF4"/>
    <w:rsid w:val="00D570A8"/>
    <w:rsid w:val="00D65D8E"/>
    <w:rsid w:val="00D677AE"/>
    <w:rsid w:val="00D67B4C"/>
    <w:rsid w:val="00D73878"/>
    <w:rsid w:val="00D74036"/>
    <w:rsid w:val="00D764E9"/>
    <w:rsid w:val="00D808EE"/>
    <w:rsid w:val="00D815A0"/>
    <w:rsid w:val="00D83E3F"/>
    <w:rsid w:val="00D862FB"/>
    <w:rsid w:val="00D92930"/>
    <w:rsid w:val="00D93663"/>
    <w:rsid w:val="00D93795"/>
    <w:rsid w:val="00D94097"/>
    <w:rsid w:val="00D978D8"/>
    <w:rsid w:val="00D97F93"/>
    <w:rsid w:val="00DA54F2"/>
    <w:rsid w:val="00DA7DA7"/>
    <w:rsid w:val="00DB0CB2"/>
    <w:rsid w:val="00DB2502"/>
    <w:rsid w:val="00DB45FC"/>
    <w:rsid w:val="00DB4E92"/>
    <w:rsid w:val="00DC04FB"/>
    <w:rsid w:val="00DC24E8"/>
    <w:rsid w:val="00DC4000"/>
    <w:rsid w:val="00DC5962"/>
    <w:rsid w:val="00DC60DB"/>
    <w:rsid w:val="00DD112A"/>
    <w:rsid w:val="00DD3C76"/>
    <w:rsid w:val="00DD442B"/>
    <w:rsid w:val="00DD6E23"/>
    <w:rsid w:val="00DE0D23"/>
    <w:rsid w:val="00DE55C7"/>
    <w:rsid w:val="00DE55E6"/>
    <w:rsid w:val="00DF065E"/>
    <w:rsid w:val="00DF198C"/>
    <w:rsid w:val="00DF6DF2"/>
    <w:rsid w:val="00E011AD"/>
    <w:rsid w:val="00E03766"/>
    <w:rsid w:val="00E04482"/>
    <w:rsid w:val="00E05414"/>
    <w:rsid w:val="00E063A9"/>
    <w:rsid w:val="00E07968"/>
    <w:rsid w:val="00E10AEB"/>
    <w:rsid w:val="00E123A9"/>
    <w:rsid w:val="00E132B7"/>
    <w:rsid w:val="00E133F5"/>
    <w:rsid w:val="00E22135"/>
    <w:rsid w:val="00E2267F"/>
    <w:rsid w:val="00E231A2"/>
    <w:rsid w:val="00E253B7"/>
    <w:rsid w:val="00E25910"/>
    <w:rsid w:val="00E27C9F"/>
    <w:rsid w:val="00E30037"/>
    <w:rsid w:val="00E31723"/>
    <w:rsid w:val="00E31EB8"/>
    <w:rsid w:val="00E34A57"/>
    <w:rsid w:val="00E37291"/>
    <w:rsid w:val="00E400D6"/>
    <w:rsid w:val="00E46545"/>
    <w:rsid w:val="00E54082"/>
    <w:rsid w:val="00E564F5"/>
    <w:rsid w:val="00E56811"/>
    <w:rsid w:val="00E6129D"/>
    <w:rsid w:val="00E6139F"/>
    <w:rsid w:val="00E61E1E"/>
    <w:rsid w:val="00E62387"/>
    <w:rsid w:val="00E64B3B"/>
    <w:rsid w:val="00E65BE7"/>
    <w:rsid w:val="00E6631F"/>
    <w:rsid w:val="00E66FD2"/>
    <w:rsid w:val="00E70277"/>
    <w:rsid w:val="00E71A05"/>
    <w:rsid w:val="00E73002"/>
    <w:rsid w:val="00E73EC0"/>
    <w:rsid w:val="00E77CCE"/>
    <w:rsid w:val="00E83D00"/>
    <w:rsid w:val="00E844DE"/>
    <w:rsid w:val="00E85F28"/>
    <w:rsid w:val="00E87360"/>
    <w:rsid w:val="00E90B9D"/>
    <w:rsid w:val="00E923F1"/>
    <w:rsid w:val="00EA1214"/>
    <w:rsid w:val="00EA3B2A"/>
    <w:rsid w:val="00EA7D14"/>
    <w:rsid w:val="00EB01B8"/>
    <w:rsid w:val="00EB139C"/>
    <w:rsid w:val="00EB26DF"/>
    <w:rsid w:val="00EB2CBC"/>
    <w:rsid w:val="00EB3D8A"/>
    <w:rsid w:val="00EB4AF9"/>
    <w:rsid w:val="00EB51B0"/>
    <w:rsid w:val="00EB711D"/>
    <w:rsid w:val="00EB75BD"/>
    <w:rsid w:val="00EC11D7"/>
    <w:rsid w:val="00EC3F0A"/>
    <w:rsid w:val="00EC4D05"/>
    <w:rsid w:val="00ED0766"/>
    <w:rsid w:val="00ED0EC6"/>
    <w:rsid w:val="00ED2536"/>
    <w:rsid w:val="00ED2784"/>
    <w:rsid w:val="00EE0E84"/>
    <w:rsid w:val="00EE308D"/>
    <w:rsid w:val="00EE44C9"/>
    <w:rsid w:val="00EE4648"/>
    <w:rsid w:val="00EE49E2"/>
    <w:rsid w:val="00EE5D77"/>
    <w:rsid w:val="00EF0E19"/>
    <w:rsid w:val="00EF16B5"/>
    <w:rsid w:val="00EF2769"/>
    <w:rsid w:val="00EF4DF3"/>
    <w:rsid w:val="00EF5752"/>
    <w:rsid w:val="00F04746"/>
    <w:rsid w:val="00F0799D"/>
    <w:rsid w:val="00F10954"/>
    <w:rsid w:val="00F11C28"/>
    <w:rsid w:val="00F1575B"/>
    <w:rsid w:val="00F1748A"/>
    <w:rsid w:val="00F209D8"/>
    <w:rsid w:val="00F25F17"/>
    <w:rsid w:val="00F263A0"/>
    <w:rsid w:val="00F2799D"/>
    <w:rsid w:val="00F27ED1"/>
    <w:rsid w:val="00F30F76"/>
    <w:rsid w:val="00F33BD9"/>
    <w:rsid w:val="00F347D4"/>
    <w:rsid w:val="00F35DE7"/>
    <w:rsid w:val="00F36DA6"/>
    <w:rsid w:val="00F42A0E"/>
    <w:rsid w:val="00F42AF5"/>
    <w:rsid w:val="00F43DEC"/>
    <w:rsid w:val="00F46297"/>
    <w:rsid w:val="00F50890"/>
    <w:rsid w:val="00F50BEF"/>
    <w:rsid w:val="00F50C4D"/>
    <w:rsid w:val="00F5172B"/>
    <w:rsid w:val="00F52AF0"/>
    <w:rsid w:val="00F5307D"/>
    <w:rsid w:val="00F53655"/>
    <w:rsid w:val="00F54F8E"/>
    <w:rsid w:val="00F558BF"/>
    <w:rsid w:val="00F57F5B"/>
    <w:rsid w:val="00F6071E"/>
    <w:rsid w:val="00F6103F"/>
    <w:rsid w:val="00F61A2E"/>
    <w:rsid w:val="00F626F2"/>
    <w:rsid w:val="00F65284"/>
    <w:rsid w:val="00F67109"/>
    <w:rsid w:val="00F711FF"/>
    <w:rsid w:val="00F71512"/>
    <w:rsid w:val="00F73742"/>
    <w:rsid w:val="00F73D69"/>
    <w:rsid w:val="00F74FA5"/>
    <w:rsid w:val="00F753A3"/>
    <w:rsid w:val="00F77E6A"/>
    <w:rsid w:val="00F80C28"/>
    <w:rsid w:val="00F81D93"/>
    <w:rsid w:val="00F81DC3"/>
    <w:rsid w:val="00F85B55"/>
    <w:rsid w:val="00F86B8D"/>
    <w:rsid w:val="00F86C62"/>
    <w:rsid w:val="00F87F53"/>
    <w:rsid w:val="00F92E6D"/>
    <w:rsid w:val="00F93164"/>
    <w:rsid w:val="00F940A3"/>
    <w:rsid w:val="00F9413F"/>
    <w:rsid w:val="00F94D21"/>
    <w:rsid w:val="00F95405"/>
    <w:rsid w:val="00F979EF"/>
    <w:rsid w:val="00FA078A"/>
    <w:rsid w:val="00FA11D0"/>
    <w:rsid w:val="00FA406D"/>
    <w:rsid w:val="00FA4570"/>
    <w:rsid w:val="00FA6819"/>
    <w:rsid w:val="00FB0B38"/>
    <w:rsid w:val="00FB2745"/>
    <w:rsid w:val="00FB27B1"/>
    <w:rsid w:val="00FB305F"/>
    <w:rsid w:val="00FC19A6"/>
    <w:rsid w:val="00FC3C87"/>
    <w:rsid w:val="00FD3D71"/>
    <w:rsid w:val="00FD4FD9"/>
    <w:rsid w:val="00FE1536"/>
    <w:rsid w:val="00FE25EE"/>
    <w:rsid w:val="00FE3155"/>
    <w:rsid w:val="00FE3729"/>
    <w:rsid w:val="00FE4491"/>
    <w:rsid w:val="00FF2D07"/>
    <w:rsid w:val="00FF6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45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BF"/>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4020F"/>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4020F"/>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E231A2"/>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0D4D2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D4D2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44020F"/>
    <w:pPr>
      <w:tabs>
        <w:tab w:val="center" w:pos="4513"/>
        <w:tab w:val="right" w:pos="9026"/>
      </w:tabs>
    </w:pPr>
  </w:style>
  <w:style w:type="character" w:customStyle="1" w:styleId="HeaderChar">
    <w:name w:val="Header Char"/>
    <w:basedOn w:val="DefaultParagraphFont"/>
    <w:link w:val="Header"/>
    <w:uiPriority w:val="99"/>
    <w:rsid w:val="0044020F"/>
    <w:rPr>
      <w:rFonts w:ascii="Times New Roman" w:eastAsia="SimSun" w:hAnsi="Times New Roman" w:cs="Times New Roman"/>
      <w:sz w:val="20"/>
      <w:szCs w:val="24"/>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D0CBF"/>
    <w:pPr>
      <w:keepNext/>
      <w:spacing w:before="80" w:after="12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D0CB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D0CB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F35DE7"/>
    <w:pPr>
      <w:numPr>
        <w:numId w:val="2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8D0CB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8D0CBF"/>
    <w:pPr>
      <w:spacing w:after="0"/>
      <w:contextualSpacing/>
    </w:pPr>
    <w:rPr>
      <w:sz w:val="16"/>
      <w:szCs w:val="20"/>
    </w:rPr>
  </w:style>
  <w:style w:type="character" w:customStyle="1" w:styleId="FootnoteTextChar">
    <w:name w:val="Footnote Text Char"/>
    <w:basedOn w:val="DefaultParagraphFont"/>
    <w:link w:val="FootnoteText"/>
    <w:uiPriority w:val="99"/>
    <w:rsid w:val="008D0CBF"/>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825F88"/>
    <w:pPr>
      <w:spacing w:before="180" w:line="280" w:lineRule="atLeast"/>
    </w:pPr>
    <w:rPr>
      <w:rFonts w:ascii="Arial" w:eastAsia="Times New Roman" w:hAnsi="Arial"/>
      <w:sz w:val="22"/>
      <w:szCs w:val="20"/>
      <w:lang w:eastAsia="en-US"/>
    </w:rPr>
  </w:style>
  <w:style w:type="paragraph" w:styleId="NormalWeb">
    <w:name w:val="Normal (Web)"/>
    <w:basedOn w:val="Normal"/>
    <w:uiPriority w:val="99"/>
    <w:unhideWhenUsed/>
    <w:rsid w:val="008C2CA9"/>
    <w:pPr>
      <w:spacing w:before="100" w:beforeAutospacing="1" w:after="100" w:afterAutospacing="1"/>
    </w:pPr>
    <w:rPr>
      <w:rFonts w:eastAsia="Times New Roman"/>
      <w:sz w:val="24"/>
    </w:rPr>
  </w:style>
  <w:style w:type="paragraph" w:customStyle="1" w:styleId="CharChar2">
    <w:name w:val="Char Char2"/>
    <w:basedOn w:val="Normal"/>
    <w:semiHidden/>
    <w:rsid w:val="002E7E0F"/>
    <w:pPr>
      <w:spacing w:before="180" w:line="280" w:lineRule="atLeast"/>
    </w:pPr>
    <w:rPr>
      <w:rFonts w:ascii="Arial" w:eastAsia="Times New Roman" w:hAnsi="Arial"/>
      <w:sz w:val="22"/>
      <w:szCs w:val="20"/>
      <w:lang w:eastAsia="en-US"/>
    </w:rPr>
  </w:style>
  <w:style w:type="paragraph" w:customStyle="1" w:styleId="Default">
    <w:name w:val="Default"/>
    <w:rsid w:val="00D425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nes">
    <w:name w:val="lines"/>
    <w:basedOn w:val="Normal"/>
    <w:rsid w:val="00C244F1"/>
    <w:rPr>
      <w:rFonts w:ascii="Arial" w:eastAsia="Times New Roman" w:hAnsi="Arial"/>
      <w:sz w:val="16"/>
      <w:lang w:eastAsia="en-US"/>
    </w:rPr>
  </w:style>
  <w:style w:type="paragraph" w:customStyle="1" w:styleId="CharChar1">
    <w:name w:val="Char Char1"/>
    <w:basedOn w:val="Normal"/>
    <w:semiHidden/>
    <w:rsid w:val="008B3ED8"/>
    <w:pPr>
      <w:spacing w:before="180" w:line="280" w:lineRule="atLeast"/>
    </w:pPr>
    <w:rPr>
      <w:rFonts w:ascii="Arial" w:eastAsia="Times New Roman" w:hAnsi="Arial"/>
      <w:sz w:val="22"/>
      <w:szCs w:val="20"/>
      <w:lang w:eastAsia="en-US"/>
    </w:rPr>
  </w:style>
  <w:style w:type="paragraph" w:customStyle="1" w:styleId="CharChar0">
    <w:name w:val="Char Char"/>
    <w:basedOn w:val="Normal"/>
    <w:semiHidden/>
    <w:rsid w:val="006F33CC"/>
    <w:pPr>
      <w:spacing w:before="180" w:line="280" w:lineRule="atLeast"/>
    </w:pPr>
    <w:rPr>
      <w:rFonts w:ascii="Arial" w:eastAsia="Times New Roman" w:hAnsi="Arial"/>
      <w:sz w:val="22"/>
      <w:szCs w:val="20"/>
      <w:lang w:eastAsia="en-US"/>
    </w:rPr>
  </w:style>
  <w:style w:type="character" w:styleId="Strong">
    <w:name w:val="Strong"/>
    <w:basedOn w:val="DefaultParagraphFont"/>
    <w:uiPriority w:val="22"/>
    <w:qFormat/>
    <w:rsid w:val="00F626F2"/>
    <w:rPr>
      <w:b/>
      <w:bCs/>
    </w:rPr>
  </w:style>
  <w:style w:type="character" w:customStyle="1" w:styleId="caps1">
    <w:name w:val="caps1"/>
    <w:basedOn w:val="DefaultParagraphFont"/>
    <w:rsid w:val="00151ECA"/>
    <w:rPr>
      <w:sz w:val="22"/>
      <w:szCs w:val="22"/>
    </w:rPr>
  </w:style>
  <w:style w:type="paragraph" w:customStyle="1" w:styleId="Bullet">
    <w:name w:val="Bullet"/>
    <w:aliases w:val="b,b + line"/>
    <w:basedOn w:val="Normal"/>
    <w:link w:val="BulletChar"/>
    <w:rsid w:val="007D40B4"/>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rsid w:val="007D40B4"/>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rsid w:val="007D40B4"/>
    <w:pPr>
      <w:tabs>
        <w:tab w:val="num" w:pos="1560"/>
      </w:tabs>
      <w:spacing w:after="240" w:line="320" w:lineRule="exact"/>
      <w:ind w:left="156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7D40B4"/>
    <w:rPr>
      <w:rFonts w:ascii="Palatino" w:eastAsia="Times New Roman" w:hAnsi="Palatino" w:cs="Times New Roman"/>
      <w:color w:val="000000"/>
    </w:rPr>
  </w:style>
  <w:style w:type="table" w:customStyle="1" w:styleId="Tablewithnoheader">
    <w:name w:val="Table with no header"/>
    <w:basedOn w:val="TableNormal"/>
    <w:rsid w:val="00DB4E92"/>
    <w:pPr>
      <w:spacing w:after="0" w:line="240" w:lineRule="auto"/>
    </w:pPr>
    <w:rPr>
      <w:rFonts w:ascii="Arial" w:eastAsia="Times New Roman" w:hAnsi="Arial" w:cs="Times New Roman"/>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character" w:styleId="BookTitle">
    <w:name w:val="Book Title"/>
    <w:basedOn w:val="DefaultParagraphFont"/>
    <w:uiPriority w:val="33"/>
    <w:qFormat/>
    <w:rsid w:val="0043746F"/>
    <w:rPr>
      <w:b/>
      <w:bCs/>
      <w:smallCaps/>
      <w:spacing w:val="5"/>
    </w:rPr>
  </w:style>
  <w:style w:type="character" w:customStyle="1" w:styleId="st">
    <w:name w:val="st"/>
    <w:basedOn w:val="DefaultParagraphFont"/>
    <w:rsid w:val="00D67B4C"/>
  </w:style>
  <w:style w:type="character" w:styleId="Emphasis">
    <w:name w:val="Emphasis"/>
    <w:basedOn w:val="DefaultParagraphFont"/>
    <w:uiPriority w:val="20"/>
    <w:qFormat/>
    <w:rsid w:val="004F2C9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BF"/>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44020F"/>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44020F"/>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E231A2"/>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0D4D2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D4D2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44020F"/>
    <w:pPr>
      <w:tabs>
        <w:tab w:val="center" w:pos="4513"/>
        <w:tab w:val="right" w:pos="9026"/>
      </w:tabs>
    </w:pPr>
  </w:style>
  <w:style w:type="character" w:customStyle="1" w:styleId="HeaderChar">
    <w:name w:val="Header Char"/>
    <w:basedOn w:val="DefaultParagraphFont"/>
    <w:link w:val="Header"/>
    <w:uiPriority w:val="99"/>
    <w:rsid w:val="0044020F"/>
    <w:rPr>
      <w:rFonts w:ascii="Times New Roman" w:eastAsia="SimSun" w:hAnsi="Times New Roman" w:cs="Times New Roman"/>
      <w:sz w:val="20"/>
      <w:szCs w:val="24"/>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8D0CBF"/>
    <w:pPr>
      <w:keepNext/>
      <w:spacing w:before="80" w:after="12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8D0CB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8D0CB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F35DE7"/>
    <w:pPr>
      <w:numPr>
        <w:numId w:val="29"/>
      </w:numPr>
      <w:ind w:left="357" w:hanging="357"/>
    </w:pPr>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8D0CB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8D0CBF"/>
    <w:pPr>
      <w:spacing w:after="0"/>
      <w:contextualSpacing/>
    </w:pPr>
    <w:rPr>
      <w:sz w:val="16"/>
      <w:szCs w:val="20"/>
    </w:rPr>
  </w:style>
  <w:style w:type="character" w:customStyle="1" w:styleId="FootnoteTextChar">
    <w:name w:val="Footnote Text Char"/>
    <w:basedOn w:val="DefaultParagraphFont"/>
    <w:link w:val="FootnoteText"/>
    <w:uiPriority w:val="99"/>
    <w:rsid w:val="008D0CBF"/>
    <w:rPr>
      <w:rFonts w:ascii="Times New Roman" w:eastAsia="Times New Roman" w:hAnsi="Times New Roman" w:cs="Times New Roman"/>
      <w:sz w:val="16"/>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CharChar">
    <w:name w:val="Char Char"/>
    <w:basedOn w:val="Normal"/>
    <w:semiHidden/>
    <w:rsid w:val="00825F88"/>
    <w:pPr>
      <w:spacing w:before="180" w:line="280" w:lineRule="atLeast"/>
    </w:pPr>
    <w:rPr>
      <w:rFonts w:ascii="Arial" w:eastAsia="Times New Roman" w:hAnsi="Arial"/>
      <w:sz w:val="22"/>
      <w:szCs w:val="20"/>
      <w:lang w:eastAsia="en-US"/>
    </w:rPr>
  </w:style>
  <w:style w:type="paragraph" w:styleId="NormalWeb">
    <w:name w:val="Normal (Web)"/>
    <w:basedOn w:val="Normal"/>
    <w:uiPriority w:val="99"/>
    <w:unhideWhenUsed/>
    <w:rsid w:val="008C2CA9"/>
    <w:pPr>
      <w:spacing w:before="100" w:beforeAutospacing="1" w:after="100" w:afterAutospacing="1"/>
    </w:pPr>
    <w:rPr>
      <w:rFonts w:eastAsia="Times New Roman"/>
      <w:sz w:val="24"/>
    </w:rPr>
  </w:style>
  <w:style w:type="paragraph" w:customStyle="1" w:styleId="CharChar2">
    <w:name w:val="Char Char2"/>
    <w:basedOn w:val="Normal"/>
    <w:semiHidden/>
    <w:rsid w:val="002E7E0F"/>
    <w:pPr>
      <w:spacing w:before="180" w:line="280" w:lineRule="atLeast"/>
    </w:pPr>
    <w:rPr>
      <w:rFonts w:ascii="Arial" w:eastAsia="Times New Roman" w:hAnsi="Arial"/>
      <w:sz w:val="22"/>
      <w:szCs w:val="20"/>
      <w:lang w:eastAsia="en-US"/>
    </w:rPr>
  </w:style>
  <w:style w:type="paragraph" w:customStyle="1" w:styleId="Default">
    <w:name w:val="Default"/>
    <w:rsid w:val="00D425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nes">
    <w:name w:val="lines"/>
    <w:basedOn w:val="Normal"/>
    <w:rsid w:val="00C244F1"/>
    <w:rPr>
      <w:rFonts w:ascii="Arial" w:eastAsia="Times New Roman" w:hAnsi="Arial"/>
      <w:sz w:val="16"/>
      <w:lang w:eastAsia="en-US"/>
    </w:rPr>
  </w:style>
  <w:style w:type="paragraph" w:customStyle="1" w:styleId="CharChar1">
    <w:name w:val="Char Char1"/>
    <w:basedOn w:val="Normal"/>
    <w:semiHidden/>
    <w:rsid w:val="008B3ED8"/>
    <w:pPr>
      <w:spacing w:before="180" w:line="280" w:lineRule="atLeast"/>
    </w:pPr>
    <w:rPr>
      <w:rFonts w:ascii="Arial" w:eastAsia="Times New Roman" w:hAnsi="Arial"/>
      <w:sz w:val="22"/>
      <w:szCs w:val="20"/>
      <w:lang w:eastAsia="en-US"/>
    </w:rPr>
  </w:style>
  <w:style w:type="paragraph" w:customStyle="1" w:styleId="CharChar0">
    <w:name w:val="Char Char"/>
    <w:basedOn w:val="Normal"/>
    <w:semiHidden/>
    <w:rsid w:val="006F33CC"/>
    <w:pPr>
      <w:spacing w:before="180" w:line="280" w:lineRule="atLeast"/>
    </w:pPr>
    <w:rPr>
      <w:rFonts w:ascii="Arial" w:eastAsia="Times New Roman" w:hAnsi="Arial"/>
      <w:sz w:val="22"/>
      <w:szCs w:val="20"/>
      <w:lang w:eastAsia="en-US"/>
    </w:rPr>
  </w:style>
  <w:style w:type="character" w:styleId="Strong">
    <w:name w:val="Strong"/>
    <w:basedOn w:val="DefaultParagraphFont"/>
    <w:uiPriority w:val="22"/>
    <w:qFormat/>
    <w:rsid w:val="00F626F2"/>
    <w:rPr>
      <w:b/>
      <w:bCs/>
    </w:rPr>
  </w:style>
  <w:style w:type="character" w:customStyle="1" w:styleId="caps1">
    <w:name w:val="caps1"/>
    <w:basedOn w:val="DefaultParagraphFont"/>
    <w:rsid w:val="00151ECA"/>
    <w:rPr>
      <w:sz w:val="22"/>
      <w:szCs w:val="22"/>
    </w:rPr>
  </w:style>
  <w:style w:type="paragraph" w:customStyle="1" w:styleId="Bullet">
    <w:name w:val="Bullet"/>
    <w:aliases w:val="b,b + line"/>
    <w:basedOn w:val="Normal"/>
    <w:link w:val="BulletChar"/>
    <w:rsid w:val="007D40B4"/>
    <w:pPr>
      <w:tabs>
        <w:tab w:val="num" w:pos="520"/>
      </w:tabs>
      <w:spacing w:after="240" w:line="320" w:lineRule="exact"/>
      <w:ind w:left="520" w:hanging="520"/>
    </w:pPr>
    <w:rPr>
      <w:rFonts w:ascii="Palatino" w:eastAsia="Times New Roman" w:hAnsi="Palatino"/>
      <w:color w:val="000000"/>
      <w:sz w:val="22"/>
      <w:szCs w:val="22"/>
    </w:rPr>
  </w:style>
  <w:style w:type="paragraph" w:customStyle="1" w:styleId="Dash">
    <w:name w:val="Dash"/>
    <w:basedOn w:val="Normal"/>
    <w:rsid w:val="007D40B4"/>
    <w:pPr>
      <w:tabs>
        <w:tab w:val="num" w:pos="1040"/>
      </w:tabs>
      <w:spacing w:after="240" w:line="320" w:lineRule="exact"/>
      <w:ind w:left="1040" w:hanging="520"/>
    </w:pPr>
    <w:rPr>
      <w:rFonts w:ascii="Palatino" w:eastAsia="Times New Roman" w:hAnsi="Palatino"/>
      <w:color w:val="000000"/>
      <w:sz w:val="22"/>
      <w:szCs w:val="22"/>
    </w:rPr>
  </w:style>
  <w:style w:type="paragraph" w:customStyle="1" w:styleId="DoubleDot">
    <w:name w:val="Double Dot"/>
    <w:basedOn w:val="Normal"/>
    <w:rsid w:val="007D40B4"/>
    <w:pPr>
      <w:tabs>
        <w:tab w:val="num" w:pos="1560"/>
      </w:tabs>
      <w:spacing w:after="240" w:line="320" w:lineRule="exact"/>
      <w:ind w:left="156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7D40B4"/>
    <w:rPr>
      <w:rFonts w:ascii="Palatino" w:eastAsia="Times New Roman" w:hAnsi="Palatino" w:cs="Times New Roman"/>
      <w:color w:val="000000"/>
    </w:rPr>
  </w:style>
  <w:style w:type="table" w:customStyle="1" w:styleId="Tablewithnoheader">
    <w:name w:val="Table with no header"/>
    <w:basedOn w:val="TableNormal"/>
    <w:rsid w:val="00DB4E92"/>
    <w:pPr>
      <w:spacing w:after="0" w:line="240" w:lineRule="auto"/>
    </w:pPr>
    <w:rPr>
      <w:rFonts w:ascii="Arial" w:eastAsia="Times New Roman" w:hAnsi="Arial" w:cs="Times New Roman"/>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character" w:styleId="BookTitle">
    <w:name w:val="Book Title"/>
    <w:basedOn w:val="DefaultParagraphFont"/>
    <w:uiPriority w:val="33"/>
    <w:qFormat/>
    <w:rsid w:val="0043746F"/>
    <w:rPr>
      <w:b/>
      <w:bCs/>
      <w:smallCaps/>
      <w:spacing w:val="5"/>
    </w:rPr>
  </w:style>
  <w:style w:type="character" w:customStyle="1" w:styleId="st">
    <w:name w:val="st"/>
    <w:basedOn w:val="DefaultParagraphFont"/>
    <w:rsid w:val="00D67B4C"/>
  </w:style>
  <w:style w:type="character" w:styleId="Emphasis">
    <w:name w:val="Emphasis"/>
    <w:basedOn w:val="DefaultParagraphFont"/>
    <w:uiPriority w:val="20"/>
    <w:qFormat/>
    <w:rsid w:val="004F2C9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7389">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91033821">
      <w:bodyDiv w:val="1"/>
      <w:marLeft w:val="0"/>
      <w:marRight w:val="0"/>
      <w:marTop w:val="0"/>
      <w:marBottom w:val="0"/>
      <w:divBdr>
        <w:top w:val="none" w:sz="0" w:space="0" w:color="auto"/>
        <w:left w:val="none" w:sz="0" w:space="0" w:color="auto"/>
        <w:bottom w:val="none" w:sz="0" w:space="0" w:color="auto"/>
        <w:right w:val="none" w:sz="0" w:space="0" w:color="auto"/>
      </w:divBdr>
      <w:divsChild>
        <w:div w:id="1133526459">
          <w:marLeft w:val="0"/>
          <w:marRight w:val="0"/>
          <w:marTop w:val="0"/>
          <w:marBottom w:val="0"/>
          <w:divBdr>
            <w:top w:val="none" w:sz="0" w:space="0" w:color="auto"/>
            <w:left w:val="none" w:sz="0" w:space="0" w:color="auto"/>
            <w:bottom w:val="none" w:sz="0" w:space="0" w:color="auto"/>
            <w:right w:val="none" w:sz="0" w:space="0" w:color="auto"/>
          </w:divBdr>
          <w:divsChild>
            <w:div w:id="58598174">
              <w:marLeft w:val="0"/>
              <w:marRight w:val="0"/>
              <w:marTop w:val="0"/>
              <w:marBottom w:val="0"/>
              <w:divBdr>
                <w:top w:val="single" w:sz="36" w:space="25" w:color="E0F4F4"/>
                <w:left w:val="none" w:sz="0" w:space="0" w:color="auto"/>
                <w:bottom w:val="none" w:sz="0" w:space="0" w:color="auto"/>
                <w:right w:val="none" w:sz="0" w:space="0" w:color="auto"/>
              </w:divBdr>
              <w:divsChild>
                <w:div w:id="171647912">
                  <w:marLeft w:val="0"/>
                  <w:marRight w:val="0"/>
                  <w:marTop w:val="0"/>
                  <w:marBottom w:val="0"/>
                  <w:divBdr>
                    <w:top w:val="none" w:sz="0" w:space="0" w:color="auto"/>
                    <w:left w:val="none" w:sz="0" w:space="0" w:color="auto"/>
                    <w:bottom w:val="none" w:sz="0" w:space="0" w:color="auto"/>
                    <w:right w:val="none" w:sz="0" w:space="0" w:color="auto"/>
                  </w:divBdr>
                  <w:divsChild>
                    <w:div w:id="167714018">
                      <w:marLeft w:val="0"/>
                      <w:marRight w:val="0"/>
                      <w:marTop w:val="0"/>
                      <w:marBottom w:val="0"/>
                      <w:divBdr>
                        <w:top w:val="none" w:sz="0" w:space="0" w:color="auto"/>
                        <w:left w:val="none" w:sz="0" w:space="0" w:color="auto"/>
                        <w:bottom w:val="none" w:sz="0" w:space="0" w:color="auto"/>
                        <w:right w:val="none" w:sz="0" w:space="0" w:color="auto"/>
                      </w:divBdr>
                      <w:divsChild>
                        <w:div w:id="620459840">
                          <w:marLeft w:val="0"/>
                          <w:marRight w:val="0"/>
                          <w:marTop w:val="0"/>
                          <w:marBottom w:val="0"/>
                          <w:divBdr>
                            <w:top w:val="none" w:sz="0" w:space="0" w:color="auto"/>
                            <w:left w:val="none" w:sz="0" w:space="0" w:color="auto"/>
                            <w:bottom w:val="none" w:sz="0" w:space="0" w:color="auto"/>
                            <w:right w:val="none" w:sz="0" w:space="0" w:color="auto"/>
                          </w:divBdr>
                          <w:divsChild>
                            <w:div w:id="761488572">
                              <w:marLeft w:val="0"/>
                              <w:marRight w:val="0"/>
                              <w:marTop w:val="0"/>
                              <w:marBottom w:val="0"/>
                              <w:divBdr>
                                <w:top w:val="none" w:sz="0" w:space="0" w:color="auto"/>
                                <w:left w:val="none" w:sz="0" w:space="0" w:color="auto"/>
                                <w:bottom w:val="none" w:sz="0" w:space="0" w:color="auto"/>
                                <w:right w:val="none" w:sz="0" w:space="0" w:color="auto"/>
                              </w:divBdr>
                              <w:divsChild>
                                <w:div w:id="1127772623">
                                  <w:marLeft w:val="0"/>
                                  <w:marRight w:val="0"/>
                                  <w:marTop w:val="0"/>
                                  <w:marBottom w:val="0"/>
                                  <w:divBdr>
                                    <w:top w:val="none" w:sz="0" w:space="0" w:color="auto"/>
                                    <w:left w:val="none" w:sz="0" w:space="0" w:color="auto"/>
                                    <w:bottom w:val="none" w:sz="0" w:space="0" w:color="auto"/>
                                    <w:right w:val="none" w:sz="0" w:space="0" w:color="auto"/>
                                  </w:divBdr>
                                  <w:divsChild>
                                    <w:div w:id="1240795862">
                                      <w:marLeft w:val="0"/>
                                      <w:marRight w:val="0"/>
                                      <w:marTop w:val="0"/>
                                      <w:marBottom w:val="0"/>
                                      <w:divBdr>
                                        <w:top w:val="none" w:sz="0" w:space="0" w:color="auto"/>
                                        <w:left w:val="none" w:sz="0" w:space="0" w:color="auto"/>
                                        <w:bottom w:val="none" w:sz="0" w:space="0" w:color="auto"/>
                                        <w:right w:val="none" w:sz="0" w:space="0" w:color="auto"/>
                                      </w:divBdr>
                                      <w:divsChild>
                                        <w:div w:id="490758566">
                                          <w:marLeft w:val="0"/>
                                          <w:marRight w:val="0"/>
                                          <w:marTop w:val="0"/>
                                          <w:marBottom w:val="0"/>
                                          <w:divBdr>
                                            <w:top w:val="none" w:sz="0" w:space="0" w:color="auto"/>
                                            <w:left w:val="none" w:sz="0" w:space="0" w:color="auto"/>
                                            <w:bottom w:val="none" w:sz="0" w:space="0" w:color="auto"/>
                                            <w:right w:val="none" w:sz="0" w:space="0" w:color="auto"/>
                                          </w:divBdr>
                                          <w:divsChild>
                                            <w:div w:id="2134250775">
                                              <w:marLeft w:val="0"/>
                                              <w:marRight w:val="0"/>
                                              <w:marTop w:val="0"/>
                                              <w:marBottom w:val="0"/>
                                              <w:divBdr>
                                                <w:top w:val="none" w:sz="0" w:space="0" w:color="auto"/>
                                                <w:left w:val="none" w:sz="0" w:space="0" w:color="auto"/>
                                                <w:bottom w:val="none" w:sz="0" w:space="0" w:color="auto"/>
                                                <w:right w:val="none" w:sz="0" w:space="0" w:color="auto"/>
                                              </w:divBdr>
                                              <w:divsChild>
                                                <w:div w:id="39523766">
                                                  <w:marLeft w:val="0"/>
                                                  <w:marRight w:val="0"/>
                                                  <w:marTop w:val="0"/>
                                                  <w:marBottom w:val="0"/>
                                                  <w:divBdr>
                                                    <w:top w:val="none" w:sz="0" w:space="0" w:color="auto"/>
                                                    <w:left w:val="none" w:sz="0" w:space="0" w:color="auto"/>
                                                    <w:bottom w:val="none" w:sz="0" w:space="0" w:color="auto"/>
                                                    <w:right w:val="none" w:sz="0" w:space="0" w:color="auto"/>
                                                  </w:divBdr>
                                                  <w:divsChild>
                                                    <w:div w:id="401296523">
                                                      <w:marLeft w:val="0"/>
                                                      <w:marRight w:val="0"/>
                                                      <w:marTop w:val="0"/>
                                                      <w:marBottom w:val="0"/>
                                                      <w:divBdr>
                                                        <w:top w:val="none" w:sz="0" w:space="0" w:color="auto"/>
                                                        <w:left w:val="none" w:sz="0" w:space="0" w:color="auto"/>
                                                        <w:bottom w:val="none" w:sz="0" w:space="0" w:color="auto"/>
                                                        <w:right w:val="none" w:sz="0" w:space="0" w:color="auto"/>
                                                      </w:divBdr>
                                                      <w:divsChild>
                                                        <w:div w:id="282620449">
                                                          <w:marLeft w:val="0"/>
                                                          <w:marRight w:val="0"/>
                                                          <w:marTop w:val="0"/>
                                                          <w:marBottom w:val="0"/>
                                                          <w:divBdr>
                                                            <w:top w:val="none" w:sz="0" w:space="0" w:color="auto"/>
                                                            <w:left w:val="none" w:sz="0" w:space="0" w:color="auto"/>
                                                            <w:bottom w:val="none" w:sz="0" w:space="0" w:color="auto"/>
                                                            <w:right w:val="none" w:sz="0" w:space="0" w:color="auto"/>
                                                          </w:divBdr>
                                                          <w:divsChild>
                                                            <w:div w:id="1850828798">
                                                              <w:marLeft w:val="0"/>
                                                              <w:marRight w:val="0"/>
                                                              <w:marTop w:val="0"/>
                                                              <w:marBottom w:val="0"/>
                                                              <w:divBdr>
                                                                <w:top w:val="none" w:sz="0" w:space="0" w:color="auto"/>
                                                                <w:left w:val="none" w:sz="0" w:space="0" w:color="auto"/>
                                                                <w:bottom w:val="none" w:sz="0" w:space="0" w:color="auto"/>
                                                                <w:right w:val="none" w:sz="0" w:space="0" w:color="auto"/>
                                                              </w:divBdr>
                                                              <w:divsChild>
                                                                <w:div w:id="342705560">
                                                                  <w:marLeft w:val="0"/>
                                                                  <w:marRight w:val="0"/>
                                                                  <w:marTop w:val="0"/>
                                                                  <w:marBottom w:val="0"/>
                                                                  <w:divBdr>
                                                                    <w:top w:val="none" w:sz="0" w:space="0" w:color="auto"/>
                                                                    <w:left w:val="none" w:sz="0" w:space="0" w:color="auto"/>
                                                                    <w:bottom w:val="none" w:sz="0" w:space="0" w:color="auto"/>
                                                                    <w:right w:val="none" w:sz="0" w:space="0" w:color="auto"/>
                                                                  </w:divBdr>
                                                                  <w:divsChild>
                                                                    <w:div w:id="1497377769">
                                                                      <w:marLeft w:val="0"/>
                                                                      <w:marRight w:val="0"/>
                                                                      <w:marTop w:val="0"/>
                                                                      <w:marBottom w:val="0"/>
                                                                      <w:divBdr>
                                                                        <w:top w:val="none" w:sz="0" w:space="0" w:color="auto"/>
                                                                        <w:left w:val="none" w:sz="0" w:space="0" w:color="auto"/>
                                                                        <w:bottom w:val="none" w:sz="0" w:space="0" w:color="auto"/>
                                                                        <w:right w:val="none" w:sz="0" w:space="0" w:color="auto"/>
                                                                      </w:divBdr>
                                                                      <w:divsChild>
                                                                        <w:div w:id="1993682392">
                                                                          <w:marLeft w:val="0"/>
                                                                          <w:marRight w:val="0"/>
                                                                          <w:marTop w:val="0"/>
                                                                          <w:marBottom w:val="0"/>
                                                                          <w:divBdr>
                                                                            <w:top w:val="none" w:sz="0" w:space="0" w:color="auto"/>
                                                                            <w:left w:val="none" w:sz="0" w:space="0" w:color="auto"/>
                                                                            <w:bottom w:val="none" w:sz="0" w:space="0" w:color="auto"/>
                                                                            <w:right w:val="none" w:sz="0" w:space="0" w:color="auto"/>
                                                                          </w:divBdr>
                                                                          <w:divsChild>
                                                                            <w:div w:id="1393849402">
                                                                              <w:marLeft w:val="0"/>
                                                                              <w:marRight w:val="0"/>
                                                                              <w:marTop w:val="0"/>
                                                                              <w:marBottom w:val="0"/>
                                                                              <w:divBdr>
                                                                                <w:top w:val="none" w:sz="0" w:space="0" w:color="auto"/>
                                                                                <w:left w:val="none" w:sz="0" w:space="0" w:color="auto"/>
                                                                                <w:bottom w:val="none" w:sz="0" w:space="0" w:color="auto"/>
                                                                                <w:right w:val="none" w:sz="0" w:space="0" w:color="auto"/>
                                                                              </w:divBdr>
                                                                              <w:divsChild>
                                                                                <w:div w:id="1396275324">
                                                                                  <w:marLeft w:val="0"/>
                                                                                  <w:marRight w:val="0"/>
                                                                                  <w:marTop w:val="0"/>
                                                                                  <w:marBottom w:val="0"/>
                                                                                  <w:divBdr>
                                                                                    <w:top w:val="none" w:sz="0" w:space="0" w:color="auto"/>
                                                                                    <w:left w:val="none" w:sz="0" w:space="0" w:color="auto"/>
                                                                                    <w:bottom w:val="dotted" w:sz="6" w:space="15" w:color="BBB1B1"/>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94973">
      <w:bodyDiv w:val="1"/>
      <w:marLeft w:val="0"/>
      <w:marRight w:val="0"/>
      <w:marTop w:val="0"/>
      <w:marBottom w:val="0"/>
      <w:divBdr>
        <w:top w:val="none" w:sz="0" w:space="0" w:color="auto"/>
        <w:left w:val="none" w:sz="0" w:space="0" w:color="auto"/>
        <w:bottom w:val="none" w:sz="0" w:space="0" w:color="auto"/>
        <w:right w:val="none" w:sz="0" w:space="0" w:color="auto"/>
      </w:divBdr>
    </w:div>
    <w:div w:id="1410230896">
      <w:bodyDiv w:val="1"/>
      <w:marLeft w:val="0"/>
      <w:marRight w:val="0"/>
      <w:marTop w:val="0"/>
      <w:marBottom w:val="0"/>
      <w:divBdr>
        <w:top w:val="none" w:sz="0" w:space="0" w:color="auto"/>
        <w:left w:val="none" w:sz="0" w:space="0" w:color="auto"/>
        <w:bottom w:val="none" w:sz="0" w:space="0" w:color="auto"/>
        <w:right w:val="none" w:sz="0" w:space="0" w:color="auto"/>
      </w:divBdr>
    </w:div>
    <w:div w:id="1446316042">
      <w:bodyDiv w:val="1"/>
      <w:marLeft w:val="0"/>
      <w:marRight w:val="0"/>
      <w:marTop w:val="0"/>
      <w:marBottom w:val="0"/>
      <w:divBdr>
        <w:top w:val="none" w:sz="0" w:space="0" w:color="auto"/>
        <w:left w:val="none" w:sz="0" w:space="0" w:color="auto"/>
        <w:bottom w:val="none" w:sz="0" w:space="0" w:color="auto"/>
        <w:right w:val="none" w:sz="0" w:space="0" w:color="auto"/>
      </w:divBdr>
    </w:div>
    <w:div w:id="1539391538">
      <w:bodyDiv w:val="1"/>
      <w:marLeft w:val="0"/>
      <w:marRight w:val="0"/>
      <w:marTop w:val="0"/>
      <w:marBottom w:val="0"/>
      <w:divBdr>
        <w:top w:val="none" w:sz="0" w:space="0" w:color="auto"/>
        <w:left w:val="none" w:sz="0" w:space="0" w:color="auto"/>
        <w:bottom w:val="none" w:sz="0" w:space="0" w:color="auto"/>
        <w:right w:val="none" w:sz="0" w:space="0" w:color="auto"/>
      </w:divBdr>
    </w:div>
    <w:div w:id="1943493647">
      <w:bodyDiv w:val="1"/>
      <w:marLeft w:val="0"/>
      <w:marRight w:val="0"/>
      <w:marTop w:val="0"/>
      <w:marBottom w:val="0"/>
      <w:divBdr>
        <w:top w:val="none" w:sz="0" w:space="0" w:color="auto"/>
        <w:left w:val="none" w:sz="0" w:space="0" w:color="auto"/>
        <w:bottom w:val="none" w:sz="0" w:space="0" w:color="auto"/>
        <w:right w:val="none" w:sz="0" w:space="0" w:color="auto"/>
      </w:divBdr>
      <w:divsChild>
        <w:div w:id="724522313">
          <w:marLeft w:val="0"/>
          <w:marRight w:val="0"/>
          <w:marTop w:val="600"/>
          <w:marBottom w:val="900"/>
          <w:divBdr>
            <w:top w:val="none" w:sz="0" w:space="0" w:color="auto"/>
            <w:left w:val="none" w:sz="0" w:space="0" w:color="auto"/>
            <w:bottom w:val="none" w:sz="0" w:space="0" w:color="auto"/>
            <w:right w:val="none" w:sz="0" w:space="0" w:color="auto"/>
          </w:divBdr>
          <w:divsChild>
            <w:div w:id="1778594323">
              <w:marLeft w:val="0"/>
              <w:marRight w:val="0"/>
              <w:marTop w:val="0"/>
              <w:marBottom w:val="0"/>
              <w:divBdr>
                <w:top w:val="none" w:sz="0" w:space="0" w:color="auto"/>
                <w:left w:val="none" w:sz="0" w:space="0" w:color="auto"/>
                <w:bottom w:val="none" w:sz="0" w:space="0" w:color="auto"/>
                <w:right w:val="none" w:sz="0" w:space="0" w:color="auto"/>
              </w:divBdr>
              <w:divsChild>
                <w:div w:id="580913352">
                  <w:marLeft w:val="0"/>
                  <w:marRight w:val="0"/>
                  <w:marTop w:val="0"/>
                  <w:marBottom w:val="0"/>
                  <w:divBdr>
                    <w:top w:val="none" w:sz="0" w:space="0" w:color="auto"/>
                    <w:left w:val="none" w:sz="0" w:space="0" w:color="auto"/>
                    <w:bottom w:val="none" w:sz="0" w:space="0" w:color="auto"/>
                    <w:right w:val="none" w:sz="0" w:space="0" w:color="auto"/>
                  </w:divBdr>
                  <w:divsChild>
                    <w:div w:id="822815411">
                      <w:marLeft w:val="0"/>
                      <w:marRight w:val="0"/>
                      <w:marTop w:val="0"/>
                      <w:marBottom w:val="0"/>
                      <w:divBdr>
                        <w:top w:val="none" w:sz="0" w:space="0" w:color="auto"/>
                        <w:left w:val="none" w:sz="0" w:space="0" w:color="auto"/>
                        <w:bottom w:val="none" w:sz="0" w:space="0" w:color="auto"/>
                        <w:right w:val="none" w:sz="0" w:space="0" w:color="auto"/>
                      </w:divBdr>
                      <w:divsChild>
                        <w:div w:id="979114854">
                          <w:marLeft w:val="2625"/>
                          <w:marRight w:val="-13050"/>
                          <w:marTop w:val="0"/>
                          <w:marBottom w:val="0"/>
                          <w:divBdr>
                            <w:top w:val="none" w:sz="0" w:space="0" w:color="auto"/>
                            <w:left w:val="none" w:sz="0" w:space="0" w:color="auto"/>
                            <w:bottom w:val="none" w:sz="0" w:space="0" w:color="auto"/>
                            <w:right w:val="none" w:sz="0" w:space="0" w:color="auto"/>
                          </w:divBdr>
                          <w:divsChild>
                            <w:div w:id="268591806">
                              <w:marLeft w:val="0"/>
                              <w:marRight w:val="0"/>
                              <w:marTop w:val="0"/>
                              <w:marBottom w:val="0"/>
                              <w:divBdr>
                                <w:top w:val="none" w:sz="0" w:space="0" w:color="auto"/>
                                <w:left w:val="none" w:sz="0" w:space="0" w:color="auto"/>
                                <w:bottom w:val="none" w:sz="0" w:space="0" w:color="auto"/>
                                <w:right w:val="none" w:sz="0" w:space="0" w:color="auto"/>
                              </w:divBdr>
                              <w:divsChild>
                                <w:div w:id="1812021833">
                                  <w:marLeft w:val="0"/>
                                  <w:marRight w:val="0"/>
                                  <w:marTop w:val="0"/>
                                  <w:marBottom w:val="0"/>
                                  <w:divBdr>
                                    <w:top w:val="none" w:sz="0" w:space="0" w:color="auto"/>
                                    <w:left w:val="none" w:sz="0" w:space="0" w:color="auto"/>
                                    <w:bottom w:val="none" w:sz="0" w:space="0" w:color="auto"/>
                                    <w:right w:val="none" w:sz="0" w:space="0" w:color="auto"/>
                                  </w:divBdr>
                                  <w:divsChild>
                                    <w:div w:id="1069578725">
                                      <w:marLeft w:val="0"/>
                                      <w:marRight w:val="0"/>
                                      <w:marTop w:val="0"/>
                                      <w:marBottom w:val="0"/>
                                      <w:divBdr>
                                        <w:top w:val="none" w:sz="0" w:space="0" w:color="auto"/>
                                        <w:left w:val="none" w:sz="0" w:space="0" w:color="auto"/>
                                        <w:bottom w:val="none" w:sz="0" w:space="0" w:color="auto"/>
                                        <w:right w:val="none" w:sz="0" w:space="0" w:color="auto"/>
                                      </w:divBdr>
                                      <w:divsChild>
                                        <w:div w:id="1170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fts.unocha.org/reports/daily/ocha_R24_E16303___1307090204.pdf" TargetMode="External"/><Relationship Id="rId2" Type="http://schemas.openxmlformats.org/officeDocument/2006/relationships/hyperlink" Target="http://www.unocha.org/top-stories/all-stories/yemen-%E2%80%9Cdramatic-humanitarian-situation%E2%80%9D-could-erode-political-process-warns" TargetMode="External"/><Relationship Id="rId1" Type="http://schemas.openxmlformats.org/officeDocument/2006/relationships/hyperlink" Target="http://syria.unoch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380D4-6E6B-44BD-A015-C46EAB9D2FC1}"/>
</file>

<file path=customXml/itemProps2.xml><?xml version="1.0" encoding="utf-8"?>
<ds:datastoreItem xmlns:ds="http://schemas.openxmlformats.org/officeDocument/2006/customXml" ds:itemID="{3D4DF813-8EBA-4F39-86E5-F51A96BFFDB7}"/>
</file>

<file path=customXml/itemProps3.xml><?xml version="1.0" encoding="utf-8"?>
<ds:datastoreItem xmlns:ds="http://schemas.openxmlformats.org/officeDocument/2006/customXml" ds:itemID="{4544F32D-EC64-43BC-8891-B3986AC031FA}"/>
</file>

<file path=customXml/itemProps4.xml><?xml version="1.0" encoding="utf-8"?>
<ds:datastoreItem xmlns:ds="http://schemas.openxmlformats.org/officeDocument/2006/customXml" ds:itemID="{9464C2D3-9914-4D08-9DE5-B76FAFC7D2AD}"/>
</file>

<file path=docProps/app.xml><?xml version="1.0" encoding="utf-8"?>
<Properties xmlns="http://schemas.openxmlformats.org/officeDocument/2006/extended-properties" xmlns:vt="http://schemas.openxmlformats.org/officeDocument/2006/docPropsVTypes">
  <Template>Normal.dotm</Template>
  <TotalTime>0</TotalTime>
  <Pages>16</Pages>
  <Words>5622</Words>
  <Characters>37110</Characters>
  <Application>Microsoft Office Word</Application>
  <DocSecurity>0</DocSecurity>
  <Lines>1325</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2014-01-30T23:49:00Z</dcterms:created>
  <dcterms:modified xsi:type="dcterms:W3CDTF">2014-01-30T23:49:00Z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315700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