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EB545" w14:textId="560A0B9C" w:rsidR="00931AF2" w:rsidRPr="00063E27" w:rsidRDefault="00202CF8" w:rsidP="00063E27">
      <w:pPr>
        <w:pStyle w:val="Heading1"/>
      </w:pPr>
      <w:r w:rsidRPr="00063E27">
        <w:t xml:space="preserve">Management Response to the </w:t>
      </w:r>
      <w:r w:rsidR="001D70A7" w:rsidRPr="00063E27">
        <w:t>Mid-Term Review of the Tautua: Human Development for All Program</w:t>
      </w:r>
      <w:r w:rsidR="00A03907" w:rsidRPr="00063E27">
        <w:t xml:space="preserve"> </w:t>
      </w:r>
    </w:p>
    <w:p w14:paraId="1650C3C1" w14:textId="0BDD524C" w:rsidR="000C45DF" w:rsidRDefault="004E4800">
      <w:r>
        <w:t xml:space="preserve">In 2025, </w:t>
      </w:r>
      <w:r w:rsidR="00261E17">
        <w:t xml:space="preserve">Australia’s Department of Foreign Affairs and Trade </w:t>
      </w:r>
      <w:r w:rsidR="009154A7">
        <w:t xml:space="preserve">(DFAT) </w:t>
      </w:r>
      <w:r w:rsidR="006C3561">
        <w:t>commissioned a</w:t>
      </w:r>
      <w:r w:rsidR="0058082B">
        <w:t xml:space="preserve"> Mid-Term Review</w:t>
      </w:r>
      <w:r w:rsidR="00E40B43">
        <w:t xml:space="preserve"> (MTR)</w:t>
      </w:r>
      <w:r w:rsidR="0058082B">
        <w:t xml:space="preserve"> of </w:t>
      </w:r>
      <w:r>
        <w:t xml:space="preserve">its the Tautua: Human Development for All </w:t>
      </w:r>
      <w:r w:rsidR="00823691">
        <w:t>partnership with the Government of Samoa</w:t>
      </w:r>
      <w:r w:rsidR="00897F35">
        <w:t xml:space="preserve"> (</w:t>
      </w:r>
      <w:proofErr w:type="spellStart"/>
      <w:r w:rsidR="00897F35">
        <w:t>GoS</w:t>
      </w:r>
      <w:proofErr w:type="spellEnd"/>
      <w:r w:rsidR="00897F35">
        <w:t>)</w:t>
      </w:r>
      <w:r w:rsidR="00823691">
        <w:t xml:space="preserve">. </w:t>
      </w:r>
      <w:r w:rsidR="00A95CBD">
        <w:t xml:space="preserve">Managed by Palladium </w:t>
      </w:r>
      <w:r w:rsidR="000C45DF">
        <w:t xml:space="preserve">International Pty Ltd, </w:t>
      </w:r>
      <w:r w:rsidR="00C72B8A">
        <w:t xml:space="preserve">Tautua </w:t>
      </w:r>
      <w:r w:rsidR="00897F35">
        <w:t>is an eight-year</w:t>
      </w:r>
      <w:r w:rsidR="00930892">
        <w:t xml:space="preserve"> (2021-2029)</w:t>
      </w:r>
      <w:r w:rsidR="00897F35">
        <w:t xml:space="preserve">, </w:t>
      </w:r>
      <w:r w:rsidR="004B1C39">
        <w:t xml:space="preserve">AUD 40 million program that supports the </w:t>
      </w:r>
      <w:proofErr w:type="spellStart"/>
      <w:r w:rsidR="004B1C39">
        <w:t>GoS’s</w:t>
      </w:r>
      <w:proofErr w:type="spellEnd"/>
      <w:r w:rsidR="004B1C39">
        <w:t xml:space="preserve"> pursuit of its human development priorities</w:t>
      </w:r>
      <w:r w:rsidR="00637543">
        <w:t xml:space="preserve"> </w:t>
      </w:r>
      <w:r w:rsidR="00923B2A">
        <w:t>through partnerships with Samoa’s Ministry of Health</w:t>
      </w:r>
      <w:r w:rsidR="00E4728A">
        <w:t xml:space="preserve"> (MoH)</w:t>
      </w:r>
      <w:r w:rsidR="00923B2A">
        <w:t>, Ministry of Education and Culture</w:t>
      </w:r>
      <w:r w:rsidR="00E4728A">
        <w:t xml:space="preserve"> (MEC)</w:t>
      </w:r>
      <w:r w:rsidR="00923B2A">
        <w:t>, Ministry of Family and Social Affairs</w:t>
      </w:r>
      <w:r w:rsidR="00E4728A">
        <w:t xml:space="preserve"> (MFSA)</w:t>
      </w:r>
      <w:r w:rsidR="00923B2A">
        <w:t xml:space="preserve"> – </w:t>
      </w:r>
      <w:r w:rsidR="009A4D09">
        <w:t>formerly known as the</w:t>
      </w:r>
      <w:r w:rsidR="00927088">
        <w:t xml:space="preserve"> Ministry of Community and Social Development, and Civil Society Organizations</w:t>
      </w:r>
      <w:r w:rsidR="00E40B43">
        <w:t xml:space="preserve"> (CSOs)</w:t>
      </w:r>
      <w:r w:rsidR="004B1C39">
        <w:t xml:space="preserve">. </w:t>
      </w:r>
    </w:p>
    <w:p w14:paraId="5EEBEF5C" w14:textId="6062A351" w:rsidR="00C72B8A" w:rsidRDefault="00A95CBD">
      <w:r>
        <w:t xml:space="preserve">The </w:t>
      </w:r>
      <w:r w:rsidR="000C45DF">
        <w:t>MTR</w:t>
      </w:r>
      <w:r w:rsidR="00245CCE">
        <w:t xml:space="preserve"> </w:t>
      </w:r>
      <w:r w:rsidR="004735B0">
        <w:t>presents findings on the performance and impact of the Tautua program</w:t>
      </w:r>
      <w:r w:rsidR="00EB2A21">
        <w:t xml:space="preserve"> from </w:t>
      </w:r>
      <w:r w:rsidR="00221790">
        <w:t>November 2021 to November 2025</w:t>
      </w:r>
      <w:r w:rsidR="00EB5CCB">
        <w:t xml:space="preserve">, </w:t>
      </w:r>
      <w:proofErr w:type="gramStart"/>
      <w:r w:rsidR="00EB5CCB">
        <w:t>in particular</w:t>
      </w:r>
      <w:proofErr w:type="gramEnd"/>
      <w:r w:rsidR="00EB5CCB">
        <w:t xml:space="preserve"> its progress toward achieving its end of program outcomes</w:t>
      </w:r>
      <w:r w:rsidR="00EE4CB4">
        <w:t xml:space="preserve"> (EOPOs)</w:t>
      </w:r>
      <w:r w:rsidR="00EB5CCB">
        <w:t xml:space="preserve"> </w:t>
      </w:r>
      <w:r w:rsidR="00495BDF">
        <w:t xml:space="preserve">in line with </w:t>
      </w:r>
      <w:proofErr w:type="spellStart"/>
      <w:r w:rsidR="00495BDF">
        <w:t>GoS</w:t>
      </w:r>
      <w:proofErr w:type="spellEnd"/>
      <w:r w:rsidR="00495BDF">
        <w:t xml:space="preserve"> priorities</w:t>
      </w:r>
      <w:r w:rsidR="004735B0">
        <w:t>,</w:t>
      </w:r>
      <w:r w:rsidR="001A44EE">
        <w:t xml:space="preserve"> the effectiveness and efficiency of the </w:t>
      </w:r>
      <w:r w:rsidR="00AF30DE">
        <w:t>‘facility’ modality</w:t>
      </w:r>
      <w:r w:rsidR="00E24D80">
        <w:t>.</w:t>
      </w:r>
      <w:r w:rsidR="000E7D3D">
        <w:t xml:space="preserve"> </w:t>
      </w:r>
    </w:p>
    <w:p w14:paraId="23721D61" w14:textId="6D8951AD" w:rsidR="00A27B20" w:rsidRPr="00F75413" w:rsidRDefault="00873167">
      <w:r>
        <w:t>The management response</w:t>
      </w:r>
      <w:r w:rsidR="00F507AE">
        <w:t xml:space="preserve"> outlines planned actions by DFAT and Tautua to address recommendations and findings </w:t>
      </w:r>
      <w:r w:rsidR="005222E9">
        <w:t>from</w:t>
      </w:r>
      <w:r w:rsidR="00F507AE">
        <w:t xml:space="preserve"> the MTR</w:t>
      </w:r>
      <w:r w:rsidR="00E24D80">
        <w:t xml:space="preserve"> for </w:t>
      </w:r>
      <w:r w:rsidR="005222E9">
        <w:t>strengthened</w:t>
      </w:r>
      <w:r w:rsidR="00E24D80">
        <w:t xml:space="preserve"> performance and impact in Phase 2.</w:t>
      </w:r>
    </w:p>
    <w:tbl>
      <w:tblPr>
        <w:tblStyle w:val="TableGrid"/>
        <w:tblW w:w="14580" w:type="dxa"/>
        <w:tblInd w:w="-545" w:type="dxa"/>
        <w:tblLook w:val="04A0" w:firstRow="1" w:lastRow="0" w:firstColumn="1" w:lastColumn="0" w:noHBand="0" w:noVBand="1"/>
      </w:tblPr>
      <w:tblGrid>
        <w:gridCol w:w="3545"/>
        <w:gridCol w:w="1555"/>
        <w:gridCol w:w="3091"/>
        <w:gridCol w:w="4100"/>
        <w:gridCol w:w="2289"/>
      </w:tblGrid>
      <w:tr w:rsidR="00273780" w:rsidRPr="00F321F5" w14:paraId="204C3388" w14:textId="5765D35F" w:rsidTr="00F321F5">
        <w:trPr>
          <w:tblHeader/>
        </w:trPr>
        <w:tc>
          <w:tcPr>
            <w:tcW w:w="3600" w:type="dxa"/>
            <w:shd w:val="clear" w:color="auto" w:fill="DAE9F7" w:themeFill="text2" w:themeFillTint="1A"/>
          </w:tcPr>
          <w:p w14:paraId="6A9AC690" w14:textId="19ABFAF8" w:rsidR="00273780" w:rsidRPr="00F321F5" w:rsidRDefault="00273780" w:rsidP="00D339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21F5">
              <w:rPr>
                <w:rFonts w:ascii="Arial" w:hAnsi="Arial" w:cs="Arial"/>
                <w:b/>
                <w:bCs/>
                <w:sz w:val="28"/>
                <w:szCs w:val="28"/>
              </w:rPr>
              <w:t>Review</w:t>
            </w:r>
            <w:r w:rsidR="00C9328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F321F5">
              <w:rPr>
                <w:rFonts w:ascii="Arial" w:hAnsi="Arial" w:cs="Arial"/>
                <w:b/>
                <w:bCs/>
                <w:sz w:val="28"/>
                <w:szCs w:val="28"/>
              </w:rPr>
              <w:t>Recommendations</w:t>
            </w:r>
          </w:p>
        </w:tc>
        <w:tc>
          <w:tcPr>
            <w:tcW w:w="1260" w:type="dxa"/>
            <w:shd w:val="clear" w:color="auto" w:fill="DAE9F7" w:themeFill="text2" w:themeFillTint="1A"/>
          </w:tcPr>
          <w:p w14:paraId="4EC08330" w14:textId="15E6A46F" w:rsidR="00273780" w:rsidRPr="00F321F5" w:rsidRDefault="00273780" w:rsidP="00D339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21F5">
              <w:rPr>
                <w:rFonts w:ascii="Arial" w:hAnsi="Arial" w:cs="Arial"/>
                <w:b/>
                <w:bCs/>
                <w:sz w:val="28"/>
                <w:szCs w:val="28"/>
              </w:rPr>
              <w:t>Response</w:t>
            </w:r>
          </w:p>
        </w:tc>
        <w:tc>
          <w:tcPr>
            <w:tcW w:w="3150" w:type="dxa"/>
            <w:shd w:val="clear" w:color="auto" w:fill="DAE9F7" w:themeFill="text2" w:themeFillTint="1A"/>
          </w:tcPr>
          <w:p w14:paraId="1DCBB744" w14:textId="52788194" w:rsidR="00273780" w:rsidRPr="00F321F5" w:rsidRDefault="006A11DC" w:rsidP="00D339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21F5">
              <w:rPr>
                <w:rFonts w:ascii="Arial" w:hAnsi="Arial" w:cs="Arial"/>
                <w:b/>
                <w:bCs/>
                <w:sz w:val="28"/>
                <w:szCs w:val="28"/>
              </w:rPr>
              <w:t>Explanation</w:t>
            </w:r>
          </w:p>
        </w:tc>
        <w:tc>
          <w:tcPr>
            <w:tcW w:w="4230" w:type="dxa"/>
            <w:shd w:val="clear" w:color="auto" w:fill="DAE9F7" w:themeFill="text2" w:themeFillTint="1A"/>
          </w:tcPr>
          <w:p w14:paraId="4A75B276" w14:textId="4065D5E6" w:rsidR="00273780" w:rsidRPr="00F321F5" w:rsidRDefault="00273780" w:rsidP="00D339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21F5">
              <w:rPr>
                <w:rFonts w:ascii="Arial" w:hAnsi="Arial" w:cs="Arial"/>
                <w:b/>
                <w:bCs/>
                <w:sz w:val="28"/>
                <w:szCs w:val="28"/>
              </w:rPr>
              <w:t>Action Plan</w:t>
            </w:r>
          </w:p>
        </w:tc>
        <w:tc>
          <w:tcPr>
            <w:tcW w:w="2340" w:type="dxa"/>
            <w:shd w:val="clear" w:color="auto" w:fill="DAE9F7" w:themeFill="text2" w:themeFillTint="1A"/>
          </w:tcPr>
          <w:p w14:paraId="786AB5EE" w14:textId="5E9D7B86" w:rsidR="00273780" w:rsidRPr="00F321F5" w:rsidRDefault="00273780" w:rsidP="00D3397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21F5">
              <w:rPr>
                <w:rFonts w:ascii="Arial" w:hAnsi="Arial" w:cs="Arial"/>
                <w:b/>
                <w:bCs/>
                <w:sz w:val="28"/>
                <w:szCs w:val="28"/>
              </w:rPr>
              <w:t>Indicative Timeline</w:t>
            </w:r>
          </w:p>
        </w:tc>
      </w:tr>
      <w:tr w:rsidR="00273780" w14:paraId="18F9C887" w14:textId="76EDF1A2" w:rsidTr="00F321F5">
        <w:tc>
          <w:tcPr>
            <w:tcW w:w="3600" w:type="dxa"/>
            <w:shd w:val="clear" w:color="auto" w:fill="D9D9D9" w:themeFill="background1" w:themeFillShade="D9"/>
          </w:tcPr>
          <w:p w14:paraId="03A184A3" w14:textId="77777777" w:rsidR="00273780" w:rsidRPr="0011411D" w:rsidRDefault="00273780" w:rsidP="0011411D">
            <w:pPr>
              <w:rPr>
                <w:color w:val="0E2841" w:themeColor="text2"/>
              </w:rPr>
            </w:pPr>
            <w:r w:rsidRPr="0011411D">
              <w:rPr>
                <w:color w:val="0E2841" w:themeColor="text2"/>
              </w:rPr>
              <w:t>Recommendation 1</w:t>
            </w:r>
          </w:p>
          <w:p w14:paraId="2661BA01" w14:textId="438FD283" w:rsidR="00273780" w:rsidRPr="000A6324" w:rsidRDefault="00273780" w:rsidP="00E41AA4">
            <w:pPr>
              <w:rPr>
                <w:i/>
                <w:iCs/>
                <w:color w:val="0E2841" w:themeColor="text2"/>
              </w:rPr>
            </w:pPr>
            <w:r w:rsidRPr="0011411D">
              <w:rPr>
                <w:i/>
                <w:iCs/>
                <w:color w:val="0E2841" w:themeColor="text2"/>
              </w:rPr>
              <w:t xml:space="preserve">Consider reframing the EOPOs to refer more directly to the </w:t>
            </w:r>
            <w:r w:rsidR="00100686">
              <w:rPr>
                <w:i/>
                <w:iCs/>
                <w:color w:val="0E2841" w:themeColor="text2"/>
              </w:rPr>
              <w:t>complex social issues (CSI)</w:t>
            </w:r>
            <w:r w:rsidRPr="0011411D">
              <w:rPr>
                <w:i/>
                <w:iCs/>
                <w:color w:val="0E2841" w:themeColor="text2"/>
              </w:rPr>
              <w:t xml:space="preserve"> and outcomes for intended beneficiaries.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0E298ACA" w14:textId="40D582DF" w:rsidR="00273780" w:rsidRDefault="004E5646" w:rsidP="00D33976">
            <w:r>
              <w:t>Partially 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E5E4525" w14:textId="2E9D8198" w:rsidR="00273780" w:rsidRDefault="002F2AD3" w:rsidP="00D33976">
            <w:r>
              <w:t xml:space="preserve">While Tautua was </w:t>
            </w:r>
            <w:r w:rsidR="006D4D4F">
              <w:t xml:space="preserve">found to be very relevant and effective in supporting Samoa’s human development needs, </w:t>
            </w:r>
            <w:r w:rsidR="003546B1">
              <w:t xml:space="preserve">the review also found that the </w:t>
            </w:r>
            <w:r w:rsidR="00C1609D">
              <w:t xml:space="preserve">EOPOs are not </w:t>
            </w:r>
            <w:proofErr w:type="gramStart"/>
            <w:r w:rsidR="00C1609D">
              <w:t>easily</w:t>
            </w:r>
            <w:r w:rsidR="00665AFD">
              <w:t>-</w:t>
            </w:r>
            <w:r w:rsidR="00C1609D">
              <w:t>assessed</w:t>
            </w:r>
            <w:proofErr w:type="gramEnd"/>
            <w:r w:rsidR="00C1609D">
              <w:t xml:space="preserve"> through measurable indicators</w:t>
            </w:r>
            <w:r w:rsidR="00084714">
              <w:t xml:space="preserve"> due to </w:t>
            </w:r>
            <w:r w:rsidR="00D955C3">
              <w:t xml:space="preserve">the </w:t>
            </w:r>
            <w:r w:rsidR="00084714">
              <w:t xml:space="preserve">perceived </w:t>
            </w:r>
            <w:r w:rsidR="000805FF">
              <w:t xml:space="preserve">high level and </w:t>
            </w:r>
            <w:proofErr w:type="spellStart"/>
            <w:r w:rsidR="000805FF">
              <w:t>generali</w:t>
            </w:r>
            <w:r w:rsidR="00500316">
              <w:t>s</w:t>
            </w:r>
            <w:r w:rsidR="000805FF">
              <w:t>ed</w:t>
            </w:r>
            <w:proofErr w:type="spellEnd"/>
            <w:r w:rsidR="00595385">
              <w:t xml:space="preserve"> way in which they are </w:t>
            </w:r>
            <w:r w:rsidR="00F12545">
              <w:t>framed</w:t>
            </w:r>
            <w:r w:rsidR="00595385">
              <w:t xml:space="preserve">. </w:t>
            </w:r>
            <w:r w:rsidR="00A30FBC">
              <w:t xml:space="preserve">This necessitates </w:t>
            </w:r>
            <w:r w:rsidR="00735CFA">
              <w:t xml:space="preserve">a review </w:t>
            </w:r>
            <w:r w:rsidR="0092238A">
              <w:t xml:space="preserve">to enhance clarity of what </w:t>
            </w:r>
            <w:r w:rsidR="0092238A">
              <w:lastRenderedPageBreak/>
              <w:t>EOPO is targeted to achieve</w:t>
            </w:r>
            <w:r w:rsidR="00A90B92">
              <w:t>.</w:t>
            </w:r>
            <w:r w:rsidR="00084714">
              <w:t xml:space="preserve"> 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ABE135D" w14:textId="3A6E96E3" w:rsidR="00273780" w:rsidRDefault="006D37A4" w:rsidP="00D33976">
            <w:r>
              <w:lastRenderedPageBreak/>
              <w:t xml:space="preserve">While </w:t>
            </w:r>
            <w:r w:rsidR="00500316">
              <w:t>we</w:t>
            </w:r>
            <w:r>
              <w:t xml:space="preserve"> </w:t>
            </w:r>
            <w:proofErr w:type="spellStart"/>
            <w:r>
              <w:t>recogni</w:t>
            </w:r>
            <w:r w:rsidR="00500316">
              <w:t>s</w:t>
            </w:r>
            <w:r>
              <w:t>e</w:t>
            </w:r>
            <w:proofErr w:type="spellEnd"/>
            <w:r>
              <w:t xml:space="preserve"> the need to review EOPOs, </w:t>
            </w:r>
            <w:r w:rsidR="004E696B">
              <w:t xml:space="preserve">the review </w:t>
            </w:r>
            <w:r w:rsidR="002937C3">
              <w:t>need not be as extensive as recommended.</w:t>
            </w:r>
            <w:r w:rsidR="000521EB">
              <w:t xml:space="preserve"> </w:t>
            </w:r>
            <w:r w:rsidR="002937C3">
              <w:t>EOPOs 1 and 2</w:t>
            </w:r>
            <w:r w:rsidR="000521EB">
              <w:t xml:space="preserve"> focus directly on </w:t>
            </w:r>
            <w:r w:rsidR="00973606">
              <w:t>the provision of services,</w:t>
            </w:r>
            <w:r w:rsidR="00666294">
              <w:t xml:space="preserve"> and the</w:t>
            </w:r>
            <w:r w:rsidR="00B90064">
              <w:t xml:space="preserve">se require clarity </w:t>
            </w:r>
            <w:r w:rsidR="001E2104">
              <w:t xml:space="preserve">through more specific </w:t>
            </w:r>
            <w:r w:rsidR="00915684">
              <w:t>framing</w:t>
            </w:r>
            <w:r w:rsidR="00417830">
              <w:t xml:space="preserve">. There is </w:t>
            </w:r>
            <w:r w:rsidR="00BE0EAB">
              <w:t xml:space="preserve">a perceived duplication in how EOPO1 and 2 are framed </w:t>
            </w:r>
            <w:r w:rsidR="00095895">
              <w:t xml:space="preserve">particularly with focus on inclusivity across the two outcomes. </w:t>
            </w:r>
            <w:r w:rsidR="00500316">
              <w:t>With</w:t>
            </w:r>
            <w:r w:rsidR="00033FC3">
              <w:t xml:space="preserve"> Tautua</w:t>
            </w:r>
            <w:r w:rsidR="00500316">
              <w:t>, we</w:t>
            </w:r>
            <w:r w:rsidR="00033FC3">
              <w:t xml:space="preserve"> will re</w:t>
            </w:r>
            <w:r w:rsidR="00477D1A">
              <w:t xml:space="preserve">fine these outcomes </w:t>
            </w:r>
            <w:r w:rsidR="00DD7227">
              <w:t xml:space="preserve">for better clarity and focus, </w:t>
            </w:r>
            <w:r w:rsidR="00CB4F81">
              <w:t xml:space="preserve">to support </w:t>
            </w:r>
            <w:r w:rsidR="00BA7BBC">
              <w:t xml:space="preserve">ease of reporting </w:t>
            </w:r>
            <w:r w:rsidR="00A55895">
              <w:t xml:space="preserve">through a clear line of sight from projects to </w:t>
            </w:r>
            <w:r w:rsidR="00A55895">
              <w:lastRenderedPageBreak/>
              <w:t>intermediate outcomes and EOPOs</w:t>
            </w:r>
            <w:r w:rsidR="008A7182">
              <w:t>.</w:t>
            </w:r>
            <w:r w:rsidR="00D66DD9">
              <w:t xml:space="preserve"> In comparison, a sharper focus on CSI outcomes as recommended </w:t>
            </w:r>
            <w:r w:rsidR="008104E6">
              <w:t xml:space="preserve">is not </w:t>
            </w:r>
            <w:r w:rsidR="003464B5">
              <w:t>possible</w:t>
            </w:r>
            <w:r w:rsidR="008104E6">
              <w:t xml:space="preserve"> for one program to achiev</w:t>
            </w:r>
            <w:r w:rsidR="00447A4E">
              <w:t>e</w:t>
            </w:r>
            <w:r w:rsidR="007576D5">
              <w:t xml:space="preserve"> and therefore requires time and </w:t>
            </w:r>
            <w:r w:rsidR="008F0F88">
              <w:t>stronger cross sector collaboratio</w:t>
            </w:r>
            <w:r w:rsidR="00BB1C29">
              <w:t>n than Tautua has the capacity to support.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15BCB37" w14:textId="11AE63C4" w:rsidR="00273780" w:rsidRDefault="007D385F" w:rsidP="00D33976">
            <w:r>
              <w:lastRenderedPageBreak/>
              <w:t>2026-2</w:t>
            </w:r>
            <w:r w:rsidR="00B95B08">
              <w:t>027</w:t>
            </w:r>
          </w:p>
        </w:tc>
      </w:tr>
      <w:tr w:rsidR="00273780" w14:paraId="20AA4009" w14:textId="1346C1D7" w:rsidTr="00F321F5">
        <w:tc>
          <w:tcPr>
            <w:tcW w:w="3600" w:type="dxa"/>
            <w:shd w:val="clear" w:color="auto" w:fill="D9D9D9" w:themeFill="background1" w:themeFillShade="D9"/>
          </w:tcPr>
          <w:p w14:paraId="69CB7267" w14:textId="77777777" w:rsidR="00273780" w:rsidRDefault="00273780" w:rsidP="00BF3124">
            <w:pPr>
              <w:pStyle w:val="Heading5"/>
            </w:pPr>
            <w:r>
              <w:lastRenderedPageBreak/>
              <w:t>Recommendation 2</w:t>
            </w:r>
          </w:p>
          <w:p w14:paraId="418EB28B" w14:textId="42A53CEA" w:rsidR="00273780" w:rsidRPr="000A6324" w:rsidRDefault="00273780" w:rsidP="00D33976">
            <w:pPr>
              <w:rPr>
                <w:i/>
                <w:iCs/>
                <w:lang w:eastAsia="en-AU"/>
              </w:rPr>
            </w:pPr>
            <w:r w:rsidRPr="00F15CA2">
              <w:rPr>
                <w:i/>
                <w:iCs/>
                <w:lang w:eastAsia="en-AU"/>
              </w:rPr>
              <w:t xml:space="preserve">Review and refine the </w:t>
            </w:r>
            <w:r w:rsidR="009154A7">
              <w:rPr>
                <w:i/>
                <w:iCs/>
                <w:lang w:eastAsia="en-AU"/>
              </w:rPr>
              <w:t>Intermediate Outcomes (IOs)</w:t>
            </w:r>
            <w:r w:rsidRPr="00F15CA2">
              <w:rPr>
                <w:i/>
                <w:iCs/>
                <w:lang w:eastAsia="en-AU"/>
              </w:rPr>
              <w:t xml:space="preserve"> to ensure consistency in focus and a clearer strategic pathway between Tautua’s outputs (activities) and EOPOs.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1A644D9F" w14:textId="0910B998" w:rsidR="00273780" w:rsidRDefault="00D25AC5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2AD44D8" w14:textId="3A4126A9" w:rsidR="00273780" w:rsidRDefault="003423C6" w:rsidP="00D33976">
            <w:r w:rsidRPr="00A4214B">
              <w:t xml:space="preserve">Tautua’s current program logic </w:t>
            </w:r>
            <w:r w:rsidR="00A4214B" w:rsidRPr="00A4214B">
              <w:t>out</w:t>
            </w:r>
            <w:r w:rsidR="00A4214B">
              <w:t xml:space="preserve">lines </w:t>
            </w:r>
            <w:r w:rsidR="00265E53">
              <w:t xml:space="preserve">the delivery of outputs through eight change pathways </w:t>
            </w:r>
            <w:r w:rsidR="00EE6CF1">
              <w:t xml:space="preserve">or </w:t>
            </w:r>
            <w:r w:rsidR="00970379">
              <w:t>IOs</w:t>
            </w:r>
            <w:r w:rsidR="009154A7">
              <w:t xml:space="preserve"> </w:t>
            </w:r>
            <w:r w:rsidR="0078234C">
              <w:t>and a growing number of interventions</w:t>
            </w:r>
            <w:r w:rsidR="00F4689F">
              <w:t xml:space="preserve"> to achieve three EOPOs.</w:t>
            </w:r>
            <w:r w:rsidR="0078234C">
              <w:t xml:space="preserve"> </w:t>
            </w:r>
            <w:r w:rsidR="00C27A82">
              <w:t>Th</w:t>
            </w:r>
            <w:r w:rsidR="00F4689F">
              <w:t>is framework is complex</w:t>
            </w:r>
            <w:r w:rsidR="002736F7">
              <w:t xml:space="preserve"> and lacks clarit</w:t>
            </w:r>
            <w:r w:rsidR="00F836C5">
              <w:t xml:space="preserve">y and a clear line of sight from outputs to IOs and EOPOs. </w:t>
            </w:r>
          </w:p>
          <w:p w14:paraId="795E86CD" w14:textId="53659F9D" w:rsidR="005A70C4" w:rsidRPr="00A4214B" w:rsidRDefault="008668E2" w:rsidP="00D33976">
            <w:r>
              <w:t>Streamlining IOs</w:t>
            </w:r>
            <w:r w:rsidR="00342844">
              <w:t xml:space="preserve"> to reflect short-medium term outcomes rather than factors that can support change</w:t>
            </w:r>
            <w:r w:rsidR="00480FD8">
              <w:t>,</w:t>
            </w:r>
            <w:r>
              <w:t xml:space="preserve"> will </w:t>
            </w:r>
            <w:r w:rsidR="003F3A16">
              <w:t xml:space="preserve">create </w:t>
            </w:r>
            <w:r w:rsidR="006118C5">
              <w:t>better</w:t>
            </w:r>
            <w:r w:rsidR="005A70C4">
              <w:t xml:space="preserve"> clarity </w:t>
            </w:r>
            <w:r w:rsidR="006118C5">
              <w:t>in the</w:t>
            </w:r>
            <w:r w:rsidR="005A70C4">
              <w:t xml:space="preserve"> relationship </w:t>
            </w:r>
            <w:r w:rsidR="00E65E49">
              <w:t xml:space="preserve">between </w:t>
            </w:r>
            <w:r w:rsidR="00F311D5">
              <w:t>outputs and outcomes</w:t>
            </w:r>
            <w:r w:rsidR="006118C5">
              <w:t xml:space="preserve">, </w:t>
            </w:r>
            <w:r w:rsidR="00866042">
              <w:t xml:space="preserve">supporting </w:t>
            </w:r>
            <w:r w:rsidR="00903E44">
              <w:t>better reporting against EOPOs</w:t>
            </w:r>
            <w:r w:rsidR="00422F4A">
              <w:t>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0F133304" w14:textId="752F3A6B" w:rsidR="00273780" w:rsidRDefault="00CB77F0" w:rsidP="00D33976">
            <w:r>
              <w:t>In conjunction with the review o</w:t>
            </w:r>
            <w:r w:rsidR="004D2036">
              <w:t xml:space="preserve">f EOPOs, </w:t>
            </w:r>
            <w:r w:rsidR="00500316">
              <w:t>we will</w:t>
            </w:r>
            <w:r w:rsidR="004D2036">
              <w:t xml:space="preserve"> review</w:t>
            </w:r>
            <w:r w:rsidR="00500316">
              <w:t xml:space="preserve"> and refine</w:t>
            </w:r>
            <w:r w:rsidR="004D2036">
              <w:t xml:space="preserve"> the current IOs to </w:t>
            </w:r>
            <w:r w:rsidR="008323E4">
              <w:t xml:space="preserve">provide greater clarity in </w:t>
            </w:r>
            <w:r w:rsidR="00395EE6">
              <w:t>program</w:t>
            </w:r>
            <w:r w:rsidR="00422F4A">
              <w:t>m</w:t>
            </w:r>
            <w:r w:rsidR="00395EE6">
              <w:t>ing</w:t>
            </w:r>
            <w:r w:rsidR="00A714C3">
              <w:t>,</w:t>
            </w:r>
            <w:r w:rsidR="00395EE6">
              <w:t xml:space="preserve"> and</w:t>
            </w:r>
            <w:r w:rsidR="008323E4">
              <w:t xml:space="preserve"> </w:t>
            </w:r>
            <w:r w:rsidR="00A714C3">
              <w:t xml:space="preserve">to </w:t>
            </w:r>
            <w:r w:rsidR="008323E4">
              <w:t xml:space="preserve">strengthen </w:t>
            </w:r>
            <w:r w:rsidR="0090485C">
              <w:t>the measurement of results for more aligned reporting.</w:t>
            </w:r>
          </w:p>
          <w:p w14:paraId="15029F69" w14:textId="2FE10FC3" w:rsidR="00DA76C3" w:rsidRDefault="009B1F30" w:rsidP="00D33976">
            <w:r>
              <w:t xml:space="preserve">Post </w:t>
            </w:r>
            <w:r w:rsidR="00415413">
              <w:t xml:space="preserve">will initiate this work, with advice from the </w:t>
            </w:r>
            <w:r w:rsidR="006C363F">
              <w:t>relevant division in Canberra</w:t>
            </w:r>
            <w:r w:rsidR="00A714C3">
              <w:t>,</w:t>
            </w:r>
            <w:r w:rsidR="006C363F">
              <w:t xml:space="preserve"> and support from Tautua</w:t>
            </w:r>
            <w:r w:rsidR="00A714C3">
              <w:t>,</w:t>
            </w:r>
            <w:r w:rsidR="006C363F">
              <w:t xml:space="preserve"> to</w:t>
            </w:r>
            <w:r w:rsidR="00806A65">
              <w:t xml:space="preserve"> </w:t>
            </w:r>
            <w:proofErr w:type="spellStart"/>
            <w:r w:rsidR="00806A65">
              <w:t>finali</w:t>
            </w:r>
            <w:r w:rsidR="00500316">
              <w:t>s</w:t>
            </w:r>
            <w:r w:rsidR="00806A65">
              <w:t>e</w:t>
            </w:r>
            <w:proofErr w:type="spellEnd"/>
            <w:r w:rsidR="00806A65">
              <w:t xml:space="preserve"> and obtain</w:t>
            </w:r>
            <w:r w:rsidR="00847BD4">
              <w:t xml:space="preserve"> approv</w:t>
            </w:r>
            <w:r w:rsidR="00806A65">
              <w:t>al</w:t>
            </w:r>
            <w:r w:rsidR="00847BD4">
              <w:t xml:space="preserve"> by the relevant DFAT delegate.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C871ADE" w14:textId="6A5A4FD5" w:rsidR="00273780" w:rsidRDefault="00073347" w:rsidP="00D33976">
            <w:r>
              <w:t>2026-27</w:t>
            </w:r>
          </w:p>
        </w:tc>
      </w:tr>
      <w:tr w:rsidR="00273780" w14:paraId="737C328E" w14:textId="17103FFD" w:rsidTr="00F321F5">
        <w:tc>
          <w:tcPr>
            <w:tcW w:w="3600" w:type="dxa"/>
            <w:shd w:val="clear" w:color="auto" w:fill="D9D9D9" w:themeFill="background1" w:themeFillShade="D9"/>
          </w:tcPr>
          <w:p w14:paraId="76DE5640" w14:textId="77777777" w:rsidR="00273780" w:rsidRDefault="00273780" w:rsidP="001D70A7">
            <w:pPr>
              <w:pStyle w:val="Heading5"/>
            </w:pPr>
            <w:r w:rsidRPr="001778F1">
              <w:lastRenderedPageBreak/>
              <w:t xml:space="preserve">Recommendation </w:t>
            </w:r>
            <w:r>
              <w:t xml:space="preserve">3 </w:t>
            </w:r>
            <w:r>
              <w:tab/>
            </w:r>
          </w:p>
          <w:p w14:paraId="3E675849" w14:textId="60329D0C" w:rsidR="00273780" w:rsidRPr="006A11DC" w:rsidRDefault="00273780" w:rsidP="006A11DC">
            <w:pPr>
              <w:rPr>
                <w:i/>
                <w:iCs/>
                <w:lang w:eastAsia="en-AU"/>
              </w:rPr>
            </w:pPr>
            <w:r w:rsidRPr="00C32D81">
              <w:rPr>
                <w:i/>
                <w:iCs/>
                <w:lang w:eastAsia="en-AU"/>
              </w:rPr>
              <w:t xml:space="preserve">Consider opportunities for Post to be more engaged, where it has the capacity, in discussions with implementing agencies (IAs) and partners to shape and influence </w:t>
            </w:r>
            <w:r w:rsidR="004E5646" w:rsidRPr="00C32D81">
              <w:rPr>
                <w:i/>
                <w:iCs/>
                <w:lang w:eastAsia="en-AU"/>
              </w:rPr>
              <w:t>strategic</w:t>
            </w:r>
            <w:r w:rsidRPr="00C32D81">
              <w:rPr>
                <w:i/>
                <w:iCs/>
                <w:lang w:eastAsia="en-AU"/>
              </w:rPr>
              <w:t xml:space="preserve"> programming broadly and at the level of individual activities</w:t>
            </w:r>
            <w:r>
              <w:rPr>
                <w:i/>
                <w:iCs/>
                <w:lang w:eastAsia="en-AU"/>
              </w:rPr>
              <w:t>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1DB2B925" w14:textId="737F00A6" w:rsidR="00273780" w:rsidRDefault="00073347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4435CCD" w14:textId="570344DB" w:rsidR="00273780" w:rsidRDefault="0015373A" w:rsidP="00D33976">
            <w:r>
              <w:t xml:space="preserve">To strengthen the strategic approach to Phase 2, it is crucial that </w:t>
            </w:r>
            <w:r w:rsidR="00862615">
              <w:t xml:space="preserve">DFAT staff </w:t>
            </w:r>
            <w:r w:rsidR="0011655D">
              <w:t xml:space="preserve">support the Tautua team during </w:t>
            </w:r>
            <w:r w:rsidR="003B4F53">
              <w:t xml:space="preserve">engagements with </w:t>
            </w:r>
            <w:r w:rsidR="00EE5D1F">
              <w:t>implementing partners.</w:t>
            </w:r>
            <w:r w:rsidR="004720EA">
              <w:t xml:space="preserve"> </w:t>
            </w:r>
            <w:r w:rsidR="008C1051">
              <w:t xml:space="preserve">Planning engagements are important to shape </w:t>
            </w:r>
            <w:r w:rsidR="00317BFB">
              <w:t>partners’</w:t>
            </w:r>
            <w:r w:rsidR="002D4D1E">
              <w:t xml:space="preserve"> thinking on </w:t>
            </w:r>
            <w:r w:rsidR="002D6B99">
              <w:t>the medium</w:t>
            </w:r>
            <w:r w:rsidR="00C27EBB">
              <w:t>-</w:t>
            </w:r>
            <w:r w:rsidR="002D6B99">
              <w:t xml:space="preserve">term objectives they want to </w:t>
            </w:r>
            <w:r w:rsidR="00620A70">
              <w:t xml:space="preserve">achieve that Tautua could support. DFAT is already engaged in some implementation activities, but </w:t>
            </w:r>
            <w:r w:rsidR="002257A4">
              <w:t xml:space="preserve">there could also be increased involvement in </w:t>
            </w:r>
            <w:r w:rsidR="008346E2">
              <w:t xml:space="preserve">monitoring visits. 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05E5C299" w14:textId="72238F69" w:rsidR="00273780" w:rsidRDefault="007731AB" w:rsidP="00D33976">
            <w:r>
              <w:t>Tautua will provide</w:t>
            </w:r>
            <w:r w:rsidR="00E13168">
              <w:t xml:space="preserve"> DFAT</w:t>
            </w:r>
            <w:r>
              <w:t xml:space="preserve"> </w:t>
            </w:r>
            <w:r w:rsidR="00751BF6">
              <w:t xml:space="preserve">with </w:t>
            </w:r>
            <w:r w:rsidR="004E5A1D">
              <w:t xml:space="preserve">a schedule of </w:t>
            </w:r>
            <w:r w:rsidR="00085C00">
              <w:t xml:space="preserve">planned engagements at the start of the calendar year </w:t>
            </w:r>
            <w:r w:rsidR="004E5A1D">
              <w:t>including planning</w:t>
            </w:r>
            <w:r w:rsidR="00E13168">
              <w:t>, implementation</w:t>
            </w:r>
            <w:r w:rsidR="004E5A1D">
              <w:t xml:space="preserve"> and monitoring visit</w:t>
            </w:r>
            <w:r w:rsidR="00751BF6">
              <w:t xml:space="preserve"> to be updated as need</w:t>
            </w:r>
            <w:r w:rsidR="003C63B1">
              <w:t>ed</w:t>
            </w:r>
            <w:r w:rsidR="00751BF6">
              <w:t>.</w:t>
            </w:r>
            <w:r w:rsidR="00F023B3">
              <w:t xml:space="preserve"> Post will identify the strategic engagements </w:t>
            </w:r>
            <w:r w:rsidR="00217895">
              <w:t>for participation</w:t>
            </w:r>
            <w:r w:rsidR="007D7002">
              <w:t xml:space="preserve"> by relevant staff</w:t>
            </w:r>
            <w:r w:rsidR="00217895">
              <w:t xml:space="preserve">, based on </w:t>
            </w:r>
            <w:r w:rsidR="00C13F4C">
              <w:t>capacity and availability.</w:t>
            </w:r>
          </w:p>
          <w:p w14:paraId="6C758500" w14:textId="128D54B3" w:rsidR="00A61F36" w:rsidRDefault="008D7E29" w:rsidP="00D33976">
            <w:r>
              <w:t xml:space="preserve">As part of efforts towards this recommendation, remaining </w:t>
            </w:r>
            <w:r w:rsidR="00B26AA7">
              <w:t>Annual Work</w:t>
            </w:r>
            <w:r>
              <w:t xml:space="preserve"> Plan</w:t>
            </w:r>
            <w:r w:rsidR="0067647D">
              <w:t>s</w:t>
            </w:r>
            <w:r>
              <w:t xml:space="preserve"> for Phase 2</w:t>
            </w:r>
            <w:r w:rsidR="0067647D">
              <w:t xml:space="preserve"> of the Tautua program</w:t>
            </w:r>
            <w:r>
              <w:t xml:space="preserve"> will be </w:t>
            </w:r>
            <w:r w:rsidR="0067647D">
              <w:t>presented to each of the main implementing</w:t>
            </w:r>
            <w:r w:rsidR="00453E8F">
              <w:t xml:space="preserve"> government agencies</w:t>
            </w:r>
            <w:r w:rsidR="00D62FFD">
              <w:t>’</w:t>
            </w:r>
            <w:r w:rsidR="00453E8F">
              <w:t xml:space="preserve"> executive management, </w:t>
            </w:r>
            <w:r w:rsidR="007B6A60">
              <w:t xml:space="preserve">enhancing visibility of the program’s </w:t>
            </w:r>
            <w:r w:rsidR="00140E92">
              <w:t>approach to meeting goals and priorities of the three sectors.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65738960" w14:textId="68B2897F" w:rsidR="00273780" w:rsidRDefault="00CF1F71" w:rsidP="00D33976">
            <w:r>
              <w:t>Ongoing</w:t>
            </w:r>
          </w:p>
        </w:tc>
      </w:tr>
      <w:tr w:rsidR="00273780" w14:paraId="6BE85A65" w14:textId="0F1AADDE" w:rsidTr="00F321F5">
        <w:tc>
          <w:tcPr>
            <w:tcW w:w="3600" w:type="dxa"/>
            <w:shd w:val="clear" w:color="auto" w:fill="D9D9D9" w:themeFill="background1" w:themeFillShade="D9"/>
          </w:tcPr>
          <w:p w14:paraId="566F22DD" w14:textId="77777777" w:rsidR="00273780" w:rsidRDefault="00273780" w:rsidP="00583927">
            <w:pPr>
              <w:pStyle w:val="Heading5"/>
            </w:pPr>
            <w:r>
              <w:t>Recommendation 4</w:t>
            </w:r>
          </w:p>
          <w:p w14:paraId="7EAC5E9A" w14:textId="2C813312" w:rsidR="00273780" w:rsidRPr="000543ED" w:rsidRDefault="00273780" w:rsidP="000543ED">
            <w:pPr>
              <w:rPr>
                <w:i/>
                <w:iCs/>
                <w:lang w:eastAsia="en-AU"/>
              </w:rPr>
            </w:pPr>
            <w:r w:rsidRPr="00A878E4">
              <w:rPr>
                <w:i/>
                <w:iCs/>
                <w:lang w:eastAsia="en-AU"/>
              </w:rPr>
              <w:t xml:space="preserve">Continue and strengthen communication about the distinctive role and focus of the Tautua and </w:t>
            </w:r>
            <w:proofErr w:type="spellStart"/>
            <w:r w:rsidRPr="00A878E4">
              <w:rPr>
                <w:i/>
                <w:iCs/>
                <w:lang w:eastAsia="en-AU"/>
              </w:rPr>
              <w:t>Tautai</w:t>
            </w:r>
            <w:proofErr w:type="spellEnd"/>
            <w:r w:rsidRPr="00A878E4">
              <w:rPr>
                <w:i/>
                <w:iCs/>
                <w:lang w:eastAsia="en-AU"/>
              </w:rPr>
              <w:t xml:space="preserve"> programs</w:t>
            </w:r>
            <w:r>
              <w:rPr>
                <w:i/>
                <w:iCs/>
                <w:lang w:eastAsia="en-AU"/>
              </w:rPr>
              <w:t>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35B6453D" w14:textId="526531E7" w:rsidR="00273780" w:rsidRDefault="002C3223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91E9F17" w14:textId="6977124D" w:rsidR="00273780" w:rsidRDefault="00E407C1" w:rsidP="00D33976">
            <w:r>
              <w:t>Increased communication</w:t>
            </w:r>
            <w:r w:rsidR="00E71B32">
              <w:t xml:space="preserve"> and public diplomacy for both Tautua and </w:t>
            </w:r>
            <w:proofErr w:type="spellStart"/>
            <w:r w:rsidR="00E71B32">
              <w:t>Tautai</w:t>
            </w:r>
            <w:proofErr w:type="spellEnd"/>
            <w:r w:rsidR="00E71B32">
              <w:t xml:space="preserve"> has increased visibility of the two programs as Australia’s flagship programs</w:t>
            </w:r>
            <w:r w:rsidR="00A40E81">
              <w:t xml:space="preserve"> with Samoa. However</w:t>
            </w:r>
            <w:r w:rsidR="000564E4">
              <w:t>, the role</w:t>
            </w:r>
            <w:r w:rsidR="006B0421">
              <w:t xml:space="preserve"> and mandate</w:t>
            </w:r>
            <w:r w:rsidR="000564E4">
              <w:t xml:space="preserve"> of each program </w:t>
            </w:r>
            <w:r w:rsidR="006B0421">
              <w:t>is sometimes</w:t>
            </w:r>
            <w:r w:rsidR="000564E4">
              <w:t xml:space="preserve"> unclear for stakeholders that do not have direct engagement with </w:t>
            </w:r>
            <w:r w:rsidR="003D5E2A">
              <w:t xml:space="preserve">either or </w:t>
            </w:r>
            <w:proofErr w:type="gramStart"/>
            <w:r w:rsidR="003D5E2A">
              <w:t>both</w:t>
            </w:r>
            <w:r w:rsidR="000564E4">
              <w:t xml:space="preserve"> of the program</w:t>
            </w:r>
            <w:r w:rsidR="00C84031">
              <w:t>s</w:t>
            </w:r>
            <w:proofErr w:type="gramEnd"/>
            <w:r w:rsidR="00116AA9">
              <w:t>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C8B026A" w14:textId="2DD5D3E1" w:rsidR="00273780" w:rsidRDefault="008E4BC0" w:rsidP="00D33976">
            <w:r>
              <w:t>Tautua will continue t</w:t>
            </w:r>
            <w:r w:rsidR="001D7F02">
              <w:t>o strengthen its communication about its role</w:t>
            </w:r>
            <w:r w:rsidR="009B12B9">
              <w:t xml:space="preserve"> with its main stakeholders – </w:t>
            </w:r>
            <w:r w:rsidR="00E40B43">
              <w:t>MoH, MEC, MFSA and CSOs</w:t>
            </w:r>
            <w:r w:rsidR="005C566D">
              <w:t>.</w:t>
            </w:r>
            <w:r w:rsidR="00BA6E3C">
              <w:t xml:space="preserve"> In actioning recommendation 3 in this management response, there is opportunity for both Post and Tautua to leverage some of these engagements to </w:t>
            </w:r>
            <w:r w:rsidR="002C3223">
              <w:t>deliver this message across different levels of government agencies.</w:t>
            </w:r>
            <w:r w:rsidR="00A305E3">
              <w:t xml:space="preserve">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D8CE8CE" w14:textId="6125063D" w:rsidR="00273780" w:rsidRDefault="005C566D" w:rsidP="00D33976">
            <w:r>
              <w:t>Ongoing</w:t>
            </w:r>
          </w:p>
        </w:tc>
      </w:tr>
      <w:tr w:rsidR="00273780" w14:paraId="5647599D" w14:textId="0CE15161" w:rsidTr="00F321F5">
        <w:tc>
          <w:tcPr>
            <w:tcW w:w="3600" w:type="dxa"/>
            <w:shd w:val="clear" w:color="auto" w:fill="D9D9D9" w:themeFill="background1" w:themeFillShade="D9"/>
          </w:tcPr>
          <w:p w14:paraId="2765AF1A" w14:textId="77777777" w:rsidR="00273780" w:rsidRDefault="00273780" w:rsidP="00583927">
            <w:pPr>
              <w:pStyle w:val="Heading5"/>
            </w:pPr>
            <w:r>
              <w:lastRenderedPageBreak/>
              <w:t>Recommendation 5</w:t>
            </w:r>
          </w:p>
          <w:p w14:paraId="4BE0D63E" w14:textId="685ADF73" w:rsidR="00273780" w:rsidRPr="0095047E" w:rsidRDefault="00273780" w:rsidP="00583927">
            <w:pPr>
              <w:rPr>
                <w:i/>
                <w:iCs/>
                <w:lang w:eastAsia="en-AU"/>
              </w:rPr>
            </w:pPr>
            <w:r w:rsidRPr="00A878E4">
              <w:rPr>
                <w:i/>
                <w:iCs/>
                <w:lang w:eastAsia="en-AU"/>
              </w:rPr>
              <w:t xml:space="preserve">Ensure that </w:t>
            </w:r>
            <w:proofErr w:type="spellStart"/>
            <w:r w:rsidRPr="00A878E4">
              <w:rPr>
                <w:i/>
                <w:iCs/>
                <w:lang w:eastAsia="en-AU"/>
              </w:rPr>
              <w:t>Tautai</w:t>
            </w:r>
            <w:proofErr w:type="spellEnd"/>
            <w:r w:rsidRPr="00A878E4">
              <w:rPr>
                <w:i/>
                <w:iCs/>
                <w:lang w:eastAsia="en-AU"/>
              </w:rPr>
              <w:t xml:space="preserve"> and Tautua support for specific activities clearly communicates and reinforces their distinctive mandates.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0B87E49D" w14:textId="0D15BC22" w:rsidR="00273780" w:rsidRDefault="00BC3D4F" w:rsidP="00D33976">
            <w:r>
              <w:t>Agree</w:t>
            </w:r>
            <w:r w:rsidR="002F3606">
              <w:t xml:space="preserve"> 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774BF32B" w14:textId="6580319A" w:rsidR="00CA1D8F" w:rsidRDefault="004F51CD" w:rsidP="00D33976">
            <w:r>
              <w:t xml:space="preserve">Though Tautua’s mandate is very clear at the strategic level, at the activity level there is a perceived overlap with </w:t>
            </w:r>
            <w:proofErr w:type="spellStart"/>
            <w:r>
              <w:t>Tautai</w:t>
            </w:r>
            <w:proofErr w:type="spellEnd"/>
            <w:r>
              <w:t>.</w:t>
            </w:r>
            <w:r w:rsidR="006E6C30">
              <w:t xml:space="preserve"> Examples of these include procurement training </w:t>
            </w:r>
            <w:r w:rsidR="00E31423">
              <w:t>supported for MoH (Tautua) and MoF (</w:t>
            </w:r>
            <w:proofErr w:type="spellStart"/>
            <w:r w:rsidR="00E31423">
              <w:t>Tautai</w:t>
            </w:r>
            <w:proofErr w:type="spellEnd"/>
            <w:r w:rsidR="00151148">
              <w:t>), national</w:t>
            </w:r>
            <w:r w:rsidR="00D84191">
              <w:t xml:space="preserve"> surveys through the Samoa Bureau of </w:t>
            </w:r>
            <w:r w:rsidR="00A45954">
              <w:t>Statistics</w:t>
            </w:r>
            <w:r w:rsidR="00D84191">
              <w:t xml:space="preserve"> and </w:t>
            </w:r>
            <w:r w:rsidR="00A45954">
              <w:t>support for the Ministry of Women, Community and Social Development.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775A1793" w14:textId="7AED9DF0" w:rsidR="006F52A5" w:rsidRDefault="007271E1" w:rsidP="0032148A">
            <w:r>
              <w:t>Alt</w:t>
            </w:r>
            <w:r w:rsidR="00151148">
              <w:t xml:space="preserve">hough </w:t>
            </w:r>
            <w:r w:rsidR="00F514FD">
              <w:t>a few activities appeared</w:t>
            </w:r>
            <w:r w:rsidR="00151148">
              <w:t xml:space="preserve"> to overlap, the focus of activities </w:t>
            </w:r>
            <w:r w:rsidR="00D66A33">
              <w:t xml:space="preserve">outlined in the report </w:t>
            </w:r>
            <w:r w:rsidR="00151148">
              <w:t xml:space="preserve">determined the alignment with </w:t>
            </w:r>
            <w:r w:rsidR="00143695">
              <w:t>the program</w:t>
            </w:r>
            <w:r w:rsidR="00151148">
              <w:t xml:space="preserve"> that ultimately provided that support. </w:t>
            </w:r>
            <w:r w:rsidR="00FC2FC0">
              <w:t>Nevertheless,</w:t>
            </w:r>
            <w:r w:rsidR="001439E5">
              <w:t xml:space="preserve"> the two programs</w:t>
            </w:r>
            <w:r w:rsidR="00FC2FC0">
              <w:t xml:space="preserve"> need</w:t>
            </w:r>
            <w:r w:rsidR="001439E5">
              <w:t xml:space="preserve"> to </w:t>
            </w:r>
            <w:r w:rsidR="007779F6">
              <w:t xml:space="preserve">continue to </w:t>
            </w:r>
            <w:r w:rsidR="00287D6F">
              <w:t>make efforts to</w:t>
            </w:r>
            <w:r w:rsidR="007779F6">
              <w:t xml:space="preserve"> deconflict potential support</w:t>
            </w:r>
            <w:r w:rsidR="00287D6F">
              <w:t>,</w:t>
            </w:r>
            <w:r w:rsidR="007779F6">
              <w:t xml:space="preserve"> in collaboration with Post</w:t>
            </w:r>
            <w:r w:rsidR="000E28F8">
              <w:t>, including via the regular T2 meeting of both facilities and Post</w:t>
            </w:r>
            <w:r w:rsidR="007779F6">
              <w:t>.</w:t>
            </w:r>
            <w:r w:rsidR="006F52A5">
              <w:t xml:space="preserve">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AFBA24C" w14:textId="7D021838" w:rsidR="00273780" w:rsidRDefault="00151148" w:rsidP="00D33976">
            <w:r>
              <w:t>Ongoing</w:t>
            </w:r>
          </w:p>
        </w:tc>
      </w:tr>
      <w:tr w:rsidR="00273780" w14:paraId="73D67CBB" w14:textId="4900801A" w:rsidTr="00F321F5">
        <w:tc>
          <w:tcPr>
            <w:tcW w:w="3600" w:type="dxa"/>
            <w:shd w:val="clear" w:color="auto" w:fill="D9D9D9" w:themeFill="background1" w:themeFillShade="D9"/>
          </w:tcPr>
          <w:p w14:paraId="224AA53F" w14:textId="77777777" w:rsidR="00273780" w:rsidRDefault="00273780" w:rsidP="00583927">
            <w:pPr>
              <w:pStyle w:val="Heading5"/>
            </w:pPr>
            <w:r>
              <w:lastRenderedPageBreak/>
              <w:t>Recommendation 6</w:t>
            </w:r>
          </w:p>
          <w:p w14:paraId="263240DE" w14:textId="4FFBC0A6" w:rsidR="00273780" w:rsidRPr="006352FD" w:rsidRDefault="00273780" w:rsidP="006352FD">
            <w:pPr>
              <w:rPr>
                <w:i/>
                <w:iCs/>
                <w:lang w:eastAsia="en-AU"/>
              </w:rPr>
            </w:pPr>
            <w:r w:rsidRPr="00A878E4">
              <w:rPr>
                <w:i/>
                <w:iCs/>
                <w:lang w:eastAsia="en-AU"/>
              </w:rPr>
              <w:t>Continue and strengthen the focus on using a strategic approach to activity programming</w:t>
            </w:r>
            <w:r>
              <w:rPr>
                <w:i/>
                <w:iCs/>
                <w:lang w:eastAsia="en-AU"/>
              </w:rPr>
              <w:t>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70EF5724" w14:textId="7B1E4CE3" w:rsidR="00273780" w:rsidRDefault="00D85A61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4EAE8C2" w14:textId="659A933B" w:rsidR="00273780" w:rsidRDefault="000372FE" w:rsidP="00D33976">
            <w:r>
              <w:t xml:space="preserve">The </w:t>
            </w:r>
            <w:r w:rsidR="00725F4B">
              <w:t xml:space="preserve">issues identified in Recommendations 1 and 2, coupled with </w:t>
            </w:r>
            <w:r w:rsidR="0058337D">
              <w:t>the added layer of complex social issues</w:t>
            </w:r>
            <w:r w:rsidR="00DB3DC1">
              <w:t>,</w:t>
            </w:r>
            <w:r w:rsidR="0058337D">
              <w:t xml:space="preserve"> </w:t>
            </w:r>
            <w:proofErr w:type="gramStart"/>
            <w:r w:rsidR="0058337D">
              <w:t>has</w:t>
            </w:r>
            <w:proofErr w:type="gramEnd"/>
            <w:r w:rsidR="0058337D">
              <w:t xml:space="preserve"> led to </w:t>
            </w:r>
            <w:r w:rsidR="005925ED">
              <w:t xml:space="preserve">Tautua’s support being fragmented in some areas. Though the program is working within its remit </w:t>
            </w:r>
            <w:r w:rsidR="005B3623">
              <w:t>of EOPOs</w:t>
            </w:r>
            <w:r w:rsidR="00356E83">
              <w:t xml:space="preserve"> and IOs</w:t>
            </w:r>
            <w:r w:rsidR="00595C07">
              <w:t xml:space="preserve">, the scope </w:t>
            </w:r>
            <w:r w:rsidR="005B3623">
              <w:t xml:space="preserve">dictated by </w:t>
            </w:r>
            <w:r w:rsidR="00356E83">
              <w:t>the</w:t>
            </w:r>
            <w:r w:rsidR="00357A07">
              <w:t xml:space="preserve"> </w:t>
            </w:r>
            <w:r w:rsidR="001C742E">
              <w:t>current program logic</w:t>
            </w:r>
            <w:r w:rsidR="00357A07">
              <w:t xml:space="preserve"> is </w:t>
            </w:r>
            <w:r w:rsidR="001C742E">
              <w:t>extensive</w:t>
            </w:r>
            <w:r w:rsidR="004A43B4">
              <w:t>, with the added pressure of being responsive and flexible</w:t>
            </w:r>
            <w:r w:rsidR="000E50FF">
              <w:t>.</w:t>
            </w:r>
            <w:r w:rsidR="001C742E">
              <w:t xml:space="preserve"> </w:t>
            </w:r>
            <w:r w:rsidR="000E50FF">
              <w:t xml:space="preserve">This </w:t>
            </w:r>
            <w:r w:rsidR="0005404B">
              <w:t xml:space="preserve">requires </w:t>
            </w:r>
            <w:r w:rsidR="0086427E">
              <w:t>programming to be</w:t>
            </w:r>
            <w:r w:rsidR="006311B7">
              <w:t xml:space="preserve"> more strategic </w:t>
            </w:r>
            <w:r w:rsidR="00647D13">
              <w:t>b</w:t>
            </w:r>
            <w:r w:rsidR="006B034E">
              <w:t>y focusing on</w:t>
            </w:r>
            <w:r w:rsidR="00DC1F35">
              <w:t xml:space="preserve"> achieving a few but</w:t>
            </w:r>
            <w:r w:rsidR="00220001">
              <w:t xml:space="preserve"> substantial </w:t>
            </w:r>
            <w:r w:rsidR="00A411C6">
              <w:t>instances of change</w:t>
            </w:r>
            <w:r w:rsidR="00DC1F35">
              <w:t xml:space="preserve"> that can be sustained across the three sectors. 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4E61FD72" w14:textId="35A8EEB4" w:rsidR="007C15CF" w:rsidRDefault="00710286" w:rsidP="00D33976">
            <w:r>
              <w:t xml:space="preserve">A Phase 2 Strategy has been developed </w:t>
            </w:r>
            <w:r w:rsidR="001D5917">
              <w:t xml:space="preserve">to support a strategic approach to programming. </w:t>
            </w:r>
            <w:r w:rsidR="00EC77AD">
              <w:t xml:space="preserve">The </w:t>
            </w:r>
            <w:r w:rsidR="00CB771D">
              <w:t xml:space="preserve">strategy </w:t>
            </w:r>
            <w:r w:rsidR="00276AAA">
              <w:t xml:space="preserve">creates a strategic shift </w:t>
            </w:r>
            <w:r w:rsidR="003E290B">
              <w:t>using</w:t>
            </w:r>
            <w:r w:rsidR="009B226A">
              <w:t xml:space="preserve"> five key </w:t>
            </w:r>
            <w:r w:rsidR="00F55D34">
              <w:t xml:space="preserve">criteria to guide investment decisions, and </w:t>
            </w:r>
            <w:r w:rsidR="00276AAA">
              <w:t>focuses</w:t>
            </w:r>
            <w:r w:rsidR="00F55D34">
              <w:t xml:space="preserve"> on ‘big bets’</w:t>
            </w:r>
            <w:r w:rsidR="000B3B2E">
              <w:t>,</w:t>
            </w:r>
            <w:r w:rsidR="00F55D34">
              <w:t xml:space="preserve"> or priority fo</w:t>
            </w:r>
            <w:r w:rsidR="00276AAA">
              <w:t>cus areas</w:t>
            </w:r>
            <w:r w:rsidR="000B3B2E">
              <w:t>,</w:t>
            </w:r>
            <w:r w:rsidR="00276AAA">
              <w:t xml:space="preserve"> in health, education and the community sectors</w:t>
            </w:r>
            <w:r w:rsidR="00BF3419">
              <w:t xml:space="preserve">. </w:t>
            </w:r>
          </w:p>
          <w:p w14:paraId="28EEFFC2" w14:textId="46722DD9" w:rsidR="00273780" w:rsidRDefault="007C15CF" w:rsidP="00D33976">
            <w:r>
              <w:t>A</w:t>
            </w:r>
            <w:r w:rsidR="0063114F">
              <w:t xml:space="preserve"> cap</w:t>
            </w:r>
            <w:r>
              <w:t xml:space="preserve"> will be </w:t>
            </w:r>
            <w:r w:rsidR="00AD2F8D">
              <w:t>placed</w:t>
            </w:r>
            <w:r w:rsidR="0063114F">
              <w:t xml:space="preserve"> on</w:t>
            </w:r>
            <w:r w:rsidR="00AD2F8D">
              <w:t xml:space="preserve"> the proportion of the program dedicated to</w:t>
            </w:r>
            <w:r w:rsidR="00744C78">
              <w:t xml:space="preserve"> ad-hoc and/or emerging </w:t>
            </w:r>
            <w:r w:rsidR="003F11AD">
              <w:t>requests</w:t>
            </w:r>
            <w:r w:rsidR="00744C78">
              <w:t xml:space="preserve">, </w:t>
            </w:r>
            <w:r w:rsidR="0042538A">
              <w:t xml:space="preserve">while </w:t>
            </w:r>
            <w:proofErr w:type="spellStart"/>
            <w:r w:rsidR="0042538A">
              <w:t>prioriti</w:t>
            </w:r>
            <w:r w:rsidR="00B2461E">
              <w:t>s</w:t>
            </w:r>
            <w:r w:rsidR="0042538A">
              <w:t>ing</w:t>
            </w:r>
            <w:proofErr w:type="spellEnd"/>
            <w:r w:rsidR="0042538A">
              <w:t xml:space="preserve"> long term strategic support</w:t>
            </w:r>
            <w:r w:rsidR="00230936">
              <w:t xml:space="preserve"> with deeper development impact</w:t>
            </w:r>
            <w:r w:rsidR="0042538A">
              <w:t>.</w:t>
            </w:r>
            <w:r w:rsidR="00DC4FF9">
              <w:t xml:space="preserve"> Post and Tautua will </w:t>
            </w:r>
            <w:r w:rsidR="000A53C7">
              <w:t xml:space="preserve">need to refine the big bets with the relevant agencies in the first year of </w:t>
            </w:r>
            <w:r w:rsidR="00FB5AB9">
              <w:t>Phase 2.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33F34A5" w14:textId="31EF410E" w:rsidR="00273780" w:rsidRDefault="007E750E" w:rsidP="00D33976">
            <w:r>
              <w:t>2026 - onwards</w:t>
            </w:r>
          </w:p>
        </w:tc>
      </w:tr>
      <w:tr w:rsidR="00273780" w14:paraId="2C3B8A8B" w14:textId="00B1033D" w:rsidTr="00F321F5">
        <w:tc>
          <w:tcPr>
            <w:tcW w:w="3600" w:type="dxa"/>
            <w:shd w:val="clear" w:color="auto" w:fill="D9D9D9" w:themeFill="background1" w:themeFillShade="D9"/>
          </w:tcPr>
          <w:p w14:paraId="01876B00" w14:textId="77777777" w:rsidR="00273780" w:rsidRDefault="00273780" w:rsidP="00583927">
            <w:pPr>
              <w:pStyle w:val="Heading5"/>
            </w:pPr>
            <w:r>
              <w:lastRenderedPageBreak/>
              <w:t>Recommendation 7</w:t>
            </w:r>
          </w:p>
          <w:p w14:paraId="4E84578A" w14:textId="4661A6FA" w:rsidR="00273780" w:rsidRPr="00DC6D67" w:rsidRDefault="00273780" w:rsidP="004E177A">
            <w:pPr>
              <w:rPr>
                <w:i/>
                <w:iCs/>
                <w:lang w:eastAsia="en-AU"/>
              </w:rPr>
            </w:pPr>
            <w:r w:rsidRPr="00A878E4">
              <w:rPr>
                <w:i/>
                <w:iCs/>
                <w:lang w:eastAsia="en-AU"/>
              </w:rPr>
              <w:t xml:space="preserve">Continue </w:t>
            </w:r>
            <w:proofErr w:type="gramStart"/>
            <w:r w:rsidRPr="00A878E4">
              <w:rPr>
                <w:i/>
                <w:iCs/>
                <w:lang w:eastAsia="en-AU"/>
              </w:rPr>
              <w:t>support to</w:t>
            </w:r>
            <w:proofErr w:type="gramEnd"/>
            <w:r w:rsidRPr="00A878E4">
              <w:rPr>
                <w:i/>
                <w:iCs/>
                <w:lang w:eastAsia="en-AU"/>
              </w:rPr>
              <w:t xml:space="preserve"> partners and Tautua staff on using the Monitoring, Evaluation and Learning (MEL) system and </w:t>
            </w:r>
            <w:proofErr w:type="gramStart"/>
            <w:r w:rsidRPr="00A878E4">
              <w:rPr>
                <w:i/>
                <w:iCs/>
                <w:lang w:eastAsia="en-AU"/>
              </w:rPr>
              <w:t xml:space="preserve">support </w:t>
            </w:r>
            <w:r>
              <w:rPr>
                <w:i/>
                <w:iCs/>
                <w:lang w:eastAsia="en-AU"/>
              </w:rPr>
              <w:t>to</w:t>
            </w:r>
            <w:proofErr w:type="gramEnd"/>
            <w:r>
              <w:rPr>
                <w:i/>
                <w:iCs/>
                <w:lang w:eastAsia="en-AU"/>
              </w:rPr>
              <w:t xml:space="preserve"> </w:t>
            </w:r>
            <w:r w:rsidRPr="00A878E4">
              <w:rPr>
                <w:i/>
                <w:iCs/>
                <w:lang w:eastAsia="en-AU"/>
              </w:rPr>
              <w:t>Tautua staff on using the Management Information System (MIS)</w:t>
            </w:r>
            <w:r>
              <w:rPr>
                <w:i/>
                <w:iCs/>
                <w:lang w:eastAsia="en-AU"/>
              </w:rPr>
              <w:t>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461F2E83" w14:textId="25882F47" w:rsidR="00273780" w:rsidRDefault="00F9713A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49DF3E1A" w14:textId="38CFE918" w:rsidR="00273780" w:rsidRDefault="005949A2" w:rsidP="00D33976">
            <w:r>
              <w:t xml:space="preserve">Tautua </w:t>
            </w:r>
            <w:r w:rsidR="003D2632">
              <w:t>staff and partners require</w:t>
            </w:r>
            <w:r w:rsidR="00634C60">
              <w:t xml:space="preserve"> additional support in the use of the MEL system, particularly </w:t>
            </w:r>
            <w:r w:rsidR="007005C5">
              <w:t xml:space="preserve">in identifying the type of data </w:t>
            </w:r>
            <w:r w:rsidR="00704D86">
              <w:t xml:space="preserve">required to assess the level of efficiency. </w:t>
            </w:r>
            <w:r w:rsidR="00DD00BA">
              <w:t xml:space="preserve">With the MIS in place, </w:t>
            </w:r>
            <w:r w:rsidR="00C22D01">
              <w:t xml:space="preserve">additional training is required for staff to use this for reporting purposes, thereby </w:t>
            </w:r>
            <w:r w:rsidR="00E94ACD">
              <w:t>allowing them to refine the system to align with reporting needs.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815DFB1" w14:textId="2D7D4125" w:rsidR="00273780" w:rsidRDefault="00BA58B8" w:rsidP="00D33976">
            <w:r>
              <w:t xml:space="preserve">Tautua staff </w:t>
            </w:r>
            <w:r w:rsidR="001B4CB6">
              <w:t xml:space="preserve">are now </w:t>
            </w:r>
            <w:r w:rsidR="00CD32EC">
              <w:t xml:space="preserve">supporting </w:t>
            </w:r>
            <w:r w:rsidR="001B4CB6">
              <w:t>MEL activities in their own patches</w:t>
            </w:r>
            <w:r w:rsidR="00CD32EC">
              <w:t xml:space="preserve">, by contributing to the </w:t>
            </w:r>
            <w:r w:rsidR="00D63D1D">
              <w:t xml:space="preserve">design of tools for MEL across the supported activities. </w:t>
            </w:r>
            <w:r w:rsidR="00F35854">
              <w:t>A MEL advisor was recruited to support partners</w:t>
            </w:r>
            <w:r w:rsidR="00751B31">
              <w:t xml:space="preserve"> in </w:t>
            </w:r>
            <w:r w:rsidR="00BA05D6">
              <w:t xml:space="preserve">the </w:t>
            </w:r>
            <w:r w:rsidR="00751B31">
              <w:t xml:space="preserve">design and implementation of MEL activities, </w:t>
            </w:r>
            <w:r w:rsidR="00BA05D6">
              <w:t>while also providing capacity building</w:t>
            </w:r>
            <w:r w:rsidR="003379F1">
              <w:t xml:space="preserve"> where required.</w:t>
            </w:r>
          </w:p>
          <w:p w14:paraId="35482837" w14:textId="2844F478" w:rsidR="00273780" w:rsidRPr="001D70A7" w:rsidRDefault="003379F1" w:rsidP="00813DA1">
            <w:r>
              <w:t>The MIS system is being refined in collaboration with Tautua and Pos</w:t>
            </w:r>
            <w:r w:rsidR="005C05B0">
              <w:t xml:space="preserve">t to ensure the system supports effective MEL </w:t>
            </w:r>
            <w:r w:rsidR="00813DA1">
              <w:t xml:space="preserve">and </w:t>
            </w:r>
            <w:proofErr w:type="gramStart"/>
            <w:r w:rsidR="00813DA1">
              <w:t>reporting</w:t>
            </w:r>
            <w:proofErr w:type="gramEnd"/>
            <w:r w:rsidR="00813DA1">
              <w:t xml:space="preserve"> on the program’s achievements.</w:t>
            </w:r>
            <w:r w:rsidR="00273780">
              <w:tab/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1D5E1E6" w14:textId="0FC1D5A1" w:rsidR="00273780" w:rsidRDefault="00813DA1" w:rsidP="00D33976">
            <w:r>
              <w:t>Ongoing</w:t>
            </w:r>
          </w:p>
        </w:tc>
      </w:tr>
      <w:tr w:rsidR="00273780" w14:paraId="5A5BAE94" w14:textId="472F3676" w:rsidTr="00F321F5">
        <w:tc>
          <w:tcPr>
            <w:tcW w:w="3600" w:type="dxa"/>
            <w:shd w:val="clear" w:color="auto" w:fill="D9D9D9" w:themeFill="background1" w:themeFillShade="D9"/>
          </w:tcPr>
          <w:p w14:paraId="4B561B2B" w14:textId="77777777" w:rsidR="00273780" w:rsidRDefault="00273780" w:rsidP="00583927">
            <w:pPr>
              <w:pStyle w:val="Heading5"/>
            </w:pPr>
            <w:r>
              <w:t>Recommendation 8</w:t>
            </w:r>
          </w:p>
          <w:p w14:paraId="42060760" w14:textId="2BF28854" w:rsidR="00273780" w:rsidRPr="00953E11" w:rsidRDefault="00273780" w:rsidP="00953E11">
            <w:pPr>
              <w:rPr>
                <w:i/>
                <w:iCs/>
                <w:lang w:eastAsia="en-AU"/>
              </w:rPr>
            </w:pPr>
            <w:proofErr w:type="spellStart"/>
            <w:r w:rsidRPr="00A878E4">
              <w:rPr>
                <w:i/>
                <w:iCs/>
                <w:lang w:eastAsia="en-AU"/>
              </w:rPr>
              <w:t>Prioritise</w:t>
            </w:r>
            <w:proofErr w:type="spellEnd"/>
            <w:r w:rsidRPr="00A878E4">
              <w:rPr>
                <w:i/>
                <w:iCs/>
                <w:lang w:eastAsia="en-AU"/>
              </w:rPr>
              <w:t xml:space="preserve"> the development of corporate systems to replace current manual processes</w:t>
            </w:r>
            <w:r>
              <w:rPr>
                <w:i/>
                <w:iCs/>
                <w:lang w:eastAsia="en-AU"/>
              </w:rPr>
              <w:t>.</w:t>
            </w:r>
          </w:p>
        </w:tc>
        <w:tc>
          <w:tcPr>
            <w:tcW w:w="1260" w:type="dxa"/>
            <w:shd w:val="clear" w:color="auto" w:fill="D9F2D0" w:themeFill="accent6" w:themeFillTint="33"/>
          </w:tcPr>
          <w:p w14:paraId="7C55C251" w14:textId="3FC9C53F" w:rsidR="00273780" w:rsidRDefault="00F9713A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600BE566" w14:textId="7990105D" w:rsidR="00273780" w:rsidRDefault="00D57BB9" w:rsidP="00D33976">
            <w:proofErr w:type="gramStart"/>
            <w:r>
              <w:t>A number of</w:t>
            </w:r>
            <w:proofErr w:type="gramEnd"/>
            <w:r>
              <w:t xml:space="preserve"> Tautua </w:t>
            </w:r>
            <w:r w:rsidR="00174A96">
              <w:t xml:space="preserve">corporate </w:t>
            </w:r>
            <w:r>
              <w:t xml:space="preserve">systems </w:t>
            </w:r>
            <w:r w:rsidR="00174A96">
              <w:t xml:space="preserve">were </w:t>
            </w:r>
            <w:r w:rsidR="00FA7F38">
              <w:t>found to</w:t>
            </w:r>
            <w:r w:rsidR="00174A96">
              <w:t xml:space="preserve"> be using</w:t>
            </w:r>
            <w:r>
              <w:t xml:space="preserve"> manual</w:t>
            </w:r>
            <w:r w:rsidR="00174A96">
              <w:t xml:space="preserve"> processes</w:t>
            </w:r>
            <w:r>
              <w:t xml:space="preserve">, </w:t>
            </w:r>
            <w:r w:rsidR="00E312BF">
              <w:t>including timesheets, payroll and procurement tracking</w:t>
            </w:r>
            <w:r w:rsidR="00FA7F38">
              <w:t xml:space="preserve">. This </w:t>
            </w:r>
            <w:r w:rsidR="002C7886">
              <w:t xml:space="preserve">increases workload, </w:t>
            </w:r>
            <w:proofErr w:type="gramStart"/>
            <w:r w:rsidR="002C7886">
              <w:t>create</w:t>
            </w:r>
            <w:proofErr w:type="gramEnd"/>
            <w:r w:rsidR="002C7886">
              <w:t xml:space="preserve"> risks around accuracy and </w:t>
            </w:r>
            <w:proofErr w:type="gramStart"/>
            <w:r w:rsidR="002C7886">
              <w:t>divert</w:t>
            </w:r>
            <w:proofErr w:type="gramEnd"/>
            <w:r w:rsidR="002C7886">
              <w:t xml:space="preserve"> staff time away from higher value functions. </w:t>
            </w:r>
            <w:r w:rsidR="00E312BF">
              <w:t xml:space="preserve"> 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010C9278" w14:textId="042003AB" w:rsidR="00273780" w:rsidRDefault="00024CD1" w:rsidP="00D33976">
            <w:r>
              <w:t xml:space="preserve">While some of these systems are already in development, Tautua </w:t>
            </w:r>
            <w:r w:rsidR="003D0A44">
              <w:t xml:space="preserve">continues to review and refine some of its procedures and processes </w:t>
            </w:r>
            <w:r w:rsidR="00F0580F">
              <w:t>as part of its ongoing corporate system improvement process.</w:t>
            </w:r>
            <w:r w:rsidR="005A31B1">
              <w:t xml:space="preserve">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9493038" w14:textId="4FCE0A91" w:rsidR="00273780" w:rsidRDefault="00F9713A" w:rsidP="00D33976">
            <w:r>
              <w:t>Ongoing</w:t>
            </w:r>
          </w:p>
        </w:tc>
      </w:tr>
      <w:tr w:rsidR="00273780" w14:paraId="7332E1FE" w14:textId="60E60EC1" w:rsidTr="00F321F5">
        <w:tc>
          <w:tcPr>
            <w:tcW w:w="3600" w:type="dxa"/>
            <w:shd w:val="clear" w:color="auto" w:fill="D9D9D9" w:themeFill="background1" w:themeFillShade="D9"/>
          </w:tcPr>
          <w:p w14:paraId="4E3BA237" w14:textId="77777777" w:rsidR="00273780" w:rsidRDefault="00273780" w:rsidP="00583927">
            <w:pPr>
              <w:pStyle w:val="Heading5"/>
            </w:pPr>
            <w:r>
              <w:lastRenderedPageBreak/>
              <w:t>Recommendation 9</w:t>
            </w:r>
          </w:p>
          <w:p w14:paraId="60CAED8C" w14:textId="77777777" w:rsidR="00273780" w:rsidRPr="00F4416E" w:rsidRDefault="00273780" w:rsidP="00583927">
            <w:pPr>
              <w:rPr>
                <w:i/>
                <w:iCs/>
                <w:lang w:eastAsia="en-AU"/>
              </w:rPr>
            </w:pPr>
            <w:r w:rsidRPr="00F4416E">
              <w:rPr>
                <w:i/>
                <w:iCs/>
                <w:lang w:eastAsia="en-AU"/>
              </w:rPr>
              <w:t xml:space="preserve">Ensure that </w:t>
            </w:r>
            <w:r>
              <w:rPr>
                <w:i/>
                <w:iCs/>
                <w:lang w:eastAsia="en-AU"/>
              </w:rPr>
              <w:t xml:space="preserve">expectations of </w:t>
            </w:r>
            <w:r w:rsidRPr="00F4416E">
              <w:rPr>
                <w:i/>
                <w:iCs/>
                <w:lang w:eastAsia="en-AU"/>
              </w:rPr>
              <w:t>partner follow-up to Tautua activities</w:t>
            </w:r>
            <w:r>
              <w:rPr>
                <w:i/>
                <w:iCs/>
                <w:lang w:eastAsia="en-AU"/>
              </w:rPr>
              <w:t xml:space="preserve"> are clear in activity design and implementation</w:t>
            </w:r>
            <w:r w:rsidRPr="00F4416E">
              <w:rPr>
                <w:i/>
                <w:iCs/>
                <w:lang w:eastAsia="en-AU"/>
              </w:rPr>
              <w:t xml:space="preserve"> to strengthen sustainability of outcomes</w:t>
            </w:r>
            <w:r>
              <w:rPr>
                <w:i/>
                <w:iCs/>
                <w:lang w:eastAsia="en-AU"/>
              </w:rPr>
              <w:t>.</w:t>
            </w:r>
          </w:p>
          <w:p w14:paraId="39F877C5" w14:textId="77777777" w:rsidR="00273780" w:rsidRDefault="00273780" w:rsidP="004E177A"/>
        </w:tc>
        <w:tc>
          <w:tcPr>
            <w:tcW w:w="1260" w:type="dxa"/>
            <w:shd w:val="clear" w:color="auto" w:fill="D9F2D0" w:themeFill="accent6" w:themeFillTint="33"/>
          </w:tcPr>
          <w:p w14:paraId="0C1796AA" w14:textId="2FB81843" w:rsidR="00273780" w:rsidRDefault="00B43713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07628C00" w14:textId="3E496709" w:rsidR="00273780" w:rsidRPr="00C86CD1" w:rsidRDefault="00D56835" w:rsidP="000A7080">
            <w:r w:rsidRPr="00C86CD1">
              <w:t xml:space="preserve">Clarity </w:t>
            </w:r>
            <w:r w:rsidR="003C3E17" w:rsidRPr="00C86CD1">
              <w:t>on the importance of</w:t>
            </w:r>
            <w:r w:rsidRPr="00C86CD1">
              <w:t xml:space="preserve"> follow up to ensure sustainability </w:t>
            </w:r>
            <w:r w:rsidR="003C3E17" w:rsidRPr="00C86CD1">
              <w:t xml:space="preserve">of outcomes </w:t>
            </w:r>
            <w:r w:rsidR="00D15A87" w:rsidRPr="00C86CD1">
              <w:t xml:space="preserve">needs to be understood by partners. </w:t>
            </w:r>
            <w:r w:rsidR="000D3DF9" w:rsidRPr="00C86CD1">
              <w:t>This is usually outside of the direct influence of the program or Post</w:t>
            </w:r>
            <w:r w:rsidR="004F4C1D" w:rsidRPr="00C86CD1">
              <w:t>. Th</w:t>
            </w:r>
            <w:r w:rsidR="004F3781" w:rsidRPr="00C86CD1">
              <w:t xml:space="preserve">is message needs to be embedded </w:t>
            </w:r>
            <w:r w:rsidR="00DC39A1" w:rsidRPr="00C86CD1">
              <w:t xml:space="preserve">in </w:t>
            </w:r>
            <w:r w:rsidR="00690B6D" w:rsidRPr="00C86CD1">
              <w:t>activity design and decision-making meetings with implementing partners.</w:t>
            </w:r>
            <w:r w:rsidR="000A7080" w:rsidRPr="00C86CD1">
              <w:t xml:space="preserve"> 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7FFB9FEA" w14:textId="61645FC2" w:rsidR="00273780" w:rsidRDefault="001B5F56" w:rsidP="00D33976">
            <w:r>
              <w:t xml:space="preserve">Tautua </w:t>
            </w:r>
            <w:r w:rsidR="00294DF9">
              <w:t>will</w:t>
            </w:r>
            <w:r>
              <w:t xml:space="preserve"> build</w:t>
            </w:r>
            <w:r w:rsidR="00DF7769">
              <w:t xml:space="preserve"> sustainability</w:t>
            </w:r>
            <w:r>
              <w:t xml:space="preserve"> into activity desig</w:t>
            </w:r>
            <w:r w:rsidR="00DF7769">
              <w:t xml:space="preserve">n, implementation and monitoring. </w:t>
            </w:r>
            <w:r w:rsidR="00D61F11">
              <w:t>Decision-making needs to</w:t>
            </w:r>
            <w:r w:rsidR="00F23F93">
              <w:t xml:space="preserve"> consider integration of MEL activities that </w:t>
            </w:r>
            <w:r w:rsidR="00901F79">
              <w:t>looks at how lessons from supported activities have been applied</w:t>
            </w:r>
            <w:r w:rsidR="00D420B4">
              <w:t>,</w:t>
            </w:r>
            <w:r w:rsidR="00901F79">
              <w:t xml:space="preserve"> </w:t>
            </w:r>
            <w:r w:rsidR="008B2C4F">
              <w:t xml:space="preserve">including progressing on recommendations from </w:t>
            </w:r>
            <w:r w:rsidR="00706D31">
              <w:t>technical advisory support</w:t>
            </w:r>
            <w:r w:rsidR="008B2C4F">
              <w:t xml:space="preserve"> in policy work</w:t>
            </w:r>
            <w:r w:rsidR="007E5FFB">
              <w:t xml:space="preserve">, and the application of </w:t>
            </w:r>
            <w:r w:rsidR="008C6AC2">
              <w:t xml:space="preserve">acquired knowledge and skills from capacity building activities </w:t>
            </w:r>
            <w:r w:rsidR="002F5803">
              <w:t xml:space="preserve">to strengthen service delivery </w:t>
            </w:r>
            <w:proofErr w:type="gramStart"/>
            <w:r w:rsidR="002F5803">
              <w:t>and build</w:t>
            </w:r>
            <w:proofErr w:type="gramEnd"/>
            <w:r w:rsidR="002F5803">
              <w:t xml:space="preserve"> capabilities of teams and colleagues.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74D0FD38" w14:textId="24431FD9" w:rsidR="00273780" w:rsidRDefault="00DB256D" w:rsidP="00D33976">
            <w:r>
              <w:t>Ongoing</w:t>
            </w:r>
          </w:p>
        </w:tc>
      </w:tr>
      <w:tr w:rsidR="00273780" w:rsidRPr="005020CA" w14:paraId="1222B439" w14:textId="3C950123" w:rsidTr="00F321F5">
        <w:tc>
          <w:tcPr>
            <w:tcW w:w="3600" w:type="dxa"/>
            <w:shd w:val="clear" w:color="auto" w:fill="D9D9D9" w:themeFill="background1" w:themeFillShade="D9"/>
          </w:tcPr>
          <w:p w14:paraId="5CA296B8" w14:textId="77777777" w:rsidR="00273780" w:rsidRDefault="00273780" w:rsidP="00AA478F">
            <w:pPr>
              <w:pStyle w:val="Heading5"/>
            </w:pPr>
            <w:r>
              <w:t>Recommendation 10</w:t>
            </w:r>
          </w:p>
          <w:p w14:paraId="647CF6D2" w14:textId="0619E52E" w:rsidR="00273780" w:rsidRPr="00F4416E" w:rsidRDefault="00273780" w:rsidP="00AA478F">
            <w:pPr>
              <w:tabs>
                <w:tab w:val="left" w:pos="0"/>
              </w:tabs>
              <w:rPr>
                <w:i/>
                <w:iCs/>
                <w:lang w:eastAsia="en-AU"/>
              </w:rPr>
            </w:pPr>
            <w:r w:rsidRPr="00F4416E">
              <w:rPr>
                <w:i/>
                <w:iCs/>
                <w:lang w:eastAsia="en-AU"/>
              </w:rPr>
              <w:t xml:space="preserve">Continue to strengthen Tautua’s integration of </w:t>
            </w:r>
            <w:r w:rsidR="00F66E3E">
              <w:rPr>
                <w:i/>
                <w:iCs/>
                <w:lang w:eastAsia="en-AU"/>
              </w:rPr>
              <w:t>gender equality, disability equity and social inclusion</w:t>
            </w:r>
            <w:r w:rsidRPr="00F4416E">
              <w:rPr>
                <w:i/>
                <w:iCs/>
                <w:lang w:eastAsia="en-AU"/>
              </w:rPr>
              <w:t xml:space="preserve"> </w:t>
            </w:r>
            <w:r w:rsidR="00F66E3E">
              <w:rPr>
                <w:i/>
                <w:iCs/>
                <w:lang w:eastAsia="en-AU"/>
              </w:rPr>
              <w:t xml:space="preserve">(GEDSI) </w:t>
            </w:r>
            <w:r w:rsidRPr="00F4416E">
              <w:rPr>
                <w:i/>
                <w:iCs/>
                <w:lang w:eastAsia="en-AU"/>
              </w:rPr>
              <w:t>across programming, including in planning, resourcing and monitoring</w:t>
            </w:r>
            <w:r>
              <w:rPr>
                <w:i/>
                <w:iCs/>
                <w:lang w:eastAsia="en-AU"/>
              </w:rPr>
              <w:t>.</w:t>
            </w:r>
          </w:p>
          <w:p w14:paraId="6BFB352C" w14:textId="77777777" w:rsidR="00273780" w:rsidRDefault="00273780" w:rsidP="00A62F68">
            <w:pPr>
              <w:tabs>
                <w:tab w:val="left" w:pos="0"/>
              </w:tabs>
            </w:pPr>
          </w:p>
        </w:tc>
        <w:tc>
          <w:tcPr>
            <w:tcW w:w="1260" w:type="dxa"/>
            <w:shd w:val="clear" w:color="auto" w:fill="D9F2D0" w:themeFill="accent6" w:themeFillTint="33"/>
          </w:tcPr>
          <w:p w14:paraId="1F33CC3A" w14:textId="10AA156E" w:rsidR="00273780" w:rsidRDefault="002F5803" w:rsidP="00D33976">
            <w:r>
              <w:t>Agree</w:t>
            </w:r>
          </w:p>
        </w:tc>
        <w:tc>
          <w:tcPr>
            <w:tcW w:w="3150" w:type="dxa"/>
            <w:shd w:val="clear" w:color="auto" w:fill="D9D9D9" w:themeFill="background1" w:themeFillShade="D9"/>
          </w:tcPr>
          <w:p w14:paraId="5B522BFB" w14:textId="44386D6C" w:rsidR="00A62F68" w:rsidRPr="005020CA" w:rsidRDefault="005020CA" w:rsidP="00A62F68">
            <w:pPr>
              <w:tabs>
                <w:tab w:val="left" w:pos="0"/>
              </w:tabs>
              <w:rPr>
                <w:lang w:eastAsia="en-AU"/>
              </w:rPr>
            </w:pPr>
            <w:r w:rsidRPr="005020CA">
              <w:rPr>
                <w:lang w:eastAsia="en-AU"/>
              </w:rPr>
              <w:t xml:space="preserve">As a significant objective of </w:t>
            </w:r>
            <w:r>
              <w:rPr>
                <w:lang w:eastAsia="en-AU"/>
              </w:rPr>
              <w:t>the Tautua program, GEDSI needs to b</w:t>
            </w:r>
            <w:r w:rsidR="00B80FC3">
              <w:rPr>
                <w:lang w:eastAsia="en-AU"/>
              </w:rPr>
              <w:t>e integrated across all facets of programming</w:t>
            </w:r>
            <w:r w:rsidR="00F7238A">
              <w:rPr>
                <w:lang w:eastAsia="en-AU"/>
              </w:rPr>
              <w:t xml:space="preserve"> through mainstreaming or targeted in</w:t>
            </w:r>
            <w:r w:rsidR="00534D79">
              <w:rPr>
                <w:lang w:eastAsia="en-AU"/>
              </w:rPr>
              <w:t>itiatives. This needs to be applied across all three sectors</w:t>
            </w:r>
            <w:r w:rsidR="00DB256D">
              <w:rPr>
                <w:lang w:eastAsia="en-AU"/>
              </w:rPr>
              <w:t>.</w:t>
            </w:r>
            <w:r w:rsidR="00B80FC3">
              <w:rPr>
                <w:lang w:eastAsia="en-AU"/>
              </w:rPr>
              <w:t xml:space="preserve"> </w:t>
            </w:r>
          </w:p>
          <w:p w14:paraId="7632071E" w14:textId="77777777" w:rsidR="00273780" w:rsidRPr="005020CA" w:rsidRDefault="00273780" w:rsidP="00D33976"/>
        </w:tc>
        <w:tc>
          <w:tcPr>
            <w:tcW w:w="4230" w:type="dxa"/>
            <w:shd w:val="clear" w:color="auto" w:fill="D9D9D9" w:themeFill="background1" w:themeFillShade="D9"/>
          </w:tcPr>
          <w:p w14:paraId="212E8EA3" w14:textId="2555C695" w:rsidR="00273780" w:rsidRPr="005020CA" w:rsidRDefault="001C73FC" w:rsidP="00D33976">
            <w:r>
              <w:t>New agreements have</w:t>
            </w:r>
            <w:r w:rsidR="001C1C82">
              <w:t xml:space="preserve"> been signed with eight CSO’s – 5 </w:t>
            </w:r>
            <w:proofErr w:type="gramStart"/>
            <w:r w:rsidR="001C1C82">
              <w:t>gender</w:t>
            </w:r>
            <w:proofErr w:type="gramEnd"/>
            <w:r w:rsidR="001C1C82">
              <w:t xml:space="preserve"> focused, 3 </w:t>
            </w:r>
            <w:proofErr w:type="gramStart"/>
            <w:r w:rsidR="001C1C82">
              <w:t>disability</w:t>
            </w:r>
            <w:proofErr w:type="gramEnd"/>
            <w:r w:rsidR="001C1C82">
              <w:t xml:space="preserve"> focused – to enhance the delivery of services for </w:t>
            </w:r>
            <w:r w:rsidR="00D34B21">
              <w:t xml:space="preserve">women and people with disabilities. A new GEDSI strategy is under development to guide the program’s GEDSI work </w:t>
            </w:r>
            <w:r w:rsidR="00992E78">
              <w:t>in Phase 2</w:t>
            </w:r>
            <w:r w:rsidR="00E072E1">
              <w:t xml:space="preserve"> including mainstreaming into supported activities with </w:t>
            </w:r>
            <w:r w:rsidR="00352769">
              <w:t>all implementing partners</w:t>
            </w:r>
            <w:r w:rsidR="00992E78">
              <w:t xml:space="preserve">. The program continues to </w:t>
            </w:r>
            <w:proofErr w:type="spellStart"/>
            <w:r w:rsidR="00992E78">
              <w:t>utili</w:t>
            </w:r>
            <w:r w:rsidR="00F66372">
              <w:t>s</w:t>
            </w:r>
            <w:r w:rsidR="00992E78">
              <w:t>e</w:t>
            </w:r>
            <w:proofErr w:type="spellEnd"/>
            <w:r w:rsidR="00992E78">
              <w:t xml:space="preserve"> GEDSI advisors who provide guidance to the program and partners on </w:t>
            </w:r>
            <w:r w:rsidR="00931AF2">
              <w:t xml:space="preserve">effective GEDSI programming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B596884" w14:textId="2E5094FF" w:rsidR="00273780" w:rsidRPr="005020CA" w:rsidRDefault="00931AF2" w:rsidP="00D33976">
            <w:r>
              <w:t>Ongoing</w:t>
            </w:r>
          </w:p>
        </w:tc>
      </w:tr>
    </w:tbl>
    <w:p w14:paraId="3AFF2E2A" w14:textId="77777777" w:rsidR="001D70A7" w:rsidRPr="005020CA" w:rsidRDefault="001D70A7" w:rsidP="00652EC6"/>
    <w:sectPr w:rsidR="001D70A7" w:rsidRPr="005020CA" w:rsidSect="001D79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990" w:right="1440" w:bottom="9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34A3B" w14:textId="77777777" w:rsidR="007A0643" w:rsidRDefault="007A0643" w:rsidP="00844FEE">
      <w:pPr>
        <w:spacing w:after="0" w:line="240" w:lineRule="auto"/>
      </w:pPr>
      <w:r>
        <w:separator/>
      </w:r>
    </w:p>
  </w:endnote>
  <w:endnote w:type="continuationSeparator" w:id="0">
    <w:p w14:paraId="13B922E8" w14:textId="77777777" w:rsidR="007A0643" w:rsidRDefault="007A0643" w:rsidP="0084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F66BC" w14:textId="0E5989BC" w:rsidR="00844FEE" w:rsidRDefault="00844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C059F28" wp14:editId="729E57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50213555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AA442" w14:textId="60DC65AC" w:rsidR="00844FEE" w:rsidRPr="00844FEE" w:rsidRDefault="00844FEE" w:rsidP="00844F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FE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59F2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uVDg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" filled="f" stroked="f">
              <v:textbox style="mso-fit-shape-to-text:t" inset="0,0,0,15pt">
                <w:txbxContent>
                  <w:p w14:paraId="6ADAA442" w14:textId="60DC65AC" w:rsidR="00844FEE" w:rsidRPr="00844FEE" w:rsidRDefault="00844FEE" w:rsidP="00844F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FE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62B1" w14:textId="3B42AA74" w:rsidR="001D7955" w:rsidRDefault="007A0643" w:rsidP="00A03907">
    <w:pPr>
      <w:pStyle w:val="Footer"/>
      <w:tabs>
        <w:tab w:val="clear" w:pos="4680"/>
        <w:tab w:val="clear" w:pos="9360"/>
        <w:tab w:val="left" w:pos="7200"/>
      </w:tabs>
    </w:pPr>
    <w:sdt>
      <w:sdtPr>
        <w:id w:val="-13751409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D7955">
          <w:t xml:space="preserve">Page | </w:t>
        </w:r>
        <w:r w:rsidR="001D7955">
          <w:fldChar w:fldCharType="begin"/>
        </w:r>
        <w:r w:rsidR="001D7955">
          <w:instrText xml:space="preserve"> PAGE   \* MERGEFORMAT </w:instrText>
        </w:r>
        <w:r w:rsidR="001D7955">
          <w:fldChar w:fldCharType="separate"/>
        </w:r>
        <w:r w:rsidR="001D7955">
          <w:rPr>
            <w:noProof/>
          </w:rPr>
          <w:t>2</w:t>
        </w:r>
        <w:r w:rsidR="001D7955">
          <w:rPr>
            <w:noProof/>
          </w:rPr>
          <w:fldChar w:fldCharType="end"/>
        </w:r>
        <w:r w:rsidR="00A03907">
          <w:rPr>
            <w:noProof/>
          </w:rPr>
          <w:tab/>
        </w:r>
        <w:r w:rsidR="00A03907" w:rsidRPr="00A03907">
          <w:rPr>
            <w:i/>
            <w:iCs/>
            <w:noProof/>
          </w:rPr>
          <w:t>Management Response to the Tautua Mid Term Review</w:t>
        </w:r>
      </w:sdtContent>
    </w:sdt>
    <w:r w:rsidR="001D7955">
      <w:rPr>
        <w:noProof/>
      </w:rPr>
      <w:tab/>
    </w:r>
  </w:p>
  <w:p w14:paraId="0BDB1F83" w14:textId="33FB915D" w:rsidR="00844FEE" w:rsidRDefault="00844F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E9DB" w14:textId="79A806D8" w:rsidR="00844FEE" w:rsidRDefault="00844F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1B7AB0" wp14:editId="5A4F9C7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5765"/>
              <wp:effectExtent l="0" t="0" r="6350" b="0"/>
              <wp:wrapNone/>
              <wp:docPr id="56356374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1C942F" w14:textId="426DC2C4" w:rsidR="00844FEE" w:rsidRPr="00844FEE" w:rsidRDefault="00844FEE" w:rsidP="00844F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FE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B7A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49pt;height:31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" filled="f" stroked="f">
              <v:textbox style="mso-fit-shape-to-text:t" inset="0,0,0,15pt">
                <w:txbxContent>
                  <w:p w14:paraId="6B1C942F" w14:textId="426DC2C4" w:rsidR="00844FEE" w:rsidRPr="00844FEE" w:rsidRDefault="00844FEE" w:rsidP="00844F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FE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CABB" w14:textId="77777777" w:rsidR="007A0643" w:rsidRDefault="007A0643" w:rsidP="00844FEE">
      <w:pPr>
        <w:spacing w:after="0" w:line="240" w:lineRule="auto"/>
      </w:pPr>
      <w:r>
        <w:separator/>
      </w:r>
    </w:p>
  </w:footnote>
  <w:footnote w:type="continuationSeparator" w:id="0">
    <w:p w14:paraId="4B0C55E0" w14:textId="77777777" w:rsidR="007A0643" w:rsidRDefault="007A0643" w:rsidP="0084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6B83B" w14:textId="357E0AC5" w:rsidR="00844FEE" w:rsidRDefault="00844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F6FF03F" wp14:editId="4FBAF81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7479748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EAC433" w14:textId="2E75A51B" w:rsidR="00844FEE" w:rsidRPr="00844FEE" w:rsidRDefault="00844FEE" w:rsidP="00844F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FE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FF0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" filled="f" stroked="f">
              <v:textbox style="mso-fit-shape-to-text:t" inset="0,15pt,0,0">
                <w:txbxContent>
                  <w:p w14:paraId="29EAC433" w14:textId="2E75A51B" w:rsidR="00844FEE" w:rsidRPr="00844FEE" w:rsidRDefault="00844FEE" w:rsidP="00844F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FE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7375" w14:textId="01025F54" w:rsidR="00844FEE" w:rsidRDefault="00844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30FDC6D" wp14:editId="5B4796EB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205002349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D028B" w14:textId="77F77359" w:rsidR="00844FEE" w:rsidRPr="00844FEE" w:rsidRDefault="00844FEE" w:rsidP="00844F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FE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FDC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" filled="f" stroked="f">
              <v:textbox style="mso-fit-shape-to-text:t" inset="0,15pt,0,0">
                <w:txbxContent>
                  <w:p w14:paraId="541D028B" w14:textId="77F77359" w:rsidR="00844FEE" w:rsidRPr="00844FEE" w:rsidRDefault="00844FEE" w:rsidP="00844F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FE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CBE9" w14:textId="6999BFB0" w:rsidR="00844FEE" w:rsidRDefault="00844FE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4A5BC157" wp14:editId="7052D7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5765"/>
              <wp:effectExtent l="0" t="0" r="6350" b="13335"/>
              <wp:wrapNone/>
              <wp:docPr id="7050153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F0A670" w14:textId="782DEA3B" w:rsidR="00844FEE" w:rsidRPr="00844FEE" w:rsidRDefault="00844FEE" w:rsidP="00844FE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844FEE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5BC1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49pt;height:31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gcDQIAABw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" filled="f" stroked="f">
              <v:textbox style="mso-fit-shape-to-text:t" inset="0,15pt,0,0">
                <w:txbxContent>
                  <w:p w14:paraId="31F0A670" w14:textId="782DEA3B" w:rsidR="00844FEE" w:rsidRPr="00844FEE" w:rsidRDefault="00844FEE" w:rsidP="00844FE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844FEE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16DE1"/>
    <w:multiLevelType w:val="hybridMultilevel"/>
    <w:tmpl w:val="3168CB9A"/>
    <w:lvl w:ilvl="0" w:tplc="528C382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193BD6"/>
    <w:multiLevelType w:val="hybridMultilevel"/>
    <w:tmpl w:val="3C68C9D6"/>
    <w:lvl w:ilvl="0" w:tplc="39CCB8C0">
      <w:start w:val="1"/>
      <w:numFmt w:val="bullet"/>
      <w:pStyle w:val="ListBullet1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7B9E38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8C5C4A"/>
    <w:multiLevelType w:val="hybridMultilevel"/>
    <w:tmpl w:val="6A9416BA"/>
    <w:lvl w:ilvl="0" w:tplc="6592F01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0276812">
    <w:abstractNumId w:val="1"/>
  </w:num>
  <w:num w:numId="2" w16cid:durableId="653097843">
    <w:abstractNumId w:val="0"/>
  </w:num>
  <w:num w:numId="3" w16cid:durableId="97911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0A7"/>
    <w:rsid w:val="00003584"/>
    <w:rsid w:val="000068B3"/>
    <w:rsid w:val="00024CD1"/>
    <w:rsid w:val="00032F9D"/>
    <w:rsid w:val="00033FC3"/>
    <w:rsid w:val="000372FE"/>
    <w:rsid w:val="00041AAF"/>
    <w:rsid w:val="000521EB"/>
    <w:rsid w:val="0005404B"/>
    <w:rsid w:val="000543ED"/>
    <w:rsid w:val="000564E4"/>
    <w:rsid w:val="00060883"/>
    <w:rsid w:val="00063E27"/>
    <w:rsid w:val="000652BE"/>
    <w:rsid w:val="00073347"/>
    <w:rsid w:val="000805FF"/>
    <w:rsid w:val="0008309E"/>
    <w:rsid w:val="00084714"/>
    <w:rsid w:val="00085C00"/>
    <w:rsid w:val="00093086"/>
    <w:rsid w:val="00095895"/>
    <w:rsid w:val="000A3F44"/>
    <w:rsid w:val="000A53C7"/>
    <w:rsid w:val="000A5938"/>
    <w:rsid w:val="000A6324"/>
    <w:rsid w:val="000A7080"/>
    <w:rsid w:val="000B3B2E"/>
    <w:rsid w:val="000B50DB"/>
    <w:rsid w:val="000B65CA"/>
    <w:rsid w:val="000B692F"/>
    <w:rsid w:val="000C45DF"/>
    <w:rsid w:val="000D3DF9"/>
    <w:rsid w:val="000D497A"/>
    <w:rsid w:val="000E28F8"/>
    <w:rsid w:val="000E50B7"/>
    <w:rsid w:val="000E50FF"/>
    <w:rsid w:val="000E7D3D"/>
    <w:rsid w:val="00100686"/>
    <w:rsid w:val="0011411D"/>
    <w:rsid w:val="0011655D"/>
    <w:rsid w:val="00116AA9"/>
    <w:rsid w:val="00122B65"/>
    <w:rsid w:val="00140E92"/>
    <w:rsid w:val="00143695"/>
    <w:rsid w:val="001439E5"/>
    <w:rsid w:val="00151148"/>
    <w:rsid w:val="0015373A"/>
    <w:rsid w:val="001709D8"/>
    <w:rsid w:val="00174A96"/>
    <w:rsid w:val="0018120E"/>
    <w:rsid w:val="001849E4"/>
    <w:rsid w:val="00191DC7"/>
    <w:rsid w:val="0019653D"/>
    <w:rsid w:val="001A44EE"/>
    <w:rsid w:val="001B4CB6"/>
    <w:rsid w:val="001B5F56"/>
    <w:rsid w:val="001C1B28"/>
    <w:rsid w:val="001C1C82"/>
    <w:rsid w:val="001C73FC"/>
    <w:rsid w:val="001C742E"/>
    <w:rsid w:val="001D5917"/>
    <w:rsid w:val="001D69F5"/>
    <w:rsid w:val="001D70A7"/>
    <w:rsid w:val="001D7955"/>
    <w:rsid w:val="001D7F02"/>
    <w:rsid w:val="001E2104"/>
    <w:rsid w:val="001F34B3"/>
    <w:rsid w:val="00200538"/>
    <w:rsid w:val="00202CF8"/>
    <w:rsid w:val="002110FA"/>
    <w:rsid w:val="00217895"/>
    <w:rsid w:val="00220001"/>
    <w:rsid w:val="00221790"/>
    <w:rsid w:val="002257A4"/>
    <w:rsid w:val="00230936"/>
    <w:rsid w:val="00233DB9"/>
    <w:rsid w:val="00244604"/>
    <w:rsid w:val="00245CCE"/>
    <w:rsid w:val="00252F38"/>
    <w:rsid w:val="0025428D"/>
    <w:rsid w:val="00256B15"/>
    <w:rsid w:val="00261E17"/>
    <w:rsid w:val="00265E53"/>
    <w:rsid w:val="0027310B"/>
    <w:rsid w:val="002736F7"/>
    <w:rsid w:val="00273780"/>
    <w:rsid w:val="00274D9D"/>
    <w:rsid w:val="00276AAA"/>
    <w:rsid w:val="00277541"/>
    <w:rsid w:val="00277CC7"/>
    <w:rsid w:val="00287D6F"/>
    <w:rsid w:val="002937C3"/>
    <w:rsid w:val="00294DF9"/>
    <w:rsid w:val="002C3223"/>
    <w:rsid w:val="002C7886"/>
    <w:rsid w:val="002D0A91"/>
    <w:rsid w:val="002D4D1E"/>
    <w:rsid w:val="002D6B99"/>
    <w:rsid w:val="002F2AD3"/>
    <w:rsid w:val="002F3606"/>
    <w:rsid w:val="002F41D1"/>
    <w:rsid w:val="002F5803"/>
    <w:rsid w:val="002F6E68"/>
    <w:rsid w:val="00317BFB"/>
    <w:rsid w:val="0032148A"/>
    <w:rsid w:val="003366D2"/>
    <w:rsid w:val="003379F1"/>
    <w:rsid w:val="00337B07"/>
    <w:rsid w:val="003423C6"/>
    <w:rsid w:val="00342844"/>
    <w:rsid w:val="003464B5"/>
    <w:rsid w:val="00352769"/>
    <w:rsid w:val="003546B1"/>
    <w:rsid w:val="00356E83"/>
    <w:rsid w:val="00357A07"/>
    <w:rsid w:val="003619B4"/>
    <w:rsid w:val="003734C5"/>
    <w:rsid w:val="00384AA2"/>
    <w:rsid w:val="00395EE6"/>
    <w:rsid w:val="003A6106"/>
    <w:rsid w:val="003A610D"/>
    <w:rsid w:val="003B4F53"/>
    <w:rsid w:val="003C3E17"/>
    <w:rsid w:val="003C63B1"/>
    <w:rsid w:val="003C6EAC"/>
    <w:rsid w:val="003D0A44"/>
    <w:rsid w:val="003D2632"/>
    <w:rsid w:val="003D5E2A"/>
    <w:rsid w:val="003E290B"/>
    <w:rsid w:val="003E386B"/>
    <w:rsid w:val="003E4C8B"/>
    <w:rsid w:val="003E68E8"/>
    <w:rsid w:val="003F11AD"/>
    <w:rsid w:val="003F165F"/>
    <w:rsid w:val="003F17D6"/>
    <w:rsid w:val="003F3A16"/>
    <w:rsid w:val="003F6687"/>
    <w:rsid w:val="00415413"/>
    <w:rsid w:val="004168B0"/>
    <w:rsid w:val="00417830"/>
    <w:rsid w:val="00421EA2"/>
    <w:rsid w:val="00422F4A"/>
    <w:rsid w:val="004240F1"/>
    <w:rsid w:val="0042538A"/>
    <w:rsid w:val="00425DAC"/>
    <w:rsid w:val="004265C7"/>
    <w:rsid w:val="0043234C"/>
    <w:rsid w:val="00435C75"/>
    <w:rsid w:val="00435E97"/>
    <w:rsid w:val="00447A4E"/>
    <w:rsid w:val="00453E8F"/>
    <w:rsid w:val="00454882"/>
    <w:rsid w:val="00454F3B"/>
    <w:rsid w:val="00462B73"/>
    <w:rsid w:val="00465ECA"/>
    <w:rsid w:val="004720EA"/>
    <w:rsid w:val="004735B0"/>
    <w:rsid w:val="00474DE1"/>
    <w:rsid w:val="00477D1A"/>
    <w:rsid w:val="00480FD8"/>
    <w:rsid w:val="00484680"/>
    <w:rsid w:val="00491795"/>
    <w:rsid w:val="00495BDF"/>
    <w:rsid w:val="00496AE6"/>
    <w:rsid w:val="004A43B4"/>
    <w:rsid w:val="004B1C39"/>
    <w:rsid w:val="004B2C3E"/>
    <w:rsid w:val="004C29EE"/>
    <w:rsid w:val="004D2036"/>
    <w:rsid w:val="004D3A97"/>
    <w:rsid w:val="004D7292"/>
    <w:rsid w:val="004D78E3"/>
    <w:rsid w:val="004E177A"/>
    <w:rsid w:val="004E4800"/>
    <w:rsid w:val="004E5646"/>
    <w:rsid w:val="004E5A1D"/>
    <w:rsid w:val="004E696B"/>
    <w:rsid w:val="004F1E82"/>
    <w:rsid w:val="004F3781"/>
    <w:rsid w:val="004F4C1D"/>
    <w:rsid w:val="004F51CD"/>
    <w:rsid w:val="00500316"/>
    <w:rsid w:val="005020CA"/>
    <w:rsid w:val="005029FE"/>
    <w:rsid w:val="00503BE5"/>
    <w:rsid w:val="00505F7D"/>
    <w:rsid w:val="005222E9"/>
    <w:rsid w:val="00523A9F"/>
    <w:rsid w:val="00534D79"/>
    <w:rsid w:val="005468C5"/>
    <w:rsid w:val="00553264"/>
    <w:rsid w:val="00555222"/>
    <w:rsid w:val="00573306"/>
    <w:rsid w:val="0058082B"/>
    <w:rsid w:val="0058337D"/>
    <w:rsid w:val="00583927"/>
    <w:rsid w:val="005859DC"/>
    <w:rsid w:val="0058790C"/>
    <w:rsid w:val="005925ED"/>
    <w:rsid w:val="005949A2"/>
    <w:rsid w:val="00595385"/>
    <w:rsid w:val="00595C07"/>
    <w:rsid w:val="00597918"/>
    <w:rsid w:val="005A31B1"/>
    <w:rsid w:val="005A6EEA"/>
    <w:rsid w:val="005A70C4"/>
    <w:rsid w:val="005B3623"/>
    <w:rsid w:val="005C05B0"/>
    <w:rsid w:val="005C566D"/>
    <w:rsid w:val="005F6983"/>
    <w:rsid w:val="006118C5"/>
    <w:rsid w:val="00620A70"/>
    <w:rsid w:val="00623C37"/>
    <w:rsid w:val="0063114F"/>
    <w:rsid w:val="006311B7"/>
    <w:rsid w:val="00632DE6"/>
    <w:rsid w:val="00634C60"/>
    <w:rsid w:val="006352FD"/>
    <w:rsid w:val="00637543"/>
    <w:rsid w:val="006448F4"/>
    <w:rsid w:val="00647D13"/>
    <w:rsid w:val="006515E3"/>
    <w:rsid w:val="00652EC6"/>
    <w:rsid w:val="006577F0"/>
    <w:rsid w:val="0066339E"/>
    <w:rsid w:val="00665AFD"/>
    <w:rsid w:val="00666294"/>
    <w:rsid w:val="006748D5"/>
    <w:rsid w:val="0067647D"/>
    <w:rsid w:val="006800A1"/>
    <w:rsid w:val="00690B6D"/>
    <w:rsid w:val="00695C63"/>
    <w:rsid w:val="006A11DC"/>
    <w:rsid w:val="006A2BCE"/>
    <w:rsid w:val="006B034E"/>
    <w:rsid w:val="006B0421"/>
    <w:rsid w:val="006B0B49"/>
    <w:rsid w:val="006C3561"/>
    <w:rsid w:val="006C363F"/>
    <w:rsid w:val="006D37A4"/>
    <w:rsid w:val="006D4D4F"/>
    <w:rsid w:val="006E172F"/>
    <w:rsid w:val="006E6C30"/>
    <w:rsid w:val="006F028D"/>
    <w:rsid w:val="006F1CCB"/>
    <w:rsid w:val="006F52A5"/>
    <w:rsid w:val="007005C5"/>
    <w:rsid w:val="0070147B"/>
    <w:rsid w:val="00704D86"/>
    <w:rsid w:val="00706D31"/>
    <w:rsid w:val="00710286"/>
    <w:rsid w:val="007157F2"/>
    <w:rsid w:val="00716CC9"/>
    <w:rsid w:val="00725F4B"/>
    <w:rsid w:val="007271E1"/>
    <w:rsid w:val="00731313"/>
    <w:rsid w:val="00735CFA"/>
    <w:rsid w:val="00737F5D"/>
    <w:rsid w:val="0074181A"/>
    <w:rsid w:val="00744C78"/>
    <w:rsid w:val="00751B31"/>
    <w:rsid w:val="00751BF6"/>
    <w:rsid w:val="00757503"/>
    <w:rsid w:val="007576D5"/>
    <w:rsid w:val="007731AB"/>
    <w:rsid w:val="00774299"/>
    <w:rsid w:val="007779F6"/>
    <w:rsid w:val="0078234C"/>
    <w:rsid w:val="007A0643"/>
    <w:rsid w:val="007B6A60"/>
    <w:rsid w:val="007B795C"/>
    <w:rsid w:val="007C15CF"/>
    <w:rsid w:val="007D385F"/>
    <w:rsid w:val="007D512C"/>
    <w:rsid w:val="007D7002"/>
    <w:rsid w:val="007E5FFB"/>
    <w:rsid w:val="007E750E"/>
    <w:rsid w:val="00806A65"/>
    <w:rsid w:val="008104E6"/>
    <w:rsid w:val="00813DA1"/>
    <w:rsid w:val="00815FB9"/>
    <w:rsid w:val="0081786D"/>
    <w:rsid w:val="00823691"/>
    <w:rsid w:val="00830AC7"/>
    <w:rsid w:val="008323E4"/>
    <w:rsid w:val="00833C2F"/>
    <w:rsid w:val="008346E2"/>
    <w:rsid w:val="0083743E"/>
    <w:rsid w:val="008413F6"/>
    <w:rsid w:val="00844D84"/>
    <w:rsid w:val="00844FEE"/>
    <w:rsid w:val="00847BD4"/>
    <w:rsid w:val="008541BF"/>
    <w:rsid w:val="00862615"/>
    <w:rsid w:val="0086427E"/>
    <w:rsid w:val="00866042"/>
    <w:rsid w:val="008668E2"/>
    <w:rsid w:val="00873167"/>
    <w:rsid w:val="008829E3"/>
    <w:rsid w:val="008853A3"/>
    <w:rsid w:val="008977DF"/>
    <w:rsid w:val="00897F35"/>
    <w:rsid w:val="008A3969"/>
    <w:rsid w:val="008A57AE"/>
    <w:rsid w:val="008A7182"/>
    <w:rsid w:val="008A7905"/>
    <w:rsid w:val="008B2C4F"/>
    <w:rsid w:val="008C1051"/>
    <w:rsid w:val="008C3E88"/>
    <w:rsid w:val="008C6AC2"/>
    <w:rsid w:val="008D7E29"/>
    <w:rsid w:val="008E4BC0"/>
    <w:rsid w:val="008F0F88"/>
    <w:rsid w:val="008F20AD"/>
    <w:rsid w:val="00901F79"/>
    <w:rsid w:val="00903BC0"/>
    <w:rsid w:val="00903E44"/>
    <w:rsid w:val="0090485C"/>
    <w:rsid w:val="009154A7"/>
    <w:rsid w:val="00915684"/>
    <w:rsid w:val="0092238A"/>
    <w:rsid w:val="00923B2A"/>
    <w:rsid w:val="00927088"/>
    <w:rsid w:val="00930892"/>
    <w:rsid w:val="00931AF2"/>
    <w:rsid w:val="00935AE4"/>
    <w:rsid w:val="00935DDC"/>
    <w:rsid w:val="0095047E"/>
    <w:rsid w:val="00953E11"/>
    <w:rsid w:val="00964493"/>
    <w:rsid w:val="0097016C"/>
    <w:rsid w:val="00970379"/>
    <w:rsid w:val="00970C50"/>
    <w:rsid w:val="00973606"/>
    <w:rsid w:val="00982922"/>
    <w:rsid w:val="00992E78"/>
    <w:rsid w:val="00993A57"/>
    <w:rsid w:val="009A4822"/>
    <w:rsid w:val="009A4D09"/>
    <w:rsid w:val="009B12B9"/>
    <w:rsid w:val="009B1F30"/>
    <w:rsid w:val="009B226A"/>
    <w:rsid w:val="009C5058"/>
    <w:rsid w:val="00A02221"/>
    <w:rsid w:val="00A03907"/>
    <w:rsid w:val="00A0529A"/>
    <w:rsid w:val="00A07380"/>
    <w:rsid w:val="00A27B20"/>
    <w:rsid w:val="00A305E3"/>
    <w:rsid w:val="00A30FBC"/>
    <w:rsid w:val="00A40E81"/>
    <w:rsid w:val="00A411C6"/>
    <w:rsid w:val="00A4214B"/>
    <w:rsid w:val="00A45954"/>
    <w:rsid w:val="00A4689F"/>
    <w:rsid w:val="00A55895"/>
    <w:rsid w:val="00A61F36"/>
    <w:rsid w:val="00A62F68"/>
    <w:rsid w:val="00A67B46"/>
    <w:rsid w:val="00A714C3"/>
    <w:rsid w:val="00A90B92"/>
    <w:rsid w:val="00A93B7A"/>
    <w:rsid w:val="00A95CBD"/>
    <w:rsid w:val="00A97CF0"/>
    <w:rsid w:val="00AA478F"/>
    <w:rsid w:val="00AB700D"/>
    <w:rsid w:val="00AC0F35"/>
    <w:rsid w:val="00AC2343"/>
    <w:rsid w:val="00AC289E"/>
    <w:rsid w:val="00AD2F8D"/>
    <w:rsid w:val="00AD7E7D"/>
    <w:rsid w:val="00AF30DE"/>
    <w:rsid w:val="00AF6176"/>
    <w:rsid w:val="00B01D6B"/>
    <w:rsid w:val="00B20B15"/>
    <w:rsid w:val="00B215AC"/>
    <w:rsid w:val="00B2461E"/>
    <w:rsid w:val="00B24ED9"/>
    <w:rsid w:val="00B26AA7"/>
    <w:rsid w:val="00B33982"/>
    <w:rsid w:val="00B35F1C"/>
    <w:rsid w:val="00B43713"/>
    <w:rsid w:val="00B5354A"/>
    <w:rsid w:val="00B5585F"/>
    <w:rsid w:val="00B66772"/>
    <w:rsid w:val="00B73055"/>
    <w:rsid w:val="00B77A20"/>
    <w:rsid w:val="00B80FC3"/>
    <w:rsid w:val="00B90064"/>
    <w:rsid w:val="00B95B08"/>
    <w:rsid w:val="00BA05D6"/>
    <w:rsid w:val="00BA10AC"/>
    <w:rsid w:val="00BA58B8"/>
    <w:rsid w:val="00BA6E3C"/>
    <w:rsid w:val="00BA7BBC"/>
    <w:rsid w:val="00BB1C29"/>
    <w:rsid w:val="00BB7E95"/>
    <w:rsid w:val="00BC3D4F"/>
    <w:rsid w:val="00BC7AA2"/>
    <w:rsid w:val="00BE0EAB"/>
    <w:rsid w:val="00BE6E2C"/>
    <w:rsid w:val="00BF3124"/>
    <w:rsid w:val="00BF3419"/>
    <w:rsid w:val="00BF460E"/>
    <w:rsid w:val="00C039B0"/>
    <w:rsid w:val="00C07FC2"/>
    <w:rsid w:val="00C139FC"/>
    <w:rsid w:val="00C13F4C"/>
    <w:rsid w:val="00C1609D"/>
    <w:rsid w:val="00C168E9"/>
    <w:rsid w:val="00C22D01"/>
    <w:rsid w:val="00C27A82"/>
    <w:rsid w:val="00C27EBB"/>
    <w:rsid w:val="00C65B21"/>
    <w:rsid w:val="00C72B8A"/>
    <w:rsid w:val="00C72B9A"/>
    <w:rsid w:val="00C74103"/>
    <w:rsid w:val="00C81618"/>
    <w:rsid w:val="00C837DD"/>
    <w:rsid w:val="00C84031"/>
    <w:rsid w:val="00C86961"/>
    <w:rsid w:val="00C86CD1"/>
    <w:rsid w:val="00C86FFA"/>
    <w:rsid w:val="00C9328F"/>
    <w:rsid w:val="00CA1D8F"/>
    <w:rsid w:val="00CA76A4"/>
    <w:rsid w:val="00CB2391"/>
    <w:rsid w:val="00CB4F81"/>
    <w:rsid w:val="00CB771D"/>
    <w:rsid w:val="00CB77F0"/>
    <w:rsid w:val="00CC2FCF"/>
    <w:rsid w:val="00CC61FA"/>
    <w:rsid w:val="00CD2BCD"/>
    <w:rsid w:val="00CD32EC"/>
    <w:rsid w:val="00CE0079"/>
    <w:rsid w:val="00CF1F71"/>
    <w:rsid w:val="00CF672A"/>
    <w:rsid w:val="00D115D2"/>
    <w:rsid w:val="00D15A87"/>
    <w:rsid w:val="00D176C9"/>
    <w:rsid w:val="00D25AC5"/>
    <w:rsid w:val="00D34B21"/>
    <w:rsid w:val="00D3540D"/>
    <w:rsid w:val="00D40F0C"/>
    <w:rsid w:val="00D420B4"/>
    <w:rsid w:val="00D50FE6"/>
    <w:rsid w:val="00D54C48"/>
    <w:rsid w:val="00D56835"/>
    <w:rsid w:val="00D5738B"/>
    <w:rsid w:val="00D57BB9"/>
    <w:rsid w:val="00D61F11"/>
    <w:rsid w:val="00D62A4A"/>
    <w:rsid w:val="00D62FFD"/>
    <w:rsid w:val="00D63D1D"/>
    <w:rsid w:val="00D658CA"/>
    <w:rsid w:val="00D66A33"/>
    <w:rsid w:val="00D66DD9"/>
    <w:rsid w:val="00D70A65"/>
    <w:rsid w:val="00D7730D"/>
    <w:rsid w:val="00D80D09"/>
    <w:rsid w:val="00D84191"/>
    <w:rsid w:val="00D85A61"/>
    <w:rsid w:val="00D955C3"/>
    <w:rsid w:val="00DA76C3"/>
    <w:rsid w:val="00DB256D"/>
    <w:rsid w:val="00DB2EF3"/>
    <w:rsid w:val="00DB3DC1"/>
    <w:rsid w:val="00DB4FC0"/>
    <w:rsid w:val="00DB6304"/>
    <w:rsid w:val="00DC1F35"/>
    <w:rsid w:val="00DC2689"/>
    <w:rsid w:val="00DC39A1"/>
    <w:rsid w:val="00DC4FF9"/>
    <w:rsid w:val="00DC6D67"/>
    <w:rsid w:val="00DD00BA"/>
    <w:rsid w:val="00DD0585"/>
    <w:rsid w:val="00DD7227"/>
    <w:rsid w:val="00DD7442"/>
    <w:rsid w:val="00DE2590"/>
    <w:rsid w:val="00DF1270"/>
    <w:rsid w:val="00DF7769"/>
    <w:rsid w:val="00E072E1"/>
    <w:rsid w:val="00E07DA0"/>
    <w:rsid w:val="00E13168"/>
    <w:rsid w:val="00E20512"/>
    <w:rsid w:val="00E24D80"/>
    <w:rsid w:val="00E312BF"/>
    <w:rsid w:val="00E31423"/>
    <w:rsid w:val="00E36B5D"/>
    <w:rsid w:val="00E407C1"/>
    <w:rsid w:val="00E40B43"/>
    <w:rsid w:val="00E41AA4"/>
    <w:rsid w:val="00E4728A"/>
    <w:rsid w:val="00E5386C"/>
    <w:rsid w:val="00E6525D"/>
    <w:rsid w:val="00E65E49"/>
    <w:rsid w:val="00E71B32"/>
    <w:rsid w:val="00E71B93"/>
    <w:rsid w:val="00E82FD7"/>
    <w:rsid w:val="00E94ACD"/>
    <w:rsid w:val="00E95B41"/>
    <w:rsid w:val="00E96F11"/>
    <w:rsid w:val="00EA61D3"/>
    <w:rsid w:val="00EB2A21"/>
    <w:rsid w:val="00EB3F63"/>
    <w:rsid w:val="00EB5CCB"/>
    <w:rsid w:val="00EC7128"/>
    <w:rsid w:val="00EC77AD"/>
    <w:rsid w:val="00EE1D77"/>
    <w:rsid w:val="00EE4CB4"/>
    <w:rsid w:val="00EE5D1F"/>
    <w:rsid w:val="00EE6CF1"/>
    <w:rsid w:val="00EF158C"/>
    <w:rsid w:val="00EF6719"/>
    <w:rsid w:val="00F023B3"/>
    <w:rsid w:val="00F0580F"/>
    <w:rsid w:val="00F12545"/>
    <w:rsid w:val="00F14F44"/>
    <w:rsid w:val="00F15D4F"/>
    <w:rsid w:val="00F23F93"/>
    <w:rsid w:val="00F311D5"/>
    <w:rsid w:val="00F321F5"/>
    <w:rsid w:val="00F35854"/>
    <w:rsid w:val="00F4689F"/>
    <w:rsid w:val="00F507AE"/>
    <w:rsid w:val="00F514FD"/>
    <w:rsid w:val="00F54D4A"/>
    <w:rsid w:val="00F55D34"/>
    <w:rsid w:val="00F66372"/>
    <w:rsid w:val="00F66E3E"/>
    <w:rsid w:val="00F7238A"/>
    <w:rsid w:val="00F75413"/>
    <w:rsid w:val="00F76EF5"/>
    <w:rsid w:val="00F836C5"/>
    <w:rsid w:val="00F928A3"/>
    <w:rsid w:val="00F9713A"/>
    <w:rsid w:val="00FA7F38"/>
    <w:rsid w:val="00FB5AB9"/>
    <w:rsid w:val="00FC0AD9"/>
    <w:rsid w:val="00FC14B1"/>
    <w:rsid w:val="00FC2FC0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9559D"/>
  <w15:chartTrackingRefBased/>
  <w15:docId w15:val="{CFEF1471-04E3-4CA2-BD38-9F58EFE3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E27"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0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D70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E27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0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0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0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D70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0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0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0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0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0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0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0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0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0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0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D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ListParagraph"/>
    <w:qFormat/>
    <w:rsid w:val="001D70A7"/>
    <w:pPr>
      <w:numPr>
        <w:numId w:val="1"/>
      </w:numPr>
      <w:spacing w:line="240" w:lineRule="auto"/>
      <w:contextualSpacing w:val="0"/>
    </w:pPr>
    <w:rPr>
      <w:rFonts w:eastAsia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4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FEE"/>
  </w:style>
  <w:style w:type="paragraph" w:styleId="Footer">
    <w:name w:val="footer"/>
    <w:basedOn w:val="Normal"/>
    <w:link w:val="FooterChar"/>
    <w:uiPriority w:val="99"/>
    <w:unhideWhenUsed/>
    <w:rsid w:val="00844F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FEE"/>
  </w:style>
  <w:style w:type="paragraph" w:styleId="Revision">
    <w:name w:val="Revision"/>
    <w:hidden/>
    <w:uiPriority w:val="99"/>
    <w:semiHidden/>
    <w:rsid w:val="0050031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0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1681</Words>
  <Characters>9458</Characters>
  <Application>Microsoft Office Word</Application>
  <DocSecurity>4</DocSecurity>
  <Lines>393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Response to the Mid-Term Review of the Tautua: Human Development for All Program</dc:title>
  <dc:subject/>
  <dc:creator>Shirley Vaafusuaga</dc:creator>
  <cp:keywords/>
  <dc:description/>
  <cp:revision>2</cp:revision>
  <cp:lastPrinted>2026-06-30T00:28:00Z</cp:lastPrinted>
  <dcterms:created xsi:type="dcterms:W3CDTF">2026-06-30T04:40:00Z</dcterms:created>
  <dcterms:modified xsi:type="dcterms:W3CDTF">2026-06-30T04:40:00Z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2a05ae56,106113ab,7a30e049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21974ce4,1dedfafe,15a1a4ac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