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DA4017" w14:textId="0B339E05" w:rsidR="0068140D" w:rsidRPr="0068140D" w:rsidRDefault="0068140D" w:rsidP="00DF5451">
      <w:pPr>
        <w:tabs>
          <w:tab w:val="left" w:pos="1170"/>
        </w:tabs>
        <w:spacing w:before="8760"/>
        <w:rPr>
          <w:rStyle w:val="MajorHeading"/>
          <w:sz w:val="40"/>
          <w:szCs w:val="40"/>
        </w:rPr>
      </w:pPr>
      <w:r>
        <w:rPr>
          <w:noProof/>
        </w:rPr>
        <w:drawing>
          <wp:anchor distT="0" distB="0" distL="114300" distR="114300" simplePos="0" relativeHeight="251658240" behindDoc="1" locked="0" layoutInCell="1" allowOverlap="1" wp14:anchorId="7DB5A0FF" wp14:editId="05063271">
            <wp:simplePos x="0" y="0"/>
            <wp:positionH relativeFrom="column">
              <wp:posOffset>-281112</wp:posOffset>
            </wp:positionH>
            <wp:positionV relativeFrom="page">
              <wp:posOffset>4445</wp:posOffset>
            </wp:positionV>
            <wp:extent cx="7595870" cy="10749280"/>
            <wp:effectExtent l="0" t="0" r="0" b="0"/>
            <wp:wrapNone/>
            <wp:docPr id="1986404317" name="Picture 3" descr="Strategic Development Group logo and decorative graphic">
              <a:extLst xmlns:a="http://schemas.openxmlformats.org/drawingml/2006/main">
                <a:ext uri="{C183D7F6-B498-43B3-948B-1728B52AA6E4}">
                  <adec:decorative xmlns:adec="http://schemas.microsoft.com/office/drawing/2017/decorative" val="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86404317" name="Picture 3" descr="Strategic Development Group logo and decorative graphic">
                      <a:extLst>
                        <a:ext uri="{C183D7F6-B498-43B3-948B-1728B52AA6E4}">
                          <adec:decorative xmlns:adec="http://schemas.microsoft.com/office/drawing/2017/decorative" val="0"/>
                        </a:ext>
                      </a:extLst>
                    </pic:cNvPr>
                    <pic:cNvPicPr/>
                  </pic:nvPicPr>
                  <pic:blipFill>
                    <a:blip r:embed="rId7">
                      <a:extLst>
                        <a:ext uri="{28A0092B-C50C-407E-A947-70E740481C1C}">
                          <a14:useLocalDpi xmlns:a14="http://schemas.microsoft.com/office/drawing/2010/main" val="0"/>
                        </a:ext>
                      </a:extLst>
                    </a:blip>
                    <a:stretch>
                      <a:fillRect/>
                    </a:stretch>
                  </pic:blipFill>
                  <pic:spPr>
                    <a:xfrm>
                      <a:off x="0" y="0"/>
                      <a:ext cx="7595870" cy="10749280"/>
                    </a:xfrm>
                    <a:prstGeom prst="rect">
                      <a:avLst/>
                    </a:prstGeom>
                  </pic:spPr>
                </pic:pic>
              </a:graphicData>
            </a:graphic>
            <wp14:sizeRelH relativeFrom="page">
              <wp14:pctWidth>0</wp14:pctWidth>
            </wp14:sizeRelH>
            <wp14:sizeRelV relativeFrom="page">
              <wp14:pctHeight>0</wp14:pctHeight>
            </wp14:sizeRelV>
          </wp:anchor>
        </w:drawing>
      </w:r>
      <w:r w:rsidRPr="0068140D">
        <w:rPr>
          <w:rStyle w:val="MajorHeading"/>
          <w:sz w:val="40"/>
          <w:szCs w:val="40"/>
        </w:rPr>
        <w:t>Mid-Term Review:</w:t>
      </w:r>
    </w:p>
    <w:p w14:paraId="5BD9A080" w14:textId="77777777" w:rsidR="0068140D" w:rsidRPr="0068140D" w:rsidRDefault="0068140D" w:rsidP="0068140D">
      <w:pPr>
        <w:pStyle w:val="Subheading"/>
        <w:jc w:val="left"/>
        <w:rPr>
          <w:rStyle w:val="MajorHeading"/>
          <w:sz w:val="40"/>
          <w:szCs w:val="40"/>
        </w:rPr>
      </w:pPr>
      <w:r w:rsidRPr="0068140D">
        <w:rPr>
          <w:rStyle w:val="MajorHeading"/>
          <w:sz w:val="40"/>
          <w:szCs w:val="40"/>
        </w:rPr>
        <w:t xml:space="preserve">Tuvalu Australia Partnership for </w:t>
      </w:r>
    </w:p>
    <w:p w14:paraId="46EF28CA" w14:textId="77777777" w:rsidR="0068140D" w:rsidRPr="00494ED2" w:rsidRDefault="0068140D" w:rsidP="0068140D">
      <w:pPr>
        <w:pStyle w:val="Subheading"/>
        <w:jc w:val="left"/>
        <w:rPr>
          <w:rFonts w:ascii="Oswald Medium" w:hAnsi="Oswald Medium"/>
          <w:color w:val="1F3864" w:themeColor="accent1" w:themeShade="80"/>
          <w:sz w:val="48"/>
          <w:szCs w:val="48"/>
        </w:rPr>
      </w:pPr>
      <w:r w:rsidRPr="0068140D">
        <w:rPr>
          <w:rStyle w:val="MajorHeading"/>
          <w:sz w:val="40"/>
          <w:szCs w:val="40"/>
        </w:rPr>
        <w:t>Quality Education (TAPQE) Program</w:t>
      </w:r>
      <w:r w:rsidRPr="004537A4">
        <w:rPr>
          <w:rStyle w:val="MajorHeading"/>
          <w:sz w:val="44"/>
          <w:szCs w:val="44"/>
        </w:rPr>
        <w:br/>
      </w:r>
      <w:r w:rsidRPr="0068140D">
        <w:rPr>
          <w:rStyle w:val="MajorHeading"/>
          <w:rFonts w:asciiTheme="majorHAnsi" w:hAnsiTheme="majorHAnsi" w:cstheme="majorHAnsi"/>
          <w:sz w:val="40"/>
          <w:szCs w:val="40"/>
        </w:rPr>
        <w:t>Australian High Commission, Funafuti</w:t>
      </w:r>
      <w:r w:rsidRPr="009522FA">
        <w:br/>
      </w:r>
      <w:r>
        <w:br/>
      </w:r>
      <w:r>
        <w:rPr>
          <w:color w:val="C34523"/>
          <w:sz w:val="40"/>
          <w:szCs w:val="40"/>
        </w:rPr>
        <w:t>February 2025</w:t>
      </w:r>
    </w:p>
    <w:p w14:paraId="526E409F" w14:textId="77777777" w:rsidR="0068140D" w:rsidRDefault="0068140D" w:rsidP="00DF5451">
      <w:pPr>
        <w:rPr>
          <w:rStyle w:val="MajorHeading"/>
          <w:rFonts w:asciiTheme="majorHAnsi" w:eastAsiaTheme="minorEastAsia" w:hAnsiTheme="majorHAnsi"/>
          <w:b/>
          <w:noProof/>
        </w:rPr>
      </w:pPr>
    </w:p>
    <w:p w14:paraId="599179B6" w14:textId="21232F8A" w:rsidR="00984E01" w:rsidRPr="00876E35" w:rsidRDefault="00984E01" w:rsidP="00DF5451">
      <w:pPr>
        <w:rPr>
          <w:rStyle w:val="MajorHeading"/>
          <w:rFonts w:asciiTheme="majorHAnsi" w:eastAsiaTheme="minorEastAsia" w:hAnsiTheme="majorHAnsi"/>
          <w:b/>
          <w:noProof/>
        </w:rPr>
        <w:sectPr w:rsidR="00984E01" w:rsidRPr="00876E35" w:rsidSect="00984E01">
          <w:footerReference w:type="even" r:id="rId8"/>
          <w:pgSz w:w="11900" w:h="16840"/>
          <w:pgMar w:top="1418" w:right="1440" w:bottom="1440" w:left="1440" w:header="709" w:footer="709" w:gutter="0"/>
          <w:cols w:space="708"/>
          <w:docGrid w:linePitch="360"/>
        </w:sectPr>
      </w:pPr>
    </w:p>
    <w:sdt>
      <w:sdtPr>
        <w:rPr>
          <w:rFonts w:ascii="Oswald Medium" w:hAnsi="Oswald Medium"/>
          <w:color w:val="1F3864" w:themeColor="accent1" w:themeShade="80"/>
          <w:sz w:val="48"/>
          <w:szCs w:val="48"/>
          <w:lang w:val="en-GB"/>
        </w:rPr>
        <w:id w:val="79946786"/>
        <w:docPartObj>
          <w:docPartGallery w:val="Table of Contents"/>
          <w:docPartUnique/>
        </w:docPartObj>
      </w:sdtPr>
      <w:sdtEndPr>
        <w:rPr>
          <w:b/>
          <w:bCs/>
        </w:rPr>
      </w:sdtEndPr>
      <w:sdtContent>
        <w:p w14:paraId="646D7F71" w14:textId="59ED5EFA" w:rsidR="00ED1DE3" w:rsidRDefault="00ED1DE3" w:rsidP="00226301">
          <w:r>
            <w:rPr>
              <w:lang w:val="en-GB"/>
            </w:rPr>
            <w:t>Contents</w:t>
          </w:r>
        </w:p>
        <w:p w14:paraId="45A53C79" w14:textId="079E0764" w:rsidR="00BD77DC" w:rsidRDefault="00ED1DE3">
          <w:pPr>
            <w:pStyle w:val="TOC1"/>
            <w:tabs>
              <w:tab w:val="right" w:leader="dot" w:pos="9010"/>
            </w:tabs>
            <w:rPr>
              <w:rFonts w:eastAsiaTheme="minorEastAsia" w:cstheme="minorBidi"/>
              <w:noProof/>
              <w:color w:val="auto"/>
              <w:kern w:val="2"/>
              <w:sz w:val="24"/>
              <w:szCs w:val="24"/>
              <w:lang w:val="en-AU" w:eastAsia="en-AU"/>
              <w14:ligatures w14:val="standardContextual"/>
            </w:rPr>
          </w:pPr>
          <w:r>
            <w:fldChar w:fldCharType="begin"/>
          </w:r>
          <w:r>
            <w:instrText xml:space="preserve"> TOC \o "1-3" \h \z \u </w:instrText>
          </w:r>
          <w:r>
            <w:fldChar w:fldCharType="separate"/>
          </w:r>
          <w:hyperlink w:anchor="_Toc209431940" w:history="1">
            <w:r w:rsidR="00BD77DC" w:rsidRPr="002F7680">
              <w:rPr>
                <w:rStyle w:val="Hyperlink"/>
                <w:noProof/>
              </w:rPr>
              <w:t>List of Abbreviations</w:t>
            </w:r>
            <w:r w:rsidR="00BD77DC">
              <w:rPr>
                <w:noProof/>
                <w:webHidden/>
              </w:rPr>
              <w:tab/>
            </w:r>
            <w:r w:rsidR="00BD77DC">
              <w:rPr>
                <w:noProof/>
                <w:webHidden/>
              </w:rPr>
              <w:fldChar w:fldCharType="begin"/>
            </w:r>
            <w:r w:rsidR="00BD77DC">
              <w:rPr>
                <w:noProof/>
                <w:webHidden/>
              </w:rPr>
              <w:instrText xml:space="preserve"> PAGEREF _Toc209431940 \h </w:instrText>
            </w:r>
            <w:r w:rsidR="00BD77DC">
              <w:rPr>
                <w:noProof/>
                <w:webHidden/>
              </w:rPr>
            </w:r>
            <w:r w:rsidR="00BD77DC">
              <w:rPr>
                <w:noProof/>
                <w:webHidden/>
              </w:rPr>
              <w:fldChar w:fldCharType="separate"/>
            </w:r>
            <w:r w:rsidR="00BD77DC">
              <w:rPr>
                <w:noProof/>
                <w:webHidden/>
              </w:rPr>
              <w:t>1</w:t>
            </w:r>
            <w:r w:rsidR="00BD77DC">
              <w:rPr>
                <w:noProof/>
                <w:webHidden/>
              </w:rPr>
              <w:fldChar w:fldCharType="end"/>
            </w:r>
          </w:hyperlink>
        </w:p>
        <w:p w14:paraId="6F0DD5D8" w14:textId="7194E9EF" w:rsidR="00BD77DC" w:rsidRDefault="00BD77DC">
          <w:pPr>
            <w:pStyle w:val="TOC1"/>
            <w:tabs>
              <w:tab w:val="right" w:leader="dot" w:pos="9010"/>
            </w:tabs>
            <w:rPr>
              <w:rFonts w:eastAsiaTheme="minorEastAsia" w:cstheme="minorBidi"/>
              <w:noProof/>
              <w:color w:val="auto"/>
              <w:kern w:val="2"/>
              <w:sz w:val="24"/>
              <w:szCs w:val="24"/>
              <w:lang w:val="en-AU" w:eastAsia="en-AU"/>
              <w14:ligatures w14:val="standardContextual"/>
            </w:rPr>
          </w:pPr>
          <w:hyperlink w:anchor="_Toc209431941" w:history="1">
            <w:r w:rsidRPr="002F7680">
              <w:rPr>
                <w:rStyle w:val="Hyperlink"/>
                <w:noProof/>
              </w:rPr>
              <w:t>Executive Summary</w:t>
            </w:r>
            <w:r>
              <w:rPr>
                <w:noProof/>
                <w:webHidden/>
              </w:rPr>
              <w:tab/>
            </w:r>
            <w:r>
              <w:rPr>
                <w:noProof/>
                <w:webHidden/>
              </w:rPr>
              <w:fldChar w:fldCharType="begin"/>
            </w:r>
            <w:r>
              <w:rPr>
                <w:noProof/>
                <w:webHidden/>
              </w:rPr>
              <w:instrText xml:space="preserve"> PAGEREF _Toc209431941 \h </w:instrText>
            </w:r>
            <w:r>
              <w:rPr>
                <w:noProof/>
                <w:webHidden/>
              </w:rPr>
            </w:r>
            <w:r>
              <w:rPr>
                <w:noProof/>
                <w:webHidden/>
              </w:rPr>
              <w:fldChar w:fldCharType="separate"/>
            </w:r>
            <w:r>
              <w:rPr>
                <w:noProof/>
                <w:webHidden/>
              </w:rPr>
              <w:t>2</w:t>
            </w:r>
            <w:r>
              <w:rPr>
                <w:noProof/>
                <w:webHidden/>
              </w:rPr>
              <w:fldChar w:fldCharType="end"/>
            </w:r>
          </w:hyperlink>
        </w:p>
        <w:p w14:paraId="00D1A693" w14:textId="2D52D83A" w:rsidR="00BD77DC" w:rsidRDefault="00BD77DC">
          <w:pPr>
            <w:pStyle w:val="TOC1"/>
            <w:tabs>
              <w:tab w:val="right" w:leader="dot" w:pos="9010"/>
            </w:tabs>
            <w:rPr>
              <w:rFonts w:eastAsiaTheme="minorEastAsia" w:cstheme="minorBidi"/>
              <w:noProof/>
              <w:color w:val="auto"/>
              <w:kern w:val="2"/>
              <w:sz w:val="24"/>
              <w:szCs w:val="24"/>
              <w:lang w:val="en-AU" w:eastAsia="en-AU"/>
              <w14:ligatures w14:val="standardContextual"/>
            </w:rPr>
          </w:pPr>
          <w:hyperlink w:anchor="_Toc209431942" w:history="1">
            <w:r w:rsidRPr="002F7680">
              <w:rPr>
                <w:rStyle w:val="Hyperlink"/>
                <w:noProof/>
              </w:rPr>
              <w:t>Introduction</w:t>
            </w:r>
            <w:r>
              <w:rPr>
                <w:noProof/>
                <w:webHidden/>
              </w:rPr>
              <w:tab/>
            </w:r>
            <w:r>
              <w:rPr>
                <w:noProof/>
                <w:webHidden/>
              </w:rPr>
              <w:fldChar w:fldCharType="begin"/>
            </w:r>
            <w:r>
              <w:rPr>
                <w:noProof/>
                <w:webHidden/>
              </w:rPr>
              <w:instrText xml:space="preserve"> PAGEREF _Toc209431942 \h </w:instrText>
            </w:r>
            <w:r>
              <w:rPr>
                <w:noProof/>
                <w:webHidden/>
              </w:rPr>
            </w:r>
            <w:r>
              <w:rPr>
                <w:noProof/>
                <w:webHidden/>
              </w:rPr>
              <w:fldChar w:fldCharType="separate"/>
            </w:r>
            <w:r>
              <w:rPr>
                <w:noProof/>
                <w:webHidden/>
              </w:rPr>
              <w:t>6</w:t>
            </w:r>
            <w:r>
              <w:rPr>
                <w:noProof/>
                <w:webHidden/>
              </w:rPr>
              <w:fldChar w:fldCharType="end"/>
            </w:r>
          </w:hyperlink>
        </w:p>
        <w:p w14:paraId="05F0067C" w14:textId="086A9FB4"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3" w:history="1">
            <w:r w:rsidRPr="002F7680">
              <w:rPr>
                <w:rStyle w:val="Hyperlink"/>
                <w:noProof/>
              </w:rPr>
              <w:t>TAPQE Program</w:t>
            </w:r>
            <w:r>
              <w:rPr>
                <w:noProof/>
                <w:webHidden/>
              </w:rPr>
              <w:tab/>
            </w:r>
            <w:r>
              <w:rPr>
                <w:noProof/>
                <w:webHidden/>
              </w:rPr>
              <w:fldChar w:fldCharType="begin"/>
            </w:r>
            <w:r>
              <w:rPr>
                <w:noProof/>
                <w:webHidden/>
              </w:rPr>
              <w:instrText xml:space="preserve"> PAGEREF _Toc209431943 \h </w:instrText>
            </w:r>
            <w:r>
              <w:rPr>
                <w:noProof/>
                <w:webHidden/>
              </w:rPr>
            </w:r>
            <w:r>
              <w:rPr>
                <w:noProof/>
                <w:webHidden/>
              </w:rPr>
              <w:fldChar w:fldCharType="separate"/>
            </w:r>
            <w:r>
              <w:rPr>
                <w:noProof/>
                <w:webHidden/>
              </w:rPr>
              <w:t>6</w:t>
            </w:r>
            <w:r>
              <w:rPr>
                <w:noProof/>
                <w:webHidden/>
              </w:rPr>
              <w:fldChar w:fldCharType="end"/>
            </w:r>
          </w:hyperlink>
        </w:p>
        <w:p w14:paraId="6435758C" w14:textId="52501144"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4" w:history="1">
            <w:r w:rsidRPr="002F7680">
              <w:rPr>
                <w:rStyle w:val="Hyperlink"/>
                <w:noProof/>
              </w:rPr>
              <w:t>Mid-Term Review (MTR) Purpose</w:t>
            </w:r>
            <w:r>
              <w:rPr>
                <w:noProof/>
                <w:webHidden/>
              </w:rPr>
              <w:tab/>
            </w:r>
            <w:r>
              <w:rPr>
                <w:noProof/>
                <w:webHidden/>
              </w:rPr>
              <w:fldChar w:fldCharType="begin"/>
            </w:r>
            <w:r>
              <w:rPr>
                <w:noProof/>
                <w:webHidden/>
              </w:rPr>
              <w:instrText xml:space="preserve"> PAGEREF _Toc209431944 \h </w:instrText>
            </w:r>
            <w:r>
              <w:rPr>
                <w:noProof/>
                <w:webHidden/>
              </w:rPr>
            </w:r>
            <w:r>
              <w:rPr>
                <w:noProof/>
                <w:webHidden/>
              </w:rPr>
              <w:fldChar w:fldCharType="separate"/>
            </w:r>
            <w:r>
              <w:rPr>
                <w:noProof/>
                <w:webHidden/>
              </w:rPr>
              <w:t>7</w:t>
            </w:r>
            <w:r>
              <w:rPr>
                <w:noProof/>
                <w:webHidden/>
              </w:rPr>
              <w:fldChar w:fldCharType="end"/>
            </w:r>
          </w:hyperlink>
        </w:p>
        <w:p w14:paraId="71EB7187" w14:textId="4A7220A6"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5" w:history="1">
            <w:r w:rsidRPr="002F7680">
              <w:rPr>
                <w:rStyle w:val="Hyperlink"/>
                <w:noProof/>
              </w:rPr>
              <w:t>Methodology</w:t>
            </w:r>
            <w:r>
              <w:rPr>
                <w:noProof/>
                <w:webHidden/>
              </w:rPr>
              <w:tab/>
            </w:r>
            <w:r>
              <w:rPr>
                <w:noProof/>
                <w:webHidden/>
              </w:rPr>
              <w:fldChar w:fldCharType="begin"/>
            </w:r>
            <w:r>
              <w:rPr>
                <w:noProof/>
                <w:webHidden/>
              </w:rPr>
              <w:instrText xml:space="preserve"> PAGEREF _Toc209431945 \h </w:instrText>
            </w:r>
            <w:r>
              <w:rPr>
                <w:noProof/>
                <w:webHidden/>
              </w:rPr>
            </w:r>
            <w:r>
              <w:rPr>
                <w:noProof/>
                <w:webHidden/>
              </w:rPr>
              <w:fldChar w:fldCharType="separate"/>
            </w:r>
            <w:r>
              <w:rPr>
                <w:noProof/>
                <w:webHidden/>
              </w:rPr>
              <w:t>7</w:t>
            </w:r>
            <w:r>
              <w:rPr>
                <w:noProof/>
                <w:webHidden/>
              </w:rPr>
              <w:fldChar w:fldCharType="end"/>
            </w:r>
          </w:hyperlink>
        </w:p>
        <w:p w14:paraId="706F37AF" w14:textId="29D42A21"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6" w:history="1">
            <w:r w:rsidRPr="002F7680">
              <w:rPr>
                <w:rStyle w:val="Hyperlink"/>
                <w:noProof/>
              </w:rPr>
              <w:t>Limitations</w:t>
            </w:r>
            <w:r>
              <w:rPr>
                <w:noProof/>
                <w:webHidden/>
              </w:rPr>
              <w:tab/>
            </w:r>
            <w:r>
              <w:rPr>
                <w:noProof/>
                <w:webHidden/>
              </w:rPr>
              <w:fldChar w:fldCharType="begin"/>
            </w:r>
            <w:r>
              <w:rPr>
                <w:noProof/>
                <w:webHidden/>
              </w:rPr>
              <w:instrText xml:space="preserve"> PAGEREF _Toc209431946 \h </w:instrText>
            </w:r>
            <w:r>
              <w:rPr>
                <w:noProof/>
                <w:webHidden/>
              </w:rPr>
            </w:r>
            <w:r>
              <w:rPr>
                <w:noProof/>
                <w:webHidden/>
              </w:rPr>
              <w:fldChar w:fldCharType="separate"/>
            </w:r>
            <w:r>
              <w:rPr>
                <w:noProof/>
                <w:webHidden/>
              </w:rPr>
              <w:t>8</w:t>
            </w:r>
            <w:r>
              <w:rPr>
                <w:noProof/>
                <w:webHidden/>
              </w:rPr>
              <w:fldChar w:fldCharType="end"/>
            </w:r>
          </w:hyperlink>
        </w:p>
        <w:p w14:paraId="75B82749" w14:textId="61238050" w:rsidR="00BD77DC" w:rsidRDefault="00BD77DC">
          <w:pPr>
            <w:pStyle w:val="TOC1"/>
            <w:tabs>
              <w:tab w:val="right" w:leader="dot" w:pos="9010"/>
            </w:tabs>
            <w:rPr>
              <w:rFonts w:eastAsiaTheme="minorEastAsia" w:cstheme="minorBidi"/>
              <w:noProof/>
              <w:color w:val="auto"/>
              <w:kern w:val="2"/>
              <w:sz w:val="24"/>
              <w:szCs w:val="24"/>
              <w:lang w:val="en-AU" w:eastAsia="en-AU"/>
              <w14:ligatures w14:val="standardContextual"/>
            </w:rPr>
          </w:pPr>
          <w:hyperlink w:anchor="_Toc209431947" w:history="1">
            <w:r w:rsidRPr="002F7680">
              <w:rPr>
                <w:rStyle w:val="Hyperlink"/>
                <w:noProof/>
              </w:rPr>
              <w:t>Findings</w:t>
            </w:r>
            <w:r>
              <w:rPr>
                <w:noProof/>
                <w:webHidden/>
              </w:rPr>
              <w:tab/>
            </w:r>
            <w:r>
              <w:rPr>
                <w:noProof/>
                <w:webHidden/>
              </w:rPr>
              <w:fldChar w:fldCharType="begin"/>
            </w:r>
            <w:r>
              <w:rPr>
                <w:noProof/>
                <w:webHidden/>
              </w:rPr>
              <w:instrText xml:space="preserve"> PAGEREF _Toc209431947 \h </w:instrText>
            </w:r>
            <w:r>
              <w:rPr>
                <w:noProof/>
                <w:webHidden/>
              </w:rPr>
            </w:r>
            <w:r>
              <w:rPr>
                <w:noProof/>
                <w:webHidden/>
              </w:rPr>
              <w:fldChar w:fldCharType="separate"/>
            </w:r>
            <w:r>
              <w:rPr>
                <w:noProof/>
                <w:webHidden/>
              </w:rPr>
              <w:t>9</w:t>
            </w:r>
            <w:r>
              <w:rPr>
                <w:noProof/>
                <w:webHidden/>
              </w:rPr>
              <w:fldChar w:fldCharType="end"/>
            </w:r>
          </w:hyperlink>
        </w:p>
        <w:p w14:paraId="34C81F52" w14:textId="1F865481"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8" w:history="1">
            <w:r w:rsidRPr="002F7680">
              <w:rPr>
                <w:rStyle w:val="Hyperlink"/>
                <w:noProof/>
              </w:rPr>
              <w:t>Relevance</w:t>
            </w:r>
            <w:r>
              <w:rPr>
                <w:noProof/>
                <w:webHidden/>
              </w:rPr>
              <w:tab/>
            </w:r>
            <w:r>
              <w:rPr>
                <w:noProof/>
                <w:webHidden/>
              </w:rPr>
              <w:fldChar w:fldCharType="begin"/>
            </w:r>
            <w:r>
              <w:rPr>
                <w:noProof/>
                <w:webHidden/>
              </w:rPr>
              <w:instrText xml:space="preserve"> PAGEREF _Toc209431948 \h </w:instrText>
            </w:r>
            <w:r>
              <w:rPr>
                <w:noProof/>
                <w:webHidden/>
              </w:rPr>
            </w:r>
            <w:r>
              <w:rPr>
                <w:noProof/>
                <w:webHidden/>
              </w:rPr>
              <w:fldChar w:fldCharType="separate"/>
            </w:r>
            <w:r>
              <w:rPr>
                <w:noProof/>
                <w:webHidden/>
              </w:rPr>
              <w:t>9</w:t>
            </w:r>
            <w:r>
              <w:rPr>
                <w:noProof/>
                <w:webHidden/>
              </w:rPr>
              <w:fldChar w:fldCharType="end"/>
            </w:r>
          </w:hyperlink>
        </w:p>
        <w:p w14:paraId="7C6653BE" w14:textId="50432D73"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49" w:history="1">
            <w:r w:rsidRPr="002F7680">
              <w:rPr>
                <w:rStyle w:val="Hyperlink"/>
                <w:noProof/>
              </w:rPr>
              <w:t>Effectiveness</w:t>
            </w:r>
            <w:r>
              <w:rPr>
                <w:noProof/>
                <w:webHidden/>
              </w:rPr>
              <w:tab/>
            </w:r>
            <w:r>
              <w:rPr>
                <w:noProof/>
                <w:webHidden/>
              </w:rPr>
              <w:fldChar w:fldCharType="begin"/>
            </w:r>
            <w:r>
              <w:rPr>
                <w:noProof/>
                <w:webHidden/>
              </w:rPr>
              <w:instrText xml:space="preserve"> PAGEREF _Toc209431949 \h </w:instrText>
            </w:r>
            <w:r>
              <w:rPr>
                <w:noProof/>
                <w:webHidden/>
              </w:rPr>
            </w:r>
            <w:r>
              <w:rPr>
                <w:noProof/>
                <w:webHidden/>
              </w:rPr>
              <w:fldChar w:fldCharType="separate"/>
            </w:r>
            <w:r>
              <w:rPr>
                <w:noProof/>
                <w:webHidden/>
              </w:rPr>
              <w:t>14</w:t>
            </w:r>
            <w:r>
              <w:rPr>
                <w:noProof/>
                <w:webHidden/>
              </w:rPr>
              <w:fldChar w:fldCharType="end"/>
            </w:r>
          </w:hyperlink>
        </w:p>
        <w:p w14:paraId="7CA7A0BF" w14:textId="1B2A8074"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0" w:history="1">
            <w:r w:rsidRPr="002F7680">
              <w:rPr>
                <w:rStyle w:val="Hyperlink"/>
                <w:noProof/>
              </w:rPr>
              <w:t>Efficiency</w:t>
            </w:r>
            <w:r>
              <w:rPr>
                <w:noProof/>
                <w:webHidden/>
              </w:rPr>
              <w:tab/>
            </w:r>
            <w:r>
              <w:rPr>
                <w:noProof/>
                <w:webHidden/>
              </w:rPr>
              <w:fldChar w:fldCharType="begin"/>
            </w:r>
            <w:r>
              <w:rPr>
                <w:noProof/>
                <w:webHidden/>
              </w:rPr>
              <w:instrText xml:space="preserve"> PAGEREF _Toc209431950 \h </w:instrText>
            </w:r>
            <w:r>
              <w:rPr>
                <w:noProof/>
                <w:webHidden/>
              </w:rPr>
            </w:r>
            <w:r>
              <w:rPr>
                <w:noProof/>
                <w:webHidden/>
              </w:rPr>
              <w:fldChar w:fldCharType="separate"/>
            </w:r>
            <w:r>
              <w:rPr>
                <w:noProof/>
                <w:webHidden/>
              </w:rPr>
              <w:t>21</w:t>
            </w:r>
            <w:r>
              <w:rPr>
                <w:noProof/>
                <w:webHidden/>
              </w:rPr>
              <w:fldChar w:fldCharType="end"/>
            </w:r>
          </w:hyperlink>
        </w:p>
        <w:p w14:paraId="45CEC1FD" w14:textId="239842D8"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1" w:history="1">
            <w:r w:rsidRPr="002F7680">
              <w:rPr>
                <w:rStyle w:val="Hyperlink"/>
                <w:noProof/>
              </w:rPr>
              <w:t>GEDSI and Climate Change</w:t>
            </w:r>
            <w:r>
              <w:rPr>
                <w:noProof/>
                <w:webHidden/>
              </w:rPr>
              <w:tab/>
            </w:r>
            <w:r>
              <w:rPr>
                <w:noProof/>
                <w:webHidden/>
              </w:rPr>
              <w:fldChar w:fldCharType="begin"/>
            </w:r>
            <w:r>
              <w:rPr>
                <w:noProof/>
                <w:webHidden/>
              </w:rPr>
              <w:instrText xml:space="preserve"> PAGEREF _Toc209431951 \h </w:instrText>
            </w:r>
            <w:r>
              <w:rPr>
                <w:noProof/>
                <w:webHidden/>
              </w:rPr>
            </w:r>
            <w:r>
              <w:rPr>
                <w:noProof/>
                <w:webHidden/>
              </w:rPr>
              <w:fldChar w:fldCharType="separate"/>
            </w:r>
            <w:r>
              <w:rPr>
                <w:noProof/>
                <w:webHidden/>
              </w:rPr>
              <w:t>25</w:t>
            </w:r>
            <w:r>
              <w:rPr>
                <w:noProof/>
                <w:webHidden/>
              </w:rPr>
              <w:fldChar w:fldCharType="end"/>
            </w:r>
          </w:hyperlink>
        </w:p>
        <w:p w14:paraId="27F4D177" w14:textId="48726583"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2" w:history="1">
            <w:r w:rsidRPr="002F7680">
              <w:rPr>
                <w:rStyle w:val="Hyperlink"/>
                <w:noProof/>
              </w:rPr>
              <w:t>Monitoring, Evaluation and Learning</w:t>
            </w:r>
            <w:r>
              <w:rPr>
                <w:noProof/>
                <w:webHidden/>
              </w:rPr>
              <w:tab/>
            </w:r>
            <w:r>
              <w:rPr>
                <w:noProof/>
                <w:webHidden/>
              </w:rPr>
              <w:fldChar w:fldCharType="begin"/>
            </w:r>
            <w:r>
              <w:rPr>
                <w:noProof/>
                <w:webHidden/>
              </w:rPr>
              <w:instrText xml:space="preserve"> PAGEREF _Toc209431952 \h </w:instrText>
            </w:r>
            <w:r>
              <w:rPr>
                <w:noProof/>
                <w:webHidden/>
              </w:rPr>
            </w:r>
            <w:r>
              <w:rPr>
                <w:noProof/>
                <w:webHidden/>
              </w:rPr>
              <w:fldChar w:fldCharType="separate"/>
            </w:r>
            <w:r>
              <w:rPr>
                <w:noProof/>
                <w:webHidden/>
              </w:rPr>
              <w:t>27</w:t>
            </w:r>
            <w:r>
              <w:rPr>
                <w:noProof/>
                <w:webHidden/>
              </w:rPr>
              <w:fldChar w:fldCharType="end"/>
            </w:r>
          </w:hyperlink>
        </w:p>
        <w:p w14:paraId="761491CD" w14:textId="78E79121" w:rsidR="00BD77DC" w:rsidRDefault="00BD77DC">
          <w:pPr>
            <w:pStyle w:val="TOC1"/>
            <w:tabs>
              <w:tab w:val="right" w:leader="dot" w:pos="9010"/>
            </w:tabs>
            <w:rPr>
              <w:rFonts w:eastAsiaTheme="minorEastAsia" w:cstheme="minorBidi"/>
              <w:noProof/>
              <w:color w:val="auto"/>
              <w:kern w:val="2"/>
              <w:sz w:val="24"/>
              <w:szCs w:val="24"/>
              <w:lang w:val="en-AU" w:eastAsia="en-AU"/>
              <w14:ligatures w14:val="standardContextual"/>
            </w:rPr>
          </w:pPr>
          <w:hyperlink w:anchor="_Toc209431953" w:history="1">
            <w:r w:rsidRPr="002F7680">
              <w:rPr>
                <w:rStyle w:val="Hyperlink"/>
                <w:noProof/>
              </w:rPr>
              <w:t>Conclusion and Recommendations</w:t>
            </w:r>
            <w:r>
              <w:rPr>
                <w:noProof/>
                <w:webHidden/>
              </w:rPr>
              <w:tab/>
            </w:r>
            <w:r>
              <w:rPr>
                <w:noProof/>
                <w:webHidden/>
              </w:rPr>
              <w:fldChar w:fldCharType="begin"/>
            </w:r>
            <w:r>
              <w:rPr>
                <w:noProof/>
                <w:webHidden/>
              </w:rPr>
              <w:instrText xml:space="preserve"> PAGEREF _Toc209431953 \h </w:instrText>
            </w:r>
            <w:r>
              <w:rPr>
                <w:noProof/>
                <w:webHidden/>
              </w:rPr>
            </w:r>
            <w:r>
              <w:rPr>
                <w:noProof/>
                <w:webHidden/>
              </w:rPr>
              <w:fldChar w:fldCharType="separate"/>
            </w:r>
            <w:r>
              <w:rPr>
                <w:noProof/>
                <w:webHidden/>
              </w:rPr>
              <w:t>33</w:t>
            </w:r>
            <w:r>
              <w:rPr>
                <w:noProof/>
                <w:webHidden/>
              </w:rPr>
              <w:fldChar w:fldCharType="end"/>
            </w:r>
          </w:hyperlink>
        </w:p>
        <w:p w14:paraId="0E2A61EF" w14:textId="2EA4DE10"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4" w:history="1">
            <w:r w:rsidRPr="002F7680">
              <w:rPr>
                <w:rStyle w:val="Hyperlink"/>
                <w:noProof/>
              </w:rPr>
              <w:t>Conclusion</w:t>
            </w:r>
            <w:r>
              <w:rPr>
                <w:noProof/>
                <w:webHidden/>
              </w:rPr>
              <w:tab/>
            </w:r>
            <w:r>
              <w:rPr>
                <w:noProof/>
                <w:webHidden/>
              </w:rPr>
              <w:fldChar w:fldCharType="begin"/>
            </w:r>
            <w:r>
              <w:rPr>
                <w:noProof/>
                <w:webHidden/>
              </w:rPr>
              <w:instrText xml:space="preserve"> PAGEREF _Toc209431954 \h </w:instrText>
            </w:r>
            <w:r>
              <w:rPr>
                <w:noProof/>
                <w:webHidden/>
              </w:rPr>
            </w:r>
            <w:r>
              <w:rPr>
                <w:noProof/>
                <w:webHidden/>
              </w:rPr>
              <w:fldChar w:fldCharType="separate"/>
            </w:r>
            <w:r>
              <w:rPr>
                <w:noProof/>
                <w:webHidden/>
              </w:rPr>
              <w:t>33</w:t>
            </w:r>
            <w:r>
              <w:rPr>
                <w:noProof/>
                <w:webHidden/>
              </w:rPr>
              <w:fldChar w:fldCharType="end"/>
            </w:r>
          </w:hyperlink>
        </w:p>
        <w:p w14:paraId="0AFBB610" w14:textId="2D2E2029"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5" w:history="1">
            <w:r w:rsidRPr="002F7680">
              <w:rPr>
                <w:rStyle w:val="Hyperlink"/>
                <w:noProof/>
              </w:rPr>
              <w:t>Recommendations</w:t>
            </w:r>
            <w:r>
              <w:rPr>
                <w:noProof/>
                <w:webHidden/>
              </w:rPr>
              <w:tab/>
            </w:r>
            <w:r>
              <w:rPr>
                <w:noProof/>
                <w:webHidden/>
              </w:rPr>
              <w:fldChar w:fldCharType="begin"/>
            </w:r>
            <w:r>
              <w:rPr>
                <w:noProof/>
                <w:webHidden/>
              </w:rPr>
              <w:instrText xml:space="preserve"> PAGEREF _Toc209431955 \h </w:instrText>
            </w:r>
            <w:r>
              <w:rPr>
                <w:noProof/>
                <w:webHidden/>
              </w:rPr>
            </w:r>
            <w:r>
              <w:rPr>
                <w:noProof/>
                <w:webHidden/>
              </w:rPr>
              <w:fldChar w:fldCharType="separate"/>
            </w:r>
            <w:r>
              <w:rPr>
                <w:noProof/>
                <w:webHidden/>
              </w:rPr>
              <w:t>34</w:t>
            </w:r>
            <w:r>
              <w:rPr>
                <w:noProof/>
                <w:webHidden/>
              </w:rPr>
              <w:fldChar w:fldCharType="end"/>
            </w:r>
          </w:hyperlink>
        </w:p>
        <w:p w14:paraId="75844C0A" w14:textId="25EE6E43" w:rsidR="00BD77DC" w:rsidRDefault="00BD77DC">
          <w:pPr>
            <w:pStyle w:val="TOC1"/>
            <w:tabs>
              <w:tab w:val="right" w:leader="dot" w:pos="9010"/>
            </w:tabs>
            <w:rPr>
              <w:rFonts w:eastAsiaTheme="minorEastAsia" w:cstheme="minorBidi"/>
              <w:noProof/>
              <w:color w:val="auto"/>
              <w:kern w:val="2"/>
              <w:sz w:val="24"/>
              <w:szCs w:val="24"/>
              <w:lang w:val="en-AU" w:eastAsia="en-AU"/>
              <w14:ligatures w14:val="standardContextual"/>
            </w:rPr>
          </w:pPr>
          <w:hyperlink w:anchor="_Toc209431956" w:history="1">
            <w:r w:rsidRPr="002F7680">
              <w:rPr>
                <w:rStyle w:val="Hyperlink"/>
                <w:noProof/>
              </w:rPr>
              <w:t>Annexures</w:t>
            </w:r>
            <w:r>
              <w:rPr>
                <w:noProof/>
                <w:webHidden/>
              </w:rPr>
              <w:tab/>
            </w:r>
            <w:r>
              <w:rPr>
                <w:noProof/>
                <w:webHidden/>
              </w:rPr>
              <w:fldChar w:fldCharType="begin"/>
            </w:r>
            <w:r>
              <w:rPr>
                <w:noProof/>
                <w:webHidden/>
              </w:rPr>
              <w:instrText xml:space="preserve"> PAGEREF _Toc209431956 \h </w:instrText>
            </w:r>
            <w:r>
              <w:rPr>
                <w:noProof/>
                <w:webHidden/>
              </w:rPr>
            </w:r>
            <w:r>
              <w:rPr>
                <w:noProof/>
                <w:webHidden/>
              </w:rPr>
              <w:fldChar w:fldCharType="separate"/>
            </w:r>
            <w:r>
              <w:rPr>
                <w:noProof/>
                <w:webHidden/>
              </w:rPr>
              <w:t>36</w:t>
            </w:r>
            <w:r>
              <w:rPr>
                <w:noProof/>
                <w:webHidden/>
              </w:rPr>
              <w:fldChar w:fldCharType="end"/>
            </w:r>
          </w:hyperlink>
        </w:p>
        <w:p w14:paraId="6F661FBB" w14:textId="3490C2F8"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7" w:history="1">
            <w:r w:rsidRPr="002F7680">
              <w:rPr>
                <w:rStyle w:val="Hyperlink"/>
                <w:noProof/>
              </w:rPr>
              <w:t>Annex 1: Terms of Reference</w:t>
            </w:r>
            <w:r>
              <w:rPr>
                <w:noProof/>
                <w:webHidden/>
              </w:rPr>
              <w:tab/>
            </w:r>
            <w:r>
              <w:rPr>
                <w:noProof/>
                <w:webHidden/>
              </w:rPr>
              <w:fldChar w:fldCharType="begin"/>
            </w:r>
            <w:r>
              <w:rPr>
                <w:noProof/>
                <w:webHidden/>
              </w:rPr>
              <w:instrText xml:space="preserve"> PAGEREF _Toc209431957 \h </w:instrText>
            </w:r>
            <w:r>
              <w:rPr>
                <w:noProof/>
                <w:webHidden/>
              </w:rPr>
            </w:r>
            <w:r>
              <w:rPr>
                <w:noProof/>
                <w:webHidden/>
              </w:rPr>
              <w:fldChar w:fldCharType="separate"/>
            </w:r>
            <w:r>
              <w:rPr>
                <w:noProof/>
                <w:webHidden/>
              </w:rPr>
              <w:t>36</w:t>
            </w:r>
            <w:r>
              <w:rPr>
                <w:noProof/>
                <w:webHidden/>
              </w:rPr>
              <w:fldChar w:fldCharType="end"/>
            </w:r>
          </w:hyperlink>
        </w:p>
        <w:p w14:paraId="3BDC2BC4" w14:textId="49AD82A5"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8" w:history="1">
            <w:r w:rsidRPr="002F7680">
              <w:rPr>
                <w:rStyle w:val="Hyperlink"/>
                <w:noProof/>
              </w:rPr>
              <w:t>Annex 2: Evaluation Plan</w:t>
            </w:r>
            <w:r>
              <w:rPr>
                <w:noProof/>
                <w:webHidden/>
              </w:rPr>
              <w:tab/>
            </w:r>
            <w:r>
              <w:rPr>
                <w:noProof/>
                <w:webHidden/>
              </w:rPr>
              <w:fldChar w:fldCharType="begin"/>
            </w:r>
            <w:r>
              <w:rPr>
                <w:noProof/>
                <w:webHidden/>
              </w:rPr>
              <w:instrText xml:space="preserve"> PAGEREF _Toc209431958 \h </w:instrText>
            </w:r>
            <w:r>
              <w:rPr>
                <w:noProof/>
                <w:webHidden/>
              </w:rPr>
            </w:r>
            <w:r>
              <w:rPr>
                <w:noProof/>
                <w:webHidden/>
              </w:rPr>
              <w:fldChar w:fldCharType="separate"/>
            </w:r>
            <w:r>
              <w:rPr>
                <w:noProof/>
                <w:webHidden/>
              </w:rPr>
              <w:t>51</w:t>
            </w:r>
            <w:r>
              <w:rPr>
                <w:noProof/>
                <w:webHidden/>
              </w:rPr>
              <w:fldChar w:fldCharType="end"/>
            </w:r>
          </w:hyperlink>
        </w:p>
        <w:p w14:paraId="0887C829" w14:textId="7D1754F8"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59" w:history="1">
            <w:r w:rsidRPr="002F7680">
              <w:rPr>
                <w:rStyle w:val="Hyperlink"/>
                <w:noProof/>
              </w:rPr>
              <w:t>Annex 3: Documents Reviewed</w:t>
            </w:r>
            <w:r>
              <w:rPr>
                <w:noProof/>
                <w:webHidden/>
              </w:rPr>
              <w:tab/>
            </w:r>
            <w:r>
              <w:rPr>
                <w:noProof/>
                <w:webHidden/>
              </w:rPr>
              <w:fldChar w:fldCharType="begin"/>
            </w:r>
            <w:r>
              <w:rPr>
                <w:noProof/>
                <w:webHidden/>
              </w:rPr>
              <w:instrText xml:space="preserve"> PAGEREF _Toc209431959 \h </w:instrText>
            </w:r>
            <w:r>
              <w:rPr>
                <w:noProof/>
                <w:webHidden/>
              </w:rPr>
            </w:r>
            <w:r>
              <w:rPr>
                <w:noProof/>
                <w:webHidden/>
              </w:rPr>
              <w:fldChar w:fldCharType="separate"/>
            </w:r>
            <w:r>
              <w:rPr>
                <w:noProof/>
                <w:webHidden/>
              </w:rPr>
              <w:t>68</w:t>
            </w:r>
            <w:r>
              <w:rPr>
                <w:noProof/>
                <w:webHidden/>
              </w:rPr>
              <w:fldChar w:fldCharType="end"/>
            </w:r>
          </w:hyperlink>
        </w:p>
        <w:p w14:paraId="5C168B15" w14:textId="0B414704" w:rsidR="00BD77DC" w:rsidRDefault="00BD77DC">
          <w:pPr>
            <w:pStyle w:val="TOC2"/>
            <w:tabs>
              <w:tab w:val="right" w:leader="dot" w:pos="9010"/>
            </w:tabs>
            <w:rPr>
              <w:rFonts w:eastAsiaTheme="minorEastAsia" w:cstheme="minorBidi"/>
              <w:noProof/>
              <w:color w:val="auto"/>
              <w:kern w:val="2"/>
              <w:sz w:val="24"/>
              <w:szCs w:val="24"/>
              <w:lang w:val="en-AU" w:eastAsia="en-AU"/>
              <w14:ligatures w14:val="standardContextual"/>
            </w:rPr>
          </w:pPr>
          <w:hyperlink w:anchor="_Toc209431960" w:history="1">
            <w:r w:rsidRPr="002F7680">
              <w:rPr>
                <w:rStyle w:val="Hyperlink"/>
                <w:noProof/>
              </w:rPr>
              <w:t>Annex 4: List of Review Participants</w:t>
            </w:r>
            <w:r>
              <w:rPr>
                <w:noProof/>
                <w:webHidden/>
              </w:rPr>
              <w:tab/>
            </w:r>
            <w:r>
              <w:rPr>
                <w:noProof/>
                <w:webHidden/>
              </w:rPr>
              <w:fldChar w:fldCharType="begin"/>
            </w:r>
            <w:r>
              <w:rPr>
                <w:noProof/>
                <w:webHidden/>
              </w:rPr>
              <w:instrText xml:space="preserve"> PAGEREF _Toc209431960 \h </w:instrText>
            </w:r>
            <w:r>
              <w:rPr>
                <w:noProof/>
                <w:webHidden/>
              </w:rPr>
            </w:r>
            <w:r>
              <w:rPr>
                <w:noProof/>
                <w:webHidden/>
              </w:rPr>
              <w:fldChar w:fldCharType="separate"/>
            </w:r>
            <w:r>
              <w:rPr>
                <w:noProof/>
                <w:webHidden/>
              </w:rPr>
              <w:t>70</w:t>
            </w:r>
            <w:r>
              <w:rPr>
                <w:noProof/>
                <w:webHidden/>
              </w:rPr>
              <w:fldChar w:fldCharType="end"/>
            </w:r>
          </w:hyperlink>
        </w:p>
        <w:p w14:paraId="698C65A5" w14:textId="67E29BB0" w:rsidR="00ED1DE3" w:rsidRDefault="00ED1DE3" w:rsidP="00CB7038">
          <w:pPr>
            <w:sectPr w:rsidR="00ED1DE3" w:rsidSect="00C74F80">
              <w:headerReference w:type="default" r:id="rId9"/>
              <w:footerReference w:type="default" r:id="rId10"/>
              <w:pgSz w:w="11900" w:h="16840"/>
              <w:pgMar w:top="1418" w:right="1440" w:bottom="1440" w:left="1440" w:header="709" w:footer="709" w:gutter="0"/>
              <w:pgNumType w:start="1"/>
              <w:cols w:space="708"/>
              <w:docGrid w:linePitch="360"/>
            </w:sectPr>
          </w:pPr>
          <w:r>
            <w:rPr>
              <w:b/>
              <w:bCs/>
              <w:lang w:val="en-GB"/>
            </w:rPr>
            <w:fldChar w:fldCharType="end"/>
          </w:r>
        </w:p>
      </w:sdtContent>
    </w:sdt>
    <w:p w14:paraId="0B160F89" w14:textId="3787CEE1" w:rsidR="00CC6FB9" w:rsidRDefault="00CC6FB9" w:rsidP="001668EE">
      <w:pPr>
        <w:pStyle w:val="Heading1"/>
      </w:pPr>
      <w:bookmarkStart w:id="0" w:name="_Toc209431940"/>
      <w:r>
        <w:lastRenderedPageBreak/>
        <w:t>List of A</w:t>
      </w:r>
      <w:r w:rsidR="00BD77DC">
        <w:t>bbreviations</w:t>
      </w:r>
      <w:bookmarkEnd w:id="0"/>
    </w:p>
    <w:tbl>
      <w:tblPr>
        <w:tblW w:w="9524" w:type="dxa"/>
        <w:tblInd w:w="-168" w:type="dxa"/>
        <w:tblLayout w:type="fixed"/>
        <w:tblLook w:val="0620" w:firstRow="1" w:lastRow="0" w:firstColumn="0" w:lastColumn="0" w:noHBand="1" w:noVBand="1"/>
      </w:tblPr>
      <w:tblGrid>
        <w:gridCol w:w="1444"/>
        <w:gridCol w:w="8080"/>
      </w:tblGrid>
      <w:tr w:rsidR="00AD7BB1" w:rsidRPr="00AD7BB1" w14:paraId="7CC513C9" w14:textId="77777777" w:rsidTr="00BD77DC">
        <w:trPr>
          <w:trHeight w:val="99"/>
          <w:tblHeader/>
        </w:trPr>
        <w:tc>
          <w:tcPr>
            <w:tcW w:w="1444" w:type="dxa"/>
          </w:tcPr>
          <w:p w14:paraId="51530844" w14:textId="2D7B8F33" w:rsidR="00AD7BB1" w:rsidRPr="00AD7BB1" w:rsidRDefault="00AD7BB1" w:rsidP="00262177">
            <w:pPr>
              <w:rPr>
                <w:b/>
                <w:bCs/>
              </w:rPr>
            </w:pPr>
            <w:r w:rsidRPr="00AD7BB1">
              <w:rPr>
                <w:b/>
                <w:bCs/>
              </w:rPr>
              <w:t>A</w:t>
            </w:r>
            <w:r w:rsidR="00BD77DC">
              <w:rPr>
                <w:b/>
                <w:bCs/>
              </w:rPr>
              <w:t>bbreviation</w:t>
            </w:r>
          </w:p>
        </w:tc>
        <w:tc>
          <w:tcPr>
            <w:tcW w:w="8080" w:type="dxa"/>
          </w:tcPr>
          <w:p w14:paraId="7970F071" w14:textId="0AED95F9" w:rsidR="00AD7BB1" w:rsidRPr="00AD7BB1" w:rsidRDefault="00BD77DC" w:rsidP="00262177">
            <w:pPr>
              <w:rPr>
                <w:b/>
                <w:bCs/>
              </w:rPr>
            </w:pPr>
            <w:r>
              <w:rPr>
                <w:b/>
                <w:bCs/>
              </w:rPr>
              <w:t>Title</w:t>
            </w:r>
          </w:p>
        </w:tc>
      </w:tr>
      <w:tr w:rsidR="006F0B27" w14:paraId="572BB1E5" w14:textId="77777777" w:rsidTr="00AD7BB1">
        <w:trPr>
          <w:trHeight w:val="99"/>
        </w:trPr>
        <w:tc>
          <w:tcPr>
            <w:tcW w:w="1444" w:type="dxa"/>
          </w:tcPr>
          <w:p w14:paraId="5E356059" w14:textId="41A7779B" w:rsidR="006F0B27" w:rsidRDefault="006F0B27" w:rsidP="00262177">
            <w:r>
              <w:t>AHC</w:t>
            </w:r>
          </w:p>
        </w:tc>
        <w:tc>
          <w:tcPr>
            <w:tcW w:w="8080" w:type="dxa"/>
          </w:tcPr>
          <w:p w14:paraId="40BE14AB" w14:textId="254573E0" w:rsidR="006F0B27" w:rsidRDefault="006F0B27" w:rsidP="00262177">
            <w:r>
              <w:t>Australian High Commission</w:t>
            </w:r>
          </w:p>
        </w:tc>
      </w:tr>
      <w:tr w:rsidR="00D53067" w14:paraId="207F574B" w14:textId="77777777" w:rsidTr="00AD7BB1">
        <w:trPr>
          <w:trHeight w:val="99"/>
        </w:trPr>
        <w:tc>
          <w:tcPr>
            <w:tcW w:w="1444" w:type="dxa"/>
          </w:tcPr>
          <w:p w14:paraId="2E8837E6" w14:textId="600239CA" w:rsidR="00D53067" w:rsidRDefault="00D426D5" w:rsidP="00262177">
            <w:r>
              <w:t>ASET</w:t>
            </w:r>
          </w:p>
        </w:tc>
        <w:tc>
          <w:tcPr>
            <w:tcW w:w="8080" w:type="dxa"/>
          </w:tcPr>
          <w:p w14:paraId="3AD535D7" w14:textId="38470C6F" w:rsidR="00D53067" w:rsidRDefault="00D426D5" w:rsidP="00262177">
            <w:r w:rsidRPr="00745FA5">
              <w:t>Australian Support to Education in Tuvalu</w:t>
            </w:r>
          </w:p>
        </w:tc>
      </w:tr>
      <w:tr w:rsidR="003C65DF" w14:paraId="1018327B" w14:textId="77777777" w:rsidTr="00AD7BB1">
        <w:trPr>
          <w:trHeight w:val="99"/>
        </w:trPr>
        <w:tc>
          <w:tcPr>
            <w:tcW w:w="1444" w:type="dxa"/>
          </w:tcPr>
          <w:p w14:paraId="68B8D131" w14:textId="5AB0A194" w:rsidR="003C65DF" w:rsidRDefault="003C65DF" w:rsidP="00262177">
            <w:r>
              <w:t>AWP</w:t>
            </w:r>
          </w:p>
        </w:tc>
        <w:tc>
          <w:tcPr>
            <w:tcW w:w="8080" w:type="dxa"/>
          </w:tcPr>
          <w:p w14:paraId="153E3F89" w14:textId="2322C49A" w:rsidR="003C65DF" w:rsidRDefault="003C65DF" w:rsidP="00262177">
            <w:r>
              <w:t>Annual Work Plan</w:t>
            </w:r>
          </w:p>
        </w:tc>
      </w:tr>
      <w:tr w:rsidR="0045446C" w14:paraId="38B06EE1" w14:textId="77777777" w:rsidTr="00AD7BB1">
        <w:trPr>
          <w:trHeight w:val="99"/>
        </w:trPr>
        <w:tc>
          <w:tcPr>
            <w:tcW w:w="1444" w:type="dxa"/>
          </w:tcPr>
          <w:p w14:paraId="06358D3A" w14:textId="69EDC7A5" w:rsidR="0045446C" w:rsidRDefault="0045446C" w:rsidP="00262177">
            <w:r>
              <w:t>DFA</w:t>
            </w:r>
          </w:p>
        </w:tc>
        <w:tc>
          <w:tcPr>
            <w:tcW w:w="8080" w:type="dxa"/>
          </w:tcPr>
          <w:p w14:paraId="4F778EDC" w14:textId="6314A05C" w:rsidR="0045446C" w:rsidRDefault="00185921" w:rsidP="00262177">
            <w:r>
              <w:t>Direct Funding Agreement</w:t>
            </w:r>
          </w:p>
        </w:tc>
      </w:tr>
      <w:tr w:rsidR="00E4398F" w14:paraId="289A7D02" w14:textId="77777777" w:rsidTr="00AD7BB1">
        <w:trPr>
          <w:trHeight w:val="99"/>
        </w:trPr>
        <w:tc>
          <w:tcPr>
            <w:tcW w:w="1444" w:type="dxa"/>
          </w:tcPr>
          <w:p w14:paraId="097E0D06" w14:textId="77777777" w:rsidR="00E4398F" w:rsidRDefault="00E4398F" w:rsidP="00262177">
            <w:r>
              <w:t xml:space="preserve">DFAT </w:t>
            </w:r>
          </w:p>
        </w:tc>
        <w:tc>
          <w:tcPr>
            <w:tcW w:w="8080" w:type="dxa"/>
          </w:tcPr>
          <w:p w14:paraId="43C646E4" w14:textId="77777777" w:rsidR="00E4398F" w:rsidRDefault="00E4398F" w:rsidP="00262177">
            <w:r>
              <w:t xml:space="preserve">Department of Foreign Affairs and Trade (Australia) </w:t>
            </w:r>
          </w:p>
        </w:tc>
      </w:tr>
      <w:tr w:rsidR="00E4398F" w14:paraId="2D61A539" w14:textId="77777777" w:rsidTr="00AD7BB1">
        <w:trPr>
          <w:trHeight w:val="99"/>
        </w:trPr>
        <w:tc>
          <w:tcPr>
            <w:tcW w:w="1444" w:type="dxa"/>
          </w:tcPr>
          <w:p w14:paraId="3EAD5485" w14:textId="77777777" w:rsidR="00E4398F" w:rsidRDefault="00E4398F" w:rsidP="00262177">
            <w:r>
              <w:t xml:space="preserve">EOPO </w:t>
            </w:r>
          </w:p>
        </w:tc>
        <w:tc>
          <w:tcPr>
            <w:tcW w:w="8080" w:type="dxa"/>
          </w:tcPr>
          <w:p w14:paraId="1A905034" w14:textId="77777777" w:rsidR="00E4398F" w:rsidRDefault="00E4398F" w:rsidP="00262177">
            <w:r>
              <w:t xml:space="preserve">End of Program Outcome </w:t>
            </w:r>
          </w:p>
        </w:tc>
      </w:tr>
      <w:tr w:rsidR="00E4398F" w14:paraId="4EDBA86D" w14:textId="77777777" w:rsidTr="00AD7BB1">
        <w:trPr>
          <w:trHeight w:val="221"/>
        </w:trPr>
        <w:tc>
          <w:tcPr>
            <w:tcW w:w="1444" w:type="dxa"/>
          </w:tcPr>
          <w:p w14:paraId="1DA1F310" w14:textId="77777777" w:rsidR="00E4398F" w:rsidRDefault="00E4398F" w:rsidP="00262177">
            <w:r>
              <w:t xml:space="preserve">EQAP </w:t>
            </w:r>
          </w:p>
        </w:tc>
        <w:tc>
          <w:tcPr>
            <w:tcW w:w="8080" w:type="dxa"/>
          </w:tcPr>
          <w:p w14:paraId="68F6605C" w14:textId="77777777" w:rsidR="00E4398F" w:rsidRDefault="00E4398F" w:rsidP="00262177">
            <w:r>
              <w:t xml:space="preserve">Education Quality and Assessment Program (of the Secretariat of the Pacific Community) </w:t>
            </w:r>
          </w:p>
        </w:tc>
      </w:tr>
      <w:tr w:rsidR="00E4398F" w14:paraId="52C4067E" w14:textId="77777777" w:rsidTr="00AD7BB1">
        <w:trPr>
          <w:trHeight w:val="99"/>
        </w:trPr>
        <w:tc>
          <w:tcPr>
            <w:tcW w:w="1444" w:type="dxa"/>
          </w:tcPr>
          <w:p w14:paraId="67CADC19" w14:textId="77777777" w:rsidR="00E4398F" w:rsidRDefault="00E4398F" w:rsidP="00262177">
            <w:r>
              <w:t xml:space="preserve">GEDSI </w:t>
            </w:r>
          </w:p>
        </w:tc>
        <w:tc>
          <w:tcPr>
            <w:tcW w:w="8080" w:type="dxa"/>
          </w:tcPr>
          <w:p w14:paraId="6C6AA836" w14:textId="77777777" w:rsidR="00E4398F" w:rsidRDefault="00E4398F" w:rsidP="00262177">
            <w:r>
              <w:t xml:space="preserve">Gender Equality, Disability and Social Inclusion </w:t>
            </w:r>
          </w:p>
        </w:tc>
      </w:tr>
      <w:tr w:rsidR="00D426D5" w14:paraId="6F76EC59" w14:textId="77777777" w:rsidTr="00AD7BB1">
        <w:trPr>
          <w:trHeight w:val="99"/>
        </w:trPr>
        <w:tc>
          <w:tcPr>
            <w:tcW w:w="1444" w:type="dxa"/>
          </w:tcPr>
          <w:p w14:paraId="12B5F793" w14:textId="4C48EE11" w:rsidR="00D426D5" w:rsidRDefault="00D426D5" w:rsidP="00262177">
            <w:r>
              <w:t>GPE</w:t>
            </w:r>
          </w:p>
        </w:tc>
        <w:tc>
          <w:tcPr>
            <w:tcW w:w="8080" w:type="dxa"/>
          </w:tcPr>
          <w:p w14:paraId="69E774C0" w14:textId="54F5B29C" w:rsidR="00D426D5" w:rsidRDefault="00D426D5" w:rsidP="00262177">
            <w:r w:rsidRPr="001130C8">
              <w:rPr>
                <w:lang w:val="en-AU"/>
              </w:rPr>
              <w:t>Global Partnerships for Education</w:t>
            </w:r>
          </w:p>
        </w:tc>
      </w:tr>
      <w:tr w:rsidR="00390E5D" w14:paraId="74203A51" w14:textId="77777777" w:rsidTr="00AD7BB1">
        <w:trPr>
          <w:trHeight w:val="99"/>
        </w:trPr>
        <w:tc>
          <w:tcPr>
            <w:tcW w:w="1444" w:type="dxa"/>
          </w:tcPr>
          <w:p w14:paraId="34211E53" w14:textId="17E280CB" w:rsidR="00390E5D" w:rsidRDefault="00390E5D" w:rsidP="00262177">
            <w:r>
              <w:t>IDD</w:t>
            </w:r>
          </w:p>
        </w:tc>
        <w:tc>
          <w:tcPr>
            <w:tcW w:w="8080" w:type="dxa"/>
          </w:tcPr>
          <w:p w14:paraId="75951A56" w14:textId="5D44113C" w:rsidR="00390E5D" w:rsidRDefault="00390E5D" w:rsidP="00262177">
            <w:r>
              <w:t>Investment Design Document</w:t>
            </w:r>
          </w:p>
        </w:tc>
      </w:tr>
      <w:tr w:rsidR="003C65DF" w14:paraId="5293A6A5" w14:textId="77777777" w:rsidTr="00AD7BB1">
        <w:trPr>
          <w:trHeight w:val="99"/>
        </w:trPr>
        <w:tc>
          <w:tcPr>
            <w:tcW w:w="1444" w:type="dxa"/>
          </w:tcPr>
          <w:p w14:paraId="1D159D03" w14:textId="4A48425F" w:rsidR="003C65DF" w:rsidRDefault="003C65DF" w:rsidP="00262177">
            <w:r>
              <w:t>MEHRD</w:t>
            </w:r>
          </w:p>
        </w:tc>
        <w:tc>
          <w:tcPr>
            <w:tcW w:w="8080" w:type="dxa"/>
          </w:tcPr>
          <w:p w14:paraId="61353DE0" w14:textId="607B70D6" w:rsidR="003C65DF" w:rsidRDefault="003C65DF" w:rsidP="00262177">
            <w:r>
              <w:t>Ministry of Education and Human Resource Development</w:t>
            </w:r>
          </w:p>
        </w:tc>
      </w:tr>
      <w:tr w:rsidR="006F0B27" w14:paraId="23CD04AE" w14:textId="77777777" w:rsidTr="00AD7BB1">
        <w:trPr>
          <w:trHeight w:val="99"/>
        </w:trPr>
        <w:tc>
          <w:tcPr>
            <w:tcW w:w="1444" w:type="dxa"/>
          </w:tcPr>
          <w:p w14:paraId="043267F4" w14:textId="096F5858" w:rsidR="006F0B27" w:rsidRDefault="006F0B27" w:rsidP="00262177">
            <w:r>
              <w:t>MERL</w:t>
            </w:r>
          </w:p>
        </w:tc>
        <w:tc>
          <w:tcPr>
            <w:tcW w:w="8080" w:type="dxa"/>
          </w:tcPr>
          <w:p w14:paraId="1CCA9BF0" w14:textId="67880319" w:rsidR="006F0B27" w:rsidRDefault="009052D8" w:rsidP="00262177">
            <w:r w:rsidRPr="00A0187E">
              <w:t xml:space="preserve">Monitoring, </w:t>
            </w:r>
            <w:r w:rsidR="00005FED">
              <w:t>E</w:t>
            </w:r>
            <w:r w:rsidRPr="00A0187E">
              <w:t xml:space="preserve">valuation, </w:t>
            </w:r>
            <w:r w:rsidR="00005FED">
              <w:t>R</w:t>
            </w:r>
            <w:r w:rsidRPr="00A0187E">
              <w:t xml:space="preserve">eporting and </w:t>
            </w:r>
            <w:r w:rsidR="00005FED">
              <w:t>L</w:t>
            </w:r>
            <w:r w:rsidRPr="00A0187E">
              <w:t>earning</w:t>
            </w:r>
          </w:p>
        </w:tc>
      </w:tr>
      <w:tr w:rsidR="003C65DF" w14:paraId="3D9C4F76" w14:textId="77777777" w:rsidTr="00AD7BB1">
        <w:trPr>
          <w:trHeight w:val="99"/>
        </w:trPr>
        <w:tc>
          <w:tcPr>
            <w:tcW w:w="1444" w:type="dxa"/>
          </w:tcPr>
          <w:p w14:paraId="115ED61B" w14:textId="14616560" w:rsidR="003C65DF" w:rsidRDefault="003C65DF" w:rsidP="00262177">
            <w:r>
              <w:t>MEYS</w:t>
            </w:r>
          </w:p>
        </w:tc>
        <w:tc>
          <w:tcPr>
            <w:tcW w:w="8080" w:type="dxa"/>
          </w:tcPr>
          <w:p w14:paraId="7E487ACF" w14:textId="03EDB9C5" w:rsidR="003C65DF" w:rsidRDefault="003C65DF" w:rsidP="00262177">
            <w:r>
              <w:t>Mini</w:t>
            </w:r>
            <w:r w:rsidR="008A122C">
              <w:t xml:space="preserve">stry of Education </w:t>
            </w:r>
            <w:r w:rsidR="00A7242A">
              <w:t>Youth and Sport</w:t>
            </w:r>
          </w:p>
        </w:tc>
      </w:tr>
      <w:tr w:rsidR="002E661F" w14:paraId="6EC274D9" w14:textId="77777777" w:rsidTr="00AD7BB1">
        <w:trPr>
          <w:trHeight w:val="99"/>
        </w:trPr>
        <w:tc>
          <w:tcPr>
            <w:tcW w:w="1444" w:type="dxa"/>
          </w:tcPr>
          <w:p w14:paraId="16156A3D" w14:textId="1C3A23F6" w:rsidR="002E661F" w:rsidRDefault="002E661F" w:rsidP="00262177">
            <w:r>
              <w:t>MTR</w:t>
            </w:r>
          </w:p>
        </w:tc>
        <w:tc>
          <w:tcPr>
            <w:tcW w:w="8080" w:type="dxa"/>
          </w:tcPr>
          <w:p w14:paraId="4E996B9E" w14:textId="7D3B315D" w:rsidR="002E661F" w:rsidRDefault="002E661F" w:rsidP="00262177">
            <w:r>
              <w:t>Mid-Term Review</w:t>
            </w:r>
          </w:p>
        </w:tc>
      </w:tr>
      <w:tr w:rsidR="00E4398F" w14:paraId="18826855" w14:textId="77777777" w:rsidTr="00AD7BB1">
        <w:trPr>
          <w:trHeight w:val="99"/>
        </w:trPr>
        <w:tc>
          <w:tcPr>
            <w:tcW w:w="1444" w:type="dxa"/>
          </w:tcPr>
          <w:p w14:paraId="1D9848AD" w14:textId="77777777" w:rsidR="00E4398F" w:rsidRDefault="00E4398F" w:rsidP="00262177">
            <w:r>
              <w:t xml:space="preserve">PILNA </w:t>
            </w:r>
          </w:p>
        </w:tc>
        <w:tc>
          <w:tcPr>
            <w:tcW w:w="8080" w:type="dxa"/>
          </w:tcPr>
          <w:p w14:paraId="7628DBBA" w14:textId="77777777" w:rsidR="00E4398F" w:rsidRDefault="00E4398F" w:rsidP="00262177">
            <w:r>
              <w:t xml:space="preserve">Pacific Islands Literacy and Numeracy Assessment </w:t>
            </w:r>
          </w:p>
        </w:tc>
      </w:tr>
      <w:tr w:rsidR="006F0B27" w14:paraId="0C906412" w14:textId="77777777" w:rsidTr="00AD7BB1">
        <w:trPr>
          <w:trHeight w:val="99"/>
        </w:trPr>
        <w:tc>
          <w:tcPr>
            <w:tcW w:w="1444" w:type="dxa"/>
          </w:tcPr>
          <w:p w14:paraId="1CE9C24C" w14:textId="2BF82F54" w:rsidR="006F0B27" w:rsidRDefault="006F0B27" w:rsidP="00262177">
            <w:r>
              <w:t>TAPQE</w:t>
            </w:r>
          </w:p>
        </w:tc>
        <w:tc>
          <w:tcPr>
            <w:tcW w:w="8080" w:type="dxa"/>
          </w:tcPr>
          <w:p w14:paraId="4ECF94E8" w14:textId="3AD5100D" w:rsidR="006F0B27" w:rsidRDefault="006F0B27" w:rsidP="00262177">
            <w:r>
              <w:t>Tuvalu Australia Partnership for Quality Education</w:t>
            </w:r>
          </w:p>
        </w:tc>
      </w:tr>
      <w:tr w:rsidR="00DA4AE4" w14:paraId="4C6E65B0" w14:textId="77777777" w:rsidTr="00AD7BB1">
        <w:trPr>
          <w:trHeight w:val="99"/>
        </w:trPr>
        <w:tc>
          <w:tcPr>
            <w:tcW w:w="1444" w:type="dxa"/>
          </w:tcPr>
          <w:p w14:paraId="06B6BF23" w14:textId="295BCBAE" w:rsidR="00DA4AE4" w:rsidRDefault="00DA4AE4" w:rsidP="00262177">
            <w:r>
              <w:t>TESP</w:t>
            </w:r>
          </w:p>
        </w:tc>
        <w:tc>
          <w:tcPr>
            <w:tcW w:w="8080" w:type="dxa"/>
          </w:tcPr>
          <w:p w14:paraId="2BCF57F7" w14:textId="3F6EEF59" w:rsidR="00DA4AE4" w:rsidRDefault="00D426D5" w:rsidP="00262177">
            <w:r>
              <w:t>Tuvalu Education Sector Plan</w:t>
            </w:r>
          </w:p>
        </w:tc>
      </w:tr>
      <w:tr w:rsidR="000F6211" w14:paraId="4ED1D201" w14:textId="77777777" w:rsidTr="00AD7BB1">
        <w:trPr>
          <w:trHeight w:val="99"/>
        </w:trPr>
        <w:tc>
          <w:tcPr>
            <w:tcW w:w="1444" w:type="dxa"/>
          </w:tcPr>
          <w:p w14:paraId="2AD6E3C1" w14:textId="2E7E47BF" w:rsidR="000F6211" w:rsidRDefault="000F6211" w:rsidP="00262177">
            <w:r>
              <w:t>TVET</w:t>
            </w:r>
          </w:p>
        </w:tc>
        <w:tc>
          <w:tcPr>
            <w:tcW w:w="8080" w:type="dxa"/>
          </w:tcPr>
          <w:p w14:paraId="10EC2846" w14:textId="5CF8D246" w:rsidR="000F6211" w:rsidRPr="00C072A3" w:rsidRDefault="00EC7ED0" w:rsidP="00262177">
            <w:r w:rsidRPr="00EC7ED0">
              <w:rPr>
                <w:lang w:val="en-AU"/>
              </w:rPr>
              <w:t>Technical Vocational Education and Training</w:t>
            </w:r>
          </w:p>
        </w:tc>
      </w:tr>
      <w:tr w:rsidR="00EC7ED0" w14:paraId="7EFB912C" w14:textId="77777777" w:rsidTr="00AD7BB1">
        <w:trPr>
          <w:trHeight w:val="99"/>
        </w:trPr>
        <w:tc>
          <w:tcPr>
            <w:tcW w:w="1444" w:type="dxa"/>
          </w:tcPr>
          <w:p w14:paraId="67D624D0" w14:textId="2BC1F250" w:rsidR="00EC7ED0" w:rsidRDefault="00EC7ED0" w:rsidP="00262177">
            <w:r>
              <w:t>TVSD</w:t>
            </w:r>
          </w:p>
        </w:tc>
        <w:tc>
          <w:tcPr>
            <w:tcW w:w="8080" w:type="dxa"/>
          </w:tcPr>
          <w:p w14:paraId="1D4F1C40" w14:textId="16A5CE2D" w:rsidR="00EC7ED0" w:rsidRPr="00EC7ED0" w:rsidRDefault="00AC4C76" w:rsidP="00262177">
            <w:pPr>
              <w:rPr>
                <w:lang w:val="en-AU"/>
              </w:rPr>
            </w:pPr>
            <w:r w:rsidRPr="00AC4C76">
              <w:rPr>
                <w:lang w:val="en-AU"/>
              </w:rPr>
              <w:t>Technical Vocational Skill Development</w:t>
            </w:r>
          </w:p>
        </w:tc>
      </w:tr>
      <w:tr w:rsidR="00E4398F" w14:paraId="138ECFE7" w14:textId="77777777" w:rsidTr="00AD7BB1">
        <w:trPr>
          <w:trHeight w:val="99"/>
        </w:trPr>
        <w:tc>
          <w:tcPr>
            <w:tcW w:w="1444" w:type="dxa"/>
          </w:tcPr>
          <w:p w14:paraId="2035AC86" w14:textId="77777777" w:rsidR="00E4398F" w:rsidRDefault="00E4398F" w:rsidP="00262177">
            <w:r>
              <w:t xml:space="preserve">UNICEF </w:t>
            </w:r>
          </w:p>
        </w:tc>
        <w:tc>
          <w:tcPr>
            <w:tcW w:w="8080" w:type="dxa"/>
          </w:tcPr>
          <w:p w14:paraId="46284FEB" w14:textId="3EE43771" w:rsidR="00E4398F" w:rsidRDefault="00C072A3" w:rsidP="00262177">
            <w:r w:rsidRPr="00C072A3">
              <w:t>United Nations International Children's Emergency Fund</w:t>
            </w:r>
          </w:p>
        </w:tc>
      </w:tr>
    </w:tbl>
    <w:p w14:paraId="2EFB0008" w14:textId="77777777" w:rsidR="00E4398F" w:rsidRDefault="00E4398F" w:rsidP="00DF5451"/>
    <w:p w14:paraId="58CD4188" w14:textId="77777777" w:rsidR="00EE433E" w:rsidRDefault="00EE433E" w:rsidP="00DF5451">
      <w:pPr>
        <w:sectPr w:rsidR="00EE433E" w:rsidSect="00C74F80">
          <w:headerReference w:type="default" r:id="rId11"/>
          <w:pgSz w:w="11900" w:h="16840"/>
          <w:pgMar w:top="1418" w:right="1440" w:bottom="1440" w:left="1440" w:header="709" w:footer="709" w:gutter="0"/>
          <w:pgNumType w:start="1"/>
          <w:cols w:space="708"/>
          <w:docGrid w:linePitch="360"/>
        </w:sectPr>
      </w:pPr>
    </w:p>
    <w:p w14:paraId="42424FF3" w14:textId="755DEA86" w:rsidR="00C1614D" w:rsidRDefault="00C1614D" w:rsidP="001668EE">
      <w:pPr>
        <w:pStyle w:val="Heading1"/>
      </w:pPr>
      <w:bookmarkStart w:id="1" w:name="_Toc209431941"/>
      <w:r>
        <w:lastRenderedPageBreak/>
        <w:t>Executive Summary</w:t>
      </w:r>
      <w:bookmarkEnd w:id="1"/>
    </w:p>
    <w:p w14:paraId="5339EE95" w14:textId="702B5BE3" w:rsidR="0034372A" w:rsidRDefault="0034372A" w:rsidP="00DF5451">
      <w:pPr>
        <w:spacing w:after="240"/>
      </w:pPr>
      <w:r>
        <w:t xml:space="preserve">The Tuvalu Australia Partnership for Quality Education (TAPQE) Program is a five-year program ($10 million over 5 years 2022/23-2026/27), </w:t>
      </w:r>
      <w:r w:rsidR="008D38F5">
        <w:t xml:space="preserve">with </w:t>
      </w:r>
      <w:r>
        <w:t xml:space="preserve">provision for an extension of another five years. It is funded by the Government of Australia’s Department of Foreign Affairs and Trade (DFAT) and implemented in cooperation with the Government of Tuvalu. </w:t>
      </w:r>
    </w:p>
    <w:p w14:paraId="5C3BA73B" w14:textId="33AB6FC1" w:rsidR="00B65B80" w:rsidRDefault="00B65B80" w:rsidP="00B65B80">
      <w:r>
        <w:t xml:space="preserve">The TAPQE Program is focused on addressing some of the education challenges in Tuvalu as reflected in its (TAPQE) End of Program Outcomes: </w:t>
      </w:r>
    </w:p>
    <w:p w14:paraId="778B75AC" w14:textId="77777777" w:rsidR="00B65B80" w:rsidRDefault="00B65B80" w:rsidP="00B65B80">
      <w:pPr>
        <w:pStyle w:val="ListParagraph"/>
        <w:numPr>
          <w:ilvl w:val="0"/>
          <w:numId w:val="3"/>
        </w:numPr>
      </w:pPr>
      <w:r>
        <w:t>EOPO 1: Improved numeracy and literacy outcomes for both girls and boys (Years 1-10), including children with disabilities.</w:t>
      </w:r>
    </w:p>
    <w:p w14:paraId="3C2E2F43" w14:textId="77777777" w:rsidR="00B65B80" w:rsidRDefault="00B65B80" w:rsidP="00B65B80">
      <w:pPr>
        <w:pStyle w:val="ListParagraph"/>
        <w:numPr>
          <w:ilvl w:val="0"/>
          <w:numId w:val="3"/>
        </w:numPr>
      </w:pPr>
      <w:r>
        <w:t xml:space="preserve">EOPO 2: Improved relevance and quality of secondary school teaching and pathways to employment and further education opportunities for both girls and boys, including learners with disabilities; and </w:t>
      </w:r>
    </w:p>
    <w:p w14:paraId="52D7E6D8" w14:textId="77777777" w:rsidR="00B65B80" w:rsidRDefault="00B65B80" w:rsidP="00B65B80">
      <w:pPr>
        <w:pStyle w:val="ListParagraph"/>
        <w:numPr>
          <w:ilvl w:val="0"/>
          <w:numId w:val="3"/>
        </w:numPr>
      </w:pPr>
      <w:r>
        <w:t xml:space="preserve">EOPO 3: Strengthened Ministry of Education, Youth &amp; Sports (now Ministry of Education &amp; Human Resources Development) personnel and systems so that service delivery is more inclusive, evidence-based and efficient. </w:t>
      </w:r>
    </w:p>
    <w:p w14:paraId="5F12B02D" w14:textId="542FAF35" w:rsidR="0034372A" w:rsidRDefault="0034372A" w:rsidP="00DF5451">
      <w:pPr>
        <w:spacing w:after="240"/>
      </w:pPr>
      <w:r>
        <w:t xml:space="preserve">The contract with the managing contractor, Tetra Tech International Development Pty </w:t>
      </w:r>
      <w:r w:rsidR="00920DD5">
        <w:t>Ltd,</w:t>
      </w:r>
      <w:r>
        <w:t xml:space="preserve"> was signed in November 2022. </w:t>
      </w:r>
    </w:p>
    <w:p w14:paraId="2038333E" w14:textId="592182FA" w:rsidR="0034372A" w:rsidRDefault="0034372A" w:rsidP="00DF5451">
      <w:pPr>
        <w:spacing w:after="240"/>
      </w:pPr>
      <w:r>
        <w:t xml:space="preserve">The Mid-Term Review </w:t>
      </w:r>
      <w:r w:rsidR="00756305">
        <w:t xml:space="preserve">(MTR) </w:t>
      </w:r>
      <w:r>
        <w:t xml:space="preserve">was designed to answer </w:t>
      </w:r>
      <w:r w:rsidR="00CC2AA3">
        <w:t>five</w:t>
      </w:r>
      <w:r>
        <w:t xml:space="preserve"> key questions:</w:t>
      </w:r>
    </w:p>
    <w:p w14:paraId="27129B7B" w14:textId="5E31C99A" w:rsidR="0034372A" w:rsidRDefault="0034372A" w:rsidP="00B32148">
      <w:pPr>
        <w:pStyle w:val="ListParagraph"/>
        <w:numPr>
          <w:ilvl w:val="0"/>
          <w:numId w:val="56"/>
        </w:numPr>
      </w:pPr>
      <w:r>
        <w:t>To what extent is the TAPQE Program engaged in appropriate interventions and activities within the context of the Tuvaluan education sector?</w:t>
      </w:r>
    </w:p>
    <w:p w14:paraId="0FE37BE1" w14:textId="6A7643A1" w:rsidR="0034372A" w:rsidRDefault="0034372A" w:rsidP="00B32148">
      <w:pPr>
        <w:pStyle w:val="ListParagraph"/>
        <w:numPr>
          <w:ilvl w:val="0"/>
          <w:numId w:val="56"/>
        </w:numPr>
      </w:pPr>
      <w:r>
        <w:t xml:space="preserve">To what extent is the TAPQE Program on track to achieve its three End of Program Outcomes? </w:t>
      </w:r>
    </w:p>
    <w:p w14:paraId="25141113" w14:textId="3050C863" w:rsidR="0034372A" w:rsidRDefault="0034372A" w:rsidP="00B32148">
      <w:pPr>
        <w:pStyle w:val="ListParagraph"/>
        <w:numPr>
          <w:ilvl w:val="0"/>
          <w:numId w:val="56"/>
        </w:numPr>
      </w:pPr>
      <w:r>
        <w:t>To what extent is the TAPQE Program using resources efficiently to achieve its End of Program Outcomes?</w:t>
      </w:r>
    </w:p>
    <w:p w14:paraId="0DDFD16F" w14:textId="7B64C77A" w:rsidR="0034372A" w:rsidRDefault="0034372A" w:rsidP="00B32148">
      <w:pPr>
        <w:pStyle w:val="ListParagraph"/>
        <w:numPr>
          <w:ilvl w:val="0"/>
          <w:numId w:val="56"/>
        </w:numPr>
      </w:pPr>
      <w:r>
        <w:t>To what extent are the TAPQE Program’s GEDSI and Climate Change ambitions, approaches and achievements adequate against program logic and design, and current DFAT policies?</w:t>
      </w:r>
    </w:p>
    <w:p w14:paraId="5E724665" w14:textId="0A74E541" w:rsidR="0034372A" w:rsidRDefault="0034372A" w:rsidP="00B32148">
      <w:pPr>
        <w:pStyle w:val="ListParagraph"/>
        <w:numPr>
          <w:ilvl w:val="0"/>
          <w:numId w:val="56"/>
        </w:numPr>
      </w:pPr>
      <w:r>
        <w:t xml:space="preserve">To what extent are the MEL arrangements fit for purpose? </w:t>
      </w:r>
    </w:p>
    <w:p w14:paraId="3486D275" w14:textId="0848DE1C" w:rsidR="0034372A" w:rsidRDefault="0034372A" w:rsidP="00DF5451">
      <w:pPr>
        <w:spacing w:after="240"/>
        <w:rPr>
          <w:lang w:val="en-AU"/>
        </w:rPr>
      </w:pPr>
      <w:r w:rsidRPr="00C4413D">
        <w:rPr>
          <w:lang w:val="en-AU"/>
        </w:rPr>
        <w:t xml:space="preserve">The evaluation </w:t>
      </w:r>
      <w:r w:rsidR="0099722D">
        <w:rPr>
          <w:lang w:val="en-AU"/>
        </w:rPr>
        <w:t>plan</w:t>
      </w:r>
      <w:r w:rsidR="002730E6">
        <w:rPr>
          <w:lang w:val="en-AU"/>
        </w:rPr>
        <w:t xml:space="preserve"> (</w:t>
      </w:r>
      <w:r w:rsidR="002730E6" w:rsidRPr="0069506B">
        <w:rPr>
          <w:u w:val="single"/>
          <w:lang w:val="en-AU"/>
        </w:rPr>
        <w:t>Annex 2</w:t>
      </w:r>
      <w:r w:rsidR="002730E6">
        <w:rPr>
          <w:lang w:val="en-AU"/>
        </w:rPr>
        <w:t>),</w:t>
      </w:r>
      <w:r w:rsidR="00F0415F">
        <w:rPr>
          <w:lang w:val="en-AU"/>
        </w:rPr>
        <w:t xml:space="preserve"> which was submitted to the </w:t>
      </w:r>
      <w:r w:rsidR="00756305">
        <w:rPr>
          <w:lang w:val="en-AU"/>
        </w:rPr>
        <w:t>Australian High Commission (</w:t>
      </w:r>
      <w:r w:rsidR="00F0415F">
        <w:rPr>
          <w:lang w:val="en-AU"/>
        </w:rPr>
        <w:t>AHC</w:t>
      </w:r>
      <w:r w:rsidR="002A333E">
        <w:rPr>
          <w:lang w:val="en-AU"/>
        </w:rPr>
        <w:t>) in Funafuti,</w:t>
      </w:r>
      <w:r w:rsidR="00F0415F">
        <w:rPr>
          <w:lang w:val="en-AU"/>
        </w:rPr>
        <w:t xml:space="preserve"> Tuvalu on 23 January 2025, set</w:t>
      </w:r>
      <w:r w:rsidR="00DB7C5A">
        <w:rPr>
          <w:lang w:val="en-AU"/>
        </w:rPr>
        <w:t>s</w:t>
      </w:r>
      <w:r w:rsidR="00F0415F">
        <w:rPr>
          <w:lang w:val="en-AU"/>
        </w:rPr>
        <w:t xml:space="preserve"> out the approach </w:t>
      </w:r>
      <w:r w:rsidR="00DB7C5A">
        <w:rPr>
          <w:lang w:val="en-AU"/>
        </w:rPr>
        <w:t xml:space="preserve">taken </w:t>
      </w:r>
      <w:r w:rsidR="00F0415F">
        <w:rPr>
          <w:lang w:val="en-AU"/>
        </w:rPr>
        <w:t xml:space="preserve">for the </w:t>
      </w:r>
      <w:r w:rsidR="002E661F">
        <w:rPr>
          <w:lang w:val="en-AU"/>
        </w:rPr>
        <w:t>MTR.</w:t>
      </w:r>
      <w:r w:rsidRPr="00C4413D">
        <w:rPr>
          <w:lang w:val="en-AU"/>
        </w:rPr>
        <w:t xml:space="preserve"> </w:t>
      </w:r>
      <w:r w:rsidR="00DB7C5A">
        <w:rPr>
          <w:lang w:val="en-AU"/>
        </w:rPr>
        <w:t xml:space="preserve"> </w:t>
      </w:r>
      <w:r w:rsidRPr="00706DDC">
        <w:rPr>
          <w:lang w:val="en-AU"/>
        </w:rPr>
        <w:t>The main sources of data for the review w</w:t>
      </w:r>
      <w:r>
        <w:rPr>
          <w:lang w:val="en-AU"/>
        </w:rPr>
        <w:t xml:space="preserve">ere </w:t>
      </w:r>
      <w:r w:rsidRPr="00706DDC">
        <w:rPr>
          <w:lang w:val="en-AU"/>
        </w:rPr>
        <w:t xml:space="preserve">documents </w:t>
      </w:r>
      <w:r w:rsidR="004F52F5">
        <w:rPr>
          <w:lang w:val="en-AU"/>
        </w:rPr>
        <w:t xml:space="preserve">provided by the TAPQE Program </w:t>
      </w:r>
      <w:r w:rsidRPr="00706DDC">
        <w:rPr>
          <w:lang w:val="en-AU"/>
        </w:rPr>
        <w:t xml:space="preserve">and interviews with key stakeholders. </w:t>
      </w:r>
    </w:p>
    <w:p w14:paraId="6C440142" w14:textId="1F7ADE3D" w:rsidR="0034372A" w:rsidRDefault="005D3710" w:rsidP="00DF5451">
      <w:pPr>
        <w:spacing w:after="240"/>
        <w:rPr>
          <w:lang w:val="en-AU"/>
        </w:rPr>
      </w:pPr>
      <w:r>
        <w:rPr>
          <w:lang w:val="en-AU"/>
        </w:rPr>
        <w:t>A</w:t>
      </w:r>
      <w:r w:rsidR="004D0292">
        <w:rPr>
          <w:lang w:val="en-AU"/>
        </w:rPr>
        <w:t xml:space="preserve">n </w:t>
      </w:r>
      <w:r w:rsidR="003A2D0F">
        <w:rPr>
          <w:lang w:val="en-AU"/>
        </w:rPr>
        <w:t>initial</w:t>
      </w:r>
      <w:r w:rsidR="00727A1B">
        <w:rPr>
          <w:lang w:val="en-AU"/>
        </w:rPr>
        <w:t xml:space="preserve"> </w:t>
      </w:r>
      <w:r w:rsidR="003A2D0F">
        <w:rPr>
          <w:lang w:val="en-AU"/>
        </w:rPr>
        <w:t xml:space="preserve">review was completed using </w:t>
      </w:r>
      <w:r w:rsidR="00B26BF4">
        <w:rPr>
          <w:lang w:val="en-AU"/>
        </w:rPr>
        <w:t>a set of documents provided by AHC to the review team with k</w:t>
      </w:r>
      <w:r w:rsidR="0034372A" w:rsidRPr="00706DDC">
        <w:rPr>
          <w:lang w:val="en-AU"/>
        </w:rPr>
        <w:t xml:space="preserve">ey observations and questions recorded </w:t>
      </w:r>
      <w:r w:rsidR="00454EF5">
        <w:rPr>
          <w:lang w:val="en-AU"/>
        </w:rPr>
        <w:t xml:space="preserve">against the </w:t>
      </w:r>
      <w:r w:rsidR="0034372A" w:rsidRPr="00706DDC">
        <w:rPr>
          <w:lang w:val="en-AU"/>
        </w:rPr>
        <w:t>key questions</w:t>
      </w:r>
      <w:r w:rsidR="0034372A">
        <w:rPr>
          <w:lang w:val="en-AU"/>
        </w:rPr>
        <w:t>.</w:t>
      </w:r>
      <w:r w:rsidR="0034372A" w:rsidRPr="00706DDC">
        <w:rPr>
          <w:lang w:val="en-AU"/>
        </w:rPr>
        <w:t xml:space="preserve"> Findings from </w:t>
      </w:r>
      <w:r w:rsidR="00454EF5">
        <w:rPr>
          <w:lang w:val="en-AU"/>
        </w:rPr>
        <w:t xml:space="preserve">this </w:t>
      </w:r>
      <w:r w:rsidR="0034372A" w:rsidRPr="00706DDC">
        <w:rPr>
          <w:lang w:val="en-AU"/>
        </w:rPr>
        <w:t xml:space="preserve">review </w:t>
      </w:r>
      <w:r w:rsidR="0034372A">
        <w:rPr>
          <w:lang w:val="en-AU"/>
        </w:rPr>
        <w:t>w</w:t>
      </w:r>
      <w:r w:rsidR="00F84CBC">
        <w:rPr>
          <w:lang w:val="en-AU"/>
        </w:rPr>
        <w:t>ere</w:t>
      </w:r>
      <w:r w:rsidR="0034372A" w:rsidRPr="00706DDC">
        <w:rPr>
          <w:lang w:val="en-AU"/>
        </w:rPr>
        <w:t xml:space="preserve"> provided to the AHC. Based on the initial review further documents </w:t>
      </w:r>
      <w:r w:rsidR="0034372A">
        <w:rPr>
          <w:lang w:val="en-AU"/>
        </w:rPr>
        <w:t>were sought</w:t>
      </w:r>
      <w:r w:rsidR="004F52F5">
        <w:rPr>
          <w:lang w:val="en-AU"/>
        </w:rPr>
        <w:t xml:space="preserve"> and the </w:t>
      </w:r>
      <w:r w:rsidR="00393436">
        <w:rPr>
          <w:lang w:val="en-AU"/>
        </w:rPr>
        <w:t>Evaluation Plan developed</w:t>
      </w:r>
      <w:r w:rsidR="0034372A">
        <w:rPr>
          <w:lang w:val="en-AU"/>
        </w:rPr>
        <w:t>.</w:t>
      </w:r>
    </w:p>
    <w:p w14:paraId="4C5291B5" w14:textId="5C4C4E6A" w:rsidR="0034372A" w:rsidRDefault="0034372A" w:rsidP="00DF5451">
      <w:pPr>
        <w:spacing w:after="240"/>
        <w:rPr>
          <w:lang w:val="en-AU"/>
        </w:rPr>
      </w:pPr>
      <w:r w:rsidRPr="00706DDC">
        <w:rPr>
          <w:lang w:val="en-AU"/>
        </w:rPr>
        <w:t xml:space="preserve">Interviews </w:t>
      </w:r>
      <w:r>
        <w:rPr>
          <w:lang w:val="en-AU"/>
        </w:rPr>
        <w:t>were</w:t>
      </w:r>
      <w:r w:rsidRPr="00706DDC">
        <w:rPr>
          <w:lang w:val="en-AU"/>
        </w:rPr>
        <w:t xml:space="preserve"> conducted with stakeholders in-country and remotely (as required). Interview questions </w:t>
      </w:r>
      <w:r>
        <w:rPr>
          <w:lang w:val="en-AU"/>
        </w:rPr>
        <w:t xml:space="preserve">were </w:t>
      </w:r>
      <w:r w:rsidRPr="00706DDC">
        <w:rPr>
          <w:lang w:val="en-AU"/>
        </w:rPr>
        <w:t xml:space="preserve">based on the review key questions and </w:t>
      </w:r>
      <w:r w:rsidR="00AD314A" w:rsidRPr="00706DDC">
        <w:rPr>
          <w:lang w:val="en-AU"/>
        </w:rPr>
        <w:t>sub</w:t>
      </w:r>
      <w:r w:rsidR="00AD314A">
        <w:rPr>
          <w:lang w:val="en-AU"/>
        </w:rPr>
        <w:t>-</w:t>
      </w:r>
      <w:r w:rsidRPr="00706DDC">
        <w:rPr>
          <w:lang w:val="en-AU"/>
        </w:rPr>
        <w:t>questions, providing some structure while also allowing for flexibility in the interview process to benefit from interviewees</w:t>
      </w:r>
      <w:r w:rsidR="00AD314A">
        <w:rPr>
          <w:lang w:val="en-AU"/>
        </w:rPr>
        <w:t>’</w:t>
      </w:r>
      <w:r w:rsidRPr="00706DDC">
        <w:rPr>
          <w:lang w:val="en-AU"/>
        </w:rPr>
        <w:t xml:space="preserve"> expertise and engagement with the program. Where possible and appropriate interviews </w:t>
      </w:r>
      <w:r w:rsidR="00B90BB2">
        <w:rPr>
          <w:lang w:val="en-AU"/>
        </w:rPr>
        <w:t>were</w:t>
      </w:r>
      <w:r w:rsidRPr="00706DDC">
        <w:rPr>
          <w:lang w:val="en-AU"/>
        </w:rPr>
        <w:t xml:space="preserve"> recorded. </w:t>
      </w:r>
    </w:p>
    <w:p w14:paraId="5E033395" w14:textId="64307CE5" w:rsidR="0034372A" w:rsidRDefault="0034372A" w:rsidP="00DF5451">
      <w:pPr>
        <w:spacing w:after="240"/>
      </w:pPr>
      <w:r>
        <w:t xml:space="preserve">Based on the documents provided to the </w:t>
      </w:r>
      <w:r w:rsidR="00165A4E">
        <w:t>MTR team</w:t>
      </w:r>
      <w:r>
        <w:t xml:space="preserve">, discussion with the TAPQE team and discussion with a range of stakeholders in Tuvalu (see Annex 4) the </w:t>
      </w:r>
      <w:r w:rsidR="00165A4E">
        <w:t>MTR team</w:t>
      </w:r>
      <w:r>
        <w:t xml:space="preserve"> concluded that </w:t>
      </w:r>
      <w:r w:rsidRPr="00542B9A">
        <w:rPr>
          <w:b/>
          <w:bCs/>
        </w:rPr>
        <w:t>the TAPQE Program is engaged in appropriate interventions and activities designed to improve education opportunities for Tuvalu</w:t>
      </w:r>
      <w:r w:rsidR="006F5CC5" w:rsidRPr="00542B9A">
        <w:rPr>
          <w:b/>
          <w:bCs/>
        </w:rPr>
        <w:t>an</w:t>
      </w:r>
      <w:r w:rsidRPr="00542B9A">
        <w:rPr>
          <w:b/>
          <w:bCs/>
        </w:rPr>
        <w:t xml:space="preserve"> students</w:t>
      </w:r>
      <w:r>
        <w:t xml:space="preserve">. The </w:t>
      </w:r>
      <w:r w:rsidR="00165A4E">
        <w:t>MTR team</w:t>
      </w:r>
      <w:r>
        <w:t xml:space="preserve"> also </w:t>
      </w:r>
      <w:r w:rsidR="00D46865">
        <w:t xml:space="preserve">found </w:t>
      </w:r>
      <w:r>
        <w:t xml:space="preserve">that </w:t>
      </w:r>
      <w:r w:rsidR="00D46865">
        <w:t xml:space="preserve">there are </w:t>
      </w:r>
      <w:r w:rsidR="00D46865" w:rsidRPr="00542B9A">
        <w:rPr>
          <w:b/>
          <w:bCs/>
        </w:rPr>
        <w:t>signs that some improvements are being made</w:t>
      </w:r>
      <w:r w:rsidR="00E10EF2" w:rsidRPr="00A9645C">
        <w:t>,</w:t>
      </w:r>
      <w:r w:rsidR="00B33503" w:rsidRPr="00A9645C">
        <w:t xml:space="preserve"> </w:t>
      </w:r>
      <w:r w:rsidR="00411450" w:rsidRPr="00A9645C">
        <w:t xml:space="preserve">for </w:t>
      </w:r>
      <w:r w:rsidR="00411450" w:rsidRPr="00A9645C">
        <w:lastRenderedPageBreak/>
        <w:t>example</w:t>
      </w:r>
      <w:r w:rsidR="00E10EF2" w:rsidRPr="00A9645C">
        <w:t xml:space="preserve">, </w:t>
      </w:r>
      <w:r w:rsidR="009C78BF">
        <w:t xml:space="preserve">provision of learning resources, enhancing </w:t>
      </w:r>
      <w:r w:rsidR="00B33503" w:rsidRPr="00A9645C">
        <w:t xml:space="preserve">teacher knowledge and </w:t>
      </w:r>
      <w:r w:rsidR="00107745" w:rsidRPr="00A9645C">
        <w:t>the quality of teaching and assessment</w:t>
      </w:r>
      <w:r w:rsidR="00D46865" w:rsidRPr="00A9645C">
        <w:t>,</w:t>
      </w:r>
      <w:r w:rsidR="00D46865">
        <w:t xml:space="preserve"> </w:t>
      </w:r>
      <w:r>
        <w:t xml:space="preserve">based on activities being implemented and feedback from </w:t>
      </w:r>
      <w:r w:rsidR="00437D71">
        <w:t>interviewees.</w:t>
      </w:r>
    </w:p>
    <w:p w14:paraId="369198EB" w14:textId="795BF82E" w:rsidR="00D21A81" w:rsidRDefault="00D21A81" w:rsidP="00DF5451">
      <w:pPr>
        <w:spacing w:after="240"/>
      </w:pPr>
      <w:r>
        <w:t xml:space="preserve">The MTR team also acknowledge that the TAPQE Program has made </w:t>
      </w:r>
      <w:r w:rsidR="00207E46">
        <w:rPr>
          <w:b/>
          <w:bCs/>
        </w:rPr>
        <w:t>considerable</w:t>
      </w:r>
      <w:r w:rsidR="00207E46" w:rsidRPr="00542B9A">
        <w:rPr>
          <w:b/>
          <w:bCs/>
        </w:rPr>
        <w:t xml:space="preserve"> </w:t>
      </w:r>
      <w:r w:rsidRPr="00542B9A">
        <w:rPr>
          <w:b/>
          <w:bCs/>
        </w:rPr>
        <w:t xml:space="preserve">progress with the review and redevelopment of the Tuvalu </w:t>
      </w:r>
      <w:r w:rsidRPr="00542B9A">
        <w:rPr>
          <w:b/>
          <w:bCs/>
          <w:spacing w:val="2"/>
        </w:rPr>
        <w:t>Education Management Information System (TEMIS)</w:t>
      </w:r>
      <w:r>
        <w:rPr>
          <w:spacing w:val="2"/>
        </w:rPr>
        <w:t xml:space="preserve">. The Program has also provided </w:t>
      </w:r>
      <w:r w:rsidR="00207E46">
        <w:rPr>
          <w:b/>
          <w:bCs/>
          <w:spacing w:val="2"/>
        </w:rPr>
        <w:t>important</w:t>
      </w:r>
      <w:r w:rsidR="00207E46" w:rsidRPr="00542B9A">
        <w:rPr>
          <w:b/>
          <w:bCs/>
          <w:spacing w:val="2"/>
        </w:rPr>
        <w:t xml:space="preserve"> </w:t>
      </w:r>
      <w:r w:rsidRPr="00542B9A">
        <w:rPr>
          <w:b/>
          <w:bCs/>
          <w:spacing w:val="2"/>
        </w:rPr>
        <w:t>support to MEHRD to improve the quality of its reporting</w:t>
      </w:r>
      <w:r>
        <w:rPr>
          <w:spacing w:val="2"/>
        </w:rPr>
        <w:t xml:space="preserve"> (e.g. finalising the 2023 Statistical Report).</w:t>
      </w:r>
    </w:p>
    <w:p w14:paraId="3BDEBB56" w14:textId="41464BEA" w:rsidR="0034372A" w:rsidRDefault="0034372A" w:rsidP="00DF5451">
      <w:pPr>
        <w:spacing w:after="240"/>
      </w:pPr>
      <w:r>
        <w:t xml:space="preserve">However, notwithstanding the range of activities underway and anecdotal examples of progress being made, the </w:t>
      </w:r>
      <w:r w:rsidR="00165A4E">
        <w:t>MTR team</w:t>
      </w:r>
      <w:r>
        <w:t xml:space="preserve"> </w:t>
      </w:r>
      <w:proofErr w:type="gramStart"/>
      <w:r>
        <w:t xml:space="preserve">is </w:t>
      </w:r>
      <w:r w:rsidRPr="00542B9A">
        <w:rPr>
          <w:b/>
          <w:bCs/>
        </w:rPr>
        <w:t>not able to</w:t>
      </w:r>
      <w:proofErr w:type="gramEnd"/>
      <w:r w:rsidRPr="00542B9A">
        <w:rPr>
          <w:b/>
          <w:bCs/>
        </w:rPr>
        <w:t xml:space="preserve"> provide a more positive and conclusive judgment about the progress, effectiveness or efficiency of the TAPQE Program</w:t>
      </w:r>
      <w:r>
        <w:t xml:space="preserve">. This is because the </w:t>
      </w:r>
      <w:r w:rsidRPr="00542B9A">
        <w:rPr>
          <w:b/>
          <w:bCs/>
        </w:rPr>
        <w:t xml:space="preserve">TAPQE Program has not </w:t>
      </w:r>
      <w:r w:rsidR="004C4582">
        <w:rPr>
          <w:b/>
          <w:bCs/>
        </w:rPr>
        <w:t xml:space="preserve">produced a </w:t>
      </w:r>
      <w:r w:rsidRPr="00542B9A">
        <w:rPr>
          <w:b/>
          <w:bCs/>
        </w:rPr>
        <w:t xml:space="preserve">baseline </w:t>
      </w:r>
      <w:r>
        <w:t xml:space="preserve">and, currently, there is </w:t>
      </w:r>
      <w:r w:rsidRPr="00542B9A">
        <w:rPr>
          <w:b/>
          <w:bCs/>
        </w:rPr>
        <w:t>no reporting against TAPQE E</w:t>
      </w:r>
      <w:r w:rsidR="006F5CC5" w:rsidRPr="00542B9A">
        <w:rPr>
          <w:b/>
          <w:bCs/>
        </w:rPr>
        <w:t>nd of Program Outcomes</w:t>
      </w:r>
      <w:r w:rsidR="006F5CC5">
        <w:t xml:space="preserve"> (E</w:t>
      </w:r>
      <w:r>
        <w:t>OPOs</w:t>
      </w:r>
      <w:r w:rsidR="006F5CC5">
        <w:t>)</w:t>
      </w:r>
      <w:r>
        <w:t xml:space="preserve">. This also means that the </w:t>
      </w:r>
      <w:r w:rsidR="00165A4E">
        <w:t>MTR team</w:t>
      </w:r>
      <w:r>
        <w:t xml:space="preserve"> </w:t>
      </w:r>
      <w:proofErr w:type="gramStart"/>
      <w:r>
        <w:t xml:space="preserve">is </w:t>
      </w:r>
      <w:r w:rsidRPr="00542B9A">
        <w:rPr>
          <w:b/>
          <w:bCs/>
        </w:rPr>
        <w:t>not able to</w:t>
      </w:r>
      <w:proofErr w:type="gramEnd"/>
      <w:r w:rsidRPr="00542B9A">
        <w:rPr>
          <w:b/>
          <w:bCs/>
        </w:rPr>
        <w:t xml:space="preserve"> conclude whether </w:t>
      </w:r>
      <w:r w:rsidR="00DF1E9D" w:rsidRPr="00542B9A">
        <w:rPr>
          <w:b/>
          <w:bCs/>
        </w:rPr>
        <w:t xml:space="preserve">the </w:t>
      </w:r>
      <w:r w:rsidRPr="00542B9A">
        <w:rPr>
          <w:b/>
          <w:bCs/>
        </w:rPr>
        <w:t>TAPQE Program’s GEDSI and Climate Change ambitions, approaches and achievements are adequate</w:t>
      </w:r>
      <w:r>
        <w:t>.</w:t>
      </w:r>
    </w:p>
    <w:p w14:paraId="47B0A318" w14:textId="79E46963" w:rsidR="0034372A" w:rsidRDefault="0034372A" w:rsidP="00DF5451">
      <w:pPr>
        <w:spacing w:after="240"/>
      </w:pPr>
      <w:r>
        <w:t xml:space="preserve">The </w:t>
      </w:r>
      <w:r w:rsidRPr="00542B9A">
        <w:rPr>
          <w:b/>
          <w:bCs/>
        </w:rPr>
        <w:t>commitment to align activities</w:t>
      </w:r>
      <w:r>
        <w:t xml:space="preserve"> with </w:t>
      </w:r>
      <w:r w:rsidR="00A332B3">
        <w:t>the Tuvalu Education Sector Plan (</w:t>
      </w:r>
      <w:r>
        <w:t>TESP</w:t>
      </w:r>
      <w:r w:rsidR="00A332B3">
        <w:t xml:space="preserve"> III and TESP IV)</w:t>
      </w:r>
      <w:r>
        <w:t xml:space="preserve"> and </w:t>
      </w:r>
      <w:r w:rsidR="00764CCC">
        <w:t>Ministry of Education and Human Resource Development (</w:t>
      </w:r>
      <w:r>
        <w:t>MEHRD</w:t>
      </w:r>
      <w:r w:rsidR="00764CCC">
        <w:t>)</w:t>
      </w:r>
      <w:r>
        <w:t xml:space="preserve"> priorities has likely </w:t>
      </w:r>
      <w:r w:rsidRPr="00542B9A">
        <w:rPr>
          <w:b/>
          <w:bCs/>
        </w:rPr>
        <w:t>enhanced Program relevance</w:t>
      </w:r>
      <w:r>
        <w:t xml:space="preserve">. However, the alignment has also resulted in </w:t>
      </w:r>
      <w:r w:rsidRPr="00542B9A">
        <w:rPr>
          <w:b/>
          <w:bCs/>
        </w:rPr>
        <w:t>a degree of dependency of the Program on MEHRD activities and timelines</w:t>
      </w:r>
      <w:r>
        <w:t xml:space="preserve"> and has involved the incorporation of the TAPQE MERL Framework into the MEHRD MERL framework. This appears to have resulted in </w:t>
      </w:r>
      <w:r w:rsidRPr="00542B9A">
        <w:rPr>
          <w:b/>
          <w:bCs/>
        </w:rPr>
        <w:t>some loss of Program agency</w:t>
      </w:r>
      <w:r w:rsidR="007F4796">
        <w:rPr>
          <w:b/>
          <w:bCs/>
        </w:rPr>
        <w:t xml:space="preserve"> and </w:t>
      </w:r>
      <w:r w:rsidRPr="00542B9A">
        <w:rPr>
          <w:b/>
          <w:bCs/>
        </w:rPr>
        <w:t>delays for some Program activities</w:t>
      </w:r>
      <w:r w:rsidR="007F4796">
        <w:rPr>
          <w:b/>
          <w:bCs/>
        </w:rPr>
        <w:t xml:space="preserve">. </w:t>
      </w:r>
      <w:r>
        <w:t xml:space="preserve"> </w:t>
      </w:r>
      <w:r w:rsidR="005E6666">
        <w:t xml:space="preserve">This has also contributed to </w:t>
      </w:r>
      <w:r>
        <w:t xml:space="preserve">the </w:t>
      </w:r>
      <w:r w:rsidRPr="00542B9A">
        <w:rPr>
          <w:b/>
          <w:bCs/>
        </w:rPr>
        <w:t xml:space="preserve">TAPQE Program not having </w:t>
      </w:r>
      <w:r w:rsidR="00686706">
        <w:rPr>
          <w:b/>
          <w:bCs/>
        </w:rPr>
        <w:t xml:space="preserve">a </w:t>
      </w:r>
      <w:r w:rsidRPr="00542B9A">
        <w:rPr>
          <w:b/>
          <w:bCs/>
        </w:rPr>
        <w:t>baseline</w:t>
      </w:r>
      <w:r w:rsidR="00AD4603">
        <w:rPr>
          <w:b/>
          <w:bCs/>
        </w:rPr>
        <w:t xml:space="preserve"> </w:t>
      </w:r>
      <w:r w:rsidR="00AD4603" w:rsidRPr="00A9645C">
        <w:t>and t</w:t>
      </w:r>
      <w:r w:rsidR="00A1721B" w:rsidRPr="00A9645C">
        <w:t xml:space="preserve">he reporting against TAPQE MERL Framework success indicators </w:t>
      </w:r>
      <w:r w:rsidR="00AD4603">
        <w:t xml:space="preserve">being </w:t>
      </w:r>
      <w:r w:rsidR="00A1721B" w:rsidRPr="00A9645C">
        <w:t xml:space="preserve">quite limited </w:t>
      </w:r>
      <w:r w:rsidR="00141BCC">
        <w:t xml:space="preserve">with </w:t>
      </w:r>
      <w:r w:rsidR="00A1721B" w:rsidRPr="00A9645C">
        <w:t xml:space="preserve">very few cases of strong evidence that could be used to demonstrate </w:t>
      </w:r>
      <w:r w:rsidR="00437D71" w:rsidRPr="00A9645C">
        <w:t>year-to-year</w:t>
      </w:r>
      <w:r w:rsidR="00A1721B" w:rsidRPr="00A9645C">
        <w:t xml:space="preserve"> change</w:t>
      </w:r>
      <w:r>
        <w:t xml:space="preserve">. As a result of these actions the </w:t>
      </w:r>
      <w:r w:rsidR="00165A4E">
        <w:t>MTR team</w:t>
      </w:r>
      <w:r>
        <w:t xml:space="preserve"> judged that while the design and intention are substantial, overall, the </w:t>
      </w:r>
      <w:r w:rsidR="00D21A81" w:rsidRPr="00542B9A">
        <w:rPr>
          <w:b/>
          <w:bCs/>
        </w:rPr>
        <w:t xml:space="preserve">TAPQE </w:t>
      </w:r>
      <w:r w:rsidRPr="00542B9A">
        <w:rPr>
          <w:b/>
          <w:bCs/>
        </w:rPr>
        <w:t>MEL arrangements are not fit for purpose</w:t>
      </w:r>
      <w:r>
        <w:t>.</w:t>
      </w:r>
    </w:p>
    <w:p w14:paraId="3DB4E44D" w14:textId="35BA3BCE" w:rsidR="0034372A" w:rsidRDefault="0034372A" w:rsidP="00DF5451">
      <w:pPr>
        <w:spacing w:after="240"/>
      </w:pPr>
      <w:r>
        <w:t xml:space="preserve">It is not clear to the </w:t>
      </w:r>
      <w:r w:rsidR="00165A4E">
        <w:t>MTR team</w:t>
      </w:r>
      <w:r>
        <w:t xml:space="preserve"> whether th</w:t>
      </w:r>
      <w:r w:rsidR="00BC2B6E">
        <w:t xml:space="preserve">e current Program circumstances are </w:t>
      </w:r>
      <w:r>
        <w:t>the result of an explicit decision</w:t>
      </w:r>
      <w:r w:rsidR="00BC2B6E">
        <w:t>(s)</w:t>
      </w:r>
      <w:r>
        <w:t xml:space="preserve"> by the TAPQE Steering Group or whether it was simply seen as an implementation strategy. Either way, it has meant that the TAPQE Program has not met DFAT requirements </w:t>
      </w:r>
      <w:r w:rsidR="002E5C8E">
        <w:t>and</w:t>
      </w:r>
      <w:r>
        <w:t xml:space="preserve"> appears to have diminished the TAPQE Program’s ability to monitor and analyse </w:t>
      </w:r>
      <w:r w:rsidR="00BC2B6E">
        <w:t xml:space="preserve">Program </w:t>
      </w:r>
      <w:r>
        <w:t xml:space="preserve">activity in relation to effectiveness and efficiency. </w:t>
      </w:r>
    </w:p>
    <w:p w14:paraId="2A631746" w14:textId="09027E4A" w:rsidR="0034372A" w:rsidRDefault="0034372A" w:rsidP="00DF5451">
      <w:pPr>
        <w:spacing w:after="240"/>
      </w:pPr>
      <w:r>
        <w:t>Building on the</w:t>
      </w:r>
      <w:r w:rsidR="00BC2B6E">
        <w:t xml:space="preserve"> preceding observations </w:t>
      </w:r>
      <w:r>
        <w:t xml:space="preserve">and the discussion provided in this report the following </w:t>
      </w:r>
      <w:r w:rsidR="00FE3B13">
        <w:t xml:space="preserve">five </w:t>
      </w:r>
      <w:r>
        <w:t xml:space="preserve">recommendations </w:t>
      </w:r>
      <w:r w:rsidR="003842FA">
        <w:t xml:space="preserve">(with associated resourcing considerations) </w:t>
      </w:r>
      <w:r>
        <w:t xml:space="preserve">are submitted for consideration </w:t>
      </w:r>
      <w:r w:rsidR="00F61AFB">
        <w:t xml:space="preserve">by </w:t>
      </w:r>
      <w:r>
        <w:t xml:space="preserve">the </w:t>
      </w:r>
      <w:r w:rsidR="008A5767">
        <w:t xml:space="preserve">Funafuti </w:t>
      </w:r>
      <w:r>
        <w:t>Australian High Commission:</w:t>
      </w:r>
    </w:p>
    <w:p w14:paraId="21925AFD" w14:textId="3ED0A068" w:rsidR="001828B8" w:rsidRPr="00A9645C" w:rsidRDefault="001828B8" w:rsidP="00DF5451">
      <w:pPr>
        <w:spacing w:after="240"/>
        <w:rPr>
          <w:b/>
          <w:bCs/>
          <w:i/>
          <w:iCs/>
        </w:rPr>
      </w:pPr>
      <w:r w:rsidRPr="00A9645C">
        <w:rPr>
          <w:b/>
          <w:bCs/>
          <w:i/>
          <w:iCs/>
        </w:rPr>
        <w:t>Recommendation 1: Refine EOPOs</w:t>
      </w:r>
      <w:r w:rsidR="00032929" w:rsidRPr="00A9645C">
        <w:rPr>
          <w:b/>
          <w:bCs/>
          <w:i/>
          <w:iCs/>
        </w:rPr>
        <w:t xml:space="preserve"> for greater definition and </w:t>
      </w:r>
      <w:r w:rsidR="00334549" w:rsidRPr="00A9645C">
        <w:rPr>
          <w:b/>
          <w:bCs/>
          <w:i/>
          <w:iCs/>
        </w:rPr>
        <w:t>achievability</w:t>
      </w:r>
      <w:r w:rsidR="00EB58A6" w:rsidRPr="00A9645C">
        <w:rPr>
          <w:b/>
          <w:bCs/>
          <w:i/>
          <w:iCs/>
        </w:rPr>
        <w:t xml:space="preserve"> </w:t>
      </w:r>
      <w:r w:rsidR="003F0BFF" w:rsidRPr="00A9645C">
        <w:rPr>
          <w:b/>
          <w:bCs/>
          <w:i/>
          <w:iCs/>
        </w:rPr>
        <w:t>–</w:t>
      </w:r>
      <w:r w:rsidR="00EB58A6" w:rsidRPr="00A9645C">
        <w:rPr>
          <w:b/>
          <w:bCs/>
          <w:i/>
          <w:iCs/>
        </w:rPr>
        <w:t xml:space="preserve"> </w:t>
      </w:r>
      <w:r w:rsidR="003F0BFF" w:rsidRPr="00A9645C">
        <w:rPr>
          <w:b/>
          <w:bCs/>
          <w:i/>
          <w:iCs/>
        </w:rPr>
        <w:t xml:space="preserve">TAPQE and </w:t>
      </w:r>
      <w:r w:rsidR="00EB58A6" w:rsidRPr="00A9645C">
        <w:rPr>
          <w:b/>
          <w:bCs/>
          <w:i/>
          <w:iCs/>
        </w:rPr>
        <w:t>DFAT</w:t>
      </w:r>
    </w:p>
    <w:p w14:paraId="00FC3228" w14:textId="76693137" w:rsidR="0044543B" w:rsidRPr="00A9645C" w:rsidRDefault="001828B8" w:rsidP="00DF5451">
      <w:pPr>
        <w:spacing w:after="240"/>
        <w:rPr>
          <w:i/>
          <w:iCs/>
        </w:rPr>
      </w:pPr>
      <w:r w:rsidRPr="00A9645C">
        <w:rPr>
          <w:i/>
          <w:iCs/>
        </w:rPr>
        <w:t>Current EOPOs 2 and 3 should be reviewed and simplified to provide a more defined and achievable aspiration for the current TAPQE program</w:t>
      </w:r>
      <w:r w:rsidR="00F46362" w:rsidRPr="00A9645C">
        <w:rPr>
          <w:i/>
          <w:iCs/>
        </w:rPr>
        <w:t xml:space="preserve"> </w:t>
      </w:r>
      <w:r w:rsidR="001328A2" w:rsidRPr="00A9645C">
        <w:rPr>
          <w:i/>
          <w:iCs/>
        </w:rPr>
        <w:t xml:space="preserve">(by </w:t>
      </w:r>
      <w:r w:rsidR="00803C8F" w:rsidRPr="00A9645C">
        <w:rPr>
          <w:i/>
          <w:iCs/>
        </w:rPr>
        <w:t>end of April</w:t>
      </w:r>
      <w:r w:rsidR="0051602C" w:rsidRPr="00A9645C">
        <w:rPr>
          <w:i/>
          <w:iCs/>
        </w:rPr>
        <w:t xml:space="preserve"> 2025</w:t>
      </w:r>
      <w:r w:rsidR="00885D8E" w:rsidRPr="00A9645C">
        <w:rPr>
          <w:i/>
          <w:iCs/>
        </w:rPr>
        <w:t>)</w:t>
      </w:r>
      <w:r w:rsidRPr="00A9645C">
        <w:rPr>
          <w:i/>
          <w:iCs/>
        </w:rPr>
        <w:t xml:space="preserve">. </w:t>
      </w:r>
    </w:p>
    <w:p w14:paraId="06B95156" w14:textId="295A1C4B" w:rsidR="001828B8" w:rsidRPr="00A9645C" w:rsidRDefault="001828B8" w:rsidP="00DF5451">
      <w:pPr>
        <w:spacing w:after="240"/>
        <w:rPr>
          <w:i/>
          <w:iCs/>
        </w:rPr>
      </w:pPr>
      <w:r w:rsidRPr="00A9645C">
        <w:rPr>
          <w:i/>
          <w:iCs/>
        </w:rPr>
        <w:t>For example:</w:t>
      </w:r>
    </w:p>
    <w:p w14:paraId="0E721747" w14:textId="644A6BB7" w:rsidR="001828B8" w:rsidRPr="00A9645C" w:rsidRDefault="001828B8" w:rsidP="001828B8">
      <w:pPr>
        <w:pStyle w:val="ListParagraph"/>
        <w:numPr>
          <w:ilvl w:val="0"/>
          <w:numId w:val="58"/>
        </w:numPr>
        <w:rPr>
          <w:i/>
          <w:iCs/>
        </w:rPr>
      </w:pPr>
      <w:r w:rsidRPr="00A9645C">
        <w:rPr>
          <w:i/>
          <w:iCs/>
        </w:rPr>
        <w:t xml:space="preserve">EOPO2 </w:t>
      </w:r>
      <w:r w:rsidR="002530A7" w:rsidRPr="00A9645C">
        <w:rPr>
          <w:i/>
          <w:iCs/>
        </w:rPr>
        <w:t xml:space="preserve">could </w:t>
      </w:r>
      <w:r w:rsidRPr="00A9645C">
        <w:rPr>
          <w:i/>
          <w:iCs/>
        </w:rPr>
        <w:t>be amended to focus on one or a combination of:</w:t>
      </w:r>
    </w:p>
    <w:p w14:paraId="49F3B9C3" w14:textId="77777777" w:rsidR="001828B8" w:rsidRPr="00A9645C" w:rsidRDefault="001828B8" w:rsidP="001828B8">
      <w:pPr>
        <w:pStyle w:val="ListParagraph"/>
        <w:numPr>
          <w:ilvl w:val="1"/>
          <w:numId w:val="59"/>
        </w:numPr>
        <w:rPr>
          <w:i/>
          <w:iCs/>
        </w:rPr>
      </w:pPr>
      <w:r w:rsidRPr="00A9645C">
        <w:rPr>
          <w:i/>
          <w:iCs/>
        </w:rPr>
        <w:t xml:space="preserve">agreed key actions from those proposed in </w:t>
      </w:r>
      <w:r w:rsidRPr="00A96435">
        <w:rPr>
          <w:i/>
          <w:iCs/>
        </w:rPr>
        <w:t>TVET Ataeao Manuia (TVET Futures)</w:t>
      </w:r>
    </w:p>
    <w:p w14:paraId="262A45CF" w14:textId="77777777" w:rsidR="001828B8" w:rsidRPr="00A9645C" w:rsidRDefault="001828B8" w:rsidP="001828B8">
      <w:pPr>
        <w:pStyle w:val="ListParagraph"/>
        <w:numPr>
          <w:ilvl w:val="1"/>
          <w:numId w:val="59"/>
        </w:numPr>
        <w:rPr>
          <w:i/>
          <w:iCs/>
        </w:rPr>
      </w:pPr>
      <w:r w:rsidRPr="00A9645C">
        <w:rPr>
          <w:i/>
          <w:iCs/>
        </w:rPr>
        <w:t xml:space="preserve">lower secondary pathways for </w:t>
      </w:r>
      <w:r w:rsidRPr="00A9645C">
        <w:rPr>
          <w:i/>
          <w:iCs/>
          <w:u w:val="single"/>
        </w:rPr>
        <w:t>all</w:t>
      </w:r>
      <w:r w:rsidRPr="00A9645C">
        <w:rPr>
          <w:i/>
          <w:iCs/>
        </w:rPr>
        <w:t xml:space="preserve"> students through to senior secondary schooling</w:t>
      </w:r>
    </w:p>
    <w:p w14:paraId="3EC4D31E" w14:textId="77777777" w:rsidR="001828B8" w:rsidRPr="00A9645C" w:rsidRDefault="001828B8" w:rsidP="001828B8">
      <w:pPr>
        <w:pStyle w:val="ListParagraph"/>
        <w:numPr>
          <w:ilvl w:val="1"/>
          <w:numId w:val="59"/>
        </w:numPr>
        <w:rPr>
          <w:i/>
          <w:iCs/>
        </w:rPr>
      </w:pPr>
      <w:r w:rsidRPr="00A9645C">
        <w:rPr>
          <w:i/>
          <w:iCs/>
        </w:rPr>
        <w:t>development of a meaningful and relevant policy and pathway for students who fail the Year 8 examination.</w:t>
      </w:r>
    </w:p>
    <w:p w14:paraId="1FE3F33A" w14:textId="56C86C58" w:rsidR="001828B8" w:rsidRDefault="001828B8" w:rsidP="001828B8">
      <w:pPr>
        <w:pStyle w:val="ListParagraph"/>
        <w:numPr>
          <w:ilvl w:val="0"/>
          <w:numId w:val="58"/>
        </w:numPr>
      </w:pPr>
      <w:r w:rsidRPr="00A9645C">
        <w:rPr>
          <w:i/>
          <w:iCs/>
        </w:rPr>
        <w:lastRenderedPageBreak/>
        <w:t xml:space="preserve">EOPO 3 </w:t>
      </w:r>
      <w:r w:rsidR="002530A7" w:rsidRPr="00A9645C">
        <w:rPr>
          <w:i/>
          <w:iCs/>
        </w:rPr>
        <w:t xml:space="preserve">could </w:t>
      </w:r>
      <w:r w:rsidRPr="00A9645C">
        <w:rPr>
          <w:i/>
          <w:iCs/>
        </w:rPr>
        <w:t xml:space="preserve">be amended to </w:t>
      </w:r>
      <w:r w:rsidR="00866AF0" w:rsidRPr="00A9645C">
        <w:rPr>
          <w:i/>
          <w:iCs/>
        </w:rPr>
        <w:t xml:space="preserve">specifically </w:t>
      </w:r>
      <w:r w:rsidRPr="00A9645C">
        <w:rPr>
          <w:i/>
          <w:iCs/>
        </w:rPr>
        <w:t>focus on the development and use of the TEMIS, with a corresponding commitment to develop the capacity of MEHRD personnel to undertake evidence-based planning, implementation</w:t>
      </w:r>
      <w:r w:rsidR="00E83408" w:rsidRPr="00A9645C">
        <w:rPr>
          <w:i/>
          <w:iCs/>
        </w:rPr>
        <w:t xml:space="preserve">, </w:t>
      </w:r>
      <w:r w:rsidRPr="00A9645C">
        <w:rPr>
          <w:i/>
          <w:iCs/>
        </w:rPr>
        <w:t>monitoring and reporting.</w:t>
      </w:r>
    </w:p>
    <w:p w14:paraId="005CE10E" w14:textId="5A0D8728" w:rsidR="00A31F7D" w:rsidRPr="00A9645C" w:rsidRDefault="00A31F7D" w:rsidP="00DF5451">
      <w:pPr>
        <w:spacing w:after="240"/>
        <w:rPr>
          <w:b/>
          <w:bCs/>
          <w:i/>
          <w:iCs/>
        </w:rPr>
      </w:pPr>
      <w:r w:rsidRPr="00A9645C">
        <w:rPr>
          <w:b/>
          <w:bCs/>
          <w:i/>
          <w:iCs/>
        </w:rPr>
        <w:t xml:space="preserve">Recommendation </w:t>
      </w:r>
      <w:r w:rsidR="001828B8" w:rsidRPr="00A9645C">
        <w:rPr>
          <w:b/>
          <w:bCs/>
          <w:i/>
          <w:iCs/>
        </w:rPr>
        <w:t>2</w:t>
      </w:r>
      <w:r w:rsidRPr="00A9645C">
        <w:rPr>
          <w:b/>
          <w:bCs/>
          <w:i/>
          <w:iCs/>
        </w:rPr>
        <w:t xml:space="preserve">: </w:t>
      </w:r>
      <w:r w:rsidR="00A23A8A" w:rsidRPr="00A9645C">
        <w:rPr>
          <w:b/>
          <w:bCs/>
          <w:i/>
          <w:iCs/>
        </w:rPr>
        <w:t>Review</w:t>
      </w:r>
      <w:r w:rsidR="00501EF4" w:rsidRPr="00A9645C">
        <w:rPr>
          <w:b/>
          <w:bCs/>
          <w:i/>
          <w:iCs/>
        </w:rPr>
        <w:t xml:space="preserve">, </w:t>
      </w:r>
      <w:r w:rsidR="00A23A8A" w:rsidRPr="00A9645C">
        <w:rPr>
          <w:b/>
          <w:bCs/>
          <w:i/>
          <w:iCs/>
        </w:rPr>
        <w:t>simplify</w:t>
      </w:r>
      <w:r w:rsidR="00501EF4" w:rsidRPr="00A9645C">
        <w:rPr>
          <w:b/>
          <w:bCs/>
          <w:i/>
          <w:iCs/>
        </w:rPr>
        <w:t xml:space="preserve"> and deliver </w:t>
      </w:r>
      <w:r w:rsidR="00D65BFD" w:rsidRPr="00A9645C">
        <w:rPr>
          <w:b/>
          <w:bCs/>
          <w:i/>
          <w:iCs/>
        </w:rPr>
        <w:t>an updated</w:t>
      </w:r>
      <w:r w:rsidR="00032929" w:rsidRPr="00A9645C">
        <w:rPr>
          <w:b/>
          <w:bCs/>
          <w:i/>
          <w:iCs/>
        </w:rPr>
        <w:t xml:space="preserve"> </w:t>
      </w:r>
      <w:r w:rsidRPr="00A9645C">
        <w:rPr>
          <w:b/>
          <w:bCs/>
          <w:i/>
          <w:iCs/>
        </w:rPr>
        <w:t>TAPQE MERL</w:t>
      </w:r>
      <w:r w:rsidR="00501EF4" w:rsidRPr="00A9645C">
        <w:rPr>
          <w:b/>
          <w:bCs/>
          <w:i/>
          <w:iCs/>
        </w:rPr>
        <w:t xml:space="preserve"> </w:t>
      </w:r>
      <w:r w:rsidR="000526CC" w:rsidRPr="00A9645C">
        <w:rPr>
          <w:b/>
          <w:bCs/>
          <w:i/>
          <w:iCs/>
        </w:rPr>
        <w:t>–</w:t>
      </w:r>
      <w:r w:rsidR="00EB58A6" w:rsidRPr="00A9645C">
        <w:rPr>
          <w:b/>
          <w:bCs/>
          <w:i/>
          <w:iCs/>
        </w:rPr>
        <w:t xml:space="preserve"> TAPQE</w:t>
      </w:r>
      <w:r w:rsidR="000526CC" w:rsidRPr="00A9645C">
        <w:rPr>
          <w:b/>
          <w:bCs/>
          <w:i/>
          <w:iCs/>
        </w:rPr>
        <w:t xml:space="preserve"> Team</w:t>
      </w:r>
    </w:p>
    <w:p w14:paraId="06329362" w14:textId="5406FCEB" w:rsidR="00A31F7D" w:rsidRPr="00A9645C" w:rsidRDefault="00A31F7D" w:rsidP="00DF5451">
      <w:pPr>
        <w:spacing w:after="240"/>
        <w:rPr>
          <w:i/>
          <w:iCs/>
        </w:rPr>
      </w:pPr>
      <w:r w:rsidRPr="00A9645C">
        <w:rPr>
          <w:i/>
          <w:iCs/>
        </w:rPr>
        <w:t xml:space="preserve">The TAPQE Program should review and simplify the TAPQE MERL </w:t>
      </w:r>
      <w:r w:rsidR="00475BFA" w:rsidRPr="00A9645C">
        <w:rPr>
          <w:i/>
          <w:iCs/>
        </w:rPr>
        <w:t>F</w:t>
      </w:r>
      <w:r w:rsidR="00CB56C0" w:rsidRPr="00A9645C">
        <w:rPr>
          <w:i/>
          <w:iCs/>
        </w:rPr>
        <w:t xml:space="preserve">ramework and </w:t>
      </w:r>
      <w:r w:rsidRPr="00A9645C">
        <w:rPr>
          <w:i/>
          <w:iCs/>
        </w:rPr>
        <w:t xml:space="preserve">success indicators </w:t>
      </w:r>
      <w:r w:rsidR="00CB56C0" w:rsidRPr="00A9645C">
        <w:rPr>
          <w:i/>
          <w:iCs/>
        </w:rPr>
        <w:t xml:space="preserve">to provide an implementable Program MERL </w:t>
      </w:r>
      <w:r w:rsidR="00475BFA" w:rsidRPr="00A9645C">
        <w:rPr>
          <w:i/>
          <w:iCs/>
        </w:rPr>
        <w:t>Plan</w:t>
      </w:r>
      <w:r w:rsidR="004D2630" w:rsidRPr="00A9645C">
        <w:rPr>
          <w:i/>
          <w:iCs/>
        </w:rPr>
        <w:t xml:space="preserve"> </w:t>
      </w:r>
      <w:r w:rsidR="00763956" w:rsidRPr="00A9645C">
        <w:rPr>
          <w:i/>
          <w:iCs/>
        </w:rPr>
        <w:t>including</w:t>
      </w:r>
      <w:r w:rsidRPr="00A9645C">
        <w:rPr>
          <w:i/>
          <w:iCs/>
        </w:rPr>
        <w:t>:</w:t>
      </w:r>
    </w:p>
    <w:p w14:paraId="639B3CF9" w14:textId="479914DB" w:rsidR="00452E42" w:rsidRPr="00A9645C" w:rsidRDefault="00620B84" w:rsidP="00B32148">
      <w:pPr>
        <w:pStyle w:val="ListParagraph"/>
        <w:numPr>
          <w:ilvl w:val="0"/>
          <w:numId w:val="57"/>
        </w:numPr>
        <w:rPr>
          <w:i/>
          <w:iCs/>
        </w:rPr>
      </w:pPr>
      <w:r w:rsidRPr="00A9645C">
        <w:rPr>
          <w:i/>
          <w:iCs/>
        </w:rPr>
        <w:t xml:space="preserve">clear </w:t>
      </w:r>
      <w:r w:rsidR="0090188D" w:rsidRPr="00A9645C">
        <w:rPr>
          <w:i/>
          <w:iCs/>
        </w:rPr>
        <w:t>qualitative</w:t>
      </w:r>
      <w:r w:rsidR="00452E42" w:rsidRPr="00A9645C">
        <w:rPr>
          <w:i/>
          <w:iCs/>
        </w:rPr>
        <w:t xml:space="preserve"> and quantitative baseline markers, by indicator, to enable measurement of progress</w:t>
      </w:r>
      <w:r w:rsidR="003F0BFF" w:rsidRPr="00A9645C">
        <w:rPr>
          <w:i/>
          <w:iCs/>
        </w:rPr>
        <w:t xml:space="preserve"> against EOPO</w:t>
      </w:r>
      <w:r w:rsidR="001B1675" w:rsidRPr="00A9645C">
        <w:rPr>
          <w:i/>
          <w:iCs/>
        </w:rPr>
        <w:t>s</w:t>
      </w:r>
      <w:r w:rsidR="00895E67" w:rsidRPr="00A9645C">
        <w:rPr>
          <w:i/>
          <w:iCs/>
        </w:rPr>
        <w:t xml:space="preserve"> -</w:t>
      </w:r>
      <w:r w:rsidR="00280F5F" w:rsidRPr="00A9645C">
        <w:rPr>
          <w:i/>
          <w:iCs/>
        </w:rPr>
        <w:t xml:space="preserve"> </w:t>
      </w:r>
      <w:r w:rsidR="006C2EF7" w:rsidRPr="00A9645C">
        <w:rPr>
          <w:i/>
          <w:iCs/>
        </w:rPr>
        <w:t xml:space="preserve">with </w:t>
      </w:r>
      <w:r w:rsidR="00895E67" w:rsidRPr="00A9645C">
        <w:rPr>
          <w:i/>
          <w:iCs/>
        </w:rPr>
        <w:t>a mor</w:t>
      </w:r>
      <w:r w:rsidR="00B277EC" w:rsidRPr="00A9645C">
        <w:rPr>
          <w:i/>
          <w:iCs/>
        </w:rPr>
        <w:t xml:space="preserve">e analytical focus on </w:t>
      </w:r>
      <w:r w:rsidR="006C2EF7" w:rsidRPr="00A9645C">
        <w:rPr>
          <w:i/>
          <w:iCs/>
        </w:rPr>
        <w:t>GEDSI</w:t>
      </w:r>
      <w:r w:rsidR="001B1675" w:rsidRPr="00A9645C">
        <w:rPr>
          <w:i/>
          <w:iCs/>
        </w:rPr>
        <w:t xml:space="preserve"> </w:t>
      </w:r>
      <w:r w:rsidR="00885D8E" w:rsidRPr="00A9645C">
        <w:rPr>
          <w:i/>
          <w:iCs/>
        </w:rPr>
        <w:t xml:space="preserve">(by end of </w:t>
      </w:r>
      <w:r w:rsidR="001B1675" w:rsidRPr="00A9645C">
        <w:rPr>
          <w:i/>
          <w:iCs/>
        </w:rPr>
        <w:t>April 2025</w:t>
      </w:r>
      <w:r w:rsidR="00885D8E" w:rsidRPr="00A9645C">
        <w:rPr>
          <w:i/>
          <w:iCs/>
        </w:rPr>
        <w:t>)</w:t>
      </w:r>
    </w:p>
    <w:p w14:paraId="5D4CBA0B" w14:textId="56C1F29E" w:rsidR="00A31F7D" w:rsidRPr="00A9645C" w:rsidRDefault="00A31F7D" w:rsidP="00B32148">
      <w:pPr>
        <w:pStyle w:val="ListParagraph"/>
        <w:numPr>
          <w:ilvl w:val="0"/>
          <w:numId w:val="57"/>
        </w:numPr>
        <w:rPr>
          <w:i/>
          <w:iCs/>
        </w:rPr>
      </w:pPr>
      <w:r w:rsidRPr="00A9645C">
        <w:rPr>
          <w:i/>
          <w:iCs/>
        </w:rPr>
        <w:t>a 2023 TAPQE Program baseline</w:t>
      </w:r>
      <w:r w:rsidR="001B1675" w:rsidRPr="00A9645C">
        <w:rPr>
          <w:i/>
          <w:iCs/>
        </w:rPr>
        <w:t xml:space="preserve"> </w:t>
      </w:r>
      <w:r w:rsidR="00885D8E" w:rsidRPr="00A9645C">
        <w:rPr>
          <w:i/>
          <w:iCs/>
        </w:rPr>
        <w:t>(by</w:t>
      </w:r>
      <w:r w:rsidR="001B1675" w:rsidRPr="00A9645C">
        <w:rPr>
          <w:i/>
          <w:iCs/>
        </w:rPr>
        <w:t xml:space="preserve"> end of May 2025</w:t>
      </w:r>
      <w:r w:rsidR="00885D8E" w:rsidRPr="00A9645C">
        <w:rPr>
          <w:i/>
          <w:iCs/>
        </w:rPr>
        <w:t>)</w:t>
      </w:r>
    </w:p>
    <w:p w14:paraId="2B1A5320" w14:textId="31E21150" w:rsidR="00A31F7D" w:rsidRPr="00A9645C" w:rsidRDefault="00EB29F3" w:rsidP="0044543B">
      <w:pPr>
        <w:pStyle w:val="ListParagraph"/>
        <w:numPr>
          <w:ilvl w:val="0"/>
          <w:numId w:val="57"/>
        </w:numPr>
        <w:rPr>
          <w:i/>
          <w:iCs/>
        </w:rPr>
      </w:pPr>
      <w:r w:rsidRPr="00A9645C">
        <w:rPr>
          <w:i/>
          <w:iCs/>
        </w:rPr>
        <w:t xml:space="preserve">collection and reporting of Program activity and </w:t>
      </w:r>
      <w:r w:rsidR="00897D6D" w:rsidRPr="00A9645C">
        <w:rPr>
          <w:i/>
          <w:iCs/>
        </w:rPr>
        <w:t xml:space="preserve">data </w:t>
      </w:r>
      <w:r w:rsidR="00A31F7D" w:rsidRPr="00A9645C">
        <w:rPr>
          <w:i/>
          <w:iCs/>
        </w:rPr>
        <w:t xml:space="preserve">against </w:t>
      </w:r>
      <w:r w:rsidR="005C7880" w:rsidRPr="00A9645C">
        <w:rPr>
          <w:i/>
          <w:iCs/>
        </w:rPr>
        <w:t xml:space="preserve">(revised) </w:t>
      </w:r>
      <w:r w:rsidR="00A31F7D" w:rsidRPr="00A9645C">
        <w:rPr>
          <w:i/>
          <w:iCs/>
        </w:rPr>
        <w:t>success indicators and Program outcomes</w:t>
      </w:r>
      <w:r w:rsidR="00AD2C2D" w:rsidRPr="00A9645C">
        <w:rPr>
          <w:i/>
          <w:iCs/>
        </w:rPr>
        <w:t xml:space="preserve"> (effectiveness)</w:t>
      </w:r>
      <w:r w:rsidR="001D433F" w:rsidRPr="00A9645C">
        <w:rPr>
          <w:i/>
          <w:iCs/>
        </w:rPr>
        <w:t>,</w:t>
      </w:r>
      <w:r w:rsidR="0022447A" w:rsidRPr="00A9645C">
        <w:rPr>
          <w:i/>
          <w:iCs/>
        </w:rPr>
        <w:t xml:space="preserve"> and </w:t>
      </w:r>
      <w:r w:rsidR="00F3490A" w:rsidRPr="00A9645C">
        <w:rPr>
          <w:i/>
          <w:iCs/>
        </w:rPr>
        <w:t>budget data and analytics</w:t>
      </w:r>
      <w:r w:rsidR="0007676E" w:rsidRPr="00A9645C">
        <w:rPr>
          <w:i/>
          <w:iCs/>
        </w:rPr>
        <w:t xml:space="preserve"> by </w:t>
      </w:r>
      <w:r w:rsidR="00AD2C2D" w:rsidRPr="00A9645C">
        <w:rPr>
          <w:i/>
          <w:iCs/>
        </w:rPr>
        <w:t>program activity (efficiency)</w:t>
      </w:r>
      <w:r w:rsidR="001D433F" w:rsidRPr="00A9645C">
        <w:rPr>
          <w:i/>
          <w:iCs/>
        </w:rPr>
        <w:t>,</w:t>
      </w:r>
      <w:r w:rsidR="00A31F7D" w:rsidRPr="00A9645C">
        <w:rPr>
          <w:i/>
          <w:iCs/>
        </w:rPr>
        <w:t xml:space="preserve"> </w:t>
      </w:r>
      <w:r w:rsidR="007551F2" w:rsidRPr="00A9645C">
        <w:rPr>
          <w:i/>
          <w:iCs/>
        </w:rPr>
        <w:t xml:space="preserve">for the </w:t>
      </w:r>
      <w:r w:rsidR="00E34F30" w:rsidRPr="00A9645C">
        <w:rPr>
          <w:i/>
          <w:iCs/>
        </w:rPr>
        <w:t>18-</w:t>
      </w:r>
      <w:r w:rsidR="007551F2" w:rsidRPr="00A9645C">
        <w:rPr>
          <w:i/>
          <w:iCs/>
        </w:rPr>
        <w:t>month</w:t>
      </w:r>
      <w:r w:rsidR="00E34F30" w:rsidRPr="00A9645C">
        <w:rPr>
          <w:i/>
          <w:iCs/>
        </w:rPr>
        <w:t xml:space="preserve"> </w:t>
      </w:r>
      <w:r w:rsidR="007551F2" w:rsidRPr="00A9645C">
        <w:rPr>
          <w:i/>
          <w:iCs/>
        </w:rPr>
        <w:t xml:space="preserve">period ending </w:t>
      </w:r>
      <w:r w:rsidR="00A31F7D" w:rsidRPr="00A9645C">
        <w:rPr>
          <w:i/>
          <w:iCs/>
        </w:rPr>
        <w:t>June 2025</w:t>
      </w:r>
      <w:r w:rsidR="00275B58" w:rsidRPr="00A9645C">
        <w:rPr>
          <w:i/>
          <w:iCs/>
        </w:rPr>
        <w:t xml:space="preserve"> </w:t>
      </w:r>
      <w:r w:rsidR="00885D8E" w:rsidRPr="00A9645C">
        <w:rPr>
          <w:i/>
          <w:iCs/>
        </w:rPr>
        <w:t xml:space="preserve">(by </w:t>
      </w:r>
      <w:r w:rsidR="00275B58" w:rsidRPr="00A9645C">
        <w:rPr>
          <w:i/>
          <w:iCs/>
        </w:rPr>
        <w:t>end of July 2025</w:t>
      </w:r>
      <w:r w:rsidR="00885D8E" w:rsidRPr="00A9645C">
        <w:rPr>
          <w:i/>
          <w:iCs/>
        </w:rPr>
        <w:t>)</w:t>
      </w:r>
      <w:r w:rsidR="00A31F7D" w:rsidRPr="00A9645C">
        <w:rPr>
          <w:i/>
          <w:iCs/>
        </w:rPr>
        <w:t>.</w:t>
      </w:r>
    </w:p>
    <w:p w14:paraId="6F13D73E" w14:textId="16FD043C" w:rsidR="007A7408" w:rsidRPr="00A9645C" w:rsidRDefault="00827BA8" w:rsidP="00DF5451">
      <w:pPr>
        <w:spacing w:after="240"/>
        <w:rPr>
          <w:i/>
          <w:iCs/>
        </w:rPr>
      </w:pPr>
      <w:r w:rsidRPr="00A9645C">
        <w:rPr>
          <w:i/>
          <w:iCs/>
        </w:rPr>
        <w:t xml:space="preserve">The review should </w:t>
      </w:r>
      <w:r w:rsidR="008517DB" w:rsidRPr="00A9645C">
        <w:rPr>
          <w:i/>
          <w:iCs/>
        </w:rPr>
        <w:t>consider operationalisation of features of the existing MERL Framework</w:t>
      </w:r>
      <w:r w:rsidR="00475BFA" w:rsidRPr="00A9645C">
        <w:rPr>
          <w:i/>
          <w:iCs/>
        </w:rPr>
        <w:t xml:space="preserve"> such as </w:t>
      </w:r>
      <w:r w:rsidR="009C621A" w:rsidRPr="00A9645C">
        <w:rPr>
          <w:i/>
          <w:iCs/>
        </w:rPr>
        <w:t xml:space="preserve">the </w:t>
      </w:r>
      <w:r w:rsidR="00793F7E" w:rsidRPr="00A9645C">
        <w:rPr>
          <w:i/>
          <w:iCs/>
        </w:rPr>
        <w:t>‘</w:t>
      </w:r>
      <w:r w:rsidR="009C621A" w:rsidRPr="00A9645C">
        <w:rPr>
          <w:i/>
          <w:iCs/>
        </w:rPr>
        <w:t xml:space="preserve">performance rubric’, a </w:t>
      </w:r>
      <w:r w:rsidR="00320EC5" w:rsidRPr="00A9645C">
        <w:rPr>
          <w:i/>
          <w:iCs/>
        </w:rPr>
        <w:t>centrali</w:t>
      </w:r>
      <w:r w:rsidR="007A7408" w:rsidRPr="00A9645C">
        <w:rPr>
          <w:i/>
          <w:iCs/>
        </w:rPr>
        <w:t>sed</w:t>
      </w:r>
      <w:r w:rsidR="00320EC5" w:rsidRPr="00A9645C">
        <w:rPr>
          <w:i/>
          <w:iCs/>
        </w:rPr>
        <w:t xml:space="preserve"> system to capture evidence against the MERL Plan</w:t>
      </w:r>
      <w:r w:rsidR="00793F7E" w:rsidRPr="00A9645C">
        <w:rPr>
          <w:i/>
          <w:iCs/>
        </w:rPr>
        <w:t>,</w:t>
      </w:r>
      <w:r w:rsidR="00320EC5" w:rsidRPr="00A9645C">
        <w:rPr>
          <w:i/>
          <w:iCs/>
        </w:rPr>
        <w:t xml:space="preserve"> and </w:t>
      </w:r>
      <w:r w:rsidR="007A7408" w:rsidRPr="00A9645C">
        <w:rPr>
          <w:i/>
          <w:iCs/>
        </w:rPr>
        <w:t>an appropriate</w:t>
      </w:r>
      <w:r w:rsidR="00457840" w:rsidRPr="00A9645C">
        <w:rPr>
          <w:i/>
          <w:iCs/>
        </w:rPr>
        <w:t xml:space="preserve"> and efficient</w:t>
      </w:r>
      <w:r w:rsidR="007A7408" w:rsidRPr="00A9645C">
        <w:rPr>
          <w:i/>
          <w:iCs/>
        </w:rPr>
        <w:t xml:space="preserve"> suite of data collection tools</w:t>
      </w:r>
      <w:r w:rsidR="00EE1323" w:rsidRPr="00A9645C">
        <w:rPr>
          <w:i/>
          <w:iCs/>
        </w:rPr>
        <w:t>, based on those proposed in the current MERL Framework</w:t>
      </w:r>
      <w:r w:rsidR="007A7408" w:rsidRPr="00A9645C">
        <w:rPr>
          <w:i/>
          <w:iCs/>
        </w:rPr>
        <w:t>.</w:t>
      </w:r>
    </w:p>
    <w:p w14:paraId="29FB3475" w14:textId="6BF80F44" w:rsidR="00A96435" w:rsidRDefault="00A96435" w:rsidP="00DF5451">
      <w:pPr>
        <w:spacing w:after="240"/>
      </w:pPr>
      <w:r>
        <w:t>The TAPQE Steering Group Terms of Reference</w:t>
      </w:r>
      <w:r w:rsidR="00ED2A00">
        <w:t xml:space="preserve"> state that the Steering Group will “</w:t>
      </w:r>
      <w:r>
        <w:t>provide high level oversight and governance of the Tuvalu Education Program. It will be a forum to discuss activity performance, emerging issues and implementation risks, strategic direction, and will be a mechanism for regulating high level operational priorities to align TAPQE with strategic outcomes</w:t>
      </w:r>
      <w:r w:rsidR="00ED2A00">
        <w:t xml:space="preserve">”. </w:t>
      </w:r>
      <w:r w:rsidR="006156DA">
        <w:t xml:space="preserve">Following </w:t>
      </w:r>
      <w:r w:rsidR="00DD5E05">
        <w:t>MTR R</w:t>
      </w:r>
      <w:r w:rsidR="006156DA">
        <w:t>ecommendations 1 and 2</w:t>
      </w:r>
      <w:r w:rsidR="00DD5E05">
        <w:t>,</w:t>
      </w:r>
      <w:r w:rsidR="006156DA">
        <w:t xml:space="preserve"> relating to Program EOPOs and the </w:t>
      </w:r>
      <w:r w:rsidR="00F57E6E">
        <w:t>TAPQE MERL</w:t>
      </w:r>
      <w:r w:rsidR="00DD5E05">
        <w:t>,</w:t>
      </w:r>
      <w:r w:rsidR="00F57E6E">
        <w:t xml:space="preserve"> discussion in this report also raises questions of </w:t>
      </w:r>
      <w:r w:rsidR="00F626D4">
        <w:t xml:space="preserve">how the Steering Group could improve its oversight of the TAPQE </w:t>
      </w:r>
      <w:r w:rsidR="00DD5E05">
        <w:t>Program</w:t>
      </w:r>
      <w:r w:rsidR="00CA3F56">
        <w:t xml:space="preserve"> – through a sharper focus on the effectiveness and efficiency of the </w:t>
      </w:r>
      <w:r w:rsidR="00BF2512">
        <w:t>Program and through improved support from the TAPQE Program.</w:t>
      </w:r>
      <w:r w:rsidR="00EE1657">
        <w:t xml:space="preserve"> </w:t>
      </w:r>
    </w:p>
    <w:p w14:paraId="1FE2FA2A" w14:textId="4DE2F43E" w:rsidR="0034372A" w:rsidRPr="00A9645C" w:rsidRDefault="00833120" w:rsidP="00DF5451">
      <w:pPr>
        <w:keepNext/>
        <w:spacing w:after="240"/>
        <w:rPr>
          <w:b/>
          <w:bCs/>
          <w:i/>
          <w:iCs/>
        </w:rPr>
      </w:pPr>
      <w:r w:rsidRPr="00A9645C">
        <w:rPr>
          <w:b/>
          <w:bCs/>
          <w:i/>
          <w:iCs/>
        </w:rPr>
        <w:t xml:space="preserve">Recommendation </w:t>
      </w:r>
      <w:r w:rsidR="0034372A" w:rsidRPr="00A9645C">
        <w:rPr>
          <w:b/>
          <w:bCs/>
          <w:i/>
          <w:iCs/>
        </w:rPr>
        <w:t>3</w:t>
      </w:r>
      <w:r w:rsidRPr="00A9645C">
        <w:rPr>
          <w:b/>
          <w:bCs/>
          <w:i/>
          <w:iCs/>
        </w:rPr>
        <w:t xml:space="preserve">: </w:t>
      </w:r>
      <w:r w:rsidR="0034372A" w:rsidRPr="00A9645C">
        <w:rPr>
          <w:b/>
          <w:bCs/>
          <w:i/>
          <w:iCs/>
        </w:rPr>
        <w:t xml:space="preserve">Enhance </w:t>
      </w:r>
      <w:r w:rsidR="00FB01A2" w:rsidRPr="00A9645C">
        <w:rPr>
          <w:b/>
          <w:bCs/>
          <w:i/>
          <w:iCs/>
        </w:rPr>
        <w:t xml:space="preserve">oversight role and </w:t>
      </w:r>
      <w:r w:rsidR="007263BF" w:rsidRPr="00A9645C">
        <w:rPr>
          <w:b/>
          <w:bCs/>
          <w:i/>
          <w:iCs/>
        </w:rPr>
        <w:t xml:space="preserve">operation </w:t>
      </w:r>
      <w:r w:rsidR="00FB01A2" w:rsidRPr="00A9645C">
        <w:rPr>
          <w:b/>
          <w:bCs/>
          <w:i/>
          <w:iCs/>
        </w:rPr>
        <w:t xml:space="preserve">of the </w:t>
      </w:r>
      <w:r w:rsidR="0034372A" w:rsidRPr="00A9645C">
        <w:rPr>
          <w:b/>
          <w:bCs/>
          <w:i/>
          <w:iCs/>
        </w:rPr>
        <w:t>Steering Group</w:t>
      </w:r>
      <w:r w:rsidR="008964C2" w:rsidRPr="00A9645C">
        <w:rPr>
          <w:b/>
          <w:bCs/>
          <w:i/>
          <w:iCs/>
        </w:rPr>
        <w:t xml:space="preserve"> </w:t>
      </w:r>
      <w:r w:rsidR="00E732FB" w:rsidRPr="00A9645C">
        <w:rPr>
          <w:b/>
          <w:bCs/>
          <w:i/>
          <w:iCs/>
        </w:rPr>
        <w:t>–</w:t>
      </w:r>
      <w:r w:rsidR="008964C2" w:rsidRPr="00A9645C">
        <w:rPr>
          <w:b/>
          <w:bCs/>
          <w:i/>
          <w:iCs/>
        </w:rPr>
        <w:t xml:space="preserve"> </w:t>
      </w:r>
      <w:r w:rsidR="00E732FB" w:rsidRPr="00A9645C">
        <w:rPr>
          <w:b/>
          <w:bCs/>
          <w:i/>
          <w:iCs/>
        </w:rPr>
        <w:t xml:space="preserve">AHC and </w:t>
      </w:r>
      <w:r w:rsidR="008964C2" w:rsidRPr="00A9645C">
        <w:rPr>
          <w:b/>
          <w:bCs/>
          <w:i/>
          <w:iCs/>
        </w:rPr>
        <w:t>TAPQE</w:t>
      </w:r>
      <w:r w:rsidR="00DE5EFF" w:rsidRPr="00A9645C">
        <w:rPr>
          <w:b/>
          <w:bCs/>
          <w:i/>
          <w:iCs/>
        </w:rPr>
        <w:t xml:space="preserve"> Team</w:t>
      </w:r>
    </w:p>
    <w:p w14:paraId="5FED3CE4" w14:textId="0BEC4937" w:rsidR="00D60680" w:rsidRPr="00A9645C" w:rsidRDefault="008322AD" w:rsidP="00DF5451">
      <w:pPr>
        <w:spacing w:after="240"/>
        <w:rPr>
          <w:i/>
          <w:iCs/>
        </w:rPr>
      </w:pPr>
      <w:r w:rsidRPr="00A9645C">
        <w:rPr>
          <w:i/>
          <w:iCs/>
        </w:rPr>
        <w:t>T</w:t>
      </w:r>
      <w:r w:rsidR="004C4612" w:rsidRPr="00A9645C">
        <w:rPr>
          <w:i/>
          <w:iCs/>
        </w:rPr>
        <w:t xml:space="preserve">he Steering </w:t>
      </w:r>
      <w:r w:rsidR="00FE3B13">
        <w:rPr>
          <w:i/>
          <w:iCs/>
        </w:rPr>
        <w:t xml:space="preserve">Group </w:t>
      </w:r>
      <w:r w:rsidR="004C4612" w:rsidRPr="00A9645C">
        <w:rPr>
          <w:i/>
          <w:iCs/>
        </w:rPr>
        <w:t xml:space="preserve">should take a more active </w:t>
      </w:r>
      <w:r w:rsidR="0025304C" w:rsidRPr="00A9645C">
        <w:rPr>
          <w:i/>
          <w:iCs/>
        </w:rPr>
        <w:t xml:space="preserve">and strategic </w:t>
      </w:r>
      <w:r w:rsidR="004C4612" w:rsidRPr="00A9645C">
        <w:rPr>
          <w:i/>
          <w:iCs/>
        </w:rPr>
        <w:t xml:space="preserve">role in </w:t>
      </w:r>
      <w:r w:rsidRPr="00A9645C">
        <w:rPr>
          <w:i/>
          <w:iCs/>
        </w:rPr>
        <w:t xml:space="preserve">the planning and monitoring </w:t>
      </w:r>
      <w:r w:rsidR="00C40548" w:rsidRPr="00A9645C">
        <w:rPr>
          <w:i/>
          <w:iCs/>
        </w:rPr>
        <w:t xml:space="preserve">of TAPQE </w:t>
      </w:r>
      <w:r w:rsidR="00F66832" w:rsidRPr="00A9645C">
        <w:rPr>
          <w:i/>
          <w:iCs/>
        </w:rPr>
        <w:t>Program activities</w:t>
      </w:r>
      <w:r w:rsidR="00C9373D" w:rsidRPr="00A9645C">
        <w:rPr>
          <w:i/>
          <w:iCs/>
        </w:rPr>
        <w:t xml:space="preserve"> and how they contribute to Program outcomes and contribute to </w:t>
      </w:r>
      <w:r w:rsidR="00096EDC" w:rsidRPr="00A9645C">
        <w:rPr>
          <w:i/>
          <w:iCs/>
        </w:rPr>
        <w:t xml:space="preserve">MEHRD objectives. The Steering Group should </w:t>
      </w:r>
      <w:r w:rsidR="009765A3" w:rsidRPr="00A9645C">
        <w:rPr>
          <w:i/>
          <w:iCs/>
        </w:rPr>
        <w:t xml:space="preserve">apply </w:t>
      </w:r>
      <w:r w:rsidR="00BC43EC" w:rsidRPr="00A9645C">
        <w:rPr>
          <w:i/>
          <w:iCs/>
        </w:rPr>
        <w:t xml:space="preserve">a sharper focus on </w:t>
      </w:r>
      <w:r w:rsidR="006D106F" w:rsidRPr="00A9645C">
        <w:rPr>
          <w:i/>
          <w:iCs/>
        </w:rPr>
        <w:t xml:space="preserve">the effectiveness and efficiency of </w:t>
      </w:r>
      <w:r w:rsidR="00E57C73" w:rsidRPr="00A9645C">
        <w:rPr>
          <w:i/>
          <w:iCs/>
        </w:rPr>
        <w:t xml:space="preserve">the </w:t>
      </w:r>
      <w:r w:rsidR="008A786F" w:rsidRPr="00A9645C">
        <w:rPr>
          <w:i/>
          <w:iCs/>
        </w:rPr>
        <w:t>delivery</w:t>
      </w:r>
      <w:r w:rsidR="00465A6C" w:rsidRPr="00A9645C">
        <w:rPr>
          <w:i/>
          <w:iCs/>
        </w:rPr>
        <w:t>,</w:t>
      </w:r>
      <w:r w:rsidR="008A786F" w:rsidRPr="00A9645C">
        <w:rPr>
          <w:i/>
          <w:iCs/>
        </w:rPr>
        <w:t xml:space="preserve"> and</w:t>
      </w:r>
      <w:r w:rsidR="0025304C" w:rsidRPr="00A9645C">
        <w:rPr>
          <w:i/>
          <w:iCs/>
        </w:rPr>
        <w:t xml:space="preserve"> </w:t>
      </w:r>
      <w:r w:rsidR="0001186F" w:rsidRPr="00A9645C">
        <w:rPr>
          <w:i/>
          <w:iCs/>
        </w:rPr>
        <w:t xml:space="preserve">regular reflection on </w:t>
      </w:r>
      <w:r w:rsidR="007667B3" w:rsidRPr="00A9645C">
        <w:rPr>
          <w:i/>
          <w:iCs/>
        </w:rPr>
        <w:t xml:space="preserve">what’s working well </w:t>
      </w:r>
      <w:r w:rsidR="0001186F" w:rsidRPr="00A9645C">
        <w:rPr>
          <w:i/>
          <w:iCs/>
        </w:rPr>
        <w:t xml:space="preserve">and/or </w:t>
      </w:r>
      <w:r w:rsidR="007667B3" w:rsidRPr="00A9645C">
        <w:rPr>
          <w:i/>
          <w:iCs/>
        </w:rPr>
        <w:t xml:space="preserve">what needs to change to maximise the chance of </w:t>
      </w:r>
      <w:r w:rsidR="009765A3" w:rsidRPr="00A9645C">
        <w:rPr>
          <w:i/>
          <w:iCs/>
        </w:rPr>
        <w:t xml:space="preserve">Program </w:t>
      </w:r>
      <w:r w:rsidR="007667B3" w:rsidRPr="00A9645C">
        <w:rPr>
          <w:i/>
          <w:iCs/>
        </w:rPr>
        <w:t>success</w:t>
      </w:r>
      <w:r w:rsidR="009765A3" w:rsidRPr="00A9645C">
        <w:rPr>
          <w:i/>
          <w:iCs/>
        </w:rPr>
        <w:t xml:space="preserve"> and achievement of MEHRD outcomes</w:t>
      </w:r>
      <w:r w:rsidR="007667B3" w:rsidRPr="00A9645C">
        <w:rPr>
          <w:i/>
          <w:iCs/>
        </w:rPr>
        <w:t xml:space="preserve">. </w:t>
      </w:r>
      <w:r w:rsidR="001F6FBA" w:rsidRPr="00A9645C">
        <w:rPr>
          <w:i/>
          <w:iCs/>
        </w:rPr>
        <w:t xml:space="preserve"> </w:t>
      </w:r>
      <w:r w:rsidR="009D0331" w:rsidRPr="00A9645C">
        <w:rPr>
          <w:i/>
          <w:iCs/>
        </w:rPr>
        <w:t xml:space="preserve">This </w:t>
      </w:r>
      <w:r w:rsidR="0072065D" w:rsidRPr="00A9645C">
        <w:rPr>
          <w:i/>
          <w:iCs/>
        </w:rPr>
        <w:t>recommendation</w:t>
      </w:r>
      <w:r w:rsidR="008A1653" w:rsidRPr="00A9645C">
        <w:rPr>
          <w:i/>
          <w:iCs/>
        </w:rPr>
        <w:t xml:space="preserve"> should be in </w:t>
      </w:r>
      <w:r w:rsidR="001F6FBA" w:rsidRPr="00A9645C">
        <w:rPr>
          <w:i/>
          <w:iCs/>
        </w:rPr>
        <w:t xml:space="preserve">operation from </w:t>
      </w:r>
      <w:r w:rsidR="00437D71" w:rsidRPr="00A9645C">
        <w:rPr>
          <w:i/>
          <w:iCs/>
        </w:rPr>
        <w:t>the 2nd</w:t>
      </w:r>
      <w:r w:rsidR="001F6FBA" w:rsidRPr="00A9645C">
        <w:rPr>
          <w:i/>
          <w:iCs/>
        </w:rPr>
        <w:t xml:space="preserve"> Steering Group meeting of 2025</w:t>
      </w:r>
      <w:r w:rsidR="005A4C07" w:rsidRPr="00A9645C">
        <w:rPr>
          <w:i/>
          <w:iCs/>
        </w:rPr>
        <w:t>.</w:t>
      </w:r>
    </w:p>
    <w:p w14:paraId="67AFE30A" w14:textId="166CD245" w:rsidR="001406A4" w:rsidRPr="00A9645C" w:rsidRDefault="00D60680" w:rsidP="00DF5451">
      <w:pPr>
        <w:spacing w:after="240"/>
        <w:rPr>
          <w:i/>
          <w:iCs/>
        </w:rPr>
      </w:pPr>
      <w:r w:rsidRPr="00A9645C">
        <w:rPr>
          <w:i/>
          <w:iCs/>
        </w:rPr>
        <w:t xml:space="preserve">To do this the Steering Group, guided by the AHC, should review </w:t>
      </w:r>
      <w:r w:rsidR="00634FC3" w:rsidRPr="00A9645C">
        <w:rPr>
          <w:i/>
          <w:iCs/>
        </w:rPr>
        <w:t xml:space="preserve">its </w:t>
      </w:r>
      <w:r w:rsidR="00F25231" w:rsidRPr="00A9645C">
        <w:rPr>
          <w:i/>
          <w:iCs/>
        </w:rPr>
        <w:t>Terms of Reference</w:t>
      </w:r>
      <w:r w:rsidR="006268E8" w:rsidRPr="00A9645C">
        <w:rPr>
          <w:i/>
          <w:iCs/>
        </w:rPr>
        <w:t xml:space="preserve">, its </w:t>
      </w:r>
      <w:r w:rsidR="00634FC3" w:rsidRPr="00A9645C">
        <w:rPr>
          <w:i/>
          <w:iCs/>
        </w:rPr>
        <w:t xml:space="preserve">composition </w:t>
      </w:r>
      <w:r w:rsidR="008A1653" w:rsidRPr="00A9645C">
        <w:rPr>
          <w:i/>
          <w:iCs/>
        </w:rPr>
        <w:t>(</w:t>
      </w:r>
      <w:r w:rsidR="006268E8" w:rsidRPr="00A9645C">
        <w:rPr>
          <w:i/>
          <w:iCs/>
        </w:rPr>
        <w:t xml:space="preserve">to </w:t>
      </w:r>
      <w:r w:rsidR="00634FC3" w:rsidRPr="00A9645C">
        <w:rPr>
          <w:i/>
          <w:iCs/>
        </w:rPr>
        <w:t xml:space="preserve">determine if additional expertise </w:t>
      </w:r>
      <w:r w:rsidR="004D1DAD" w:rsidRPr="00A9645C">
        <w:rPr>
          <w:i/>
          <w:iCs/>
        </w:rPr>
        <w:t>is required</w:t>
      </w:r>
      <w:r w:rsidR="00D21A81" w:rsidRPr="00A9645C">
        <w:rPr>
          <w:i/>
          <w:iCs/>
        </w:rPr>
        <w:t xml:space="preserve"> </w:t>
      </w:r>
      <w:r w:rsidR="005E3996" w:rsidRPr="00A9645C">
        <w:rPr>
          <w:i/>
          <w:iCs/>
        </w:rPr>
        <w:t>to supplement limited staff resources or to add independent expert</w:t>
      </w:r>
      <w:r w:rsidR="00FD0291" w:rsidRPr="00A9645C">
        <w:rPr>
          <w:i/>
          <w:iCs/>
        </w:rPr>
        <w:t xml:space="preserve"> perspectives)</w:t>
      </w:r>
      <w:r w:rsidR="006268E8" w:rsidRPr="00A9645C">
        <w:rPr>
          <w:i/>
          <w:iCs/>
        </w:rPr>
        <w:t>, and its mode of operation to</w:t>
      </w:r>
      <w:r w:rsidR="004D1DAD" w:rsidRPr="00A9645C">
        <w:rPr>
          <w:i/>
          <w:iCs/>
        </w:rPr>
        <w:t xml:space="preserve"> ensure it </w:t>
      </w:r>
      <w:r w:rsidR="00B1390A" w:rsidRPr="00A9645C">
        <w:rPr>
          <w:i/>
          <w:iCs/>
        </w:rPr>
        <w:t>can provide the required leadership</w:t>
      </w:r>
      <w:r w:rsidR="00FD0291" w:rsidRPr="00A9645C">
        <w:rPr>
          <w:i/>
          <w:iCs/>
        </w:rPr>
        <w:t xml:space="preserve"> for the TAPQ</w:t>
      </w:r>
      <w:r w:rsidR="00AD66D7" w:rsidRPr="00A9645C">
        <w:rPr>
          <w:i/>
          <w:iCs/>
        </w:rPr>
        <w:t>E</w:t>
      </w:r>
      <w:r w:rsidR="00FD0291" w:rsidRPr="00A9645C">
        <w:rPr>
          <w:i/>
          <w:iCs/>
        </w:rPr>
        <w:t xml:space="preserve"> Program</w:t>
      </w:r>
      <w:r w:rsidR="00B1390A" w:rsidRPr="00A9645C">
        <w:rPr>
          <w:i/>
          <w:iCs/>
        </w:rPr>
        <w:t xml:space="preserve">. </w:t>
      </w:r>
    </w:p>
    <w:p w14:paraId="68B8DF68" w14:textId="67CB5F08" w:rsidR="008B7A4F" w:rsidRPr="00A9645C" w:rsidRDefault="00B1390A" w:rsidP="00DF5451">
      <w:pPr>
        <w:spacing w:after="240"/>
        <w:rPr>
          <w:i/>
          <w:iCs/>
        </w:rPr>
      </w:pPr>
      <w:r w:rsidRPr="00A9645C">
        <w:rPr>
          <w:i/>
          <w:iCs/>
        </w:rPr>
        <w:t xml:space="preserve">The TAPQE team, </w:t>
      </w:r>
      <w:r w:rsidR="00310B0D" w:rsidRPr="00A9645C">
        <w:rPr>
          <w:i/>
          <w:iCs/>
        </w:rPr>
        <w:t xml:space="preserve">which </w:t>
      </w:r>
      <w:r w:rsidRPr="00A9645C">
        <w:rPr>
          <w:i/>
          <w:iCs/>
        </w:rPr>
        <w:t>is responsible for supporting the Steering Group</w:t>
      </w:r>
      <w:r w:rsidR="00310B0D" w:rsidRPr="00A9645C">
        <w:rPr>
          <w:i/>
          <w:iCs/>
        </w:rPr>
        <w:t>,</w:t>
      </w:r>
      <w:r w:rsidRPr="00A9645C">
        <w:rPr>
          <w:i/>
          <w:iCs/>
        </w:rPr>
        <w:t xml:space="preserve"> will need </w:t>
      </w:r>
      <w:r w:rsidR="00DD6673" w:rsidRPr="00A9645C">
        <w:rPr>
          <w:i/>
          <w:iCs/>
        </w:rPr>
        <w:t xml:space="preserve">to ensure that </w:t>
      </w:r>
      <w:r w:rsidR="00E72B5B" w:rsidRPr="00A9645C">
        <w:rPr>
          <w:i/>
          <w:iCs/>
        </w:rPr>
        <w:t>the meeting</w:t>
      </w:r>
      <w:r w:rsidR="005A1A56" w:rsidRPr="00A9645C">
        <w:rPr>
          <w:i/>
          <w:iCs/>
        </w:rPr>
        <w:t xml:space="preserve"> agenda and supporting papers </w:t>
      </w:r>
      <w:r w:rsidR="00014760" w:rsidRPr="00A9645C">
        <w:rPr>
          <w:i/>
          <w:iCs/>
        </w:rPr>
        <w:t>are fit for purpose</w:t>
      </w:r>
      <w:r w:rsidR="001357DE" w:rsidRPr="00A9645C">
        <w:rPr>
          <w:i/>
          <w:iCs/>
        </w:rPr>
        <w:t xml:space="preserve"> </w:t>
      </w:r>
      <w:r w:rsidR="00D4297D" w:rsidRPr="00A9645C">
        <w:rPr>
          <w:i/>
          <w:iCs/>
        </w:rPr>
        <w:t xml:space="preserve">and enabling </w:t>
      </w:r>
      <w:r w:rsidR="00AF25BA" w:rsidRPr="00A9645C">
        <w:rPr>
          <w:i/>
          <w:iCs/>
        </w:rPr>
        <w:t xml:space="preserve">deep and constructive </w:t>
      </w:r>
      <w:r w:rsidR="001E0317" w:rsidRPr="00A9645C">
        <w:rPr>
          <w:i/>
          <w:iCs/>
        </w:rPr>
        <w:t xml:space="preserve">engagement </w:t>
      </w:r>
      <w:r w:rsidR="001D5C13" w:rsidRPr="00A9645C">
        <w:rPr>
          <w:i/>
          <w:iCs/>
        </w:rPr>
        <w:t>on progress, challenges and emerging opportunities</w:t>
      </w:r>
      <w:r w:rsidR="009E4413" w:rsidRPr="00A9645C">
        <w:rPr>
          <w:i/>
          <w:iCs/>
        </w:rPr>
        <w:t xml:space="preserve">. </w:t>
      </w:r>
      <w:r w:rsidR="001406A4" w:rsidRPr="00A9645C">
        <w:rPr>
          <w:i/>
          <w:iCs/>
        </w:rPr>
        <w:t>T</w:t>
      </w:r>
      <w:r w:rsidR="009E4413" w:rsidRPr="00A9645C">
        <w:rPr>
          <w:i/>
          <w:iCs/>
        </w:rPr>
        <w:t xml:space="preserve">he TAPQE team should seek external advice on how best to support </w:t>
      </w:r>
      <w:r w:rsidR="001A01F5" w:rsidRPr="00A9645C">
        <w:rPr>
          <w:i/>
          <w:iCs/>
        </w:rPr>
        <w:t>a strategic leadership group</w:t>
      </w:r>
      <w:r w:rsidR="00AE0D56" w:rsidRPr="00A9645C">
        <w:rPr>
          <w:i/>
          <w:iCs/>
        </w:rPr>
        <w:t xml:space="preserve">, including </w:t>
      </w:r>
      <w:r w:rsidR="00BF2512">
        <w:rPr>
          <w:i/>
          <w:iCs/>
        </w:rPr>
        <w:t xml:space="preserve">support </w:t>
      </w:r>
      <w:r w:rsidR="005D093C">
        <w:rPr>
          <w:i/>
          <w:iCs/>
        </w:rPr>
        <w:t xml:space="preserve">of </w:t>
      </w:r>
      <w:r w:rsidR="00AE0D56" w:rsidRPr="00A9645C">
        <w:rPr>
          <w:i/>
          <w:iCs/>
        </w:rPr>
        <w:t xml:space="preserve">the chair and </w:t>
      </w:r>
      <w:r w:rsidR="005D093C">
        <w:rPr>
          <w:i/>
          <w:iCs/>
        </w:rPr>
        <w:t xml:space="preserve">for </w:t>
      </w:r>
      <w:r w:rsidR="00AE0D56" w:rsidRPr="00A9645C">
        <w:rPr>
          <w:i/>
          <w:iCs/>
        </w:rPr>
        <w:t>meeting facilitation,</w:t>
      </w:r>
      <w:r w:rsidR="001A01F5" w:rsidRPr="00A9645C">
        <w:rPr>
          <w:i/>
          <w:iCs/>
        </w:rPr>
        <w:t xml:space="preserve"> </w:t>
      </w:r>
      <w:r w:rsidR="0001186F" w:rsidRPr="00A9645C">
        <w:rPr>
          <w:i/>
          <w:iCs/>
        </w:rPr>
        <w:t>t</w:t>
      </w:r>
      <w:r w:rsidR="001A01F5" w:rsidRPr="00A9645C">
        <w:rPr>
          <w:i/>
          <w:iCs/>
        </w:rPr>
        <w:t xml:space="preserve">o </w:t>
      </w:r>
      <w:r w:rsidR="00AD66D7" w:rsidRPr="00A9645C">
        <w:rPr>
          <w:i/>
          <w:iCs/>
        </w:rPr>
        <w:t>support</w:t>
      </w:r>
      <w:r w:rsidR="008B7A4F" w:rsidRPr="00A9645C">
        <w:rPr>
          <w:i/>
          <w:iCs/>
        </w:rPr>
        <w:t xml:space="preserve"> the Program </w:t>
      </w:r>
      <w:r w:rsidR="005079EA" w:rsidRPr="00A9645C">
        <w:rPr>
          <w:i/>
          <w:iCs/>
        </w:rPr>
        <w:t xml:space="preserve">to </w:t>
      </w:r>
      <w:r w:rsidR="008B7A4F" w:rsidRPr="00A9645C">
        <w:rPr>
          <w:i/>
          <w:iCs/>
        </w:rPr>
        <w:t>work as effectively and efficiently as possible.</w:t>
      </w:r>
    </w:p>
    <w:p w14:paraId="58D71DA8" w14:textId="186AA7A4" w:rsidR="006E6FB3" w:rsidRDefault="006E6FB3" w:rsidP="00DF5451">
      <w:pPr>
        <w:spacing w:after="240"/>
      </w:pPr>
      <w:r>
        <w:t>Discussion in this report</w:t>
      </w:r>
      <w:r w:rsidR="001133A4">
        <w:t xml:space="preserve"> notes amongst other matters that </w:t>
      </w:r>
      <w:r>
        <w:t xml:space="preserve">the changing Tuvalu context and that of DFAT Investment priorities, would most likely result in a different design to the one currently in operation. This might include a clear distinction between Ministry capacity development (possibly through embedded staff </w:t>
      </w:r>
      <w:r>
        <w:lastRenderedPageBreak/>
        <w:t>and/or the application of a DFA) and provision of services to assist the Ministry to improve teaching and learning</w:t>
      </w:r>
      <w:r w:rsidR="001133A4">
        <w:t xml:space="preserve">. </w:t>
      </w:r>
      <w:r w:rsidR="003D1078">
        <w:t xml:space="preserve">Other discussion </w:t>
      </w:r>
      <w:r w:rsidR="00A6064E">
        <w:t xml:space="preserve">in the report (and in TAPQE documents) </w:t>
      </w:r>
      <w:r w:rsidR="00EB204B">
        <w:t xml:space="preserve">refers to </w:t>
      </w:r>
      <w:r w:rsidR="009D3A5B">
        <w:t>options for the use of embedded staff</w:t>
      </w:r>
      <w:r w:rsidR="005F1E48">
        <w:t xml:space="preserve">, building </w:t>
      </w:r>
      <w:r w:rsidR="00912296">
        <w:t>capabilities</w:t>
      </w:r>
      <w:r w:rsidR="005F1E48">
        <w:t xml:space="preserve"> </w:t>
      </w:r>
      <w:r w:rsidR="00DD4A67">
        <w:t>and better use of local staff</w:t>
      </w:r>
      <w:r w:rsidR="00A6064E">
        <w:t xml:space="preserve">, and optimised use of </w:t>
      </w:r>
      <w:r w:rsidR="00FF4C44">
        <w:t xml:space="preserve">advisers. Recommendations 4 and 5 propose options for reflecting on and improving </w:t>
      </w:r>
      <w:r w:rsidR="00437D71">
        <w:t>TAPQE</w:t>
      </w:r>
      <w:r w:rsidR="00FF4C44">
        <w:t xml:space="preserve"> effectiveness and efficiency.</w:t>
      </w:r>
    </w:p>
    <w:p w14:paraId="00440331" w14:textId="00099811" w:rsidR="0034372A" w:rsidRPr="00A9645C" w:rsidRDefault="00833120" w:rsidP="00DF5451">
      <w:pPr>
        <w:spacing w:after="240"/>
        <w:rPr>
          <w:b/>
          <w:bCs/>
          <w:i/>
          <w:iCs/>
        </w:rPr>
      </w:pPr>
      <w:r w:rsidRPr="00A9645C">
        <w:rPr>
          <w:b/>
          <w:bCs/>
          <w:i/>
          <w:iCs/>
        </w:rPr>
        <w:t xml:space="preserve">Recommendation </w:t>
      </w:r>
      <w:r w:rsidR="0034372A" w:rsidRPr="00A9645C">
        <w:rPr>
          <w:b/>
          <w:bCs/>
          <w:i/>
          <w:iCs/>
        </w:rPr>
        <w:t>4</w:t>
      </w:r>
      <w:r w:rsidRPr="00A9645C">
        <w:rPr>
          <w:b/>
          <w:bCs/>
          <w:i/>
          <w:iCs/>
        </w:rPr>
        <w:t xml:space="preserve">: </w:t>
      </w:r>
      <w:proofErr w:type="spellStart"/>
      <w:r w:rsidR="0034372A" w:rsidRPr="00A9645C">
        <w:rPr>
          <w:b/>
          <w:bCs/>
          <w:i/>
          <w:iCs/>
        </w:rPr>
        <w:t>Maximise</w:t>
      </w:r>
      <w:proofErr w:type="spellEnd"/>
      <w:r w:rsidR="0034372A" w:rsidRPr="00A9645C">
        <w:rPr>
          <w:b/>
          <w:bCs/>
          <w:i/>
          <w:iCs/>
        </w:rPr>
        <w:t xml:space="preserve"> effective and efficient use of TAPQE personnel resources</w:t>
      </w:r>
      <w:r w:rsidR="00AE0D56" w:rsidRPr="00A9645C">
        <w:rPr>
          <w:b/>
          <w:bCs/>
          <w:i/>
          <w:iCs/>
        </w:rPr>
        <w:t xml:space="preserve"> –</w:t>
      </w:r>
      <w:r w:rsidR="00DE5EFF" w:rsidRPr="00A9645C">
        <w:rPr>
          <w:b/>
          <w:bCs/>
          <w:i/>
          <w:iCs/>
        </w:rPr>
        <w:t xml:space="preserve"> TAPQE T</w:t>
      </w:r>
      <w:r w:rsidR="007D76BF" w:rsidRPr="00A9645C">
        <w:rPr>
          <w:b/>
          <w:bCs/>
          <w:i/>
          <w:iCs/>
        </w:rPr>
        <w:t>e</w:t>
      </w:r>
      <w:r w:rsidR="00DE5EFF" w:rsidRPr="00A9645C">
        <w:rPr>
          <w:b/>
          <w:bCs/>
          <w:i/>
          <w:iCs/>
        </w:rPr>
        <w:t>am</w:t>
      </w:r>
    </w:p>
    <w:p w14:paraId="4C3B2E6A" w14:textId="7BB7F6C7" w:rsidR="0034372A" w:rsidRDefault="00C46471" w:rsidP="00DF5451">
      <w:pPr>
        <w:spacing w:after="240"/>
      </w:pPr>
      <w:r w:rsidRPr="00A9645C">
        <w:rPr>
          <w:i/>
          <w:iCs/>
        </w:rPr>
        <w:t>With a focus on</w:t>
      </w:r>
      <w:r w:rsidR="00E140CE" w:rsidRPr="00A9645C">
        <w:rPr>
          <w:i/>
          <w:iCs/>
        </w:rPr>
        <w:t xml:space="preserve"> sustainability and localisation</w:t>
      </w:r>
      <w:r w:rsidR="00FF3C3D" w:rsidRPr="00A9645C">
        <w:rPr>
          <w:i/>
          <w:iCs/>
        </w:rPr>
        <w:t>,</w:t>
      </w:r>
      <w:r w:rsidR="00E140CE" w:rsidRPr="00A9645C">
        <w:rPr>
          <w:i/>
          <w:iCs/>
        </w:rPr>
        <w:t xml:space="preserve"> </w:t>
      </w:r>
      <w:r w:rsidR="00070560" w:rsidRPr="00A9645C">
        <w:rPr>
          <w:i/>
          <w:iCs/>
        </w:rPr>
        <w:t>and the capacity challenges confronting MEHRD</w:t>
      </w:r>
      <w:r w:rsidR="00FF3C3D" w:rsidRPr="00A9645C">
        <w:rPr>
          <w:i/>
          <w:iCs/>
        </w:rPr>
        <w:t>,</w:t>
      </w:r>
      <w:r w:rsidR="000E773A" w:rsidRPr="00A9645C">
        <w:rPr>
          <w:i/>
          <w:iCs/>
        </w:rPr>
        <w:t xml:space="preserve"> the TAPQE Program should investigate the </w:t>
      </w:r>
      <w:r w:rsidR="0034372A" w:rsidRPr="00A9645C">
        <w:rPr>
          <w:i/>
          <w:iCs/>
        </w:rPr>
        <w:t xml:space="preserve">relative cost and program benefit of different </w:t>
      </w:r>
      <w:r w:rsidR="00DA0112" w:rsidRPr="00A9645C">
        <w:rPr>
          <w:i/>
          <w:iCs/>
        </w:rPr>
        <w:t xml:space="preserve">profiles of </w:t>
      </w:r>
      <w:r w:rsidR="0014327F" w:rsidRPr="00A9645C">
        <w:rPr>
          <w:i/>
          <w:iCs/>
        </w:rPr>
        <w:t>locally engaged</w:t>
      </w:r>
      <w:r w:rsidR="001E4659" w:rsidRPr="00A9645C">
        <w:rPr>
          <w:i/>
          <w:iCs/>
        </w:rPr>
        <w:t xml:space="preserve"> staff</w:t>
      </w:r>
      <w:r w:rsidR="0014327F" w:rsidRPr="00A9645C">
        <w:rPr>
          <w:i/>
          <w:iCs/>
        </w:rPr>
        <w:t>, interna</w:t>
      </w:r>
      <w:r w:rsidR="00310537" w:rsidRPr="00A9645C">
        <w:rPr>
          <w:i/>
          <w:iCs/>
        </w:rPr>
        <w:t xml:space="preserve">tional advisers and </w:t>
      </w:r>
      <w:r w:rsidR="00FF3C3D" w:rsidRPr="00A9645C">
        <w:rPr>
          <w:i/>
          <w:iCs/>
        </w:rPr>
        <w:t>embedded</w:t>
      </w:r>
      <w:r w:rsidR="00310537" w:rsidRPr="00A9645C">
        <w:rPr>
          <w:i/>
          <w:iCs/>
        </w:rPr>
        <w:t xml:space="preserve"> staff</w:t>
      </w:r>
      <w:r w:rsidR="003B5DA3" w:rsidRPr="00A9645C">
        <w:rPr>
          <w:i/>
          <w:iCs/>
        </w:rPr>
        <w:t xml:space="preserve">. </w:t>
      </w:r>
      <w:r w:rsidR="00037AA8" w:rsidRPr="00A9645C">
        <w:rPr>
          <w:i/>
          <w:iCs/>
        </w:rPr>
        <w:t xml:space="preserve">Options should be presented to the Steering Group </w:t>
      </w:r>
      <w:r w:rsidR="001808AE" w:rsidRPr="00A9645C">
        <w:rPr>
          <w:i/>
          <w:iCs/>
        </w:rPr>
        <w:t>for decision</w:t>
      </w:r>
      <w:r w:rsidR="00DD735B" w:rsidRPr="00A9645C">
        <w:rPr>
          <w:i/>
          <w:iCs/>
        </w:rPr>
        <w:t>,</w:t>
      </w:r>
      <w:r w:rsidR="009512DB" w:rsidRPr="00A9645C">
        <w:rPr>
          <w:i/>
          <w:iCs/>
        </w:rPr>
        <w:t xml:space="preserve"> </w:t>
      </w:r>
      <w:r w:rsidR="00037AA8" w:rsidRPr="00A9645C">
        <w:rPr>
          <w:i/>
          <w:iCs/>
        </w:rPr>
        <w:t>with</w:t>
      </w:r>
      <w:r w:rsidR="006B406F" w:rsidRPr="00A9645C">
        <w:rPr>
          <w:i/>
          <w:iCs/>
        </w:rPr>
        <w:t xml:space="preserve"> the </w:t>
      </w:r>
      <w:r w:rsidR="009512DB" w:rsidRPr="00A9645C">
        <w:rPr>
          <w:i/>
          <w:iCs/>
        </w:rPr>
        <w:t xml:space="preserve">analysis of each option in terms of anticipated </w:t>
      </w:r>
      <w:r w:rsidR="0034372A" w:rsidRPr="00A9645C">
        <w:rPr>
          <w:i/>
          <w:iCs/>
        </w:rPr>
        <w:t>effective</w:t>
      </w:r>
      <w:r w:rsidR="009512DB" w:rsidRPr="00A9645C">
        <w:rPr>
          <w:i/>
          <w:iCs/>
        </w:rPr>
        <w:t>ness</w:t>
      </w:r>
      <w:r w:rsidR="0034372A" w:rsidRPr="00A9645C">
        <w:rPr>
          <w:i/>
          <w:iCs/>
        </w:rPr>
        <w:t xml:space="preserve"> and efficien</w:t>
      </w:r>
      <w:r w:rsidR="009512DB" w:rsidRPr="00A9645C">
        <w:rPr>
          <w:i/>
          <w:iCs/>
        </w:rPr>
        <w:t>cy</w:t>
      </w:r>
      <w:r w:rsidR="00DD735B" w:rsidRPr="00A9645C">
        <w:rPr>
          <w:i/>
          <w:iCs/>
        </w:rPr>
        <w:t xml:space="preserve">. </w:t>
      </w:r>
      <w:r w:rsidR="00AE0D56" w:rsidRPr="00A9645C">
        <w:rPr>
          <w:i/>
          <w:iCs/>
        </w:rPr>
        <w:t xml:space="preserve">This should be </w:t>
      </w:r>
      <w:r w:rsidR="00DD735B" w:rsidRPr="00A9645C">
        <w:rPr>
          <w:i/>
          <w:iCs/>
        </w:rPr>
        <w:t>consider</w:t>
      </w:r>
      <w:r w:rsidR="00AE0D56" w:rsidRPr="00A9645C">
        <w:rPr>
          <w:i/>
          <w:iCs/>
        </w:rPr>
        <w:t xml:space="preserve">ed </w:t>
      </w:r>
      <w:r w:rsidR="00FC730E" w:rsidRPr="00A9645C">
        <w:rPr>
          <w:i/>
          <w:iCs/>
        </w:rPr>
        <w:t xml:space="preserve">by </w:t>
      </w:r>
      <w:r w:rsidR="003F277B" w:rsidRPr="00A9645C">
        <w:rPr>
          <w:i/>
          <w:iCs/>
        </w:rPr>
        <w:t>the Steering Group</w:t>
      </w:r>
      <w:r w:rsidR="00003AAA" w:rsidRPr="00A9645C">
        <w:rPr>
          <w:i/>
          <w:iCs/>
        </w:rPr>
        <w:t xml:space="preserve"> at its </w:t>
      </w:r>
      <w:r w:rsidR="005A4C07" w:rsidRPr="00A9645C">
        <w:rPr>
          <w:i/>
          <w:iCs/>
        </w:rPr>
        <w:t>2</w:t>
      </w:r>
      <w:r w:rsidR="005A4C07" w:rsidRPr="00A9645C">
        <w:rPr>
          <w:i/>
          <w:iCs/>
          <w:vertAlign w:val="superscript"/>
        </w:rPr>
        <w:t>nd</w:t>
      </w:r>
      <w:r w:rsidR="005A4C07" w:rsidRPr="00A9645C">
        <w:rPr>
          <w:i/>
          <w:iCs/>
        </w:rPr>
        <w:t xml:space="preserve"> Steering Group </w:t>
      </w:r>
      <w:r w:rsidR="00437D71" w:rsidRPr="00A9645C">
        <w:rPr>
          <w:i/>
          <w:iCs/>
        </w:rPr>
        <w:t>meeting of 2025 and</w:t>
      </w:r>
      <w:r w:rsidR="00003AAA" w:rsidRPr="00A9645C">
        <w:rPr>
          <w:i/>
          <w:iCs/>
        </w:rPr>
        <w:t xml:space="preserve"> </w:t>
      </w:r>
      <w:r w:rsidR="005A4C07" w:rsidRPr="00A9645C">
        <w:rPr>
          <w:i/>
          <w:iCs/>
        </w:rPr>
        <w:t>implement</w:t>
      </w:r>
      <w:r w:rsidR="00AE0D56" w:rsidRPr="00A9645C">
        <w:rPr>
          <w:i/>
          <w:iCs/>
        </w:rPr>
        <w:t xml:space="preserve">ed </w:t>
      </w:r>
      <w:r w:rsidR="005A4C07" w:rsidRPr="00A9645C">
        <w:rPr>
          <w:i/>
          <w:iCs/>
        </w:rPr>
        <w:t>from July 2025.</w:t>
      </w:r>
    </w:p>
    <w:p w14:paraId="225D9073" w14:textId="3E0B6718" w:rsidR="0034372A" w:rsidRPr="00A9645C" w:rsidRDefault="00833120" w:rsidP="00DF5451">
      <w:pPr>
        <w:keepNext/>
        <w:spacing w:after="240"/>
        <w:rPr>
          <w:b/>
          <w:bCs/>
          <w:i/>
          <w:iCs/>
        </w:rPr>
      </w:pPr>
      <w:r w:rsidRPr="00A9645C">
        <w:rPr>
          <w:b/>
          <w:bCs/>
          <w:i/>
          <w:iCs/>
        </w:rPr>
        <w:t xml:space="preserve">Recommendation 5: </w:t>
      </w:r>
      <w:r w:rsidR="0034372A" w:rsidRPr="00A9645C">
        <w:rPr>
          <w:b/>
          <w:bCs/>
          <w:i/>
          <w:iCs/>
        </w:rPr>
        <w:t xml:space="preserve">Options to update Program design </w:t>
      </w:r>
    </w:p>
    <w:p w14:paraId="7A7B5282" w14:textId="0F4A1187" w:rsidR="0034372A" w:rsidRPr="00A9645C" w:rsidRDefault="0034372A" w:rsidP="00DF5451">
      <w:pPr>
        <w:spacing w:after="240"/>
        <w:rPr>
          <w:i/>
          <w:iCs/>
        </w:rPr>
      </w:pPr>
      <w:r w:rsidRPr="00A9645C">
        <w:rPr>
          <w:i/>
          <w:iCs/>
        </w:rPr>
        <w:t>Given the significant changes to the Tuvalu context and DFAT Investment priorities</w:t>
      </w:r>
      <w:r w:rsidR="00A5613B" w:rsidRPr="00A9645C">
        <w:rPr>
          <w:i/>
          <w:iCs/>
        </w:rPr>
        <w:t>,</w:t>
      </w:r>
      <w:r w:rsidRPr="00A9645C">
        <w:rPr>
          <w:i/>
          <w:iCs/>
        </w:rPr>
        <w:t xml:space="preserve"> the AHC should consider the potential benefits of a new design and tender process</w:t>
      </w:r>
      <w:r w:rsidR="00AE0D56" w:rsidRPr="00A9645C">
        <w:rPr>
          <w:i/>
          <w:iCs/>
        </w:rPr>
        <w:t xml:space="preserve"> for the next phase </w:t>
      </w:r>
      <w:r w:rsidR="00AA1551" w:rsidRPr="00A9645C">
        <w:rPr>
          <w:i/>
          <w:iCs/>
        </w:rPr>
        <w:t xml:space="preserve">of this Program, </w:t>
      </w:r>
      <w:r w:rsidR="00B4306F" w:rsidRPr="00A9645C">
        <w:rPr>
          <w:i/>
          <w:iCs/>
        </w:rPr>
        <w:t xml:space="preserve">rather than </w:t>
      </w:r>
      <w:r w:rsidRPr="00A9645C">
        <w:rPr>
          <w:i/>
          <w:iCs/>
        </w:rPr>
        <w:t>a second five-year extension of the current program.</w:t>
      </w:r>
    </w:p>
    <w:p w14:paraId="6819310C" w14:textId="77777777" w:rsidR="0034372A" w:rsidRDefault="0034372A" w:rsidP="0034372A"/>
    <w:p w14:paraId="143224D5" w14:textId="77777777" w:rsidR="00C1614D" w:rsidRDefault="00C1614D" w:rsidP="002E5C8E">
      <w:pPr>
        <w:pStyle w:val="Heading1"/>
        <w:pageBreakBefore/>
      </w:pPr>
      <w:bookmarkStart w:id="2" w:name="_Toc209431942"/>
      <w:r>
        <w:lastRenderedPageBreak/>
        <w:t>Introduction</w:t>
      </w:r>
      <w:bookmarkEnd w:id="2"/>
    </w:p>
    <w:p w14:paraId="27A870C2" w14:textId="77777777" w:rsidR="005B2EBB" w:rsidRDefault="005B2EBB" w:rsidP="0093449E">
      <w:pPr>
        <w:pStyle w:val="Heading2"/>
      </w:pPr>
      <w:bookmarkStart w:id="3" w:name="_Toc209431943"/>
      <w:r w:rsidRPr="0093449E">
        <w:t>TAPQE Program</w:t>
      </w:r>
      <w:bookmarkEnd w:id="3"/>
    </w:p>
    <w:p w14:paraId="7D5A8E29" w14:textId="48BEF7D6" w:rsidR="008C4085" w:rsidRDefault="008C4085" w:rsidP="00DF5451">
      <w:pPr>
        <w:spacing w:after="240"/>
      </w:pPr>
      <w:r>
        <w:t xml:space="preserve">Australia has a strong commitment </w:t>
      </w:r>
      <w:r w:rsidR="00FA416F">
        <w:t>to</w:t>
      </w:r>
      <w:r>
        <w:t xml:space="preserve"> supporting Tuvalu’s education sector through the Tuvalu Australia Partnership for Quality Education (TAPQE) Program ($10 million over 5 years 2022/23-2026/27), managed by Tetra Tech International Development. </w:t>
      </w:r>
    </w:p>
    <w:p w14:paraId="160CBEC5" w14:textId="0A2DAED5" w:rsidR="008C4085" w:rsidRDefault="008C4085" w:rsidP="00DF5451">
      <w:pPr>
        <w:spacing w:after="240"/>
      </w:pPr>
      <w:r>
        <w:t xml:space="preserve">The TAPQE Program is focused on addressing some of the education challenges in </w:t>
      </w:r>
      <w:r w:rsidR="001E0317">
        <w:t>Tuvalu</w:t>
      </w:r>
      <w:r>
        <w:t xml:space="preserve"> as reflected in its (TAPQE) End of Program Outcomes: </w:t>
      </w:r>
    </w:p>
    <w:p w14:paraId="01FF596C" w14:textId="77777777" w:rsidR="008C4085" w:rsidRDefault="008C4085" w:rsidP="00005956">
      <w:pPr>
        <w:pStyle w:val="ListParagraph"/>
        <w:numPr>
          <w:ilvl w:val="0"/>
          <w:numId w:val="3"/>
        </w:numPr>
      </w:pPr>
      <w:r>
        <w:t>EOPO 1: Improved numeracy and literacy outcomes for both girls and boys (Years 1-10), including children with disabilities.</w:t>
      </w:r>
    </w:p>
    <w:p w14:paraId="3C162D25" w14:textId="77777777" w:rsidR="008C4085" w:rsidRDefault="008C4085" w:rsidP="00005956">
      <w:pPr>
        <w:pStyle w:val="ListParagraph"/>
        <w:numPr>
          <w:ilvl w:val="0"/>
          <w:numId w:val="3"/>
        </w:numPr>
      </w:pPr>
      <w:r>
        <w:t xml:space="preserve">EOPO 2: Improved relevance and quality of secondary school teaching and pathways to employment and further education opportunities for both girls and boys, including learners with disabilities; and </w:t>
      </w:r>
    </w:p>
    <w:p w14:paraId="39CEC507" w14:textId="77777777" w:rsidR="008C4085" w:rsidRDefault="008C4085" w:rsidP="00005956">
      <w:pPr>
        <w:pStyle w:val="ListParagraph"/>
        <w:numPr>
          <w:ilvl w:val="0"/>
          <w:numId w:val="3"/>
        </w:numPr>
      </w:pPr>
      <w:r>
        <w:t xml:space="preserve">EOPO 3: Strengthened Ministry of Education, Youth &amp; Sports (now Ministry of Education &amp; Human Resources Development) personnel and systems so that service delivery is more inclusive, evidence-based and efficient. </w:t>
      </w:r>
    </w:p>
    <w:p w14:paraId="6CCDD378" w14:textId="229F2AB8" w:rsidR="009D689F" w:rsidRDefault="009D689F" w:rsidP="00DF5451">
      <w:pPr>
        <w:spacing w:after="240"/>
      </w:pPr>
      <w:r w:rsidRPr="00745FA5">
        <w:t xml:space="preserve">The TAPQE Program </w:t>
      </w:r>
      <w:r>
        <w:t xml:space="preserve">follows on from </w:t>
      </w:r>
      <w:r w:rsidRPr="00745FA5">
        <w:t>previous years of support (Australian Support to Education in Tuvalu (ASET</w:t>
      </w:r>
      <w:r w:rsidR="00995B0E">
        <w:rPr>
          <w:rStyle w:val="FootnoteReference"/>
        </w:rPr>
        <w:footnoteReference w:id="2"/>
      </w:r>
      <w:r>
        <w:t>)</w:t>
      </w:r>
      <w:r w:rsidRPr="00745FA5">
        <w:t xml:space="preserve"> Program 2018-2022</w:t>
      </w:r>
      <w:r>
        <w:t xml:space="preserve"> and the Tuvalu Australia Education Support Program 1997-2004 (TAESP</w:t>
      </w:r>
      <w:r w:rsidRPr="00745FA5">
        <w:t>)</w:t>
      </w:r>
      <w:r>
        <w:t>)</w:t>
      </w:r>
      <w:r w:rsidRPr="00745FA5">
        <w:t xml:space="preserve"> and the Australia Awards Scholarships. </w:t>
      </w:r>
    </w:p>
    <w:p w14:paraId="038ECDDE" w14:textId="5DFCA77D" w:rsidR="008C4085" w:rsidRDefault="008C4085" w:rsidP="00DF5451">
      <w:pPr>
        <w:spacing w:after="240"/>
      </w:pPr>
      <w:r>
        <w:t xml:space="preserve">The TAPQE Investment Design Document (IDD) was developed during the COVID-19 pandemic, which created challenges for consultation, engagement and negotiation during the development process. The TAPQE Program’s IDD has not been </w:t>
      </w:r>
      <w:r w:rsidR="006404AE">
        <w:t>finalised</w:t>
      </w:r>
      <w:r w:rsidR="006404AE">
        <w:rPr>
          <w:rStyle w:val="FootnoteReference"/>
        </w:rPr>
        <w:footnoteReference w:id="3"/>
      </w:r>
      <w:r w:rsidR="006404AE">
        <w:t>.</w:t>
      </w:r>
    </w:p>
    <w:p w14:paraId="3FA69B8C" w14:textId="08AD5A7A" w:rsidR="008C4085" w:rsidRDefault="008C4085" w:rsidP="00DF5451">
      <w:pPr>
        <w:spacing w:after="240"/>
      </w:pPr>
      <w:r>
        <w:t>Inception phase activities commenced in January 2023 and the TAPQE Program was officially launched in May 2024 at the Program’s inaugural Steering Committee Meeting. The Program is in the early phase of implementation and its workplan activities are based on the IDD, pending the revision of the IDD to align with Tuvalu’s new education sector plan (TESP IV) which is currently being reviewed by Tuvalu’s senior education officials.</w:t>
      </w:r>
      <w:r w:rsidR="00A17242">
        <w:t xml:space="preserve"> </w:t>
      </w:r>
    </w:p>
    <w:p w14:paraId="490DB0B9" w14:textId="2B2B8135" w:rsidR="00CF6CDE" w:rsidRDefault="00FA25A9" w:rsidP="00CF6CDE">
      <w:pPr>
        <w:pStyle w:val="Heading2"/>
      </w:pPr>
      <w:bookmarkStart w:id="4" w:name="_Toc209431944"/>
      <w:r>
        <w:lastRenderedPageBreak/>
        <w:t>Mid</w:t>
      </w:r>
      <w:r w:rsidR="00CE5EAC">
        <w:t>-Term Review (</w:t>
      </w:r>
      <w:r w:rsidR="00CF6CDE">
        <w:t>MTR</w:t>
      </w:r>
      <w:r w:rsidR="00CE5EAC">
        <w:t>)</w:t>
      </w:r>
      <w:r w:rsidR="00CF6CDE">
        <w:t xml:space="preserve"> Purpose</w:t>
      </w:r>
      <w:bookmarkEnd w:id="4"/>
    </w:p>
    <w:p w14:paraId="0C7E7448" w14:textId="0BA8186F" w:rsidR="00462E61" w:rsidRDefault="00462E61" w:rsidP="00DF5451">
      <w:pPr>
        <w:spacing w:after="240"/>
        <w:rPr>
          <w:lang w:val="en-AU"/>
        </w:rPr>
      </w:pPr>
      <w:r w:rsidRPr="00462E61">
        <w:rPr>
          <w:lang w:val="en-AU"/>
        </w:rPr>
        <w:t xml:space="preserve">The </w:t>
      </w:r>
      <w:r w:rsidR="00CE5EAC">
        <w:rPr>
          <w:lang w:val="en-AU"/>
        </w:rPr>
        <w:t>T</w:t>
      </w:r>
      <w:r w:rsidRPr="00462E61">
        <w:rPr>
          <w:lang w:val="en-AU"/>
        </w:rPr>
        <w:t xml:space="preserve">erms of </w:t>
      </w:r>
      <w:r w:rsidR="00CE5EAC">
        <w:rPr>
          <w:lang w:val="en-AU"/>
        </w:rPr>
        <w:t>R</w:t>
      </w:r>
      <w:r w:rsidRPr="00462E61">
        <w:rPr>
          <w:lang w:val="en-AU"/>
        </w:rPr>
        <w:t xml:space="preserve">eference </w:t>
      </w:r>
      <w:r w:rsidR="00CE5EAC">
        <w:rPr>
          <w:lang w:val="en-AU"/>
        </w:rPr>
        <w:t>(</w:t>
      </w:r>
      <w:r w:rsidR="005A68A1">
        <w:rPr>
          <w:lang w:val="en-AU"/>
        </w:rPr>
        <w:t xml:space="preserve">ToR) </w:t>
      </w:r>
      <w:r w:rsidRPr="00462E61">
        <w:rPr>
          <w:lang w:val="en-AU"/>
        </w:rPr>
        <w:t xml:space="preserve">for this review, including objectives and scope, are set out in </w:t>
      </w:r>
      <w:r w:rsidRPr="00462E61">
        <w:rPr>
          <w:u w:val="single"/>
          <w:lang w:val="en-AU"/>
        </w:rPr>
        <w:t>Annex 1</w:t>
      </w:r>
      <w:r w:rsidRPr="00462E61">
        <w:rPr>
          <w:lang w:val="en-AU"/>
        </w:rPr>
        <w:t>.</w:t>
      </w:r>
    </w:p>
    <w:p w14:paraId="6A3F98F0" w14:textId="0177D546" w:rsidR="00462E61" w:rsidRPr="00462E61" w:rsidRDefault="00462E61" w:rsidP="00DF5451">
      <w:pPr>
        <w:spacing w:after="240"/>
        <w:rPr>
          <w:lang w:val="en-AU"/>
        </w:rPr>
      </w:pPr>
      <w:r w:rsidRPr="00462E61">
        <w:rPr>
          <w:lang w:val="en-AU"/>
        </w:rPr>
        <w:t xml:space="preserve">As set out in the </w:t>
      </w:r>
      <w:r w:rsidR="005A68A1">
        <w:rPr>
          <w:lang w:val="en-AU"/>
        </w:rPr>
        <w:t>ToR</w:t>
      </w:r>
      <w:r w:rsidRPr="00462E61">
        <w:rPr>
          <w:lang w:val="en-AU"/>
        </w:rPr>
        <w:t>, DFAT has t</w:t>
      </w:r>
      <w:r w:rsidR="00C34F53">
        <w:rPr>
          <w:lang w:val="en-AU"/>
        </w:rPr>
        <w:t>hree</w:t>
      </w:r>
      <w:r w:rsidRPr="00462E61">
        <w:rPr>
          <w:lang w:val="en-AU"/>
        </w:rPr>
        <w:t xml:space="preserve"> main objectives for the </w:t>
      </w:r>
      <w:r w:rsidR="005A68A1">
        <w:rPr>
          <w:lang w:val="en-AU"/>
        </w:rPr>
        <w:t>M</w:t>
      </w:r>
      <w:r w:rsidRPr="00462E61">
        <w:rPr>
          <w:lang w:val="en-AU"/>
        </w:rPr>
        <w:t>id-</w:t>
      </w:r>
      <w:r w:rsidR="00693FAD">
        <w:rPr>
          <w:lang w:val="en-AU"/>
        </w:rPr>
        <w:t>T</w:t>
      </w:r>
      <w:r w:rsidRPr="00462E61">
        <w:rPr>
          <w:lang w:val="en-AU"/>
        </w:rPr>
        <w:t xml:space="preserve">erm </w:t>
      </w:r>
      <w:r w:rsidR="00693FAD">
        <w:rPr>
          <w:lang w:val="en-AU"/>
        </w:rPr>
        <w:t>R</w:t>
      </w:r>
      <w:r w:rsidRPr="00462E61">
        <w:rPr>
          <w:lang w:val="en-AU"/>
        </w:rPr>
        <w:t>eview</w:t>
      </w:r>
      <w:r w:rsidR="00693FAD">
        <w:rPr>
          <w:lang w:val="en-AU"/>
        </w:rPr>
        <w:t xml:space="preserve"> (MTR)</w:t>
      </w:r>
      <w:r w:rsidRPr="00462E61">
        <w:rPr>
          <w:lang w:val="en-AU"/>
        </w:rPr>
        <w:t>:</w:t>
      </w:r>
    </w:p>
    <w:p w14:paraId="24DB2487" w14:textId="1F0634C5" w:rsidR="00462E61" w:rsidRPr="00462E61" w:rsidRDefault="00462E61" w:rsidP="00005956">
      <w:pPr>
        <w:pStyle w:val="ListParagraph"/>
        <w:numPr>
          <w:ilvl w:val="0"/>
          <w:numId w:val="4"/>
        </w:numPr>
        <w:rPr>
          <w:lang w:val="en-AU"/>
        </w:rPr>
      </w:pPr>
      <w:r w:rsidRPr="00462E61">
        <w:rPr>
          <w:lang w:val="en-AU"/>
        </w:rPr>
        <w:t xml:space="preserve">to help inform the finalisation of the TAPQE Investment Design Document and ensure it remains relevant to Tuvalu’s education context, operational environment, and the priorities in the draft TESP IV to strengthen Tuvalu’s education systems and </w:t>
      </w:r>
      <w:proofErr w:type="gramStart"/>
      <w:r w:rsidRPr="00462E61">
        <w:rPr>
          <w:lang w:val="en-AU"/>
        </w:rPr>
        <w:t>outcomes;</w:t>
      </w:r>
      <w:proofErr w:type="gramEnd"/>
    </w:p>
    <w:p w14:paraId="01DDDFDF" w14:textId="053AE914" w:rsidR="0051667C" w:rsidRDefault="00462E61" w:rsidP="00005956">
      <w:pPr>
        <w:pStyle w:val="ListParagraph"/>
        <w:numPr>
          <w:ilvl w:val="0"/>
          <w:numId w:val="4"/>
        </w:numPr>
        <w:rPr>
          <w:lang w:val="en-AU"/>
        </w:rPr>
      </w:pPr>
      <w:r w:rsidRPr="00780B86">
        <w:rPr>
          <w:lang w:val="en-AU"/>
        </w:rPr>
        <w:t>to assess TAPQE’s progress towards achieving its End of Program Outcomes</w:t>
      </w:r>
      <w:r w:rsidR="00693FAD">
        <w:rPr>
          <w:lang w:val="en-AU"/>
        </w:rPr>
        <w:t xml:space="preserve"> (EOPOs)</w:t>
      </w:r>
      <w:r w:rsidRPr="00780B86">
        <w:rPr>
          <w:lang w:val="en-AU"/>
        </w:rPr>
        <w:t xml:space="preserve">, identify what is working well and what needs to be strengthened to achieve the EOPOs; determine whether the current TAPQE </w:t>
      </w:r>
      <w:r w:rsidR="009A2E3D" w:rsidRPr="00780B86">
        <w:rPr>
          <w:lang w:val="en-AU"/>
        </w:rPr>
        <w:t>MEL</w:t>
      </w:r>
      <w:r w:rsidRPr="00780B86">
        <w:rPr>
          <w:lang w:val="en-AU"/>
        </w:rPr>
        <w:t xml:space="preserve"> Framework and performance reporting is fit for purpose;</w:t>
      </w:r>
      <w:r w:rsidR="0017483A">
        <w:rPr>
          <w:lang w:val="en-AU"/>
        </w:rPr>
        <w:t xml:space="preserve"> and</w:t>
      </w:r>
    </w:p>
    <w:p w14:paraId="061513C2" w14:textId="2C9F8BC2" w:rsidR="00462E61" w:rsidRPr="00462E61" w:rsidRDefault="00462E61" w:rsidP="00005956">
      <w:pPr>
        <w:pStyle w:val="ListParagraph"/>
        <w:numPr>
          <w:ilvl w:val="0"/>
          <w:numId w:val="4"/>
        </w:numPr>
        <w:rPr>
          <w:lang w:val="en-AU"/>
        </w:rPr>
      </w:pPr>
      <w:r w:rsidRPr="00462E61">
        <w:rPr>
          <w:lang w:val="en-AU"/>
        </w:rPr>
        <w:t>identify some recommendations for where improvements could be made to drive real changes in student outcomes, including students with disabilities and those most at risk of falling behind and/or in need of assistance.</w:t>
      </w:r>
    </w:p>
    <w:p w14:paraId="2CADDB27" w14:textId="4E834241" w:rsidR="00462E61" w:rsidRDefault="00462E61" w:rsidP="00DF5451">
      <w:pPr>
        <w:spacing w:after="240"/>
        <w:rPr>
          <w:lang w:val="en-AU"/>
        </w:rPr>
      </w:pPr>
      <w:bookmarkStart w:id="5" w:name="_Hlk64210097"/>
      <w:r w:rsidRPr="00462E61">
        <w:rPr>
          <w:lang w:val="en-AU"/>
        </w:rPr>
        <w:t xml:space="preserve">The primary audience for the </w:t>
      </w:r>
      <w:r w:rsidR="00693FAD">
        <w:rPr>
          <w:lang w:val="en-AU"/>
        </w:rPr>
        <w:t>MTR</w:t>
      </w:r>
      <w:r w:rsidRPr="00462E61">
        <w:rPr>
          <w:lang w:val="en-AU"/>
        </w:rPr>
        <w:t xml:space="preserve"> report is </w:t>
      </w:r>
      <w:r w:rsidR="00DA12CE">
        <w:rPr>
          <w:lang w:val="en-AU"/>
        </w:rPr>
        <w:t>the AHC</w:t>
      </w:r>
      <w:r w:rsidR="00225000">
        <w:rPr>
          <w:rStyle w:val="FootnoteReference"/>
          <w:lang w:val="en-AU"/>
        </w:rPr>
        <w:footnoteReference w:id="4"/>
      </w:r>
      <w:r w:rsidR="00DA12CE">
        <w:rPr>
          <w:lang w:val="en-AU"/>
        </w:rPr>
        <w:t xml:space="preserve"> and relevant </w:t>
      </w:r>
      <w:r w:rsidRPr="00462E61">
        <w:rPr>
          <w:lang w:val="en-AU"/>
        </w:rPr>
        <w:t>DFAT</w:t>
      </w:r>
      <w:r w:rsidR="00DA12CE">
        <w:rPr>
          <w:lang w:val="en-AU"/>
        </w:rPr>
        <w:t xml:space="preserve"> officers</w:t>
      </w:r>
      <w:r w:rsidRPr="00462E61">
        <w:rPr>
          <w:lang w:val="en-AU"/>
        </w:rPr>
        <w:t xml:space="preserve">, senior officials of Tuvalu’s </w:t>
      </w:r>
      <w:r w:rsidR="00DA12CE">
        <w:rPr>
          <w:lang w:val="en-AU"/>
        </w:rPr>
        <w:t>MEHRD</w:t>
      </w:r>
      <w:r w:rsidRPr="00462E61">
        <w:rPr>
          <w:lang w:val="en-AU"/>
        </w:rPr>
        <w:t xml:space="preserve"> of Education and the TAPQE Program team including </w:t>
      </w:r>
      <w:r w:rsidR="00DA12CE">
        <w:rPr>
          <w:lang w:val="en-AU"/>
        </w:rPr>
        <w:t>Tetra Tech management</w:t>
      </w:r>
      <w:r w:rsidRPr="00462E61">
        <w:rPr>
          <w:lang w:val="en-AU"/>
        </w:rPr>
        <w:t xml:space="preserve">. </w:t>
      </w:r>
      <w:bookmarkEnd w:id="5"/>
    </w:p>
    <w:p w14:paraId="24BD3EE9" w14:textId="77777777" w:rsidR="00462E61" w:rsidRPr="00462E61" w:rsidRDefault="00462E61" w:rsidP="00DF5451">
      <w:pPr>
        <w:spacing w:after="240"/>
        <w:rPr>
          <w:lang w:val="en-AU"/>
        </w:rPr>
      </w:pPr>
      <w:r w:rsidRPr="00462E61">
        <w:rPr>
          <w:lang w:val="en-AU"/>
        </w:rPr>
        <w:t>The review team comprises:</w:t>
      </w:r>
    </w:p>
    <w:p w14:paraId="0B233F06" w14:textId="77777777" w:rsidR="00462E61" w:rsidRPr="00462E61" w:rsidRDefault="00462E61" w:rsidP="00005956">
      <w:pPr>
        <w:pStyle w:val="ListParagraph"/>
        <w:numPr>
          <w:ilvl w:val="0"/>
          <w:numId w:val="5"/>
        </w:numPr>
        <w:rPr>
          <w:lang w:val="en-AU"/>
        </w:rPr>
      </w:pPr>
      <w:r w:rsidRPr="00462E61">
        <w:rPr>
          <w:lang w:val="en-AU"/>
        </w:rPr>
        <w:t>Robert Randall – independent education sector specialist (Team Leader)</w:t>
      </w:r>
    </w:p>
    <w:p w14:paraId="62357C81" w14:textId="77777777" w:rsidR="00462E61" w:rsidRPr="00462E61" w:rsidRDefault="00462E61" w:rsidP="00005956">
      <w:pPr>
        <w:pStyle w:val="ListParagraph"/>
        <w:numPr>
          <w:ilvl w:val="0"/>
          <w:numId w:val="5"/>
        </w:numPr>
        <w:rPr>
          <w:lang w:val="en-AU"/>
        </w:rPr>
      </w:pPr>
      <w:r w:rsidRPr="00462E61">
        <w:rPr>
          <w:lang w:val="en-AU"/>
        </w:rPr>
        <w:t>Alex Gruenewald – external MEL specialist</w:t>
      </w:r>
    </w:p>
    <w:p w14:paraId="38F64AF6" w14:textId="7DACDA44" w:rsidR="00462E61" w:rsidRPr="0069506B" w:rsidRDefault="00462E61" w:rsidP="00005956">
      <w:pPr>
        <w:pStyle w:val="ListParagraph"/>
        <w:numPr>
          <w:ilvl w:val="0"/>
          <w:numId w:val="5"/>
        </w:numPr>
        <w:rPr>
          <w:lang w:val="sv-SE"/>
        </w:rPr>
      </w:pPr>
      <w:r w:rsidRPr="00D7217C">
        <w:rPr>
          <w:lang w:val="sv-SE"/>
        </w:rPr>
        <w:t>Seta</w:t>
      </w:r>
      <w:r w:rsidR="00814277" w:rsidRPr="00D7217C">
        <w:rPr>
          <w:lang w:val="sv-SE"/>
        </w:rPr>
        <w:t>reki</w:t>
      </w:r>
      <w:r w:rsidRPr="0069506B">
        <w:rPr>
          <w:lang w:val="sv-SE"/>
        </w:rPr>
        <w:t xml:space="preserve"> Macanawai – external GEDSI</w:t>
      </w:r>
      <w:r w:rsidR="00814277" w:rsidRPr="00D7217C">
        <w:rPr>
          <w:lang w:val="sv-SE"/>
        </w:rPr>
        <w:t xml:space="preserve"> specialist</w:t>
      </w:r>
    </w:p>
    <w:p w14:paraId="5BA6A0FF" w14:textId="6B3E4F1F" w:rsidR="00462E61" w:rsidRDefault="00462E61" w:rsidP="00005956">
      <w:pPr>
        <w:pStyle w:val="ListParagraph"/>
        <w:numPr>
          <w:ilvl w:val="0"/>
          <w:numId w:val="5"/>
        </w:numPr>
        <w:rPr>
          <w:lang w:val="en-AU"/>
        </w:rPr>
      </w:pPr>
      <w:r w:rsidRPr="00462E61">
        <w:rPr>
          <w:lang w:val="en-AU"/>
        </w:rPr>
        <w:t xml:space="preserve">Michael Currie – DFAT </w:t>
      </w:r>
      <w:r w:rsidR="00A34E91">
        <w:rPr>
          <w:lang w:val="en-AU"/>
        </w:rPr>
        <w:t>Assistant Director, Education</w:t>
      </w:r>
    </w:p>
    <w:p w14:paraId="4DE9FBA9" w14:textId="55EFF26A" w:rsidR="000D3DAB" w:rsidRPr="00462E61" w:rsidRDefault="000D3DAB" w:rsidP="00005956">
      <w:pPr>
        <w:pStyle w:val="ListParagraph"/>
        <w:numPr>
          <w:ilvl w:val="0"/>
          <w:numId w:val="5"/>
        </w:numPr>
        <w:rPr>
          <w:lang w:val="en-AU"/>
        </w:rPr>
      </w:pPr>
      <w:r>
        <w:rPr>
          <w:lang w:val="en-AU"/>
        </w:rPr>
        <w:t xml:space="preserve">Georgie Neely – DFAT </w:t>
      </w:r>
      <w:r w:rsidR="00A25951">
        <w:rPr>
          <w:lang w:val="en-AU"/>
        </w:rPr>
        <w:t>policy officer</w:t>
      </w:r>
      <w:r w:rsidR="00A34E91">
        <w:rPr>
          <w:lang w:val="en-AU"/>
        </w:rPr>
        <w:t>, Tuvalu Desk</w:t>
      </w:r>
    </w:p>
    <w:p w14:paraId="4ED827C2" w14:textId="6F94ED8E" w:rsidR="00904917" w:rsidRDefault="00904917" w:rsidP="00904917">
      <w:pPr>
        <w:pStyle w:val="Heading2"/>
      </w:pPr>
      <w:bookmarkStart w:id="6" w:name="_Toc209431945"/>
      <w:r>
        <w:t>Methodology</w:t>
      </w:r>
      <w:bookmarkEnd w:id="6"/>
    </w:p>
    <w:p w14:paraId="5228FAD7" w14:textId="068711CF" w:rsidR="00706DDC" w:rsidRDefault="00C4413D" w:rsidP="00DF5451">
      <w:pPr>
        <w:spacing w:after="240"/>
        <w:rPr>
          <w:lang w:val="en-AU"/>
        </w:rPr>
      </w:pPr>
      <w:r w:rsidRPr="00C4413D">
        <w:rPr>
          <w:lang w:val="en-AU"/>
        </w:rPr>
        <w:t>The evaluation followed the approach outlined in the evaluation plan</w:t>
      </w:r>
      <w:r w:rsidR="009336EB">
        <w:rPr>
          <w:lang w:val="en-AU"/>
        </w:rPr>
        <w:t xml:space="preserve"> (</w:t>
      </w:r>
      <w:r w:rsidR="009336EB" w:rsidRPr="0069506B">
        <w:rPr>
          <w:u w:val="single"/>
          <w:lang w:val="en-AU"/>
        </w:rPr>
        <w:t xml:space="preserve">Annex </w:t>
      </w:r>
      <w:r w:rsidR="00B74DAE" w:rsidRPr="0069506B">
        <w:rPr>
          <w:u w:val="single"/>
          <w:lang w:val="en-AU"/>
        </w:rPr>
        <w:t>2</w:t>
      </w:r>
      <w:r w:rsidR="00B74DAE">
        <w:rPr>
          <w:lang w:val="en-AU"/>
        </w:rPr>
        <w:t>) which was submitted to the AHC on</w:t>
      </w:r>
      <w:r w:rsidR="00477153">
        <w:rPr>
          <w:lang w:val="en-AU"/>
        </w:rPr>
        <w:t xml:space="preserve"> 23</w:t>
      </w:r>
      <w:r>
        <w:rPr>
          <w:lang w:val="en-AU"/>
        </w:rPr>
        <w:t xml:space="preserve"> January 2025</w:t>
      </w:r>
      <w:r w:rsidRPr="00C4413D">
        <w:rPr>
          <w:lang w:val="en-AU"/>
        </w:rPr>
        <w:t xml:space="preserve">. </w:t>
      </w:r>
    </w:p>
    <w:p w14:paraId="00BF7548" w14:textId="77777777" w:rsidR="00826146" w:rsidRDefault="00826146" w:rsidP="00826146">
      <w:r>
        <w:t>The MTR was designed to answer a set of key questions, namely:</w:t>
      </w:r>
    </w:p>
    <w:p w14:paraId="4C02F5DD" w14:textId="77777777" w:rsidR="00826146" w:rsidRDefault="00826146" w:rsidP="00826146">
      <w:pPr>
        <w:pStyle w:val="ListParagraph"/>
        <w:numPr>
          <w:ilvl w:val="0"/>
          <w:numId w:val="63"/>
        </w:numPr>
      </w:pPr>
      <w:r>
        <w:t>To what extent is the TAPQE Program engaged in appropriate interventions and activities within the context of the Tuvaluan education sector?</w:t>
      </w:r>
    </w:p>
    <w:p w14:paraId="289F0DA8" w14:textId="77777777" w:rsidR="00826146" w:rsidRDefault="00826146" w:rsidP="00826146">
      <w:pPr>
        <w:pStyle w:val="ListParagraph"/>
        <w:numPr>
          <w:ilvl w:val="0"/>
          <w:numId w:val="63"/>
        </w:numPr>
      </w:pPr>
      <w:r>
        <w:t xml:space="preserve">To what extent is the TAPQE Program on track to achieve its three End of Program Outcomes? </w:t>
      </w:r>
    </w:p>
    <w:p w14:paraId="78DBBA53" w14:textId="77777777" w:rsidR="00826146" w:rsidRDefault="00826146" w:rsidP="00826146">
      <w:pPr>
        <w:pStyle w:val="ListParagraph"/>
        <w:numPr>
          <w:ilvl w:val="0"/>
          <w:numId w:val="63"/>
        </w:numPr>
      </w:pPr>
      <w:r>
        <w:t>To what extent is the TAPQE Program using resources efficiently to achieve its End of Program Outcomes?</w:t>
      </w:r>
    </w:p>
    <w:p w14:paraId="2087E942" w14:textId="77777777" w:rsidR="00826146" w:rsidRDefault="00826146" w:rsidP="00826146">
      <w:pPr>
        <w:pStyle w:val="ListParagraph"/>
        <w:numPr>
          <w:ilvl w:val="0"/>
          <w:numId w:val="63"/>
        </w:numPr>
      </w:pPr>
      <w:r>
        <w:t>To what extent are the TAPQE Program’s GEDSI and Climate Change ambitions, approaches and achievements adequate against program logic and design, and current DFAT policies?</w:t>
      </w:r>
    </w:p>
    <w:p w14:paraId="190C3A0F" w14:textId="77777777" w:rsidR="00826146" w:rsidRDefault="00826146" w:rsidP="00826146">
      <w:pPr>
        <w:pStyle w:val="ListParagraph"/>
        <w:numPr>
          <w:ilvl w:val="0"/>
          <w:numId w:val="63"/>
        </w:numPr>
      </w:pPr>
      <w:r>
        <w:t xml:space="preserve">To what extent are the MEL arrangements fit for purpose? </w:t>
      </w:r>
    </w:p>
    <w:p w14:paraId="7C76AAA6" w14:textId="56A3294D" w:rsidR="00706DDC" w:rsidRDefault="00706DDC" w:rsidP="00706DDC">
      <w:pPr>
        <w:rPr>
          <w:lang w:val="en-AU"/>
        </w:rPr>
      </w:pPr>
      <w:r w:rsidRPr="00706DDC">
        <w:rPr>
          <w:lang w:val="en-AU"/>
        </w:rPr>
        <w:t>The main sources of data for the review w</w:t>
      </w:r>
      <w:r>
        <w:rPr>
          <w:lang w:val="en-AU"/>
        </w:rPr>
        <w:t xml:space="preserve">ere </w:t>
      </w:r>
      <w:r w:rsidRPr="00706DDC">
        <w:rPr>
          <w:lang w:val="en-AU"/>
        </w:rPr>
        <w:t xml:space="preserve">documents and interviews with key stakeholders. </w:t>
      </w:r>
      <w:r w:rsidR="00DC06E9" w:rsidRPr="00C4413D">
        <w:rPr>
          <w:lang w:val="en-AU"/>
        </w:rPr>
        <w:t xml:space="preserve">For a full list of the documents reviewed see </w:t>
      </w:r>
      <w:r w:rsidR="00DC06E9" w:rsidRPr="0069506B">
        <w:rPr>
          <w:u w:val="single"/>
          <w:lang w:val="en-AU"/>
        </w:rPr>
        <w:t>Annex 3</w:t>
      </w:r>
      <w:r w:rsidR="00DC06E9" w:rsidRPr="00C4413D">
        <w:rPr>
          <w:lang w:val="en-AU"/>
        </w:rPr>
        <w:t xml:space="preserve">, and for a full list of people interviewed see </w:t>
      </w:r>
      <w:r w:rsidR="00DC06E9" w:rsidRPr="0069506B">
        <w:rPr>
          <w:u w:val="single"/>
          <w:lang w:val="en-AU"/>
        </w:rPr>
        <w:t>Annex 4</w:t>
      </w:r>
      <w:r w:rsidR="00DC06E9" w:rsidRPr="00C4413D">
        <w:rPr>
          <w:lang w:val="en-AU"/>
        </w:rPr>
        <w:t>.</w:t>
      </w:r>
    </w:p>
    <w:p w14:paraId="541A4219" w14:textId="3FF298D2" w:rsidR="00504322" w:rsidRDefault="00706DDC" w:rsidP="00DF5451">
      <w:pPr>
        <w:spacing w:after="240"/>
        <w:rPr>
          <w:lang w:val="en-AU"/>
        </w:rPr>
      </w:pPr>
      <w:r w:rsidRPr="00706DDC">
        <w:rPr>
          <w:lang w:val="en-AU"/>
        </w:rPr>
        <w:lastRenderedPageBreak/>
        <w:t xml:space="preserve">A set of documents was initially provided by the AHC. </w:t>
      </w:r>
      <w:r w:rsidR="00504322" w:rsidRPr="00706DDC">
        <w:rPr>
          <w:lang w:val="en-AU"/>
        </w:rPr>
        <w:t xml:space="preserve">Key observations and questions arising from </w:t>
      </w:r>
      <w:r w:rsidR="00504322">
        <w:rPr>
          <w:lang w:val="en-AU"/>
        </w:rPr>
        <w:t xml:space="preserve">the initial </w:t>
      </w:r>
      <w:r w:rsidR="00504322" w:rsidRPr="00706DDC">
        <w:rPr>
          <w:lang w:val="en-AU"/>
        </w:rPr>
        <w:t>document review</w:t>
      </w:r>
      <w:r w:rsidR="00504322">
        <w:rPr>
          <w:lang w:val="en-AU"/>
        </w:rPr>
        <w:t xml:space="preserve"> were </w:t>
      </w:r>
      <w:r w:rsidR="00504322" w:rsidRPr="00706DDC">
        <w:rPr>
          <w:lang w:val="en-AU"/>
        </w:rPr>
        <w:t xml:space="preserve">recorded </w:t>
      </w:r>
      <w:r w:rsidR="00826146">
        <w:rPr>
          <w:lang w:val="en-AU"/>
        </w:rPr>
        <w:t xml:space="preserve">against </w:t>
      </w:r>
      <w:r w:rsidR="004621B4">
        <w:rPr>
          <w:lang w:val="en-AU"/>
        </w:rPr>
        <w:t>the</w:t>
      </w:r>
      <w:r w:rsidR="00504322" w:rsidRPr="00706DDC">
        <w:rPr>
          <w:lang w:val="en-AU"/>
        </w:rPr>
        <w:t xml:space="preserve"> key questions</w:t>
      </w:r>
      <w:r w:rsidR="00504322">
        <w:rPr>
          <w:lang w:val="en-AU"/>
        </w:rPr>
        <w:t>.</w:t>
      </w:r>
      <w:r w:rsidR="00504322" w:rsidRPr="00706DDC">
        <w:rPr>
          <w:lang w:val="en-AU"/>
        </w:rPr>
        <w:t xml:space="preserve"> </w:t>
      </w:r>
      <w:r w:rsidRPr="00706DDC">
        <w:rPr>
          <w:lang w:val="en-AU"/>
        </w:rPr>
        <w:t>Findings from th</w:t>
      </w:r>
      <w:r w:rsidR="00D54CE4">
        <w:rPr>
          <w:lang w:val="en-AU"/>
        </w:rPr>
        <w:t>is initial</w:t>
      </w:r>
      <w:r w:rsidRPr="00706DDC">
        <w:rPr>
          <w:lang w:val="en-AU"/>
        </w:rPr>
        <w:t xml:space="preserve"> </w:t>
      </w:r>
      <w:r w:rsidR="009D1BAC">
        <w:rPr>
          <w:lang w:val="en-AU"/>
        </w:rPr>
        <w:t xml:space="preserve">document </w:t>
      </w:r>
      <w:r w:rsidRPr="00706DDC">
        <w:rPr>
          <w:lang w:val="en-AU"/>
        </w:rPr>
        <w:t xml:space="preserve">review </w:t>
      </w:r>
      <w:r w:rsidR="00504322">
        <w:rPr>
          <w:lang w:val="en-AU"/>
        </w:rPr>
        <w:t>w</w:t>
      </w:r>
      <w:r w:rsidR="004621B4">
        <w:rPr>
          <w:lang w:val="en-AU"/>
        </w:rPr>
        <w:t xml:space="preserve">ere </w:t>
      </w:r>
      <w:r w:rsidRPr="00706DDC">
        <w:rPr>
          <w:lang w:val="en-AU"/>
        </w:rPr>
        <w:t>provided to the AHC</w:t>
      </w:r>
      <w:r w:rsidR="009D1BAC">
        <w:rPr>
          <w:lang w:val="en-AU"/>
        </w:rPr>
        <w:t xml:space="preserve"> </w:t>
      </w:r>
      <w:r w:rsidR="00027CE9">
        <w:rPr>
          <w:lang w:val="en-AU"/>
        </w:rPr>
        <w:t xml:space="preserve">and were used to </w:t>
      </w:r>
      <w:r w:rsidR="009D1BAC">
        <w:rPr>
          <w:lang w:val="en-AU"/>
        </w:rPr>
        <w:t xml:space="preserve">identify </w:t>
      </w:r>
      <w:r w:rsidR="00305F60">
        <w:rPr>
          <w:lang w:val="en-AU"/>
        </w:rPr>
        <w:t xml:space="preserve">further documents to address the review’s key questions and to target in-country </w:t>
      </w:r>
      <w:r w:rsidR="00437D71">
        <w:rPr>
          <w:lang w:val="en-AU"/>
        </w:rPr>
        <w:t>interviews.</w:t>
      </w:r>
    </w:p>
    <w:p w14:paraId="3EB9B921" w14:textId="0552136F" w:rsidR="00706DDC" w:rsidRDefault="00FD423E" w:rsidP="00DF5451">
      <w:pPr>
        <w:spacing w:after="240"/>
        <w:rPr>
          <w:lang w:val="en-AU"/>
        </w:rPr>
      </w:pPr>
      <w:r>
        <w:rPr>
          <w:lang w:val="en-AU"/>
        </w:rPr>
        <w:t>Twenty i</w:t>
      </w:r>
      <w:r w:rsidR="00706DDC" w:rsidRPr="00706DDC">
        <w:rPr>
          <w:lang w:val="en-AU"/>
        </w:rPr>
        <w:t xml:space="preserve">nterviews </w:t>
      </w:r>
      <w:r w:rsidR="00504322">
        <w:rPr>
          <w:lang w:val="en-AU"/>
        </w:rPr>
        <w:t>were</w:t>
      </w:r>
      <w:r w:rsidR="00706DDC" w:rsidRPr="00706DDC">
        <w:rPr>
          <w:lang w:val="en-AU"/>
        </w:rPr>
        <w:t xml:space="preserve"> conducted with </w:t>
      </w:r>
      <w:r w:rsidR="007262C2">
        <w:rPr>
          <w:lang w:val="en-AU"/>
        </w:rPr>
        <w:t xml:space="preserve">a wide range of </w:t>
      </w:r>
      <w:r w:rsidR="00706DDC" w:rsidRPr="00706DDC">
        <w:rPr>
          <w:lang w:val="en-AU"/>
        </w:rPr>
        <w:t xml:space="preserve">stakeholders in-country and </w:t>
      </w:r>
      <w:r w:rsidR="007262C2">
        <w:rPr>
          <w:lang w:val="en-AU"/>
        </w:rPr>
        <w:t xml:space="preserve">in some cases </w:t>
      </w:r>
      <w:r w:rsidR="00706DDC" w:rsidRPr="00706DDC">
        <w:rPr>
          <w:lang w:val="en-AU"/>
        </w:rPr>
        <w:t xml:space="preserve">remotely (as required). Interview questions </w:t>
      </w:r>
      <w:r w:rsidR="00504322">
        <w:rPr>
          <w:lang w:val="en-AU"/>
        </w:rPr>
        <w:t xml:space="preserve">were </w:t>
      </w:r>
      <w:r w:rsidR="00706DDC" w:rsidRPr="00706DDC">
        <w:rPr>
          <w:lang w:val="en-AU"/>
        </w:rPr>
        <w:t xml:space="preserve">based on the </w:t>
      </w:r>
      <w:r w:rsidR="00481C9E">
        <w:rPr>
          <w:lang w:val="en-AU"/>
        </w:rPr>
        <w:t>R</w:t>
      </w:r>
      <w:r w:rsidR="00706DDC" w:rsidRPr="00706DDC">
        <w:rPr>
          <w:lang w:val="en-AU"/>
        </w:rPr>
        <w:t xml:space="preserve">eview key questions and </w:t>
      </w:r>
      <w:r w:rsidR="00FA416F" w:rsidRPr="00706DDC">
        <w:rPr>
          <w:lang w:val="en-AU"/>
        </w:rPr>
        <w:t>sub</w:t>
      </w:r>
      <w:r w:rsidR="00FA416F">
        <w:rPr>
          <w:lang w:val="en-AU"/>
        </w:rPr>
        <w:t>-</w:t>
      </w:r>
      <w:r w:rsidR="00706DDC" w:rsidRPr="00706DDC">
        <w:rPr>
          <w:lang w:val="en-AU"/>
        </w:rPr>
        <w:t>questions, providing some structure while also allowing for flexibility in the interview process to benefit from interviewees</w:t>
      </w:r>
      <w:r w:rsidR="00EF5345">
        <w:rPr>
          <w:lang w:val="en-AU"/>
        </w:rPr>
        <w:t>’</w:t>
      </w:r>
      <w:r w:rsidR="00706DDC" w:rsidRPr="00706DDC">
        <w:rPr>
          <w:lang w:val="en-AU"/>
        </w:rPr>
        <w:t xml:space="preserve"> expertise and engagement with the </w:t>
      </w:r>
      <w:r w:rsidR="00481C9E">
        <w:rPr>
          <w:lang w:val="en-AU"/>
        </w:rPr>
        <w:t>P</w:t>
      </w:r>
      <w:r w:rsidR="00706DDC" w:rsidRPr="00706DDC">
        <w:rPr>
          <w:lang w:val="en-AU"/>
        </w:rPr>
        <w:t xml:space="preserve">rogram. Where possible and appropriate interviews </w:t>
      </w:r>
      <w:r w:rsidR="00F84A21">
        <w:rPr>
          <w:lang w:val="en-AU"/>
        </w:rPr>
        <w:t>were</w:t>
      </w:r>
      <w:r w:rsidR="00706DDC" w:rsidRPr="00706DDC">
        <w:rPr>
          <w:lang w:val="en-AU"/>
        </w:rPr>
        <w:t xml:space="preserve"> recorded. </w:t>
      </w:r>
    </w:p>
    <w:p w14:paraId="3E9A873D" w14:textId="56B6E99E" w:rsidR="00192714" w:rsidRDefault="00192714" w:rsidP="00DF5451">
      <w:pPr>
        <w:spacing w:after="240"/>
        <w:rPr>
          <w:lang w:val="en-AU"/>
        </w:rPr>
      </w:pPr>
      <w:r>
        <w:rPr>
          <w:spacing w:val="2"/>
        </w:rPr>
        <w:t>During the Review the TAPQE Program team worked to respond to questions raised by the MTR team</w:t>
      </w:r>
      <w:r w:rsidR="007343B1">
        <w:rPr>
          <w:spacing w:val="2"/>
        </w:rPr>
        <w:t xml:space="preserve"> and to </w:t>
      </w:r>
      <w:r>
        <w:rPr>
          <w:spacing w:val="2"/>
        </w:rPr>
        <w:t>address gaps observed by the MTR team</w:t>
      </w:r>
      <w:r w:rsidR="007343B1">
        <w:rPr>
          <w:spacing w:val="2"/>
        </w:rPr>
        <w:t xml:space="preserve">, reflecting a capacity </w:t>
      </w:r>
      <w:r w:rsidR="004726E4">
        <w:rPr>
          <w:spacing w:val="2"/>
        </w:rPr>
        <w:t xml:space="preserve">for a </w:t>
      </w:r>
      <w:r w:rsidRPr="00192714">
        <w:rPr>
          <w:lang w:val="en-AU"/>
        </w:rPr>
        <w:t xml:space="preserve">‘real-time adaptive’ approach </w:t>
      </w:r>
      <w:r w:rsidR="00257427">
        <w:rPr>
          <w:lang w:val="en-AU"/>
        </w:rPr>
        <w:t xml:space="preserve">necessitated by the </w:t>
      </w:r>
      <w:r w:rsidRPr="00192714">
        <w:rPr>
          <w:lang w:val="en-AU"/>
        </w:rPr>
        <w:t xml:space="preserve">tight timeframe </w:t>
      </w:r>
      <w:r w:rsidR="002D048A">
        <w:rPr>
          <w:lang w:val="en-AU"/>
        </w:rPr>
        <w:t xml:space="preserve">set for the MTR </w:t>
      </w:r>
      <w:r w:rsidRPr="00192714">
        <w:rPr>
          <w:lang w:val="en-AU"/>
        </w:rPr>
        <w:t xml:space="preserve">to support the TESP IV finalisation. </w:t>
      </w:r>
    </w:p>
    <w:p w14:paraId="75FFEC12" w14:textId="136B954A" w:rsidR="00706DDC" w:rsidRDefault="00706DDC" w:rsidP="00DF5451">
      <w:pPr>
        <w:spacing w:after="240"/>
        <w:rPr>
          <w:lang w:val="en-AU"/>
        </w:rPr>
      </w:pPr>
      <w:r w:rsidRPr="00706DDC">
        <w:rPr>
          <w:lang w:val="en-AU"/>
        </w:rPr>
        <w:t xml:space="preserve">Where available quantitative and qualitative data </w:t>
      </w:r>
      <w:r w:rsidR="00B64F68">
        <w:rPr>
          <w:lang w:val="en-AU"/>
        </w:rPr>
        <w:t xml:space="preserve">has been </w:t>
      </w:r>
      <w:r w:rsidRPr="00706DDC">
        <w:rPr>
          <w:lang w:val="en-AU"/>
        </w:rPr>
        <w:t>used to inform the review process and findings against key questions. No new quantitative data</w:t>
      </w:r>
      <w:r w:rsidR="00B64F68">
        <w:rPr>
          <w:lang w:val="en-AU"/>
        </w:rPr>
        <w:t xml:space="preserve"> was </w:t>
      </w:r>
      <w:r w:rsidRPr="00706DDC">
        <w:rPr>
          <w:lang w:val="en-AU"/>
        </w:rPr>
        <w:t>sought or gathered.</w:t>
      </w:r>
    </w:p>
    <w:p w14:paraId="4D06AD0E" w14:textId="77777777" w:rsidR="00542B9A" w:rsidRPr="004C117E" w:rsidRDefault="00542B9A" w:rsidP="00542B9A">
      <w:pPr>
        <w:pStyle w:val="Heading2"/>
      </w:pPr>
      <w:bookmarkStart w:id="7" w:name="_Toc193023258"/>
      <w:bookmarkStart w:id="8" w:name="_Toc209431946"/>
      <w:r w:rsidRPr="004C117E">
        <w:t>Limitations</w:t>
      </w:r>
      <w:bookmarkEnd w:id="7"/>
      <w:bookmarkEnd w:id="8"/>
    </w:p>
    <w:p w14:paraId="1429CAF4" w14:textId="793C718C" w:rsidR="00542B9A" w:rsidRDefault="00542B9A" w:rsidP="00542B9A">
      <w:pPr>
        <w:rPr>
          <w:lang w:val="en-AU"/>
        </w:rPr>
      </w:pPr>
      <w:r>
        <w:rPr>
          <w:lang w:val="en-AU"/>
        </w:rPr>
        <w:t>There were some limitations to the nature of the Mid-Term Review process. These included:</w:t>
      </w:r>
    </w:p>
    <w:p w14:paraId="225BB674" w14:textId="616FBA5D" w:rsidR="00542B9A" w:rsidRDefault="00542B9A" w:rsidP="00542B9A">
      <w:pPr>
        <w:pStyle w:val="ListParagraph"/>
        <w:numPr>
          <w:ilvl w:val="0"/>
          <w:numId w:val="76"/>
        </w:numPr>
        <w:rPr>
          <w:lang w:val="en-AU"/>
        </w:rPr>
      </w:pPr>
      <w:r>
        <w:rPr>
          <w:lang w:val="en-AU"/>
        </w:rPr>
        <w:t>The MTR team only visited Funafuti with no visit to outer islands</w:t>
      </w:r>
      <w:r w:rsidR="002B5AD4">
        <w:rPr>
          <w:lang w:val="en-AU"/>
        </w:rPr>
        <w:t>.</w:t>
      </w:r>
    </w:p>
    <w:p w14:paraId="33734261" w14:textId="64524430" w:rsidR="00542B9A" w:rsidRDefault="00542B9A" w:rsidP="00542B9A">
      <w:pPr>
        <w:pStyle w:val="ListParagraph"/>
        <w:numPr>
          <w:ilvl w:val="0"/>
          <w:numId w:val="76"/>
        </w:numPr>
        <w:rPr>
          <w:lang w:val="en-AU"/>
        </w:rPr>
      </w:pPr>
      <w:r>
        <w:rPr>
          <w:lang w:val="en-AU"/>
        </w:rPr>
        <w:t>M</w:t>
      </w:r>
      <w:r w:rsidRPr="00A36FE3">
        <w:rPr>
          <w:lang w:val="en-AU"/>
        </w:rPr>
        <w:t>ost of the TAPQE exec</w:t>
      </w:r>
      <w:r>
        <w:rPr>
          <w:lang w:val="en-AU"/>
        </w:rPr>
        <w:t xml:space="preserve">utive </w:t>
      </w:r>
      <w:r w:rsidRPr="00A36FE3">
        <w:rPr>
          <w:lang w:val="en-AU"/>
        </w:rPr>
        <w:t xml:space="preserve">team </w:t>
      </w:r>
      <w:r>
        <w:rPr>
          <w:lang w:val="en-AU"/>
        </w:rPr>
        <w:t xml:space="preserve">were not in </w:t>
      </w:r>
      <w:r w:rsidRPr="00A36FE3">
        <w:rPr>
          <w:lang w:val="en-AU"/>
        </w:rPr>
        <w:t>country</w:t>
      </w:r>
      <w:r w:rsidR="00FA05F8">
        <w:rPr>
          <w:lang w:val="en-AU"/>
        </w:rPr>
        <w:t xml:space="preserve"> </w:t>
      </w:r>
      <w:r w:rsidR="004E7476">
        <w:rPr>
          <w:lang w:val="en-AU"/>
        </w:rPr>
        <w:t>at the ti</w:t>
      </w:r>
      <w:r w:rsidR="008A25B1">
        <w:rPr>
          <w:lang w:val="en-AU"/>
        </w:rPr>
        <w:t xml:space="preserve">me of the </w:t>
      </w:r>
      <w:r w:rsidR="00B665BD">
        <w:rPr>
          <w:lang w:val="en-AU"/>
        </w:rPr>
        <w:t xml:space="preserve">MTR </w:t>
      </w:r>
      <w:r w:rsidR="00437D71">
        <w:rPr>
          <w:lang w:val="en-AU"/>
        </w:rPr>
        <w:t>visit.</w:t>
      </w:r>
    </w:p>
    <w:p w14:paraId="67C64C97" w14:textId="54C4FA3C" w:rsidR="00542B9A" w:rsidRDefault="00542B9A" w:rsidP="00542B9A">
      <w:pPr>
        <w:pStyle w:val="ListParagraph"/>
        <w:numPr>
          <w:ilvl w:val="0"/>
          <w:numId w:val="76"/>
        </w:numPr>
        <w:rPr>
          <w:lang w:val="en-AU"/>
        </w:rPr>
      </w:pPr>
      <w:r>
        <w:rPr>
          <w:lang w:val="en-AU"/>
        </w:rPr>
        <w:t xml:space="preserve">Most TAPQE Technical Advisers were not </w:t>
      </w:r>
      <w:r w:rsidRPr="00A36FE3">
        <w:rPr>
          <w:lang w:val="en-AU"/>
        </w:rPr>
        <w:t>in country</w:t>
      </w:r>
      <w:r w:rsidR="00B9725E">
        <w:rPr>
          <w:lang w:val="en-AU"/>
        </w:rPr>
        <w:t xml:space="preserve"> and the </w:t>
      </w:r>
      <w:r w:rsidR="00050754">
        <w:rPr>
          <w:lang w:val="en-AU"/>
        </w:rPr>
        <w:t xml:space="preserve">MERL Adviser was not available due to a health issue. </w:t>
      </w:r>
    </w:p>
    <w:p w14:paraId="3D753664" w14:textId="286E9DF5" w:rsidR="00542B9A" w:rsidRDefault="00542B9A" w:rsidP="00542B9A">
      <w:pPr>
        <w:pStyle w:val="ListParagraph"/>
        <w:numPr>
          <w:ilvl w:val="0"/>
          <w:numId w:val="76"/>
        </w:numPr>
        <w:rPr>
          <w:lang w:val="en-AU"/>
        </w:rPr>
      </w:pPr>
      <w:r>
        <w:rPr>
          <w:lang w:val="en-AU"/>
        </w:rPr>
        <w:t>Just prior to the MTR visit a decision was taken by Ministry officials to visit outer islands, meaning that some key, planned interviews had to be conducted virtually</w:t>
      </w:r>
      <w:r w:rsidR="002B5AD4">
        <w:rPr>
          <w:lang w:val="en-AU"/>
        </w:rPr>
        <w:t>.</w:t>
      </w:r>
    </w:p>
    <w:p w14:paraId="025B54CD" w14:textId="77777777" w:rsidR="008E617E" w:rsidRDefault="00542B9A" w:rsidP="002B5AD4">
      <w:pPr>
        <w:pStyle w:val="ListParagraph"/>
        <w:numPr>
          <w:ilvl w:val="0"/>
          <w:numId w:val="76"/>
        </w:numPr>
        <w:rPr>
          <w:lang w:val="en-AU"/>
        </w:rPr>
      </w:pPr>
      <w:r w:rsidRPr="00C177CD">
        <w:rPr>
          <w:lang w:val="en-AU"/>
        </w:rPr>
        <w:t>Poor bandwidth did impact some of the interviews that were not able to be conducted in</w:t>
      </w:r>
      <w:r w:rsidR="00BA2233">
        <w:rPr>
          <w:lang w:val="en-AU"/>
        </w:rPr>
        <w:t xml:space="preserve"> </w:t>
      </w:r>
      <w:r w:rsidRPr="00C177CD">
        <w:rPr>
          <w:lang w:val="en-AU"/>
        </w:rPr>
        <w:t>person</w:t>
      </w:r>
      <w:r w:rsidR="008E617E">
        <w:rPr>
          <w:lang w:val="en-AU"/>
        </w:rPr>
        <w:t>.</w:t>
      </w:r>
    </w:p>
    <w:p w14:paraId="278548E1" w14:textId="06E74E22" w:rsidR="006B090D" w:rsidRDefault="00BF3CDE" w:rsidP="00DF5451">
      <w:pPr>
        <w:spacing w:after="240"/>
        <w:rPr>
          <w:lang w:val="en-AU"/>
        </w:rPr>
      </w:pPr>
      <w:r>
        <w:rPr>
          <w:lang w:val="en-AU"/>
        </w:rPr>
        <w:t xml:space="preserve">Some of these limitations </w:t>
      </w:r>
      <w:r w:rsidR="00542B9A" w:rsidRPr="008E617E">
        <w:rPr>
          <w:lang w:val="en-AU"/>
        </w:rPr>
        <w:t>highlight</w:t>
      </w:r>
      <w:r w:rsidR="002B38BC">
        <w:rPr>
          <w:lang w:val="en-AU"/>
        </w:rPr>
        <w:t xml:space="preserve">ed </w:t>
      </w:r>
      <w:r w:rsidR="00542B9A" w:rsidRPr="008E617E">
        <w:rPr>
          <w:lang w:val="en-AU"/>
        </w:rPr>
        <w:t>some of the challenges that TAPQE and other</w:t>
      </w:r>
      <w:r w:rsidR="00BA2233" w:rsidRPr="008E617E">
        <w:rPr>
          <w:lang w:val="en-AU"/>
        </w:rPr>
        <w:t>s</w:t>
      </w:r>
      <w:r w:rsidR="00542B9A" w:rsidRPr="008E617E">
        <w:rPr>
          <w:lang w:val="en-AU"/>
        </w:rPr>
        <w:t xml:space="preserve"> currently face in </w:t>
      </w:r>
      <w:r w:rsidR="00F63BD7" w:rsidRPr="008E617E">
        <w:rPr>
          <w:lang w:val="en-AU"/>
        </w:rPr>
        <w:t>Tuvalu,</w:t>
      </w:r>
      <w:r w:rsidR="00753589">
        <w:rPr>
          <w:lang w:val="en-AU"/>
        </w:rPr>
        <w:t xml:space="preserve"> and </w:t>
      </w:r>
      <w:r w:rsidR="002B38BC">
        <w:rPr>
          <w:lang w:val="en-AU"/>
        </w:rPr>
        <w:t>s</w:t>
      </w:r>
      <w:r w:rsidR="00543DF7">
        <w:rPr>
          <w:lang w:val="en-AU"/>
        </w:rPr>
        <w:t xml:space="preserve">ome were exacerbated by </w:t>
      </w:r>
      <w:r w:rsidR="00746B92">
        <w:rPr>
          <w:lang w:val="en-AU"/>
        </w:rPr>
        <w:t xml:space="preserve">the </w:t>
      </w:r>
      <w:r w:rsidR="002B5AD4" w:rsidRPr="002B5AD4">
        <w:rPr>
          <w:lang w:val="en-AU"/>
        </w:rPr>
        <w:t>tight timeframe</w:t>
      </w:r>
      <w:r w:rsidR="006B090D">
        <w:rPr>
          <w:lang w:val="en-AU"/>
        </w:rPr>
        <w:t xml:space="preserve"> within which the MTR</w:t>
      </w:r>
      <w:r w:rsidR="006B090D" w:rsidRPr="006B090D">
        <w:rPr>
          <w:lang w:val="en-AU"/>
        </w:rPr>
        <w:t xml:space="preserve"> </w:t>
      </w:r>
      <w:r w:rsidR="006B090D" w:rsidRPr="002B5AD4">
        <w:rPr>
          <w:lang w:val="en-AU"/>
        </w:rPr>
        <w:t>was initiated and undertaken</w:t>
      </w:r>
      <w:r w:rsidR="006B090D">
        <w:rPr>
          <w:lang w:val="en-AU"/>
        </w:rPr>
        <w:t>.</w:t>
      </w:r>
    </w:p>
    <w:p w14:paraId="0711C1AA" w14:textId="29FBD80F" w:rsidR="002B5AD4" w:rsidRPr="002B5AD4" w:rsidRDefault="00DB72F7" w:rsidP="00DF5451">
      <w:pPr>
        <w:spacing w:after="240"/>
        <w:rPr>
          <w:lang w:val="en-AU"/>
        </w:rPr>
      </w:pPr>
      <w:r>
        <w:rPr>
          <w:lang w:val="en-AU"/>
        </w:rPr>
        <w:t>While t</w:t>
      </w:r>
      <w:r w:rsidR="00E83908">
        <w:rPr>
          <w:lang w:val="en-AU"/>
        </w:rPr>
        <w:t xml:space="preserve">he limitations did </w:t>
      </w:r>
      <w:r w:rsidR="002B38BC">
        <w:rPr>
          <w:lang w:val="en-AU"/>
        </w:rPr>
        <w:t xml:space="preserve">constrain </w:t>
      </w:r>
      <w:r w:rsidR="00E83908">
        <w:rPr>
          <w:lang w:val="en-AU"/>
        </w:rPr>
        <w:t xml:space="preserve">the nature of discussion with some personnel, including the ability to </w:t>
      </w:r>
      <w:r w:rsidR="001A2111">
        <w:rPr>
          <w:lang w:val="en-AU"/>
        </w:rPr>
        <w:t xml:space="preserve">continue discussion or follow up on </w:t>
      </w:r>
      <w:r w:rsidR="00E57BB1">
        <w:rPr>
          <w:lang w:val="en-AU"/>
        </w:rPr>
        <w:t>matters</w:t>
      </w:r>
      <w:r w:rsidR="00016439">
        <w:rPr>
          <w:lang w:val="en-AU"/>
        </w:rPr>
        <w:t xml:space="preserve"> with individuals</w:t>
      </w:r>
      <w:r>
        <w:rPr>
          <w:lang w:val="en-AU"/>
        </w:rPr>
        <w:t xml:space="preserve">, the review process </w:t>
      </w:r>
      <w:r w:rsidR="00C435A4">
        <w:rPr>
          <w:lang w:val="en-AU"/>
        </w:rPr>
        <w:t xml:space="preserve">did provide opportunities </w:t>
      </w:r>
      <w:r w:rsidR="00F5612A">
        <w:rPr>
          <w:lang w:val="en-AU"/>
        </w:rPr>
        <w:t xml:space="preserve">for TAPQE to respond to </w:t>
      </w:r>
      <w:r w:rsidR="00C435A4">
        <w:rPr>
          <w:lang w:val="en-AU"/>
        </w:rPr>
        <w:t xml:space="preserve">questions and </w:t>
      </w:r>
      <w:r w:rsidR="00F5612A">
        <w:rPr>
          <w:lang w:val="en-AU"/>
        </w:rPr>
        <w:t xml:space="preserve">to provide </w:t>
      </w:r>
      <w:r w:rsidR="00016439">
        <w:rPr>
          <w:lang w:val="en-AU"/>
        </w:rPr>
        <w:t>additional information</w:t>
      </w:r>
      <w:r w:rsidR="00C6079A">
        <w:rPr>
          <w:lang w:val="en-AU"/>
        </w:rPr>
        <w:t xml:space="preserve">. </w:t>
      </w:r>
    </w:p>
    <w:p w14:paraId="21BA6F7C" w14:textId="2DBDD154" w:rsidR="00CC4583" w:rsidRDefault="00904917" w:rsidP="00B4774E">
      <w:pPr>
        <w:pStyle w:val="Heading1"/>
        <w:pageBreakBefore/>
      </w:pPr>
      <w:bookmarkStart w:id="9" w:name="_Toc209431947"/>
      <w:r>
        <w:lastRenderedPageBreak/>
        <w:t>Findings</w:t>
      </w:r>
      <w:bookmarkEnd w:id="9"/>
      <w:r>
        <w:t xml:space="preserve"> </w:t>
      </w:r>
    </w:p>
    <w:p w14:paraId="26A95D12" w14:textId="74D35B37" w:rsidR="001842B0" w:rsidRDefault="00693826" w:rsidP="001842B0">
      <w:r>
        <w:t>This section of the re</w:t>
      </w:r>
      <w:r w:rsidR="00C05038">
        <w:t xml:space="preserve">port provides a response to </w:t>
      </w:r>
      <w:r w:rsidR="00DF1855">
        <w:t>each evaluation question posed in the Terms of Reference.</w:t>
      </w:r>
    </w:p>
    <w:p w14:paraId="527059A6" w14:textId="755DB302" w:rsidR="00CC4583" w:rsidRDefault="00CC4583" w:rsidP="001842B0">
      <w:pPr>
        <w:pStyle w:val="Heading2"/>
        <w:keepNext w:val="0"/>
      </w:pPr>
      <w:bookmarkStart w:id="10" w:name="_Toc209431948"/>
      <w:r>
        <w:t>Relevance</w:t>
      </w:r>
      <w:bookmarkEnd w:id="10"/>
    </w:p>
    <w:p w14:paraId="4C342D68" w14:textId="325C83FF" w:rsidR="00072184" w:rsidRPr="0069506B" w:rsidRDefault="00072184" w:rsidP="00005956">
      <w:pPr>
        <w:pStyle w:val="Subtitle"/>
        <w:numPr>
          <w:ilvl w:val="0"/>
          <w:numId w:val="6"/>
        </w:numPr>
        <w:rPr>
          <w:rStyle w:val="SubtleEmphasis"/>
        </w:rPr>
      </w:pPr>
      <w:r w:rsidRPr="0069506B">
        <w:rPr>
          <w:rStyle w:val="SubtleEmphasis"/>
        </w:rPr>
        <w:t>To what extent is the TAPQE Program engaged in appropriate interventions and activities within the context of the Tuvaluan education sector?</w:t>
      </w:r>
    </w:p>
    <w:p w14:paraId="33C55FC0" w14:textId="3B6CC0B0" w:rsidR="00D37839" w:rsidRPr="0039652F" w:rsidRDefault="00D37839" w:rsidP="00DF5451">
      <w:pPr>
        <w:spacing w:after="240"/>
        <w:rPr>
          <w:b/>
          <w:bCs/>
        </w:rPr>
      </w:pPr>
      <w:r w:rsidRPr="0039652F">
        <w:rPr>
          <w:b/>
          <w:bCs/>
        </w:rPr>
        <w:t xml:space="preserve">Summary response to the </w:t>
      </w:r>
      <w:r>
        <w:rPr>
          <w:b/>
          <w:bCs/>
        </w:rPr>
        <w:t xml:space="preserve">‘relevance’ </w:t>
      </w:r>
      <w:r w:rsidRPr="0039652F">
        <w:rPr>
          <w:b/>
          <w:bCs/>
        </w:rPr>
        <w:t>review question</w:t>
      </w:r>
      <w:r>
        <w:rPr>
          <w:b/>
          <w:bCs/>
        </w:rPr>
        <w:t xml:space="preserve"> </w:t>
      </w:r>
    </w:p>
    <w:p w14:paraId="35F712DB" w14:textId="77777777" w:rsidR="00D37839" w:rsidRDefault="00D37839" w:rsidP="00DF5451">
      <w:pPr>
        <w:spacing w:after="240"/>
      </w:pPr>
      <w:r>
        <w:t xml:space="preserve">Based on the documents provided to the Review, discussion with the TAPQE team and, most significantly, discussion with a range of stakeholders in Tuvalu (see Annex 4) the </w:t>
      </w:r>
      <w:r w:rsidRPr="004E2AAC">
        <w:rPr>
          <w:b/>
          <w:bCs/>
        </w:rPr>
        <w:t>TAPQE Program is engaged in appropriate interventions and activities</w:t>
      </w:r>
      <w:r>
        <w:t xml:space="preserve"> designed to improve education opportunities for Tuvaluan students.</w:t>
      </w:r>
    </w:p>
    <w:p w14:paraId="754E5364" w14:textId="77777777" w:rsidR="00D37839" w:rsidRDefault="00D37839" w:rsidP="00DF5451">
      <w:pPr>
        <w:spacing w:after="240"/>
        <w:rPr>
          <w:lang w:val="en-AU"/>
        </w:rPr>
      </w:pPr>
      <w:r>
        <w:t xml:space="preserve">The key driver for TAPQE planning and operation is the TESP IV and MEHRD priorities as evident in the </w:t>
      </w:r>
      <w:r w:rsidRPr="00710AE3">
        <w:rPr>
          <w:i/>
          <w:iCs/>
        </w:rPr>
        <w:t>2024 TAPQE Annual Work</w:t>
      </w:r>
      <w:r>
        <w:rPr>
          <w:i/>
          <w:iCs/>
        </w:rPr>
        <w:t>plan</w:t>
      </w:r>
      <w:r>
        <w:rPr>
          <w:rStyle w:val="FootnoteReference"/>
          <w:i/>
          <w:iCs/>
        </w:rPr>
        <w:footnoteReference w:id="5"/>
      </w:r>
      <w:r>
        <w:rPr>
          <w:i/>
          <w:iCs/>
        </w:rPr>
        <w:t>.</w:t>
      </w:r>
    </w:p>
    <w:p w14:paraId="7471A1A2" w14:textId="77777777" w:rsidR="00D37839" w:rsidRDefault="00D37839" w:rsidP="00DF5451">
      <w:pPr>
        <w:spacing w:after="240"/>
        <w:rPr>
          <w:lang w:val="en-AU"/>
        </w:rPr>
      </w:pPr>
      <w:r>
        <w:rPr>
          <w:lang w:val="en-AU"/>
        </w:rPr>
        <w:t xml:space="preserve">As a result of this focus on TESP IV and MEHRD priorities the Program is designing and delivering ‘interim’ activities. The MTR team understands that a transition, from TAPQE Program activities, outcomes and reporting to MEHRD TESP IV activities and monitoring, is forthcoming as evident in a footnote to discussion, in the </w:t>
      </w:r>
      <w:r w:rsidRPr="001319EC">
        <w:rPr>
          <w:i/>
          <w:iCs/>
          <w:lang w:val="en-AU"/>
        </w:rPr>
        <w:t>TAPQE MERL Framework (Interim)</w:t>
      </w:r>
      <w:r>
        <w:rPr>
          <w:rStyle w:val="FootnoteReference"/>
          <w:lang w:val="en-AU"/>
        </w:rPr>
        <w:footnoteReference w:id="6"/>
      </w:r>
      <w:r>
        <w:rPr>
          <w:lang w:val="en-AU"/>
        </w:rPr>
        <w:t>.</w:t>
      </w:r>
    </w:p>
    <w:p w14:paraId="5854F2F4" w14:textId="6F0A4C7C" w:rsidR="007046D9" w:rsidRDefault="00D37839" w:rsidP="00DF5451">
      <w:pPr>
        <w:spacing w:after="240"/>
      </w:pPr>
      <w:r>
        <w:t xml:space="preserve">The review found that while the Program’s commitment to align activities with TESP and MEHRD priorities was designed to build MEHRD capability and has contributed to greater relevance it has resulted in some loss of Program agency, and delays in some TAPQE activities, including in Program MEL activities, due to dependencies with the Ministry. In addition to delays in activities a significant impact is that the </w:t>
      </w:r>
      <w:r w:rsidRPr="004E2AAC">
        <w:rPr>
          <w:b/>
          <w:bCs/>
        </w:rPr>
        <w:t xml:space="preserve">TAPQE Program </w:t>
      </w:r>
      <w:r>
        <w:rPr>
          <w:b/>
          <w:bCs/>
        </w:rPr>
        <w:t xml:space="preserve">has not produced a </w:t>
      </w:r>
      <w:r w:rsidRPr="004E2AAC">
        <w:rPr>
          <w:b/>
          <w:bCs/>
        </w:rPr>
        <w:t xml:space="preserve">baseline </w:t>
      </w:r>
      <w:r>
        <w:t xml:space="preserve">and, currently, there is </w:t>
      </w:r>
      <w:r w:rsidRPr="004E2AAC">
        <w:rPr>
          <w:b/>
          <w:bCs/>
        </w:rPr>
        <w:t>no reporting against TAPQE EOPOs</w:t>
      </w:r>
      <w:r>
        <w:t>. See discussion on this matter under Review Question 5 on p.24.</w:t>
      </w:r>
    </w:p>
    <w:p w14:paraId="08BED80F" w14:textId="40450A2B" w:rsidR="00072184" w:rsidRPr="001442BD" w:rsidRDefault="00072184" w:rsidP="00DF5451">
      <w:pPr>
        <w:pStyle w:val="ListParagraph"/>
        <w:numPr>
          <w:ilvl w:val="0"/>
          <w:numId w:val="7"/>
        </w:numPr>
        <w:spacing w:after="240"/>
        <w:ind w:left="426" w:hanging="426"/>
        <w:rPr>
          <w:rStyle w:val="SubtleEmphasis"/>
        </w:rPr>
      </w:pPr>
      <w:r w:rsidRPr="001442BD">
        <w:rPr>
          <w:rStyle w:val="SubtleEmphasis"/>
        </w:rPr>
        <w:t>Are the key assumptions underpinning the program logic and theory of change still relevant? Do other factors need to be considered to reflect the current Tuvalu</w:t>
      </w:r>
      <w:r w:rsidR="00CF101B">
        <w:rPr>
          <w:rStyle w:val="SubtleEmphasis"/>
        </w:rPr>
        <w:t>an</w:t>
      </w:r>
      <w:r w:rsidRPr="001442BD">
        <w:rPr>
          <w:rStyle w:val="SubtleEmphasis"/>
        </w:rPr>
        <w:t xml:space="preserve"> education context and Australia’s current International Development Policy?</w:t>
      </w:r>
    </w:p>
    <w:p w14:paraId="51C24202" w14:textId="7557FCE5" w:rsidR="006F69BC" w:rsidRDefault="00D763CC" w:rsidP="00DF5451">
      <w:pPr>
        <w:spacing w:after="240"/>
        <w:rPr>
          <w:color w:val="auto"/>
        </w:rPr>
      </w:pPr>
      <w:r w:rsidRPr="00542B9A">
        <w:rPr>
          <w:color w:val="auto"/>
        </w:rPr>
        <w:t xml:space="preserve">The assumptions </w:t>
      </w:r>
      <w:r w:rsidR="00463436">
        <w:rPr>
          <w:color w:val="auto"/>
        </w:rPr>
        <w:t xml:space="preserve">underpinning the Program logic and the </w:t>
      </w:r>
      <w:r w:rsidR="008D221A">
        <w:rPr>
          <w:color w:val="auto"/>
        </w:rPr>
        <w:t>theory of change used for the design and operation of the TAPQE Program</w:t>
      </w:r>
      <w:r w:rsidR="00550D78">
        <w:rPr>
          <w:color w:val="auto"/>
        </w:rPr>
        <w:t xml:space="preserve"> </w:t>
      </w:r>
      <w:r w:rsidR="009543A4">
        <w:rPr>
          <w:color w:val="auto"/>
        </w:rPr>
        <w:t xml:space="preserve">are consistent with what was </w:t>
      </w:r>
      <w:r w:rsidR="004C562E">
        <w:rPr>
          <w:color w:val="auto"/>
        </w:rPr>
        <w:t xml:space="preserve">found </w:t>
      </w:r>
      <w:r w:rsidR="009543A4">
        <w:rPr>
          <w:color w:val="auto"/>
        </w:rPr>
        <w:t>during the MTR</w:t>
      </w:r>
      <w:r w:rsidR="00026D48">
        <w:rPr>
          <w:color w:val="auto"/>
        </w:rPr>
        <w:t xml:space="preserve">. </w:t>
      </w:r>
      <w:r w:rsidR="008F67FF">
        <w:rPr>
          <w:color w:val="auto"/>
        </w:rPr>
        <w:t xml:space="preserve">However, </w:t>
      </w:r>
      <w:r w:rsidR="00AD3CA9">
        <w:rPr>
          <w:color w:val="auto"/>
        </w:rPr>
        <w:t>t</w:t>
      </w:r>
      <w:r w:rsidR="007D0C84">
        <w:rPr>
          <w:color w:val="auto"/>
        </w:rPr>
        <w:t xml:space="preserve">he </w:t>
      </w:r>
      <w:r w:rsidR="00165A4E">
        <w:rPr>
          <w:color w:val="auto"/>
        </w:rPr>
        <w:t>MTR team</w:t>
      </w:r>
      <w:r w:rsidR="007D0C84">
        <w:rPr>
          <w:color w:val="auto"/>
        </w:rPr>
        <w:t xml:space="preserve"> </w:t>
      </w:r>
      <w:r w:rsidR="008E4331">
        <w:rPr>
          <w:color w:val="auto"/>
        </w:rPr>
        <w:t>agreed that t</w:t>
      </w:r>
      <w:r w:rsidR="00A138E5">
        <w:rPr>
          <w:color w:val="auto"/>
        </w:rPr>
        <w:t xml:space="preserve">he nature and extent of the </w:t>
      </w:r>
      <w:r w:rsidR="00026D48" w:rsidRPr="00026D48">
        <w:rPr>
          <w:color w:val="auto"/>
        </w:rPr>
        <w:t>assumptions</w:t>
      </w:r>
      <w:r w:rsidR="00AD3CA9">
        <w:rPr>
          <w:color w:val="auto"/>
        </w:rPr>
        <w:t xml:space="preserve"> and the complexity of the </w:t>
      </w:r>
      <w:r w:rsidR="00F21910">
        <w:rPr>
          <w:color w:val="auto"/>
        </w:rPr>
        <w:t>theory of change</w:t>
      </w:r>
      <w:r w:rsidR="00026D48" w:rsidRPr="00026D48">
        <w:rPr>
          <w:color w:val="auto"/>
        </w:rPr>
        <w:t xml:space="preserve"> </w:t>
      </w:r>
      <w:r w:rsidR="00CC436C">
        <w:rPr>
          <w:color w:val="auto"/>
        </w:rPr>
        <w:t>increased the challenge and degree of difficulty for the Program from the outset</w:t>
      </w:r>
      <w:r w:rsidR="00C7367C">
        <w:rPr>
          <w:color w:val="auto"/>
        </w:rPr>
        <w:t xml:space="preserve">. With </w:t>
      </w:r>
      <w:r w:rsidR="00550735">
        <w:rPr>
          <w:color w:val="auto"/>
        </w:rPr>
        <w:t xml:space="preserve">the </w:t>
      </w:r>
      <w:r w:rsidR="00C7367C">
        <w:rPr>
          <w:color w:val="auto"/>
        </w:rPr>
        <w:t>benefit of hindsight</w:t>
      </w:r>
      <w:r w:rsidR="006F69BC">
        <w:rPr>
          <w:color w:val="auto"/>
        </w:rPr>
        <w:t>,</w:t>
      </w:r>
      <w:r w:rsidR="00C7367C">
        <w:rPr>
          <w:color w:val="auto"/>
        </w:rPr>
        <w:t xml:space="preserve"> the Program </w:t>
      </w:r>
      <w:r w:rsidR="00C7367C">
        <w:rPr>
          <w:color w:val="auto"/>
        </w:rPr>
        <w:lastRenderedPageBreak/>
        <w:t xml:space="preserve">might have </w:t>
      </w:r>
      <w:r w:rsidR="00E76996">
        <w:rPr>
          <w:color w:val="auto"/>
        </w:rPr>
        <w:t xml:space="preserve">undertaken some </w:t>
      </w:r>
      <w:r w:rsidR="00683374">
        <w:rPr>
          <w:color w:val="auto"/>
        </w:rPr>
        <w:t>analysis to test whether the</w:t>
      </w:r>
      <w:r w:rsidR="00F21910">
        <w:rPr>
          <w:color w:val="auto"/>
        </w:rPr>
        <w:t xml:space="preserve"> assumptions w</w:t>
      </w:r>
      <w:r w:rsidR="00683374">
        <w:rPr>
          <w:color w:val="auto"/>
        </w:rPr>
        <w:t xml:space="preserve">ould hold or to </w:t>
      </w:r>
      <w:r w:rsidR="006E20F4">
        <w:rPr>
          <w:color w:val="auto"/>
        </w:rPr>
        <w:t xml:space="preserve">systematically plan to mitigate </w:t>
      </w:r>
      <w:r w:rsidR="00291085">
        <w:rPr>
          <w:color w:val="auto"/>
        </w:rPr>
        <w:t>the consequences of them not holding.</w:t>
      </w:r>
      <w:r w:rsidR="006F69BC">
        <w:rPr>
          <w:color w:val="auto"/>
        </w:rPr>
        <w:t xml:space="preserve"> </w:t>
      </w:r>
    </w:p>
    <w:p w14:paraId="1B373B3C" w14:textId="689BD416" w:rsidR="006F69BC" w:rsidRPr="006F69BC" w:rsidRDefault="00AA1815" w:rsidP="00DF5451">
      <w:pPr>
        <w:spacing w:after="240"/>
        <w:rPr>
          <w:color w:val="auto"/>
        </w:rPr>
      </w:pPr>
      <w:r>
        <w:rPr>
          <w:color w:val="auto"/>
        </w:rPr>
        <w:t>T</w:t>
      </w:r>
      <w:r w:rsidR="00554C72">
        <w:rPr>
          <w:color w:val="auto"/>
        </w:rPr>
        <w:t xml:space="preserve">he </w:t>
      </w:r>
      <w:r w:rsidR="006F69BC" w:rsidRPr="006F69BC">
        <w:rPr>
          <w:color w:val="auto"/>
        </w:rPr>
        <w:t xml:space="preserve">TAPQE </w:t>
      </w:r>
      <w:r w:rsidR="00403F85">
        <w:rPr>
          <w:color w:val="auto"/>
        </w:rPr>
        <w:t xml:space="preserve">Program </w:t>
      </w:r>
      <w:r w:rsidR="007B32C7">
        <w:rPr>
          <w:color w:val="auto"/>
        </w:rPr>
        <w:t xml:space="preserve">activities </w:t>
      </w:r>
      <w:r w:rsidR="0092089B">
        <w:rPr>
          <w:color w:val="auto"/>
        </w:rPr>
        <w:t>(</w:t>
      </w:r>
      <w:r w:rsidR="007B32C7">
        <w:rPr>
          <w:color w:val="auto"/>
        </w:rPr>
        <w:t>by Intermediate Outco</w:t>
      </w:r>
      <w:r w:rsidR="0092089B">
        <w:rPr>
          <w:color w:val="auto"/>
        </w:rPr>
        <w:t xml:space="preserve">mes) all </w:t>
      </w:r>
      <w:r w:rsidR="006F69BC" w:rsidRPr="006F69BC">
        <w:rPr>
          <w:color w:val="auto"/>
        </w:rPr>
        <w:t>a</w:t>
      </w:r>
      <w:r w:rsidR="00403F85">
        <w:rPr>
          <w:color w:val="auto"/>
        </w:rPr>
        <w:t>ppear</w:t>
      </w:r>
      <w:r w:rsidR="006F69BC" w:rsidRPr="006F69BC">
        <w:rPr>
          <w:color w:val="auto"/>
        </w:rPr>
        <w:t xml:space="preserve"> technically sound and politically feasible when </w:t>
      </w:r>
      <w:r w:rsidR="00230F4E" w:rsidRPr="006F69BC">
        <w:rPr>
          <w:color w:val="auto"/>
        </w:rPr>
        <w:t>they are</w:t>
      </w:r>
      <w:r w:rsidR="006F69BC" w:rsidRPr="006F69BC">
        <w:rPr>
          <w:color w:val="auto"/>
        </w:rPr>
        <w:t xml:space="preserve"> standalone</w:t>
      </w:r>
      <w:r>
        <w:rPr>
          <w:color w:val="auto"/>
        </w:rPr>
        <w:t>. However</w:t>
      </w:r>
      <w:r w:rsidR="006F69BC" w:rsidRPr="006F69BC">
        <w:rPr>
          <w:color w:val="auto"/>
        </w:rPr>
        <w:t xml:space="preserve">, given the breadth of </w:t>
      </w:r>
      <w:r>
        <w:rPr>
          <w:color w:val="auto"/>
        </w:rPr>
        <w:t xml:space="preserve">coverage, </w:t>
      </w:r>
      <w:r w:rsidR="00E61003">
        <w:rPr>
          <w:color w:val="auto"/>
        </w:rPr>
        <w:t>t</w:t>
      </w:r>
      <w:r w:rsidR="006F69BC" w:rsidRPr="006F69BC">
        <w:rPr>
          <w:color w:val="auto"/>
        </w:rPr>
        <w:t xml:space="preserve">he ability </w:t>
      </w:r>
      <w:r w:rsidR="00E61003">
        <w:rPr>
          <w:color w:val="auto"/>
        </w:rPr>
        <w:t xml:space="preserve">of the Program </w:t>
      </w:r>
      <w:r w:rsidR="006F69BC" w:rsidRPr="006F69BC">
        <w:rPr>
          <w:color w:val="auto"/>
        </w:rPr>
        <w:t xml:space="preserve">to adequately address </w:t>
      </w:r>
      <w:r w:rsidR="00403F85">
        <w:rPr>
          <w:color w:val="auto"/>
        </w:rPr>
        <w:t xml:space="preserve">the </w:t>
      </w:r>
      <w:r w:rsidR="00E61003">
        <w:rPr>
          <w:color w:val="auto"/>
        </w:rPr>
        <w:t xml:space="preserve">full </w:t>
      </w:r>
      <w:r w:rsidR="00403F85">
        <w:rPr>
          <w:color w:val="auto"/>
        </w:rPr>
        <w:t xml:space="preserve">suite </w:t>
      </w:r>
      <w:r w:rsidR="00E61003">
        <w:rPr>
          <w:color w:val="auto"/>
        </w:rPr>
        <w:t xml:space="preserve">appears to be </w:t>
      </w:r>
      <w:r w:rsidR="00403F85">
        <w:rPr>
          <w:color w:val="auto"/>
        </w:rPr>
        <w:t>another matter. Again, with the benefit of hindsight</w:t>
      </w:r>
      <w:r w:rsidR="002667C7">
        <w:rPr>
          <w:color w:val="auto"/>
        </w:rPr>
        <w:t>, the Program might have considered some prioriti</w:t>
      </w:r>
      <w:r w:rsidR="00B92BE5">
        <w:rPr>
          <w:color w:val="auto"/>
        </w:rPr>
        <w:t>s</w:t>
      </w:r>
      <w:r w:rsidR="002667C7">
        <w:rPr>
          <w:color w:val="auto"/>
        </w:rPr>
        <w:t xml:space="preserve">ation and sequencing of activities to </w:t>
      </w:r>
      <w:r w:rsidR="00230F4E">
        <w:rPr>
          <w:color w:val="auto"/>
        </w:rPr>
        <w:t>r</w:t>
      </w:r>
      <w:r w:rsidR="006F69BC" w:rsidRPr="006F69BC">
        <w:rPr>
          <w:color w:val="auto"/>
        </w:rPr>
        <w:t xml:space="preserve">eflect the context and </w:t>
      </w:r>
      <w:r>
        <w:rPr>
          <w:color w:val="auto"/>
        </w:rPr>
        <w:t xml:space="preserve">MEHRD </w:t>
      </w:r>
      <w:r w:rsidR="006F69BC" w:rsidRPr="006F69BC">
        <w:rPr>
          <w:color w:val="auto"/>
        </w:rPr>
        <w:t xml:space="preserve">capacity. </w:t>
      </w:r>
    </w:p>
    <w:p w14:paraId="449D5F39" w14:textId="77777777" w:rsidR="00C9721F" w:rsidRPr="0069506B" w:rsidRDefault="00C9721F" w:rsidP="00DF5451">
      <w:pPr>
        <w:spacing w:after="240"/>
        <w:rPr>
          <w:u w:val="single"/>
        </w:rPr>
      </w:pPr>
      <w:r w:rsidRPr="0069506B">
        <w:rPr>
          <w:u w:val="single"/>
        </w:rPr>
        <w:t xml:space="preserve">Alignment of </w:t>
      </w:r>
      <w:r w:rsidRPr="00D939DA">
        <w:rPr>
          <w:u w:val="single"/>
        </w:rPr>
        <w:t>Tuvalu st</w:t>
      </w:r>
      <w:r>
        <w:rPr>
          <w:u w:val="single"/>
        </w:rPr>
        <w:t>rat</w:t>
      </w:r>
      <w:r w:rsidRPr="00D939DA">
        <w:rPr>
          <w:u w:val="single"/>
        </w:rPr>
        <w:t>egic directions</w:t>
      </w:r>
      <w:r w:rsidRPr="00386237">
        <w:rPr>
          <w:u w:val="single"/>
        </w:rPr>
        <w:t xml:space="preserve"> </w:t>
      </w:r>
      <w:r>
        <w:rPr>
          <w:u w:val="single"/>
        </w:rPr>
        <w:t xml:space="preserve">and </w:t>
      </w:r>
      <w:r w:rsidRPr="0069506B">
        <w:rPr>
          <w:u w:val="single"/>
        </w:rPr>
        <w:t xml:space="preserve">development partner programs </w:t>
      </w:r>
    </w:p>
    <w:p w14:paraId="0F7A2BA3" w14:textId="2944C814" w:rsidR="00C9721F" w:rsidRDefault="00C9721F" w:rsidP="00DF5451">
      <w:pPr>
        <w:spacing w:after="240" w:line="257" w:lineRule="auto"/>
      </w:pPr>
      <w:r>
        <w:t xml:space="preserve">The draft Tuvalu Education Sector Plan IV (TESP IV) sets out a rationale and an approach ‘for </w:t>
      </w:r>
      <w:r w:rsidRPr="00C1020B">
        <w:t>achieving general improvement to Tuvalu’s education sector, and effectively tackling the challenges and needs identified during the education sector analysis</w:t>
      </w:r>
      <w:r>
        <w:t xml:space="preserve">’ (p.11). The TAPQE Program has contributed to the development of the Plan and the </w:t>
      </w:r>
      <w:r w:rsidRPr="0069506B">
        <w:rPr>
          <w:i/>
          <w:iCs/>
        </w:rPr>
        <w:t>2024 (draft) TAPQE Annual Report</w:t>
      </w:r>
      <w:r>
        <w:t xml:space="preserve"> notes that ‘</w:t>
      </w:r>
      <w:r w:rsidRPr="006452C6">
        <w:t>With the finali</w:t>
      </w:r>
      <w:r>
        <w:t>s</w:t>
      </w:r>
      <w:r w:rsidRPr="006452C6">
        <w:t>ation of TESP IV in 2025, TAPQE will assist MEHRD in implementing and monitoring the strategy under a unified MERL framework.</w:t>
      </w:r>
      <w:r>
        <w:t>’ (p.</w:t>
      </w:r>
      <w:r w:rsidR="00726C57">
        <w:t>4</w:t>
      </w:r>
      <w:r>
        <w:t>)</w:t>
      </w:r>
    </w:p>
    <w:p w14:paraId="68A9F3FD" w14:textId="5D109EC1" w:rsidR="00C9721F" w:rsidRDefault="00C9721F" w:rsidP="00DF5451">
      <w:pPr>
        <w:spacing w:after="240"/>
        <w:rPr>
          <w:lang w:val="en-AU"/>
        </w:rPr>
      </w:pPr>
      <w:r>
        <w:rPr>
          <w:lang w:val="en-AU"/>
        </w:rPr>
        <w:t xml:space="preserve">The </w:t>
      </w:r>
      <w:r w:rsidRPr="00D939DA">
        <w:rPr>
          <w:lang w:val="en-AU"/>
        </w:rPr>
        <w:t>T</w:t>
      </w:r>
      <w:r w:rsidR="0045446C">
        <w:rPr>
          <w:lang w:val="en-AU"/>
        </w:rPr>
        <w:t>uvalu</w:t>
      </w:r>
      <w:r>
        <w:rPr>
          <w:lang w:val="en-AU"/>
        </w:rPr>
        <w:t xml:space="preserve"> </w:t>
      </w:r>
      <w:r w:rsidRPr="00D939DA">
        <w:rPr>
          <w:i/>
          <w:iCs/>
          <w:lang w:val="en-AU"/>
        </w:rPr>
        <w:t>Partnership Compact for Education Reform</w:t>
      </w:r>
      <w:r>
        <w:rPr>
          <w:i/>
          <w:iCs/>
          <w:lang w:val="en-AU"/>
        </w:rPr>
        <w:t xml:space="preserve"> </w:t>
      </w:r>
      <w:r w:rsidRPr="00D939DA">
        <w:rPr>
          <w:lang w:val="en-AU"/>
        </w:rPr>
        <w:t>(2024)</w:t>
      </w:r>
      <w:r w:rsidR="00AD79C6">
        <w:rPr>
          <w:rStyle w:val="FootnoteReference"/>
          <w:lang w:val="en-AU"/>
        </w:rPr>
        <w:footnoteReference w:id="7"/>
      </w:r>
      <w:r w:rsidR="00992DA5">
        <w:rPr>
          <w:lang w:val="en-AU"/>
        </w:rPr>
        <w:t xml:space="preserve"> set</w:t>
      </w:r>
      <w:r w:rsidR="002D6B57">
        <w:rPr>
          <w:lang w:val="en-AU"/>
        </w:rPr>
        <w:t>s goals for priority re</w:t>
      </w:r>
      <w:r w:rsidR="00D5716A">
        <w:rPr>
          <w:lang w:val="en-AU"/>
        </w:rPr>
        <w:t>form, set</w:t>
      </w:r>
      <w:r w:rsidR="00CF101B">
        <w:rPr>
          <w:lang w:val="en-AU"/>
        </w:rPr>
        <w:t>s</w:t>
      </w:r>
      <w:r w:rsidR="00D5716A">
        <w:rPr>
          <w:lang w:val="en-AU"/>
        </w:rPr>
        <w:t xml:space="preserve"> out key needs and </w:t>
      </w:r>
      <w:r w:rsidR="002D3FA4">
        <w:rPr>
          <w:lang w:val="en-AU"/>
        </w:rPr>
        <w:t>sets out an approach to address these</w:t>
      </w:r>
      <w:r w:rsidR="00CF101B">
        <w:rPr>
          <w:lang w:val="en-AU"/>
        </w:rPr>
        <w:t xml:space="preserve"> reforms and needs</w:t>
      </w:r>
      <w:r w:rsidR="002D3FA4">
        <w:rPr>
          <w:lang w:val="en-AU"/>
        </w:rPr>
        <w:t>.</w:t>
      </w:r>
      <w:r w:rsidR="00D5716A">
        <w:rPr>
          <w:lang w:val="en-AU"/>
        </w:rPr>
        <w:t xml:space="preserve"> </w:t>
      </w:r>
      <w:r w:rsidRPr="00D939DA">
        <w:rPr>
          <w:lang w:val="en-AU"/>
        </w:rPr>
        <w:t xml:space="preserve"> </w:t>
      </w:r>
    </w:p>
    <w:p w14:paraId="4AE36AED" w14:textId="4AE20584" w:rsidR="00063DA8" w:rsidRDefault="00B00ECE" w:rsidP="00DF5451">
      <w:pPr>
        <w:spacing w:after="240"/>
        <w:rPr>
          <w:lang w:val="en-AU"/>
        </w:rPr>
      </w:pPr>
      <w:r>
        <w:rPr>
          <w:lang w:val="en-AU"/>
        </w:rPr>
        <w:t>With the im</w:t>
      </w:r>
      <w:r w:rsidR="008534DE">
        <w:rPr>
          <w:lang w:val="en-AU"/>
        </w:rPr>
        <w:t xml:space="preserve">minent approval of TESP IV consideration might be </w:t>
      </w:r>
      <w:r w:rsidR="00076635">
        <w:rPr>
          <w:lang w:val="en-AU"/>
        </w:rPr>
        <w:t xml:space="preserve">given to whether </w:t>
      </w:r>
      <w:r w:rsidR="00E47C56">
        <w:rPr>
          <w:lang w:val="en-AU"/>
        </w:rPr>
        <w:t>the expectation that ‘</w:t>
      </w:r>
      <w:r w:rsidR="00E47C56" w:rsidRPr="005E77D5">
        <w:rPr>
          <w:i/>
          <w:iCs/>
        </w:rPr>
        <w:t>TAPQE will align and integrate interventions based on TESP IV whilst building the capacity of MEYS officers and systems to manage the reform</w:t>
      </w:r>
      <w:r w:rsidR="00E47C56">
        <w:t xml:space="preserve">’ might </w:t>
      </w:r>
      <w:r w:rsidR="00076635">
        <w:t xml:space="preserve">be </w:t>
      </w:r>
      <w:r w:rsidR="00F63BD7">
        <w:t>addressed slightly</w:t>
      </w:r>
      <w:r w:rsidR="00D33B54">
        <w:t xml:space="preserve"> differently</w:t>
      </w:r>
      <w:r w:rsidR="001720EE">
        <w:t xml:space="preserve">, with </w:t>
      </w:r>
      <w:r w:rsidR="0005112F">
        <w:t xml:space="preserve">more explicit attention on </w:t>
      </w:r>
      <w:r w:rsidR="009708A9">
        <w:t xml:space="preserve">the </w:t>
      </w:r>
      <w:r w:rsidR="00C9721F">
        <w:rPr>
          <w:lang w:val="en-AU"/>
        </w:rPr>
        <w:t>two components</w:t>
      </w:r>
      <w:r w:rsidR="009708A9">
        <w:rPr>
          <w:lang w:val="en-AU"/>
        </w:rPr>
        <w:t xml:space="preserve"> with a </w:t>
      </w:r>
      <w:r w:rsidR="00CE44B9">
        <w:rPr>
          <w:lang w:val="en-AU"/>
        </w:rPr>
        <w:t>clear focus on agency and responsibility</w:t>
      </w:r>
      <w:r w:rsidR="00EC270A">
        <w:rPr>
          <w:lang w:val="en-AU"/>
        </w:rPr>
        <w:t xml:space="preserve">. </w:t>
      </w:r>
    </w:p>
    <w:p w14:paraId="79772D01" w14:textId="0EFB9D4C" w:rsidR="00C9721F" w:rsidRDefault="00076635" w:rsidP="00DF5451">
      <w:pPr>
        <w:spacing w:after="240"/>
        <w:rPr>
          <w:lang w:val="en-AU"/>
        </w:rPr>
      </w:pPr>
      <w:r>
        <w:rPr>
          <w:lang w:val="en-AU"/>
        </w:rPr>
        <w:t>For example, t</w:t>
      </w:r>
      <w:r w:rsidR="00EC270A">
        <w:rPr>
          <w:lang w:val="en-AU"/>
        </w:rPr>
        <w:t xml:space="preserve">he </w:t>
      </w:r>
      <w:r w:rsidR="00145E65">
        <w:rPr>
          <w:lang w:val="en-AU"/>
        </w:rPr>
        <w:t xml:space="preserve">first </w:t>
      </w:r>
      <w:r w:rsidR="00063DA8">
        <w:rPr>
          <w:lang w:val="en-AU"/>
        </w:rPr>
        <w:t xml:space="preserve">component </w:t>
      </w:r>
      <w:r w:rsidR="00145E65">
        <w:rPr>
          <w:lang w:val="en-AU"/>
        </w:rPr>
        <w:t xml:space="preserve">might </w:t>
      </w:r>
      <w:r w:rsidR="00C9721F">
        <w:rPr>
          <w:lang w:val="en-AU"/>
        </w:rPr>
        <w:t xml:space="preserve">focus on activities that directly contribute to TESP IV strategies </w:t>
      </w:r>
      <w:r w:rsidR="00B84327">
        <w:rPr>
          <w:lang w:val="en-AU"/>
        </w:rPr>
        <w:t>(</w:t>
      </w:r>
      <w:r w:rsidR="00C9721F">
        <w:rPr>
          <w:lang w:val="en-AU"/>
        </w:rPr>
        <w:t>e.g. polic</w:t>
      </w:r>
      <w:r w:rsidR="003769C5">
        <w:rPr>
          <w:lang w:val="en-AU"/>
        </w:rPr>
        <w:t>y development</w:t>
      </w:r>
      <w:r w:rsidR="00C91B91">
        <w:rPr>
          <w:lang w:val="en-AU"/>
        </w:rPr>
        <w:t xml:space="preserve"> as per TESP IV</w:t>
      </w:r>
      <w:r w:rsidR="00C9721F">
        <w:rPr>
          <w:lang w:val="en-AU"/>
        </w:rPr>
        <w:t xml:space="preserve">, professional development, teaching and learning resources, </w:t>
      </w:r>
      <w:r w:rsidR="009A37DB">
        <w:rPr>
          <w:lang w:val="en-AU"/>
        </w:rPr>
        <w:t xml:space="preserve">and </w:t>
      </w:r>
      <w:r w:rsidR="00C9721F">
        <w:rPr>
          <w:lang w:val="en-AU"/>
        </w:rPr>
        <w:t>development of TEMIS</w:t>
      </w:r>
      <w:r w:rsidR="001C1A1C">
        <w:rPr>
          <w:lang w:val="en-AU"/>
        </w:rPr>
        <w:t>)</w:t>
      </w:r>
      <w:r w:rsidR="00145E65">
        <w:rPr>
          <w:lang w:val="en-AU"/>
        </w:rPr>
        <w:t>,</w:t>
      </w:r>
      <w:r w:rsidR="00FB2061">
        <w:rPr>
          <w:lang w:val="en-AU"/>
        </w:rPr>
        <w:t xml:space="preserve"> with</w:t>
      </w:r>
      <w:r w:rsidR="00154D9B">
        <w:rPr>
          <w:lang w:val="en-AU"/>
        </w:rPr>
        <w:t xml:space="preserve"> </w:t>
      </w:r>
      <w:r w:rsidR="00EC270A">
        <w:rPr>
          <w:lang w:val="en-AU"/>
        </w:rPr>
        <w:t>clear specification of the need</w:t>
      </w:r>
      <w:r w:rsidR="002357A9">
        <w:rPr>
          <w:lang w:val="en-AU"/>
        </w:rPr>
        <w:t>, the timefram</w:t>
      </w:r>
      <w:r w:rsidR="00F715F8">
        <w:rPr>
          <w:lang w:val="en-AU"/>
        </w:rPr>
        <w:t>e</w:t>
      </w:r>
      <w:r w:rsidR="00EC270A">
        <w:rPr>
          <w:lang w:val="en-AU"/>
        </w:rPr>
        <w:t xml:space="preserve"> and what success looks like</w:t>
      </w:r>
      <w:r w:rsidR="00145E65">
        <w:rPr>
          <w:lang w:val="en-AU"/>
        </w:rPr>
        <w:t xml:space="preserve"> for each </w:t>
      </w:r>
      <w:r w:rsidR="00CE44B9">
        <w:rPr>
          <w:lang w:val="en-AU"/>
        </w:rPr>
        <w:t xml:space="preserve">TAPQE </w:t>
      </w:r>
      <w:r w:rsidR="00145E65">
        <w:rPr>
          <w:lang w:val="en-AU"/>
        </w:rPr>
        <w:t>activity</w:t>
      </w:r>
      <w:r w:rsidR="007B0D48">
        <w:rPr>
          <w:lang w:val="en-AU"/>
        </w:rPr>
        <w:t xml:space="preserve">. The </w:t>
      </w:r>
      <w:r w:rsidR="00C9721F">
        <w:rPr>
          <w:lang w:val="en-AU"/>
        </w:rPr>
        <w:t xml:space="preserve">second </w:t>
      </w:r>
      <w:r w:rsidR="00CD6873">
        <w:rPr>
          <w:lang w:val="en-AU"/>
        </w:rPr>
        <w:t>component m</w:t>
      </w:r>
      <w:r w:rsidR="007B0D48">
        <w:rPr>
          <w:lang w:val="en-AU"/>
        </w:rPr>
        <w:t xml:space="preserve">ight </w:t>
      </w:r>
      <w:r w:rsidR="00C9721F">
        <w:rPr>
          <w:lang w:val="en-AU"/>
        </w:rPr>
        <w:t>focus on capacity development of Ministry officials and systems</w:t>
      </w:r>
      <w:r w:rsidR="007B0D48">
        <w:rPr>
          <w:lang w:val="en-AU"/>
        </w:rPr>
        <w:t xml:space="preserve"> in response to </w:t>
      </w:r>
      <w:r w:rsidR="008F1EBD">
        <w:rPr>
          <w:lang w:val="en-AU"/>
        </w:rPr>
        <w:t>a</w:t>
      </w:r>
      <w:r w:rsidR="00963BE7">
        <w:rPr>
          <w:lang w:val="en-AU"/>
        </w:rPr>
        <w:t xml:space="preserve"> </w:t>
      </w:r>
      <w:r w:rsidR="000F66C1">
        <w:rPr>
          <w:lang w:val="en-AU"/>
        </w:rPr>
        <w:t>capability analysis of the Ministry and key personnel within the Ministry (</w:t>
      </w:r>
      <w:r w:rsidR="00D763CC">
        <w:rPr>
          <w:lang w:val="en-AU"/>
        </w:rPr>
        <w:t>like</w:t>
      </w:r>
      <w:r w:rsidR="000F66C1">
        <w:rPr>
          <w:lang w:val="en-AU"/>
        </w:rPr>
        <w:t xml:space="preserve"> </w:t>
      </w:r>
      <w:r w:rsidR="00CE44B9">
        <w:rPr>
          <w:lang w:val="en-AU"/>
        </w:rPr>
        <w:t xml:space="preserve">the </w:t>
      </w:r>
      <w:r w:rsidR="0099462F">
        <w:rPr>
          <w:lang w:val="en-AU"/>
        </w:rPr>
        <w:t>one undertaken by TAPQE in 2024)</w:t>
      </w:r>
      <w:r w:rsidR="000A6ED5">
        <w:rPr>
          <w:lang w:val="en-AU"/>
        </w:rPr>
        <w:t xml:space="preserve">. The second approach </w:t>
      </w:r>
      <w:r w:rsidR="005502EE">
        <w:rPr>
          <w:lang w:val="en-AU"/>
        </w:rPr>
        <w:t xml:space="preserve">might include the provision for embedded staff and </w:t>
      </w:r>
      <w:r w:rsidR="000A6ED5">
        <w:rPr>
          <w:lang w:val="en-AU"/>
        </w:rPr>
        <w:t xml:space="preserve">the option of a </w:t>
      </w:r>
      <w:r w:rsidR="00B91778">
        <w:rPr>
          <w:lang w:val="en-AU"/>
        </w:rPr>
        <w:t>Direct Funding Agreement (</w:t>
      </w:r>
      <w:r w:rsidR="000A6ED5">
        <w:rPr>
          <w:lang w:val="en-AU"/>
        </w:rPr>
        <w:t>DFA</w:t>
      </w:r>
      <w:r w:rsidR="00B91778">
        <w:rPr>
          <w:lang w:val="en-AU"/>
        </w:rPr>
        <w:t>)</w:t>
      </w:r>
      <w:r w:rsidR="00C9721F">
        <w:rPr>
          <w:lang w:val="en-AU"/>
        </w:rPr>
        <w:t xml:space="preserve">. </w:t>
      </w:r>
    </w:p>
    <w:p w14:paraId="17F75877" w14:textId="599E93A9" w:rsidR="00B43FC9" w:rsidRDefault="00B43FC9" w:rsidP="00DF5451">
      <w:pPr>
        <w:spacing w:after="240"/>
        <w:rPr>
          <w:lang w:val="en-AU"/>
        </w:rPr>
      </w:pPr>
      <w:r>
        <w:rPr>
          <w:lang w:val="en-AU"/>
        </w:rPr>
        <w:t xml:space="preserve">This alternative </w:t>
      </w:r>
      <w:r w:rsidR="00201C91">
        <w:rPr>
          <w:lang w:val="en-AU"/>
        </w:rPr>
        <w:t xml:space="preserve">alignment would </w:t>
      </w:r>
      <w:r w:rsidR="006D06C0">
        <w:rPr>
          <w:lang w:val="en-AU"/>
        </w:rPr>
        <w:t xml:space="preserve">reinforce that the </w:t>
      </w:r>
      <w:r w:rsidR="006D06C0" w:rsidRPr="00113466">
        <w:rPr>
          <w:b/>
          <w:bCs/>
          <w:lang w:val="en-AU"/>
        </w:rPr>
        <w:t xml:space="preserve">Ministry is responsible for </w:t>
      </w:r>
      <w:r w:rsidR="00CD6A3B" w:rsidRPr="00113466">
        <w:rPr>
          <w:b/>
          <w:bCs/>
          <w:lang w:val="en-AU"/>
        </w:rPr>
        <w:t>driving educational improvement in Tuvalu</w:t>
      </w:r>
      <w:r w:rsidR="00CD6A3B">
        <w:rPr>
          <w:lang w:val="en-AU"/>
        </w:rPr>
        <w:t xml:space="preserve"> </w:t>
      </w:r>
      <w:r w:rsidR="002273C4">
        <w:rPr>
          <w:lang w:val="en-AU"/>
        </w:rPr>
        <w:t xml:space="preserve">while drawing on a </w:t>
      </w:r>
      <w:r w:rsidR="006D06C0">
        <w:rPr>
          <w:lang w:val="en-AU"/>
        </w:rPr>
        <w:t xml:space="preserve">capability development </w:t>
      </w:r>
      <w:r w:rsidR="002273C4">
        <w:rPr>
          <w:lang w:val="en-AU"/>
        </w:rPr>
        <w:t xml:space="preserve">program and a </w:t>
      </w:r>
      <w:r w:rsidR="006D06C0">
        <w:rPr>
          <w:lang w:val="en-AU"/>
        </w:rPr>
        <w:t xml:space="preserve">service delivery </w:t>
      </w:r>
      <w:r w:rsidR="002273C4">
        <w:rPr>
          <w:lang w:val="en-AU"/>
        </w:rPr>
        <w:t>program</w:t>
      </w:r>
      <w:r w:rsidR="00113466">
        <w:rPr>
          <w:lang w:val="en-AU"/>
        </w:rPr>
        <w:t xml:space="preserve">. </w:t>
      </w:r>
    </w:p>
    <w:p w14:paraId="212C6EA2" w14:textId="57DC8F1F" w:rsidR="00DC0175" w:rsidRPr="0069506B" w:rsidRDefault="00F545FC" w:rsidP="00DF5451">
      <w:pPr>
        <w:spacing w:after="240"/>
        <w:rPr>
          <w:color w:val="4472C4" w:themeColor="accent1"/>
          <w:u w:val="single"/>
        </w:rPr>
      </w:pPr>
      <w:r w:rsidRPr="0069506B">
        <w:rPr>
          <w:color w:val="auto"/>
          <w:u w:val="single"/>
        </w:rPr>
        <w:t xml:space="preserve">Interdependence </w:t>
      </w:r>
      <w:r w:rsidR="009B47D7">
        <w:rPr>
          <w:color w:val="auto"/>
          <w:u w:val="single"/>
        </w:rPr>
        <w:t xml:space="preserve">between TAPQE and </w:t>
      </w:r>
      <w:r w:rsidR="00A7242A">
        <w:rPr>
          <w:color w:val="auto"/>
          <w:u w:val="single"/>
        </w:rPr>
        <w:t>MEHRD</w:t>
      </w:r>
      <w:r w:rsidR="009B47D7">
        <w:rPr>
          <w:color w:val="auto"/>
          <w:u w:val="single"/>
        </w:rPr>
        <w:t>,</w:t>
      </w:r>
      <w:r w:rsidR="000611CA">
        <w:rPr>
          <w:color w:val="auto"/>
          <w:u w:val="single"/>
        </w:rPr>
        <w:t xml:space="preserve"> and </w:t>
      </w:r>
      <w:r w:rsidR="00A7242A">
        <w:rPr>
          <w:color w:val="auto"/>
          <w:u w:val="single"/>
        </w:rPr>
        <w:t>MEHRD</w:t>
      </w:r>
      <w:r w:rsidR="00BC1BA0">
        <w:rPr>
          <w:color w:val="auto"/>
          <w:u w:val="single"/>
        </w:rPr>
        <w:t>’s</w:t>
      </w:r>
      <w:r w:rsidR="000611CA">
        <w:rPr>
          <w:color w:val="auto"/>
          <w:u w:val="single"/>
        </w:rPr>
        <w:t xml:space="preserve"> capacity to </w:t>
      </w:r>
      <w:r w:rsidR="003D431A">
        <w:rPr>
          <w:color w:val="auto"/>
          <w:u w:val="single"/>
        </w:rPr>
        <w:t>respond</w:t>
      </w:r>
    </w:p>
    <w:p w14:paraId="27046AA5" w14:textId="1C361FCF" w:rsidR="000B5969" w:rsidRDefault="00544BD5" w:rsidP="00DF5451">
      <w:pPr>
        <w:spacing w:after="240"/>
      </w:pPr>
      <w:r>
        <w:t xml:space="preserve">The </w:t>
      </w:r>
      <w:r w:rsidR="000D0561" w:rsidRPr="001319EC">
        <w:rPr>
          <w:i/>
          <w:iCs/>
          <w:lang w:val="en-AU"/>
        </w:rPr>
        <w:t>TAPQE MERL Framework (Interim)</w:t>
      </w:r>
      <w:r w:rsidR="000D0561" w:rsidDel="000D0561">
        <w:t xml:space="preserve"> </w:t>
      </w:r>
      <w:r w:rsidR="00095027">
        <w:t>(p.1</w:t>
      </w:r>
      <w:r w:rsidR="00A11D85">
        <w:t>4</w:t>
      </w:r>
      <w:r w:rsidR="00095027">
        <w:t xml:space="preserve">) </w:t>
      </w:r>
      <w:r w:rsidR="000B5969">
        <w:t>observes that</w:t>
      </w:r>
      <w:r w:rsidR="001C1A1C">
        <w:t>:</w:t>
      </w:r>
      <w:r w:rsidR="000B5969">
        <w:t xml:space="preserve"> </w:t>
      </w:r>
    </w:p>
    <w:p w14:paraId="1CD98E13" w14:textId="0D8DC216" w:rsidR="00095027" w:rsidRPr="0069506B" w:rsidRDefault="000B5969" w:rsidP="00DF5451">
      <w:pPr>
        <w:spacing w:after="240"/>
        <w:ind w:left="284"/>
        <w:rPr>
          <w:i/>
          <w:iCs/>
        </w:rPr>
      </w:pPr>
      <w:r w:rsidRPr="0069506B">
        <w:rPr>
          <w:i/>
          <w:iCs/>
        </w:rPr>
        <w:t xml:space="preserve">TAPQE is premised on the understanding that </w:t>
      </w:r>
      <w:r w:rsidRPr="009B47D7">
        <w:rPr>
          <w:b/>
          <w:bCs/>
          <w:i/>
          <w:iCs/>
          <w:color w:val="auto"/>
        </w:rPr>
        <w:t>education service delivery is a core responsibility</w:t>
      </w:r>
      <w:r w:rsidRPr="009B47D7">
        <w:rPr>
          <w:i/>
          <w:iCs/>
          <w:color w:val="auto"/>
        </w:rPr>
        <w:t xml:space="preserve"> of GoT through </w:t>
      </w:r>
      <w:r w:rsidR="00A7242A">
        <w:rPr>
          <w:i/>
          <w:iCs/>
          <w:color w:val="auto"/>
        </w:rPr>
        <w:t>MEHRD</w:t>
      </w:r>
      <w:r w:rsidRPr="0069506B">
        <w:rPr>
          <w:i/>
          <w:iCs/>
        </w:rPr>
        <w:t xml:space="preserve"> and that education is the most effective means for providing equitable outcomes for all. </w:t>
      </w:r>
      <w:r w:rsidRPr="0069506B">
        <w:rPr>
          <w:i/>
          <w:iCs/>
        </w:rPr>
        <w:lastRenderedPageBreak/>
        <w:t xml:space="preserve">TAPQE places </w:t>
      </w:r>
      <w:r w:rsidR="00A7242A">
        <w:rPr>
          <w:b/>
          <w:bCs/>
          <w:i/>
          <w:iCs/>
        </w:rPr>
        <w:t>MEHRD</w:t>
      </w:r>
      <w:r w:rsidRPr="006F2FF6">
        <w:rPr>
          <w:b/>
          <w:bCs/>
          <w:i/>
          <w:iCs/>
        </w:rPr>
        <w:t xml:space="preserve"> at the centre to lead and coordinate education</w:t>
      </w:r>
      <w:r w:rsidRPr="0069506B">
        <w:rPr>
          <w:i/>
          <w:iCs/>
        </w:rPr>
        <w:t xml:space="preserve"> reform with TAPQE providing </w:t>
      </w:r>
      <w:r w:rsidRPr="006F2FF6">
        <w:rPr>
          <w:b/>
          <w:bCs/>
          <w:i/>
          <w:iCs/>
        </w:rPr>
        <w:t>technical and capacity building support</w:t>
      </w:r>
      <w:r w:rsidRPr="0069506B">
        <w:rPr>
          <w:i/>
          <w:iCs/>
        </w:rPr>
        <w:t xml:space="preserve"> in strategic priorities that </w:t>
      </w:r>
      <w:r w:rsidR="00A7242A">
        <w:rPr>
          <w:i/>
          <w:iCs/>
        </w:rPr>
        <w:t>MEHRD</w:t>
      </w:r>
      <w:r w:rsidRPr="0069506B">
        <w:rPr>
          <w:i/>
          <w:iCs/>
        </w:rPr>
        <w:t>, through the TAPQE Steering Committee, endorses.</w:t>
      </w:r>
    </w:p>
    <w:p w14:paraId="49C764D0" w14:textId="2C96A2F7" w:rsidR="00E22948" w:rsidRDefault="006F2FF6" w:rsidP="00DF5451">
      <w:pPr>
        <w:spacing w:after="240"/>
      </w:pPr>
      <w:r>
        <w:t>T</w:t>
      </w:r>
      <w:r w:rsidR="00354971">
        <w:t xml:space="preserve">he </w:t>
      </w:r>
      <w:r w:rsidR="00095027">
        <w:t>TAPQE Theory of Change</w:t>
      </w:r>
      <w:r w:rsidR="009B47D7">
        <w:t xml:space="preserve"> </w:t>
      </w:r>
      <w:r w:rsidR="00F03EC2">
        <w:t>(p.14)</w:t>
      </w:r>
      <w:r w:rsidR="00095027">
        <w:t xml:space="preserve"> </w:t>
      </w:r>
      <w:r w:rsidR="00134E83">
        <w:t>is structured in the form</w:t>
      </w:r>
      <w:r w:rsidR="00E22948">
        <w:t>:</w:t>
      </w:r>
    </w:p>
    <w:p w14:paraId="52006E23" w14:textId="5994EAAC" w:rsidR="00174441" w:rsidRDefault="00174441" w:rsidP="00DF5451">
      <w:pPr>
        <w:pStyle w:val="ListParagraph"/>
        <w:numPr>
          <w:ilvl w:val="0"/>
          <w:numId w:val="24"/>
        </w:numPr>
        <w:spacing w:after="240"/>
      </w:pPr>
      <w:r>
        <w:t>The</w:t>
      </w:r>
      <w:r w:rsidRPr="002E7F57">
        <w:t xml:space="preserve"> TAPQE theory of change</w:t>
      </w:r>
      <w:r>
        <w:t xml:space="preserve"> assumes that </w:t>
      </w:r>
      <w:r w:rsidRPr="00174441">
        <w:t xml:space="preserve">if </w:t>
      </w:r>
      <w:r w:rsidR="00A7242A">
        <w:t>MEHRD</w:t>
      </w:r>
      <w:r>
        <w:t xml:space="preserve"> </w:t>
      </w:r>
      <w:r w:rsidRPr="0069506B">
        <w:t>…</w:t>
      </w:r>
    </w:p>
    <w:p w14:paraId="2CB54D70" w14:textId="1063FDC4" w:rsidR="00174441" w:rsidRDefault="00075553" w:rsidP="00DF5451">
      <w:pPr>
        <w:pStyle w:val="ListParagraph"/>
        <w:numPr>
          <w:ilvl w:val="0"/>
          <w:numId w:val="24"/>
        </w:numPr>
        <w:spacing w:after="240"/>
      </w:pPr>
      <w:r>
        <w:t xml:space="preserve">And with TAPQE support, </w:t>
      </w:r>
      <w:r w:rsidR="00A7242A">
        <w:t>MEHRD</w:t>
      </w:r>
      <w:r>
        <w:t xml:space="preserve"> …</w:t>
      </w:r>
    </w:p>
    <w:p w14:paraId="1644A205" w14:textId="6915D2F1" w:rsidR="00075553" w:rsidRDefault="00075553" w:rsidP="00DF5451">
      <w:pPr>
        <w:pStyle w:val="ListParagraph"/>
        <w:numPr>
          <w:ilvl w:val="0"/>
          <w:numId w:val="24"/>
        </w:numPr>
        <w:spacing w:after="240"/>
      </w:pPr>
      <w:r>
        <w:t>The</w:t>
      </w:r>
      <w:r w:rsidR="00215E8E">
        <w:t>n the EOPO</w:t>
      </w:r>
      <w:r w:rsidR="00BD4790">
        <w:t>s</w:t>
      </w:r>
      <w:r w:rsidR="00215E8E">
        <w:t xml:space="preserve"> will be achieved.</w:t>
      </w:r>
    </w:p>
    <w:p w14:paraId="55E5BF3B" w14:textId="5D9A44C0" w:rsidR="00DC46E3" w:rsidRDefault="00BE5C1D" w:rsidP="00DF5451">
      <w:pPr>
        <w:spacing w:after="240"/>
      </w:pPr>
      <w:r>
        <w:t>Th</w:t>
      </w:r>
      <w:r w:rsidR="00F31A3F">
        <w:t>e complexity of the theory of change b</w:t>
      </w:r>
      <w:r w:rsidR="00CD61AC">
        <w:t>e</w:t>
      </w:r>
      <w:r w:rsidR="00F31A3F">
        <w:t xml:space="preserve">comes evident </w:t>
      </w:r>
      <w:r w:rsidR="0047694A">
        <w:t xml:space="preserve">through </w:t>
      </w:r>
      <w:r w:rsidR="002C5B5F">
        <w:t xml:space="preserve">consideration of </w:t>
      </w:r>
      <w:r w:rsidR="00CD61AC">
        <w:t>the</w:t>
      </w:r>
      <w:r>
        <w:t xml:space="preserve"> </w:t>
      </w:r>
      <w:r w:rsidRPr="008B1F7F">
        <w:rPr>
          <w:b/>
          <w:bCs/>
        </w:rPr>
        <w:t xml:space="preserve">assumptions about </w:t>
      </w:r>
      <w:r w:rsidR="00A7242A">
        <w:rPr>
          <w:b/>
          <w:bCs/>
        </w:rPr>
        <w:t>MEHRD</w:t>
      </w:r>
      <w:r>
        <w:t xml:space="preserve"> </w:t>
      </w:r>
      <w:r w:rsidR="002C5B5F">
        <w:t>which include</w:t>
      </w:r>
      <w:r w:rsidR="00320A70">
        <w:t>, amongst other assumptions</w:t>
      </w:r>
      <w:r w:rsidR="001C1A1C">
        <w:t>,</w:t>
      </w:r>
      <w:r w:rsidR="00320A70">
        <w:t xml:space="preserve"> </w:t>
      </w:r>
      <w:r w:rsidR="001E443B">
        <w:t>that MEHRD</w:t>
      </w:r>
      <w:r w:rsidR="002C5B5F">
        <w:t>:</w:t>
      </w:r>
    </w:p>
    <w:p w14:paraId="76549175" w14:textId="77777777" w:rsidR="00DC46E3" w:rsidRDefault="00DC46E3" w:rsidP="00DF5451">
      <w:pPr>
        <w:pStyle w:val="ListParagraph"/>
        <w:numPr>
          <w:ilvl w:val="0"/>
          <w:numId w:val="25"/>
        </w:numPr>
        <w:spacing w:after="240"/>
      </w:pPr>
      <w:r>
        <w:t>‘</w:t>
      </w:r>
      <w:proofErr w:type="gramStart"/>
      <w:r w:rsidR="00E03E19">
        <w:t>has</w:t>
      </w:r>
      <w:proofErr w:type="gramEnd"/>
      <w:r w:rsidR="00E03E19">
        <w:t xml:space="preserve"> the capacity to work with the program team on the effective design </w:t>
      </w:r>
      <w:r w:rsidR="00B6729D">
        <w:t>to and support implementation of TAPQE activities’</w:t>
      </w:r>
    </w:p>
    <w:p w14:paraId="66775AB9" w14:textId="77777777" w:rsidR="00DC46E3" w:rsidRDefault="00B6729D" w:rsidP="00DF5451">
      <w:pPr>
        <w:pStyle w:val="ListParagraph"/>
        <w:numPr>
          <w:ilvl w:val="0"/>
          <w:numId w:val="25"/>
        </w:numPr>
        <w:spacing w:after="240"/>
      </w:pPr>
      <w:r>
        <w:t>‘</w:t>
      </w:r>
      <w:proofErr w:type="gramStart"/>
      <w:r>
        <w:t>identifies</w:t>
      </w:r>
      <w:proofErr w:type="gramEnd"/>
      <w:r>
        <w:t xml:space="preserve"> funding for teacher </w:t>
      </w:r>
      <w:proofErr w:type="gramStart"/>
      <w:r>
        <w:t>aides</w:t>
      </w:r>
      <w:proofErr w:type="gramEnd"/>
      <w:r>
        <w:t xml:space="preserve"> for </w:t>
      </w:r>
      <w:r w:rsidR="002969FC">
        <w:t xml:space="preserve">children with </w:t>
      </w:r>
      <w:r w:rsidR="0048397B">
        <w:t>disabilities’</w:t>
      </w:r>
    </w:p>
    <w:p w14:paraId="3535EA77" w14:textId="77777777" w:rsidR="00683112" w:rsidRDefault="001633B3" w:rsidP="00DF5451">
      <w:pPr>
        <w:pStyle w:val="ListParagraph"/>
        <w:numPr>
          <w:ilvl w:val="0"/>
          <w:numId w:val="25"/>
        </w:numPr>
        <w:spacing w:after="240"/>
      </w:pPr>
      <w:r>
        <w:t>‘</w:t>
      </w:r>
      <w:proofErr w:type="gramStart"/>
      <w:r w:rsidR="0048397B">
        <w:t>harmonises</w:t>
      </w:r>
      <w:proofErr w:type="gramEnd"/>
      <w:r w:rsidR="0048397B">
        <w:t xml:space="preserve"> t</w:t>
      </w:r>
      <w:r w:rsidR="00554EA7">
        <w:t>he GoT, TAPQE, EQAP and other investments in the education sector</w:t>
      </w:r>
      <w:r w:rsidR="00A71188">
        <w:t>’</w:t>
      </w:r>
    </w:p>
    <w:p w14:paraId="19063A24" w14:textId="77469BAB" w:rsidR="00BE5C1D" w:rsidRDefault="001633B3" w:rsidP="00DF5451">
      <w:pPr>
        <w:pStyle w:val="ListParagraph"/>
        <w:numPr>
          <w:ilvl w:val="0"/>
          <w:numId w:val="25"/>
        </w:numPr>
        <w:spacing w:after="240"/>
      </w:pPr>
      <w:r>
        <w:t>‘</w:t>
      </w:r>
      <w:proofErr w:type="gramStart"/>
      <w:r w:rsidR="00A71188">
        <w:t>implements</w:t>
      </w:r>
      <w:proofErr w:type="gramEnd"/>
      <w:r w:rsidR="00A71188">
        <w:t xml:space="preserve"> an effective and unified MERL framework …’</w:t>
      </w:r>
      <w:r>
        <w:t>.</w:t>
      </w:r>
    </w:p>
    <w:p w14:paraId="799BF043" w14:textId="65CE19A4" w:rsidR="00CF20DB" w:rsidRDefault="00CF20DB" w:rsidP="00DF5451">
      <w:pPr>
        <w:spacing w:after="240"/>
      </w:pPr>
      <w:r>
        <w:t xml:space="preserve">The theory of change appears to be stating that </w:t>
      </w:r>
      <w:r w:rsidR="00B1394B" w:rsidRPr="0028029F">
        <w:rPr>
          <w:b/>
          <w:bCs/>
        </w:rPr>
        <w:t xml:space="preserve">TAPQE Program </w:t>
      </w:r>
      <w:r w:rsidR="0028029F" w:rsidRPr="0028029F">
        <w:rPr>
          <w:b/>
          <w:bCs/>
        </w:rPr>
        <w:t xml:space="preserve">success </w:t>
      </w:r>
      <w:r w:rsidR="00B1394B" w:rsidRPr="0028029F">
        <w:rPr>
          <w:b/>
          <w:bCs/>
        </w:rPr>
        <w:t>is highly dependent</w:t>
      </w:r>
      <w:r w:rsidR="00B1394B">
        <w:t xml:space="preserve"> on </w:t>
      </w:r>
      <w:r w:rsidR="00A7242A">
        <w:t>MEHRD</w:t>
      </w:r>
      <w:r w:rsidR="00304C1A">
        <w:t xml:space="preserve"> activities and capabilities (some of which have been taken up as </w:t>
      </w:r>
      <w:r w:rsidR="0034644B">
        <w:t>TAPQE or DP act</w:t>
      </w:r>
      <w:r w:rsidR="0028029F">
        <w:t>ivities).</w:t>
      </w:r>
      <w:r w:rsidR="003445B0" w:rsidRPr="003445B0">
        <w:rPr>
          <w:color w:val="auto"/>
        </w:rPr>
        <w:t xml:space="preserve"> </w:t>
      </w:r>
      <w:r w:rsidR="003445B0">
        <w:rPr>
          <w:color w:val="auto"/>
        </w:rPr>
        <w:t xml:space="preserve">However, </w:t>
      </w:r>
      <w:r w:rsidR="00E63E70">
        <w:rPr>
          <w:color w:val="auto"/>
        </w:rPr>
        <w:t xml:space="preserve">it is not </w:t>
      </w:r>
      <w:r w:rsidR="00D24415">
        <w:rPr>
          <w:color w:val="auto"/>
        </w:rPr>
        <w:t>clear if</w:t>
      </w:r>
      <w:r w:rsidR="00E63E70">
        <w:rPr>
          <w:color w:val="auto"/>
        </w:rPr>
        <w:t xml:space="preserve"> the </w:t>
      </w:r>
      <w:r w:rsidR="003445B0">
        <w:rPr>
          <w:color w:val="auto"/>
        </w:rPr>
        <w:t xml:space="preserve">Program </w:t>
      </w:r>
      <w:r w:rsidR="00E63E70">
        <w:rPr>
          <w:color w:val="auto"/>
        </w:rPr>
        <w:t xml:space="preserve">undertook any </w:t>
      </w:r>
      <w:r w:rsidR="003445B0">
        <w:rPr>
          <w:color w:val="auto"/>
        </w:rPr>
        <w:t>analysis to test whether the</w:t>
      </w:r>
      <w:r w:rsidR="00E63E70">
        <w:rPr>
          <w:color w:val="auto"/>
        </w:rPr>
        <w:t xml:space="preserve"> assumptions </w:t>
      </w:r>
      <w:r w:rsidR="003445B0">
        <w:rPr>
          <w:color w:val="auto"/>
        </w:rPr>
        <w:t>would hold or to systematically plan to mitigate the consequences of them not holding</w:t>
      </w:r>
      <w:r w:rsidR="00E63E70">
        <w:rPr>
          <w:color w:val="auto"/>
        </w:rPr>
        <w:t xml:space="preserve"> – through </w:t>
      </w:r>
      <w:r w:rsidR="00B92BE5">
        <w:rPr>
          <w:color w:val="auto"/>
        </w:rPr>
        <w:t>prioritisation</w:t>
      </w:r>
      <w:r w:rsidR="00B92BE5" w:rsidRPr="00B92BE5">
        <w:rPr>
          <w:color w:val="auto"/>
        </w:rPr>
        <w:t xml:space="preserve"> </w:t>
      </w:r>
      <w:r w:rsidR="00B92BE5">
        <w:rPr>
          <w:color w:val="auto"/>
        </w:rPr>
        <w:t>and sequencing of activities</w:t>
      </w:r>
      <w:r w:rsidR="00A775B6">
        <w:rPr>
          <w:color w:val="auto"/>
        </w:rPr>
        <w:t xml:space="preserve">, planning and implementing </w:t>
      </w:r>
      <w:r w:rsidR="00A90A86">
        <w:rPr>
          <w:color w:val="auto"/>
        </w:rPr>
        <w:t xml:space="preserve">short sharp activities to </w:t>
      </w:r>
      <w:r w:rsidR="00B44800">
        <w:rPr>
          <w:color w:val="auto"/>
        </w:rPr>
        <w:t xml:space="preserve">consolidate the assumption and/or embedding staff </w:t>
      </w:r>
      <w:r w:rsidR="00403056">
        <w:rPr>
          <w:color w:val="auto"/>
        </w:rPr>
        <w:t>within the Ministry</w:t>
      </w:r>
      <w:r w:rsidR="003E78A6">
        <w:rPr>
          <w:color w:val="auto"/>
        </w:rPr>
        <w:t xml:space="preserve">. </w:t>
      </w:r>
    </w:p>
    <w:p w14:paraId="5E796C44" w14:textId="73852B44" w:rsidR="00B94AAF" w:rsidRDefault="00B94AAF" w:rsidP="00DF5451">
      <w:pPr>
        <w:spacing w:after="240"/>
      </w:pPr>
      <w:r>
        <w:t xml:space="preserve">Another key assumption </w:t>
      </w:r>
      <w:r w:rsidR="00451432">
        <w:t xml:space="preserve">(and program dependency) </w:t>
      </w:r>
      <w:r w:rsidR="003764C2">
        <w:t xml:space="preserve">relevant to </w:t>
      </w:r>
      <w:r w:rsidR="00C53995">
        <w:t xml:space="preserve">the program logic is described in the </w:t>
      </w:r>
      <w:r w:rsidR="00C93CA0">
        <w:t>section on Monitoring and Evaluation (p.19)</w:t>
      </w:r>
      <w:r w:rsidR="001C1A1C">
        <w:t>:</w:t>
      </w:r>
    </w:p>
    <w:p w14:paraId="72CE4387" w14:textId="38EF7150" w:rsidR="00A21E73" w:rsidRPr="0069506B" w:rsidRDefault="001E108F" w:rsidP="00DF5451">
      <w:pPr>
        <w:spacing w:after="240"/>
        <w:ind w:left="426" w:firstLine="11"/>
        <w:rPr>
          <w:i/>
          <w:iCs/>
        </w:rPr>
      </w:pPr>
      <w:r w:rsidRPr="0069506B">
        <w:rPr>
          <w:i/>
          <w:iCs/>
        </w:rPr>
        <w:t xml:space="preserve">The TAPQE theory of change and program logic </w:t>
      </w:r>
      <w:r w:rsidR="001D1EC3" w:rsidRPr="0069506B">
        <w:rPr>
          <w:i/>
          <w:iCs/>
        </w:rPr>
        <w:t>articulates</w:t>
      </w:r>
      <w:r w:rsidRPr="0069506B">
        <w:rPr>
          <w:i/>
          <w:iCs/>
        </w:rPr>
        <w:t xml:space="preserve"> the key outcomes expected to be achieved by the program. Yet, to document and determine the program's success in achieving its intended outcomes depends on stronger Monitoring Evaluation Research and Learning (MERL) practices and systems at </w:t>
      </w:r>
      <w:r w:rsidR="00A7242A">
        <w:rPr>
          <w:i/>
          <w:iCs/>
        </w:rPr>
        <w:t>MEHRD</w:t>
      </w:r>
      <w:r w:rsidRPr="0069506B">
        <w:rPr>
          <w:i/>
          <w:iCs/>
        </w:rPr>
        <w:t xml:space="preserve"> as supported by the investment.</w:t>
      </w:r>
    </w:p>
    <w:p w14:paraId="7673E856" w14:textId="3AE1A0B3" w:rsidR="001E108F" w:rsidRDefault="00C875C5" w:rsidP="00DF5451">
      <w:pPr>
        <w:spacing w:after="240" w:line="257" w:lineRule="auto"/>
      </w:pPr>
      <w:r>
        <w:t>This somewhat circular observation by TAPQE reinforces the complexity and interdependence built into the Program.</w:t>
      </w:r>
    </w:p>
    <w:p w14:paraId="48394E0E" w14:textId="62BC6D53" w:rsidR="001D62D1" w:rsidRDefault="003B0C75" w:rsidP="00DF5451">
      <w:pPr>
        <w:spacing w:after="240"/>
      </w:pPr>
      <w:r>
        <w:t xml:space="preserve">This </w:t>
      </w:r>
      <w:r w:rsidR="00C772FE">
        <w:t xml:space="preserve">and other design assumptions </w:t>
      </w:r>
      <w:r w:rsidR="003F2520">
        <w:t>raise</w:t>
      </w:r>
      <w:r w:rsidR="00C772FE">
        <w:t xml:space="preserve"> the question of </w:t>
      </w:r>
      <w:r w:rsidR="004A1605" w:rsidRPr="003764C2">
        <w:rPr>
          <w:b/>
          <w:bCs/>
        </w:rPr>
        <w:t>complexity of the design</w:t>
      </w:r>
      <w:r w:rsidR="004A1605">
        <w:t xml:space="preserve"> </w:t>
      </w:r>
      <w:r w:rsidR="005462CC">
        <w:t xml:space="preserve">and </w:t>
      </w:r>
      <w:r w:rsidR="00C772FE" w:rsidRPr="00451BE8">
        <w:rPr>
          <w:b/>
          <w:bCs/>
          <w:color w:val="auto"/>
        </w:rPr>
        <w:t>implications</w:t>
      </w:r>
      <w:r w:rsidR="003F2520" w:rsidRPr="00451BE8">
        <w:rPr>
          <w:b/>
          <w:bCs/>
          <w:color w:val="auto"/>
        </w:rPr>
        <w:t xml:space="preserve"> (and risks)</w:t>
      </w:r>
      <w:r w:rsidR="00C772FE" w:rsidRPr="00451BE8">
        <w:rPr>
          <w:b/>
          <w:bCs/>
          <w:color w:val="auto"/>
        </w:rPr>
        <w:t xml:space="preserve"> for Program implementation and progress</w:t>
      </w:r>
      <w:r w:rsidR="00C772FE">
        <w:t xml:space="preserve"> towards IOs and EOPOs</w:t>
      </w:r>
      <w:r w:rsidR="007925EF">
        <w:t xml:space="preserve"> </w:t>
      </w:r>
      <w:r w:rsidR="00293D49">
        <w:t xml:space="preserve">– </w:t>
      </w:r>
      <w:r w:rsidR="005462CC">
        <w:t xml:space="preserve">for example, </w:t>
      </w:r>
      <w:r w:rsidR="00293D49">
        <w:t>the interde</w:t>
      </w:r>
      <w:r w:rsidR="005462CC">
        <w:t>p</w:t>
      </w:r>
      <w:r w:rsidR="00293D49">
        <w:t xml:space="preserve">endence between the Program and </w:t>
      </w:r>
      <w:r w:rsidR="00A7242A">
        <w:t>MEHRD</w:t>
      </w:r>
      <w:r w:rsidR="00293D49">
        <w:t xml:space="preserve"> </w:t>
      </w:r>
      <w:r w:rsidR="000611CA">
        <w:t xml:space="preserve">alongside the gaps in </w:t>
      </w:r>
      <w:r w:rsidR="00A7242A">
        <w:t>MEHRD</w:t>
      </w:r>
      <w:r w:rsidR="000611CA">
        <w:t xml:space="preserve"> staff and capacity</w:t>
      </w:r>
      <w:r w:rsidR="008F7E5F">
        <w:t xml:space="preserve">. </w:t>
      </w:r>
    </w:p>
    <w:p w14:paraId="1DB40221" w14:textId="3B9D895E" w:rsidR="00FC2035" w:rsidRDefault="008F7E5F" w:rsidP="00DF5451">
      <w:pPr>
        <w:spacing w:after="240"/>
      </w:pPr>
      <w:r>
        <w:t xml:space="preserve">Unsurprisingly Section Nine in the IDD on ‘Risk management and safeguards’ </w:t>
      </w:r>
      <w:r w:rsidR="005F6557">
        <w:t>has the first ‘most important identified risk</w:t>
      </w:r>
      <w:r w:rsidR="00A7346B">
        <w:t xml:space="preserve">’ as being </w:t>
      </w:r>
      <w:r w:rsidR="00E959BB">
        <w:t>‘</w:t>
      </w:r>
      <w:r w:rsidR="00E959BB" w:rsidRPr="0069506B">
        <w:rPr>
          <w:i/>
          <w:iCs/>
        </w:rPr>
        <w:t xml:space="preserve">Program implementation is delayed </w:t>
      </w:r>
      <w:r w:rsidR="001577AF" w:rsidRPr="0069506B">
        <w:rPr>
          <w:i/>
          <w:iCs/>
        </w:rPr>
        <w:t>or DFA funding</w:t>
      </w:r>
      <w:r w:rsidR="00C54FE3">
        <w:rPr>
          <w:rStyle w:val="FootnoteReference"/>
          <w:i/>
          <w:iCs/>
        </w:rPr>
        <w:footnoteReference w:id="8"/>
      </w:r>
      <w:r w:rsidR="001577AF" w:rsidRPr="0069506B">
        <w:rPr>
          <w:i/>
          <w:iCs/>
        </w:rPr>
        <w:t xml:space="preserve"> (if used) is not fully utilised </w:t>
      </w:r>
      <w:r w:rsidR="00E959BB" w:rsidRPr="0069506B">
        <w:rPr>
          <w:i/>
          <w:iCs/>
        </w:rPr>
        <w:t xml:space="preserve">due </w:t>
      </w:r>
      <w:r w:rsidR="00E959BB" w:rsidRPr="0069506B">
        <w:rPr>
          <w:i/>
          <w:iCs/>
        </w:rPr>
        <w:lastRenderedPageBreak/>
        <w:t>to limited MEYS staff numbers and technical skills/knowledge</w:t>
      </w:r>
      <w:r w:rsidR="00E959BB">
        <w:t xml:space="preserve">’ </w:t>
      </w:r>
      <w:r w:rsidR="0027238F">
        <w:t xml:space="preserve">accompanied by an explicit </w:t>
      </w:r>
      <w:r w:rsidR="00A719C2">
        <w:t>mitigation</w:t>
      </w:r>
      <w:r w:rsidR="0050619F">
        <w:t xml:space="preserve"> strategy</w:t>
      </w:r>
      <w:r w:rsidR="0050619F">
        <w:rPr>
          <w:rStyle w:val="FootnoteReference"/>
        </w:rPr>
        <w:footnoteReference w:id="9"/>
      </w:r>
      <w:r w:rsidR="0050619F">
        <w:t xml:space="preserve">. </w:t>
      </w:r>
      <w:r w:rsidR="00A719C2">
        <w:t xml:space="preserve"> </w:t>
      </w:r>
    </w:p>
    <w:p w14:paraId="70FB6329" w14:textId="3AC41A98" w:rsidR="00E17224" w:rsidRDefault="002E111B" w:rsidP="00DF5451">
      <w:pPr>
        <w:spacing w:after="240"/>
      </w:pPr>
      <w:r>
        <w:t>T</w:t>
      </w:r>
      <w:r w:rsidR="0012629A">
        <w:t xml:space="preserve">he MTR has not found </w:t>
      </w:r>
      <w:r>
        <w:t xml:space="preserve">strong </w:t>
      </w:r>
      <w:r w:rsidR="0012629A">
        <w:t>evidence</w:t>
      </w:r>
      <w:r w:rsidR="0035201E">
        <w:t xml:space="preserve"> of ‘careful monit</w:t>
      </w:r>
      <w:r>
        <w:t>o</w:t>
      </w:r>
      <w:r w:rsidR="0035201E">
        <w:t xml:space="preserve">ring of </w:t>
      </w:r>
      <w:proofErr w:type="gramStart"/>
      <w:r w:rsidR="0035201E">
        <w:t>program progress</w:t>
      </w:r>
      <w:proofErr w:type="gramEnd"/>
      <w:r w:rsidR="0035201E">
        <w:t xml:space="preserve"> and perf</w:t>
      </w:r>
      <w:r>
        <w:t>o</w:t>
      </w:r>
      <w:r w:rsidR="0035201E">
        <w:t>rmance</w:t>
      </w:r>
      <w:r w:rsidR="005B452D">
        <w:t xml:space="preserve">' </w:t>
      </w:r>
      <w:r w:rsidR="008116F0">
        <w:t xml:space="preserve">and </w:t>
      </w:r>
      <w:r>
        <w:t xml:space="preserve">has </w:t>
      </w:r>
      <w:r w:rsidR="00C875C5">
        <w:t xml:space="preserve">observed </w:t>
      </w:r>
      <w:r w:rsidR="00E67E9F">
        <w:t xml:space="preserve">that </w:t>
      </w:r>
      <w:r w:rsidR="00EF74EA">
        <w:t xml:space="preserve">the </w:t>
      </w:r>
      <w:r w:rsidR="00EF74EA" w:rsidRPr="00B243C0">
        <w:rPr>
          <w:b/>
          <w:bCs/>
          <w:color w:val="auto"/>
        </w:rPr>
        <w:t xml:space="preserve">Program </w:t>
      </w:r>
      <w:r w:rsidR="00523EEE">
        <w:rPr>
          <w:b/>
          <w:bCs/>
          <w:color w:val="auto"/>
        </w:rPr>
        <w:t xml:space="preserve">has </w:t>
      </w:r>
      <w:r w:rsidR="00E67E9F" w:rsidRPr="00B243C0">
        <w:rPr>
          <w:b/>
          <w:bCs/>
          <w:color w:val="auto"/>
        </w:rPr>
        <w:t>report</w:t>
      </w:r>
      <w:r w:rsidR="00523EEE">
        <w:rPr>
          <w:b/>
          <w:bCs/>
          <w:color w:val="auto"/>
        </w:rPr>
        <w:t>ed</w:t>
      </w:r>
      <w:r w:rsidR="00E67E9F" w:rsidRPr="00B243C0">
        <w:rPr>
          <w:b/>
          <w:bCs/>
          <w:color w:val="auto"/>
        </w:rPr>
        <w:t xml:space="preserve"> </w:t>
      </w:r>
      <w:r w:rsidR="00EF74EA" w:rsidRPr="00B243C0">
        <w:rPr>
          <w:b/>
          <w:bCs/>
          <w:color w:val="auto"/>
        </w:rPr>
        <w:t xml:space="preserve">limitations </w:t>
      </w:r>
      <w:r w:rsidR="002C59F4" w:rsidRPr="00B243C0">
        <w:rPr>
          <w:b/>
          <w:bCs/>
          <w:color w:val="auto"/>
        </w:rPr>
        <w:t xml:space="preserve">and </w:t>
      </w:r>
      <w:r w:rsidR="00007BA0" w:rsidRPr="00B243C0">
        <w:rPr>
          <w:b/>
          <w:bCs/>
          <w:color w:val="auto"/>
        </w:rPr>
        <w:t>delays</w:t>
      </w:r>
      <w:r w:rsidR="00007BA0" w:rsidRPr="00B243C0">
        <w:rPr>
          <w:color w:val="auto"/>
        </w:rPr>
        <w:t xml:space="preserve"> </w:t>
      </w:r>
      <w:r w:rsidR="006D0B2B">
        <w:t xml:space="preserve">with activities </w:t>
      </w:r>
      <w:r w:rsidR="00007BA0">
        <w:t xml:space="preserve">due to </w:t>
      </w:r>
      <w:r w:rsidR="00A7242A">
        <w:t>MEHRD</w:t>
      </w:r>
      <w:r w:rsidR="00007BA0">
        <w:t xml:space="preserve"> </w:t>
      </w:r>
      <w:r w:rsidR="00047917">
        <w:t xml:space="preserve">engagement and </w:t>
      </w:r>
      <w:r w:rsidR="00007BA0">
        <w:t>decision-making</w:t>
      </w:r>
      <w:r w:rsidR="00E67E9F">
        <w:t xml:space="preserve">. Given this, the </w:t>
      </w:r>
      <w:r w:rsidR="004E72AE">
        <w:t>question arises as to why the pr</w:t>
      </w:r>
      <w:r w:rsidR="00A533CA">
        <w:t>oposed risk mitigation strategy</w:t>
      </w:r>
      <w:r w:rsidR="004E72AE">
        <w:t xml:space="preserve"> has not been applied.</w:t>
      </w:r>
      <w:r w:rsidR="00606CFB">
        <w:t xml:space="preserve"> More generally</w:t>
      </w:r>
      <w:r w:rsidR="00F74427">
        <w:t xml:space="preserve">, </w:t>
      </w:r>
      <w:r w:rsidR="005D7B44">
        <w:t xml:space="preserve">it raises the question of whether and how the </w:t>
      </w:r>
      <w:r w:rsidR="009416EE" w:rsidRPr="00B243C0">
        <w:rPr>
          <w:b/>
          <w:bCs/>
        </w:rPr>
        <w:t>features of the Program could be modified to increase clarity</w:t>
      </w:r>
      <w:r w:rsidR="009416EE">
        <w:t xml:space="preserve"> </w:t>
      </w:r>
      <w:r w:rsidR="00A947C9">
        <w:t xml:space="preserve">about what is to be achieved by whom. </w:t>
      </w:r>
      <w:r w:rsidR="003E3FBF">
        <w:t xml:space="preserve">Starting points for this </w:t>
      </w:r>
      <w:r w:rsidR="006121F5">
        <w:t xml:space="preserve">might be </w:t>
      </w:r>
      <w:r w:rsidR="00A947C9" w:rsidRPr="00B243C0">
        <w:rPr>
          <w:b/>
          <w:bCs/>
        </w:rPr>
        <w:t>refinement of the EOPOs</w:t>
      </w:r>
      <w:r w:rsidR="00A947C9">
        <w:t xml:space="preserve"> </w:t>
      </w:r>
      <w:r w:rsidR="0014129E">
        <w:t xml:space="preserve">and </w:t>
      </w:r>
      <w:r w:rsidR="0014129E" w:rsidRPr="00B243C0">
        <w:rPr>
          <w:b/>
          <w:bCs/>
        </w:rPr>
        <w:t>simplification of the Theory of Change</w:t>
      </w:r>
      <w:r w:rsidR="0014129E">
        <w:t xml:space="preserve"> </w:t>
      </w:r>
      <w:r w:rsidR="003E3FBF">
        <w:t>to re</w:t>
      </w:r>
      <w:r w:rsidR="006121F5">
        <w:t xml:space="preserve">move the </w:t>
      </w:r>
      <w:r w:rsidR="00A7242A">
        <w:t>MEHRD</w:t>
      </w:r>
      <w:r w:rsidR="006121F5">
        <w:t xml:space="preserve"> dependency </w:t>
      </w:r>
      <w:r w:rsidR="00854415">
        <w:t xml:space="preserve">and establish clarity about </w:t>
      </w:r>
      <w:r w:rsidR="00C7749D">
        <w:t xml:space="preserve">the </w:t>
      </w:r>
      <w:r w:rsidR="00BD23C3">
        <w:t>specific</w:t>
      </w:r>
      <w:r w:rsidR="00854415">
        <w:t xml:space="preserve"> technical or capability activities </w:t>
      </w:r>
      <w:r w:rsidR="00BD23C3">
        <w:t xml:space="preserve">which </w:t>
      </w:r>
      <w:r w:rsidR="00854415">
        <w:t xml:space="preserve">the </w:t>
      </w:r>
      <w:r w:rsidR="00BD23C3">
        <w:t xml:space="preserve">Program will </w:t>
      </w:r>
      <w:r w:rsidR="00DB6301">
        <w:t>undertake</w:t>
      </w:r>
      <w:r w:rsidR="00C7749D">
        <w:t xml:space="preserve"> (to what quality and within what timeframe)</w:t>
      </w:r>
      <w:r w:rsidR="00DB6301">
        <w:t>.</w:t>
      </w:r>
      <w:r w:rsidR="00C7749D">
        <w:t xml:space="preserve"> Under current circumstances</w:t>
      </w:r>
      <w:r w:rsidR="00AB72F0">
        <w:t>,</w:t>
      </w:r>
      <w:r w:rsidR="00C7749D">
        <w:t xml:space="preserve"> the </w:t>
      </w:r>
      <w:r w:rsidR="00B243C0" w:rsidRPr="00B243C0">
        <w:rPr>
          <w:b/>
          <w:bCs/>
        </w:rPr>
        <w:t>Program Steering Group may need to assume greater responsibility</w:t>
      </w:r>
      <w:r w:rsidR="00B243C0">
        <w:t xml:space="preserve"> for the setting and monitoring of such activities.</w:t>
      </w:r>
    </w:p>
    <w:p w14:paraId="3757BEFB" w14:textId="7BA74D03" w:rsidR="002F32C5" w:rsidRPr="0069506B" w:rsidRDefault="002F32C5" w:rsidP="00DF5451">
      <w:pPr>
        <w:spacing w:after="240"/>
        <w:rPr>
          <w:u w:val="single"/>
        </w:rPr>
      </w:pPr>
      <w:r w:rsidRPr="0069506B">
        <w:rPr>
          <w:u w:val="single"/>
        </w:rPr>
        <w:t>Current Australian development policy</w:t>
      </w:r>
    </w:p>
    <w:p w14:paraId="65DF20D8" w14:textId="09DDBB97" w:rsidR="001540A4" w:rsidRDefault="006C7684" w:rsidP="00DF5451">
      <w:pPr>
        <w:spacing w:after="240"/>
      </w:pPr>
      <w:r w:rsidRPr="006C7684">
        <w:t>Australia’s International Development Policy</w:t>
      </w:r>
      <w:r>
        <w:t xml:space="preserve"> released in </w:t>
      </w:r>
      <w:r w:rsidR="00EA6B13" w:rsidRPr="0069506B">
        <w:t xml:space="preserve">August 2023 </w:t>
      </w:r>
      <w:r w:rsidR="00CD0B22">
        <w:t xml:space="preserve">provides an updated </w:t>
      </w:r>
      <w:r w:rsidR="00B4327E">
        <w:t xml:space="preserve">expectation </w:t>
      </w:r>
      <w:r w:rsidR="00704A9E">
        <w:t xml:space="preserve">on how </w:t>
      </w:r>
      <w:r w:rsidR="00214B5D">
        <w:t>Australia’s</w:t>
      </w:r>
      <w:r w:rsidR="00704A9E">
        <w:t xml:space="preserve"> development program </w:t>
      </w:r>
      <w:r w:rsidR="00FE07C5">
        <w:t>‘will meet the critical needs of our partners</w:t>
      </w:r>
      <w:r w:rsidR="003B5931">
        <w:t xml:space="preserve">, while also supporting Australia’s </w:t>
      </w:r>
      <w:r w:rsidR="00FF6BD2">
        <w:t>national interests and the interests we share with our region</w:t>
      </w:r>
      <w:r w:rsidR="008F60B2">
        <w:t>.’ (p.7)</w:t>
      </w:r>
      <w:r w:rsidR="00097830">
        <w:t>.</w:t>
      </w:r>
    </w:p>
    <w:p w14:paraId="0C22C405" w14:textId="7650F7DB" w:rsidR="00097830" w:rsidRDefault="00F770FC" w:rsidP="00DF5451">
      <w:pPr>
        <w:spacing w:after="240"/>
      </w:pPr>
      <w:r>
        <w:t>Key elements of this new policy</w:t>
      </w:r>
      <w:r w:rsidR="00082348">
        <w:t xml:space="preserve"> (p.48)</w:t>
      </w:r>
      <w:r>
        <w:t xml:space="preserve"> include:</w:t>
      </w:r>
    </w:p>
    <w:p w14:paraId="78ED94B8" w14:textId="44621311" w:rsidR="00F770FC" w:rsidRDefault="00567A83" w:rsidP="00DF5451">
      <w:pPr>
        <w:pStyle w:val="ListParagraph"/>
        <w:numPr>
          <w:ilvl w:val="0"/>
          <w:numId w:val="26"/>
        </w:numPr>
        <w:spacing w:after="240"/>
      </w:pPr>
      <w:r w:rsidRPr="00A94145">
        <w:t>Development Partnership Plans will identify where Australia can add value to a country’s national development priorities and how we work with other development actors.</w:t>
      </w:r>
    </w:p>
    <w:p w14:paraId="584328C4" w14:textId="4C83D764" w:rsidR="00567A83" w:rsidRDefault="0094572E" w:rsidP="00DF5451">
      <w:pPr>
        <w:pStyle w:val="ListParagraph"/>
        <w:numPr>
          <w:ilvl w:val="0"/>
          <w:numId w:val="26"/>
        </w:numPr>
        <w:spacing w:after="240"/>
      </w:pPr>
      <w:r>
        <w:t xml:space="preserve">… </w:t>
      </w:r>
      <w:r w:rsidRPr="0094572E">
        <w:t>the indicator framework will reinforce implementation of the priorities of the policy</w:t>
      </w:r>
      <w:r w:rsidR="00D16C82">
        <w:t xml:space="preserve">, including indicators to track results directly attributable to </w:t>
      </w:r>
      <w:r w:rsidR="00B15751">
        <w:t>Australian development efforts.</w:t>
      </w:r>
    </w:p>
    <w:p w14:paraId="0B977095" w14:textId="3ACDA573" w:rsidR="00567A83" w:rsidRPr="00542B9A" w:rsidRDefault="00E363B3" w:rsidP="00DF5451">
      <w:pPr>
        <w:pStyle w:val="ListParagraph"/>
        <w:numPr>
          <w:ilvl w:val="0"/>
          <w:numId w:val="26"/>
        </w:numPr>
        <w:spacing w:after="240"/>
        <w:rPr>
          <w:color w:val="auto"/>
        </w:rPr>
      </w:pPr>
      <w:r>
        <w:t xml:space="preserve">Investments over AUD3m </w:t>
      </w:r>
      <w:r w:rsidR="00C2500E">
        <w:t>must include a gender equality objective and from 2024-25</w:t>
      </w:r>
      <w:r w:rsidR="004204BC">
        <w:t xml:space="preserve"> a climate change objective</w:t>
      </w:r>
      <w:r w:rsidR="00082348">
        <w:t>.</w:t>
      </w:r>
    </w:p>
    <w:p w14:paraId="082B48A7" w14:textId="06C7FDF1" w:rsidR="008743ED" w:rsidRPr="0069506B" w:rsidRDefault="008743ED" w:rsidP="00DF5451">
      <w:pPr>
        <w:spacing w:after="240"/>
        <w:rPr>
          <w:color w:val="auto"/>
        </w:rPr>
      </w:pPr>
      <w:r>
        <w:rPr>
          <w:color w:val="auto"/>
        </w:rPr>
        <w:t xml:space="preserve">The TAPQE Program </w:t>
      </w:r>
      <w:r w:rsidR="001101C8">
        <w:rPr>
          <w:color w:val="auto"/>
        </w:rPr>
        <w:t xml:space="preserve">Planning and MERL activities </w:t>
      </w:r>
      <w:r w:rsidR="00B01B43">
        <w:rPr>
          <w:color w:val="auto"/>
        </w:rPr>
        <w:t xml:space="preserve">explicitly </w:t>
      </w:r>
      <w:r w:rsidR="00920E90">
        <w:rPr>
          <w:color w:val="auto"/>
        </w:rPr>
        <w:t xml:space="preserve">address GEDSI and Climate Change, however, </w:t>
      </w:r>
      <w:r w:rsidR="007F38DE">
        <w:rPr>
          <w:color w:val="auto"/>
        </w:rPr>
        <w:t xml:space="preserve">the MTR review provides </w:t>
      </w:r>
      <w:r w:rsidR="004A72FC">
        <w:rPr>
          <w:color w:val="auto"/>
        </w:rPr>
        <w:t xml:space="preserve">an opportunity to </w:t>
      </w:r>
      <w:r w:rsidR="004A72FC" w:rsidRPr="00B4327E">
        <w:rPr>
          <w:b/>
          <w:bCs/>
          <w:color w:val="auto"/>
        </w:rPr>
        <w:t>review the EOPOs</w:t>
      </w:r>
      <w:r w:rsidR="004A72FC">
        <w:rPr>
          <w:color w:val="auto"/>
        </w:rPr>
        <w:t xml:space="preserve"> (DFAT</w:t>
      </w:r>
      <w:r w:rsidR="00151785">
        <w:rPr>
          <w:color w:val="auto"/>
        </w:rPr>
        <w:t xml:space="preserve"> Design and monitoring</w:t>
      </w:r>
      <w:r w:rsidR="005A5A58">
        <w:rPr>
          <w:color w:val="auto"/>
        </w:rPr>
        <w:t xml:space="preserve">, evaluation and learning standards p.29) to ensure the </w:t>
      </w:r>
      <w:r w:rsidR="005A5A58" w:rsidRPr="00B4327E">
        <w:rPr>
          <w:b/>
          <w:bCs/>
          <w:color w:val="auto"/>
        </w:rPr>
        <w:t xml:space="preserve">Program </w:t>
      </w:r>
      <w:r w:rsidR="00B6286F" w:rsidRPr="00B4327E">
        <w:rPr>
          <w:b/>
          <w:bCs/>
          <w:color w:val="auto"/>
        </w:rPr>
        <w:t xml:space="preserve">incorporates current </w:t>
      </w:r>
      <w:r w:rsidR="000F2C2D">
        <w:rPr>
          <w:b/>
          <w:bCs/>
          <w:color w:val="auto"/>
        </w:rPr>
        <w:t xml:space="preserve">DFAT </w:t>
      </w:r>
      <w:r w:rsidR="00B6286F" w:rsidRPr="00B4327E">
        <w:rPr>
          <w:b/>
          <w:bCs/>
          <w:color w:val="auto"/>
        </w:rPr>
        <w:t>development expectations</w:t>
      </w:r>
      <w:r w:rsidR="000F2C2D">
        <w:rPr>
          <w:color w:val="auto"/>
        </w:rPr>
        <w:t xml:space="preserve"> and opportunities.</w:t>
      </w:r>
      <w:r w:rsidR="005A5A58">
        <w:rPr>
          <w:color w:val="auto"/>
        </w:rPr>
        <w:t xml:space="preserve"> </w:t>
      </w:r>
      <w:r w:rsidR="00071E45">
        <w:rPr>
          <w:color w:val="auto"/>
        </w:rPr>
        <w:t xml:space="preserve">See </w:t>
      </w:r>
      <w:r w:rsidR="00402D26">
        <w:rPr>
          <w:color w:val="auto"/>
        </w:rPr>
        <w:t xml:space="preserve">further discussion on this </w:t>
      </w:r>
      <w:r w:rsidR="003532BA">
        <w:rPr>
          <w:color w:val="auto"/>
        </w:rPr>
        <w:t>in Recommendation 1, in the previous section on ‘interdepe</w:t>
      </w:r>
      <w:r w:rsidR="003766DC">
        <w:rPr>
          <w:color w:val="auto"/>
        </w:rPr>
        <w:t xml:space="preserve">ndence’ (p.10) and </w:t>
      </w:r>
      <w:r w:rsidR="006E7175">
        <w:rPr>
          <w:color w:val="auto"/>
        </w:rPr>
        <w:t>in relation to Review Question 2 (p.13).</w:t>
      </w:r>
    </w:p>
    <w:p w14:paraId="53CE7C29" w14:textId="34128F15" w:rsidR="00B6286F" w:rsidRPr="001442BD" w:rsidRDefault="00072184" w:rsidP="00DF5451">
      <w:pPr>
        <w:pStyle w:val="ListParagraph"/>
        <w:keepNext/>
        <w:numPr>
          <w:ilvl w:val="0"/>
          <w:numId w:val="7"/>
        </w:numPr>
        <w:spacing w:after="240"/>
        <w:ind w:left="425" w:hanging="425"/>
        <w:rPr>
          <w:rStyle w:val="SubtleEmphasis"/>
        </w:rPr>
      </w:pPr>
      <w:r w:rsidRPr="001442BD">
        <w:rPr>
          <w:rStyle w:val="SubtleEmphasis"/>
        </w:rPr>
        <w:lastRenderedPageBreak/>
        <w:t>To what extent does the Program align with TESP IV priorities, MEHRD priorities and with other partner programs?</w:t>
      </w:r>
    </w:p>
    <w:p w14:paraId="548ADCAA" w14:textId="0F59576C" w:rsidR="00E568BC" w:rsidRDefault="00E568BC" w:rsidP="00DF5451">
      <w:pPr>
        <w:spacing w:after="240"/>
      </w:pPr>
      <w:r w:rsidRPr="00E568BC">
        <w:t xml:space="preserve">There is </w:t>
      </w:r>
      <w:r w:rsidR="00FA1DE6">
        <w:t>strong</w:t>
      </w:r>
      <w:r w:rsidR="00FA1DE6" w:rsidRPr="00E568BC">
        <w:t xml:space="preserve"> </w:t>
      </w:r>
      <w:r w:rsidRPr="00E568BC">
        <w:t xml:space="preserve">alignment between the TAPQE Program and TESP IV, MEHRD priorities and with other partner programs – by design. This alignment creates opportunities for overall simplification of planning and implementation and increased effectiveness and efficiency. </w:t>
      </w:r>
    </w:p>
    <w:p w14:paraId="7D9D7551" w14:textId="2B001D98" w:rsidR="001229E6" w:rsidRDefault="001229E6" w:rsidP="00DF5451">
      <w:pPr>
        <w:spacing w:after="240"/>
        <w:rPr>
          <w:lang w:val="en-AU"/>
        </w:rPr>
      </w:pPr>
      <w:r>
        <w:t xml:space="preserve">The </w:t>
      </w:r>
      <w:r w:rsidR="00F8463D">
        <w:t xml:space="preserve">Executive Summary of the </w:t>
      </w:r>
      <w:r w:rsidRPr="009641F7">
        <w:rPr>
          <w:i/>
          <w:iCs/>
        </w:rPr>
        <w:t xml:space="preserve">2024 </w:t>
      </w:r>
      <w:r w:rsidR="009641F7" w:rsidRPr="009641F7">
        <w:rPr>
          <w:i/>
          <w:iCs/>
        </w:rPr>
        <w:t xml:space="preserve">TAPQE </w:t>
      </w:r>
      <w:r w:rsidRPr="009641F7">
        <w:rPr>
          <w:i/>
          <w:iCs/>
        </w:rPr>
        <w:t>Annual Work Plan</w:t>
      </w:r>
      <w:r>
        <w:t xml:space="preserve"> </w:t>
      </w:r>
      <w:r w:rsidR="00D47283">
        <w:t xml:space="preserve">focuses on </w:t>
      </w:r>
      <w:r w:rsidR="00FA3A20" w:rsidRPr="00542B9A">
        <w:rPr>
          <w:b/>
          <w:bCs/>
        </w:rPr>
        <w:t>alignment</w:t>
      </w:r>
      <w:r w:rsidR="00FA3A20" w:rsidRPr="00542B9A">
        <w:rPr>
          <w:rStyle w:val="FootnoteReference"/>
          <w:b/>
          <w:bCs/>
        </w:rPr>
        <w:footnoteReference w:id="10"/>
      </w:r>
      <w:r w:rsidR="00FA3A20" w:rsidRPr="00542B9A">
        <w:rPr>
          <w:b/>
          <w:bCs/>
        </w:rPr>
        <w:t xml:space="preserve"> of MEHRD and TAPQE </w:t>
      </w:r>
      <w:r w:rsidR="002D4405" w:rsidRPr="00542B9A">
        <w:rPr>
          <w:b/>
          <w:bCs/>
        </w:rPr>
        <w:t>planning</w:t>
      </w:r>
      <w:r w:rsidR="002D4405">
        <w:t xml:space="preserve"> </w:t>
      </w:r>
      <w:r w:rsidR="002D4405">
        <w:rPr>
          <w:lang w:val="en-AU"/>
        </w:rPr>
        <w:t>and</w:t>
      </w:r>
      <w:r w:rsidR="00BB1953">
        <w:rPr>
          <w:lang w:val="en-AU"/>
        </w:rPr>
        <w:t xml:space="preserve"> </w:t>
      </w:r>
      <w:r w:rsidR="00AD72CD">
        <w:rPr>
          <w:lang w:val="en-AU"/>
        </w:rPr>
        <w:t>the</w:t>
      </w:r>
      <w:r w:rsidR="00E26312">
        <w:rPr>
          <w:lang w:val="en-AU"/>
        </w:rPr>
        <w:t xml:space="preserve"> need to </w:t>
      </w:r>
      <w:r w:rsidR="0019585D">
        <w:rPr>
          <w:lang w:val="en-AU"/>
        </w:rPr>
        <w:t xml:space="preserve">consider </w:t>
      </w:r>
      <w:r w:rsidR="00E26312">
        <w:rPr>
          <w:lang w:val="en-AU"/>
        </w:rPr>
        <w:t xml:space="preserve">adjustments </w:t>
      </w:r>
      <w:r w:rsidR="00F805E4">
        <w:rPr>
          <w:lang w:val="en-AU"/>
        </w:rPr>
        <w:t>to the Work Plan</w:t>
      </w:r>
      <w:r w:rsidR="0019585D">
        <w:rPr>
          <w:lang w:val="en-AU"/>
        </w:rPr>
        <w:t xml:space="preserve"> </w:t>
      </w:r>
      <w:r w:rsidR="00E26312">
        <w:rPr>
          <w:lang w:val="en-AU"/>
        </w:rPr>
        <w:t xml:space="preserve">once TESP IV is </w:t>
      </w:r>
      <w:r w:rsidR="0019585D">
        <w:rPr>
          <w:lang w:val="en-AU"/>
        </w:rPr>
        <w:t>finalised</w:t>
      </w:r>
      <w:r w:rsidR="007B3417">
        <w:rPr>
          <w:lang w:val="en-AU"/>
        </w:rPr>
        <w:t>.</w:t>
      </w:r>
    </w:p>
    <w:p w14:paraId="43AEEBC1" w14:textId="36E486A1" w:rsidR="002B4E43" w:rsidRDefault="00FA3A20" w:rsidP="00DF5451">
      <w:pPr>
        <w:spacing w:after="240"/>
        <w:rPr>
          <w:lang w:val="en-AU"/>
        </w:rPr>
      </w:pPr>
      <w:r>
        <w:rPr>
          <w:lang w:val="en-AU"/>
        </w:rPr>
        <w:t>Reflecting this planned alignment t</w:t>
      </w:r>
      <w:r w:rsidR="00C24405">
        <w:rPr>
          <w:lang w:val="en-AU"/>
        </w:rPr>
        <w:t xml:space="preserve">he </w:t>
      </w:r>
      <w:r w:rsidR="00C24405" w:rsidRPr="005E77D5">
        <w:rPr>
          <w:i/>
          <w:iCs/>
          <w:lang w:val="en-AU"/>
        </w:rPr>
        <w:t>TAPQE MERL Framework (Interim)</w:t>
      </w:r>
      <w:r w:rsidR="00582C58">
        <w:rPr>
          <w:lang w:val="en-AU"/>
        </w:rPr>
        <w:t xml:space="preserve"> </w:t>
      </w:r>
      <w:r w:rsidR="006B14AA">
        <w:rPr>
          <w:lang w:val="en-AU"/>
        </w:rPr>
        <w:t>notes an ‘Interim MERL approach’</w:t>
      </w:r>
      <w:r>
        <w:rPr>
          <w:rStyle w:val="FootnoteReference"/>
          <w:lang w:val="en-AU"/>
        </w:rPr>
        <w:footnoteReference w:id="11"/>
      </w:r>
      <w:r w:rsidR="00DF59FE">
        <w:rPr>
          <w:lang w:val="en-AU"/>
        </w:rPr>
        <w:t xml:space="preserve"> and </w:t>
      </w:r>
      <w:r w:rsidR="00A22FEC">
        <w:rPr>
          <w:lang w:val="en-AU"/>
        </w:rPr>
        <w:t xml:space="preserve">includes </w:t>
      </w:r>
      <w:r w:rsidR="006575C5">
        <w:rPr>
          <w:lang w:val="en-AU"/>
        </w:rPr>
        <w:t xml:space="preserve">an illustration of the alignment between the </w:t>
      </w:r>
      <w:r w:rsidR="00E97D36">
        <w:rPr>
          <w:lang w:val="en-AU"/>
        </w:rPr>
        <w:t xml:space="preserve">TAPQE program logic and the </w:t>
      </w:r>
      <w:r w:rsidR="00E97D36" w:rsidRPr="00E97D36">
        <w:rPr>
          <w:lang w:val="en-AU"/>
        </w:rPr>
        <w:t>Tuvalu GPE Partnership Compact for Education Reform (November 2023)</w:t>
      </w:r>
      <w:r w:rsidR="00FB6896">
        <w:rPr>
          <w:lang w:val="en-AU"/>
        </w:rPr>
        <w:t>.</w:t>
      </w:r>
    </w:p>
    <w:p w14:paraId="1EC2586D" w14:textId="58CC2609" w:rsidR="001229E6" w:rsidRDefault="00B96D5B" w:rsidP="00DF5451">
      <w:pPr>
        <w:spacing w:after="240"/>
      </w:pPr>
      <w:r>
        <w:t xml:space="preserve">The Director </w:t>
      </w:r>
      <w:r w:rsidR="005563DB">
        <w:t xml:space="preserve">of </w:t>
      </w:r>
      <w:r>
        <w:t xml:space="preserve">Education in his interview with the </w:t>
      </w:r>
      <w:r w:rsidR="00165A4E">
        <w:t>MTR team</w:t>
      </w:r>
      <w:r w:rsidR="00640883">
        <w:t xml:space="preserve"> </w:t>
      </w:r>
      <w:r w:rsidR="00CC472E">
        <w:t xml:space="preserve">acknowledged the </w:t>
      </w:r>
      <w:r w:rsidR="0077025D">
        <w:t>‘</w:t>
      </w:r>
      <w:r w:rsidR="00E44A0B" w:rsidRPr="00E44A0B">
        <w:t>very broad area encompassed by the TAPQE</w:t>
      </w:r>
      <w:r w:rsidR="00A64B5C">
        <w:t xml:space="preserve"> (Program)</w:t>
      </w:r>
      <w:r w:rsidR="00E44A0B" w:rsidRPr="00E44A0B">
        <w:t xml:space="preserve"> including literacy, numeracy and supporting the Education Department in those different components</w:t>
      </w:r>
      <w:r w:rsidR="00276B06">
        <w:t xml:space="preserve"> … </w:t>
      </w:r>
      <w:r w:rsidR="00E44A0B" w:rsidRPr="00E44A0B">
        <w:t>assistance with our human resource plan, the workforce plan</w:t>
      </w:r>
      <w:r w:rsidR="00276B06">
        <w:t xml:space="preserve"> …</w:t>
      </w:r>
      <w:r w:rsidR="00E44A0B" w:rsidRPr="00E44A0B">
        <w:t xml:space="preserve"> also the TEMIS</w:t>
      </w:r>
      <w:r w:rsidR="0077025D">
        <w:t xml:space="preserve"> …</w:t>
      </w:r>
      <w:r w:rsidR="00E44A0B" w:rsidRPr="00E44A0B">
        <w:t xml:space="preserve"> the MEL </w:t>
      </w:r>
      <w:r w:rsidR="0077025D">
        <w:t>and</w:t>
      </w:r>
      <w:r w:rsidR="00E44A0B" w:rsidRPr="00E44A0B">
        <w:t xml:space="preserve"> assisting us to complete the TESP IV</w:t>
      </w:r>
      <w:r w:rsidR="0077025D">
        <w:t>’. He was explicit</w:t>
      </w:r>
      <w:r w:rsidR="00CF1184">
        <w:t xml:space="preserve"> in acknowledging the ‘</w:t>
      </w:r>
      <w:r w:rsidR="00CF1184" w:rsidRPr="001216F4">
        <w:rPr>
          <w:b/>
          <w:bCs/>
        </w:rPr>
        <w:t xml:space="preserve">benefits that we received </w:t>
      </w:r>
      <w:r w:rsidR="004F13EC" w:rsidRPr="001216F4">
        <w:rPr>
          <w:b/>
          <w:bCs/>
        </w:rPr>
        <w:t xml:space="preserve">from the services provided by </w:t>
      </w:r>
      <w:proofErr w:type="gramStart"/>
      <w:r w:rsidR="004F13EC" w:rsidRPr="001216F4">
        <w:rPr>
          <w:b/>
          <w:bCs/>
        </w:rPr>
        <w:t>TAPQE</w:t>
      </w:r>
      <w:r w:rsidR="004F13EC">
        <w:t>’.</w:t>
      </w:r>
      <w:proofErr w:type="gramEnd"/>
    </w:p>
    <w:p w14:paraId="63E09B66" w14:textId="0BA2AEF2" w:rsidR="00CA39CF" w:rsidRPr="001442BD" w:rsidRDefault="00072184" w:rsidP="00DF5451">
      <w:pPr>
        <w:pStyle w:val="ListParagraph"/>
        <w:numPr>
          <w:ilvl w:val="0"/>
          <w:numId w:val="7"/>
        </w:numPr>
        <w:spacing w:after="240"/>
        <w:ind w:left="426" w:hanging="426"/>
        <w:rPr>
          <w:rStyle w:val="SubtleEmphasis"/>
        </w:rPr>
      </w:pPr>
      <w:r w:rsidRPr="001442BD">
        <w:rPr>
          <w:rStyle w:val="SubtleEmphasis"/>
        </w:rPr>
        <w:t xml:space="preserve">ow well is the Program aligned with the needs of the target </w:t>
      </w:r>
      <w:proofErr w:type="gramStart"/>
      <w:r w:rsidRPr="001442BD">
        <w:rPr>
          <w:rStyle w:val="SubtleEmphasis"/>
        </w:rPr>
        <w:t>beneficiaries?</w:t>
      </w:r>
      <w:bookmarkStart w:id="11" w:name="_Hlk189289706"/>
      <w:proofErr w:type="gramEnd"/>
    </w:p>
    <w:p w14:paraId="38A26C15" w14:textId="32DC3646" w:rsidR="004C0684" w:rsidRDefault="007F719E" w:rsidP="00DF5451">
      <w:pPr>
        <w:spacing w:after="240"/>
        <w:rPr>
          <w:lang w:val="en-AU"/>
        </w:rPr>
      </w:pPr>
      <w:r>
        <w:rPr>
          <w:lang w:val="en-AU"/>
        </w:rPr>
        <w:t>The Program</w:t>
      </w:r>
      <w:r w:rsidR="00CD5EDD">
        <w:rPr>
          <w:lang w:val="en-AU"/>
        </w:rPr>
        <w:t xml:space="preserve"> EOPOs and IOs </w:t>
      </w:r>
      <w:r w:rsidR="00EE4388">
        <w:rPr>
          <w:lang w:val="en-AU"/>
        </w:rPr>
        <w:t xml:space="preserve">refer to </w:t>
      </w:r>
      <w:r w:rsidR="00CD5EDD" w:rsidRPr="00F4047B">
        <w:rPr>
          <w:b/>
          <w:bCs/>
          <w:lang w:val="en-AU"/>
        </w:rPr>
        <w:t xml:space="preserve">boys and girls, children </w:t>
      </w:r>
      <w:r w:rsidR="0092474E" w:rsidRPr="00F4047B">
        <w:rPr>
          <w:b/>
          <w:bCs/>
          <w:lang w:val="en-AU"/>
        </w:rPr>
        <w:t>with disabilit</w:t>
      </w:r>
      <w:r w:rsidR="00EE4388" w:rsidRPr="00F4047B">
        <w:rPr>
          <w:b/>
          <w:bCs/>
          <w:lang w:val="en-AU"/>
        </w:rPr>
        <w:t xml:space="preserve">y, </w:t>
      </w:r>
      <w:r w:rsidR="00257EDD" w:rsidRPr="00F4047B">
        <w:rPr>
          <w:b/>
          <w:bCs/>
          <w:lang w:val="en-AU"/>
        </w:rPr>
        <w:t xml:space="preserve">and </w:t>
      </w:r>
      <w:r w:rsidR="003F0547" w:rsidRPr="00F4047B">
        <w:rPr>
          <w:b/>
          <w:bCs/>
          <w:lang w:val="en-AU"/>
        </w:rPr>
        <w:t>Ministry</w:t>
      </w:r>
      <w:r w:rsidR="0092474E" w:rsidRPr="00F4047B">
        <w:rPr>
          <w:b/>
          <w:bCs/>
          <w:lang w:val="en-AU"/>
        </w:rPr>
        <w:t xml:space="preserve"> </w:t>
      </w:r>
      <w:r w:rsidR="00257EDD" w:rsidRPr="00F4047B">
        <w:rPr>
          <w:b/>
          <w:bCs/>
          <w:lang w:val="en-AU"/>
        </w:rPr>
        <w:t>personnel</w:t>
      </w:r>
      <w:r w:rsidR="00257EDD">
        <w:rPr>
          <w:lang w:val="en-AU"/>
        </w:rPr>
        <w:t xml:space="preserve">. The IOs refer to </w:t>
      </w:r>
      <w:r w:rsidR="0085432D" w:rsidRPr="00F4047B">
        <w:rPr>
          <w:b/>
          <w:bCs/>
          <w:lang w:val="en-AU"/>
        </w:rPr>
        <w:t xml:space="preserve">teachers, </w:t>
      </w:r>
      <w:r w:rsidR="004D35CB" w:rsidRPr="00F4047B">
        <w:rPr>
          <w:b/>
          <w:bCs/>
          <w:lang w:val="en-AU"/>
        </w:rPr>
        <w:t xml:space="preserve">primary schools, head teachers, communities, </w:t>
      </w:r>
      <w:r w:rsidR="00AB7DFE" w:rsidRPr="00F4047B">
        <w:rPr>
          <w:b/>
          <w:bCs/>
          <w:lang w:val="en-AU"/>
        </w:rPr>
        <w:t xml:space="preserve">students, </w:t>
      </w:r>
      <w:r w:rsidR="005F708D" w:rsidRPr="00F4047B">
        <w:rPr>
          <w:b/>
          <w:bCs/>
          <w:lang w:val="en-AU"/>
        </w:rPr>
        <w:t xml:space="preserve">and </w:t>
      </w:r>
      <w:r w:rsidR="00AB7DFE" w:rsidRPr="00F4047B">
        <w:rPr>
          <w:b/>
          <w:bCs/>
          <w:lang w:val="en-AU"/>
        </w:rPr>
        <w:t>secondary schools</w:t>
      </w:r>
      <w:r w:rsidR="005F708D">
        <w:rPr>
          <w:lang w:val="en-AU"/>
        </w:rPr>
        <w:t xml:space="preserve">. There is also an </w:t>
      </w:r>
      <w:r w:rsidR="00E7108B">
        <w:rPr>
          <w:lang w:val="en-AU"/>
        </w:rPr>
        <w:t>implied reference to out-of-school children.</w:t>
      </w:r>
      <w:r w:rsidR="004C0684">
        <w:rPr>
          <w:lang w:val="en-AU"/>
        </w:rPr>
        <w:t xml:space="preserve"> </w:t>
      </w:r>
      <w:r w:rsidR="004C0684" w:rsidRPr="00D939DA">
        <w:t xml:space="preserve">The </w:t>
      </w:r>
      <w:r w:rsidR="000813C7" w:rsidRPr="001319EC">
        <w:rPr>
          <w:i/>
          <w:iCs/>
          <w:lang w:val="en-AU"/>
        </w:rPr>
        <w:t>TAPQE MERL Framework (Interim)</w:t>
      </w:r>
      <w:r w:rsidR="00A414FF">
        <w:rPr>
          <w:i/>
          <w:iCs/>
          <w:lang w:val="en-AU"/>
        </w:rPr>
        <w:t xml:space="preserve"> </w:t>
      </w:r>
      <w:r w:rsidR="004C0684">
        <w:t>includes two references to ‘</w:t>
      </w:r>
      <w:proofErr w:type="gramStart"/>
      <w:r w:rsidR="00C625B2">
        <w:t>beneficiaries’</w:t>
      </w:r>
      <w:proofErr w:type="gramEnd"/>
      <w:r w:rsidR="004C0684">
        <w:t>. One (p.6) being ‘</w:t>
      </w:r>
      <w:r w:rsidR="004C0684" w:rsidRPr="002F3CFC">
        <w:rPr>
          <w:lang w:val="en-AU"/>
        </w:rPr>
        <w:t>This means TAPQE will use locally led, inclusive and participatory ways of engaging local actors and program beneficiaries.</w:t>
      </w:r>
      <w:r w:rsidR="004C0684">
        <w:rPr>
          <w:lang w:val="en-AU"/>
        </w:rPr>
        <w:t xml:space="preserve">’ </w:t>
      </w:r>
    </w:p>
    <w:p w14:paraId="1A562618" w14:textId="58FAE871" w:rsidR="004D09F0" w:rsidRDefault="001F4C3A" w:rsidP="00DF5451">
      <w:pPr>
        <w:spacing w:after="240"/>
      </w:pPr>
      <w:r>
        <w:rPr>
          <w:lang w:val="en-AU"/>
        </w:rPr>
        <w:t>There does not</w:t>
      </w:r>
      <w:r w:rsidR="00AC4F9F">
        <w:rPr>
          <w:lang w:val="en-AU"/>
        </w:rPr>
        <w:t xml:space="preserve"> appear to be any </w:t>
      </w:r>
      <w:r w:rsidR="0061405E">
        <w:rPr>
          <w:lang w:val="en-AU"/>
        </w:rPr>
        <w:t xml:space="preserve">more </w:t>
      </w:r>
      <w:r w:rsidR="00AC4F9F">
        <w:rPr>
          <w:lang w:val="en-AU"/>
        </w:rPr>
        <w:t xml:space="preserve">specific discussion </w:t>
      </w:r>
      <w:r w:rsidR="0061405E">
        <w:rPr>
          <w:lang w:val="en-AU"/>
        </w:rPr>
        <w:t>of</w:t>
      </w:r>
      <w:r w:rsidR="00C40F2D">
        <w:rPr>
          <w:lang w:val="en-AU"/>
        </w:rPr>
        <w:t>,</w:t>
      </w:r>
      <w:r w:rsidR="0061405E">
        <w:rPr>
          <w:lang w:val="en-AU"/>
        </w:rPr>
        <w:t xml:space="preserve"> or reference t</w:t>
      </w:r>
      <w:r w:rsidR="00C40F2D">
        <w:rPr>
          <w:lang w:val="en-AU"/>
        </w:rPr>
        <w:t xml:space="preserve">o, </w:t>
      </w:r>
      <w:r w:rsidR="00AC4F9F">
        <w:rPr>
          <w:lang w:val="en-AU"/>
        </w:rPr>
        <w:t xml:space="preserve">program beneficiaries </w:t>
      </w:r>
      <w:r w:rsidR="00C40F2D">
        <w:rPr>
          <w:lang w:val="en-AU"/>
        </w:rPr>
        <w:t>beyond this level</w:t>
      </w:r>
      <w:r w:rsidR="007C7201">
        <w:rPr>
          <w:lang w:val="en-AU"/>
        </w:rPr>
        <w:t>. Th</w:t>
      </w:r>
      <w:r w:rsidR="002922EE">
        <w:rPr>
          <w:lang w:val="en-AU"/>
        </w:rPr>
        <w:t xml:space="preserve">e apparent lack of </w:t>
      </w:r>
      <w:r w:rsidR="00B074E5">
        <w:rPr>
          <w:lang w:val="en-AU"/>
        </w:rPr>
        <w:t xml:space="preserve">more specific </w:t>
      </w:r>
      <w:r w:rsidR="002922EE">
        <w:rPr>
          <w:lang w:val="en-AU"/>
        </w:rPr>
        <w:t xml:space="preserve">consideration </w:t>
      </w:r>
      <w:r w:rsidR="00FF0F9F">
        <w:rPr>
          <w:lang w:val="en-AU"/>
        </w:rPr>
        <w:t xml:space="preserve">raises questions about </w:t>
      </w:r>
      <w:r w:rsidR="00B65902">
        <w:rPr>
          <w:lang w:val="en-AU"/>
        </w:rPr>
        <w:t xml:space="preserve">‘lost </w:t>
      </w:r>
      <w:r w:rsidR="00FF0F9F">
        <w:rPr>
          <w:lang w:val="en-AU"/>
        </w:rPr>
        <w:t>opportunities</w:t>
      </w:r>
      <w:r w:rsidR="00B65902">
        <w:rPr>
          <w:lang w:val="en-AU"/>
        </w:rPr>
        <w:t xml:space="preserve">’ </w:t>
      </w:r>
      <w:r w:rsidR="00FF0F9F">
        <w:rPr>
          <w:lang w:val="en-AU"/>
        </w:rPr>
        <w:t xml:space="preserve">to target and/or report </w:t>
      </w:r>
      <w:r w:rsidR="0097329F">
        <w:rPr>
          <w:lang w:val="en-AU"/>
        </w:rPr>
        <w:t>more specifically. For example</w:t>
      </w:r>
      <w:r w:rsidR="00B65902">
        <w:rPr>
          <w:lang w:val="en-AU"/>
        </w:rPr>
        <w:t>,</w:t>
      </w:r>
      <w:r w:rsidR="0097329F">
        <w:rPr>
          <w:lang w:val="en-AU"/>
        </w:rPr>
        <w:t xml:space="preserve"> </w:t>
      </w:r>
      <w:r w:rsidR="003B77A2">
        <w:rPr>
          <w:lang w:val="en-AU"/>
        </w:rPr>
        <w:t xml:space="preserve">as discussed </w:t>
      </w:r>
      <w:r w:rsidR="00B128F9">
        <w:rPr>
          <w:lang w:val="en-AU"/>
        </w:rPr>
        <w:t xml:space="preserve">later in the </w:t>
      </w:r>
      <w:r w:rsidR="00E1054B">
        <w:rPr>
          <w:lang w:val="en-AU"/>
        </w:rPr>
        <w:t>report</w:t>
      </w:r>
      <w:r w:rsidR="003A0A9B">
        <w:rPr>
          <w:lang w:val="en-AU"/>
        </w:rPr>
        <w:t xml:space="preserve">, the Program </w:t>
      </w:r>
      <w:r w:rsidR="00E1054B">
        <w:rPr>
          <w:lang w:val="en-AU"/>
        </w:rPr>
        <w:t xml:space="preserve">paid </w:t>
      </w:r>
      <w:r w:rsidR="0097329F">
        <w:rPr>
          <w:lang w:val="en-AU"/>
        </w:rPr>
        <w:t xml:space="preserve">attention </w:t>
      </w:r>
      <w:r w:rsidR="005C5B23">
        <w:rPr>
          <w:lang w:val="en-AU"/>
        </w:rPr>
        <w:t xml:space="preserve">to meeting </w:t>
      </w:r>
      <w:r w:rsidR="0053182A">
        <w:rPr>
          <w:lang w:val="en-AU"/>
        </w:rPr>
        <w:t xml:space="preserve">the needs of </w:t>
      </w:r>
      <w:r w:rsidR="002045FF">
        <w:rPr>
          <w:lang w:val="en-AU"/>
        </w:rPr>
        <w:t>a student with vision impairment</w:t>
      </w:r>
      <w:r w:rsidR="005C5B23">
        <w:rPr>
          <w:lang w:val="en-AU"/>
        </w:rPr>
        <w:t xml:space="preserve"> with </w:t>
      </w:r>
      <w:r w:rsidR="004943DE">
        <w:rPr>
          <w:lang w:val="en-AU"/>
        </w:rPr>
        <w:t>benefits accruing to this student</w:t>
      </w:r>
      <w:r w:rsidR="0053182A">
        <w:rPr>
          <w:lang w:val="en-AU"/>
        </w:rPr>
        <w:t xml:space="preserve">. </w:t>
      </w:r>
      <w:r w:rsidR="00CD65F2">
        <w:rPr>
          <w:lang w:val="en-AU"/>
        </w:rPr>
        <w:t xml:space="preserve"> </w:t>
      </w:r>
      <w:r w:rsidR="007D470D">
        <w:rPr>
          <w:lang w:val="en-AU"/>
        </w:rPr>
        <w:t>W</w:t>
      </w:r>
      <w:r w:rsidR="001D19AB">
        <w:rPr>
          <w:lang w:val="en-AU"/>
        </w:rPr>
        <w:t>hile this was an obvious need warranting attention</w:t>
      </w:r>
      <w:r w:rsidR="009E5510">
        <w:rPr>
          <w:lang w:val="en-AU"/>
        </w:rPr>
        <w:t>,</w:t>
      </w:r>
      <w:r w:rsidR="001D19AB">
        <w:rPr>
          <w:lang w:val="en-AU"/>
        </w:rPr>
        <w:t xml:space="preserve"> the</w:t>
      </w:r>
      <w:r w:rsidR="00942577">
        <w:rPr>
          <w:lang w:val="en-AU"/>
        </w:rPr>
        <w:t xml:space="preserve"> MTR team </w:t>
      </w:r>
      <w:r w:rsidR="002C7FDA">
        <w:rPr>
          <w:lang w:val="en-AU"/>
        </w:rPr>
        <w:t xml:space="preserve">did not see evidence of </w:t>
      </w:r>
      <w:r w:rsidR="009E5510">
        <w:rPr>
          <w:lang w:val="en-AU"/>
        </w:rPr>
        <w:t xml:space="preserve">needs </w:t>
      </w:r>
      <w:r w:rsidR="002007B0">
        <w:rPr>
          <w:lang w:val="en-AU"/>
        </w:rPr>
        <w:t xml:space="preserve">analysis and </w:t>
      </w:r>
      <w:r w:rsidR="00BF5A88">
        <w:rPr>
          <w:lang w:val="en-AU"/>
        </w:rPr>
        <w:t xml:space="preserve">deliberate consideration of the needs of </w:t>
      </w:r>
      <w:r w:rsidR="007374ED">
        <w:rPr>
          <w:lang w:val="en-AU"/>
        </w:rPr>
        <w:t xml:space="preserve">all </w:t>
      </w:r>
      <w:r w:rsidR="001E257D">
        <w:rPr>
          <w:lang w:val="en-AU"/>
        </w:rPr>
        <w:t xml:space="preserve">students </w:t>
      </w:r>
      <w:r w:rsidR="00C625B2">
        <w:rPr>
          <w:lang w:val="en-AU"/>
        </w:rPr>
        <w:t>with</w:t>
      </w:r>
      <w:r w:rsidR="001E257D">
        <w:rPr>
          <w:lang w:val="en-AU"/>
        </w:rPr>
        <w:t xml:space="preserve"> dis</w:t>
      </w:r>
      <w:r w:rsidR="007374ED">
        <w:rPr>
          <w:lang w:val="en-AU"/>
        </w:rPr>
        <w:t>a</w:t>
      </w:r>
      <w:r w:rsidR="001E257D">
        <w:rPr>
          <w:lang w:val="en-AU"/>
        </w:rPr>
        <w:t>bility</w:t>
      </w:r>
      <w:r w:rsidR="00AB0421">
        <w:rPr>
          <w:lang w:val="en-AU"/>
        </w:rPr>
        <w:t xml:space="preserve"> or consideration of the </w:t>
      </w:r>
      <w:r w:rsidR="00D610CD">
        <w:rPr>
          <w:lang w:val="en-AU"/>
        </w:rPr>
        <w:t>implications for other students with disability</w:t>
      </w:r>
      <w:r w:rsidR="00AB0421">
        <w:rPr>
          <w:lang w:val="en-AU"/>
        </w:rPr>
        <w:t xml:space="preserve">. </w:t>
      </w:r>
      <w:r w:rsidR="0053182A">
        <w:rPr>
          <w:lang w:val="en-AU"/>
        </w:rPr>
        <w:t xml:space="preserve"> </w:t>
      </w:r>
      <w:r w:rsidR="00CD5EDD">
        <w:t xml:space="preserve"> </w:t>
      </w:r>
    </w:p>
    <w:p w14:paraId="014435A1" w14:textId="77777777" w:rsidR="008F2085" w:rsidRDefault="008F2085" w:rsidP="00DF5451">
      <w:pPr>
        <w:spacing w:after="240"/>
        <w:rPr>
          <w:lang w:val="en-AU"/>
        </w:rPr>
      </w:pPr>
      <w:r>
        <w:rPr>
          <w:lang w:val="en-AU"/>
        </w:rPr>
        <w:lastRenderedPageBreak/>
        <w:t xml:space="preserve">Notwithstanding the fact that the Program is aligned with the needs of beneficiaries referred to in the EOPOs and IOs, the question arises of </w:t>
      </w:r>
      <w:r w:rsidRPr="007374ED">
        <w:rPr>
          <w:b/>
          <w:bCs/>
          <w:lang w:val="en-AU"/>
        </w:rPr>
        <w:t>what degree of needs analysis</w:t>
      </w:r>
      <w:r>
        <w:rPr>
          <w:lang w:val="en-AU"/>
        </w:rPr>
        <w:t xml:space="preserve"> has been undertaken and whether the program is meeting such needs.</w:t>
      </w:r>
    </w:p>
    <w:bookmarkEnd w:id="11"/>
    <w:p w14:paraId="4B6ED392" w14:textId="6A6FE85E" w:rsidR="00435AE6" w:rsidRPr="007374ED" w:rsidRDefault="00072184" w:rsidP="00DF5451">
      <w:pPr>
        <w:pStyle w:val="ListParagraph"/>
        <w:keepNext/>
        <w:numPr>
          <w:ilvl w:val="0"/>
          <w:numId w:val="7"/>
        </w:numPr>
        <w:spacing w:after="240"/>
        <w:ind w:left="425" w:hanging="425"/>
        <w:rPr>
          <w:i/>
          <w:iCs/>
          <w:color w:val="002060"/>
        </w:rPr>
      </w:pPr>
      <w:r w:rsidRPr="0069506B">
        <w:rPr>
          <w:rStyle w:val="SubtleEmphasis"/>
        </w:rPr>
        <w:t>To what extent are localisation aspirations being realised?</w:t>
      </w:r>
    </w:p>
    <w:p w14:paraId="7C76B6FB" w14:textId="7CFDD958" w:rsidR="009B085E" w:rsidRDefault="00435AE6" w:rsidP="00DF5451">
      <w:pPr>
        <w:spacing w:after="240"/>
      </w:pPr>
      <w:r>
        <w:t xml:space="preserve">The Program </w:t>
      </w:r>
      <w:r w:rsidR="00D40D1E">
        <w:t xml:space="preserve">describes a </w:t>
      </w:r>
      <w:r w:rsidR="00D40D1E" w:rsidRPr="007374ED">
        <w:rPr>
          <w:b/>
          <w:bCs/>
        </w:rPr>
        <w:t>clear</w:t>
      </w:r>
      <w:r w:rsidR="006F730C" w:rsidRPr="007374ED">
        <w:rPr>
          <w:b/>
          <w:bCs/>
        </w:rPr>
        <w:t xml:space="preserve"> intention </w:t>
      </w:r>
      <w:r w:rsidR="00880480" w:rsidRPr="007374ED">
        <w:rPr>
          <w:b/>
          <w:bCs/>
        </w:rPr>
        <w:t>to increase local ownership</w:t>
      </w:r>
      <w:r w:rsidR="00880480">
        <w:t xml:space="preserve"> and leadership of program implementation </w:t>
      </w:r>
      <w:r w:rsidR="00D13234">
        <w:t xml:space="preserve">and decision-making in 2024 (see </w:t>
      </w:r>
      <w:r w:rsidR="00D13234" w:rsidRPr="009641F7">
        <w:rPr>
          <w:i/>
          <w:iCs/>
        </w:rPr>
        <w:t xml:space="preserve">2024 </w:t>
      </w:r>
      <w:r w:rsidR="009641F7" w:rsidRPr="009641F7">
        <w:rPr>
          <w:i/>
          <w:iCs/>
        </w:rPr>
        <w:t xml:space="preserve">TAPQE </w:t>
      </w:r>
      <w:r w:rsidR="00D13234" w:rsidRPr="009641F7">
        <w:rPr>
          <w:i/>
          <w:iCs/>
        </w:rPr>
        <w:t xml:space="preserve">Annual Work </w:t>
      </w:r>
      <w:r w:rsidR="00B6664A" w:rsidRPr="009641F7">
        <w:rPr>
          <w:i/>
          <w:iCs/>
        </w:rPr>
        <w:t>Plan</w:t>
      </w:r>
      <w:r w:rsidR="00B6664A">
        <w:t xml:space="preserve"> p.11)</w:t>
      </w:r>
      <w:r w:rsidR="004F40C7">
        <w:t xml:space="preserve">, with </w:t>
      </w:r>
      <w:r w:rsidR="00846EA1">
        <w:t>seven strategies for realising this</w:t>
      </w:r>
      <w:r w:rsidR="0043785B">
        <w:t>, which range from skill development</w:t>
      </w:r>
      <w:r w:rsidR="00084F87">
        <w:t xml:space="preserve">, </w:t>
      </w:r>
      <w:r w:rsidR="00215AAF">
        <w:t>engaging</w:t>
      </w:r>
      <w:r w:rsidR="00084F87">
        <w:t xml:space="preserve"> with counterparts, purchasing approaches and community engagement</w:t>
      </w:r>
      <w:r w:rsidR="00751428">
        <w:t>.</w:t>
      </w:r>
    </w:p>
    <w:p w14:paraId="156DEF00" w14:textId="3E7C1FA5" w:rsidR="006F730C" w:rsidRDefault="00751428" w:rsidP="00DF5451">
      <w:pPr>
        <w:spacing w:after="240"/>
      </w:pPr>
      <w:r>
        <w:t xml:space="preserve">This intention and commitment </w:t>
      </w:r>
      <w:r w:rsidR="00CB7230">
        <w:t>are</w:t>
      </w:r>
      <w:r w:rsidR="00006DB0">
        <w:t xml:space="preserve"> </w:t>
      </w:r>
      <w:r>
        <w:t>re</w:t>
      </w:r>
      <w:r w:rsidR="00E464FD">
        <w:t xml:space="preserve">flected in </w:t>
      </w:r>
      <w:r w:rsidR="00CF3AB7">
        <w:t xml:space="preserve">the </w:t>
      </w:r>
      <w:r w:rsidR="000813C7" w:rsidRPr="001319EC">
        <w:rPr>
          <w:i/>
          <w:iCs/>
          <w:lang w:val="en-AU"/>
        </w:rPr>
        <w:t>TAPQE MERL Framework (Interim)</w:t>
      </w:r>
      <w:r w:rsidR="00CF3AB7">
        <w:t xml:space="preserve">. </w:t>
      </w:r>
      <w:r w:rsidR="00A53E6F">
        <w:t>However</w:t>
      </w:r>
      <w:r w:rsidR="002D4F28">
        <w:t xml:space="preserve">, </w:t>
      </w:r>
      <w:r w:rsidR="008E30DF">
        <w:t>notwit</w:t>
      </w:r>
      <w:r w:rsidR="00D41384">
        <w:t xml:space="preserve">hstanding </w:t>
      </w:r>
      <w:hyperlink r:id="rId12" w:history="1">
        <w:r w:rsidR="00D41384" w:rsidRPr="00D41384">
          <w:rPr>
            <w:rStyle w:val="Hyperlink"/>
          </w:rPr>
          <w:t>DFAT guidance</w:t>
        </w:r>
      </w:hyperlink>
      <w:r w:rsidR="00307B42">
        <w:t>,</w:t>
      </w:r>
      <w:r w:rsidR="00D41384">
        <w:t xml:space="preserve"> </w:t>
      </w:r>
      <w:r w:rsidR="007761A7">
        <w:t>the</w:t>
      </w:r>
      <w:r w:rsidR="007E2647">
        <w:t xml:space="preserve"> Program ToC</w:t>
      </w:r>
      <w:r w:rsidR="000B2DA6">
        <w:t xml:space="preserve"> and</w:t>
      </w:r>
      <w:r w:rsidR="006A0BFF">
        <w:t xml:space="preserve"> </w:t>
      </w:r>
      <w:r w:rsidR="00BF2DFF" w:rsidRPr="001319EC">
        <w:rPr>
          <w:i/>
          <w:iCs/>
          <w:lang w:val="en-AU"/>
        </w:rPr>
        <w:t>TAPQE MERL Framework (Interim)</w:t>
      </w:r>
      <w:r w:rsidR="00BF2DFF">
        <w:rPr>
          <w:i/>
          <w:iCs/>
          <w:lang w:val="en-AU"/>
        </w:rPr>
        <w:t xml:space="preserve"> </w:t>
      </w:r>
      <w:r w:rsidR="006A0BFF" w:rsidRPr="007374ED">
        <w:rPr>
          <w:b/>
          <w:bCs/>
        </w:rPr>
        <w:t xml:space="preserve">do not include </w:t>
      </w:r>
      <w:r w:rsidR="00F46904" w:rsidRPr="007374ED">
        <w:rPr>
          <w:b/>
          <w:bCs/>
        </w:rPr>
        <w:t>criteria or evaluation questions</w:t>
      </w:r>
      <w:r w:rsidR="00F46904">
        <w:t xml:space="preserve"> that would enable observations to be made on the extent to which </w:t>
      </w:r>
      <w:r w:rsidR="0053110B">
        <w:t>the aspirations are being realised.</w:t>
      </w:r>
    </w:p>
    <w:p w14:paraId="279B5F85" w14:textId="00C233B0" w:rsidR="00072184" w:rsidRPr="007374ED" w:rsidRDefault="00072184" w:rsidP="00DF5451">
      <w:pPr>
        <w:pStyle w:val="ListParagraph"/>
        <w:keepNext/>
        <w:numPr>
          <w:ilvl w:val="0"/>
          <w:numId w:val="7"/>
        </w:numPr>
        <w:spacing w:after="240"/>
        <w:ind w:left="425" w:hanging="425"/>
        <w:rPr>
          <w:rStyle w:val="SubtleEmphasis"/>
        </w:rPr>
      </w:pPr>
      <w:r w:rsidRPr="007374ED">
        <w:rPr>
          <w:rStyle w:val="SubtleEmphasis"/>
        </w:rPr>
        <w:t>How likely is it that Program benefits can be sustained?</w:t>
      </w:r>
    </w:p>
    <w:p w14:paraId="307C80FE" w14:textId="3CBA233B" w:rsidR="003541C5" w:rsidRDefault="00BB134A" w:rsidP="00DF5451">
      <w:pPr>
        <w:spacing w:after="240"/>
      </w:pPr>
      <w:bookmarkStart w:id="12" w:name="_Hlk189290566"/>
      <w:r>
        <w:t>‘</w:t>
      </w:r>
      <w:r w:rsidRPr="007374ED">
        <w:rPr>
          <w:b/>
          <w:bCs/>
        </w:rPr>
        <w:t>Sustainabi</w:t>
      </w:r>
      <w:r w:rsidR="00CE6ABD" w:rsidRPr="007374ED">
        <w:rPr>
          <w:b/>
          <w:bCs/>
        </w:rPr>
        <w:t>lity is built into the design</w:t>
      </w:r>
      <w:r w:rsidR="00CE6ABD">
        <w:t xml:space="preserve"> of the TAPQ</w:t>
      </w:r>
      <w:r w:rsidR="007374ED">
        <w:t>E</w:t>
      </w:r>
      <w:r w:rsidR="00CE6ABD">
        <w:t xml:space="preserve"> Program, in particular through upskilling the teaching workforce and a specific focus </w:t>
      </w:r>
      <w:r w:rsidR="00364260">
        <w:t>to strengthen MEYS systems and personnel under EOPO3</w:t>
      </w:r>
      <w:r w:rsidR="00A513C1">
        <w:t>.’ (TAPQE Annual Workplan</w:t>
      </w:r>
      <w:r w:rsidR="0007520F">
        <w:t xml:space="preserve"> 2024: p.12)</w:t>
      </w:r>
    </w:p>
    <w:p w14:paraId="0A1BD6D1" w14:textId="73312443" w:rsidR="004A0457" w:rsidRDefault="00A73464" w:rsidP="00DF5451">
      <w:pPr>
        <w:spacing w:after="240"/>
      </w:pPr>
      <w:r>
        <w:t xml:space="preserve">The </w:t>
      </w:r>
      <w:r w:rsidR="00BF2DFF" w:rsidRPr="001319EC">
        <w:rPr>
          <w:i/>
          <w:iCs/>
          <w:lang w:val="en-AU"/>
        </w:rPr>
        <w:t>TAPQE MERL Framework (Interim)</w:t>
      </w:r>
      <w:r w:rsidR="00BF2DFF">
        <w:rPr>
          <w:i/>
          <w:iCs/>
          <w:lang w:val="en-AU"/>
        </w:rPr>
        <w:t xml:space="preserve"> </w:t>
      </w:r>
      <w:r w:rsidR="003F362B">
        <w:t xml:space="preserve">includes </w:t>
      </w:r>
      <w:r w:rsidR="007C1C40">
        <w:t>(p</w:t>
      </w:r>
      <w:r w:rsidR="001C73BF">
        <w:t xml:space="preserve">. 21 and p.23) </w:t>
      </w:r>
      <w:r w:rsidR="003F362B">
        <w:t>key evaluation and monitoring questions related to sustainability</w:t>
      </w:r>
      <w:r w:rsidR="004A0457">
        <w:t>:</w:t>
      </w:r>
    </w:p>
    <w:p w14:paraId="5C653F55" w14:textId="5C5426D9" w:rsidR="007C1C40" w:rsidRDefault="007C1C40" w:rsidP="00DF5451">
      <w:pPr>
        <w:pStyle w:val="ListParagraph"/>
        <w:numPr>
          <w:ilvl w:val="0"/>
          <w:numId w:val="27"/>
        </w:numPr>
        <w:spacing w:after="240"/>
      </w:pPr>
      <w:r w:rsidRPr="007C1C40">
        <w:t xml:space="preserve">To what extent are the changes </w:t>
      </w:r>
      <w:r w:rsidR="00885D8E">
        <w:t xml:space="preserve">to which </w:t>
      </w:r>
      <w:r w:rsidRPr="007C1C40">
        <w:t>TAPQE contributed sustainable after program closure?</w:t>
      </w:r>
    </w:p>
    <w:p w14:paraId="2FD5C4A9" w14:textId="084F11A9" w:rsidR="004A0457" w:rsidRDefault="007C1C40" w:rsidP="00DF5451">
      <w:pPr>
        <w:pStyle w:val="ListParagraph"/>
        <w:numPr>
          <w:ilvl w:val="0"/>
          <w:numId w:val="27"/>
        </w:numPr>
        <w:spacing w:after="240"/>
      </w:pPr>
      <w:r w:rsidRPr="007C1C40">
        <w:t>What are the mechanisms that promote the sustainability of program outcomes?</w:t>
      </w:r>
    </w:p>
    <w:p w14:paraId="578C5A11" w14:textId="1BC5AF9F" w:rsidR="00E107F8" w:rsidRDefault="00F803A7" w:rsidP="00DF5451">
      <w:pPr>
        <w:spacing w:after="240"/>
      </w:pPr>
      <w:r>
        <w:t xml:space="preserve">The </w:t>
      </w:r>
      <w:r w:rsidRPr="00C34A87">
        <w:rPr>
          <w:i/>
          <w:iCs/>
        </w:rPr>
        <w:t>2024 (draft) TAPQE Annual Report</w:t>
      </w:r>
      <w:r>
        <w:t xml:space="preserve"> (p.17) describes Program activities and policy initiatives </w:t>
      </w:r>
      <w:r w:rsidR="009F4570">
        <w:t>that are seen to be driving long-term</w:t>
      </w:r>
      <w:r w:rsidR="0076240D">
        <w:t xml:space="preserve"> impact.</w:t>
      </w:r>
      <w:r w:rsidR="006F1A15">
        <w:t xml:space="preserve"> </w:t>
      </w:r>
      <w:r w:rsidR="00C07077">
        <w:t>H</w:t>
      </w:r>
      <w:r w:rsidR="003B465D">
        <w:t>owever, the</w:t>
      </w:r>
      <w:r w:rsidR="0096377F">
        <w:t xml:space="preserve"> </w:t>
      </w:r>
      <w:r w:rsidR="00DA232B">
        <w:t>Annual Report description is more of a r</w:t>
      </w:r>
      <w:r w:rsidR="0096377F">
        <w:t>ecount of activities</w:t>
      </w:r>
      <w:r w:rsidR="008930F6">
        <w:t xml:space="preserve">. There is </w:t>
      </w:r>
      <w:r w:rsidR="008930F6" w:rsidRPr="007374ED">
        <w:rPr>
          <w:b/>
          <w:bCs/>
        </w:rPr>
        <w:t xml:space="preserve">little or no discussion </w:t>
      </w:r>
      <w:r w:rsidR="007D290E" w:rsidRPr="007374ED">
        <w:rPr>
          <w:b/>
          <w:bCs/>
        </w:rPr>
        <w:t>or analysis</w:t>
      </w:r>
      <w:r w:rsidR="007D290E">
        <w:t xml:space="preserve"> of </w:t>
      </w:r>
      <w:r w:rsidR="00C625B2">
        <w:t>the accruing</w:t>
      </w:r>
      <w:r w:rsidR="007D290E">
        <w:t xml:space="preserve"> </w:t>
      </w:r>
      <w:r w:rsidR="0035640D">
        <w:t xml:space="preserve">Program </w:t>
      </w:r>
      <w:r w:rsidR="007D290E">
        <w:t>benefits</w:t>
      </w:r>
      <w:r w:rsidR="0035640D">
        <w:t xml:space="preserve"> or </w:t>
      </w:r>
      <w:r w:rsidR="00CA7564">
        <w:t xml:space="preserve">of </w:t>
      </w:r>
      <w:r w:rsidR="004864DC">
        <w:t>how these will be sustained</w:t>
      </w:r>
      <w:r w:rsidR="003D4BA1">
        <w:t>.</w:t>
      </w:r>
    </w:p>
    <w:bookmarkEnd w:id="12"/>
    <w:p w14:paraId="795F16B2" w14:textId="1288E70C" w:rsidR="00D94777" w:rsidRPr="007374ED" w:rsidRDefault="00072184" w:rsidP="00DF5451">
      <w:pPr>
        <w:pStyle w:val="ListParagraph"/>
        <w:keepNext/>
        <w:numPr>
          <w:ilvl w:val="0"/>
          <w:numId w:val="7"/>
        </w:numPr>
        <w:spacing w:after="240"/>
        <w:ind w:left="425" w:hanging="425"/>
        <w:rPr>
          <w:rStyle w:val="SubtleEmphasis"/>
        </w:rPr>
      </w:pPr>
      <w:r w:rsidRPr="007374ED">
        <w:rPr>
          <w:rStyle w:val="SubtleEmphasis"/>
        </w:rPr>
        <w:t xml:space="preserve">What opportunities are there for the mobility pathways provided through the Falepili </w:t>
      </w:r>
      <w:r w:rsidR="0077621B">
        <w:rPr>
          <w:rStyle w:val="SubtleEmphasis"/>
        </w:rPr>
        <w:t>Union</w:t>
      </w:r>
      <w:r w:rsidR="0077621B" w:rsidRPr="007374ED">
        <w:rPr>
          <w:rStyle w:val="SubtleEmphasis"/>
        </w:rPr>
        <w:t xml:space="preserve"> </w:t>
      </w:r>
      <w:r w:rsidRPr="007374ED">
        <w:rPr>
          <w:rStyle w:val="SubtleEmphasis"/>
        </w:rPr>
        <w:t xml:space="preserve">to contribute to enhancing the Tuvalu education sector and teaching workforce? What role might the Program undertake? </w:t>
      </w:r>
    </w:p>
    <w:p w14:paraId="40B4DB88" w14:textId="79573CEA" w:rsidR="00D9188D" w:rsidRDefault="00C4683A" w:rsidP="00DF5451">
      <w:pPr>
        <w:spacing w:after="240"/>
      </w:pPr>
      <w:r>
        <w:t>Based on discussion</w:t>
      </w:r>
      <w:r w:rsidR="00F2078D">
        <w:t>s</w:t>
      </w:r>
      <w:r>
        <w:t xml:space="preserve"> with </w:t>
      </w:r>
      <w:r w:rsidR="00E51402">
        <w:t xml:space="preserve">relevant DFAT </w:t>
      </w:r>
      <w:r w:rsidR="006B3EE5">
        <w:t>personnel and</w:t>
      </w:r>
      <w:r w:rsidR="00E51402">
        <w:t xml:space="preserve"> noting that </w:t>
      </w:r>
      <w:r w:rsidR="00B307D4">
        <w:t xml:space="preserve">the process and requirements for participation in the </w:t>
      </w:r>
      <w:r w:rsidR="009C6B7E">
        <w:t xml:space="preserve">Falepili </w:t>
      </w:r>
      <w:r w:rsidR="0077621B">
        <w:t xml:space="preserve">Union </w:t>
      </w:r>
      <w:r w:rsidR="00653EC7">
        <w:t>opportunities are still being developed, the</w:t>
      </w:r>
      <w:r w:rsidR="008C6580">
        <w:t xml:space="preserve"> MTR team understands </w:t>
      </w:r>
      <w:r w:rsidR="001D1EC3">
        <w:t>that Falepili</w:t>
      </w:r>
      <w:r w:rsidR="003F5788" w:rsidRPr="00A9645C">
        <w:rPr>
          <w:b/>
          <w:bCs/>
        </w:rPr>
        <w:t xml:space="preserve"> Union opportunities are not likely to </w:t>
      </w:r>
      <w:r w:rsidR="00B63ADA" w:rsidRPr="00764E23">
        <w:rPr>
          <w:b/>
          <w:bCs/>
        </w:rPr>
        <w:t>contribute</w:t>
      </w:r>
      <w:r w:rsidR="00B63ADA">
        <w:t xml:space="preserve"> to enhancing the Tuvalu education sector and teaching workforce.</w:t>
      </w:r>
      <w:r w:rsidR="008E6C6F">
        <w:t xml:space="preserve"> However, it is very likely that information about </w:t>
      </w:r>
      <w:r w:rsidR="008F4301">
        <w:t xml:space="preserve">opportunities </w:t>
      </w:r>
      <w:r w:rsidR="00757E31">
        <w:t xml:space="preserve">in Australia </w:t>
      </w:r>
      <w:r w:rsidR="008F4301">
        <w:t>for successful applicant</w:t>
      </w:r>
      <w:r w:rsidR="00351A28">
        <w:t>s</w:t>
      </w:r>
      <w:r w:rsidR="008F4301">
        <w:t xml:space="preserve"> mig</w:t>
      </w:r>
      <w:r w:rsidR="00D9188D">
        <w:t>h</w:t>
      </w:r>
      <w:r w:rsidR="008F4301">
        <w:t>t be used to</w:t>
      </w:r>
      <w:r w:rsidR="00D9188D">
        <w:t>:</w:t>
      </w:r>
    </w:p>
    <w:p w14:paraId="5531EE87" w14:textId="656E1DFE" w:rsidR="008E6C6F" w:rsidRDefault="008F4301" w:rsidP="00DF5451">
      <w:pPr>
        <w:pStyle w:val="ListParagraph"/>
        <w:numPr>
          <w:ilvl w:val="0"/>
          <w:numId w:val="28"/>
        </w:numPr>
        <w:spacing w:after="240"/>
      </w:pPr>
      <w:r>
        <w:t xml:space="preserve">promote </w:t>
      </w:r>
      <w:r w:rsidR="00757E31">
        <w:t xml:space="preserve">to students in Tuvalu </w:t>
      </w:r>
      <w:r>
        <w:t xml:space="preserve">the importance of secondary schooling and </w:t>
      </w:r>
      <w:r w:rsidR="00D9188D">
        <w:t>reasonable levels of English literacy and numeracy skills</w:t>
      </w:r>
      <w:r w:rsidR="00757E31">
        <w:t xml:space="preserve"> </w:t>
      </w:r>
      <w:r w:rsidR="00351A28">
        <w:t>for employment in Australia</w:t>
      </w:r>
    </w:p>
    <w:p w14:paraId="79E902F9" w14:textId="573721FB" w:rsidR="001F1968" w:rsidRDefault="00351A28" w:rsidP="00DF5451">
      <w:pPr>
        <w:pStyle w:val="ListParagraph"/>
        <w:numPr>
          <w:ilvl w:val="0"/>
          <w:numId w:val="28"/>
        </w:numPr>
        <w:spacing w:after="240"/>
      </w:pPr>
      <w:r>
        <w:t xml:space="preserve">promote </w:t>
      </w:r>
      <w:r w:rsidR="004B797F">
        <w:t xml:space="preserve">to students in Tuvalu </w:t>
      </w:r>
      <w:r w:rsidR="00743F80">
        <w:t xml:space="preserve">the value of </w:t>
      </w:r>
      <w:r>
        <w:t>attain</w:t>
      </w:r>
      <w:r w:rsidR="00743F80">
        <w:t>ing</w:t>
      </w:r>
      <w:r>
        <w:t xml:space="preserve"> a reasonable level of education as </w:t>
      </w:r>
      <w:r w:rsidR="00AC23CD">
        <w:t>the</w:t>
      </w:r>
      <w:r>
        <w:t xml:space="preserve"> foundation for vocational or ter</w:t>
      </w:r>
      <w:r w:rsidR="001F1968">
        <w:t>t</w:t>
      </w:r>
      <w:r>
        <w:t xml:space="preserve">iary education </w:t>
      </w:r>
      <w:r w:rsidR="00A128EA">
        <w:t>opportunities that will</w:t>
      </w:r>
      <w:r w:rsidR="001F1968">
        <w:t xml:space="preserve"> become available</w:t>
      </w:r>
      <w:r w:rsidR="00AC23CD">
        <w:t xml:space="preserve"> in Australia</w:t>
      </w:r>
    </w:p>
    <w:p w14:paraId="244BE9D4" w14:textId="68A0531E" w:rsidR="00F34832" w:rsidRPr="00072184" w:rsidRDefault="00360B29" w:rsidP="00DF5451">
      <w:pPr>
        <w:pStyle w:val="ListParagraph"/>
        <w:numPr>
          <w:ilvl w:val="0"/>
          <w:numId w:val="28"/>
        </w:numPr>
        <w:spacing w:after="240"/>
      </w:pPr>
      <w:r>
        <w:t xml:space="preserve">draw on the support network of Tuvalu </w:t>
      </w:r>
      <w:r w:rsidR="001C4437">
        <w:t>diaspora</w:t>
      </w:r>
      <w:r>
        <w:t xml:space="preserve"> in Australia (or elsewhere</w:t>
      </w:r>
      <w:r w:rsidR="00726796">
        <w:t>) to identify potential advisors to contribute to DFAT programs in Tuvalu</w:t>
      </w:r>
      <w:r w:rsidR="00A26FF7">
        <w:t>.</w:t>
      </w:r>
    </w:p>
    <w:p w14:paraId="73AD520D" w14:textId="1D484A82" w:rsidR="00C30367" w:rsidRDefault="00CC4583" w:rsidP="005E77D5">
      <w:pPr>
        <w:pStyle w:val="Heading2"/>
      </w:pPr>
      <w:bookmarkStart w:id="13" w:name="_Toc209431949"/>
      <w:r>
        <w:lastRenderedPageBreak/>
        <w:t>Effectiveness</w:t>
      </w:r>
      <w:bookmarkEnd w:id="13"/>
      <w:r>
        <w:t xml:space="preserve"> </w:t>
      </w:r>
    </w:p>
    <w:p w14:paraId="2F51A645" w14:textId="16D2779C" w:rsidR="00805C19" w:rsidRDefault="00805C19" w:rsidP="00005956">
      <w:pPr>
        <w:pStyle w:val="Subtitle"/>
        <w:numPr>
          <w:ilvl w:val="0"/>
          <w:numId w:val="6"/>
        </w:numPr>
      </w:pPr>
      <w:r>
        <w:t xml:space="preserve">To what extent is the TAPQE Program on track to achieve its three </w:t>
      </w:r>
      <w:proofErr w:type="gramStart"/>
      <w:r>
        <w:t>end</w:t>
      </w:r>
      <w:proofErr w:type="gramEnd"/>
      <w:r>
        <w:t xml:space="preserve"> of program outcomes? </w:t>
      </w:r>
    </w:p>
    <w:p w14:paraId="2606836C" w14:textId="77777777" w:rsidR="00D37839" w:rsidRPr="0039652F" w:rsidRDefault="00D37839" w:rsidP="00DF5451">
      <w:pPr>
        <w:spacing w:after="240"/>
        <w:rPr>
          <w:b/>
          <w:bCs/>
        </w:rPr>
      </w:pPr>
      <w:r w:rsidRPr="0039652F">
        <w:rPr>
          <w:b/>
          <w:bCs/>
        </w:rPr>
        <w:t xml:space="preserve">Summary response to the </w:t>
      </w:r>
      <w:r>
        <w:rPr>
          <w:b/>
          <w:bCs/>
        </w:rPr>
        <w:t xml:space="preserve">‘effectiveness’ </w:t>
      </w:r>
      <w:r w:rsidRPr="0039652F">
        <w:rPr>
          <w:b/>
          <w:bCs/>
        </w:rPr>
        <w:t>review question</w:t>
      </w:r>
    </w:p>
    <w:p w14:paraId="62EC94E8" w14:textId="77777777" w:rsidR="00D37839" w:rsidRDefault="00D37839" w:rsidP="00DF5451">
      <w:pPr>
        <w:spacing w:after="240"/>
      </w:pPr>
      <w:r>
        <w:t xml:space="preserve">In the absence of a baseline and associated progress data (for Intermediate Outcomes and for End of Program Outcomes – see discussion at Key Question 5), it is </w:t>
      </w:r>
      <w:r w:rsidRPr="00B22A18">
        <w:rPr>
          <w:b/>
          <w:bCs/>
        </w:rPr>
        <w:t xml:space="preserve">not possible to confidently </w:t>
      </w:r>
      <w:r w:rsidRPr="009E3C1F">
        <w:rPr>
          <w:b/>
          <w:bCs/>
        </w:rPr>
        <w:t>estimate</w:t>
      </w:r>
      <w:r w:rsidRPr="00A9645C">
        <w:rPr>
          <w:b/>
          <w:bCs/>
        </w:rPr>
        <w:t xml:space="preserve"> whether or to what degree the TAPQE Program is on track to achieve its three </w:t>
      </w:r>
      <w:proofErr w:type="gramStart"/>
      <w:r w:rsidRPr="00A9645C">
        <w:rPr>
          <w:b/>
          <w:bCs/>
        </w:rPr>
        <w:t>end</w:t>
      </w:r>
      <w:proofErr w:type="gramEnd"/>
      <w:r w:rsidRPr="00A9645C">
        <w:rPr>
          <w:b/>
          <w:bCs/>
        </w:rPr>
        <w:t xml:space="preserve"> of program outcomes</w:t>
      </w:r>
      <w:r>
        <w:t>.</w:t>
      </w:r>
    </w:p>
    <w:p w14:paraId="51FDA115" w14:textId="77777777" w:rsidR="00D37839" w:rsidRDefault="00D37839" w:rsidP="00DF5451">
      <w:pPr>
        <w:spacing w:after="240"/>
      </w:pPr>
      <w:r>
        <w:t>The Program Theory of Change and planned activities set out in annual work plans do include activities that should plausibly contribute to progress in relation to the three EOPOs. The TAPQE MEL Framework also sets out success indicators that would ‘tell us that the outcomes have been achieved’</w:t>
      </w:r>
      <w:r>
        <w:rPr>
          <w:rStyle w:val="FootnoteReference"/>
        </w:rPr>
        <w:footnoteReference w:id="12"/>
      </w:r>
      <w:r>
        <w:t xml:space="preserve">. The </w:t>
      </w:r>
      <w:r w:rsidRPr="0014288A">
        <w:rPr>
          <w:i/>
          <w:iCs/>
        </w:rPr>
        <w:t>2024 (draft) TAPQE Annual Report</w:t>
      </w:r>
      <w:r>
        <w:t xml:space="preserve"> provides details on </w:t>
      </w:r>
      <w:r w:rsidRPr="00590438">
        <w:rPr>
          <w:b/>
          <w:bCs/>
        </w:rPr>
        <w:t>progress against the AWP activities</w:t>
      </w:r>
      <w:r>
        <w:t xml:space="preserve"> (Section 2 and Annex 6). However, at the end of the second year of the Program </w:t>
      </w:r>
      <w:r w:rsidRPr="00C854B8">
        <w:rPr>
          <w:b/>
          <w:bCs/>
        </w:rPr>
        <w:t xml:space="preserve">no </w:t>
      </w:r>
      <w:r>
        <w:rPr>
          <w:b/>
          <w:bCs/>
        </w:rPr>
        <w:t xml:space="preserve">program </w:t>
      </w:r>
      <w:r w:rsidRPr="00B22A18">
        <w:rPr>
          <w:b/>
          <w:bCs/>
        </w:rPr>
        <w:t xml:space="preserve">baseline </w:t>
      </w:r>
      <w:r w:rsidRPr="00C854B8">
        <w:t>and</w:t>
      </w:r>
      <w:r w:rsidRPr="00B22A18">
        <w:rPr>
          <w:b/>
          <w:bCs/>
        </w:rPr>
        <w:t xml:space="preserve"> </w:t>
      </w:r>
      <w:r>
        <w:rPr>
          <w:b/>
          <w:bCs/>
        </w:rPr>
        <w:t>no evidence of data against success indicators</w:t>
      </w:r>
      <w:r>
        <w:rPr>
          <w:rStyle w:val="FootnoteReference"/>
        </w:rPr>
        <w:footnoteReference w:id="13"/>
      </w:r>
      <w:r>
        <w:t xml:space="preserve"> was provided that would enable a confident estimate to be made of likely achievement by the end of the 5</w:t>
      </w:r>
      <w:r w:rsidRPr="003E5829">
        <w:rPr>
          <w:vertAlign w:val="superscript"/>
        </w:rPr>
        <w:t>th</w:t>
      </w:r>
      <w:r>
        <w:t xml:space="preserve"> year. </w:t>
      </w:r>
    </w:p>
    <w:p w14:paraId="102D493C" w14:textId="77777777" w:rsidR="00D37839" w:rsidRDefault="00D37839" w:rsidP="00DF5451">
      <w:pPr>
        <w:spacing w:after="240"/>
      </w:pPr>
      <w:r>
        <w:t xml:space="preserve">Notwithstanding this, stakeholder interviews identified several </w:t>
      </w:r>
      <w:r w:rsidRPr="00B22A18">
        <w:rPr>
          <w:b/>
          <w:bCs/>
        </w:rPr>
        <w:t xml:space="preserve">varied examples of program </w:t>
      </w:r>
      <w:r>
        <w:rPr>
          <w:b/>
          <w:bCs/>
        </w:rPr>
        <w:t>achievements</w:t>
      </w:r>
      <w:r>
        <w:t>, from provision of learning resources to improve the quality of student engagement; training to build the capacity and confidence of teachers, school leaders and Ministry personnel to undertake their roles; to provision of teaching and assessment resources to improve the quality of teaching and learning. The MTR team also heard about and saw examples of data collected and data dashboards designed to inform program planning and program review.</w:t>
      </w:r>
    </w:p>
    <w:p w14:paraId="073DAD46" w14:textId="41C94316" w:rsidR="00BD5F72" w:rsidRDefault="00D37839" w:rsidP="00DF5451">
      <w:pPr>
        <w:spacing w:after="240"/>
      </w:pPr>
      <w:r>
        <w:t xml:space="preserve">The MTR team also concluded that </w:t>
      </w:r>
      <w:r w:rsidRPr="005E77D5">
        <w:rPr>
          <w:b/>
          <w:bCs/>
        </w:rPr>
        <w:t>EOPOs 2 and 3 were complex in nature and very challenging</w:t>
      </w:r>
      <w:r>
        <w:t xml:space="preserve"> </w:t>
      </w:r>
      <w:r w:rsidRPr="00A9645C">
        <w:rPr>
          <w:b/>
          <w:bCs/>
        </w:rPr>
        <w:t>to realise</w:t>
      </w:r>
      <w:r>
        <w:t xml:space="preserve"> in the Tuvaluan context. </w:t>
      </w:r>
      <w:r w:rsidR="00006F37">
        <w:t xml:space="preserve"> </w:t>
      </w:r>
    </w:p>
    <w:p w14:paraId="3A030BF1" w14:textId="6773E8F1" w:rsidR="002C2B02" w:rsidRDefault="00EB25CC" w:rsidP="00DF5451">
      <w:pPr>
        <w:spacing w:after="240"/>
      </w:pPr>
      <w:r>
        <w:t xml:space="preserve">For each of the three </w:t>
      </w:r>
      <w:r w:rsidR="00350A2B">
        <w:t xml:space="preserve">TAPQE </w:t>
      </w:r>
      <w:r>
        <w:t xml:space="preserve">Program EOPOs </w:t>
      </w:r>
      <w:r w:rsidR="00350A2B">
        <w:t xml:space="preserve">there is a </w:t>
      </w:r>
      <w:r w:rsidR="00350A2B" w:rsidRPr="00140CF5">
        <w:rPr>
          <w:b/>
          <w:bCs/>
        </w:rPr>
        <w:t>theory of action</w:t>
      </w:r>
      <w:r w:rsidR="00B77D42" w:rsidRPr="00140CF5">
        <w:rPr>
          <w:b/>
          <w:bCs/>
        </w:rPr>
        <w:t xml:space="preserve"> </w:t>
      </w:r>
      <w:r w:rsidR="00294B59">
        <w:t xml:space="preserve">that explains the sequencing </w:t>
      </w:r>
      <w:r w:rsidR="00441747">
        <w:t xml:space="preserve">of what the Program is undertaking to achieve the </w:t>
      </w:r>
      <w:r w:rsidR="002C2B02">
        <w:t>Program O</w:t>
      </w:r>
      <w:r w:rsidR="00441747">
        <w:t>utcomes</w:t>
      </w:r>
      <w:r w:rsidR="00C762AF">
        <w:t>. The logic is that planned activities lead to ‘outputs’</w:t>
      </w:r>
      <w:r w:rsidR="002C2B02">
        <w:t>,</w:t>
      </w:r>
      <w:r w:rsidR="00C762AF">
        <w:t xml:space="preserve"> which result in </w:t>
      </w:r>
      <w:r w:rsidR="002C2B02">
        <w:t xml:space="preserve">achievement of Intermediate outcomes, which in </w:t>
      </w:r>
      <w:r w:rsidR="00140CF5">
        <w:t>turn</w:t>
      </w:r>
      <w:r w:rsidR="002C2B02">
        <w:t xml:space="preserve"> lead to achievement of EOPOs.</w:t>
      </w:r>
    </w:p>
    <w:p w14:paraId="66D6756D" w14:textId="5802BB1F" w:rsidR="00EE681E" w:rsidRDefault="008012EE" w:rsidP="00DF5451">
      <w:pPr>
        <w:spacing w:after="240"/>
      </w:pPr>
      <w:r>
        <w:t xml:space="preserve">In the absence of </w:t>
      </w:r>
      <w:r w:rsidR="009A0075">
        <w:t xml:space="preserve">a </w:t>
      </w:r>
      <w:r>
        <w:t xml:space="preserve">baseline and </w:t>
      </w:r>
      <w:r w:rsidR="00E525BB">
        <w:t>associated progress data (for Intermediate Outcomes and for End of Program Outcomes</w:t>
      </w:r>
      <w:r w:rsidR="00705725">
        <w:t xml:space="preserve"> – see discussion </w:t>
      </w:r>
      <w:r w:rsidR="00EC48BE">
        <w:t>at</w:t>
      </w:r>
      <w:r w:rsidR="00EE681E">
        <w:t xml:space="preserve"> Key Question 5)</w:t>
      </w:r>
      <w:r w:rsidR="00E525BB">
        <w:t xml:space="preserve"> it is</w:t>
      </w:r>
      <w:r w:rsidR="0097462B">
        <w:t xml:space="preserve"> </w:t>
      </w:r>
      <w:r w:rsidR="002B2BF6" w:rsidRPr="005E77D5">
        <w:rPr>
          <w:b/>
          <w:bCs/>
        </w:rPr>
        <w:t>difficult to make a judgement about the degree to which the Program is on track</w:t>
      </w:r>
      <w:r w:rsidR="002B2BF6">
        <w:t xml:space="preserve"> to achieve the three Program EOPOs.</w:t>
      </w:r>
      <w:r w:rsidR="00B77D42">
        <w:t xml:space="preserve"> </w:t>
      </w:r>
    </w:p>
    <w:p w14:paraId="38F11EDE" w14:textId="11514C92" w:rsidR="008012EE" w:rsidRDefault="00DD2DAA" w:rsidP="00DF5451">
      <w:pPr>
        <w:spacing w:after="240"/>
      </w:pPr>
      <w:r>
        <w:t xml:space="preserve">However, </w:t>
      </w:r>
      <w:r w:rsidR="00306889">
        <w:t xml:space="preserve">discussion </w:t>
      </w:r>
      <w:r w:rsidR="00D55506">
        <w:t xml:space="preserve">on the next five sub-questions </w:t>
      </w:r>
      <w:r w:rsidR="00C921DB">
        <w:t xml:space="preserve">will consider likely effectiveness based on consideration of the </w:t>
      </w:r>
      <w:r w:rsidR="00B77D42">
        <w:t>Program Logic</w:t>
      </w:r>
      <w:r w:rsidR="003F76B8">
        <w:t xml:space="preserve">, </w:t>
      </w:r>
      <w:r w:rsidR="004F31DE">
        <w:t xml:space="preserve">the </w:t>
      </w:r>
      <w:r w:rsidR="006E1BDD">
        <w:t xml:space="preserve">theory of action </w:t>
      </w:r>
      <w:r w:rsidR="004F31DE">
        <w:t xml:space="preserve">for each EOPO, the reporting in the </w:t>
      </w:r>
      <w:r w:rsidR="009C4383" w:rsidRPr="00001E69">
        <w:rPr>
          <w:i/>
          <w:iCs/>
        </w:rPr>
        <w:t xml:space="preserve">2024 (draft) </w:t>
      </w:r>
      <w:r w:rsidR="00001E69" w:rsidRPr="00001E69">
        <w:rPr>
          <w:i/>
          <w:iCs/>
        </w:rPr>
        <w:t xml:space="preserve">TAPQE </w:t>
      </w:r>
      <w:r w:rsidR="009C4383" w:rsidRPr="00001E69">
        <w:rPr>
          <w:i/>
          <w:iCs/>
        </w:rPr>
        <w:t>Annual Report</w:t>
      </w:r>
      <w:r w:rsidR="00306889">
        <w:t>,</w:t>
      </w:r>
      <w:r w:rsidR="009C4383">
        <w:t xml:space="preserve"> and feedback provided through </w:t>
      </w:r>
      <w:r w:rsidR="00EC6296">
        <w:t>interviews with stakeholders</w:t>
      </w:r>
      <w:r w:rsidR="00C921DB">
        <w:t>.</w:t>
      </w:r>
      <w:r w:rsidR="00693C36">
        <w:t xml:space="preserve"> </w:t>
      </w:r>
    </w:p>
    <w:p w14:paraId="6A647B9B" w14:textId="00EB0177" w:rsidR="00805C19" w:rsidRPr="00D94014" w:rsidRDefault="00805C19" w:rsidP="00DF5451">
      <w:pPr>
        <w:pStyle w:val="ListParagraph"/>
        <w:keepNext/>
        <w:numPr>
          <w:ilvl w:val="0"/>
          <w:numId w:val="8"/>
        </w:numPr>
        <w:spacing w:after="240"/>
        <w:ind w:left="425" w:hanging="425"/>
        <w:rPr>
          <w:rStyle w:val="SubtleEmphasis"/>
        </w:rPr>
      </w:pPr>
      <w:r w:rsidRPr="00D94014">
        <w:rPr>
          <w:rStyle w:val="SubtleEmphasis"/>
        </w:rPr>
        <w:lastRenderedPageBreak/>
        <w:t>To what extent have program activities improved numeracy and literacy outcomes for all learners?</w:t>
      </w:r>
    </w:p>
    <w:p w14:paraId="1F7F8957" w14:textId="571AA24D" w:rsidR="00BD14E7" w:rsidRDefault="00BD14E7" w:rsidP="00DF5451">
      <w:pPr>
        <w:spacing w:after="240"/>
        <w:rPr>
          <w:color w:val="auto"/>
        </w:rPr>
      </w:pPr>
      <w:r w:rsidRPr="00BD14E7">
        <w:rPr>
          <w:color w:val="auto"/>
        </w:rPr>
        <w:t>Beyond anecdotal feedback provided through interviews and trial data from the Mauifa remedial reading program (reported in the 2024 (draft) TAPQE Annual Report)</w:t>
      </w:r>
      <w:r w:rsidR="00F5152D">
        <w:rPr>
          <w:color w:val="auto"/>
        </w:rPr>
        <w:t>,</w:t>
      </w:r>
      <w:r w:rsidRPr="00BD14E7">
        <w:rPr>
          <w:color w:val="auto"/>
        </w:rPr>
        <w:t xml:space="preserve"> there is </w:t>
      </w:r>
      <w:r w:rsidRPr="00542B9A">
        <w:rPr>
          <w:b/>
          <w:bCs/>
          <w:color w:val="auto"/>
        </w:rPr>
        <w:t>no Program data on which to assess the extent</w:t>
      </w:r>
      <w:r w:rsidRPr="00BD14E7">
        <w:rPr>
          <w:color w:val="auto"/>
        </w:rPr>
        <w:t xml:space="preserve"> to which Program activities </w:t>
      </w:r>
      <w:r w:rsidR="001D1EC3" w:rsidRPr="00BD14E7">
        <w:rPr>
          <w:color w:val="auto"/>
        </w:rPr>
        <w:t>have improved</w:t>
      </w:r>
      <w:r w:rsidRPr="00BD14E7">
        <w:rPr>
          <w:color w:val="auto"/>
        </w:rPr>
        <w:t xml:space="preserve"> </w:t>
      </w:r>
      <w:proofErr w:type="spellStart"/>
      <w:r w:rsidRPr="00BD14E7">
        <w:rPr>
          <w:color w:val="auto"/>
        </w:rPr>
        <w:t>improved</w:t>
      </w:r>
      <w:proofErr w:type="spellEnd"/>
      <w:r w:rsidRPr="00BD14E7">
        <w:rPr>
          <w:color w:val="auto"/>
        </w:rPr>
        <w:t xml:space="preserve"> literacy and numeracy outcomes for any students. </w:t>
      </w:r>
    </w:p>
    <w:p w14:paraId="6499A798" w14:textId="632EE2B9" w:rsidR="00762D4E" w:rsidRDefault="007343A7" w:rsidP="00DF5451">
      <w:pPr>
        <w:spacing w:after="240"/>
        <w:rPr>
          <w:color w:val="auto"/>
        </w:rPr>
      </w:pPr>
      <w:r>
        <w:rPr>
          <w:color w:val="auto"/>
        </w:rPr>
        <w:t>For EOPO1</w:t>
      </w:r>
      <w:r w:rsidR="004452B2">
        <w:rPr>
          <w:color w:val="auto"/>
        </w:rPr>
        <w:t xml:space="preserve">: </w:t>
      </w:r>
      <w:r w:rsidRPr="007343A7">
        <w:rPr>
          <w:color w:val="auto"/>
        </w:rPr>
        <w:t>Improve literacy and numeracy for both boys and girls (years 1-10) including children with a disability</w:t>
      </w:r>
      <w:r w:rsidR="004452B2">
        <w:rPr>
          <w:color w:val="auto"/>
        </w:rPr>
        <w:t xml:space="preserve">, </w:t>
      </w:r>
      <w:r w:rsidR="00D94014">
        <w:rPr>
          <w:color w:val="auto"/>
        </w:rPr>
        <w:t>involves</w:t>
      </w:r>
      <w:r w:rsidR="00261261">
        <w:rPr>
          <w:color w:val="auto"/>
        </w:rPr>
        <w:t xml:space="preserve"> </w:t>
      </w:r>
      <w:r w:rsidR="00762D4E">
        <w:rPr>
          <w:color w:val="auto"/>
        </w:rPr>
        <w:t>achievement of 5 Intermediate Outcomes:</w:t>
      </w:r>
    </w:p>
    <w:p w14:paraId="5984BB79" w14:textId="77777777" w:rsidR="00762D4E" w:rsidRPr="0069506B" w:rsidRDefault="00762D4E" w:rsidP="00DF5451">
      <w:pPr>
        <w:pStyle w:val="ListParagraph"/>
        <w:numPr>
          <w:ilvl w:val="0"/>
          <w:numId w:val="17"/>
        </w:numPr>
        <w:spacing w:after="240"/>
        <w:jc w:val="left"/>
        <w:rPr>
          <w:color w:val="auto"/>
          <w:sz w:val="20"/>
          <w:szCs w:val="20"/>
        </w:rPr>
      </w:pPr>
      <w:r w:rsidRPr="0069506B">
        <w:rPr>
          <w:color w:val="auto"/>
          <w:sz w:val="20"/>
          <w:szCs w:val="20"/>
        </w:rPr>
        <w:t>IO1.1-</w:t>
      </w:r>
      <w:r w:rsidRPr="0069506B">
        <w:rPr>
          <w:color w:val="auto"/>
        </w:rPr>
        <w:t>Revised curriculum approved, available and used in schools; Teacher Guides and resources provided.</w:t>
      </w:r>
    </w:p>
    <w:p w14:paraId="54190432" w14:textId="77777777" w:rsidR="00762D4E" w:rsidRPr="0069506B" w:rsidRDefault="00762D4E" w:rsidP="00DF5451">
      <w:pPr>
        <w:pStyle w:val="ListParagraph"/>
        <w:numPr>
          <w:ilvl w:val="0"/>
          <w:numId w:val="17"/>
        </w:numPr>
        <w:spacing w:after="240"/>
        <w:jc w:val="left"/>
        <w:rPr>
          <w:color w:val="auto"/>
          <w:sz w:val="20"/>
          <w:szCs w:val="20"/>
        </w:rPr>
      </w:pPr>
      <w:r w:rsidRPr="0069506B">
        <w:rPr>
          <w:color w:val="auto"/>
          <w:sz w:val="20"/>
          <w:szCs w:val="20"/>
        </w:rPr>
        <w:t>IO1.2-</w:t>
      </w:r>
      <w:r w:rsidRPr="00A9645C">
        <w:rPr>
          <w:color w:val="auto"/>
        </w:rPr>
        <w:t>Teachers deliver lessons to the curriculum using the Teaching Guides – demonstrating understanding of content knowledge, effective teaching strategies and pedagogical practices during lesson delivery.</w:t>
      </w:r>
    </w:p>
    <w:p w14:paraId="5EC2D9F0" w14:textId="70505466" w:rsidR="00762D4E" w:rsidRPr="0069506B" w:rsidRDefault="00762D4E" w:rsidP="00DF5451">
      <w:pPr>
        <w:pStyle w:val="ListParagraph"/>
        <w:numPr>
          <w:ilvl w:val="0"/>
          <w:numId w:val="17"/>
        </w:numPr>
        <w:spacing w:after="240"/>
        <w:jc w:val="left"/>
        <w:rPr>
          <w:color w:val="auto"/>
          <w:sz w:val="20"/>
          <w:szCs w:val="20"/>
        </w:rPr>
      </w:pPr>
      <w:r w:rsidRPr="0069506B">
        <w:rPr>
          <w:color w:val="auto"/>
          <w:sz w:val="20"/>
          <w:szCs w:val="20"/>
        </w:rPr>
        <w:t>IO1.3-</w:t>
      </w:r>
      <w:r w:rsidRPr="0069506B">
        <w:rPr>
          <w:color w:val="auto"/>
        </w:rPr>
        <w:t xml:space="preserve"> Increased participation of learners with a disability in primary education, and reduced performance gap between boys and girls at primary school</w:t>
      </w:r>
      <w:r>
        <w:rPr>
          <w:color w:val="auto"/>
        </w:rPr>
        <w:t>.</w:t>
      </w:r>
    </w:p>
    <w:p w14:paraId="742FBBFA" w14:textId="6AD078D3" w:rsidR="00762D4E" w:rsidRPr="0069506B" w:rsidRDefault="00762D4E" w:rsidP="00DF5451">
      <w:pPr>
        <w:pStyle w:val="ListParagraph"/>
        <w:numPr>
          <w:ilvl w:val="0"/>
          <w:numId w:val="17"/>
        </w:numPr>
        <w:spacing w:after="240"/>
        <w:jc w:val="left"/>
        <w:rPr>
          <w:color w:val="auto"/>
          <w:sz w:val="20"/>
          <w:szCs w:val="20"/>
        </w:rPr>
      </w:pPr>
      <w:r w:rsidRPr="0069506B">
        <w:rPr>
          <w:color w:val="auto"/>
          <w:sz w:val="20"/>
          <w:szCs w:val="20"/>
        </w:rPr>
        <w:t>IO1.4-</w:t>
      </w:r>
      <w:r w:rsidRPr="0069506B">
        <w:rPr>
          <w:color w:val="auto"/>
        </w:rPr>
        <w:t>Head teachers support teachers to improve literacy and numeracy practices and monitor learning outcomes in their schools</w:t>
      </w:r>
      <w:r>
        <w:rPr>
          <w:color w:val="auto"/>
        </w:rPr>
        <w:t>.</w:t>
      </w:r>
    </w:p>
    <w:p w14:paraId="664B6652" w14:textId="1279D322" w:rsidR="00762D4E" w:rsidRPr="0069506B" w:rsidRDefault="00762D4E" w:rsidP="00DF5451">
      <w:pPr>
        <w:pStyle w:val="ListParagraph"/>
        <w:numPr>
          <w:ilvl w:val="0"/>
          <w:numId w:val="17"/>
        </w:numPr>
        <w:spacing w:after="240"/>
        <w:jc w:val="left"/>
        <w:rPr>
          <w:color w:val="auto"/>
          <w:sz w:val="20"/>
          <w:szCs w:val="20"/>
        </w:rPr>
      </w:pPr>
      <w:r w:rsidRPr="0069506B">
        <w:rPr>
          <w:color w:val="auto"/>
          <w:sz w:val="20"/>
          <w:szCs w:val="20"/>
        </w:rPr>
        <w:t>IO1.5-C</w:t>
      </w:r>
      <w:r w:rsidRPr="0069506B">
        <w:rPr>
          <w:color w:val="auto"/>
        </w:rPr>
        <w:t>ommunity actively engaged in supporting school improvement</w:t>
      </w:r>
      <w:r>
        <w:rPr>
          <w:color w:val="auto"/>
        </w:rPr>
        <w:t>.</w:t>
      </w:r>
    </w:p>
    <w:p w14:paraId="71A0B3AE" w14:textId="19D555BD" w:rsidR="00F1616A" w:rsidRDefault="00762D4E" w:rsidP="00DF5451">
      <w:pPr>
        <w:spacing w:after="240"/>
        <w:rPr>
          <w:color w:val="auto"/>
        </w:rPr>
      </w:pPr>
      <w:r>
        <w:rPr>
          <w:color w:val="auto"/>
        </w:rPr>
        <w:t>D</w:t>
      </w:r>
      <w:r w:rsidR="00590CAC">
        <w:rPr>
          <w:color w:val="auto"/>
        </w:rPr>
        <w:t>iscussion of progress in relation to these IOs is provided in the body</w:t>
      </w:r>
      <w:r w:rsidR="00D94014">
        <w:rPr>
          <w:color w:val="auto"/>
        </w:rPr>
        <w:t xml:space="preserve"> of the </w:t>
      </w:r>
      <w:r w:rsidR="00590CAC" w:rsidRPr="0069506B">
        <w:rPr>
          <w:i/>
          <w:iCs/>
          <w:color w:val="auto"/>
        </w:rPr>
        <w:t>2024 (draft) TAPQE Annual Report</w:t>
      </w:r>
      <w:r w:rsidR="00FE149A">
        <w:rPr>
          <w:color w:val="auto"/>
        </w:rPr>
        <w:t xml:space="preserve"> (p.5) and </w:t>
      </w:r>
      <w:r w:rsidR="00FE149A" w:rsidRPr="0069506B">
        <w:rPr>
          <w:i/>
          <w:iCs/>
          <w:color w:val="auto"/>
        </w:rPr>
        <w:t>Annex 6</w:t>
      </w:r>
      <w:r w:rsidR="00536EF2" w:rsidRPr="0069506B">
        <w:rPr>
          <w:i/>
          <w:iCs/>
          <w:color w:val="auto"/>
        </w:rPr>
        <w:t>: Table - Progress Against End of Program Outcomes</w:t>
      </w:r>
      <w:r w:rsidR="00536EF2">
        <w:rPr>
          <w:color w:val="auto"/>
        </w:rPr>
        <w:t xml:space="preserve">. </w:t>
      </w:r>
      <w:r w:rsidR="00B0449D">
        <w:rPr>
          <w:color w:val="auto"/>
        </w:rPr>
        <w:t xml:space="preserve">This discussion deals with </w:t>
      </w:r>
      <w:r w:rsidR="00A521B1">
        <w:rPr>
          <w:color w:val="auto"/>
        </w:rPr>
        <w:t>many</w:t>
      </w:r>
      <w:r w:rsidR="00B0449D">
        <w:rPr>
          <w:color w:val="auto"/>
        </w:rPr>
        <w:t xml:space="preserve"> </w:t>
      </w:r>
      <w:r w:rsidR="008B76DB">
        <w:rPr>
          <w:color w:val="auto"/>
        </w:rPr>
        <w:t>activities and</w:t>
      </w:r>
      <w:r w:rsidR="00B575BB">
        <w:rPr>
          <w:color w:val="auto"/>
        </w:rPr>
        <w:t xml:space="preserve"> reinforces </w:t>
      </w:r>
      <w:r w:rsidR="00655555">
        <w:rPr>
          <w:color w:val="auto"/>
        </w:rPr>
        <w:t xml:space="preserve">the fact that the Program team has been busy, </w:t>
      </w:r>
      <w:r w:rsidR="00DE3ECF">
        <w:rPr>
          <w:color w:val="auto"/>
        </w:rPr>
        <w:t xml:space="preserve">although </w:t>
      </w:r>
      <w:r w:rsidR="009348AE">
        <w:rPr>
          <w:color w:val="auto"/>
        </w:rPr>
        <w:t xml:space="preserve">it provides </w:t>
      </w:r>
      <w:r w:rsidR="00BE2898">
        <w:rPr>
          <w:color w:val="auto"/>
        </w:rPr>
        <w:t xml:space="preserve">little insight into whether and when individual IOs </w:t>
      </w:r>
      <w:r w:rsidR="009348AE">
        <w:rPr>
          <w:color w:val="auto"/>
        </w:rPr>
        <w:t xml:space="preserve">might be expected to be achieved let alone the </w:t>
      </w:r>
      <w:r w:rsidR="00B575BB">
        <w:rPr>
          <w:color w:val="auto"/>
        </w:rPr>
        <w:t xml:space="preserve">EOPO. </w:t>
      </w:r>
      <w:r w:rsidR="00AE1E96">
        <w:rPr>
          <w:color w:val="auto"/>
        </w:rPr>
        <w:t xml:space="preserve">In the absence of </w:t>
      </w:r>
      <w:proofErr w:type="gramStart"/>
      <w:r w:rsidR="009A0075">
        <w:rPr>
          <w:color w:val="auto"/>
        </w:rPr>
        <w:t xml:space="preserve">a </w:t>
      </w:r>
      <w:r w:rsidR="003E229B">
        <w:rPr>
          <w:color w:val="auto"/>
        </w:rPr>
        <w:t>baseline</w:t>
      </w:r>
      <w:proofErr w:type="gramEnd"/>
      <w:r w:rsidR="003E229B">
        <w:rPr>
          <w:color w:val="auto"/>
        </w:rPr>
        <w:t xml:space="preserve"> and evidence of progress in relation to </w:t>
      </w:r>
      <w:r w:rsidR="00E47969">
        <w:rPr>
          <w:color w:val="auto"/>
        </w:rPr>
        <w:t>success indicators</w:t>
      </w:r>
      <w:r w:rsidR="00892524">
        <w:rPr>
          <w:color w:val="auto"/>
        </w:rPr>
        <w:t xml:space="preserve">, the Program might have considered reporting estimates of completion </w:t>
      </w:r>
      <w:r w:rsidR="00F1616A">
        <w:rPr>
          <w:color w:val="auto"/>
        </w:rPr>
        <w:t>of activities and delivery of outputs</w:t>
      </w:r>
      <w:r w:rsidR="006E57E6">
        <w:rPr>
          <w:color w:val="auto"/>
        </w:rPr>
        <w:t xml:space="preserve"> to provide </w:t>
      </w:r>
      <w:r w:rsidR="00B82303">
        <w:rPr>
          <w:color w:val="auto"/>
        </w:rPr>
        <w:t>an indicator of progress towards achieving the IOs for EOPO1</w:t>
      </w:r>
      <w:r w:rsidR="00F1616A">
        <w:rPr>
          <w:color w:val="auto"/>
        </w:rPr>
        <w:t>.</w:t>
      </w:r>
    </w:p>
    <w:p w14:paraId="38D0721F" w14:textId="75E6652A" w:rsidR="00F1616A" w:rsidRDefault="00B82303" w:rsidP="00DF5451">
      <w:pPr>
        <w:spacing w:after="240"/>
        <w:rPr>
          <w:color w:val="auto"/>
        </w:rPr>
      </w:pPr>
      <w:r>
        <w:rPr>
          <w:color w:val="auto"/>
        </w:rPr>
        <w:t xml:space="preserve">In addition to </w:t>
      </w:r>
      <w:r w:rsidR="00F1616A">
        <w:rPr>
          <w:color w:val="auto"/>
        </w:rPr>
        <w:t xml:space="preserve">the </w:t>
      </w:r>
      <w:r w:rsidR="005003C5" w:rsidRPr="0069506B">
        <w:rPr>
          <w:i/>
          <w:iCs/>
          <w:color w:val="auto"/>
        </w:rPr>
        <w:t>2024 (draft) TAPQE Annual Report</w:t>
      </w:r>
      <w:r w:rsidR="008B76DB">
        <w:rPr>
          <w:i/>
          <w:iCs/>
          <w:color w:val="auto"/>
        </w:rPr>
        <w:t>,</w:t>
      </w:r>
      <w:r w:rsidR="005003C5">
        <w:rPr>
          <w:color w:val="auto"/>
        </w:rPr>
        <w:t xml:space="preserve"> the </w:t>
      </w:r>
      <w:r w:rsidR="00165A4E">
        <w:rPr>
          <w:color w:val="auto"/>
        </w:rPr>
        <w:t>MTR team</w:t>
      </w:r>
      <w:r w:rsidR="005003C5">
        <w:rPr>
          <w:color w:val="auto"/>
        </w:rPr>
        <w:t xml:space="preserve"> </w:t>
      </w:r>
      <w:r w:rsidR="00CA494D">
        <w:rPr>
          <w:color w:val="auto"/>
        </w:rPr>
        <w:t xml:space="preserve">was able to test this question </w:t>
      </w:r>
      <w:r w:rsidR="00C235FC">
        <w:rPr>
          <w:color w:val="auto"/>
        </w:rPr>
        <w:t xml:space="preserve">via </w:t>
      </w:r>
      <w:r w:rsidR="00BA015B">
        <w:rPr>
          <w:color w:val="auto"/>
        </w:rPr>
        <w:t>in-country interviews</w:t>
      </w:r>
      <w:r w:rsidR="001C5DBA">
        <w:rPr>
          <w:color w:val="auto"/>
        </w:rPr>
        <w:t xml:space="preserve"> with a range of stakeholders. Overall, the feedback in interviews was </w:t>
      </w:r>
      <w:r w:rsidR="00EE16A5">
        <w:rPr>
          <w:color w:val="auto"/>
        </w:rPr>
        <w:t xml:space="preserve">very positive about TAPQE’s contribution to Tuvalu education and to </w:t>
      </w:r>
      <w:r w:rsidR="00B6020B">
        <w:rPr>
          <w:color w:val="auto"/>
        </w:rPr>
        <w:t>improving the qualit</w:t>
      </w:r>
      <w:r w:rsidR="00791D82">
        <w:rPr>
          <w:color w:val="auto"/>
        </w:rPr>
        <w:t>y</w:t>
      </w:r>
      <w:r w:rsidR="00B6020B">
        <w:rPr>
          <w:color w:val="auto"/>
        </w:rPr>
        <w:t xml:space="preserve"> of teaching </w:t>
      </w:r>
      <w:r w:rsidR="00473609">
        <w:rPr>
          <w:color w:val="auto"/>
        </w:rPr>
        <w:t xml:space="preserve">of literacy and numeracy. </w:t>
      </w:r>
      <w:r w:rsidR="00915564">
        <w:rPr>
          <w:color w:val="auto"/>
        </w:rPr>
        <w:t xml:space="preserve">Examples </w:t>
      </w:r>
      <w:r w:rsidR="00473609">
        <w:rPr>
          <w:color w:val="auto"/>
        </w:rPr>
        <w:t>provided during interviews included:</w:t>
      </w:r>
    </w:p>
    <w:p w14:paraId="750CEB28" w14:textId="1C6AC30F" w:rsidR="00BD7074" w:rsidRPr="00BD7074" w:rsidRDefault="007177B2" w:rsidP="00DF5451">
      <w:pPr>
        <w:pStyle w:val="ListParagraph"/>
        <w:numPr>
          <w:ilvl w:val="0"/>
          <w:numId w:val="18"/>
        </w:numPr>
        <w:spacing w:after="240"/>
        <w:rPr>
          <w:color w:val="auto"/>
        </w:rPr>
      </w:pPr>
      <w:r>
        <w:rPr>
          <w:color w:val="auto"/>
        </w:rPr>
        <w:t xml:space="preserve">Improved knowledge </w:t>
      </w:r>
      <w:r w:rsidR="00423F5F">
        <w:rPr>
          <w:color w:val="auto"/>
        </w:rPr>
        <w:t xml:space="preserve">from </w:t>
      </w:r>
      <w:r w:rsidR="001D672F">
        <w:rPr>
          <w:color w:val="auto"/>
        </w:rPr>
        <w:t>numeracy t</w:t>
      </w:r>
      <w:r w:rsidR="00BD7074" w:rsidRPr="00BD7074">
        <w:rPr>
          <w:color w:val="auto"/>
        </w:rPr>
        <w:t>eacher training</w:t>
      </w:r>
      <w:r w:rsidR="00423F5F">
        <w:rPr>
          <w:color w:val="auto"/>
        </w:rPr>
        <w:t>,</w:t>
      </w:r>
      <w:r w:rsidR="001D672F">
        <w:rPr>
          <w:color w:val="auto"/>
        </w:rPr>
        <w:t xml:space="preserve"> and provision of lesson plans</w:t>
      </w:r>
      <w:r w:rsidR="00423F5F">
        <w:rPr>
          <w:color w:val="auto"/>
        </w:rPr>
        <w:t>, r</w:t>
      </w:r>
      <w:r w:rsidR="001F43F8">
        <w:rPr>
          <w:color w:val="auto"/>
        </w:rPr>
        <w:t>esult</w:t>
      </w:r>
      <w:r w:rsidR="00116E72">
        <w:rPr>
          <w:color w:val="auto"/>
        </w:rPr>
        <w:t xml:space="preserve">ing </w:t>
      </w:r>
      <w:r w:rsidR="001D672F">
        <w:rPr>
          <w:color w:val="auto"/>
        </w:rPr>
        <w:t>in a shift from a teacher-centred approach</w:t>
      </w:r>
      <w:r w:rsidR="00CA771E">
        <w:rPr>
          <w:color w:val="auto"/>
        </w:rPr>
        <w:t xml:space="preserve"> to a student-centred approach informed by </w:t>
      </w:r>
      <w:r w:rsidR="008B76DB">
        <w:rPr>
          <w:color w:val="auto"/>
        </w:rPr>
        <w:t>topic-based</w:t>
      </w:r>
      <w:r w:rsidR="00CA771E">
        <w:rPr>
          <w:color w:val="auto"/>
        </w:rPr>
        <w:t xml:space="preserve"> assessment, use of concrete materials and strategies to </w:t>
      </w:r>
      <w:r w:rsidR="00CE2777">
        <w:rPr>
          <w:color w:val="auto"/>
        </w:rPr>
        <w:t xml:space="preserve">work with groups of students based on assessment results. </w:t>
      </w:r>
    </w:p>
    <w:p w14:paraId="0BA65A97" w14:textId="39846D96" w:rsidR="00BD7074" w:rsidRPr="00BD7074" w:rsidRDefault="003C4565" w:rsidP="00DF5451">
      <w:pPr>
        <w:pStyle w:val="ListParagraph"/>
        <w:numPr>
          <w:ilvl w:val="0"/>
          <w:numId w:val="18"/>
        </w:numPr>
        <w:spacing w:after="240"/>
        <w:rPr>
          <w:color w:val="auto"/>
        </w:rPr>
      </w:pPr>
      <w:r>
        <w:rPr>
          <w:color w:val="auto"/>
        </w:rPr>
        <w:t xml:space="preserve">The </w:t>
      </w:r>
      <w:r w:rsidR="00BD7074" w:rsidRPr="00BD7074">
        <w:rPr>
          <w:color w:val="auto"/>
        </w:rPr>
        <w:t>Mau</w:t>
      </w:r>
      <w:r w:rsidR="006C0F4C">
        <w:rPr>
          <w:color w:val="auto"/>
        </w:rPr>
        <w:t>i</w:t>
      </w:r>
      <w:r w:rsidR="00BD7074" w:rsidRPr="00BD7074">
        <w:rPr>
          <w:color w:val="auto"/>
        </w:rPr>
        <w:t>f</w:t>
      </w:r>
      <w:r w:rsidR="006C0F4C">
        <w:rPr>
          <w:color w:val="auto"/>
        </w:rPr>
        <w:t xml:space="preserve">a remedial reading program (see also </w:t>
      </w:r>
      <w:r>
        <w:rPr>
          <w:color w:val="auto"/>
        </w:rPr>
        <w:t>p</w:t>
      </w:r>
      <w:r w:rsidR="0097265A">
        <w:rPr>
          <w:color w:val="auto"/>
        </w:rPr>
        <w:t>.</w:t>
      </w:r>
      <w:r>
        <w:rPr>
          <w:color w:val="auto"/>
        </w:rPr>
        <w:t>3 of Annex 6</w:t>
      </w:r>
      <w:r w:rsidR="00440CA4">
        <w:rPr>
          <w:color w:val="auto"/>
        </w:rPr>
        <w:t xml:space="preserve"> for </w:t>
      </w:r>
      <w:r w:rsidR="007C4DED">
        <w:rPr>
          <w:color w:val="auto"/>
        </w:rPr>
        <w:t>data on improved reading of 20 students in the trial</w:t>
      </w:r>
      <w:r w:rsidR="00C761C3">
        <w:rPr>
          <w:color w:val="auto"/>
        </w:rPr>
        <w:t xml:space="preserve"> and the </w:t>
      </w:r>
      <w:r w:rsidR="00C761C3" w:rsidRPr="0069506B">
        <w:rPr>
          <w:i/>
          <w:iCs/>
          <w:color w:val="auto"/>
        </w:rPr>
        <w:t>TAPQE STORY OF CHANGE: Mauifa Program</w:t>
      </w:r>
      <w:r w:rsidR="007C4DED">
        <w:rPr>
          <w:color w:val="auto"/>
        </w:rPr>
        <w:t xml:space="preserve">). Teachers involved in this trial were very </w:t>
      </w:r>
      <w:r w:rsidR="002F4D88">
        <w:rPr>
          <w:color w:val="auto"/>
        </w:rPr>
        <w:t xml:space="preserve">complimentary </w:t>
      </w:r>
      <w:r w:rsidR="00A35A6D">
        <w:rPr>
          <w:color w:val="auto"/>
        </w:rPr>
        <w:t xml:space="preserve">about the difference that the program made and keen for it to be </w:t>
      </w:r>
      <w:r w:rsidR="00A150C5">
        <w:rPr>
          <w:color w:val="auto"/>
        </w:rPr>
        <w:t>expanded.</w:t>
      </w:r>
    </w:p>
    <w:p w14:paraId="43E53F51" w14:textId="719A6E08" w:rsidR="00AF7898" w:rsidRDefault="00C761C3" w:rsidP="00DF5451">
      <w:pPr>
        <w:pStyle w:val="ListParagraph"/>
        <w:numPr>
          <w:ilvl w:val="0"/>
          <w:numId w:val="18"/>
        </w:numPr>
        <w:spacing w:after="240"/>
        <w:rPr>
          <w:color w:val="auto"/>
        </w:rPr>
      </w:pPr>
      <w:r>
        <w:rPr>
          <w:color w:val="auto"/>
        </w:rPr>
        <w:t xml:space="preserve">The Read and Swap Program </w:t>
      </w:r>
      <w:r w:rsidR="00E85886">
        <w:rPr>
          <w:color w:val="auto"/>
        </w:rPr>
        <w:t xml:space="preserve">is </w:t>
      </w:r>
      <w:r w:rsidR="005C08DD">
        <w:rPr>
          <w:color w:val="auto"/>
        </w:rPr>
        <w:t>designed to encourage the habit of reading in collaboration with paren</w:t>
      </w:r>
      <w:r w:rsidR="00CC442D">
        <w:rPr>
          <w:color w:val="auto"/>
        </w:rPr>
        <w:t xml:space="preserve">ts. Parents and teachers were </w:t>
      </w:r>
      <w:r w:rsidR="00DA6A65">
        <w:rPr>
          <w:color w:val="auto"/>
        </w:rPr>
        <w:t xml:space="preserve">very </w:t>
      </w:r>
      <w:r w:rsidR="00CC442D">
        <w:rPr>
          <w:color w:val="auto"/>
        </w:rPr>
        <w:t>positive about h</w:t>
      </w:r>
      <w:r w:rsidR="00DA6A65">
        <w:rPr>
          <w:color w:val="auto"/>
        </w:rPr>
        <w:t xml:space="preserve">ow this increased engagement with parents and built student responsibility for their learning. </w:t>
      </w:r>
      <w:r w:rsidR="001A7A17">
        <w:rPr>
          <w:color w:val="auto"/>
        </w:rPr>
        <w:t xml:space="preserve">Feedback </w:t>
      </w:r>
      <w:r w:rsidR="0021023D">
        <w:rPr>
          <w:color w:val="auto"/>
        </w:rPr>
        <w:t xml:space="preserve">also indicated that </w:t>
      </w:r>
      <w:r w:rsidR="008B76DB" w:rsidRPr="00FC455C">
        <w:rPr>
          <w:color w:val="auto"/>
        </w:rPr>
        <w:t>contextuali</w:t>
      </w:r>
      <w:r w:rsidR="00FC455C">
        <w:rPr>
          <w:color w:val="auto"/>
        </w:rPr>
        <w:t>s</w:t>
      </w:r>
      <w:r w:rsidR="008B76DB" w:rsidRPr="00FC455C">
        <w:rPr>
          <w:color w:val="auto"/>
        </w:rPr>
        <w:t>ed</w:t>
      </w:r>
      <w:r w:rsidR="00E94FCA">
        <w:rPr>
          <w:color w:val="auto"/>
        </w:rPr>
        <w:t xml:space="preserve"> books would </w:t>
      </w:r>
      <w:r w:rsidR="007D1C7A">
        <w:rPr>
          <w:color w:val="auto"/>
        </w:rPr>
        <w:t xml:space="preserve">likely be more engaging and </w:t>
      </w:r>
      <w:r w:rsidR="00AF7898">
        <w:rPr>
          <w:color w:val="auto"/>
        </w:rPr>
        <w:t>more suitable for younger readers.</w:t>
      </w:r>
    </w:p>
    <w:p w14:paraId="7AFA38F9" w14:textId="286CDF19" w:rsidR="004854EF" w:rsidRDefault="004854EF" w:rsidP="00DF5451">
      <w:pPr>
        <w:pStyle w:val="ListParagraph"/>
        <w:numPr>
          <w:ilvl w:val="0"/>
          <w:numId w:val="18"/>
        </w:numPr>
        <w:spacing w:after="240"/>
        <w:rPr>
          <w:color w:val="auto"/>
        </w:rPr>
      </w:pPr>
      <w:r w:rsidRPr="004854EF">
        <w:rPr>
          <w:color w:val="auto"/>
        </w:rPr>
        <w:lastRenderedPageBreak/>
        <w:t xml:space="preserve">Provision of </w:t>
      </w:r>
      <w:r w:rsidR="008B31A4">
        <w:rPr>
          <w:color w:val="auto"/>
        </w:rPr>
        <w:t xml:space="preserve">braille equipment and training and mentoring </w:t>
      </w:r>
      <w:r w:rsidR="00DF7D1B">
        <w:rPr>
          <w:color w:val="auto"/>
        </w:rPr>
        <w:t xml:space="preserve">of </w:t>
      </w:r>
      <w:r w:rsidR="008B31A4">
        <w:rPr>
          <w:color w:val="auto"/>
        </w:rPr>
        <w:t xml:space="preserve">teachers to </w:t>
      </w:r>
      <w:r w:rsidR="00276411">
        <w:rPr>
          <w:color w:val="auto"/>
        </w:rPr>
        <w:t xml:space="preserve">enable blind and </w:t>
      </w:r>
      <w:r w:rsidR="00E85886">
        <w:rPr>
          <w:color w:val="auto"/>
        </w:rPr>
        <w:t>low-</w:t>
      </w:r>
      <w:r w:rsidR="00276411">
        <w:rPr>
          <w:color w:val="auto"/>
        </w:rPr>
        <w:t>vision students to read</w:t>
      </w:r>
      <w:r w:rsidR="00DF7D1B">
        <w:rPr>
          <w:color w:val="auto"/>
        </w:rPr>
        <w:t xml:space="preserve">. </w:t>
      </w:r>
      <w:r w:rsidR="00AA251A">
        <w:rPr>
          <w:color w:val="auto"/>
        </w:rPr>
        <w:t xml:space="preserve">(See also the </w:t>
      </w:r>
      <w:r w:rsidR="00AA251A" w:rsidRPr="0069506B">
        <w:rPr>
          <w:i/>
          <w:iCs/>
          <w:color w:val="auto"/>
        </w:rPr>
        <w:t>TAPQE STORY OF CHANGE: The Impacts of the Braille Machine on Toko Simona</w:t>
      </w:r>
      <w:r w:rsidR="00AA251A">
        <w:rPr>
          <w:color w:val="auto"/>
        </w:rPr>
        <w:t>.)</w:t>
      </w:r>
    </w:p>
    <w:p w14:paraId="670B5EDF" w14:textId="61BB0E62" w:rsidR="000E51EE" w:rsidRPr="00542B9A" w:rsidRDefault="000E51EE" w:rsidP="00DF5451">
      <w:pPr>
        <w:pStyle w:val="ListParagraph"/>
        <w:numPr>
          <w:ilvl w:val="0"/>
          <w:numId w:val="18"/>
        </w:numPr>
        <w:spacing w:after="240"/>
        <w:rPr>
          <w:color w:val="auto"/>
        </w:rPr>
      </w:pPr>
      <w:r w:rsidRPr="00E03ADF">
        <w:rPr>
          <w:color w:val="auto"/>
        </w:rPr>
        <w:t xml:space="preserve">Provision of </w:t>
      </w:r>
      <w:r>
        <w:rPr>
          <w:color w:val="auto"/>
        </w:rPr>
        <w:t xml:space="preserve">professional development e.g. resources and </w:t>
      </w:r>
      <w:r w:rsidRPr="00E03ADF">
        <w:rPr>
          <w:color w:val="auto"/>
        </w:rPr>
        <w:t xml:space="preserve">equipment to </w:t>
      </w:r>
      <w:r>
        <w:rPr>
          <w:color w:val="auto"/>
        </w:rPr>
        <w:t xml:space="preserve">the </w:t>
      </w:r>
      <w:r w:rsidRPr="00E217C6">
        <w:rPr>
          <w:color w:val="auto"/>
        </w:rPr>
        <w:t>Aofiaga Inclusive Education Centre at Nauti Primary School</w:t>
      </w:r>
      <w:r w:rsidRPr="00E03ADF">
        <w:rPr>
          <w:color w:val="auto"/>
        </w:rPr>
        <w:t xml:space="preserve">, </w:t>
      </w:r>
      <w:r>
        <w:rPr>
          <w:color w:val="auto"/>
        </w:rPr>
        <w:t xml:space="preserve">and the </w:t>
      </w:r>
      <w:r w:rsidRPr="004537A4">
        <w:rPr>
          <w:color w:val="auto"/>
        </w:rPr>
        <w:t xml:space="preserve">Fusi’Alofa </w:t>
      </w:r>
      <w:r w:rsidR="00E85886" w:rsidRPr="004537A4">
        <w:rPr>
          <w:color w:val="auto"/>
        </w:rPr>
        <w:t>School</w:t>
      </w:r>
      <w:r w:rsidR="00E85886" w:rsidRPr="009A2AA3">
        <w:rPr>
          <w:color w:val="auto"/>
        </w:rPr>
        <w:t xml:space="preserve"> </w:t>
      </w:r>
      <w:r w:rsidRPr="005907C1">
        <w:rPr>
          <w:color w:val="auto"/>
        </w:rPr>
        <w:t>ha</w:t>
      </w:r>
      <w:r>
        <w:rPr>
          <w:color w:val="auto"/>
        </w:rPr>
        <w:t>ve enhanced each centre’s capability to improve engagement and learning of in-school and out-of-school students, particularly for literacy and numeracy.</w:t>
      </w:r>
    </w:p>
    <w:p w14:paraId="11F83213" w14:textId="5FBB154F" w:rsidR="000E51EE" w:rsidRPr="00542B9A" w:rsidRDefault="000E51EE" w:rsidP="00DF5451">
      <w:pPr>
        <w:spacing w:after="240"/>
        <w:rPr>
          <w:color w:val="auto"/>
        </w:rPr>
      </w:pPr>
      <w:r>
        <w:rPr>
          <w:color w:val="auto"/>
        </w:rPr>
        <w:t xml:space="preserve">The feedback also highlighted areas on which the Program might reflect </w:t>
      </w:r>
      <w:r w:rsidR="009C6C44">
        <w:rPr>
          <w:color w:val="auto"/>
        </w:rPr>
        <w:t>to</w:t>
      </w:r>
      <w:r>
        <w:rPr>
          <w:color w:val="auto"/>
        </w:rPr>
        <w:t xml:space="preserve"> improve effectiveness and efficiency:</w:t>
      </w:r>
    </w:p>
    <w:p w14:paraId="3A027C66" w14:textId="037BECA2" w:rsidR="00BB4716" w:rsidRDefault="001F43F8" w:rsidP="00DF5451">
      <w:pPr>
        <w:pStyle w:val="ListParagraph"/>
        <w:numPr>
          <w:ilvl w:val="0"/>
          <w:numId w:val="62"/>
        </w:numPr>
        <w:spacing w:after="240"/>
        <w:rPr>
          <w:color w:val="auto"/>
        </w:rPr>
      </w:pPr>
      <w:r w:rsidRPr="001F43F8">
        <w:rPr>
          <w:color w:val="auto"/>
        </w:rPr>
        <w:t xml:space="preserve">Ensuring </w:t>
      </w:r>
      <w:r>
        <w:rPr>
          <w:color w:val="auto"/>
        </w:rPr>
        <w:t xml:space="preserve">the </w:t>
      </w:r>
      <w:r w:rsidRPr="001F43F8">
        <w:rPr>
          <w:color w:val="auto"/>
        </w:rPr>
        <w:t>timely delivery of resources</w:t>
      </w:r>
      <w:r w:rsidR="00B44F61">
        <w:rPr>
          <w:color w:val="auto"/>
        </w:rPr>
        <w:t>,</w:t>
      </w:r>
      <w:r>
        <w:rPr>
          <w:color w:val="auto"/>
        </w:rPr>
        <w:t xml:space="preserve"> such as lesson plans</w:t>
      </w:r>
      <w:r w:rsidR="00B44F61">
        <w:rPr>
          <w:color w:val="auto"/>
        </w:rPr>
        <w:t>,</w:t>
      </w:r>
      <w:r>
        <w:rPr>
          <w:color w:val="auto"/>
        </w:rPr>
        <w:t xml:space="preserve"> </w:t>
      </w:r>
      <w:r w:rsidR="00BB4716">
        <w:rPr>
          <w:color w:val="auto"/>
        </w:rPr>
        <w:t xml:space="preserve">would </w:t>
      </w:r>
      <w:r w:rsidR="003B5249">
        <w:rPr>
          <w:color w:val="auto"/>
        </w:rPr>
        <w:t xml:space="preserve">build </w:t>
      </w:r>
      <w:r w:rsidR="00344817">
        <w:rPr>
          <w:color w:val="auto"/>
        </w:rPr>
        <w:t>teacher confidence.</w:t>
      </w:r>
    </w:p>
    <w:p w14:paraId="5706C962" w14:textId="4DC9DC64" w:rsidR="003B5249" w:rsidRDefault="00BB4716" w:rsidP="00DF5451">
      <w:pPr>
        <w:pStyle w:val="ListParagraph"/>
        <w:numPr>
          <w:ilvl w:val="0"/>
          <w:numId w:val="62"/>
        </w:numPr>
        <w:spacing w:after="240"/>
        <w:rPr>
          <w:color w:val="auto"/>
        </w:rPr>
      </w:pPr>
      <w:r>
        <w:rPr>
          <w:color w:val="auto"/>
        </w:rPr>
        <w:t xml:space="preserve">Teachers </w:t>
      </w:r>
      <w:r w:rsidR="006A003B">
        <w:rPr>
          <w:color w:val="auto"/>
        </w:rPr>
        <w:t>are</w:t>
      </w:r>
      <w:r>
        <w:rPr>
          <w:color w:val="auto"/>
        </w:rPr>
        <w:t xml:space="preserve"> seeking </w:t>
      </w:r>
      <w:r w:rsidR="001F43F8" w:rsidRPr="001F43F8">
        <w:rPr>
          <w:color w:val="auto"/>
        </w:rPr>
        <w:t>more training</w:t>
      </w:r>
      <w:r w:rsidR="006A003B">
        <w:rPr>
          <w:color w:val="auto"/>
        </w:rPr>
        <w:t xml:space="preserve">, </w:t>
      </w:r>
      <w:r w:rsidR="00D7450B">
        <w:rPr>
          <w:color w:val="auto"/>
        </w:rPr>
        <w:t xml:space="preserve">with the training to be </w:t>
      </w:r>
      <w:r w:rsidR="001F43F8" w:rsidRPr="001F43F8">
        <w:rPr>
          <w:color w:val="auto"/>
        </w:rPr>
        <w:t>more than one day</w:t>
      </w:r>
      <w:r w:rsidR="006A003B">
        <w:rPr>
          <w:color w:val="auto"/>
        </w:rPr>
        <w:t xml:space="preserve"> and ideally </w:t>
      </w:r>
      <w:r w:rsidR="00D7450B">
        <w:rPr>
          <w:color w:val="auto"/>
        </w:rPr>
        <w:t>with opportunities to practice between sessions</w:t>
      </w:r>
      <w:r w:rsidR="006A003B">
        <w:rPr>
          <w:color w:val="auto"/>
        </w:rPr>
        <w:t xml:space="preserve">. Teachers would also welcome </w:t>
      </w:r>
      <w:r w:rsidR="00067B57">
        <w:rPr>
          <w:color w:val="auto"/>
        </w:rPr>
        <w:t xml:space="preserve">in-class demonstrations </w:t>
      </w:r>
      <w:r w:rsidR="003B5249">
        <w:rPr>
          <w:color w:val="auto"/>
        </w:rPr>
        <w:t xml:space="preserve">by trainers </w:t>
      </w:r>
      <w:r w:rsidR="00067B57">
        <w:rPr>
          <w:color w:val="auto"/>
        </w:rPr>
        <w:t xml:space="preserve">of the </w:t>
      </w:r>
      <w:r w:rsidR="003B5249">
        <w:rPr>
          <w:color w:val="auto"/>
        </w:rPr>
        <w:t xml:space="preserve">skills and activities </w:t>
      </w:r>
      <w:r w:rsidR="000C11A8">
        <w:rPr>
          <w:color w:val="auto"/>
        </w:rPr>
        <w:t xml:space="preserve">covered by </w:t>
      </w:r>
      <w:r w:rsidR="00B473D1">
        <w:rPr>
          <w:color w:val="auto"/>
        </w:rPr>
        <w:t xml:space="preserve">any </w:t>
      </w:r>
      <w:r w:rsidR="003B5249">
        <w:rPr>
          <w:color w:val="auto"/>
        </w:rPr>
        <w:t>training being conducted</w:t>
      </w:r>
      <w:r w:rsidR="00345BCE">
        <w:rPr>
          <w:color w:val="auto"/>
        </w:rPr>
        <w:t>.</w:t>
      </w:r>
    </w:p>
    <w:p w14:paraId="3CF15F25" w14:textId="77777777" w:rsidR="00015A7D" w:rsidRDefault="00345BCE" w:rsidP="00DF5451">
      <w:pPr>
        <w:pStyle w:val="ListParagraph"/>
        <w:numPr>
          <w:ilvl w:val="0"/>
          <w:numId w:val="62"/>
        </w:numPr>
        <w:spacing w:after="240"/>
        <w:rPr>
          <w:color w:val="auto"/>
        </w:rPr>
      </w:pPr>
      <w:r w:rsidRPr="00015A7D">
        <w:rPr>
          <w:color w:val="auto"/>
        </w:rPr>
        <w:t xml:space="preserve">They would welcome feedback on the </w:t>
      </w:r>
      <w:r w:rsidR="00B542F5" w:rsidRPr="00015A7D">
        <w:rPr>
          <w:color w:val="auto"/>
        </w:rPr>
        <w:t>data that they are providing to the Program via the Power BI app</w:t>
      </w:r>
      <w:r w:rsidR="00015A7D" w:rsidRPr="00015A7D">
        <w:rPr>
          <w:color w:val="auto"/>
        </w:rPr>
        <w:t>.</w:t>
      </w:r>
    </w:p>
    <w:p w14:paraId="12ECC391" w14:textId="546DA256" w:rsidR="00AE1E96" w:rsidRPr="0069506B" w:rsidRDefault="002D169A" w:rsidP="00DF5451">
      <w:pPr>
        <w:spacing w:after="240"/>
        <w:rPr>
          <w:color w:val="auto"/>
        </w:rPr>
      </w:pPr>
      <w:r w:rsidRPr="0069506B">
        <w:rPr>
          <w:color w:val="auto"/>
        </w:rPr>
        <w:t xml:space="preserve">If literacy and numeracy outcomes </w:t>
      </w:r>
      <w:r w:rsidR="00DE412F" w:rsidRPr="0069506B">
        <w:rPr>
          <w:color w:val="auto"/>
        </w:rPr>
        <w:t>are to improve as per EOPO1</w:t>
      </w:r>
      <w:r w:rsidR="00314635">
        <w:rPr>
          <w:color w:val="auto"/>
        </w:rPr>
        <w:t xml:space="preserve"> expectations</w:t>
      </w:r>
      <w:r w:rsidR="00DE412F" w:rsidRPr="0069506B">
        <w:rPr>
          <w:color w:val="auto"/>
        </w:rPr>
        <w:t xml:space="preserve"> within the next three year</w:t>
      </w:r>
      <w:r w:rsidR="00A538DD">
        <w:rPr>
          <w:color w:val="auto"/>
        </w:rPr>
        <w:t>s</w:t>
      </w:r>
      <w:r w:rsidR="00DD3F0F">
        <w:rPr>
          <w:color w:val="auto"/>
        </w:rPr>
        <w:t xml:space="preserve"> (of the five</w:t>
      </w:r>
      <w:r w:rsidR="00E125AC">
        <w:rPr>
          <w:color w:val="auto"/>
        </w:rPr>
        <w:t>-year Program period)</w:t>
      </w:r>
      <w:r w:rsidR="00BD14E7">
        <w:rPr>
          <w:color w:val="auto"/>
        </w:rPr>
        <w:t xml:space="preserve">, </w:t>
      </w:r>
      <w:r w:rsidR="0000071A">
        <w:rPr>
          <w:color w:val="auto"/>
        </w:rPr>
        <w:t>considerable</w:t>
      </w:r>
      <w:r w:rsidR="0000071A" w:rsidRPr="0069506B">
        <w:rPr>
          <w:color w:val="auto"/>
        </w:rPr>
        <w:t xml:space="preserve"> </w:t>
      </w:r>
      <w:r w:rsidR="00C335BD" w:rsidRPr="0069506B">
        <w:rPr>
          <w:color w:val="auto"/>
        </w:rPr>
        <w:t xml:space="preserve">progress </w:t>
      </w:r>
      <w:r w:rsidR="00AB77E8" w:rsidRPr="0069506B">
        <w:rPr>
          <w:color w:val="auto"/>
        </w:rPr>
        <w:t xml:space="preserve">will need to occur in the next year or two </w:t>
      </w:r>
      <w:r w:rsidR="00C335BD" w:rsidRPr="0069506B">
        <w:rPr>
          <w:color w:val="auto"/>
        </w:rPr>
        <w:t xml:space="preserve">with </w:t>
      </w:r>
      <w:r w:rsidR="00117B9E">
        <w:rPr>
          <w:color w:val="auto"/>
        </w:rPr>
        <w:t>the development</w:t>
      </w:r>
      <w:r w:rsidR="00E125AC">
        <w:rPr>
          <w:color w:val="auto"/>
        </w:rPr>
        <w:t xml:space="preserve">, </w:t>
      </w:r>
      <w:r w:rsidR="00117B9E">
        <w:rPr>
          <w:color w:val="auto"/>
        </w:rPr>
        <w:t xml:space="preserve">provision </w:t>
      </w:r>
      <w:r w:rsidR="00E125AC">
        <w:rPr>
          <w:color w:val="auto"/>
        </w:rPr>
        <w:t xml:space="preserve">and implementation </w:t>
      </w:r>
      <w:r w:rsidR="00117B9E">
        <w:rPr>
          <w:color w:val="auto"/>
        </w:rPr>
        <w:t xml:space="preserve">of </w:t>
      </w:r>
      <w:r w:rsidR="00C335BD" w:rsidRPr="0069506B">
        <w:rPr>
          <w:color w:val="auto"/>
        </w:rPr>
        <w:t xml:space="preserve">curriculum and teaching and learning </w:t>
      </w:r>
      <w:r w:rsidR="00104DC0" w:rsidRPr="0069506B">
        <w:rPr>
          <w:color w:val="auto"/>
        </w:rPr>
        <w:t>material</w:t>
      </w:r>
      <w:r w:rsidR="00117B9E">
        <w:rPr>
          <w:color w:val="auto"/>
        </w:rPr>
        <w:t>s</w:t>
      </w:r>
      <w:r w:rsidR="00AB77E8" w:rsidRPr="0069506B">
        <w:rPr>
          <w:color w:val="auto"/>
        </w:rPr>
        <w:t xml:space="preserve">, and with </w:t>
      </w:r>
      <w:r w:rsidR="00AE1E96" w:rsidRPr="0069506B">
        <w:rPr>
          <w:color w:val="auto"/>
        </w:rPr>
        <w:t>teacher</w:t>
      </w:r>
      <w:r w:rsidR="00104DC0" w:rsidRPr="0069506B">
        <w:rPr>
          <w:color w:val="auto"/>
        </w:rPr>
        <w:t xml:space="preserve"> professional development to improve teacher pedagogical and subject knowledge</w:t>
      </w:r>
      <w:r w:rsidR="00AB77E8" w:rsidRPr="0069506B">
        <w:rPr>
          <w:color w:val="auto"/>
        </w:rPr>
        <w:t xml:space="preserve">. </w:t>
      </w:r>
    </w:p>
    <w:p w14:paraId="714D0E75" w14:textId="6A881218" w:rsidR="00B01FB8" w:rsidRPr="00E125AC" w:rsidRDefault="00805C19" w:rsidP="00DF5451">
      <w:pPr>
        <w:pStyle w:val="ListParagraph"/>
        <w:keepNext/>
        <w:numPr>
          <w:ilvl w:val="0"/>
          <w:numId w:val="8"/>
        </w:numPr>
        <w:spacing w:after="240"/>
        <w:ind w:left="425" w:hanging="425"/>
        <w:rPr>
          <w:rStyle w:val="SubtleEmphasis"/>
        </w:rPr>
      </w:pPr>
      <w:r w:rsidRPr="00E125AC">
        <w:rPr>
          <w:rStyle w:val="SubtleEmphasis"/>
        </w:rPr>
        <w:t>To what extent is the relevance and quality of secondary school teaching for pathways to employment and further education opportunities being improved for all students?</w:t>
      </w:r>
    </w:p>
    <w:p w14:paraId="055CFC0B" w14:textId="74E7BC6B" w:rsidR="009D7C5A" w:rsidRDefault="009D7C5A" w:rsidP="00DF5451">
      <w:pPr>
        <w:spacing w:after="240"/>
        <w:rPr>
          <w:color w:val="auto"/>
        </w:rPr>
      </w:pPr>
      <w:r>
        <w:rPr>
          <w:color w:val="auto"/>
        </w:rPr>
        <w:t xml:space="preserve">For EOPO2 - </w:t>
      </w:r>
      <w:r w:rsidR="00354FA1" w:rsidRPr="00354FA1">
        <w:rPr>
          <w:color w:val="auto"/>
        </w:rPr>
        <w:t>Improved relevance and quality of secondary school teaching and pathways to employment and further education opportunities for both girls and boys, including learners with disabilities</w:t>
      </w:r>
      <w:r>
        <w:rPr>
          <w:color w:val="auto"/>
        </w:rPr>
        <w:t xml:space="preserve"> – the associated Intermediate Outcomes are:</w:t>
      </w:r>
    </w:p>
    <w:p w14:paraId="5B3DED7D" w14:textId="37E0F197" w:rsidR="009D7C5A" w:rsidRDefault="009D7C5A" w:rsidP="00DF5451">
      <w:pPr>
        <w:pStyle w:val="ListParagraph"/>
        <w:numPr>
          <w:ilvl w:val="0"/>
          <w:numId w:val="16"/>
        </w:numPr>
        <w:spacing w:after="240"/>
        <w:rPr>
          <w:color w:val="auto"/>
        </w:rPr>
      </w:pPr>
      <w:r w:rsidRPr="00D939DA">
        <w:rPr>
          <w:color w:val="auto"/>
        </w:rPr>
        <w:t>IO</w:t>
      </w:r>
      <w:r w:rsidR="002B2C2D">
        <w:rPr>
          <w:color w:val="auto"/>
        </w:rPr>
        <w:t>2</w:t>
      </w:r>
      <w:r w:rsidRPr="00D939DA">
        <w:rPr>
          <w:color w:val="auto"/>
        </w:rPr>
        <w:t>.1-</w:t>
      </w:r>
      <w:r w:rsidR="00354FA1" w:rsidRPr="00354FA1">
        <w:rPr>
          <w:color w:val="auto"/>
        </w:rPr>
        <w:t>Relevant vocational curriculum developed and supported in secondary schools</w:t>
      </w:r>
      <w:r w:rsidRPr="00D939DA">
        <w:rPr>
          <w:color w:val="auto"/>
        </w:rPr>
        <w:t>.</w:t>
      </w:r>
    </w:p>
    <w:p w14:paraId="57F53365" w14:textId="3437B45C" w:rsidR="00354FA1" w:rsidRDefault="002B2C2D" w:rsidP="00DF5451">
      <w:pPr>
        <w:pStyle w:val="ListParagraph"/>
        <w:numPr>
          <w:ilvl w:val="0"/>
          <w:numId w:val="16"/>
        </w:numPr>
        <w:spacing w:after="240"/>
        <w:rPr>
          <w:color w:val="auto"/>
        </w:rPr>
      </w:pPr>
      <w:r>
        <w:rPr>
          <w:color w:val="auto"/>
        </w:rPr>
        <w:t>IO2.2-</w:t>
      </w:r>
      <w:r w:rsidRPr="002B2C2D">
        <w:rPr>
          <w:color w:val="auto"/>
        </w:rPr>
        <w:t>Increased participation of girls and learners with a disability in secondary education, and reduced performance gap between boys and girls at secondary school</w:t>
      </w:r>
      <w:r w:rsidR="005B7B81">
        <w:rPr>
          <w:color w:val="auto"/>
        </w:rPr>
        <w:t>.</w:t>
      </w:r>
    </w:p>
    <w:p w14:paraId="02D4D767" w14:textId="483C03E7" w:rsidR="001E1047" w:rsidRDefault="001E1047" w:rsidP="00DF5451">
      <w:pPr>
        <w:pStyle w:val="ListParagraph"/>
        <w:numPr>
          <w:ilvl w:val="0"/>
          <w:numId w:val="16"/>
        </w:numPr>
        <w:spacing w:after="240"/>
        <w:rPr>
          <w:color w:val="auto"/>
        </w:rPr>
      </w:pPr>
      <w:r>
        <w:rPr>
          <w:color w:val="auto"/>
        </w:rPr>
        <w:t>IO2.3</w:t>
      </w:r>
      <w:r w:rsidR="005B7B81">
        <w:rPr>
          <w:color w:val="auto"/>
        </w:rPr>
        <w:t>-</w:t>
      </w:r>
      <w:r w:rsidR="005B7B81" w:rsidRPr="005B7B81">
        <w:rPr>
          <w:color w:val="auto"/>
        </w:rPr>
        <w:t>Strengthened pathways to employment and further education</w:t>
      </w:r>
      <w:r w:rsidR="005B7B81">
        <w:rPr>
          <w:color w:val="auto"/>
        </w:rPr>
        <w:t>.</w:t>
      </w:r>
    </w:p>
    <w:p w14:paraId="0F408D2B" w14:textId="0F0285BF" w:rsidR="005B7B81" w:rsidRDefault="005B7B81" w:rsidP="00DF5451">
      <w:pPr>
        <w:pStyle w:val="ListParagraph"/>
        <w:numPr>
          <w:ilvl w:val="0"/>
          <w:numId w:val="16"/>
        </w:numPr>
        <w:spacing w:after="240"/>
        <w:rPr>
          <w:color w:val="auto"/>
        </w:rPr>
      </w:pPr>
      <w:r>
        <w:rPr>
          <w:color w:val="auto"/>
        </w:rPr>
        <w:t>IO2.4-</w:t>
      </w:r>
      <w:r w:rsidRPr="005B7B81">
        <w:rPr>
          <w:color w:val="auto"/>
        </w:rPr>
        <w:t>Teachers demonstrate more effective delivery of vocational subjects</w:t>
      </w:r>
      <w:r w:rsidR="00157732">
        <w:rPr>
          <w:color w:val="auto"/>
        </w:rPr>
        <w:t>.</w:t>
      </w:r>
    </w:p>
    <w:p w14:paraId="4D14039E" w14:textId="482003BC" w:rsidR="00157732" w:rsidRPr="00D939DA" w:rsidRDefault="00157732" w:rsidP="00DF5451">
      <w:pPr>
        <w:pStyle w:val="ListParagraph"/>
        <w:numPr>
          <w:ilvl w:val="0"/>
          <w:numId w:val="16"/>
        </w:numPr>
        <w:spacing w:after="240"/>
        <w:rPr>
          <w:color w:val="auto"/>
        </w:rPr>
      </w:pPr>
      <w:r>
        <w:rPr>
          <w:color w:val="auto"/>
        </w:rPr>
        <w:t>IO2.5-</w:t>
      </w:r>
      <w:r w:rsidRPr="00157732">
        <w:rPr>
          <w:color w:val="auto"/>
        </w:rPr>
        <w:t>Communities understand and support secondary pathways to employment and further education</w:t>
      </w:r>
      <w:r>
        <w:rPr>
          <w:color w:val="auto"/>
        </w:rPr>
        <w:t>.</w:t>
      </w:r>
    </w:p>
    <w:p w14:paraId="66887066" w14:textId="4D017F47" w:rsidR="00463541" w:rsidRDefault="00463541" w:rsidP="00DF5451">
      <w:pPr>
        <w:spacing w:after="240"/>
      </w:pPr>
      <w:r>
        <w:t xml:space="preserve">The </w:t>
      </w:r>
      <w:r w:rsidRPr="0069506B">
        <w:rPr>
          <w:i/>
          <w:iCs/>
        </w:rPr>
        <w:t>2024 (draft) TAPQE Annual Report</w:t>
      </w:r>
      <w:r>
        <w:t xml:space="preserve"> (p.</w:t>
      </w:r>
      <w:r w:rsidR="00FD4CF4">
        <w:t xml:space="preserve">3) summarises </w:t>
      </w:r>
      <w:r w:rsidR="00604EF3">
        <w:t xml:space="preserve">the context </w:t>
      </w:r>
      <w:r w:rsidR="004909BB">
        <w:t>of and challenges for improving the relevance and quality of secondary school teaching and pathways</w:t>
      </w:r>
      <w:r w:rsidR="00C936E8">
        <w:t xml:space="preserve">. The </w:t>
      </w:r>
      <w:r w:rsidR="005248F1">
        <w:t xml:space="preserve">2024 </w:t>
      </w:r>
      <w:r w:rsidR="002319DE" w:rsidRPr="0069506B">
        <w:rPr>
          <w:i/>
          <w:iCs/>
        </w:rPr>
        <w:t>(draft) TAPQE Annual Report</w:t>
      </w:r>
      <w:r w:rsidR="002319DE">
        <w:t xml:space="preserve"> </w:t>
      </w:r>
      <w:r w:rsidR="00AB30CE">
        <w:t xml:space="preserve">includes a section on ‘Implementation </w:t>
      </w:r>
      <w:proofErr w:type="gramStart"/>
      <w:r w:rsidR="00E35A90">
        <w:t>hi</w:t>
      </w:r>
      <w:r w:rsidR="00C936E8">
        <w:t>ghlights</w:t>
      </w:r>
      <w:r w:rsidR="00AB30CE">
        <w:t>’</w:t>
      </w:r>
      <w:proofErr w:type="gramEnd"/>
      <w:r w:rsidR="00AB30CE">
        <w:t>. The report</w:t>
      </w:r>
      <w:r w:rsidR="0030277E">
        <w:t>’</w:t>
      </w:r>
      <w:r w:rsidR="00AB30CE">
        <w:t>s highlights</w:t>
      </w:r>
      <w:r w:rsidR="00C936E8">
        <w:t xml:space="preserve"> for this EOPO </w:t>
      </w:r>
      <w:r w:rsidR="004D300B">
        <w:t xml:space="preserve">include </w:t>
      </w:r>
      <w:r w:rsidR="007801BA">
        <w:t>the development</w:t>
      </w:r>
      <w:r w:rsidR="007E4824">
        <w:t xml:space="preserve"> </w:t>
      </w:r>
      <w:r w:rsidR="004B05C2">
        <w:t>and submission of a report on TVET Futures</w:t>
      </w:r>
      <w:r w:rsidR="002F106A">
        <w:rPr>
          <w:rStyle w:val="FootnoteReference"/>
        </w:rPr>
        <w:footnoteReference w:id="14"/>
      </w:r>
      <w:r w:rsidR="00EB44B2">
        <w:t>, provision of equipment and resources for proof-</w:t>
      </w:r>
      <w:r w:rsidR="00EB44B2">
        <w:lastRenderedPageBreak/>
        <w:t>of-concept vocati</w:t>
      </w:r>
      <w:r w:rsidR="00A0272B">
        <w:t xml:space="preserve">onal programs </w:t>
      </w:r>
      <w:r w:rsidR="00E125AC">
        <w:t>and refurbishment</w:t>
      </w:r>
      <w:r w:rsidR="00A0272B">
        <w:t xml:space="preserve"> </w:t>
      </w:r>
      <w:r w:rsidR="00326AFF">
        <w:t xml:space="preserve">of a classroom and activities to promote vocational education. </w:t>
      </w:r>
      <w:r w:rsidR="00975E8E">
        <w:t xml:space="preserve">The MTR </w:t>
      </w:r>
      <w:r w:rsidR="00617D4E">
        <w:t>Team acknowledged the Program’s f</w:t>
      </w:r>
      <w:r w:rsidR="0002032B">
        <w:t xml:space="preserve">ocus on vocational education, while </w:t>
      </w:r>
      <w:r w:rsidR="00F75137">
        <w:t xml:space="preserve">also </w:t>
      </w:r>
      <w:r w:rsidR="0002032B">
        <w:t>noting the much broader EOPO2 focus on ‘</w:t>
      </w:r>
      <w:r w:rsidR="0002032B" w:rsidRPr="00354FA1">
        <w:rPr>
          <w:color w:val="auto"/>
        </w:rPr>
        <w:t xml:space="preserve">relevance and quality of secondary school teaching and pathways to employment and further education </w:t>
      </w:r>
      <w:proofErr w:type="gramStart"/>
      <w:r w:rsidR="0002032B" w:rsidRPr="00354FA1">
        <w:rPr>
          <w:color w:val="auto"/>
        </w:rPr>
        <w:t>opportunities</w:t>
      </w:r>
      <w:r w:rsidR="0002032B">
        <w:rPr>
          <w:color w:val="auto"/>
        </w:rPr>
        <w:t>’</w:t>
      </w:r>
      <w:proofErr w:type="gramEnd"/>
      <w:r w:rsidR="0002032B">
        <w:rPr>
          <w:color w:val="auto"/>
        </w:rPr>
        <w:t>.</w:t>
      </w:r>
      <w:r w:rsidR="0002032B">
        <w:t xml:space="preserve"> </w:t>
      </w:r>
      <w:r w:rsidR="00617D4E">
        <w:t xml:space="preserve"> </w:t>
      </w:r>
    </w:p>
    <w:p w14:paraId="181DF0B6" w14:textId="0CF99DE7" w:rsidR="00B31D1C" w:rsidRPr="0069506B" w:rsidRDefault="009E4CC8" w:rsidP="00DF5451">
      <w:pPr>
        <w:spacing w:after="240"/>
        <w:rPr>
          <w:color w:val="auto"/>
        </w:rPr>
      </w:pPr>
      <w:r>
        <w:rPr>
          <w:color w:val="auto"/>
        </w:rPr>
        <w:t>N</w:t>
      </w:r>
      <w:r w:rsidR="0089764A">
        <w:rPr>
          <w:color w:val="auto"/>
        </w:rPr>
        <w:t>otwithstanding the potential of the TAPQE advic</w:t>
      </w:r>
      <w:r>
        <w:rPr>
          <w:color w:val="auto"/>
        </w:rPr>
        <w:t xml:space="preserve">e on ‘TVET Futures’ and the </w:t>
      </w:r>
      <w:r w:rsidR="00FF68D8">
        <w:rPr>
          <w:color w:val="auto"/>
        </w:rPr>
        <w:t xml:space="preserve">positive </w:t>
      </w:r>
      <w:r w:rsidR="00CE2296">
        <w:rPr>
          <w:color w:val="auto"/>
        </w:rPr>
        <w:t xml:space="preserve">difference that the provision of equipment </w:t>
      </w:r>
      <w:r w:rsidR="00FF68D8">
        <w:rPr>
          <w:color w:val="auto"/>
        </w:rPr>
        <w:t xml:space="preserve">and refurbishment of a classroom has had </w:t>
      </w:r>
      <w:r w:rsidR="0049695C">
        <w:rPr>
          <w:color w:val="auto"/>
        </w:rPr>
        <w:t xml:space="preserve">with teachers and students, the </w:t>
      </w:r>
      <w:r w:rsidR="003657A1" w:rsidRPr="0069506B">
        <w:rPr>
          <w:i/>
          <w:iCs/>
        </w:rPr>
        <w:t>2024 (draft) TAPQE Annual Report</w:t>
      </w:r>
      <w:r w:rsidR="0049695C">
        <w:rPr>
          <w:color w:val="auto"/>
        </w:rPr>
        <w:t xml:space="preserve"> </w:t>
      </w:r>
      <w:r w:rsidR="00B31D1C">
        <w:rPr>
          <w:color w:val="auto"/>
        </w:rPr>
        <w:t xml:space="preserve">provides little insight into whether and when individual IOs might be expected to be achieved let alone the EOPO. </w:t>
      </w:r>
      <w:r w:rsidR="00BC3CD5">
        <w:rPr>
          <w:color w:val="auto"/>
        </w:rPr>
        <w:t xml:space="preserve">As noted in discussion for the previous EOPO, </w:t>
      </w:r>
      <w:r w:rsidR="00BC3CD5" w:rsidRPr="005E77D5">
        <w:rPr>
          <w:b/>
          <w:bCs/>
          <w:color w:val="auto"/>
        </w:rPr>
        <w:t>i</w:t>
      </w:r>
      <w:r w:rsidR="00B31D1C" w:rsidRPr="005E77D5">
        <w:rPr>
          <w:b/>
          <w:bCs/>
          <w:color w:val="auto"/>
        </w:rPr>
        <w:t xml:space="preserve">n the absence of </w:t>
      </w:r>
      <w:r w:rsidR="00E7201D">
        <w:rPr>
          <w:b/>
          <w:bCs/>
          <w:color w:val="auto"/>
        </w:rPr>
        <w:t xml:space="preserve">a </w:t>
      </w:r>
      <w:r w:rsidR="00B31D1C" w:rsidRPr="005E77D5">
        <w:rPr>
          <w:b/>
          <w:bCs/>
          <w:color w:val="auto"/>
        </w:rPr>
        <w:t>baseline and evidence of progress</w:t>
      </w:r>
      <w:r w:rsidR="00B31D1C">
        <w:rPr>
          <w:color w:val="auto"/>
        </w:rPr>
        <w:t xml:space="preserve"> in relation to success indicators, </w:t>
      </w:r>
      <w:r w:rsidR="00BC3CD5">
        <w:rPr>
          <w:color w:val="auto"/>
        </w:rPr>
        <w:t xml:space="preserve">consideration might have </w:t>
      </w:r>
      <w:r w:rsidR="00362178">
        <w:rPr>
          <w:color w:val="auto"/>
        </w:rPr>
        <w:t xml:space="preserve">been </w:t>
      </w:r>
      <w:r w:rsidR="000C5930">
        <w:rPr>
          <w:color w:val="auto"/>
        </w:rPr>
        <w:t xml:space="preserve">given to </w:t>
      </w:r>
      <w:r w:rsidR="00B31D1C">
        <w:rPr>
          <w:color w:val="auto"/>
        </w:rPr>
        <w:t>reporting estimates of completion of activities and delivery of outputs to provide an indicator of progress towards achieving the IOs for EOPO</w:t>
      </w:r>
      <w:r w:rsidR="000C5930">
        <w:rPr>
          <w:color w:val="auto"/>
        </w:rPr>
        <w:t xml:space="preserve">2. </w:t>
      </w:r>
    </w:p>
    <w:p w14:paraId="5F31BFED" w14:textId="1F09516A" w:rsidR="00B71E6A" w:rsidRDefault="00B71E6A" w:rsidP="00DF5451">
      <w:pPr>
        <w:spacing w:after="240"/>
        <w:rPr>
          <w:color w:val="auto"/>
        </w:rPr>
      </w:pPr>
      <w:r>
        <w:rPr>
          <w:color w:val="auto"/>
        </w:rPr>
        <w:t xml:space="preserve">In addition to the </w:t>
      </w:r>
      <w:r w:rsidRPr="00D939DA">
        <w:rPr>
          <w:i/>
          <w:iCs/>
          <w:color w:val="auto"/>
        </w:rPr>
        <w:t xml:space="preserve">2024 (draft) TAPQE Annual </w:t>
      </w:r>
      <w:r w:rsidR="007801BA" w:rsidRPr="00D939DA">
        <w:rPr>
          <w:i/>
          <w:iCs/>
          <w:color w:val="auto"/>
        </w:rPr>
        <w:t>Report,</w:t>
      </w:r>
      <w:r>
        <w:rPr>
          <w:color w:val="auto"/>
        </w:rPr>
        <w:t xml:space="preserve"> the </w:t>
      </w:r>
      <w:r w:rsidR="00165A4E">
        <w:rPr>
          <w:color w:val="auto"/>
        </w:rPr>
        <w:t>MTR team</w:t>
      </w:r>
      <w:r>
        <w:rPr>
          <w:color w:val="auto"/>
        </w:rPr>
        <w:t xml:space="preserve"> </w:t>
      </w:r>
      <w:r w:rsidR="00FC455C">
        <w:rPr>
          <w:color w:val="auto"/>
        </w:rPr>
        <w:t xml:space="preserve">was able to test this question via </w:t>
      </w:r>
      <w:r>
        <w:rPr>
          <w:color w:val="auto"/>
        </w:rPr>
        <w:t xml:space="preserve">in-country interviews with a range of stakeholders. </w:t>
      </w:r>
      <w:r w:rsidR="00DB2020">
        <w:rPr>
          <w:color w:val="auto"/>
        </w:rPr>
        <w:t>F</w:t>
      </w:r>
      <w:r>
        <w:rPr>
          <w:color w:val="auto"/>
        </w:rPr>
        <w:t xml:space="preserve">eedback in relation to </w:t>
      </w:r>
      <w:r w:rsidR="00DB2020">
        <w:rPr>
          <w:color w:val="auto"/>
        </w:rPr>
        <w:t>relevance and quality of secondary teaching and</w:t>
      </w:r>
      <w:r w:rsidR="00B24BD9">
        <w:rPr>
          <w:color w:val="auto"/>
        </w:rPr>
        <w:t xml:space="preserve"> pathways included</w:t>
      </w:r>
      <w:r>
        <w:rPr>
          <w:color w:val="auto"/>
        </w:rPr>
        <w:t>:</w:t>
      </w:r>
    </w:p>
    <w:p w14:paraId="792D16CE" w14:textId="6023BFCF" w:rsidR="008938D4" w:rsidRPr="0069506B" w:rsidRDefault="00DB2020" w:rsidP="00DF5451">
      <w:pPr>
        <w:pStyle w:val="ListParagraph"/>
        <w:numPr>
          <w:ilvl w:val="0"/>
          <w:numId w:val="19"/>
        </w:numPr>
        <w:spacing w:after="240"/>
        <w:rPr>
          <w:color w:val="auto"/>
        </w:rPr>
      </w:pPr>
      <w:r w:rsidRPr="0069506B">
        <w:rPr>
          <w:color w:val="auto"/>
        </w:rPr>
        <w:t xml:space="preserve">Appreciation </w:t>
      </w:r>
      <w:r w:rsidR="00B24BD9" w:rsidRPr="0069506B">
        <w:rPr>
          <w:color w:val="auto"/>
        </w:rPr>
        <w:t xml:space="preserve">of </w:t>
      </w:r>
      <w:r w:rsidRPr="0069506B">
        <w:rPr>
          <w:color w:val="auto"/>
        </w:rPr>
        <w:t xml:space="preserve">and </w:t>
      </w:r>
      <w:r w:rsidR="00732AF1" w:rsidRPr="0069506B">
        <w:rPr>
          <w:color w:val="auto"/>
        </w:rPr>
        <w:t xml:space="preserve">request for further </w:t>
      </w:r>
      <w:r w:rsidR="00A07ABC" w:rsidRPr="0069506B">
        <w:rPr>
          <w:color w:val="auto"/>
        </w:rPr>
        <w:t xml:space="preserve">resources and equipment </w:t>
      </w:r>
      <w:r w:rsidR="00D17728">
        <w:rPr>
          <w:color w:val="auto"/>
        </w:rPr>
        <w:t>(</w:t>
      </w:r>
      <w:r w:rsidR="007801BA" w:rsidRPr="0069506B">
        <w:rPr>
          <w:color w:val="auto"/>
        </w:rPr>
        <w:t>e.g.</w:t>
      </w:r>
      <w:r w:rsidR="00A07ABC" w:rsidRPr="0069506B">
        <w:rPr>
          <w:color w:val="auto"/>
        </w:rPr>
        <w:t xml:space="preserve"> for carpentry, sewing</w:t>
      </w:r>
      <w:r w:rsidR="007801BA">
        <w:rPr>
          <w:color w:val="auto"/>
        </w:rPr>
        <w:t xml:space="preserve"> </w:t>
      </w:r>
      <w:r w:rsidR="00A463BB">
        <w:rPr>
          <w:color w:val="auto"/>
        </w:rPr>
        <w:t xml:space="preserve">and </w:t>
      </w:r>
      <w:r w:rsidR="007801BA">
        <w:rPr>
          <w:color w:val="auto"/>
        </w:rPr>
        <w:t>cooking</w:t>
      </w:r>
      <w:r w:rsidR="00A07ABC" w:rsidRPr="0069506B">
        <w:rPr>
          <w:color w:val="auto"/>
        </w:rPr>
        <w:t xml:space="preserve"> </w:t>
      </w:r>
      <w:r w:rsidR="007801BA">
        <w:rPr>
          <w:color w:val="auto"/>
        </w:rPr>
        <w:t>activities</w:t>
      </w:r>
      <w:r w:rsidR="000F6D07" w:rsidRPr="0069506B">
        <w:rPr>
          <w:color w:val="auto"/>
        </w:rPr>
        <w:t xml:space="preserve"> to enhance the quality of TVSD opportunities</w:t>
      </w:r>
      <w:r w:rsidR="00D17728">
        <w:rPr>
          <w:color w:val="auto"/>
        </w:rPr>
        <w:t>)</w:t>
      </w:r>
    </w:p>
    <w:p w14:paraId="334521D1" w14:textId="0E4B9E6B" w:rsidR="00783A9D" w:rsidRPr="0069506B" w:rsidRDefault="0047503E" w:rsidP="00DF5451">
      <w:pPr>
        <w:pStyle w:val="ListParagraph"/>
        <w:numPr>
          <w:ilvl w:val="0"/>
          <w:numId w:val="19"/>
        </w:numPr>
        <w:spacing w:after="240"/>
        <w:rPr>
          <w:color w:val="auto"/>
        </w:rPr>
      </w:pPr>
      <w:r w:rsidRPr="0069506B">
        <w:rPr>
          <w:color w:val="auto"/>
        </w:rPr>
        <w:t>The need for othe</w:t>
      </w:r>
      <w:r w:rsidR="0030144F" w:rsidRPr="0069506B">
        <w:rPr>
          <w:color w:val="auto"/>
        </w:rPr>
        <w:t>r</w:t>
      </w:r>
      <w:r w:rsidRPr="0069506B">
        <w:rPr>
          <w:color w:val="auto"/>
        </w:rPr>
        <w:t xml:space="preserve"> options for students who fail </w:t>
      </w:r>
      <w:r w:rsidR="0030144F" w:rsidRPr="0069506B">
        <w:rPr>
          <w:color w:val="auto"/>
        </w:rPr>
        <w:t>the Year 8 examination, rather tha</w:t>
      </w:r>
      <w:r w:rsidR="00783A9D" w:rsidRPr="0069506B">
        <w:rPr>
          <w:color w:val="auto"/>
        </w:rPr>
        <w:t xml:space="preserve">n </w:t>
      </w:r>
      <w:r w:rsidR="00653740">
        <w:rPr>
          <w:color w:val="auto"/>
        </w:rPr>
        <w:t>repeating Year 8</w:t>
      </w:r>
      <w:r w:rsidR="00857779">
        <w:rPr>
          <w:color w:val="auto"/>
        </w:rPr>
        <w:t xml:space="preserve"> or participating in TVSD programs delivered by the pr</w:t>
      </w:r>
      <w:r w:rsidR="007867FF">
        <w:rPr>
          <w:color w:val="auto"/>
        </w:rPr>
        <w:t>imary school</w:t>
      </w:r>
    </w:p>
    <w:p w14:paraId="7426B1EC" w14:textId="4D2906E1" w:rsidR="001C0E23" w:rsidRPr="0069506B" w:rsidRDefault="001C0E23" w:rsidP="00DF5451">
      <w:pPr>
        <w:pStyle w:val="ListParagraph"/>
        <w:numPr>
          <w:ilvl w:val="0"/>
          <w:numId w:val="19"/>
        </w:numPr>
        <w:spacing w:after="240"/>
        <w:rPr>
          <w:color w:val="auto"/>
        </w:rPr>
      </w:pPr>
      <w:r w:rsidRPr="0069506B">
        <w:rPr>
          <w:color w:val="auto"/>
        </w:rPr>
        <w:t xml:space="preserve">The need to sustain literacy and numeracy instruction </w:t>
      </w:r>
      <w:r w:rsidR="0057025A" w:rsidRPr="0069506B">
        <w:rPr>
          <w:color w:val="auto"/>
        </w:rPr>
        <w:t>in secondary schools to further develop these foundational skills for all students</w:t>
      </w:r>
    </w:p>
    <w:p w14:paraId="5827E1B3" w14:textId="06B01C2A" w:rsidR="00351572" w:rsidRDefault="00783A9D" w:rsidP="00DF5451">
      <w:pPr>
        <w:pStyle w:val="ListParagraph"/>
        <w:numPr>
          <w:ilvl w:val="0"/>
          <w:numId w:val="19"/>
        </w:numPr>
        <w:spacing w:after="240"/>
        <w:rPr>
          <w:color w:val="auto"/>
        </w:rPr>
      </w:pPr>
      <w:r w:rsidRPr="0069506B">
        <w:rPr>
          <w:color w:val="auto"/>
        </w:rPr>
        <w:t xml:space="preserve">The desire for </w:t>
      </w:r>
      <w:r w:rsidR="00157B5F" w:rsidRPr="0069506B">
        <w:rPr>
          <w:color w:val="auto"/>
        </w:rPr>
        <w:t xml:space="preserve">vocational options in </w:t>
      </w:r>
      <w:r w:rsidR="004C2463" w:rsidRPr="0069506B">
        <w:rPr>
          <w:color w:val="auto"/>
        </w:rPr>
        <w:t>secondary</w:t>
      </w:r>
      <w:r w:rsidR="00157B5F" w:rsidRPr="0069506B">
        <w:rPr>
          <w:color w:val="auto"/>
        </w:rPr>
        <w:t xml:space="preserve"> school, including quality teaching and </w:t>
      </w:r>
      <w:r w:rsidR="00351572" w:rsidRPr="0069506B">
        <w:rPr>
          <w:color w:val="auto"/>
        </w:rPr>
        <w:t>relevant resources and equipment</w:t>
      </w:r>
    </w:p>
    <w:p w14:paraId="3F63293F" w14:textId="53752C19" w:rsidR="005613E0" w:rsidRPr="0069506B" w:rsidRDefault="00F6138F" w:rsidP="00DF5451">
      <w:pPr>
        <w:pStyle w:val="ListParagraph"/>
        <w:numPr>
          <w:ilvl w:val="0"/>
          <w:numId w:val="19"/>
        </w:numPr>
        <w:spacing w:after="240"/>
        <w:rPr>
          <w:color w:val="auto"/>
        </w:rPr>
      </w:pPr>
      <w:r>
        <w:rPr>
          <w:color w:val="auto"/>
        </w:rPr>
        <w:t xml:space="preserve">A range </w:t>
      </w:r>
      <w:r w:rsidRPr="00542B9A">
        <w:rPr>
          <w:color w:val="auto"/>
        </w:rPr>
        <w:t xml:space="preserve">of ideas for ways in which vocational learning </w:t>
      </w:r>
      <w:r>
        <w:rPr>
          <w:color w:val="auto"/>
        </w:rPr>
        <w:t xml:space="preserve">in Tuvalu </w:t>
      </w:r>
      <w:r w:rsidRPr="00542B9A">
        <w:rPr>
          <w:color w:val="auto"/>
        </w:rPr>
        <w:t>could be improved</w:t>
      </w:r>
      <w:r>
        <w:rPr>
          <w:color w:val="auto"/>
        </w:rPr>
        <w:t xml:space="preserve"> and </w:t>
      </w:r>
      <w:r w:rsidR="002463C8">
        <w:rPr>
          <w:color w:val="auto"/>
        </w:rPr>
        <w:t>interest to be consulted by the TAPQE Program.</w:t>
      </w:r>
      <w:r>
        <w:rPr>
          <w:color w:val="auto"/>
        </w:rPr>
        <w:t xml:space="preserve"> </w:t>
      </w:r>
    </w:p>
    <w:p w14:paraId="6F05BD68" w14:textId="22EE1B14" w:rsidR="00604756" w:rsidRDefault="000D618D" w:rsidP="00DF5451">
      <w:pPr>
        <w:spacing w:after="240"/>
        <w:rPr>
          <w:color w:val="auto"/>
        </w:rPr>
      </w:pPr>
      <w:r>
        <w:rPr>
          <w:color w:val="auto"/>
        </w:rPr>
        <w:t>Th</w:t>
      </w:r>
      <w:r w:rsidR="00B339F1">
        <w:rPr>
          <w:color w:val="auto"/>
        </w:rPr>
        <w:t>e</w:t>
      </w:r>
      <w:r>
        <w:rPr>
          <w:color w:val="auto"/>
        </w:rPr>
        <w:t xml:space="preserve"> feedback and the discussion </w:t>
      </w:r>
      <w:r w:rsidR="00FD6B03">
        <w:rPr>
          <w:color w:val="auto"/>
        </w:rPr>
        <w:t xml:space="preserve">that occurred with a range of stakeholders </w:t>
      </w:r>
      <w:r w:rsidR="004D21F9">
        <w:rPr>
          <w:color w:val="auto"/>
        </w:rPr>
        <w:t>reinforces the desire for a clear, constructive way forward</w:t>
      </w:r>
      <w:r w:rsidR="00F26CEA">
        <w:rPr>
          <w:color w:val="auto"/>
        </w:rPr>
        <w:t xml:space="preserve"> in relation to the quality of teaching and secondary school pathways</w:t>
      </w:r>
      <w:r w:rsidR="001F36B9">
        <w:rPr>
          <w:color w:val="auto"/>
        </w:rPr>
        <w:t>. H</w:t>
      </w:r>
      <w:r w:rsidR="004D21F9">
        <w:rPr>
          <w:color w:val="auto"/>
        </w:rPr>
        <w:t xml:space="preserve">owever, </w:t>
      </w:r>
      <w:r w:rsidR="001F36B9">
        <w:rPr>
          <w:color w:val="auto"/>
        </w:rPr>
        <w:t xml:space="preserve">the feedback and discussion also </w:t>
      </w:r>
      <w:r w:rsidR="00274465">
        <w:rPr>
          <w:color w:val="auto"/>
        </w:rPr>
        <w:t>highlight</w:t>
      </w:r>
      <w:r w:rsidR="001F36B9">
        <w:rPr>
          <w:color w:val="auto"/>
        </w:rPr>
        <w:t xml:space="preserve"> </w:t>
      </w:r>
      <w:r w:rsidR="00604756">
        <w:rPr>
          <w:color w:val="auto"/>
        </w:rPr>
        <w:t xml:space="preserve">the </w:t>
      </w:r>
      <w:r w:rsidR="00144E3C">
        <w:rPr>
          <w:color w:val="auto"/>
        </w:rPr>
        <w:t>gap that exists between current and desired practice</w:t>
      </w:r>
      <w:r w:rsidR="00B339F1">
        <w:rPr>
          <w:color w:val="auto"/>
        </w:rPr>
        <w:t xml:space="preserve"> and the scope and complexity of the challenge</w:t>
      </w:r>
      <w:r w:rsidR="001F36B9">
        <w:rPr>
          <w:color w:val="auto"/>
        </w:rPr>
        <w:t xml:space="preserve"> presented in </w:t>
      </w:r>
      <w:r w:rsidR="0002032B">
        <w:rPr>
          <w:color w:val="auto"/>
        </w:rPr>
        <w:t xml:space="preserve">the overall scope of </w:t>
      </w:r>
      <w:r w:rsidR="001F36B9">
        <w:rPr>
          <w:color w:val="auto"/>
        </w:rPr>
        <w:t>EOPO</w:t>
      </w:r>
      <w:r w:rsidR="0002032B">
        <w:rPr>
          <w:color w:val="auto"/>
        </w:rPr>
        <w:t>2</w:t>
      </w:r>
      <w:r w:rsidR="00144E3C">
        <w:rPr>
          <w:color w:val="auto"/>
        </w:rPr>
        <w:t>.</w:t>
      </w:r>
    </w:p>
    <w:p w14:paraId="1D21D95B" w14:textId="082BAF85" w:rsidR="00A661A4" w:rsidRDefault="00604756" w:rsidP="00DF5451">
      <w:pPr>
        <w:spacing w:after="240"/>
        <w:rPr>
          <w:color w:val="auto"/>
        </w:rPr>
      </w:pPr>
      <w:r>
        <w:rPr>
          <w:color w:val="auto"/>
        </w:rPr>
        <w:t xml:space="preserve">The </w:t>
      </w:r>
      <w:r w:rsidRPr="00D939DA">
        <w:rPr>
          <w:i/>
          <w:iCs/>
          <w:color w:val="auto"/>
        </w:rPr>
        <w:t>2024 (draft) TAPQE Annual Report</w:t>
      </w:r>
      <w:r>
        <w:rPr>
          <w:i/>
          <w:iCs/>
          <w:color w:val="auto"/>
        </w:rPr>
        <w:t xml:space="preserve"> </w:t>
      </w:r>
      <w:r w:rsidR="00F72013" w:rsidRPr="0069506B">
        <w:rPr>
          <w:color w:val="auto"/>
        </w:rPr>
        <w:t>includes</w:t>
      </w:r>
      <w:r w:rsidR="00F26CEA">
        <w:rPr>
          <w:color w:val="auto"/>
        </w:rPr>
        <w:t xml:space="preserve">, as a priority for </w:t>
      </w:r>
      <w:r w:rsidR="00E93836">
        <w:rPr>
          <w:color w:val="auto"/>
        </w:rPr>
        <w:t>2025,</w:t>
      </w:r>
      <w:r w:rsidR="00F72013" w:rsidRPr="0069506B">
        <w:rPr>
          <w:color w:val="auto"/>
        </w:rPr>
        <w:t xml:space="preserve"> </w:t>
      </w:r>
      <w:r w:rsidR="00C16839">
        <w:rPr>
          <w:color w:val="auto"/>
        </w:rPr>
        <w:t>‘</w:t>
      </w:r>
      <w:r w:rsidR="0066462B" w:rsidRPr="0069506B">
        <w:rPr>
          <w:i/>
          <w:iCs/>
          <w:color w:val="auto"/>
        </w:rPr>
        <w:t>Secondary Education Pathways:</w:t>
      </w:r>
      <w:r w:rsidR="00AF12DB">
        <w:rPr>
          <w:i/>
          <w:iCs/>
          <w:color w:val="auto"/>
        </w:rPr>
        <w:t xml:space="preserve"> </w:t>
      </w:r>
      <w:r w:rsidR="0066462B" w:rsidRPr="0069506B">
        <w:rPr>
          <w:i/>
          <w:iCs/>
          <w:color w:val="auto"/>
        </w:rPr>
        <w:t>move to implementation practical initiatives to increase enrolments and valuing of TVET</w:t>
      </w:r>
      <w:r w:rsidR="00C16839">
        <w:rPr>
          <w:color w:val="auto"/>
        </w:rPr>
        <w:t>’</w:t>
      </w:r>
      <w:r w:rsidR="00AF12DB">
        <w:rPr>
          <w:color w:val="auto"/>
        </w:rPr>
        <w:t xml:space="preserve"> (p.28</w:t>
      </w:r>
      <w:r w:rsidR="004C2463">
        <w:rPr>
          <w:color w:val="auto"/>
        </w:rPr>
        <w:t>) and</w:t>
      </w:r>
      <w:r w:rsidR="00C93769">
        <w:rPr>
          <w:color w:val="auto"/>
        </w:rPr>
        <w:t xml:space="preserve"> </w:t>
      </w:r>
      <w:r w:rsidR="004A7C1F">
        <w:rPr>
          <w:color w:val="auto"/>
        </w:rPr>
        <w:t xml:space="preserve">includes </w:t>
      </w:r>
      <w:r w:rsidR="008A36AA">
        <w:rPr>
          <w:color w:val="auto"/>
        </w:rPr>
        <w:t>four</w:t>
      </w:r>
      <w:r w:rsidR="00157007">
        <w:rPr>
          <w:color w:val="auto"/>
        </w:rPr>
        <w:t xml:space="preserve"> </w:t>
      </w:r>
      <w:r w:rsidR="004A7C1F">
        <w:rPr>
          <w:color w:val="auto"/>
        </w:rPr>
        <w:t xml:space="preserve">vocational education related </w:t>
      </w:r>
      <w:r w:rsidR="00AA0760">
        <w:rPr>
          <w:color w:val="auto"/>
        </w:rPr>
        <w:t xml:space="preserve">activities </w:t>
      </w:r>
      <w:r w:rsidR="001F36B9">
        <w:rPr>
          <w:color w:val="auto"/>
        </w:rPr>
        <w:t xml:space="preserve">focused on </w:t>
      </w:r>
      <w:r w:rsidR="00B36464">
        <w:rPr>
          <w:color w:val="auto"/>
        </w:rPr>
        <w:t xml:space="preserve">long-term system improvement </w:t>
      </w:r>
      <w:r w:rsidR="00AF12DB">
        <w:rPr>
          <w:color w:val="auto"/>
        </w:rPr>
        <w:t xml:space="preserve">in this area. </w:t>
      </w:r>
    </w:p>
    <w:p w14:paraId="24A5E827" w14:textId="075145C9" w:rsidR="00AB1B4E" w:rsidRDefault="00187067" w:rsidP="00DF5451">
      <w:pPr>
        <w:spacing w:after="240"/>
        <w:rPr>
          <w:color w:val="auto"/>
        </w:rPr>
      </w:pPr>
      <w:r>
        <w:rPr>
          <w:color w:val="auto"/>
        </w:rPr>
        <w:t>I</w:t>
      </w:r>
      <w:r w:rsidR="00A72728">
        <w:rPr>
          <w:color w:val="auto"/>
        </w:rPr>
        <w:t>t</w:t>
      </w:r>
      <w:r>
        <w:rPr>
          <w:color w:val="auto"/>
        </w:rPr>
        <w:t xml:space="preserve"> is not </w:t>
      </w:r>
      <w:r w:rsidR="00B806DC">
        <w:rPr>
          <w:color w:val="auto"/>
        </w:rPr>
        <w:t xml:space="preserve">clear in the </w:t>
      </w:r>
      <w:r w:rsidR="00A25040" w:rsidRPr="00D939DA">
        <w:rPr>
          <w:i/>
          <w:iCs/>
          <w:color w:val="auto"/>
        </w:rPr>
        <w:t>2024 (draft) TAPQE Annual Report</w:t>
      </w:r>
      <w:r w:rsidR="005A221C">
        <w:rPr>
          <w:i/>
          <w:iCs/>
          <w:color w:val="auto"/>
        </w:rPr>
        <w:t xml:space="preserve"> </w:t>
      </w:r>
      <w:r>
        <w:rPr>
          <w:color w:val="auto"/>
        </w:rPr>
        <w:t xml:space="preserve">whether this </w:t>
      </w:r>
      <w:r w:rsidR="00940DEC">
        <w:rPr>
          <w:color w:val="auto"/>
        </w:rPr>
        <w:t xml:space="preserve">2025 </w:t>
      </w:r>
      <w:r>
        <w:rPr>
          <w:color w:val="auto"/>
        </w:rPr>
        <w:t>priority and</w:t>
      </w:r>
      <w:r w:rsidR="001F36B9">
        <w:rPr>
          <w:color w:val="auto"/>
        </w:rPr>
        <w:t xml:space="preserve"> the</w:t>
      </w:r>
      <w:r>
        <w:rPr>
          <w:color w:val="auto"/>
        </w:rPr>
        <w:t xml:space="preserve"> pr</w:t>
      </w:r>
      <w:r w:rsidR="002D60E2">
        <w:rPr>
          <w:color w:val="auto"/>
        </w:rPr>
        <w:t>o</w:t>
      </w:r>
      <w:r>
        <w:rPr>
          <w:color w:val="auto"/>
        </w:rPr>
        <w:t xml:space="preserve">posed activities </w:t>
      </w:r>
      <w:r w:rsidR="00BD658B">
        <w:rPr>
          <w:color w:val="auto"/>
        </w:rPr>
        <w:t xml:space="preserve">reflect a continuation of </w:t>
      </w:r>
      <w:r w:rsidR="008309D1">
        <w:rPr>
          <w:color w:val="auto"/>
        </w:rPr>
        <w:t>planned activities and outputs</w:t>
      </w:r>
      <w:r w:rsidR="006970F9">
        <w:rPr>
          <w:color w:val="auto"/>
        </w:rPr>
        <w:t xml:space="preserve">, or whether there </w:t>
      </w:r>
      <w:r w:rsidR="00A661A4">
        <w:rPr>
          <w:color w:val="auto"/>
        </w:rPr>
        <w:t>has been</w:t>
      </w:r>
      <w:r w:rsidR="006970F9">
        <w:rPr>
          <w:color w:val="auto"/>
        </w:rPr>
        <w:t xml:space="preserve"> some finetuning to take account of progress to dat</w:t>
      </w:r>
      <w:r w:rsidR="00652751">
        <w:rPr>
          <w:color w:val="auto"/>
        </w:rPr>
        <w:t>e</w:t>
      </w:r>
      <w:r w:rsidR="00013020">
        <w:rPr>
          <w:color w:val="auto"/>
        </w:rPr>
        <w:t xml:space="preserve">, </w:t>
      </w:r>
      <w:r w:rsidR="00704DF9">
        <w:rPr>
          <w:color w:val="auto"/>
        </w:rPr>
        <w:t xml:space="preserve">and/or whether </w:t>
      </w:r>
      <w:r w:rsidR="0079364C">
        <w:rPr>
          <w:color w:val="auto"/>
        </w:rPr>
        <w:t>th</w:t>
      </w:r>
      <w:r w:rsidR="00A661A4">
        <w:rPr>
          <w:color w:val="auto"/>
        </w:rPr>
        <w:t>ey</w:t>
      </w:r>
      <w:r w:rsidR="0079364C">
        <w:rPr>
          <w:color w:val="auto"/>
        </w:rPr>
        <w:t xml:space="preserve"> provide for </w:t>
      </w:r>
      <w:r w:rsidR="00652751">
        <w:rPr>
          <w:color w:val="auto"/>
        </w:rPr>
        <w:t xml:space="preserve">possible actions arising from the TVET </w:t>
      </w:r>
      <w:r w:rsidR="00013020">
        <w:rPr>
          <w:color w:val="auto"/>
        </w:rPr>
        <w:t>Futures paper</w:t>
      </w:r>
      <w:r w:rsidR="004667F4">
        <w:rPr>
          <w:color w:val="auto"/>
        </w:rPr>
        <w:t xml:space="preserve">. </w:t>
      </w:r>
      <w:r w:rsidR="00045F0C">
        <w:rPr>
          <w:color w:val="auto"/>
        </w:rPr>
        <w:t>W</w:t>
      </w:r>
      <w:r w:rsidR="00A661A4">
        <w:rPr>
          <w:color w:val="auto"/>
        </w:rPr>
        <w:t xml:space="preserve">ith no </w:t>
      </w:r>
      <w:r w:rsidR="00F15C97">
        <w:rPr>
          <w:color w:val="auto"/>
        </w:rPr>
        <w:t xml:space="preserve">evidence </w:t>
      </w:r>
      <w:r w:rsidR="0097483B">
        <w:rPr>
          <w:color w:val="auto"/>
        </w:rPr>
        <w:t xml:space="preserve">to demonstrate </w:t>
      </w:r>
      <w:r w:rsidR="00A661A4">
        <w:rPr>
          <w:color w:val="auto"/>
        </w:rPr>
        <w:t xml:space="preserve">progress towards </w:t>
      </w:r>
      <w:r w:rsidR="000F0D77">
        <w:rPr>
          <w:color w:val="auto"/>
        </w:rPr>
        <w:t>EOPO2</w:t>
      </w:r>
      <w:r w:rsidR="00045F0C">
        <w:rPr>
          <w:color w:val="auto"/>
        </w:rPr>
        <w:t xml:space="preserve"> at the end of Year 2</w:t>
      </w:r>
      <w:r w:rsidR="00157007">
        <w:rPr>
          <w:color w:val="auto"/>
        </w:rPr>
        <w:t>,</w:t>
      </w:r>
      <w:r w:rsidR="000F0D77">
        <w:rPr>
          <w:color w:val="auto"/>
        </w:rPr>
        <w:t xml:space="preserve"> some consideration should be given to </w:t>
      </w:r>
      <w:r w:rsidR="00686962">
        <w:rPr>
          <w:color w:val="auto"/>
        </w:rPr>
        <w:t xml:space="preserve">whether the current EOPO2 </w:t>
      </w:r>
      <w:r w:rsidR="00782D3A">
        <w:rPr>
          <w:color w:val="auto"/>
        </w:rPr>
        <w:t>best reflects the Tuvalu context and needs.</w:t>
      </w:r>
      <w:r w:rsidR="00AB1B4E">
        <w:rPr>
          <w:color w:val="auto"/>
        </w:rPr>
        <w:t xml:space="preserve"> </w:t>
      </w:r>
    </w:p>
    <w:p w14:paraId="1FB3077E" w14:textId="1012DFDF" w:rsidR="00ED185D" w:rsidRDefault="00AB1B4E" w:rsidP="00DF5451">
      <w:pPr>
        <w:spacing w:after="240"/>
        <w:rPr>
          <w:color w:val="auto"/>
        </w:rPr>
      </w:pPr>
      <w:r>
        <w:rPr>
          <w:color w:val="auto"/>
        </w:rPr>
        <w:t xml:space="preserve">The </w:t>
      </w:r>
      <w:r w:rsidR="00165A4E">
        <w:rPr>
          <w:color w:val="auto"/>
        </w:rPr>
        <w:t>MTR team</w:t>
      </w:r>
      <w:r>
        <w:rPr>
          <w:color w:val="auto"/>
        </w:rPr>
        <w:t xml:space="preserve"> </w:t>
      </w:r>
      <w:r w:rsidR="008A4902">
        <w:rPr>
          <w:color w:val="auto"/>
        </w:rPr>
        <w:t>concluded</w:t>
      </w:r>
      <w:r>
        <w:rPr>
          <w:color w:val="auto"/>
        </w:rPr>
        <w:t xml:space="preserve"> that the</w:t>
      </w:r>
      <w:r w:rsidR="0010494B">
        <w:rPr>
          <w:color w:val="auto"/>
        </w:rPr>
        <w:t xml:space="preserve"> EOPO </w:t>
      </w:r>
      <w:r w:rsidR="006D2360">
        <w:rPr>
          <w:color w:val="auto"/>
        </w:rPr>
        <w:t xml:space="preserve">should </w:t>
      </w:r>
      <w:r w:rsidR="0010494B">
        <w:rPr>
          <w:color w:val="auto"/>
        </w:rPr>
        <w:t xml:space="preserve">be amended </w:t>
      </w:r>
      <w:r w:rsidR="00D25637">
        <w:rPr>
          <w:color w:val="auto"/>
        </w:rPr>
        <w:t xml:space="preserve">to make it </w:t>
      </w:r>
      <w:r w:rsidR="00005536">
        <w:rPr>
          <w:color w:val="auto"/>
        </w:rPr>
        <w:t xml:space="preserve">more realistic and contained. Changes could focus </w:t>
      </w:r>
      <w:r w:rsidR="00A463BB">
        <w:rPr>
          <w:color w:val="auto"/>
        </w:rPr>
        <w:t xml:space="preserve">on </w:t>
      </w:r>
      <w:r w:rsidR="007A0966">
        <w:rPr>
          <w:color w:val="auto"/>
        </w:rPr>
        <w:t>on</w:t>
      </w:r>
      <w:r w:rsidR="00240EEE">
        <w:rPr>
          <w:color w:val="auto"/>
        </w:rPr>
        <w:t>e or more of</w:t>
      </w:r>
      <w:r w:rsidR="00ED185D">
        <w:rPr>
          <w:color w:val="auto"/>
        </w:rPr>
        <w:t>:</w:t>
      </w:r>
    </w:p>
    <w:p w14:paraId="3081EDC4" w14:textId="1852A924" w:rsidR="00240EEE" w:rsidRDefault="00CC3A06" w:rsidP="00DF5451">
      <w:pPr>
        <w:pStyle w:val="ListParagraph"/>
        <w:numPr>
          <w:ilvl w:val="0"/>
          <w:numId w:val="64"/>
        </w:numPr>
        <w:spacing w:after="240"/>
        <w:rPr>
          <w:color w:val="auto"/>
        </w:rPr>
      </w:pPr>
      <w:r w:rsidRPr="00542B9A">
        <w:rPr>
          <w:color w:val="auto"/>
        </w:rPr>
        <w:t xml:space="preserve">key actions proposed in </w:t>
      </w:r>
      <w:r w:rsidRPr="00542B9A">
        <w:rPr>
          <w:i/>
          <w:iCs/>
          <w:color w:val="auto"/>
          <w:lang w:val="en-AU"/>
        </w:rPr>
        <w:t>TVET Ataeao Manuia (TVET Futures)</w:t>
      </w:r>
      <w:r w:rsidRPr="00542B9A">
        <w:rPr>
          <w:b/>
          <w:bCs/>
          <w:color w:val="auto"/>
          <w:lang w:val="en-AU"/>
        </w:rPr>
        <w:t xml:space="preserve"> </w:t>
      </w:r>
      <w:r w:rsidRPr="00542B9A">
        <w:rPr>
          <w:color w:val="auto"/>
          <w:lang w:val="en-AU"/>
        </w:rPr>
        <w:t>which was submitted to the Ministry</w:t>
      </w:r>
      <w:r w:rsidRPr="00542B9A">
        <w:rPr>
          <w:color w:val="auto"/>
        </w:rPr>
        <w:t xml:space="preserve"> </w:t>
      </w:r>
      <w:r w:rsidR="00841AB1" w:rsidRPr="00542B9A">
        <w:rPr>
          <w:color w:val="auto"/>
        </w:rPr>
        <w:t>in</w:t>
      </w:r>
      <w:r w:rsidR="007F323E" w:rsidRPr="00542B9A">
        <w:rPr>
          <w:color w:val="auto"/>
        </w:rPr>
        <w:t xml:space="preserve"> June 2024</w:t>
      </w:r>
    </w:p>
    <w:p w14:paraId="6E9B2519" w14:textId="2C2B9EF0" w:rsidR="00240EEE" w:rsidRDefault="00005536" w:rsidP="00DF5451">
      <w:pPr>
        <w:pStyle w:val="ListParagraph"/>
        <w:numPr>
          <w:ilvl w:val="0"/>
          <w:numId w:val="64"/>
        </w:numPr>
        <w:spacing w:after="240"/>
        <w:rPr>
          <w:color w:val="auto"/>
        </w:rPr>
      </w:pPr>
      <w:r w:rsidRPr="00542B9A">
        <w:rPr>
          <w:color w:val="auto"/>
        </w:rPr>
        <w:lastRenderedPageBreak/>
        <w:t xml:space="preserve">lower secondary pathways </w:t>
      </w:r>
      <w:r w:rsidR="00EC281B" w:rsidRPr="00542B9A">
        <w:rPr>
          <w:color w:val="auto"/>
        </w:rPr>
        <w:t xml:space="preserve">for all students </w:t>
      </w:r>
      <w:r w:rsidRPr="00542B9A">
        <w:rPr>
          <w:color w:val="auto"/>
        </w:rPr>
        <w:t>through to senio</w:t>
      </w:r>
      <w:r w:rsidR="00EC281B" w:rsidRPr="00542B9A">
        <w:rPr>
          <w:color w:val="auto"/>
        </w:rPr>
        <w:t xml:space="preserve">r secondary </w:t>
      </w:r>
      <w:r w:rsidRPr="00542B9A">
        <w:rPr>
          <w:color w:val="auto"/>
        </w:rPr>
        <w:t>schooling</w:t>
      </w:r>
      <w:r w:rsidR="0002032B">
        <w:rPr>
          <w:color w:val="auto"/>
        </w:rPr>
        <w:t>, with a strong focus on literacy and numeracy instruction</w:t>
      </w:r>
    </w:p>
    <w:p w14:paraId="4FEDE3FF" w14:textId="181DA1D9" w:rsidR="00ED185D" w:rsidRPr="00542B9A" w:rsidRDefault="00837AAF" w:rsidP="00DF5451">
      <w:pPr>
        <w:pStyle w:val="ListParagraph"/>
        <w:numPr>
          <w:ilvl w:val="0"/>
          <w:numId w:val="64"/>
        </w:numPr>
        <w:spacing w:after="240"/>
        <w:rPr>
          <w:color w:val="auto"/>
        </w:rPr>
      </w:pPr>
      <w:r w:rsidRPr="00542B9A">
        <w:rPr>
          <w:color w:val="auto"/>
        </w:rPr>
        <w:t>development of a meaningful and relevant pathway for students who fail t</w:t>
      </w:r>
      <w:r w:rsidR="00524A24" w:rsidRPr="00542B9A">
        <w:rPr>
          <w:color w:val="auto"/>
        </w:rPr>
        <w:t>h</w:t>
      </w:r>
      <w:r w:rsidRPr="00542B9A">
        <w:rPr>
          <w:color w:val="auto"/>
        </w:rPr>
        <w:t>e Year 8 examination</w:t>
      </w:r>
      <w:r w:rsidR="00D25637" w:rsidRPr="00542B9A">
        <w:rPr>
          <w:color w:val="auto"/>
        </w:rPr>
        <w:t>.</w:t>
      </w:r>
    </w:p>
    <w:p w14:paraId="68AB3E68" w14:textId="220CE5CF" w:rsidR="00714D29" w:rsidRPr="00542B9A" w:rsidRDefault="007802D9" w:rsidP="00DF5451">
      <w:pPr>
        <w:spacing w:after="240"/>
        <w:rPr>
          <w:color w:val="auto"/>
        </w:rPr>
      </w:pPr>
      <w:r>
        <w:rPr>
          <w:color w:val="auto"/>
        </w:rPr>
        <w:t>For example</w:t>
      </w:r>
      <w:r w:rsidR="007D45A7">
        <w:rPr>
          <w:color w:val="auto"/>
        </w:rPr>
        <w:t xml:space="preserve">, attention might be given to the </w:t>
      </w:r>
      <w:r w:rsidR="00C44C54" w:rsidRPr="00C44C54">
        <w:rPr>
          <w:color w:val="auto"/>
        </w:rPr>
        <w:t xml:space="preserve">disconnect between the intent of TAPQE changing attitudes towards skills pathways (through videos </w:t>
      </w:r>
      <w:r w:rsidR="001C4437" w:rsidRPr="00C44C54">
        <w:rPr>
          <w:color w:val="auto"/>
        </w:rPr>
        <w:t>etc.</w:t>
      </w:r>
      <w:r w:rsidR="00C44C54" w:rsidRPr="00C44C54">
        <w:rPr>
          <w:color w:val="auto"/>
        </w:rPr>
        <w:t>) and the realities of how students are triaged into the TVSD pathway</w:t>
      </w:r>
      <w:r w:rsidR="007D45A7">
        <w:rPr>
          <w:color w:val="auto"/>
        </w:rPr>
        <w:t xml:space="preserve">. </w:t>
      </w:r>
      <w:r w:rsidR="00D25637">
        <w:rPr>
          <w:color w:val="auto"/>
        </w:rPr>
        <w:t xml:space="preserve">The changes could also account for </w:t>
      </w:r>
      <w:r w:rsidR="00A168FE">
        <w:rPr>
          <w:color w:val="auto"/>
        </w:rPr>
        <w:t>possible future Tuvalu access to DFAT skills programs.</w:t>
      </w:r>
      <w:r w:rsidR="00A30532">
        <w:rPr>
          <w:color w:val="auto"/>
        </w:rPr>
        <w:t xml:space="preserve"> </w:t>
      </w:r>
    </w:p>
    <w:p w14:paraId="32AAF99A" w14:textId="3F9257B8" w:rsidR="008663C8" w:rsidRPr="00072184" w:rsidRDefault="0030144F" w:rsidP="00DF5451">
      <w:pPr>
        <w:spacing w:after="240"/>
      </w:pPr>
      <w:r w:rsidRPr="0069506B">
        <w:rPr>
          <w:color w:val="auto"/>
        </w:rPr>
        <w:t xml:space="preserve">Discussion with DFAT </w:t>
      </w:r>
      <w:r w:rsidR="00A92F56">
        <w:rPr>
          <w:color w:val="auto"/>
        </w:rPr>
        <w:t xml:space="preserve">Canberra on Tuvalu mobility </w:t>
      </w:r>
      <w:r w:rsidR="00A26488">
        <w:rPr>
          <w:color w:val="auto"/>
        </w:rPr>
        <w:t>options (includ</w:t>
      </w:r>
      <w:r w:rsidR="00B51C00">
        <w:rPr>
          <w:color w:val="auto"/>
        </w:rPr>
        <w:t>ing the Falepili Trea</w:t>
      </w:r>
      <w:r w:rsidR="00106316">
        <w:rPr>
          <w:color w:val="auto"/>
        </w:rPr>
        <w:t>t</w:t>
      </w:r>
      <w:r w:rsidR="00B51C00">
        <w:rPr>
          <w:color w:val="auto"/>
        </w:rPr>
        <w:t xml:space="preserve">y provisions) </w:t>
      </w:r>
      <w:r w:rsidR="00CB2703">
        <w:rPr>
          <w:color w:val="auto"/>
        </w:rPr>
        <w:t>suggested</w:t>
      </w:r>
      <w:r w:rsidR="003729B5">
        <w:rPr>
          <w:color w:val="auto"/>
        </w:rPr>
        <w:t xml:space="preserve"> </w:t>
      </w:r>
      <w:r w:rsidR="00623C52">
        <w:rPr>
          <w:color w:val="auto"/>
        </w:rPr>
        <w:t xml:space="preserve">that these opportunities </w:t>
      </w:r>
      <w:r w:rsidR="00AA0A5C">
        <w:rPr>
          <w:color w:val="auto"/>
        </w:rPr>
        <w:t xml:space="preserve">might </w:t>
      </w:r>
      <w:r w:rsidR="0035453F">
        <w:rPr>
          <w:color w:val="auto"/>
        </w:rPr>
        <w:t xml:space="preserve">reinforce the importance of continuing school education and a suitable standard of English literacy and numeracy. </w:t>
      </w:r>
    </w:p>
    <w:p w14:paraId="00CD9AF4" w14:textId="3DE5E99E" w:rsidR="00291459" w:rsidRPr="0069506B" w:rsidRDefault="00805C19" w:rsidP="00DF5451">
      <w:pPr>
        <w:pStyle w:val="ListParagraph"/>
        <w:numPr>
          <w:ilvl w:val="0"/>
          <w:numId w:val="8"/>
        </w:numPr>
        <w:spacing w:after="240"/>
        <w:ind w:left="425" w:hanging="425"/>
        <w:rPr>
          <w:rStyle w:val="SubtleEmphasis"/>
        </w:rPr>
      </w:pPr>
      <w:r w:rsidRPr="0069506B">
        <w:rPr>
          <w:rStyle w:val="SubtleEmphasis"/>
        </w:rPr>
        <w:t xml:space="preserve">To what extent has the program strengthened MEHRD personnel and systems so that service delivery is more inclusive, evidence-based and efficient? </w:t>
      </w:r>
    </w:p>
    <w:p w14:paraId="28139DD9" w14:textId="36EB96D0" w:rsidR="001B26E5" w:rsidRDefault="00314821" w:rsidP="00DF5451">
      <w:pPr>
        <w:spacing w:after="240"/>
        <w:rPr>
          <w:color w:val="auto"/>
        </w:rPr>
      </w:pPr>
      <w:r w:rsidRPr="0069506B">
        <w:rPr>
          <w:color w:val="auto"/>
        </w:rPr>
        <w:t xml:space="preserve">Like </w:t>
      </w:r>
      <w:r>
        <w:rPr>
          <w:color w:val="auto"/>
        </w:rPr>
        <w:t>EOPO1 and EOPO</w:t>
      </w:r>
      <w:r w:rsidR="00E817B6">
        <w:rPr>
          <w:color w:val="auto"/>
        </w:rPr>
        <w:t xml:space="preserve">2, </w:t>
      </w:r>
      <w:r w:rsidRPr="0069506B">
        <w:rPr>
          <w:color w:val="auto"/>
        </w:rPr>
        <w:t>it is</w:t>
      </w:r>
      <w:r w:rsidR="00E817B6">
        <w:rPr>
          <w:color w:val="auto"/>
        </w:rPr>
        <w:t xml:space="preserve"> </w:t>
      </w:r>
      <w:r w:rsidR="00E817B6" w:rsidRPr="00542B9A">
        <w:rPr>
          <w:b/>
          <w:bCs/>
          <w:color w:val="auto"/>
        </w:rPr>
        <w:t xml:space="preserve">not </w:t>
      </w:r>
      <w:r w:rsidRPr="00542B9A">
        <w:rPr>
          <w:b/>
          <w:bCs/>
          <w:color w:val="auto"/>
        </w:rPr>
        <w:t xml:space="preserve">clear </w:t>
      </w:r>
      <w:r w:rsidR="00E817B6" w:rsidRPr="00542B9A">
        <w:rPr>
          <w:b/>
          <w:bCs/>
          <w:color w:val="auto"/>
        </w:rPr>
        <w:t xml:space="preserve">whether </w:t>
      </w:r>
      <w:r w:rsidRPr="00542B9A">
        <w:rPr>
          <w:b/>
          <w:bCs/>
          <w:color w:val="auto"/>
        </w:rPr>
        <w:t>progress is being made</w:t>
      </w:r>
      <w:r w:rsidRPr="0069506B">
        <w:rPr>
          <w:color w:val="auto"/>
        </w:rPr>
        <w:t xml:space="preserve"> towards the achievement of this EOPO. The lack of </w:t>
      </w:r>
      <w:r w:rsidR="00E817B6">
        <w:rPr>
          <w:color w:val="auto"/>
        </w:rPr>
        <w:t xml:space="preserve">a </w:t>
      </w:r>
      <w:r w:rsidRPr="0069506B">
        <w:rPr>
          <w:color w:val="auto"/>
        </w:rPr>
        <w:t xml:space="preserve">baseline </w:t>
      </w:r>
      <w:r w:rsidR="007D45A7">
        <w:rPr>
          <w:color w:val="auto"/>
        </w:rPr>
        <w:t xml:space="preserve">in relation to </w:t>
      </w:r>
      <w:r w:rsidR="009477CB">
        <w:rPr>
          <w:color w:val="auto"/>
        </w:rPr>
        <w:t xml:space="preserve">IOs and EOPOs </w:t>
      </w:r>
      <w:r w:rsidRPr="0069506B">
        <w:rPr>
          <w:color w:val="auto"/>
        </w:rPr>
        <w:t>mean</w:t>
      </w:r>
      <w:r w:rsidR="00511382">
        <w:rPr>
          <w:color w:val="auto"/>
        </w:rPr>
        <w:t xml:space="preserve">s that it is </w:t>
      </w:r>
      <w:r w:rsidR="00A66A80">
        <w:rPr>
          <w:color w:val="auto"/>
        </w:rPr>
        <w:t>unclear if</w:t>
      </w:r>
      <w:r w:rsidR="00511382">
        <w:rPr>
          <w:color w:val="auto"/>
        </w:rPr>
        <w:t xml:space="preserve"> </w:t>
      </w:r>
      <w:r w:rsidRPr="0069506B">
        <w:rPr>
          <w:color w:val="auto"/>
        </w:rPr>
        <w:t>progress has been made, as there is no</w:t>
      </w:r>
      <w:r w:rsidR="00F7760A">
        <w:rPr>
          <w:color w:val="auto"/>
        </w:rPr>
        <w:t xml:space="preserve"> reference point </w:t>
      </w:r>
      <w:r w:rsidR="00110528">
        <w:rPr>
          <w:color w:val="auto"/>
        </w:rPr>
        <w:t>on which to base such a judgement.</w:t>
      </w:r>
      <w:r w:rsidRPr="0069506B">
        <w:rPr>
          <w:color w:val="auto"/>
        </w:rPr>
        <w:t xml:space="preserve"> </w:t>
      </w:r>
    </w:p>
    <w:p w14:paraId="4FB167FD" w14:textId="1DCABF3F" w:rsidR="00157732" w:rsidRDefault="00157732" w:rsidP="00DF5451">
      <w:pPr>
        <w:spacing w:after="240"/>
        <w:rPr>
          <w:color w:val="auto"/>
        </w:rPr>
      </w:pPr>
      <w:r>
        <w:rPr>
          <w:color w:val="auto"/>
        </w:rPr>
        <w:t xml:space="preserve">For EOPO3 - </w:t>
      </w:r>
      <w:r w:rsidR="00D417EB" w:rsidRPr="00D417EB">
        <w:rPr>
          <w:color w:val="auto"/>
        </w:rPr>
        <w:t>Strengthened Ministry of Education, Youth and Sports personnel and systems so that service delivery is more inclusive, evidence-based and efficient</w:t>
      </w:r>
      <w:r w:rsidR="00D417EB">
        <w:rPr>
          <w:color w:val="auto"/>
        </w:rPr>
        <w:t xml:space="preserve"> </w:t>
      </w:r>
      <w:r>
        <w:rPr>
          <w:color w:val="auto"/>
        </w:rPr>
        <w:t>– the associated Intermediate Outcomes are:</w:t>
      </w:r>
    </w:p>
    <w:p w14:paraId="63EF4407" w14:textId="56824BDA" w:rsidR="00157732" w:rsidRDefault="00157732" w:rsidP="00DF5451">
      <w:pPr>
        <w:pStyle w:val="ListParagraph"/>
        <w:numPr>
          <w:ilvl w:val="0"/>
          <w:numId w:val="16"/>
        </w:numPr>
        <w:spacing w:after="240"/>
        <w:rPr>
          <w:color w:val="auto"/>
        </w:rPr>
      </w:pPr>
      <w:r w:rsidRPr="00D939DA">
        <w:rPr>
          <w:color w:val="auto"/>
        </w:rPr>
        <w:t>IO</w:t>
      </w:r>
      <w:r w:rsidR="00D417EB">
        <w:rPr>
          <w:color w:val="auto"/>
        </w:rPr>
        <w:t>3</w:t>
      </w:r>
      <w:r w:rsidRPr="00D939DA">
        <w:rPr>
          <w:color w:val="auto"/>
        </w:rPr>
        <w:t>.1-</w:t>
      </w:r>
      <w:r w:rsidR="00412442" w:rsidRPr="00412442">
        <w:rPr>
          <w:color w:val="auto"/>
        </w:rPr>
        <w:t>MEYS uses integrated evidence-based planning, implementation</w:t>
      </w:r>
      <w:r w:rsidR="000E1FE4">
        <w:rPr>
          <w:color w:val="auto"/>
        </w:rPr>
        <w:t>,</w:t>
      </w:r>
      <w:r w:rsidR="00412442" w:rsidRPr="00412442">
        <w:rPr>
          <w:color w:val="auto"/>
        </w:rPr>
        <w:t xml:space="preserve"> monitoring and reporting systems</w:t>
      </w:r>
      <w:r w:rsidRPr="00D939DA">
        <w:rPr>
          <w:color w:val="auto"/>
        </w:rPr>
        <w:t>.</w:t>
      </w:r>
    </w:p>
    <w:p w14:paraId="62139925" w14:textId="5FA4DA5D" w:rsidR="00412442" w:rsidRDefault="00412442" w:rsidP="00DF5451">
      <w:pPr>
        <w:pStyle w:val="ListParagraph"/>
        <w:numPr>
          <w:ilvl w:val="0"/>
          <w:numId w:val="16"/>
        </w:numPr>
        <w:spacing w:after="240"/>
        <w:rPr>
          <w:color w:val="auto"/>
        </w:rPr>
      </w:pPr>
      <w:r>
        <w:rPr>
          <w:color w:val="auto"/>
        </w:rPr>
        <w:t>IO3.2</w:t>
      </w:r>
      <w:r w:rsidR="00AF6933">
        <w:rPr>
          <w:color w:val="auto"/>
        </w:rPr>
        <w:t>-</w:t>
      </w:r>
      <w:r w:rsidR="00AF6933" w:rsidRPr="00AF6933">
        <w:rPr>
          <w:color w:val="auto"/>
        </w:rPr>
        <w:t>Education strategies, policies, plans and procedures, including for GEDSI, are updated to reflect best practice and are understood and actioned by staff</w:t>
      </w:r>
      <w:r w:rsidR="00AF6933">
        <w:rPr>
          <w:color w:val="auto"/>
        </w:rPr>
        <w:t>.</w:t>
      </w:r>
    </w:p>
    <w:p w14:paraId="2AFA535A" w14:textId="51507C3B" w:rsidR="00AF6933" w:rsidRDefault="00AF6933" w:rsidP="00DF5451">
      <w:pPr>
        <w:pStyle w:val="ListParagraph"/>
        <w:numPr>
          <w:ilvl w:val="0"/>
          <w:numId w:val="16"/>
        </w:numPr>
        <w:spacing w:after="240"/>
        <w:rPr>
          <w:color w:val="auto"/>
        </w:rPr>
      </w:pPr>
      <w:r>
        <w:rPr>
          <w:color w:val="auto"/>
        </w:rPr>
        <w:t>IO3.3-</w:t>
      </w:r>
      <w:r w:rsidR="00BD5F68" w:rsidRPr="00BD5F68">
        <w:rPr>
          <w:color w:val="auto"/>
        </w:rPr>
        <w:t xml:space="preserve">MEYS Officers and School leaders understand their roles and </w:t>
      </w:r>
      <w:proofErr w:type="gramStart"/>
      <w:r w:rsidR="00BD5F68" w:rsidRPr="00BD5F68">
        <w:rPr>
          <w:color w:val="auto"/>
        </w:rPr>
        <w:t>are capable of undertaking</w:t>
      </w:r>
      <w:proofErr w:type="gramEnd"/>
      <w:r w:rsidR="00BD5F68" w:rsidRPr="00BD5F68">
        <w:rPr>
          <w:color w:val="auto"/>
        </w:rPr>
        <w:t xml:space="preserve"> their duties</w:t>
      </w:r>
      <w:r w:rsidR="00BD5F68">
        <w:rPr>
          <w:color w:val="auto"/>
        </w:rPr>
        <w:t>.</w:t>
      </w:r>
    </w:p>
    <w:p w14:paraId="035D83EC" w14:textId="2408B9AC" w:rsidR="00197632" w:rsidRDefault="001B26E5" w:rsidP="00DF5451">
      <w:pPr>
        <w:spacing w:after="240"/>
        <w:rPr>
          <w:color w:val="auto"/>
        </w:rPr>
      </w:pPr>
      <w:r w:rsidRPr="00D939DA">
        <w:rPr>
          <w:color w:val="auto"/>
        </w:rPr>
        <w:t xml:space="preserve">In many cases, the </w:t>
      </w:r>
      <w:r w:rsidRPr="005E77D5">
        <w:rPr>
          <w:b/>
          <w:bCs/>
          <w:color w:val="auto"/>
        </w:rPr>
        <w:t>lack of specificity in the intermediate outcomes</w:t>
      </w:r>
      <w:r w:rsidRPr="00D939DA">
        <w:rPr>
          <w:color w:val="auto"/>
        </w:rPr>
        <w:t xml:space="preserve"> </w:t>
      </w:r>
      <w:r w:rsidR="00110528" w:rsidRPr="00D939DA">
        <w:rPr>
          <w:color w:val="auto"/>
        </w:rPr>
        <w:t>makes</w:t>
      </w:r>
      <w:r w:rsidRPr="00D939DA">
        <w:rPr>
          <w:color w:val="auto"/>
        </w:rPr>
        <w:t xml:space="preserve"> it challenging to evaluate progress.</w:t>
      </w:r>
      <w:r w:rsidR="006D5DC2">
        <w:rPr>
          <w:color w:val="auto"/>
        </w:rPr>
        <w:t xml:space="preserve"> For example:</w:t>
      </w:r>
      <w:r w:rsidRPr="00D939DA">
        <w:rPr>
          <w:color w:val="auto"/>
        </w:rPr>
        <w:t xml:space="preserve"> </w:t>
      </w:r>
    </w:p>
    <w:p w14:paraId="3DEEB8BE" w14:textId="23390485" w:rsidR="00FC5ADA" w:rsidRPr="00A9645C" w:rsidRDefault="00DE0172" w:rsidP="00DF5451">
      <w:pPr>
        <w:pStyle w:val="ListParagraph"/>
        <w:numPr>
          <w:ilvl w:val="0"/>
          <w:numId w:val="77"/>
        </w:numPr>
        <w:spacing w:after="240"/>
        <w:rPr>
          <w:i/>
          <w:iCs/>
          <w:color w:val="auto"/>
        </w:rPr>
      </w:pPr>
      <w:r w:rsidRPr="00A9645C">
        <w:rPr>
          <w:color w:val="auto"/>
        </w:rPr>
        <w:t xml:space="preserve">For IO3.1 </w:t>
      </w:r>
      <w:r w:rsidR="00D74D0E" w:rsidRPr="00A9645C">
        <w:rPr>
          <w:color w:val="auto"/>
        </w:rPr>
        <w:t xml:space="preserve">progress </w:t>
      </w:r>
      <w:r w:rsidR="00D53232" w:rsidRPr="00A9645C">
        <w:rPr>
          <w:color w:val="auto"/>
        </w:rPr>
        <w:t xml:space="preserve">towards completion is reported in the </w:t>
      </w:r>
      <w:r w:rsidR="009C7513" w:rsidRPr="00A9645C">
        <w:rPr>
          <w:i/>
          <w:iCs/>
          <w:color w:val="auto"/>
        </w:rPr>
        <w:t>2024 (dra</w:t>
      </w:r>
      <w:r w:rsidR="008A07AC" w:rsidRPr="00A9645C">
        <w:rPr>
          <w:i/>
          <w:iCs/>
          <w:color w:val="auto"/>
        </w:rPr>
        <w:t>f</w:t>
      </w:r>
      <w:r w:rsidR="009C7513" w:rsidRPr="00A9645C">
        <w:rPr>
          <w:i/>
          <w:iCs/>
          <w:color w:val="auto"/>
        </w:rPr>
        <w:t>t) TAPQE Annual R</w:t>
      </w:r>
      <w:r w:rsidR="007D720B" w:rsidRPr="00A9645C">
        <w:rPr>
          <w:i/>
          <w:iCs/>
          <w:color w:val="auto"/>
        </w:rPr>
        <w:t>eport</w:t>
      </w:r>
      <w:r w:rsidR="009C7513" w:rsidRPr="00A9645C">
        <w:rPr>
          <w:color w:val="auto"/>
        </w:rPr>
        <w:t xml:space="preserve"> </w:t>
      </w:r>
      <w:r w:rsidR="007D720B" w:rsidRPr="00A9645C">
        <w:rPr>
          <w:color w:val="auto"/>
        </w:rPr>
        <w:t xml:space="preserve">indicating that </w:t>
      </w:r>
      <w:r w:rsidR="002C418E" w:rsidRPr="00A9645C">
        <w:rPr>
          <w:color w:val="auto"/>
        </w:rPr>
        <w:t>access to and use of TEMIS should be realised in 2025</w:t>
      </w:r>
      <w:r w:rsidR="00540BBC" w:rsidRPr="00A9645C">
        <w:rPr>
          <w:color w:val="auto"/>
        </w:rPr>
        <w:t>. However, the IO</w:t>
      </w:r>
      <w:r w:rsidR="009143DC" w:rsidRPr="00A9645C">
        <w:rPr>
          <w:color w:val="auto"/>
        </w:rPr>
        <w:t xml:space="preserve"> sets a specific expectation about the use of the </w:t>
      </w:r>
      <w:r w:rsidR="00024B59" w:rsidRPr="00A9645C">
        <w:rPr>
          <w:color w:val="auto"/>
        </w:rPr>
        <w:t>TEMIS – ‘</w:t>
      </w:r>
      <w:r w:rsidR="002C35E1" w:rsidRPr="00A9645C">
        <w:rPr>
          <w:color w:val="auto"/>
        </w:rPr>
        <w:t>for ev</w:t>
      </w:r>
      <w:r w:rsidR="0064780B" w:rsidRPr="00A9645C">
        <w:rPr>
          <w:color w:val="auto"/>
        </w:rPr>
        <w:t>i</w:t>
      </w:r>
      <w:r w:rsidR="002C35E1" w:rsidRPr="00A9645C">
        <w:rPr>
          <w:color w:val="auto"/>
        </w:rPr>
        <w:t>dence-based pla</w:t>
      </w:r>
      <w:r w:rsidR="0064780B" w:rsidRPr="00A9645C">
        <w:rPr>
          <w:color w:val="auto"/>
        </w:rPr>
        <w:t>n</w:t>
      </w:r>
      <w:r w:rsidR="002C35E1" w:rsidRPr="00A9645C">
        <w:rPr>
          <w:color w:val="auto"/>
        </w:rPr>
        <w:t>ning</w:t>
      </w:r>
      <w:r w:rsidR="0064780B" w:rsidRPr="00A9645C">
        <w:rPr>
          <w:color w:val="auto"/>
        </w:rPr>
        <w:t>, implementation and monitoring and reporting</w:t>
      </w:r>
      <w:r w:rsidR="00C348AD" w:rsidRPr="00A9645C">
        <w:rPr>
          <w:color w:val="auto"/>
        </w:rPr>
        <w:t xml:space="preserve">’. </w:t>
      </w:r>
      <w:r w:rsidR="003F65C0">
        <w:rPr>
          <w:color w:val="auto"/>
        </w:rPr>
        <w:t>The timef</w:t>
      </w:r>
      <w:r w:rsidR="00197DEE">
        <w:rPr>
          <w:color w:val="auto"/>
        </w:rPr>
        <w:t>rames and targets for the three activities related to IO</w:t>
      </w:r>
      <w:r w:rsidR="0087021F">
        <w:rPr>
          <w:color w:val="auto"/>
        </w:rPr>
        <w:t xml:space="preserve">3.1 deal with access, student report cards, ICT policy and </w:t>
      </w:r>
      <w:r w:rsidR="00F3044A">
        <w:rPr>
          <w:color w:val="auto"/>
        </w:rPr>
        <w:t xml:space="preserve">data management. </w:t>
      </w:r>
      <w:r w:rsidR="00D838A6">
        <w:rPr>
          <w:color w:val="auto"/>
        </w:rPr>
        <w:t xml:space="preserve">From the documentation reviewed </w:t>
      </w:r>
      <w:r w:rsidR="00274465">
        <w:rPr>
          <w:color w:val="auto"/>
        </w:rPr>
        <w:t>there</w:t>
      </w:r>
      <w:r w:rsidR="00D838A6">
        <w:rPr>
          <w:color w:val="auto"/>
        </w:rPr>
        <w:t xml:space="preserve"> is no indication that there will be reporting against the s</w:t>
      </w:r>
      <w:r w:rsidR="000D130A">
        <w:rPr>
          <w:color w:val="auto"/>
        </w:rPr>
        <w:t xml:space="preserve">cope of the IO. </w:t>
      </w:r>
    </w:p>
    <w:p w14:paraId="136EA34D" w14:textId="1AE5C1FA" w:rsidR="00FC5ADA" w:rsidRPr="00A9645C" w:rsidRDefault="00070618" w:rsidP="00DF5451">
      <w:pPr>
        <w:pStyle w:val="ListParagraph"/>
        <w:numPr>
          <w:ilvl w:val="0"/>
          <w:numId w:val="77"/>
        </w:numPr>
        <w:spacing w:after="240"/>
        <w:rPr>
          <w:color w:val="auto"/>
        </w:rPr>
      </w:pPr>
      <w:r w:rsidRPr="00A9645C">
        <w:rPr>
          <w:color w:val="auto"/>
        </w:rPr>
        <w:t xml:space="preserve">For IO3.2 </w:t>
      </w:r>
      <w:r w:rsidR="003F5FC6" w:rsidRPr="00A9645C">
        <w:rPr>
          <w:color w:val="auto"/>
        </w:rPr>
        <w:t>a k</w:t>
      </w:r>
      <w:r w:rsidR="00FC5ADA" w:rsidRPr="00A9645C">
        <w:rPr>
          <w:color w:val="auto"/>
        </w:rPr>
        <w:t>e</w:t>
      </w:r>
      <w:r w:rsidR="003F5FC6" w:rsidRPr="00A9645C">
        <w:rPr>
          <w:color w:val="auto"/>
        </w:rPr>
        <w:t xml:space="preserve">y element is </w:t>
      </w:r>
      <w:r w:rsidR="001B26E5" w:rsidRPr="00A9645C">
        <w:rPr>
          <w:color w:val="auto"/>
        </w:rPr>
        <w:t>the updating of strategies, policies, plans and procedures</w:t>
      </w:r>
      <w:r w:rsidR="0073691A" w:rsidRPr="00A9645C">
        <w:rPr>
          <w:color w:val="auto"/>
        </w:rPr>
        <w:t xml:space="preserve">, including for GEDSI, </w:t>
      </w:r>
      <w:r w:rsidR="00FE1833" w:rsidRPr="00A9645C">
        <w:rPr>
          <w:color w:val="auto"/>
        </w:rPr>
        <w:t xml:space="preserve">reflecting </w:t>
      </w:r>
      <w:r w:rsidR="001B26E5" w:rsidRPr="00A9645C">
        <w:rPr>
          <w:color w:val="auto"/>
        </w:rPr>
        <w:t>best practice</w:t>
      </w:r>
      <w:r w:rsidR="00FE1833" w:rsidRPr="00A9645C">
        <w:rPr>
          <w:color w:val="auto"/>
        </w:rPr>
        <w:t xml:space="preserve">. </w:t>
      </w:r>
      <w:r w:rsidR="005505D6" w:rsidRPr="00A9645C">
        <w:rPr>
          <w:color w:val="auto"/>
        </w:rPr>
        <w:t xml:space="preserve">It is not </w:t>
      </w:r>
      <w:r w:rsidR="001B26E5" w:rsidRPr="00A9645C">
        <w:rPr>
          <w:color w:val="auto"/>
        </w:rPr>
        <w:t xml:space="preserve">clear </w:t>
      </w:r>
      <w:r w:rsidR="00623F21" w:rsidRPr="00A9645C">
        <w:rPr>
          <w:color w:val="auto"/>
        </w:rPr>
        <w:t xml:space="preserve">from </w:t>
      </w:r>
      <w:r w:rsidR="002E01BC" w:rsidRPr="00A9645C">
        <w:rPr>
          <w:color w:val="auto"/>
        </w:rPr>
        <w:t>the program</w:t>
      </w:r>
      <w:r w:rsidR="00623F21" w:rsidRPr="00A9645C">
        <w:rPr>
          <w:color w:val="auto"/>
        </w:rPr>
        <w:t xml:space="preserve"> document</w:t>
      </w:r>
      <w:r w:rsidR="002E01BC" w:rsidRPr="00A9645C">
        <w:rPr>
          <w:color w:val="auto"/>
        </w:rPr>
        <w:t xml:space="preserve">ation reviewed </w:t>
      </w:r>
      <w:r w:rsidR="001B26E5" w:rsidRPr="00A9645C">
        <w:rPr>
          <w:color w:val="auto"/>
        </w:rPr>
        <w:t>which, or how many, strategies, plans or procedures are to</w:t>
      </w:r>
      <w:r w:rsidR="00FC5ADA" w:rsidRPr="00A9645C">
        <w:rPr>
          <w:color w:val="auto"/>
        </w:rPr>
        <w:t xml:space="preserve"> be</w:t>
      </w:r>
      <w:r w:rsidR="001B26E5" w:rsidRPr="00A9645C">
        <w:rPr>
          <w:color w:val="auto"/>
        </w:rPr>
        <w:t xml:space="preserve"> updated, so </w:t>
      </w:r>
      <w:r w:rsidR="005505D6" w:rsidRPr="00A9645C">
        <w:rPr>
          <w:color w:val="auto"/>
        </w:rPr>
        <w:t xml:space="preserve">it is not possible to </w:t>
      </w:r>
      <w:r w:rsidR="001B26E5" w:rsidRPr="00A9645C">
        <w:rPr>
          <w:color w:val="auto"/>
        </w:rPr>
        <w:t xml:space="preserve">make a clear evaluative judgement on </w:t>
      </w:r>
      <w:r w:rsidR="005505D6" w:rsidRPr="00A9645C">
        <w:rPr>
          <w:color w:val="auto"/>
        </w:rPr>
        <w:t>progress or achievement</w:t>
      </w:r>
      <w:r w:rsidR="001B26E5" w:rsidRPr="00A9645C">
        <w:rPr>
          <w:color w:val="auto"/>
        </w:rPr>
        <w:t>.</w:t>
      </w:r>
      <w:r w:rsidR="004E0142" w:rsidRPr="00A9645C">
        <w:rPr>
          <w:color w:val="auto"/>
        </w:rPr>
        <w:t xml:space="preserve"> </w:t>
      </w:r>
    </w:p>
    <w:p w14:paraId="76A33700" w14:textId="5A7F42D9" w:rsidR="00FC5ADA" w:rsidRPr="00A9645C" w:rsidRDefault="002C4720" w:rsidP="00DF5451">
      <w:pPr>
        <w:pStyle w:val="ListParagraph"/>
        <w:numPr>
          <w:ilvl w:val="0"/>
          <w:numId w:val="77"/>
        </w:numPr>
        <w:spacing w:after="240"/>
        <w:rPr>
          <w:color w:val="auto"/>
        </w:rPr>
      </w:pPr>
      <w:r w:rsidRPr="00A9645C">
        <w:rPr>
          <w:color w:val="auto"/>
        </w:rPr>
        <w:t xml:space="preserve">For IO3.3, </w:t>
      </w:r>
      <w:r w:rsidR="00AA5C2C" w:rsidRPr="00A9645C">
        <w:rPr>
          <w:color w:val="auto"/>
        </w:rPr>
        <w:t xml:space="preserve">Annex 6 to the </w:t>
      </w:r>
      <w:r w:rsidR="00AA5C2C" w:rsidRPr="00A9645C">
        <w:rPr>
          <w:i/>
          <w:iCs/>
          <w:color w:val="auto"/>
        </w:rPr>
        <w:t xml:space="preserve">2024 (draft) TAPQE Annual Report </w:t>
      </w:r>
      <w:r w:rsidR="00AA5C2C" w:rsidRPr="00A9645C">
        <w:rPr>
          <w:color w:val="auto"/>
        </w:rPr>
        <w:t>sets out</w:t>
      </w:r>
      <w:r w:rsidR="00651A54" w:rsidRPr="00A9645C">
        <w:rPr>
          <w:color w:val="auto"/>
        </w:rPr>
        <w:t xml:space="preserve"> activities and timeframes and targets</w:t>
      </w:r>
      <w:r w:rsidR="00F1734A" w:rsidRPr="00A9645C">
        <w:rPr>
          <w:color w:val="auto"/>
        </w:rPr>
        <w:t>, with expectations for completion of all activities by July 2024</w:t>
      </w:r>
      <w:r w:rsidR="00EE03BF" w:rsidRPr="00A9645C">
        <w:rPr>
          <w:color w:val="auto"/>
        </w:rPr>
        <w:t xml:space="preserve">. </w:t>
      </w:r>
      <w:r w:rsidR="0053709B">
        <w:rPr>
          <w:color w:val="auto"/>
        </w:rPr>
        <w:t xml:space="preserve">The timeframes and </w:t>
      </w:r>
      <w:r w:rsidR="00E64DA7">
        <w:rPr>
          <w:color w:val="auto"/>
        </w:rPr>
        <w:t>targets</w:t>
      </w:r>
      <w:r w:rsidR="0053709B">
        <w:rPr>
          <w:color w:val="auto"/>
        </w:rPr>
        <w:t xml:space="preserve"> typically relate to production of plans and conduct of workshops</w:t>
      </w:r>
      <w:r w:rsidR="00E64DA7">
        <w:rPr>
          <w:color w:val="auto"/>
        </w:rPr>
        <w:t xml:space="preserve"> (many of which are incomplete at the beginning of 2025) and none of which relate to </w:t>
      </w:r>
      <w:r w:rsidR="00B657F7">
        <w:rPr>
          <w:color w:val="auto"/>
        </w:rPr>
        <w:t xml:space="preserve">‘understanding of </w:t>
      </w:r>
      <w:proofErr w:type="gramStart"/>
      <w:r w:rsidR="00B657F7">
        <w:rPr>
          <w:color w:val="auto"/>
        </w:rPr>
        <w:t>roles’ or ‘</w:t>
      </w:r>
      <w:proofErr w:type="gramEnd"/>
      <w:r w:rsidR="00B657F7">
        <w:rPr>
          <w:color w:val="auto"/>
        </w:rPr>
        <w:t xml:space="preserve">capable of undertaking their </w:t>
      </w:r>
      <w:proofErr w:type="gramStart"/>
      <w:r w:rsidR="00B657F7">
        <w:rPr>
          <w:color w:val="auto"/>
        </w:rPr>
        <w:t>duties’,</w:t>
      </w:r>
      <w:proofErr w:type="gramEnd"/>
      <w:r w:rsidR="00A03C50" w:rsidRPr="00A9645C">
        <w:rPr>
          <w:color w:val="auto"/>
        </w:rPr>
        <w:t xml:space="preserve"> </w:t>
      </w:r>
    </w:p>
    <w:p w14:paraId="0A471A62" w14:textId="479EF015" w:rsidR="00FC5ADA" w:rsidRDefault="006D5DC2" w:rsidP="00DF5451">
      <w:pPr>
        <w:spacing w:after="240"/>
        <w:rPr>
          <w:color w:val="auto"/>
        </w:rPr>
      </w:pPr>
      <w:r>
        <w:rPr>
          <w:color w:val="auto"/>
        </w:rPr>
        <w:lastRenderedPageBreak/>
        <w:t xml:space="preserve">As noted above, in the </w:t>
      </w:r>
      <w:r w:rsidRPr="005E77D5">
        <w:rPr>
          <w:b/>
          <w:bCs/>
          <w:color w:val="auto"/>
        </w:rPr>
        <w:t>absence of baseline and MERL success indicator data</w:t>
      </w:r>
      <w:r>
        <w:rPr>
          <w:color w:val="auto"/>
        </w:rPr>
        <w:t xml:space="preserve"> the TAPQE program might have usefully assessed the degree to which the activities in the 2025 plan have been completed.</w:t>
      </w:r>
    </w:p>
    <w:p w14:paraId="0DBA527A" w14:textId="6C7BF718" w:rsidR="002961E9" w:rsidRDefault="00A03C50" w:rsidP="00DF5451">
      <w:pPr>
        <w:spacing w:after="240"/>
        <w:rPr>
          <w:color w:val="auto"/>
        </w:rPr>
      </w:pPr>
      <w:r>
        <w:rPr>
          <w:color w:val="auto"/>
        </w:rPr>
        <w:t>What is of particula</w:t>
      </w:r>
      <w:r w:rsidR="007551E6">
        <w:rPr>
          <w:color w:val="auto"/>
        </w:rPr>
        <w:t>r</w:t>
      </w:r>
      <w:r w:rsidR="00573358">
        <w:rPr>
          <w:color w:val="auto"/>
        </w:rPr>
        <w:t xml:space="preserve"> </w:t>
      </w:r>
      <w:r>
        <w:rPr>
          <w:color w:val="auto"/>
        </w:rPr>
        <w:t xml:space="preserve">interest </w:t>
      </w:r>
      <w:r w:rsidR="00573358">
        <w:rPr>
          <w:color w:val="auto"/>
        </w:rPr>
        <w:t xml:space="preserve">to the MTR </w:t>
      </w:r>
      <w:r w:rsidR="00FC5ADA">
        <w:rPr>
          <w:color w:val="auto"/>
        </w:rPr>
        <w:t>are the</w:t>
      </w:r>
      <w:r w:rsidR="00573358">
        <w:rPr>
          <w:color w:val="auto"/>
        </w:rPr>
        <w:t xml:space="preserve"> </w:t>
      </w:r>
      <w:r w:rsidR="00B30B66">
        <w:rPr>
          <w:color w:val="auto"/>
        </w:rPr>
        <w:t xml:space="preserve">descriptions of progress and explanations for </w:t>
      </w:r>
      <w:r w:rsidR="009F1F30">
        <w:rPr>
          <w:color w:val="auto"/>
        </w:rPr>
        <w:t xml:space="preserve">activities that are </w:t>
      </w:r>
      <w:r w:rsidR="00B30B66">
        <w:rPr>
          <w:color w:val="auto"/>
        </w:rPr>
        <w:t>late</w:t>
      </w:r>
      <w:r w:rsidR="00F47413">
        <w:rPr>
          <w:color w:val="auto"/>
        </w:rPr>
        <w:t xml:space="preserve">, delayed or </w:t>
      </w:r>
      <w:r w:rsidR="006431EA">
        <w:rPr>
          <w:color w:val="auto"/>
        </w:rPr>
        <w:t>not undertaken</w:t>
      </w:r>
      <w:r w:rsidR="009E711C">
        <w:rPr>
          <w:color w:val="auto"/>
        </w:rPr>
        <w:t xml:space="preserve"> and the absence of any commentary to address the </w:t>
      </w:r>
      <w:r w:rsidR="00AC0A84">
        <w:rPr>
          <w:color w:val="auto"/>
        </w:rPr>
        <w:t>implications</w:t>
      </w:r>
      <w:r w:rsidR="007A24EA">
        <w:rPr>
          <w:color w:val="auto"/>
        </w:rPr>
        <w:t xml:space="preserve">. Some logical questions </w:t>
      </w:r>
      <w:r w:rsidR="00F85BF4">
        <w:rPr>
          <w:color w:val="auto"/>
        </w:rPr>
        <w:t xml:space="preserve">you might expect to see addressed in progress reports </w:t>
      </w:r>
      <w:r w:rsidR="007A24EA">
        <w:rPr>
          <w:color w:val="auto"/>
        </w:rPr>
        <w:t xml:space="preserve">in response to some of the </w:t>
      </w:r>
      <w:r w:rsidR="00C80596">
        <w:rPr>
          <w:color w:val="auto"/>
        </w:rPr>
        <w:t>updates are provided below to illustrate</w:t>
      </w:r>
      <w:r w:rsidR="006D3DA4">
        <w:rPr>
          <w:color w:val="auto"/>
        </w:rPr>
        <w:t xml:space="preserve"> this</w:t>
      </w:r>
      <w:r w:rsidR="002961E9">
        <w:rPr>
          <w:color w:val="auto"/>
        </w:rPr>
        <w:t>:</w:t>
      </w:r>
    </w:p>
    <w:p w14:paraId="6CBCB249" w14:textId="39DC4AB1" w:rsidR="001B26E5" w:rsidRDefault="002961E9" w:rsidP="00DF5451">
      <w:pPr>
        <w:pStyle w:val="ListParagraph"/>
        <w:numPr>
          <w:ilvl w:val="0"/>
          <w:numId w:val="20"/>
        </w:numPr>
        <w:spacing w:after="240"/>
        <w:rPr>
          <w:color w:val="auto"/>
        </w:rPr>
      </w:pPr>
      <w:r w:rsidRPr="0069506B">
        <w:rPr>
          <w:i/>
          <w:iCs/>
          <w:color w:val="auto"/>
        </w:rPr>
        <w:t>S</w:t>
      </w:r>
      <w:r w:rsidR="00171174">
        <w:rPr>
          <w:i/>
          <w:iCs/>
          <w:color w:val="auto"/>
        </w:rPr>
        <w:t xml:space="preserve">trategic </w:t>
      </w:r>
      <w:r w:rsidRPr="0069506B">
        <w:rPr>
          <w:i/>
          <w:iCs/>
          <w:color w:val="auto"/>
        </w:rPr>
        <w:t>W</w:t>
      </w:r>
      <w:r w:rsidR="00171174">
        <w:rPr>
          <w:i/>
          <w:iCs/>
          <w:color w:val="auto"/>
        </w:rPr>
        <w:t xml:space="preserve">orkforce </w:t>
      </w:r>
      <w:r w:rsidRPr="0069506B">
        <w:rPr>
          <w:i/>
          <w:iCs/>
          <w:color w:val="auto"/>
        </w:rPr>
        <w:t>R</w:t>
      </w:r>
      <w:r w:rsidR="00171174">
        <w:rPr>
          <w:i/>
          <w:iCs/>
          <w:color w:val="auto"/>
        </w:rPr>
        <w:t>eview</w:t>
      </w:r>
      <w:r w:rsidRPr="0069506B">
        <w:rPr>
          <w:i/>
          <w:iCs/>
          <w:color w:val="auto"/>
        </w:rPr>
        <w:t xml:space="preserve"> presentation to the newly appointed MEHRD leadership which saw the endorsement of five of the 14 recommendations by CEO Corinna</w:t>
      </w:r>
      <w:r w:rsidR="006431EA" w:rsidRPr="0069506B">
        <w:rPr>
          <w:color w:val="auto"/>
        </w:rPr>
        <w:t xml:space="preserve"> </w:t>
      </w:r>
      <w:r w:rsidR="009F01B6">
        <w:rPr>
          <w:color w:val="auto"/>
        </w:rPr>
        <w:t>–</w:t>
      </w:r>
      <w:r>
        <w:rPr>
          <w:color w:val="auto"/>
        </w:rPr>
        <w:t xml:space="preserve"> </w:t>
      </w:r>
      <w:r w:rsidR="009F01B6">
        <w:rPr>
          <w:color w:val="auto"/>
        </w:rPr>
        <w:t xml:space="preserve">what strategies might TAPQE put in place to mitigate the </w:t>
      </w:r>
      <w:r w:rsidR="007C2D63">
        <w:rPr>
          <w:color w:val="auto"/>
        </w:rPr>
        <w:t xml:space="preserve">impact of changing personnel? What’s to be learned from only five (of 14) recommendations being </w:t>
      </w:r>
      <w:r w:rsidR="006E0353">
        <w:rPr>
          <w:color w:val="auto"/>
        </w:rPr>
        <w:t>endorsed?</w:t>
      </w:r>
    </w:p>
    <w:p w14:paraId="0B88D7E5" w14:textId="249F0C06" w:rsidR="00307B9C" w:rsidRDefault="00AE4D72" w:rsidP="00DF5451">
      <w:pPr>
        <w:pStyle w:val="ListParagraph"/>
        <w:numPr>
          <w:ilvl w:val="0"/>
          <w:numId w:val="20"/>
        </w:numPr>
        <w:spacing w:after="240"/>
        <w:rPr>
          <w:color w:val="auto"/>
        </w:rPr>
      </w:pPr>
      <w:r w:rsidRPr="0069506B">
        <w:rPr>
          <w:i/>
          <w:iCs/>
          <w:color w:val="auto"/>
        </w:rPr>
        <w:t>Previous MEYS (MEHRD) MEL Baseline Capacity Assessment report reviewed and revised</w:t>
      </w:r>
      <w:r w:rsidR="0003691C">
        <w:rPr>
          <w:color w:val="auto"/>
        </w:rPr>
        <w:t xml:space="preserve"> – to what extent is TAPQE drawing on previous </w:t>
      </w:r>
      <w:r w:rsidR="00FC5ADA">
        <w:rPr>
          <w:color w:val="auto"/>
        </w:rPr>
        <w:t xml:space="preserve">‘baseline’ </w:t>
      </w:r>
      <w:r w:rsidR="0003691C">
        <w:rPr>
          <w:color w:val="auto"/>
        </w:rPr>
        <w:t xml:space="preserve">data, learning and strategies for this area and others? </w:t>
      </w:r>
    </w:p>
    <w:p w14:paraId="37EB20B8" w14:textId="1C705770" w:rsidR="006E0353" w:rsidRPr="0069506B" w:rsidRDefault="00EA3335" w:rsidP="00DF5451">
      <w:pPr>
        <w:pStyle w:val="ListParagraph"/>
        <w:numPr>
          <w:ilvl w:val="0"/>
          <w:numId w:val="20"/>
        </w:numPr>
        <w:spacing w:after="240"/>
        <w:rPr>
          <w:color w:val="auto"/>
        </w:rPr>
      </w:pPr>
      <w:r w:rsidRPr="0069506B">
        <w:rPr>
          <w:i/>
          <w:iCs/>
          <w:color w:val="auto"/>
        </w:rPr>
        <w:t>Unavailability of MEHRD staff during T</w:t>
      </w:r>
      <w:r w:rsidR="00F76717">
        <w:rPr>
          <w:i/>
          <w:iCs/>
          <w:color w:val="auto"/>
        </w:rPr>
        <w:t xml:space="preserve">echnical </w:t>
      </w:r>
      <w:r w:rsidRPr="0069506B">
        <w:rPr>
          <w:i/>
          <w:iCs/>
          <w:color w:val="auto"/>
        </w:rPr>
        <w:t>A</w:t>
      </w:r>
      <w:r w:rsidR="00F76717">
        <w:rPr>
          <w:i/>
          <w:iCs/>
          <w:color w:val="auto"/>
        </w:rPr>
        <w:t>dviser</w:t>
      </w:r>
      <w:r w:rsidRPr="0069506B">
        <w:rPr>
          <w:i/>
          <w:iCs/>
          <w:color w:val="auto"/>
        </w:rPr>
        <w:t xml:space="preserve"> visits limited the opportunity to conduct all proposed MERL training</w:t>
      </w:r>
      <w:r>
        <w:rPr>
          <w:color w:val="auto"/>
        </w:rPr>
        <w:t xml:space="preserve"> – to what extent do TA visits limit </w:t>
      </w:r>
      <w:r w:rsidR="00FB5319">
        <w:rPr>
          <w:color w:val="auto"/>
        </w:rPr>
        <w:t xml:space="preserve">Program activities? What’s being done to reduce dependence on TA </w:t>
      </w:r>
      <w:r w:rsidR="00124A3C">
        <w:rPr>
          <w:color w:val="auto"/>
        </w:rPr>
        <w:t>availability (and build capability of local staff) and/or develop alternate modes of operation</w:t>
      </w:r>
      <w:r w:rsidR="004A632D">
        <w:rPr>
          <w:color w:val="auto"/>
        </w:rPr>
        <w:t>?</w:t>
      </w:r>
      <w:r w:rsidR="00940DEC">
        <w:rPr>
          <w:color w:val="auto"/>
        </w:rPr>
        <w:t xml:space="preserve"> Is there an issue with MEHRD staff committing to TAPQE plans and timelines?</w:t>
      </w:r>
      <w:r w:rsidRPr="00EA3335">
        <w:rPr>
          <w:color w:val="auto"/>
        </w:rPr>
        <w:t xml:space="preserve"> </w:t>
      </w:r>
      <w:r w:rsidR="0003691C">
        <w:rPr>
          <w:color w:val="auto"/>
        </w:rPr>
        <w:t xml:space="preserve"> </w:t>
      </w:r>
    </w:p>
    <w:p w14:paraId="6ECD6BD7" w14:textId="53B9A74B" w:rsidR="00130DDE" w:rsidRDefault="004D4D05" w:rsidP="00DF5451">
      <w:pPr>
        <w:spacing w:after="240"/>
        <w:rPr>
          <w:color w:val="auto"/>
        </w:rPr>
      </w:pPr>
      <w:r>
        <w:rPr>
          <w:color w:val="auto"/>
        </w:rPr>
        <w:t xml:space="preserve">Following on </w:t>
      </w:r>
      <w:r w:rsidR="0048760B">
        <w:rPr>
          <w:color w:val="auto"/>
        </w:rPr>
        <w:t xml:space="preserve">from discussion about EOPO2 in the previous section, there is </w:t>
      </w:r>
      <w:r w:rsidR="00A345C2">
        <w:rPr>
          <w:color w:val="auto"/>
        </w:rPr>
        <w:t xml:space="preserve">considerable effort being </w:t>
      </w:r>
      <w:r w:rsidR="0048760B">
        <w:rPr>
          <w:color w:val="auto"/>
        </w:rPr>
        <w:t xml:space="preserve">directed towards </w:t>
      </w:r>
      <w:r w:rsidR="00BB50BD">
        <w:rPr>
          <w:color w:val="auto"/>
        </w:rPr>
        <w:t xml:space="preserve">activities aligned to </w:t>
      </w:r>
      <w:r w:rsidR="0048760B">
        <w:rPr>
          <w:color w:val="auto"/>
        </w:rPr>
        <w:t>EOPO3 and associated IOs</w:t>
      </w:r>
      <w:r w:rsidR="00DF3E65">
        <w:rPr>
          <w:color w:val="auto"/>
        </w:rPr>
        <w:t>. H</w:t>
      </w:r>
      <w:r w:rsidR="000B4041">
        <w:rPr>
          <w:color w:val="auto"/>
        </w:rPr>
        <w:t xml:space="preserve">owever, the lack of baseline and progress data </w:t>
      </w:r>
      <w:r w:rsidR="00DF3E65">
        <w:rPr>
          <w:color w:val="auto"/>
        </w:rPr>
        <w:t xml:space="preserve">against </w:t>
      </w:r>
      <w:r w:rsidR="000B4041">
        <w:rPr>
          <w:color w:val="auto"/>
        </w:rPr>
        <w:t>success ind</w:t>
      </w:r>
      <w:r w:rsidR="00216CC0">
        <w:rPr>
          <w:color w:val="auto"/>
        </w:rPr>
        <w:t xml:space="preserve">icators means that a confident judgement </w:t>
      </w:r>
      <w:r w:rsidR="00E9777F">
        <w:rPr>
          <w:color w:val="auto"/>
        </w:rPr>
        <w:t xml:space="preserve">about increased capacity and </w:t>
      </w:r>
      <w:r w:rsidR="00E9777F" w:rsidRPr="00E9777F">
        <w:rPr>
          <w:color w:val="auto"/>
        </w:rPr>
        <w:t>more inclusive, evidence-based and efficient</w:t>
      </w:r>
      <w:r w:rsidR="00E9777F">
        <w:rPr>
          <w:color w:val="auto"/>
        </w:rPr>
        <w:t xml:space="preserve"> service delivery </w:t>
      </w:r>
      <w:r w:rsidR="00D663AA">
        <w:rPr>
          <w:color w:val="auto"/>
        </w:rPr>
        <w:t>cannot be made. Further</w:t>
      </w:r>
      <w:r w:rsidR="00DB650E">
        <w:rPr>
          <w:color w:val="auto"/>
        </w:rPr>
        <w:t>,</w:t>
      </w:r>
      <w:r w:rsidR="00D663AA">
        <w:rPr>
          <w:color w:val="auto"/>
        </w:rPr>
        <w:t xml:space="preserve"> </w:t>
      </w:r>
      <w:r w:rsidR="00F43BD9">
        <w:rPr>
          <w:color w:val="auto"/>
        </w:rPr>
        <w:t xml:space="preserve">based on the </w:t>
      </w:r>
      <w:r w:rsidR="00D663AA">
        <w:rPr>
          <w:color w:val="auto"/>
        </w:rPr>
        <w:t xml:space="preserve">discussion about the plans, activities and </w:t>
      </w:r>
      <w:r w:rsidR="006F33D3">
        <w:rPr>
          <w:color w:val="auto"/>
        </w:rPr>
        <w:t>outputs</w:t>
      </w:r>
      <w:r w:rsidR="00D663AA">
        <w:rPr>
          <w:color w:val="auto"/>
        </w:rPr>
        <w:t xml:space="preserve"> </w:t>
      </w:r>
      <w:r w:rsidR="008768E3">
        <w:rPr>
          <w:color w:val="auto"/>
        </w:rPr>
        <w:t xml:space="preserve">related to EOPO3 the </w:t>
      </w:r>
      <w:r w:rsidR="004968F5">
        <w:rPr>
          <w:color w:val="auto"/>
        </w:rPr>
        <w:t xml:space="preserve">MTR teams </w:t>
      </w:r>
      <w:r w:rsidR="00723C7B">
        <w:rPr>
          <w:color w:val="auto"/>
        </w:rPr>
        <w:t xml:space="preserve">agreed that </w:t>
      </w:r>
      <w:r w:rsidR="00AC7C4F">
        <w:rPr>
          <w:color w:val="auto"/>
        </w:rPr>
        <w:t>EOPO3</w:t>
      </w:r>
      <w:r w:rsidR="00723C7B">
        <w:rPr>
          <w:color w:val="auto"/>
        </w:rPr>
        <w:t xml:space="preserve"> is qui</w:t>
      </w:r>
      <w:r w:rsidR="00870D9B">
        <w:rPr>
          <w:color w:val="auto"/>
        </w:rPr>
        <w:t>te complex</w:t>
      </w:r>
      <w:r w:rsidR="00AC7C4F">
        <w:rPr>
          <w:color w:val="auto"/>
        </w:rPr>
        <w:t>, to the extent it might not be possible to judge</w:t>
      </w:r>
      <w:r w:rsidR="00E3187E">
        <w:rPr>
          <w:color w:val="auto"/>
        </w:rPr>
        <w:t xml:space="preserve"> </w:t>
      </w:r>
      <w:r w:rsidR="00875079">
        <w:rPr>
          <w:color w:val="auto"/>
        </w:rPr>
        <w:t xml:space="preserve">whether </w:t>
      </w:r>
      <w:r w:rsidR="00AC7C4F">
        <w:rPr>
          <w:color w:val="auto"/>
        </w:rPr>
        <w:t>it has been achieved</w:t>
      </w:r>
      <w:r w:rsidR="006F2120">
        <w:rPr>
          <w:color w:val="auto"/>
        </w:rPr>
        <w:t xml:space="preserve">. </w:t>
      </w:r>
    </w:p>
    <w:p w14:paraId="1E109794" w14:textId="6B18CC10" w:rsidR="001B26E5" w:rsidRPr="00D939DA" w:rsidRDefault="00875079" w:rsidP="00DF5451">
      <w:pPr>
        <w:spacing w:after="240"/>
        <w:rPr>
          <w:color w:val="auto"/>
        </w:rPr>
      </w:pPr>
      <w:r>
        <w:rPr>
          <w:color w:val="auto"/>
        </w:rPr>
        <w:t>The</w:t>
      </w:r>
      <w:r w:rsidR="006F2120">
        <w:rPr>
          <w:color w:val="auto"/>
        </w:rPr>
        <w:t xml:space="preserve"> </w:t>
      </w:r>
      <w:r w:rsidR="00165A4E">
        <w:rPr>
          <w:color w:val="auto"/>
        </w:rPr>
        <w:t>MTR team</w:t>
      </w:r>
      <w:r w:rsidR="006F2120">
        <w:rPr>
          <w:color w:val="auto"/>
        </w:rPr>
        <w:t xml:space="preserve"> discussed the merits of a revision to the </w:t>
      </w:r>
      <w:r w:rsidR="00130DDE">
        <w:rPr>
          <w:color w:val="auto"/>
        </w:rPr>
        <w:t>current EOPO. Discussion include</w:t>
      </w:r>
      <w:r w:rsidR="006346E6">
        <w:rPr>
          <w:color w:val="auto"/>
        </w:rPr>
        <w:t>d the option of limiting the EOPO to the development and use of the TEMIS</w:t>
      </w:r>
      <w:r w:rsidR="00AF2DDD">
        <w:rPr>
          <w:color w:val="auto"/>
        </w:rPr>
        <w:t xml:space="preserve"> with </w:t>
      </w:r>
      <w:r>
        <w:rPr>
          <w:color w:val="auto"/>
        </w:rPr>
        <w:t>a</w:t>
      </w:r>
      <w:r w:rsidR="00AF2DDD">
        <w:rPr>
          <w:color w:val="auto"/>
        </w:rPr>
        <w:t xml:space="preserve"> </w:t>
      </w:r>
      <w:r w:rsidR="00A84110">
        <w:rPr>
          <w:color w:val="auto"/>
        </w:rPr>
        <w:t xml:space="preserve">corresponding commitment to develop the capacity of MEHRD personnel to undertake </w:t>
      </w:r>
      <w:r w:rsidR="00A84110" w:rsidRPr="00412442">
        <w:rPr>
          <w:color w:val="auto"/>
        </w:rPr>
        <w:t>evidence-based planning, implementation</w:t>
      </w:r>
      <w:r w:rsidR="005C3348">
        <w:rPr>
          <w:color w:val="auto"/>
        </w:rPr>
        <w:t>,</w:t>
      </w:r>
      <w:r w:rsidR="00A84110" w:rsidRPr="00412442">
        <w:rPr>
          <w:color w:val="auto"/>
        </w:rPr>
        <w:t xml:space="preserve"> monitoring and reporting</w:t>
      </w:r>
      <w:r w:rsidR="00A84110">
        <w:rPr>
          <w:color w:val="auto"/>
        </w:rPr>
        <w:t>.</w:t>
      </w:r>
      <w:r w:rsidR="00870D9B">
        <w:rPr>
          <w:color w:val="auto"/>
        </w:rPr>
        <w:t xml:space="preserve"> This </w:t>
      </w:r>
      <w:r w:rsidR="0054435F">
        <w:rPr>
          <w:color w:val="auto"/>
        </w:rPr>
        <w:t xml:space="preserve">discussion is taken up in the construction of recommendations from this review. </w:t>
      </w:r>
    </w:p>
    <w:p w14:paraId="4254FF3D" w14:textId="7B49140B" w:rsidR="00291459" w:rsidRPr="0069506B" w:rsidRDefault="00805C19" w:rsidP="00DF5451">
      <w:pPr>
        <w:pStyle w:val="ListParagraph"/>
        <w:numPr>
          <w:ilvl w:val="0"/>
          <w:numId w:val="8"/>
        </w:numPr>
        <w:spacing w:after="240"/>
        <w:ind w:left="425" w:hanging="425"/>
        <w:rPr>
          <w:rStyle w:val="SubtleEmphasis"/>
        </w:rPr>
      </w:pPr>
      <w:r w:rsidRPr="0069506B">
        <w:rPr>
          <w:rStyle w:val="SubtleEmphasis"/>
        </w:rPr>
        <w:t xml:space="preserve">To what extent have the Program’s GEDSI activities been effective? </w:t>
      </w:r>
    </w:p>
    <w:p w14:paraId="405042C2" w14:textId="1453CE3A" w:rsidR="007922CC" w:rsidRDefault="007922CC" w:rsidP="00DF5451">
      <w:pPr>
        <w:spacing w:after="240"/>
      </w:pPr>
      <w:r>
        <w:t xml:space="preserve">In the absence of baseline and associated progress data (for relevant Intermediate Outcomes and for End of Program Outcomes) it is </w:t>
      </w:r>
      <w:r w:rsidRPr="007922CC">
        <w:rPr>
          <w:b/>
          <w:bCs/>
        </w:rPr>
        <w:t>not possible to make an objective judgement on the extent to which the GEDSI activities have been effective</w:t>
      </w:r>
      <w:r>
        <w:t xml:space="preserve">. </w:t>
      </w:r>
    </w:p>
    <w:p w14:paraId="51E87D29" w14:textId="41DDF6F4" w:rsidR="0088440A" w:rsidRDefault="00791D82" w:rsidP="00DF5451">
      <w:pPr>
        <w:spacing w:after="240"/>
        <w:rPr>
          <w:color w:val="auto"/>
        </w:rPr>
      </w:pPr>
      <w:r>
        <w:rPr>
          <w:color w:val="auto"/>
        </w:rPr>
        <w:t xml:space="preserve">Discussion of </w:t>
      </w:r>
      <w:r w:rsidR="00FA3686">
        <w:rPr>
          <w:color w:val="auto"/>
        </w:rPr>
        <w:t xml:space="preserve">GEDSI activities and associated </w:t>
      </w:r>
      <w:r w:rsidR="0088440A">
        <w:rPr>
          <w:color w:val="auto"/>
        </w:rPr>
        <w:t xml:space="preserve">outputs and progress </w:t>
      </w:r>
      <w:r>
        <w:rPr>
          <w:color w:val="auto"/>
        </w:rPr>
        <w:t xml:space="preserve">is provided in the </w:t>
      </w:r>
      <w:r w:rsidRPr="00D939DA">
        <w:rPr>
          <w:i/>
          <w:iCs/>
          <w:color w:val="auto"/>
        </w:rPr>
        <w:t>2024 (draft) TAPQE Annual Report</w:t>
      </w:r>
      <w:r>
        <w:rPr>
          <w:color w:val="auto"/>
        </w:rPr>
        <w:t xml:space="preserve"> (p.5) and </w:t>
      </w:r>
      <w:r w:rsidR="00134BF0">
        <w:rPr>
          <w:color w:val="auto"/>
        </w:rPr>
        <w:t>Annexes</w:t>
      </w:r>
      <w:r w:rsidR="00055F3F">
        <w:rPr>
          <w:color w:val="auto"/>
        </w:rPr>
        <w:t xml:space="preserve">. </w:t>
      </w:r>
      <w:r w:rsidR="003A5E86">
        <w:rPr>
          <w:color w:val="auto"/>
        </w:rPr>
        <w:t>The</w:t>
      </w:r>
      <w:r w:rsidR="00DC7F8D">
        <w:rPr>
          <w:color w:val="auto"/>
        </w:rPr>
        <w:t xml:space="preserve">se </w:t>
      </w:r>
      <w:r w:rsidR="0088440A">
        <w:rPr>
          <w:color w:val="auto"/>
        </w:rPr>
        <w:t>include:</w:t>
      </w:r>
    </w:p>
    <w:p w14:paraId="5DCB0585" w14:textId="087A2445" w:rsidR="006729B2" w:rsidRPr="0069506B" w:rsidRDefault="006729B2" w:rsidP="00DF5451">
      <w:pPr>
        <w:pStyle w:val="ListParagraph"/>
        <w:numPr>
          <w:ilvl w:val="0"/>
          <w:numId w:val="21"/>
        </w:numPr>
        <w:spacing w:after="240"/>
        <w:rPr>
          <w:color w:val="auto"/>
        </w:rPr>
      </w:pPr>
      <w:r w:rsidRPr="0069506B">
        <w:rPr>
          <w:color w:val="auto"/>
        </w:rPr>
        <w:t xml:space="preserve">Annex 5 – Performance Stories: “Toko Simona’s educational journey represents a key activity under TAPQE AWP - EOPO1: Improve Literacy and Numeracy for both boys and girls (Years 1–10), including children with disabilities, contributing to Intermediate Outcome 1.3: Increased participation of learners with a disability in primary education, and reduced performance gap between boys and girls at primary school.” </w:t>
      </w:r>
    </w:p>
    <w:p w14:paraId="4D86D20F" w14:textId="32877001" w:rsidR="00ED56C2" w:rsidRPr="0069506B" w:rsidRDefault="006729B2" w:rsidP="00DF5451">
      <w:pPr>
        <w:pStyle w:val="ListParagraph"/>
        <w:numPr>
          <w:ilvl w:val="0"/>
          <w:numId w:val="21"/>
        </w:numPr>
        <w:spacing w:after="240"/>
        <w:rPr>
          <w:color w:val="auto"/>
        </w:rPr>
      </w:pPr>
      <w:r w:rsidRPr="0069506B">
        <w:rPr>
          <w:color w:val="auto"/>
        </w:rPr>
        <w:t xml:space="preserve">Annex 6 – Progress against </w:t>
      </w:r>
      <w:r w:rsidR="00316114">
        <w:rPr>
          <w:color w:val="auto"/>
        </w:rPr>
        <w:t>EOPO1</w:t>
      </w:r>
      <w:r w:rsidRPr="0069506B">
        <w:rPr>
          <w:color w:val="auto"/>
        </w:rPr>
        <w:t xml:space="preserve">: Activities 1.3.1-1.3.3 </w:t>
      </w:r>
      <w:r w:rsidR="00ED56C2">
        <w:rPr>
          <w:color w:val="auto"/>
        </w:rPr>
        <w:t>resulted in:</w:t>
      </w:r>
    </w:p>
    <w:p w14:paraId="6EF945E2" w14:textId="63CE0232" w:rsidR="00ED56C2" w:rsidRDefault="006729B2" w:rsidP="00DF5451">
      <w:pPr>
        <w:pStyle w:val="ListParagraph"/>
        <w:numPr>
          <w:ilvl w:val="1"/>
          <w:numId w:val="21"/>
        </w:numPr>
        <w:spacing w:after="240"/>
        <w:rPr>
          <w:color w:val="auto"/>
        </w:rPr>
      </w:pPr>
      <w:r w:rsidRPr="0069506B">
        <w:rPr>
          <w:color w:val="auto"/>
        </w:rPr>
        <w:t xml:space="preserve">Disability Inclusion Teachers Guide </w:t>
      </w:r>
      <w:r w:rsidR="00ED56C2">
        <w:rPr>
          <w:color w:val="auto"/>
        </w:rPr>
        <w:t xml:space="preserve">being </w:t>
      </w:r>
      <w:r w:rsidRPr="0069506B">
        <w:rPr>
          <w:color w:val="auto"/>
        </w:rPr>
        <w:t>reviewed and updated to include additional targeted differentiation strategies</w:t>
      </w:r>
      <w:r w:rsidR="000D04E1">
        <w:rPr>
          <w:color w:val="auto"/>
        </w:rPr>
        <w:t>.</w:t>
      </w:r>
    </w:p>
    <w:p w14:paraId="03CC5E51" w14:textId="39DE41EE" w:rsidR="00316114" w:rsidRDefault="00F97AA2" w:rsidP="00DF5451">
      <w:pPr>
        <w:pStyle w:val="ListParagraph"/>
        <w:numPr>
          <w:ilvl w:val="1"/>
          <w:numId w:val="21"/>
        </w:numPr>
        <w:spacing w:after="240"/>
        <w:rPr>
          <w:color w:val="auto"/>
        </w:rPr>
      </w:pPr>
      <w:r>
        <w:rPr>
          <w:color w:val="auto"/>
        </w:rPr>
        <w:lastRenderedPageBreak/>
        <w:t>D</w:t>
      </w:r>
      <w:r w:rsidR="006729B2" w:rsidRPr="0069506B">
        <w:rPr>
          <w:color w:val="auto"/>
        </w:rPr>
        <w:t>raft health option</w:t>
      </w:r>
      <w:r>
        <w:rPr>
          <w:color w:val="auto"/>
        </w:rPr>
        <w:t>s</w:t>
      </w:r>
      <w:r w:rsidR="006729B2" w:rsidRPr="0069506B">
        <w:rPr>
          <w:color w:val="auto"/>
        </w:rPr>
        <w:t xml:space="preserve"> paper completed and development of school health screening trial</w:t>
      </w:r>
      <w:r w:rsidR="006729B2">
        <w:rPr>
          <w:color w:val="auto"/>
        </w:rPr>
        <w:t>,</w:t>
      </w:r>
      <w:r w:rsidR="006729B2" w:rsidRPr="0069506B">
        <w:rPr>
          <w:color w:val="auto"/>
        </w:rPr>
        <w:t xml:space="preserve"> pending decision and agreement between D</w:t>
      </w:r>
      <w:r w:rsidR="00ED3A4A">
        <w:rPr>
          <w:color w:val="auto"/>
        </w:rPr>
        <w:t>epartment of Health</w:t>
      </w:r>
      <w:r w:rsidR="006729B2" w:rsidRPr="0069506B">
        <w:rPr>
          <w:color w:val="auto"/>
        </w:rPr>
        <w:t xml:space="preserve"> and MEHRD. </w:t>
      </w:r>
    </w:p>
    <w:p w14:paraId="166A1DB4" w14:textId="1152132A" w:rsidR="006729B2" w:rsidRPr="0069506B" w:rsidRDefault="006729B2" w:rsidP="00DF5451">
      <w:pPr>
        <w:pStyle w:val="ListParagraph"/>
        <w:numPr>
          <w:ilvl w:val="1"/>
          <w:numId w:val="21"/>
        </w:numPr>
        <w:spacing w:after="240"/>
        <w:rPr>
          <w:color w:val="auto"/>
        </w:rPr>
      </w:pPr>
      <w:r w:rsidRPr="0069506B">
        <w:rPr>
          <w:color w:val="auto"/>
        </w:rPr>
        <w:t xml:space="preserve">90% of primary teachers </w:t>
      </w:r>
      <w:r w:rsidR="001737D0" w:rsidRPr="0069506B">
        <w:rPr>
          <w:color w:val="auto"/>
        </w:rPr>
        <w:t>participat</w:t>
      </w:r>
      <w:r w:rsidR="001737D0">
        <w:rPr>
          <w:color w:val="auto"/>
        </w:rPr>
        <w:t>e</w:t>
      </w:r>
      <w:r w:rsidR="00316114">
        <w:rPr>
          <w:color w:val="auto"/>
        </w:rPr>
        <w:t xml:space="preserve"> </w:t>
      </w:r>
      <w:r w:rsidRPr="0069506B">
        <w:rPr>
          <w:color w:val="auto"/>
        </w:rPr>
        <w:t>in inclusive education workshops covering modules such as principles and practices of inclusion and strategies for creating an inclusive classroom.</w:t>
      </w:r>
    </w:p>
    <w:p w14:paraId="7434A524" w14:textId="5E12CECB" w:rsidR="006729B2" w:rsidRPr="0069506B" w:rsidRDefault="00160C1A" w:rsidP="00DF5451">
      <w:pPr>
        <w:pStyle w:val="ListParagraph"/>
        <w:numPr>
          <w:ilvl w:val="0"/>
          <w:numId w:val="21"/>
        </w:numPr>
        <w:spacing w:after="240"/>
        <w:rPr>
          <w:color w:val="auto"/>
        </w:rPr>
      </w:pPr>
      <w:r w:rsidRPr="0069506B">
        <w:rPr>
          <w:color w:val="auto"/>
        </w:rPr>
        <w:t xml:space="preserve">Section </w:t>
      </w:r>
      <w:r w:rsidR="006729B2" w:rsidRPr="0069506B">
        <w:rPr>
          <w:color w:val="auto"/>
        </w:rPr>
        <w:t>4.1, GEDSI and Climate Change</w:t>
      </w:r>
      <w:r>
        <w:rPr>
          <w:color w:val="auto"/>
        </w:rPr>
        <w:t>:</w:t>
      </w:r>
      <w:r w:rsidR="006729B2" w:rsidRPr="0069506B">
        <w:rPr>
          <w:color w:val="auto"/>
        </w:rPr>
        <w:t xml:space="preserve"> “GEDSI and Climate Change education have been integrated in</w:t>
      </w:r>
      <w:r w:rsidR="00833855">
        <w:rPr>
          <w:color w:val="auto"/>
        </w:rPr>
        <w:t>to</w:t>
      </w:r>
      <w:r w:rsidR="006729B2" w:rsidRPr="0069506B">
        <w:rPr>
          <w:color w:val="auto"/>
        </w:rPr>
        <w:t xml:space="preserve"> activities across all three EOPOs, ensuring, for example, gender and disability data is collected in TEMIS and for program MERL, and that GEDSI and climate change themes are reflected in the primary and secondary curriculum and in teacher training.” </w:t>
      </w:r>
    </w:p>
    <w:p w14:paraId="3A665F5B" w14:textId="798EC5B1" w:rsidR="00BF28E2" w:rsidRDefault="00791D82" w:rsidP="00DF5451">
      <w:pPr>
        <w:spacing w:after="240"/>
        <w:rPr>
          <w:color w:val="auto"/>
        </w:rPr>
      </w:pPr>
      <w:r>
        <w:rPr>
          <w:color w:val="auto"/>
        </w:rPr>
        <w:t xml:space="preserve">In addition to </w:t>
      </w:r>
      <w:r w:rsidR="00E86610">
        <w:rPr>
          <w:color w:val="auto"/>
        </w:rPr>
        <w:t>reviewing</w:t>
      </w:r>
      <w:r>
        <w:rPr>
          <w:color w:val="auto"/>
        </w:rPr>
        <w:t xml:space="preserve"> the </w:t>
      </w:r>
      <w:r w:rsidRPr="00D939DA">
        <w:rPr>
          <w:i/>
          <w:iCs/>
          <w:color w:val="auto"/>
        </w:rPr>
        <w:t>2024 (draft) TAPQE Annual Report</w:t>
      </w:r>
      <w:r w:rsidR="00010683">
        <w:rPr>
          <w:i/>
          <w:iCs/>
          <w:color w:val="auto"/>
        </w:rPr>
        <w:t>,</w:t>
      </w:r>
      <w:r>
        <w:rPr>
          <w:color w:val="auto"/>
        </w:rPr>
        <w:t xml:space="preserve"> the </w:t>
      </w:r>
      <w:r w:rsidR="00165A4E">
        <w:rPr>
          <w:color w:val="auto"/>
        </w:rPr>
        <w:t>MTR team</w:t>
      </w:r>
      <w:r>
        <w:rPr>
          <w:color w:val="auto"/>
        </w:rPr>
        <w:t xml:space="preserve"> </w:t>
      </w:r>
      <w:r w:rsidR="00E86610">
        <w:rPr>
          <w:color w:val="auto"/>
        </w:rPr>
        <w:t xml:space="preserve">was able to test this question via </w:t>
      </w:r>
      <w:r>
        <w:rPr>
          <w:color w:val="auto"/>
        </w:rPr>
        <w:t>in-country interviews with a range of stakeholders.</w:t>
      </w:r>
      <w:r w:rsidR="00BF28E2">
        <w:rPr>
          <w:color w:val="auto"/>
        </w:rPr>
        <w:t xml:space="preserve"> </w:t>
      </w:r>
      <w:r w:rsidR="00D43A62">
        <w:rPr>
          <w:color w:val="auto"/>
        </w:rPr>
        <w:t xml:space="preserve">Examples </w:t>
      </w:r>
      <w:r w:rsidR="00BF28E2">
        <w:rPr>
          <w:color w:val="auto"/>
        </w:rPr>
        <w:t>in relation to GEDSI activities included</w:t>
      </w:r>
      <w:r w:rsidR="0077638F">
        <w:rPr>
          <w:color w:val="auto"/>
        </w:rPr>
        <w:t xml:space="preserve"> references to</w:t>
      </w:r>
      <w:r w:rsidR="00BF28E2">
        <w:rPr>
          <w:color w:val="auto"/>
        </w:rPr>
        <w:t>:</w:t>
      </w:r>
    </w:p>
    <w:p w14:paraId="5A863E53" w14:textId="41D59F40" w:rsidR="0077638F" w:rsidRPr="0069506B" w:rsidRDefault="0077638F" w:rsidP="00DF5451">
      <w:pPr>
        <w:pStyle w:val="ListParagraph"/>
        <w:numPr>
          <w:ilvl w:val="0"/>
          <w:numId w:val="21"/>
        </w:numPr>
        <w:spacing w:after="240"/>
        <w:rPr>
          <w:color w:val="auto"/>
        </w:rPr>
      </w:pPr>
      <w:r>
        <w:rPr>
          <w:color w:val="auto"/>
        </w:rPr>
        <w:t xml:space="preserve">The design and conduct </w:t>
      </w:r>
      <w:r w:rsidR="007B2BF7">
        <w:rPr>
          <w:color w:val="auto"/>
        </w:rPr>
        <w:t>of an anti-</w:t>
      </w:r>
      <w:r w:rsidR="00010683">
        <w:rPr>
          <w:color w:val="auto"/>
        </w:rPr>
        <w:t>b</w:t>
      </w:r>
      <w:r w:rsidR="00010683" w:rsidRPr="0069506B">
        <w:rPr>
          <w:color w:val="auto"/>
        </w:rPr>
        <w:t>ullying</w:t>
      </w:r>
      <w:r w:rsidRPr="0069506B">
        <w:rPr>
          <w:color w:val="auto"/>
        </w:rPr>
        <w:t xml:space="preserve"> campaign to improve </w:t>
      </w:r>
      <w:r w:rsidR="007B2BF7">
        <w:rPr>
          <w:color w:val="auto"/>
        </w:rPr>
        <w:t xml:space="preserve">student </w:t>
      </w:r>
      <w:r w:rsidRPr="0069506B">
        <w:rPr>
          <w:color w:val="auto"/>
        </w:rPr>
        <w:t>attendance</w:t>
      </w:r>
    </w:p>
    <w:p w14:paraId="6B11E68B" w14:textId="609B605B" w:rsidR="0077638F" w:rsidRPr="0069506B" w:rsidRDefault="0077638F" w:rsidP="00DF5451">
      <w:pPr>
        <w:pStyle w:val="ListParagraph"/>
        <w:numPr>
          <w:ilvl w:val="0"/>
          <w:numId w:val="21"/>
        </w:numPr>
        <w:spacing w:after="240"/>
        <w:rPr>
          <w:color w:val="auto"/>
        </w:rPr>
      </w:pPr>
      <w:r w:rsidRPr="0069506B">
        <w:rPr>
          <w:color w:val="auto"/>
        </w:rPr>
        <w:t xml:space="preserve">Support for </w:t>
      </w:r>
      <w:r w:rsidR="007B2BF7">
        <w:rPr>
          <w:color w:val="auto"/>
        </w:rPr>
        <w:t xml:space="preserve">a </w:t>
      </w:r>
      <w:r w:rsidRPr="0069506B">
        <w:rPr>
          <w:color w:val="auto"/>
        </w:rPr>
        <w:t xml:space="preserve">blind and </w:t>
      </w:r>
      <w:r w:rsidR="003976C9" w:rsidRPr="0069506B">
        <w:rPr>
          <w:color w:val="auto"/>
        </w:rPr>
        <w:t>low</w:t>
      </w:r>
      <w:r w:rsidR="003976C9">
        <w:rPr>
          <w:color w:val="auto"/>
        </w:rPr>
        <w:t>-</w:t>
      </w:r>
      <w:r w:rsidRPr="0069506B">
        <w:rPr>
          <w:color w:val="auto"/>
        </w:rPr>
        <w:t>vision student</w:t>
      </w:r>
      <w:r w:rsidR="007B2BF7">
        <w:rPr>
          <w:color w:val="auto"/>
        </w:rPr>
        <w:t xml:space="preserve"> – the </w:t>
      </w:r>
      <w:r w:rsidR="007B2BF7" w:rsidRPr="00D939DA">
        <w:rPr>
          <w:i/>
          <w:iCs/>
          <w:color w:val="auto"/>
        </w:rPr>
        <w:t>TAPQE STORY OF CHANGE: The Impacts of the Braille Machine on Toko Simona</w:t>
      </w:r>
    </w:p>
    <w:p w14:paraId="28C64E05" w14:textId="2664144D" w:rsidR="0077638F" w:rsidRPr="0069506B" w:rsidRDefault="00BD26F1" w:rsidP="00DF5451">
      <w:pPr>
        <w:pStyle w:val="ListParagraph"/>
        <w:numPr>
          <w:ilvl w:val="0"/>
          <w:numId w:val="21"/>
        </w:numPr>
        <w:spacing w:after="240"/>
        <w:rPr>
          <w:color w:val="auto"/>
        </w:rPr>
      </w:pPr>
      <w:r>
        <w:rPr>
          <w:color w:val="auto"/>
        </w:rPr>
        <w:t xml:space="preserve">Provision of resources and teacher training for the </w:t>
      </w:r>
      <w:r w:rsidRPr="00E217C6">
        <w:rPr>
          <w:color w:val="auto"/>
        </w:rPr>
        <w:t>Aofiaga Inclusive Education Centre at Nauti Primary School</w:t>
      </w:r>
      <w:r w:rsidRPr="00BD26F1">
        <w:rPr>
          <w:color w:val="auto"/>
        </w:rPr>
        <w:t xml:space="preserve"> </w:t>
      </w:r>
      <w:r w:rsidR="0077638F" w:rsidRPr="0069506B">
        <w:rPr>
          <w:color w:val="auto"/>
        </w:rPr>
        <w:t>Support</w:t>
      </w:r>
    </w:p>
    <w:p w14:paraId="5AABE277" w14:textId="3C00FA4D" w:rsidR="0077638F" w:rsidRPr="0069506B" w:rsidRDefault="0077638F" w:rsidP="00DF5451">
      <w:pPr>
        <w:pStyle w:val="ListParagraph"/>
        <w:numPr>
          <w:ilvl w:val="0"/>
          <w:numId w:val="21"/>
        </w:numPr>
        <w:spacing w:after="240"/>
        <w:rPr>
          <w:color w:val="auto"/>
        </w:rPr>
      </w:pPr>
      <w:r w:rsidRPr="0069506B">
        <w:rPr>
          <w:color w:val="auto"/>
        </w:rPr>
        <w:t>Public awareness campaign</w:t>
      </w:r>
      <w:r w:rsidR="008C02D5">
        <w:rPr>
          <w:color w:val="auto"/>
        </w:rPr>
        <w:t xml:space="preserve"> via the </w:t>
      </w:r>
      <w:r w:rsidRPr="0069506B">
        <w:rPr>
          <w:color w:val="auto"/>
        </w:rPr>
        <w:t>radio program to address community and parental hesitancy about sending students to school</w:t>
      </w:r>
    </w:p>
    <w:p w14:paraId="0F1BE878" w14:textId="3B4B97E0" w:rsidR="0077638F" w:rsidRPr="0069506B" w:rsidRDefault="0077638F" w:rsidP="00DF5451">
      <w:pPr>
        <w:pStyle w:val="ListParagraph"/>
        <w:numPr>
          <w:ilvl w:val="0"/>
          <w:numId w:val="21"/>
        </w:numPr>
        <w:spacing w:after="240"/>
        <w:rPr>
          <w:color w:val="auto"/>
        </w:rPr>
      </w:pPr>
      <w:r w:rsidRPr="0069506B">
        <w:rPr>
          <w:color w:val="auto"/>
        </w:rPr>
        <w:t>New resources developed to respond to new situations e.g. GEDSI and climate change</w:t>
      </w:r>
    </w:p>
    <w:p w14:paraId="5DD53411" w14:textId="294269FC" w:rsidR="001D75D7" w:rsidRDefault="007922CC" w:rsidP="00DF5451">
      <w:pPr>
        <w:keepNext/>
        <w:spacing w:after="240"/>
        <w:rPr>
          <w:color w:val="auto"/>
        </w:rPr>
      </w:pPr>
      <w:r>
        <w:rPr>
          <w:color w:val="auto"/>
        </w:rPr>
        <w:t>T</w:t>
      </w:r>
      <w:r w:rsidR="00773FE1">
        <w:rPr>
          <w:color w:val="auto"/>
        </w:rPr>
        <w:t xml:space="preserve">here is some evidence of </w:t>
      </w:r>
      <w:r w:rsidR="008D5F2F">
        <w:rPr>
          <w:color w:val="auto"/>
        </w:rPr>
        <w:t>‘</w:t>
      </w:r>
      <w:r w:rsidR="00773FE1">
        <w:rPr>
          <w:color w:val="auto"/>
        </w:rPr>
        <w:t>green shoots</w:t>
      </w:r>
      <w:r w:rsidR="008D5F2F">
        <w:rPr>
          <w:color w:val="auto"/>
        </w:rPr>
        <w:t>’ in relation to delivery of inclusive education</w:t>
      </w:r>
      <w:r w:rsidR="001D75D7">
        <w:rPr>
          <w:color w:val="auto"/>
        </w:rPr>
        <w:t>. For example:</w:t>
      </w:r>
    </w:p>
    <w:p w14:paraId="2A2A0324" w14:textId="75430811" w:rsidR="00125742" w:rsidRDefault="001D75D7" w:rsidP="00DF5451">
      <w:pPr>
        <w:pStyle w:val="ListParagraph"/>
        <w:numPr>
          <w:ilvl w:val="0"/>
          <w:numId w:val="21"/>
        </w:numPr>
        <w:spacing w:after="240"/>
        <w:rPr>
          <w:color w:val="auto"/>
        </w:rPr>
      </w:pPr>
      <w:r w:rsidRPr="0069506B">
        <w:rPr>
          <w:color w:val="auto"/>
        </w:rPr>
        <w:t xml:space="preserve">100% of ECCE and 27% of primary/secondary teachers have undertaken inclusive education professional development (see </w:t>
      </w:r>
      <w:r w:rsidR="000631D6" w:rsidRPr="00D939DA">
        <w:rPr>
          <w:i/>
          <w:iCs/>
          <w:color w:val="auto"/>
        </w:rPr>
        <w:t>2024 (draft) TAPQE Annual Report</w:t>
      </w:r>
      <w:r w:rsidR="000631D6">
        <w:rPr>
          <w:i/>
          <w:iCs/>
          <w:color w:val="auto"/>
        </w:rPr>
        <w:t xml:space="preserve"> </w:t>
      </w:r>
      <w:r w:rsidR="000631D6" w:rsidRPr="00A9645C">
        <w:rPr>
          <w:color w:val="auto"/>
        </w:rPr>
        <w:t>Annex 1</w:t>
      </w:r>
      <w:r w:rsidR="003F2661">
        <w:rPr>
          <w:color w:val="auto"/>
        </w:rPr>
        <w:t xml:space="preserve"> </w:t>
      </w:r>
      <w:r w:rsidR="006D4926" w:rsidRPr="003F2661">
        <w:rPr>
          <w:color w:val="auto"/>
        </w:rPr>
        <w:t>TAPQE</w:t>
      </w:r>
      <w:r w:rsidR="006D4926">
        <w:rPr>
          <w:color w:val="auto"/>
        </w:rPr>
        <w:t xml:space="preserve"> </w:t>
      </w:r>
      <w:r w:rsidRPr="0069506B">
        <w:rPr>
          <w:color w:val="auto"/>
        </w:rPr>
        <w:t>Evidence Table, EOPO 1, 1.7</w:t>
      </w:r>
      <w:r w:rsidR="000631D6">
        <w:rPr>
          <w:color w:val="auto"/>
        </w:rPr>
        <w:t>,</w:t>
      </w:r>
      <w:r w:rsidRPr="0069506B">
        <w:rPr>
          <w:color w:val="auto"/>
        </w:rPr>
        <w:t>)</w:t>
      </w:r>
    </w:p>
    <w:p w14:paraId="2924C146" w14:textId="337194E2" w:rsidR="00D84745" w:rsidRPr="0069506B" w:rsidRDefault="00125742" w:rsidP="00DF5451">
      <w:pPr>
        <w:pStyle w:val="ListParagraph"/>
        <w:numPr>
          <w:ilvl w:val="0"/>
          <w:numId w:val="21"/>
        </w:numPr>
        <w:spacing w:after="240"/>
        <w:rPr>
          <w:color w:val="auto"/>
        </w:rPr>
      </w:pPr>
      <w:r w:rsidRPr="00D84745">
        <w:rPr>
          <w:color w:val="auto"/>
        </w:rPr>
        <w:t>33.3% of schools as of December 2024 are implementing some level of inclusive education strategies seeing an increase of 20% as of December 2023 (see Evidence Table-Appendix 1, EOPO1, 1.8)</w:t>
      </w:r>
    </w:p>
    <w:p w14:paraId="49AA1F41" w14:textId="43CC7433" w:rsidR="00126891" w:rsidRDefault="0077638F" w:rsidP="00DF5451">
      <w:pPr>
        <w:pStyle w:val="ListParagraph"/>
        <w:numPr>
          <w:ilvl w:val="0"/>
          <w:numId w:val="21"/>
        </w:numPr>
        <w:spacing w:after="240"/>
        <w:rPr>
          <w:color w:val="auto"/>
        </w:rPr>
      </w:pPr>
      <w:r w:rsidRPr="006729B2">
        <w:rPr>
          <w:color w:val="auto"/>
        </w:rPr>
        <w:t xml:space="preserve">existence of inclusive education policy and plan </w:t>
      </w:r>
      <w:r w:rsidR="003976C9">
        <w:rPr>
          <w:color w:val="auto"/>
        </w:rPr>
        <w:t xml:space="preserve">and </w:t>
      </w:r>
      <w:r w:rsidRPr="006729B2">
        <w:rPr>
          <w:color w:val="auto"/>
        </w:rPr>
        <w:t>availability of data relating to students with disabilities attending school (see Evidence Table-Appendix 1, EOPO 1, 1.7)</w:t>
      </w:r>
      <w:r w:rsidR="00556889">
        <w:rPr>
          <w:color w:val="auto"/>
        </w:rPr>
        <w:t>.</w:t>
      </w:r>
    </w:p>
    <w:p w14:paraId="55605C8A" w14:textId="199BCC62" w:rsidR="0077638F" w:rsidRDefault="0054435F" w:rsidP="00DF5451">
      <w:pPr>
        <w:spacing w:after="240"/>
      </w:pPr>
      <w:r>
        <w:t xml:space="preserve">However, in the absence of </w:t>
      </w:r>
      <w:proofErr w:type="gramStart"/>
      <w:r>
        <w:t>a baseline</w:t>
      </w:r>
      <w:proofErr w:type="gramEnd"/>
      <w:r>
        <w:t xml:space="preserve"> </w:t>
      </w:r>
      <w:r w:rsidR="003E7F85">
        <w:t xml:space="preserve">it is hard to </w:t>
      </w:r>
      <w:r w:rsidR="00D844B5">
        <w:t>g</w:t>
      </w:r>
      <w:r w:rsidR="003E7F85">
        <w:t>auge how much of this has happened since TAPQE’s commencement.</w:t>
      </w:r>
    </w:p>
    <w:p w14:paraId="69132E8E" w14:textId="76B972E8" w:rsidR="00606173" w:rsidRPr="0069506B" w:rsidRDefault="00805C19" w:rsidP="00DF5451">
      <w:pPr>
        <w:pStyle w:val="ListParagraph"/>
        <w:keepNext/>
        <w:numPr>
          <w:ilvl w:val="0"/>
          <w:numId w:val="8"/>
        </w:numPr>
        <w:spacing w:after="240"/>
        <w:ind w:left="425" w:hanging="425"/>
        <w:rPr>
          <w:rStyle w:val="SubtleEmphasis"/>
        </w:rPr>
      </w:pPr>
      <w:r w:rsidRPr="0069506B">
        <w:rPr>
          <w:rStyle w:val="SubtleEmphasis"/>
        </w:rPr>
        <w:t>To what extent have the Program’s climate change activities been effective?</w:t>
      </w:r>
    </w:p>
    <w:p w14:paraId="5D314ED6" w14:textId="59F5D095" w:rsidR="00E17E46" w:rsidRDefault="0086139A" w:rsidP="00DF5451">
      <w:pPr>
        <w:spacing w:after="240"/>
      </w:pPr>
      <w:r>
        <w:t>Whi</w:t>
      </w:r>
      <w:r w:rsidR="00D6703B">
        <w:t xml:space="preserve">le the TAPQE Program’s EOPOs and IOs do not include specific reference to Climate Change, because the </w:t>
      </w:r>
      <w:r w:rsidR="006623A9">
        <w:t xml:space="preserve">design of the Program precedes </w:t>
      </w:r>
      <w:r w:rsidR="008244B0">
        <w:t>DFAT’s current International Development Policy</w:t>
      </w:r>
      <w:r w:rsidR="001F607C">
        <w:t>, the TAPQE Program has incorporated Climate Change alongside GEDSI in i</w:t>
      </w:r>
      <w:r w:rsidR="00E17E46">
        <w:t xml:space="preserve">ts </w:t>
      </w:r>
      <w:r w:rsidR="001F607C">
        <w:t>planning and reporting.</w:t>
      </w:r>
      <w:r w:rsidR="004F10DB">
        <w:t xml:space="preserve"> The Tuvalu context makes this a </w:t>
      </w:r>
      <w:r w:rsidR="00837C01">
        <w:t xml:space="preserve">natural and very relevant inclusion. </w:t>
      </w:r>
    </w:p>
    <w:p w14:paraId="63A75E5B" w14:textId="27995C41" w:rsidR="0088440A" w:rsidRDefault="00E17E46" w:rsidP="00DF5451">
      <w:pPr>
        <w:spacing w:after="240"/>
      </w:pPr>
      <w:r>
        <w:t>As with previous discussion</w:t>
      </w:r>
      <w:r w:rsidR="00DD676E">
        <w:t>, i</w:t>
      </w:r>
      <w:r w:rsidR="0088440A">
        <w:t>n the absence of baseline and associated progress data</w:t>
      </w:r>
      <w:r w:rsidR="001463DD">
        <w:t>,</w:t>
      </w:r>
      <w:r w:rsidR="0088440A">
        <w:t xml:space="preserve"> it is </w:t>
      </w:r>
      <w:r w:rsidR="0088440A" w:rsidRPr="005E77D5">
        <w:rPr>
          <w:b/>
          <w:bCs/>
        </w:rPr>
        <w:t>not possible to make an objective judgement on the extent to which the Program’s Climate Change activities have been effective</w:t>
      </w:r>
      <w:r w:rsidR="0088440A">
        <w:t xml:space="preserve">. </w:t>
      </w:r>
    </w:p>
    <w:p w14:paraId="26DBB45C" w14:textId="77777777" w:rsidR="0088440A" w:rsidRDefault="0088440A" w:rsidP="00DF5451">
      <w:pPr>
        <w:spacing w:after="240"/>
        <w:rPr>
          <w:color w:val="auto"/>
        </w:rPr>
      </w:pPr>
    </w:p>
    <w:p w14:paraId="55A2E518" w14:textId="1BDE5A72" w:rsidR="0088440A" w:rsidRDefault="00397711" w:rsidP="00DF5451">
      <w:pPr>
        <w:spacing w:after="240"/>
        <w:rPr>
          <w:color w:val="auto"/>
        </w:rPr>
      </w:pPr>
      <w:r>
        <w:rPr>
          <w:color w:val="auto"/>
        </w:rPr>
        <w:lastRenderedPageBreak/>
        <w:t>E</w:t>
      </w:r>
      <w:r w:rsidR="000E3EA2">
        <w:rPr>
          <w:color w:val="auto"/>
        </w:rPr>
        <w:t>xamples</w:t>
      </w:r>
      <w:r w:rsidR="0088440A">
        <w:rPr>
          <w:color w:val="auto"/>
        </w:rPr>
        <w:t xml:space="preserve"> of </w:t>
      </w:r>
      <w:r w:rsidR="00BF28E2">
        <w:rPr>
          <w:color w:val="auto"/>
        </w:rPr>
        <w:t xml:space="preserve">Climate Change </w:t>
      </w:r>
      <w:r w:rsidR="0088440A">
        <w:rPr>
          <w:color w:val="auto"/>
        </w:rPr>
        <w:t xml:space="preserve">activities and associated outputs and progress </w:t>
      </w:r>
      <w:r w:rsidR="003F2661">
        <w:rPr>
          <w:color w:val="auto"/>
        </w:rPr>
        <w:t>are</w:t>
      </w:r>
      <w:r w:rsidR="0088440A">
        <w:rPr>
          <w:color w:val="auto"/>
        </w:rPr>
        <w:t xml:space="preserve"> provided in the body</w:t>
      </w:r>
      <w:r w:rsidR="000D04E1">
        <w:rPr>
          <w:color w:val="auto"/>
        </w:rPr>
        <w:t xml:space="preserve"> of the </w:t>
      </w:r>
      <w:r w:rsidR="0088440A" w:rsidRPr="00D939DA">
        <w:rPr>
          <w:i/>
          <w:iCs/>
          <w:color w:val="auto"/>
        </w:rPr>
        <w:t>2024 (draft) TAPQE Annual Report</w:t>
      </w:r>
      <w:r w:rsidR="0088440A">
        <w:rPr>
          <w:color w:val="auto"/>
        </w:rPr>
        <w:t xml:space="preserve"> (p.5) and</w:t>
      </w:r>
      <w:r w:rsidR="00010683">
        <w:rPr>
          <w:color w:val="auto"/>
        </w:rPr>
        <w:t xml:space="preserve"> </w:t>
      </w:r>
      <w:r w:rsidR="00294D8E">
        <w:rPr>
          <w:color w:val="auto"/>
        </w:rPr>
        <w:t>Annexes.</w:t>
      </w:r>
      <w:r w:rsidR="0088440A">
        <w:rPr>
          <w:color w:val="auto"/>
        </w:rPr>
        <w:t xml:space="preserve"> </w:t>
      </w:r>
      <w:r w:rsidR="00D60B59">
        <w:rPr>
          <w:color w:val="auto"/>
        </w:rPr>
        <w:t xml:space="preserve">These </w:t>
      </w:r>
      <w:r w:rsidR="0088440A">
        <w:rPr>
          <w:color w:val="auto"/>
        </w:rPr>
        <w:t>include:</w:t>
      </w:r>
    </w:p>
    <w:p w14:paraId="4E5742FC" w14:textId="1A95F305" w:rsidR="00FE04A3" w:rsidRPr="0069506B" w:rsidRDefault="00650631" w:rsidP="00DF5451">
      <w:pPr>
        <w:pStyle w:val="ListParagraph"/>
        <w:numPr>
          <w:ilvl w:val="0"/>
          <w:numId w:val="21"/>
        </w:numPr>
        <w:spacing w:after="240"/>
        <w:rPr>
          <w:color w:val="auto"/>
        </w:rPr>
      </w:pPr>
      <w:r>
        <w:rPr>
          <w:color w:val="auto"/>
        </w:rPr>
        <w:t xml:space="preserve">The story of change - </w:t>
      </w:r>
      <w:r w:rsidRPr="0069506B">
        <w:rPr>
          <w:i/>
          <w:iCs/>
          <w:color w:val="auto"/>
        </w:rPr>
        <w:t>TAPQE – The magical significance of Climate Change practical and engaging activities</w:t>
      </w:r>
      <w:r>
        <w:rPr>
          <w:color w:val="auto"/>
        </w:rPr>
        <w:t xml:space="preserve"> - </w:t>
      </w:r>
      <w:r w:rsidR="00FE04A3" w:rsidRPr="0069506B">
        <w:rPr>
          <w:color w:val="auto"/>
        </w:rPr>
        <w:t>Annex 5</w:t>
      </w:r>
      <w:r>
        <w:rPr>
          <w:color w:val="auto"/>
        </w:rPr>
        <w:t xml:space="preserve">. </w:t>
      </w:r>
      <w:r w:rsidR="00A04556">
        <w:rPr>
          <w:color w:val="auto"/>
        </w:rPr>
        <w:t xml:space="preserve">This story of change recounted </w:t>
      </w:r>
      <w:r w:rsidR="007F7CF7">
        <w:rPr>
          <w:color w:val="auto"/>
        </w:rPr>
        <w:t>the conduct of workshops for primary and secondary school teachers</w:t>
      </w:r>
      <w:r w:rsidR="00244392">
        <w:rPr>
          <w:color w:val="auto"/>
        </w:rPr>
        <w:t xml:space="preserve"> which </w:t>
      </w:r>
      <w:r w:rsidR="00010683">
        <w:rPr>
          <w:color w:val="auto"/>
        </w:rPr>
        <w:t xml:space="preserve">aimed </w:t>
      </w:r>
      <w:r w:rsidR="00010683" w:rsidRPr="0069506B">
        <w:rPr>
          <w:color w:val="auto"/>
        </w:rPr>
        <w:t>to</w:t>
      </w:r>
      <w:r w:rsidR="00FE04A3" w:rsidRPr="0069506B">
        <w:rPr>
          <w:color w:val="auto"/>
        </w:rPr>
        <w:t xml:space="preserve"> enhance teachers' knowledge of climate change topics and integrate climate change into science and social science curricula.</w:t>
      </w:r>
      <w:r w:rsidR="00244392">
        <w:rPr>
          <w:color w:val="auto"/>
        </w:rPr>
        <w:t xml:space="preserve"> As a result of the workshops</w:t>
      </w:r>
      <w:r w:rsidR="001463DD">
        <w:rPr>
          <w:color w:val="auto"/>
        </w:rPr>
        <w:t>,</w:t>
      </w:r>
      <w:r w:rsidR="00244392">
        <w:rPr>
          <w:color w:val="auto"/>
        </w:rPr>
        <w:t xml:space="preserve"> a Science and Climate </w:t>
      </w:r>
      <w:r w:rsidR="000B0AE3">
        <w:rPr>
          <w:color w:val="auto"/>
        </w:rPr>
        <w:t>network has been established to enable teachers to work collaboratively and share their knowledge and experiences.</w:t>
      </w:r>
    </w:p>
    <w:p w14:paraId="2DFDAC23" w14:textId="1592AD02" w:rsidR="00FE04A3" w:rsidRPr="0069506B" w:rsidRDefault="00A7499F" w:rsidP="00DF5451">
      <w:pPr>
        <w:pStyle w:val="ListParagraph"/>
        <w:numPr>
          <w:ilvl w:val="0"/>
          <w:numId w:val="21"/>
        </w:numPr>
        <w:spacing w:after="240"/>
        <w:rPr>
          <w:color w:val="auto"/>
        </w:rPr>
      </w:pPr>
      <w:r>
        <w:rPr>
          <w:color w:val="auto"/>
        </w:rPr>
        <w:t xml:space="preserve">Conduct activities to </w:t>
      </w:r>
      <w:r w:rsidR="005F4777">
        <w:rPr>
          <w:color w:val="auto"/>
        </w:rPr>
        <w:t xml:space="preserve">review the science and social science curriculum and to incorporate Climate Change </w:t>
      </w:r>
      <w:r w:rsidR="00E02E1E">
        <w:rPr>
          <w:color w:val="auto"/>
        </w:rPr>
        <w:t xml:space="preserve">learning outcomes. </w:t>
      </w:r>
      <w:r w:rsidR="00FE04A3" w:rsidRPr="0069506B">
        <w:rPr>
          <w:color w:val="auto"/>
        </w:rPr>
        <w:t xml:space="preserve">Annex 6 – Progress against </w:t>
      </w:r>
      <w:r w:rsidR="00010683">
        <w:rPr>
          <w:color w:val="auto"/>
        </w:rPr>
        <w:t>E</w:t>
      </w:r>
      <w:r w:rsidR="00FE04A3" w:rsidRPr="0069506B">
        <w:rPr>
          <w:color w:val="auto"/>
        </w:rPr>
        <w:t xml:space="preserve">nd of </w:t>
      </w:r>
      <w:r w:rsidR="00010683">
        <w:rPr>
          <w:color w:val="auto"/>
        </w:rPr>
        <w:t>P</w:t>
      </w:r>
      <w:r w:rsidR="00010683" w:rsidRPr="0069506B">
        <w:rPr>
          <w:color w:val="auto"/>
        </w:rPr>
        <w:t>rogram</w:t>
      </w:r>
      <w:r w:rsidR="00FE04A3" w:rsidRPr="0069506B">
        <w:rPr>
          <w:color w:val="auto"/>
        </w:rPr>
        <w:t xml:space="preserve"> </w:t>
      </w:r>
      <w:r w:rsidR="00010683">
        <w:rPr>
          <w:color w:val="auto"/>
        </w:rPr>
        <w:t>O</w:t>
      </w:r>
      <w:r w:rsidR="00FE04A3" w:rsidRPr="0069506B">
        <w:rPr>
          <w:color w:val="auto"/>
        </w:rPr>
        <w:t>utcome: Activity 2.1.3</w:t>
      </w:r>
      <w:r w:rsidR="00E02E1E">
        <w:rPr>
          <w:color w:val="auto"/>
        </w:rPr>
        <w:t>.</w:t>
      </w:r>
      <w:r w:rsidR="00FE04A3" w:rsidRPr="0069506B">
        <w:rPr>
          <w:color w:val="auto"/>
        </w:rPr>
        <w:t xml:space="preserve"> </w:t>
      </w:r>
    </w:p>
    <w:p w14:paraId="506C1DE0" w14:textId="433619E7" w:rsidR="00FE04A3" w:rsidRPr="0069506B" w:rsidRDefault="002948EB" w:rsidP="00DF5451">
      <w:pPr>
        <w:pStyle w:val="ListParagraph"/>
        <w:numPr>
          <w:ilvl w:val="0"/>
          <w:numId w:val="21"/>
        </w:numPr>
        <w:spacing w:after="240"/>
        <w:rPr>
          <w:color w:val="auto"/>
        </w:rPr>
      </w:pPr>
      <w:r>
        <w:rPr>
          <w:color w:val="auto"/>
        </w:rPr>
        <w:t xml:space="preserve">Three radio programs focusing on </w:t>
      </w:r>
      <w:r w:rsidR="00A007A6">
        <w:rPr>
          <w:color w:val="auto"/>
        </w:rPr>
        <w:t>climate change education – Annex 6: Activity</w:t>
      </w:r>
      <w:r w:rsidR="003903DD">
        <w:rPr>
          <w:color w:val="auto"/>
        </w:rPr>
        <w:t xml:space="preserve"> 1.5.2</w:t>
      </w:r>
      <w:r w:rsidR="00A007A6">
        <w:rPr>
          <w:color w:val="auto"/>
        </w:rPr>
        <w:t xml:space="preserve"> </w:t>
      </w:r>
    </w:p>
    <w:p w14:paraId="4DADB095" w14:textId="77777777" w:rsidR="00C30367" w:rsidRDefault="00C30367" w:rsidP="00430E97">
      <w:pPr>
        <w:pStyle w:val="Heading2"/>
      </w:pPr>
      <w:bookmarkStart w:id="14" w:name="_Toc209431950"/>
      <w:r>
        <w:t>Efficiency</w:t>
      </w:r>
      <w:bookmarkEnd w:id="14"/>
    </w:p>
    <w:p w14:paraId="173D2800" w14:textId="10177EF1" w:rsidR="00402A92" w:rsidRDefault="00402A92" w:rsidP="00005956">
      <w:pPr>
        <w:pStyle w:val="Subtitle"/>
        <w:numPr>
          <w:ilvl w:val="0"/>
          <w:numId w:val="6"/>
        </w:numPr>
      </w:pPr>
      <w:r>
        <w:t>To what extent is the TAPQE Program using resources efficiently to achieve its End of Program Outcomes?</w:t>
      </w:r>
    </w:p>
    <w:p w14:paraId="2DB5380A" w14:textId="77777777" w:rsidR="00D37839" w:rsidRPr="0039652F" w:rsidRDefault="00D37839" w:rsidP="00DF5451">
      <w:pPr>
        <w:spacing w:after="240"/>
        <w:rPr>
          <w:b/>
          <w:bCs/>
        </w:rPr>
      </w:pPr>
      <w:r w:rsidRPr="0039652F">
        <w:rPr>
          <w:b/>
          <w:bCs/>
        </w:rPr>
        <w:t>Summary response to the</w:t>
      </w:r>
      <w:r>
        <w:rPr>
          <w:b/>
          <w:bCs/>
        </w:rPr>
        <w:t xml:space="preserve"> ‘efficiency’</w:t>
      </w:r>
      <w:r w:rsidRPr="0039652F">
        <w:rPr>
          <w:b/>
          <w:bCs/>
        </w:rPr>
        <w:t xml:space="preserve"> review question</w:t>
      </w:r>
    </w:p>
    <w:p w14:paraId="1C339D65" w14:textId="77777777" w:rsidR="00D37839" w:rsidRDefault="00D37839" w:rsidP="00DF5451">
      <w:pPr>
        <w:spacing w:after="240"/>
      </w:pPr>
      <w:r>
        <w:t xml:space="preserve">The TAPQE Program has </w:t>
      </w:r>
      <w:r w:rsidRPr="005E77D5">
        <w:rPr>
          <w:b/>
          <w:bCs/>
        </w:rPr>
        <w:t>governance and management arrangements in place</w:t>
      </w:r>
      <w:r>
        <w:t xml:space="preserve"> that provide opportunities to plan for and monitor the economic and timely delivery of program activities and ensure efficient use of Program resources. </w:t>
      </w:r>
    </w:p>
    <w:p w14:paraId="79015F2D" w14:textId="77777777" w:rsidR="00D37839" w:rsidRDefault="00D37839" w:rsidP="00DF5451">
      <w:pPr>
        <w:spacing w:after="240"/>
      </w:pPr>
      <w:r>
        <w:t xml:space="preserve">However, based on information and data available to the MTR team the </w:t>
      </w:r>
      <w:r w:rsidRPr="00A9645C">
        <w:rPr>
          <w:b/>
          <w:bCs/>
        </w:rPr>
        <w:t>frequency of convening or effectiveness of these mechanisms is not clear</w:t>
      </w:r>
      <w:r>
        <w:t>. Further, based on matters discussed in the 2023 and 2024 Annual Reports it is possible to conclude that while issues are raised and reported there is no assurance that they will be taken up in planning.</w:t>
      </w:r>
    </w:p>
    <w:p w14:paraId="462E81AC" w14:textId="77777777" w:rsidR="00D37839" w:rsidRDefault="00D37839" w:rsidP="00DF5451">
      <w:pPr>
        <w:spacing w:after="240"/>
      </w:pPr>
      <w:r>
        <w:t xml:space="preserve">In addition, possibly due to the current lack of program performance data, it is not clear if the TAPQE Program is undertaking financial analysis of budget category expenditure against outcome level progress. </w:t>
      </w:r>
    </w:p>
    <w:p w14:paraId="2C47A33F" w14:textId="5FECE9FD" w:rsidR="00BD5F72" w:rsidRDefault="00D37839" w:rsidP="00DF5451">
      <w:pPr>
        <w:spacing w:after="240"/>
      </w:pPr>
      <w:r>
        <w:t xml:space="preserve">While the Program has governance and management arrangements in place to focus on efficient use of resources it is </w:t>
      </w:r>
      <w:r w:rsidRPr="00172D94">
        <w:rPr>
          <w:b/>
          <w:bCs/>
        </w:rPr>
        <w:t>not evident that judgements can be made about efficiency</w:t>
      </w:r>
      <w:r>
        <w:t>.</w:t>
      </w:r>
    </w:p>
    <w:p w14:paraId="0A672AF1" w14:textId="77777777" w:rsidR="008663C8" w:rsidRPr="0069506B" w:rsidRDefault="00402A92" w:rsidP="00DF5451">
      <w:pPr>
        <w:pStyle w:val="ListParagraph"/>
        <w:keepNext/>
        <w:numPr>
          <w:ilvl w:val="0"/>
          <w:numId w:val="9"/>
        </w:numPr>
        <w:spacing w:after="240"/>
        <w:ind w:left="425" w:hanging="425"/>
        <w:rPr>
          <w:rStyle w:val="SubtleEmphasis"/>
        </w:rPr>
      </w:pPr>
      <w:r w:rsidRPr="0069506B">
        <w:rPr>
          <w:rStyle w:val="SubtleEmphasis"/>
        </w:rPr>
        <w:t>How does the Program plan for and monitor the economic and timely delivery of program activities?</w:t>
      </w:r>
    </w:p>
    <w:p w14:paraId="2E61CB76" w14:textId="047095D0" w:rsidR="0019653F" w:rsidRDefault="0019653F" w:rsidP="00DF5451">
      <w:pPr>
        <w:spacing w:after="240"/>
      </w:pPr>
      <w:r w:rsidRPr="0019653F">
        <w:t xml:space="preserve">The Tuvalu and Australia Partnership for Quality Education Steering Group </w:t>
      </w:r>
      <w:r>
        <w:t xml:space="preserve">Terms of Reference state that the </w:t>
      </w:r>
      <w:r w:rsidR="00C67321">
        <w:t>STEERING GROUP</w:t>
      </w:r>
      <w:r w:rsidR="007873D7">
        <w:t xml:space="preserve"> ‘</w:t>
      </w:r>
      <w:r w:rsidRPr="0019653F">
        <w:t xml:space="preserve">will provide high level oversight and governance of the Tuvalu Education Program. It will be a forum to discuss activity performance, emerging issues and implementation risks, strategic direction, and will be a mechanism for regulating high level operational priorities to align TAPQE with strategic </w:t>
      </w:r>
      <w:proofErr w:type="gramStart"/>
      <w:r w:rsidRPr="0019653F">
        <w:t>outcomes</w:t>
      </w:r>
      <w:r w:rsidR="007873D7">
        <w:t>’</w:t>
      </w:r>
      <w:proofErr w:type="gramEnd"/>
      <w:r w:rsidR="007873D7">
        <w:t>.</w:t>
      </w:r>
    </w:p>
    <w:p w14:paraId="761E18D3" w14:textId="0DC9C301" w:rsidR="007873D7" w:rsidRDefault="00FC33AD" w:rsidP="00DF5451">
      <w:pPr>
        <w:spacing w:after="240"/>
      </w:pPr>
      <w:r>
        <w:t xml:space="preserve">Based on </w:t>
      </w:r>
      <w:r w:rsidR="000B60D6" w:rsidRPr="006E2D5E">
        <w:rPr>
          <w:i/>
          <w:iCs/>
        </w:rPr>
        <w:t xml:space="preserve">TAPQE’s </w:t>
      </w:r>
      <w:r w:rsidRPr="006E2D5E">
        <w:rPr>
          <w:i/>
          <w:iCs/>
        </w:rPr>
        <w:t>2023 Annual Repor</w:t>
      </w:r>
      <w:r w:rsidR="000B60D6" w:rsidRPr="006E2D5E">
        <w:rPr>
          <w:i/>
          <w:iCs/>
        </w:rPr>
        <w:t>t</w:t>
      </w:r>
      <w:r>
        <w:t xml:space="preserve"> and </w:t>
      </w:r>
      <w:r w:rsidRPr="006E2D5E">
        <w:rPr>
          <w:i/>
          <w:iCs/>
        </w:rPr>
        <w:t xml:space="preserve">2024 (draft) </w:t>
      </w:r>
      <w:r w:rsidR="006E2D5E">
        <w:rPr>
          <w:i/>
          <w:iCs/>
        </w:rPr>
        <w:t xml:space="preserve">TAPQE </w:t>
      </w:r>
      <w:r w:rsidRPr="006E2D5E">
        <w:rPr>
          <w:i/>
          <w:iCs/>
        </w:rPr>
        <w:t xml:space="preserve">Annual </w:t>
      </w:r>
      <w:r w:rsidR="000B60D6" w:rsidRPr="006E2D5E">
        <w:rPr>
          <w:i/>
          <w:iCs/>
        </w:rPr>
        <w:t>Report</w:t>
      </w:r>
      <w:r w:rsidR="000B60D6">
        <w:t xml:space="preserve">, the </w:t>
      </w:r>
      <w:r w:rsidR="00F81354">
        <w:t>SG</w:t>
      </w:r>
      <w:r w:rsidR="0028088C">
        <w:t xml:space="preserve"> met twice in </w:t>
      </w:r>
      <w:r w:rsidR="002E2841">
        <w:t xml:space="preserve">2023 and twice in </w:t>
      </w:r>
      <w:r w:rsidR="00686A86">
        <w:t xml:space="preserve">2024 (with the </w:t>
      </w:r>
      <w:r w:rsidR="00D6077C">
        <w:t>third (</w:t>
      </w:r>
      <w:r w:rsidR="00686A86">
        <w:t>October</w:t>
      </w:r>
      <w:r w:rsidR="00D6077C">
        <w:t>)</w:t>
      </w:r>
      <w:r w:rsidR="00686A86">
        <w:t xml:space="preserve"> meeting postponed until 202</w:t>
      </w:r>
      <w:r w:rsidR="001A6921">
        <w:t>5)</w:t>
      </w:r>
      <w:r w:rsidR="002E2841">
        <w:t>.</w:t>
      </w:r>
      <w:r w:rsidR="00681E80">
        <w:t xml:space="preserve"> A review of the agenda and minutes of these </w:t>
      </w:r>
      <w:r w:rsidR="00B61C66">
        <w:t xml:space="preserve">four </w:t>
      </w:r>
      <w:r w:rsidR="00681E80">
        <w:t xml:space="preserve">meetings </w:t>
      </w:r>
      <w:r w:rsidR="00033A48">
        <w:t xml:space="preserve">does not reveal </w:t>
      </w:r>
      <w:r w:rsidR="00CD468F">
        <w:t>the strong</w:t>
      </w:r>
      <w:r w:rsidR="00BB50BD">
        <w:t xml:space="preserve"> </w:t>
      </w:r>
      <w:r w:rsidR="00B61C66">
        <w:t xml:space="preserve">strategic </w:t>
      </w:r>
      <w:r w:rsidR="00033A48">
        <w:t>engagement of the S</w:t>
      </w:r>
      <w:r w:rsidR="00CD468F">
        <w:t xml:space="preserve">teering </w:t>
      </w:r>
      <w:r w:rsidR="00F81354">
        <w:t>G</w:t>
      </w:r>
      <w:r w:rsidR="00CD468F">
        <w:t>roup</w:t>
      </w:r>
      <w:r w:rsidR="00F81354">
        <w:t xml:space="preserve"> </w:t>
      </w:r>
      <w:r w:rsidR="00033A48">
        <w:t xml:space="preserve">in relation to </w:t>
      </w:r>
      <w:r w:rsidR="00033A48">
        <w:lastRenderedPageBreak/>
        <w:t xml:space="preserve">the economic and </w:t>
      </w:r>
      <w:r w:rsidR="00D6077C">
        <w:t>timely</w:t>
      </w:r>
      <w:r w:rsidR="00033A48">
        <w:t xml:space="preserve"> delivery of </w:t>
      </w:r>
      <w:r w:rsidR="00B61C66">
        <w:t>program activities.</w:t>
      </w:r>
      <w:r w:rsidR="00C07D0E">
        <w:t xml:space="preserve"> It appears that if the </w:t>
      </w:r>
      <w:r w:rsidR="00D6077C">
        <w:t>S</w:t>
      </w:r>
      <w:r w:rsidR="00CD468F">
        <w:t xml:space="preserve">teering </w:t>
      </w:r>
      <w:r w:rsidR="00F81354">
        <w:t>G</w:t>
      </w:r>
      <w:r w:rsidR="00CD468F">
        <w:t>roup</w:t>
      </w:r>
      <w:r w:rsidR="00F81354">
        <w:t xml:space="preserve"> </w:t>
      </w:r>
      <w:r w:rsidR="00C07D0E">
        <w:t xml:space="preserve">is to fulfill its role </w:t>
      </w:r>
      <w:r w:rsidR="00D6077C">
        <w:t>more frequent meetings</w:t>
      </w:r>
      <w:r w:rsidR="00D6077C">
        <w:rPr>
          <w:rStyle w:val="FootnoteReference"/>
        </w:rPr>
        <w:footnoteReference w:id="15"/>
      </w:r>
      <w:r w:rsidR="00D6077C">
        <w:t xml:space="preserve"> might be warranted</w:t>
      </w:r>
      <w:r w:rsidR="0073107C">
        <w:t>.</w:t>
      </w:r>
    </w:p>
    <w:p w14:paraId="68D33BDC" w14:textId="5A1BB316" w:rsidR="00D36A6D" w:rsidRDefault="00767809" w:rsidP="00DF5451">
      <w:pPr>
        <w:spacing w:after="240"/>
      </w:pPr>
      <w:r>
        <w:t xml:space="preserve">TAPQE </w:t>
      </w:r>
      <w:r w:rsidR="00390B2C">
        <w:t xml:space="preserve">also </w:t>
      </w:r>
      <w:r>
        <w:t xml:space="preserve">holds regular Financial Management Team (FMT) meetings with the AHC, Team Leader and the Finance Manager to ensure a collaborative and transparent approach to managing the TAPQE budget. Matters discussed and decisions taken by this group were not </w:t>
      </w:r>
      <w:r w:rsidR="007E2329">
        <w:t>reviewed by the MTR.</w:t>
      </w:r>
    </w:p>
    <w:p w14:paraId="39C84396" w14:textId="60B2543A" w:rsidR="00AF049D" w:rsidRDefault="00F476C2" w:rsidP="00DF5451">
      <w:pPr>
        <w:spacing w:after="240"/>
      </w:pPr>
      <w:r>
        <w:t xml:space="preserve">The </w:t>
      </w:r>
      <w:r w:rsidRPr="00C52FAD">
        <w:rPr>
          <w:i/>
          <w:iCs/>
        </w:rPr>
        <w:t xml:space="preserve">2024 (Draft) </w:t>
      </w:r>
      <w:r w:rsidR="00C52FAD" w:rsidRPr="00C52FAD">
        <w:rPr>
          <w:i/>
          <w:iCs/>
        </w:rPr>
        <w:t xml:space="preserve">TAPQE </w:t>
      </w:r>
      <w:r w:rsidRPr="00C52FAD">
        <w:rPr>
          <w:i/>
          <w:iCs/>
        </w:rPr>
        <w:t>Annual Report</w:t>
      </w:r>
      <w:r>
        <w:t xml:space="preserve"> includes discussion on f</w:t>
      </w:r>
      <w:r w:rsidR="0012186E">
        <w:t>inancial year</w:t>
      </w:r>
      <w:r w:rsidR="00840B31">
        <w:t>-to-</w:t>
      </w:r>
      <w:r w:rsidR="0012186E">
        <w:t>date</w:t>
      </w:r>
      <w:r w:rsidR="00E958F7">
        <w:t xml:space="preserve">, </w:t>
      </w:r>
      <w:r w:rsidR="0012186E">
        <w:t xml:space="preserve">total program spend to </w:t>
      </w:r>
      <w:r w:rsidR="002336F4">
        <w:t>date (</w:t>
      </w:r>
      <w:r w:rsidR="00395BEA">
        <w:t xml:space="preserve">p.22) and </w:t>
      </w:r>
      <w:r w:rsidR="00412BB6">
        <w:t xml:space="preserve">‘Value for Money’ </w:t>
      </w:r>
      <w:r w:rsidR="009A0BAE">
        <w:t>(p</w:t>
      </w:r>
      <w:r w:rsidR="00C83296">
        <w:t>.23)</w:t>
      </w:r>
      <w:r w:rsidR="00395BEA">
        <w:t>. The expenditure section</w:t>
      </w:r>
      <w:r w:rsidR="00F620B5">
        <w:t xml:space="preserve"> provides some explanation </w:t>
      </w:r>
      <w:r w:rsidR="00637972">
        <w:t>in relation to point</w:t>
      </w:r>
      <w:r w:rsidR="00E958F7">
        <w:t>-in-</w:t>
      </w:r>
      <w:r w:rsidR="00637972">
        <w:t>time expectations and the value for money discussion</w:t>
      </w:r>
      <w:r w:rsidR="00C83296">
        <w:t xml:space="preserve"> considers principles and practices to </w:t>
      </w:r>
      <w:r w:rsidR="005E5D6F">
        <w:t xml:space="preserve">achieve ‘value for money’. </w:t>
      </w:r>
      <w:r w:rsidR="00637972">
        <w:t xml:space="preserve">There is </w:t>
      </w:r>
      <w:r w:rsidR="00957B30">
        <w:t xml:space="preserve">no discussion of expenditure by budget category or </w:t>
      </w:r>
      <w:r w:rsidR="00566E4B">
        <w:t xml:space="preserve">expenditure </w:t>
      </w:r>
      <w:r w:rsidR="00D12D19">
        <w:t>against</w:t>
      </w:r>
      <w:r w:rsidR="00566E4B">
        <w:t xml:space="preserve"> progress (the latter because there is no data that would enable this t</w:t>
      </w:r>
      <w:r w:rsidR="0075516B">
        <w:t>o occur).</w:t>
      </w:r>
      <w:r w:rsidR="00A61BE2">
        <w:t xml:space="preserve"> </w:t>
      </w:r>
    </w:p>
    <w:p w14:paraId="6F485D62" w14:textId="62F12E7E" w:rsidR="005D19BA" w:rsidRDefault="005D19BA" w:rsidP="00DF5451">
      <w:pPr>
        <w:spacing w:after="240"/>
      </w:pPr>
      <w:r>
        <w:t>I</w:t>
      </w:r>
      <w:r w:rsidR="00D80F7B">
        <w:t xml:space="preserve">n-country interviews did </w:t>
      </w:r>
      <w:r w:rsidR="00AD7C3C">
        <w:t xml:space="preserve">include </w:t>
      </w:r>
      <w:r>
        <w:t>comments about the efficiency and timeliness of program activities, including:</w:t>
      </w:r>
    </w:p>
    <w:p w14:paraId="3228E55C" w14:textId="2F1E6972" w:rsidR="00FA049E" w:rsidRDefault="008661EC" w:rsidP="00DF5451">
      <w:pPr>
        <w:pStyle w:val="ListParagraph"/>
        <w:numPr>
          <w:ilvl w:val="0"/>
          <w:numId w:val="15"/>
        </w:numPr>
        <w:spacing w:after="240"/>
        <w:rPr>
          <w:lang w:val="en-AU"/>
        </w:rPr>
      </w:pPr>
      <w:r>
        <w:rPr>
          <w:lang w:val="en-AU"/>
        </w:rPr>
        <w:t xml:space="preserve">Variations in actual program expenditure against planned expenditure and the need for </w:t>
      </w:r>
      <w:r w:rsidR="00FA049E">
        <w:rPr>
          <w:lang w:val="en-AU"/>
        </w:rPr>
        <w:t xml:space="preserve">reflection </w:t>
      </w:r>
      <w:r w:rsidR="00B53BA5">
        <w:rPr>
          <w:lang w:val="en-AU"/>
        </w:rPr>
        <w:t xml:space="preserve">and review </w:t>
      </w:r>
      <w:r w:rsidR="00FA049E">
        <w:rPr>
          <w:lang w:val="en-AU"/>
        </w:rPr>
        <w:t>to improve future planning and delivery</w:t>
      </w:r>
    </w:p>
    <w:p w14:paraId="4B05AFCA" w14:textId="6034914C" w:rsidR="004E3D4D" w:rsidRDefault="00FA049E" w:rsidP="00DF5451">
      <w:pPr>
        <w:pStyle w:val="ListParagraph"/>
        <w:numPr>
          <w:ilvl w:val="0"/>
          <w:numId w:val="15"/>
        </w:numPr>
        <w:spacing w:after="240"/>
        <w:rPr>
          <w:lang w:val="en-AU"/>
        </w:rPr>
      </w:pPr>
      <w:r>
        <w:rPr>
          <w:lang w:val="en-AU"/>
        </w:rPr>
        <w:t>Consideration of al</w:t>
      </w:r>
      <w:r w:rsidR="00D06E2A">
        <w:rPr>
          <w:lang w:val="en-AU"/>
        </w:rPr>
        <w:t xml:space="preserve">ternate approaches to </w:t>
      </w:r>
      <w:r w:rsidR="00B53BA5">
        <w:rPr>
          <w:lang w:val="en-AU"/>
        </w:rPr>
        <w:t xml:space="preserve">the </w:t>
      </w:r>
      <w:r w:rsidR="0024281A">
        <w:rPr>
          <w:lang w:val="en-AU"/>
        </w:rPr>
        <w:t xml:space="preserve">conduct of </w:t>
      </w:r>
      <w:r w:rsidR="00D06E2A">
        <w:rPr>
          <w:lang w:val="en-AU"/>
        </w:rPr>
        <w:t>program activities</w:t>
      </w:r>
      <w:r w:rsidR="00B53BA5">
        <w:rPr>
          <w:lang w:val="en-AU"/>
        </w:rPr>
        <w:t>,</w:t>
      </w:r>
      <w:r w:rsidR="00D06E2A">
        <w:rPr>
          <w:lang w:val="en-AU"/>
        </w:rPr>
        <w:t xml:space="preserve"> to improve effectiveness and efficiency</w:t>
      </w:r>
      <w:r w:rsidR="00B53BA5">
        <w:rPr>
          <w:lang w:val="en-AU"/>
        </w:rPr>
        <w:t>,</w:t>
      </w:r>
      <w:r w:rsidR="002B17A4">
        <w:rPr>
          <w:lang w:val="en-AU"/>
        </w:rPr>
        <w:t xml:space="preserve"> including more ongoing use of in-country staff, not limiting conduct of activities to when TAs</w:t>
      </w:r>
      <w:r w:rsidR="004E3D4D">
        <w:rPr>
          <w:lang w:val="en-AU"/>
        </w:rPr>
        <w:t xml:space="preserve"> are in country</w:t>
      </w:r>
      <w:r w:rsidR="00917A07">
        <w:rPr>
          <w:lang w:val="en-AU"/>
        </w:rPr>
        <w:t xml:space="preserve">, </w:t>
      </w:r>
      <w:r w:rsidR="004E3D4D">
        <w:rPr>
          <w:lang w:val="en-AU"/>
        </w:rPr>
        <w:t>and references to ‘successful’ ASET models that could be taken up by TAPQ</w:t>
      </w:r>
      <w:r w:rsidR="00E13F18">
        <w:rPr>
          <w:lang w:val="en-AU"/>
        </w:rPr>
        <w:t>E</w:t>
      </w:r>
    </w:p>
    <w:p w14:paraId="752B54C8" w14:textId="2CB78AE2" w:rsidR="00DE5C69" w:rsidRDefault="00DE5C69" w:rsidP="00DF5451">
      <w:pPr>
        <w:pStyle w:val="ListParagraph"/>
        <w:numPr>
          <w:ilvl w:val="0"/>
          <w:numId w:val="15"/>
        </w:numPr>
        <w:spacing w:after="240"/>
        <w:rPr>
          <w:lang w:val="en-AU"/>
        </w:rPr>
      </w:pPr>
      <w:r>
        <w:rPr>
          <w:lang w:val="en-AU"/>
        </w:rPr>
        <w:t xml:space="preserve">The desire for more explicit attention </w:t>
      </w:r>
      <w:r w:rsidR="00F72AA6">
        <w:rPr>
          <w:lang w:val="en-AU"/>
        </w:rPr>
        <w:t xml:space="preserve">to building </w:t>
      </w:r>
      <w:r>
        <w:rPr>
          <w:lang w:val="en-AU"/>
        </w:rPr>
        <w:t>and recogni</w:t>
      </w:r>
      <w:r w:rsidR="00F72AA6">
        <w:rPr>
          <w:lang w:val="en-AU"/>
        </w:rPr>
        <w:t xml:space="preserve">sing capabilities of local Program and MEHRD staff </w:t>
      </w:r>
      <w:r w:rsidR="00021A18">
        <w:rPr>
          <w:lang w:val="en-AU"/>
        </w:rPr>
        <w:t>(to enhance efficiency and the likelihood of sustainabil</w:t>
      </w:r>
      <w:r w:rsidR="006E2B25">
        <w:rPr>
          <w:lang w:val="en-AU"/>
        </w:rPr>
        <w:t>ity)</w:t>
      </w:r>
      <w:r>
        <w:rPr>
          <w:lang w:val="en-AU"/>
        </w:rPr>
        <w:t xml:space="preserve"> </w:t>
      </w:r>
    </w:p>
    <w:p w14:paraId="75C3CBED" w14:textId="442CCC7F" w:rsidR="00F37859" w:rsidRDefault="00F37859" w:rsidP="00DF5451">
      <w:pPr>
        <w:pStyle w:val="ListParagraph"/>
        <w:numPr>
          <w:ilvl w:val="0"/>
          <w:numId w:val="15"/>
        </w:numPr>
        <w:spacing w:after="240"/>
        <w:rPr>
          <w:lang w:val="en-AU"/>
        </w:rPr>
      </w:pPr>
      <w:r>
        <w:rPr>
          <w:lang w:val="en-AU"/>
        </w:rPr>
        <w:t xml:space="preserve">The </w:t>
      </w:r>
      <w:r w:rsidR="00360D54">
        <w:rPr>
          <w:lang w:val="en-AU"/>
        </w:rPr>
        <w:t xml:space="preserve">flexible use of </w:t>
      </w:r>
      <w:r>
        <w:rPr>
          <w:lang w:val="en-AU"/>
        </w:rPr>
        <w:t xml:space="preserve">embedded staff </w:t>
      </w:r>
      <w:r w:rsidR="00AE128E">
        <w:rPr>
          <w:lang w:val="en-AU"/>
        </w:rPr>
        <w:t>over international or in-country advisors</w:t>
      </w:r>
    </w:p>
    <w:p w14:paraId="551EBBB9" w14:textId="05ADF909" w:rsidR="000E729F" w:rsidRDefault="00D06012" w:rsidP="00DF5451">
      <w:pPr>
        <w:pStyle w:val="ListParagraph"/>
        <w:numPr>
          <w:ilvl w:val="0"/>
          <w:numId w:val="15"/>
        </w:numPr>
        <w:spacing w:after="240"/>
        <w:rPr>
          <w:lang w:val="en-AU"/>
        </w:rPr>
      </w:pPr>
      <w:r>
        <w:rPr>
          <w:lang w:val="en-AU"/>
        </w:rPr>
        <w:t xml:space="preserve">The need to ensure </w:t>
      </w:r>
      <w:r w:rsidR="002336F4">
        <w:rPr>
          <w:lang w:val="en-AU"/>
        </w:rPr>
        <w:t>timely</w:t>
      </w:r>
      <w:r>
        <w:rPr>
          <w:lang w:val="en-AU"/>
        </w:rPr>
        <w:t xml:space="preserve"> delivery of resources e.g. mathematics lesson plans </w:t>
      </w:r>
      <w:r w:rsidR="000E729F">
        <w:rPr>
          <w:lang w:val="en-AU"/>
        </w:rPr>
        <w:t xml:space="preserve">for </w:t>
      </w:r>
      <w:r w:rsidR="00F73751">
        <w:rPr>
          <w:lang w:val="en-AU"/>
        </w:rPr>
        <w:t>teachers.</w:t>
      </w:r>
    </w:p>
    <w:p w14:paraId="5FB0820E" w14:textId="3B25832A" w:rsidR="00D91010" w:rsidRDefault="00D91010" w:rsidP="00DF5451">
      <w:pPr>
        <w:spacing w:after="240"/>
      </w:pPr>
      <w:r>
        <w:t xml:space="preserve">In </w:t>
      </w:r>
      <w:r w:rsidR="00CD468F">
        <w:t>addition,</w:t>
      </w:r>
      <w:r w:rsidR="00984AC5">
        <w:t xml:space="preserve"> the </w:t>
      </w:r>
      <w:r w:rsidR="008B34D1">
        <w:t>TAPQE team did provide, in response to a</w:t>
      </w:r>
      <w:r>
        <w:t xml:space="preserve"> query from the MTR Lead</w:t>
      </w:r>
      <w:r w:rsidR="00D03512">
        <w:t xml:space="preserve">, an example of </w:t>
      </w:r>
      <w:r w:rsidR="00A24863">
        <w:t xml:space="preserve">an </w:t>
      </w:r>
      <w:r w:rsidR="001E7E64">
        <w:t>‘Implementation tracker’ and the ‘AWP progress tracker’</w:t>
      </w:r>
      <w:r w:rsidR="00A24863">
        <w:t>,</w:t>
      </w:r>
      <w:r w:rsidR="001E7E64">
        <w:t xml:space="preserve"> </w:t>
      </w:r>
      <w:r w:rsidR="00A17699">
        <w:t xml:space="preserve">stating that they </w:t>
      </w:r>
      <w:r w:rsidR="00F51BCD">
        <w:t xml:space="preserve">were used to support budget shifts and to help identify </w:t>
      </w:r>
      <w:r w:rsidR="00A76F96">
        <w:t xml:space="preserve">‘what is working well, and where there are roadblocks and delays, and </w:t>
      </w:r>
      <w:proofErr w:type="gramStart"/>
      <w:r w:rsidR="00A76F96">
        <w:t>opportunities’</w:t>
      </w:r>
      <w:proofErr w:type="gramEnd"/>
      <w:r w:rsidR="00A76F96">
        <w:t>.</w:t>
      </w:r>
      <w:r w:rsidR="00433202">
        <w:t xml:space="preserve"> </w:t>
      </w:r>
      <w:r w:rsidR="00A24863">
        <w:t xml:space="preserve">However, the examples </w:t>
      </w:r>
      <w:r w:rsidR="00E6580B">
        <w:t>provided,</w:t>
      </w:r>
      <w:r w:rsidR="00CF1ED2">
        <w:t xml:space="preserve"> and the interview feedback </w:t>
      </w:r>
      <w:r w:rsidR="00AD6967">
        <w:t xml:space="preserve">did </w:t>
      </w:r>
      <w:r w:rsidR="00474930">
        <w:t xml:space="preserve">not </w:t>
      </w:r>
      <w:r w:rsidR="00AD6967">
        <w:t>include specific examples or</w:t>
      </w:r>
      <w:r w:rsidR="00474930">
        <w:t xml:space="preserve"> cases </w:t>
      </w:r>
      <w:r w:rsidR="0070626B">
        <w:t xml:space="preserve">illustrating </w:t>
      </w:r>
      <w:r w:rsidR="00474930">
        <w:t>the effectiveness of these tool</w:t>
      </w:r>
      <w:r w:rsidR="0070626B">
        <w:t>s</w:t>
      </w:r>
      <w:r w:rsidR="00847F39">
        <w:t>.</w:t>
      </w:r>
    </w:p>
    <w:p w14:paraId="6BD9154C" w14:textId="67F66ABE" w:rsidR="00871311" w:rsidRDefault="005717D7" w:rsidP="00DF5451">
      <w:pPr>
        <w:spacing w:after="240"/>
      </w:pPr>
      <w:r>
        <w:t>A key</w:t>
      </w:r>
      <w:r w:rsidR="00011025">
        <w:t xml:space="preserve"> budget/</w:t>
      </w:r>
      <w:r w:rsidR="00193D71">
        <w:t>economic-</w:t>
      </w:r>
      <w:r w:rsidR="00011025">
        <w:t>related</w:t>
      </w:r>
      <w:r w:rsidR="00FF5A36">
        <w:t xml:space="preserve"> observation </w:t>
      </w:r>
      <w:r w:rsidR="00871311">
        <w:t xml:space="preserve">in the Priorities section </w:t>
      </w:r>
      <w:r w:rsidR="00EC4D98">
        <w:t xml:space="preserve">(p.28) </w:t>
      </w:r>
      <w:r w:rsidR="00871311">
        <w:t xml:space="preserve">of the </w:t>
      </w:r>
      <w:r w:rsidR="00871311" w:rsidRPr="0069506B">
        <w:rPr>
          <w:i/>
          <w:iCs/>
        </w:rPr>
        <w:t>2024 (draft) TAPQE Annual Report</w:t>
      </w:r>
      <w:r w:rsidR="00871311">
        <w:t xml:space="preserve"> </w:t>
      </w:r>
      <w:r>
        <w:t>is</w:t>
      </w:r>
      <w:r w:rsidR="00871311">
        <w:t>:</w:t>
      </w:r>
    </w:p>
    <w:p w14:paraId="58BFEB64" w14:textId="69EDEB1A" w:rsidR="005717D7" w:rsidRDefault="000005C9" w:rsidP="00DF5451">
      <w:pPr>
        <w:spacing w:after="240"/>
        <w:ind w:left="284"/>
      </w:pPr>
      <w:r w:rsidRPr="000005C9">
        <w:t>The TAPQE program acknowledges the need to continually reassess assumptions and emerging priorities, leading to updates in the MERL plan and strategy. Governance remains a priority through the TAPQE Steering Group, meeting quarterly to consider program adjustments throughout the year. Strategic considerations include addressing staff vacancies in MEHRD through supplementation, implementing school resource management processes, and exploring cost-effective ways to deliver teacher PD to teachers from the outer islands, including hybrid models with online pre- and post-visit workshops.</w:t>
      </w:r>
    </w:p>
    <w:p w14:paraId="6A9BD4BB" w14:textId="064A96B1" w:rsidR="00A61BE2" w:rsidRDefault="0073107C" w:rsidP="00DF5451">
      <w:pPr>
        <w:spacing w:after="240"/>
      </w:pPr>
      <w:r>
        <w:t xml:space="preserve">Noting the </w:t>
      </w:r>
      <w:r w:rsidR="00EC4D98">
        <w:t xml:space="preserve">current activities and </w:t>
      </w:r>
      <w:r>
        <w:t>discussion above</w:t>
      </w:r>
      <w:r w:rsidR="00EC4D98">
        <w:t>,</w:t>
      </w:r>
      <w:r>
        <w:t xml:space="preserve"> and that there may be Program activities the </w:t>
      </w:r>
      <w:r w:rsidR="00165A4E">
        <w:t>MTR team</w:t>
      </w:r>
      <w:r w:rsidR="00E8291B">
        <w:t xml:space="preserve"> were not aware of</w:t>
      </w:r>
      <w:r w:rsidR="00144EBA">
        <w:t xml:space="preserve">, the </w:t>
      </w:r>
      <w:r w:rsidR="00144EBA" w:rsidRPr="00542B9A">
        <w:rPr>
          <w:b/>
          <w:bCs/>
        </w:rPr>
        <w:t xml:space="preserve">extent to which the </w:t>
      </w:r>
      <w:r w:rsidR="00EC4D98" w:rsidRPr="00542B9A">
        <w:rPr>
          <w:b/>
          <w:bCs/>
        </w:rPr>
        <w:t>TAPQE P</w:t>
      </w:r>
      <w:r w:rsidR="00144EBA" w:rsidRPr="00542B9A">
        <w:rPr>
          <w:b/>
          <w:bCs/>
        </w:rPr>
        <w:t xml:space="preserve">rogram </w:t>
      </w:r>
      <w:r w:rsidR="00B96F2D" w:rsidRPr="00542B9A">
        <w:rPr>
          <w:b/>
          <w:bCs/>
        </w:rPr>
        <w:t xml:space="preserve">plans for and monitors the economic and timely </w:t>
      </w:r>
      <w:r w:rsidR="00B96F2D" w:rsidRPr="00542B9A">
        <w:rPr>
          <w:b/>
          <w:bCs/>
        </w:rPr>
        <w:lastRenderedPageBreak/>
        <w:t xml:space="preserve">delivery of program activities is </w:t>
      </w:r>
      <w:r w:rsidR="00E83BF1" w:rsidRPr="00542B9A">
        <w:rPr>
          <w:b/>
          <w:bCs/>
        </w:rPr>
        <w:t xml:space="preserve">not </w:t>
      </w:r>
      <w:r w:rsidR="005D2E33">
        <w:rPr>
          <w:b/>
          <w:bCs/>
        </w:rPr>
        <w:t>clear</w:t>
      </w:r>
      <w:r w:rsidR="00E83BF1">
        <w:t xml:space="preserve">. The priority for 2025 noted above suggests that the </w:t>
      </w:r>
      <w:r w:rsidR="00E83BF1" w:rsidRPr="0085570B">
        <w:rPr>
          <w:b/>
          <w:bCs/>
        </w:rPr>
        <w:t>Steering Committee might take a more active role</w:t>
      </w:r>
      <w:r w:rsidR="00E83BF1">
        <w:t xml:space="preserve"> in relation to this</w:t>
      </w:r>
      <w:r w:rsidR="003E07E4">
        <w:t xml:space="preserve"> from 2025</w:t>
      </w:r>
      <w:r w:rsidR="00E83BF1">
        <w:t xml:space="preserve">, noting that </w:t>
      </w:r>
      <w:r w:rsidR="00E0617E">
        <w:t xml:space="preserve">an </w:t>
      </w:r>
      <w:r w:rsidR="00822156">
        <w:t xml:space="preserve">informed discussion will require improved data and analytics on program activities, </w:t>
      </w:r>
      <w:r w:rsidR="006674BA">
        <w:t>progress towards outcomes and expenditure by budget category.</w:t>
      </w:r>
      <w:r w:rsidR="008423A3">
        <w:t xml:space="preserve"> </w:t>
      </w:r>
      <w:r w:rsidR="00D64C0C">
        <w:t>It</w:t>
      </w:r>
      <w:r w:rsidR="00DA3BF5">
        <w:t xml:space="preserve"> will also require </w:t>
      </w:r>
      <w:r w:rsidR="00B82089">
        <w:t>greater</w:t>
      </w:r>
      <w:r w:rsidR="00DA3BF5">
        <w:t xml:space="preserve"> commitment by Steering Group member</w:t>
      </w:r>
      <w:r w:rsidR="00D64C0C">
        <w:t>s.</w:t>
      </w:r>
    </w:p>
    <w:p w14:paraId="12BA3C61" w14:textId="7369D95B" w:rsidR="00402A92" w:rsidRPr="0069506B" w:rsidRDefault="00402A92" w:rsidP="00DF5451">
      <w:pPr>
        <w:pStyle w:val="ListParagraph"/>
        <w:numPr>
          <w:ilvl w:val="0"/>
          <w:numId w:val="9"/>
        </w:numPr>
        <w:spacing w:after="240"/>
        <w:ind w:left="425" w:hanging="425"/>
        <w:rPr>
          <w:rStyle w:val="SubtleEmphasis"/>
        </w:rPr>
      </w:pPr>
      <w:r w:rsidRPr="0069506B">
        <w:rPr>
          <w:rStyle w:val="SubtleEmphasis"/>
        </w:rPr>
        <w:t>How does the Program reflect on and, where appropriate, adjust its structure and</w:t>
      </w:r>
      <w:r w:rsidR="00FA3BE6">
        <w:rPr>
          <w:rStyle w:val="SubtleEmphasis"/>
        </w:rPr>
        <w:t>/</w:t>
      </w:r>
      <w:r w:rsidRPr="0069506B">
        <w:rPr>
          <w:rStyle w:val="SubtleEmphasis"/>
        </w:rPr>
        <w:t>or activities to improve the likelihood of achieving its End of Program Outcomes?</w:t>
      </w:r>
    </w:p>
    <w:p w14:paraId="5010BC06" w14:textId="2E19FEC1" w:rsidR="00B720F0" w:rsidRDefault="00252672" w:rsidP="00DF5451">
      <w:pPr>
        <w:spacing w:after="240"/>
      </w:pPr>
      <w:r w:rsidRPr="0069506B">
        <w:t>By design</w:t>
      </w:r>
      <w:r>
        <w:t>,</w:t>
      </w:r>
      <w:r w:rsidRPr="0069506B">
        <w:t xml:space="preserve"> the </w:t>
      </w:r>
      <w:r w:rsidRPr="00542B9A">
        <w:rPr>
          <w:b/>
          <w:bCs/>
        </w:rPr>
        <w:t xml:space="preserve">TAPQE Program </w:t>
      </w:r>
      <w:r w:rsidR="00AA523E" w:rsidRPr="00542B9A">
        <w:rPr>
          <w:b/>
          <w:bCs/>
        </w:rPr>
        <w:t xml:space="preserve">plans to reflect </w:t>
      </w:r>
      <w:r w:rsidR="00AA523E" w:rsidRPr="00B61B14">
        <w:t xml:space="preserve">on its structure and activities and to </w:t>
      </w:r>
      <w:r w:rsidR="00D64C0C" w:rsidRPr="00B61B14">
        <w:t>adjust</w:t>
      </w:r>
      <w:r w:rsidR="00AA523E" w:rsidRPr="00B61B14">
        <w:t xml:space="preserve"> where appropriate</w:t>
      </w:r>
      <w:r w:rsidR="00AA523E">
        <w:t>.</w:t>
      </w:r>
      <w:r w:rsidR="00912F74">
        <w:t xml:space="preserve"> For example, </w:t>
      </w:r>
      <w:r w:rsidR="000011D1">
        <w:t xml:space="preserve">the </w:t>
      </w:r>
      <w:r w:rsidR="00BF2DFF" w:rsidRPr="001319EC">
        <w:rPr>
          <w:i/>
          <w:iCs/>
          <w:lang w:val="en-AU"/>
        </w:rPr>
        <w:t>TAPQE MERL Framework (Interim)</w:t>
      </w:r>
      <w:r w:rsidR="00BF2DFF">
        <w:rPr>
          <w:i/>
          <w:iCs/>
          <w:lang w:val="en-AU"/>
        </w:rPr>
        <w:t xml:space="preserve"> </w:t>
      </w:r>
      <w:r w:rsidR="00BC6C53">
        <w:t xml:space="preserve">describes </w:t>
      </w:r>
      <w:r w:rsidR="00163673">
        <w:t xml:space="preserve">(p.7) </w:t>
      </w:r>
      <w:r w:rsidR="00BC6C53">
        <w:t xml:space="preserve">a developmental evaluation approach which is </w:t>
      </w:r>
      <w:r w:rsidR="00163673">
        <w:t>‘</w:t>
      </w:r>
      <w:r w:rsidR="00163673" w:rsidRPr="0069506B">
        <w:rPr>
          <w:i/>
          <w:iCs/>
        </w:rPr>
        <w:t>particularly important and is applied to focus on learning to adapt strategy, systems changes and Theories of Action (ToA). The developmental evaluation is a collaborative approach that requires regular feedback loops and program reflection and learning</w:t>
      </w:r>
      <w:r w:rsidR="00B720F0">
        <w:t>’</w:t>
      </w:r>
      <w:r w:rsidR="00E13602">
        <w:rPr>
          <w:rStyle w:val="FootnoteReference"/>
        </w:rPr>
        <w:footnoteReference w:id="16"/>
      </w:r>
      <w:r w:rsidR="001B7FD3">
        <w:t>.</w:t>
      </w:r>
    </w:p>
    <w:p w14:paraId="711EBE2A" w14:textId="7683C782" w:rsidR="00AA523E" w:rsidRDefault="00B92EB6" w:rsidP="00DF5451">
      <w:pPr>
        <w:spacing w:after="240"/>
        <w:rPr>
          <w:spacing w:val="-4"/>
        </w:rPr>
      </w:pPr>
      <w:r>
        <w:t xml:space="preserve">The </w:t>
      </w:r>
      <w:r w:rsidR="00165A4E">
        <w:t>MTR team</w:t>
      </w:r>
      <w:r>
        <w:t xml:space="preserve"> received </w:t>
      </w:r>
      <w:r w:rsidR="003A0BBA">
        <w:t xml:space="preserve">notes from </w:t>
      </w:r>
      <w:r w:rsidR="00C10BDA">
        <w:t xml:space="preserve">four </w:t>
      </w:r>
      <w:r w:rsidR="00E163E8">
        <w:t>‘</w:t>
      </w:r>
      <w:r w:rsidR="003A0BBA">
        <w:t>Pa</w:t>
      </w:r>
      <w:r w:rsidR="00B82089">
        <w:t>u</w:t>
      </w:r>
      <w:r w:rsidR="00E163E8">
        <w:t>se</w:t>
      </w:r>
      <w:r w:rsidR="003A0BBA">
        <w:t>, Reflect, Plan</w:t>
      </w:r>
      <w:r w:rsidR="00E163E8">
        <w:t>’</w:t>
      </w:r>
      <w:r w:rsidR="003A0BBA">
        <w:t xml:space="preserve"> </w:t>
      </w:r>
      <w:r w:rsidR="00230165">
        <w:t xml:space="preserve">(PRP) </w:t>
      </w:r>
      <w:r w:rsidR="003A0BBA">
        <w:t>workshops</w:t>
      </w:r>
      <w:r w:rsidR="0082394C">
        <w:t xml:space="preserve"> which are described in the </w:t>
      </w:r>
      <w:r w:rsidR="00D745DB" w:rsidRPr="00C52FAD">
        <w:rPr>
          <w:i/>
          <w:iCs/>
        </w:rPr>
        <w:t>2024 (draft) TAPQE Annual Report</w:t>
      </w:r>
      <w:r w:rsidR="00D745DB">
        <w:t xml:space="preserve"> (p.10) as </w:t>
      </w:r>
      <w:r w:rsidR="0018682D">
        <w:t>‘</w:t>
      </w:r>
      <w:r w:rsidR="0018682D">
        <w:rPr>
          <w:spacing w:val="-4"/>
        </w:rPr>
        <w:t xml:space="preserve">a short cycle MERL approach that enables a MERL-centric review of program activities, in consultation with program donors and </w:t>
      </w:r>
      <w:proofErr w:type="gramStart"/>
      <w:r w:rsidR="0018682D">
        <w:rPr>
          <w:spacing w:val="-4"/>
        </w:rPr>
        <w:t>partners’</w:t>
      </w:r>
      <w:proofErr w:type="gramEnd"/>
      <w:r w:rsidR="0018682D">
        <w:rPr>
          <w:spacing w:val="-4"/>
        </w:rPr>
        <w:t>.</w:t>
      </w:r>
      <w:r w:rsidR="000A277D">
        <w:rPr>
          <w:spacing w:val="-4"/>
        </w:rPr>
        <w:t xml:space="preserve"> The PRP workshops draw on </w:t>
      </w:r>
      <w:r w:rsidR="006E25E6">
        <w:rPr>
          <w:spacing w:val="-4"/>
        </w:rPr>
        <w:t xml:space="preserve">the </w:t>
      </w:r>
      <w:r w:rsidR="00F02F21">
        <w:rPr>
          <w:spacing w:val="-4"/>
        </w:rPr>
        <w:t>‘</w:t>
      </w:r>
      <w:r w:rsidR="006E25E6">
        <w:rPr>
          <w:spacing w:val="-4"/>
        </w:rPr>
        <w:t xml:space="preserve">AWP Progress Tracker, stakeholder engagement and PD </w:t>
      </w:r>
      <w:r w:rsidR="00F02F21">
        <w:rPr>
          <w:spacing w:val="-4"/>
        </w:rPr>
        <w:t xml:space="preserve">databases' (p.11) as </w:t>
      </w:r>
      <w:r w:rsidR="006F4CBD">
        <w:rPr>
          <w:spacing w:val="-4"/>
        </w:rPr>
        <w:t>sources of data for the process.</w:t>
      </w:r>
    </w:p>
    <w:p w14:paraId="5D08549D" w14:textId="39DFFF2F" w:rsidR="009E57C3" w:rsidRDefault="009E57C3" w:rsidP="00DF5451">
      <w:pPr>
        <w:spacing w:after="240"/>
        <w:rPr>
          <w:spacing w:val="-4"/>
          <w:lang w:val="en-AU"/>
        </w:rPr>
      </w:pPr>
      <w:r>
        <w:rPr>
          <w:spacing w:val="-4"/>
        </w:rPr>
        <w:t xml:space="preserve">The </w:t>
      </w:r>
      <w:r w:rsidRPr="00C52FAD">
        <w:rPr>
          <w:i/>
          <w:iCs/>
          <w:spacing w:val="-4"/>
        </w:rPr>
        <w:t>2023 TAPQE Annual Report</w:t>
      </w:r>
      <w:r>
        <w:rPr>
          <w:spacing w:val="-4"/>
        </w:rPr>
        <w:t xml:space="preserve"> </w:t>
      </w:r>
      <w:r w:rsidR="002872E4">
        <w:rPr>
          <w:spacing w:val="-4"/>
        </w:rPr>
        <w:t xml:space="preserve">noted that the ‘first two </w:t>
      </w:r>
      <w:r w:rsidR="002872E4" w:rsidRPr="002872E4">
        <w:rPr>
          <w:spacing w:val="-4"/>
          <w:lang w:val="en-AU"/>
        </w:rPr>
        <w:t>TAPQE PRP workshops proved to be a crucial and rich source of local contemporary knowledge sharing to assist the team to transition from the inception to implementation phase</w:t>
      </w:r>
      <w:r w:rsidR="002872E4">
        <w:rPr>
          <w:spacing w:val="-4"/>
          <w:lang w:val="en-AU"/>
        </w:rPr>
        <w:t>’</w:t>
      </w:r>
      <w:r w:rsidR="00C4218C">
        <w:rPr>
          <w:spacing w:val="-4"/>
          <w:lang w:val="en-AU"/>
        </w:rPr>
        <w:t xml:space="preserve"> (p.22)</w:t>
      </w:r>
      <w:r w:rsidR="00212773">
        <w:rPr>
          <w:spacing w:val="-4"/>
          <w:lang w:val="en-AU"/>
        </w:rPr>
        <w:t>.</w:t>
      </w:r>
    </w:p>
    <w:p w14:paraId="404469D5" w14:textId="1578A915" w:rsidR="00212773" w:rsidRDefault="00BA3C11" w:rsidP="00DF5451">
      <w:pPr>
        <w:spacing w:after="240"/>
        <w:rPr>
          <w:spacing w:val="-4"/>
          <w:lang w:val="en-AU"/>
        </w:rPr>
      </w:pPr>
      <w:r>
        <w:rPr>
          <w:spacing w:val="-4"/>
          <w:lang w:val="en-AU"/>
        </w:rPr>
        <w:t>Despite the stated intention</w:t>
      </w:r>
      <w:r w:rsidR="00295442">
        <w:rPr>
          <w:spacing w:val="-4"/>
          <w:lang w:val="en-AU"/>
        </w:rPr>
        <w:t xml:space="preserve"> and some activities</w:t>
      </w:r>
      <w:r>
        <w:rPr>
          <w:spacing w:val="-4"/>
          <w:lang w:val="en-AU"/>
        </w:rPr>
        <w:t>, the</w:t>
      </w:r>
      <w:r w:rsidR="005B3D9C">
        <w:rPr>
          <w:spacing w:val="-4"/>
          <w:lang w:val="en-AU"/>
        </w:rPr>
        <w:t xml:space="preserve"> </w:t>
      </w:r>
      <w:r w:rsidR="00165A4E">
        <w:rPr>
          <w:spacing w:val="-4"/>
          <w:lang w:val="en-AU"/>
        </w:rPr>
        <w:t>MTR team</w:t>
      </w:r>
      <w:r w:rsidR="005B3D9C">
        <w:rPr>
          <w:spacing w:val="-4"/>
          <w:lang w:val="en-AU"/>
        </w:rPr>
        <w:t xml:space="preserve"> found </w:t>
      </w:r>
      <w:r w:rsidR="005B3D9C" w:rsidRPr="00542B9A">
        <w:rPr>
          <w:b/>
          <w:bCs/>
          <w:spacing w:val="-4"/>
          <w:lang w:val="en-AU"/>
        </w:rPr>
        <w:t>little evidence of a</w:t>
      </w:r>
      <w:r w:rsidR="00BB340C" w:rsidRPr="00542B9A">
        <w:rPr>
          <w:b/>
          <w:bCs/>
          <w:spacing w:val="-4"/>
          <w:lang w:val="en-AU"/>
        </w:rPr>
        <w:t>n ongoing ‘developmental evaluation approach’</w:t>
      </w:r>
      <w:r w:rsidRPr="00542B9A">
        <w:rPr>
          <w:b/>
          <w:bCs/>
          <w:spacing w:val="-4"/>
          <w:lang w:val="en-AU"/>
        </w:rPr>
        <w:t xml:space="preserve"> in operation</w:t>
      </w:r>
      <w:r w:rsidR="00437238">
        <w:rPr>
          <w:spacing w:val="-4"/>
          <w:lang w:val="en-AU"/>
        </w:rPr>
        <w:t>.</w:t>
      </w:r>
      <w:r w:rsidR="00014EEC">
        <w:rPr>
          <w:spacing w:val="-4"/>
          <w:lang w:val="en-AU"/>
        </w:rPr>
        <w:t xml:space="preserve"> Further, there was no evidence of decision or change logs</w:t>
      </w:r>
      <w:r w:rsidR="0052377D">
        <w:rPr>
          <w:spacing w:val="-4"/>
          <w:lang w:val="en-AU"/>
        </w:rPr>
        <w:t xml:space="preserve"> which would indicate the </w:t>
      </w:r>
      <w:r w:rsidR="00406568">
        <w:rPr>
          <w:spacing w:val="-4"/>
          <w:lang w:val="en-AU"/>
        </w:rPr>
        <w:t>presence of a collaborat</w:t>
      </w:r>
      <w:r w:rsidR="00DD70DE">
        <w:rPr>
          <w:spacing w:val="-4"/>
          <w:lang w:val="en-AU"/>
        </w:rPr>
        <w:t>ive</w:t>
      </w:r>
      <w:r w:rsidR="00406568">
        <w:rPr>
          <w:spacing w:val="-4"/>
          <w:lang w:val="en-AU"/>
        </w:rPr>
        <w:t xml:space="preserve"> approach to evaluation with feedback loops and program reflection and learning.</w:t>
      </w:r>
      <w:r>
        <w:rPr>
          <w:spacing w:val="-4"/>
          <w:lang w:val="en-AU"/>
        </w:rPr>
        <w:t xml:space="preserve"> </w:t>
      </w:r>
    </w:p>
    <w:p w14:paraId="6C5BD3DB" w14:textId="3EC46C33" w:rsidR="007448B0" w:rsidRDefault="00BB78CD" w:rsidP="00DF5451">
      <w:pPr>
        <w:spacing w:after="240"/>
        <w:rPr>
          <w:spacing w:val="-4"/>
          <w:lang w:val="en-AU"/>
        </w:rPr>
      </w:pPr>
      <w:r>
        <w:rPr>
          <w:spacing w:val="-4"/>
          <w:lang w:val="en-AU"/>
        </w:rPr>
        <w:t xml:space="preserve">Both annual reports include a section on </w:t>
      </w:r>
      <w:r w:rsidR="00535A58">
        <w:rPr>
          <w:spacing w:val="-4"/>
          <w:lang w:val="en-AU"/>
        </w:rPr>
        <w:t>‘</w:t>
      </w:r>
      <w:r>
        <w:rPr>
          <w:spacing w:val="-4"/>
          <w:lang w:val="en-AU"/>
        </w:rPr>
        <w:t>lessons learned</w:t>
      </w:r>
      <w:r w:rsidR="00535A58">
        <w:rPr>
          <w:spacing w:val="-4"/>
          <w:lang w:val="en-AU"/>
        </w:rPr>
        <w:t>’</w:t>
      </w:r>
      <w:r>
        <w:rPr>
          <w:spacing w:val="-4"/>
          <w:lang w:val="en-AU"/>
        </w:rPr>
        <w:t xml:space="preserve"> and </w:t>
      </w:r>
      <w:r w:rsidR="00535A58">
        <w:rPr>
          <w:spacing w:val="-4"/>
          <w:lang w:val="en-AU"/>
        </w:rPr>
        <w:t xml:space="preserve">‘program </w:t>
      </w:r>
      <w:r w:rsidR="00D64C0C">
        <w:rPr>
          <w:spacing w:val="-4"/>
          <w:lang w:val="en-AU"/>
        </w:rPr>
        <w:t>performance</w:t>
      </w:r>
      <w:r w:rsidR="00535A58">
        <w:rPr>
          <w:spacing w:val="-4"/>
          <w:lang w:val="en-AU"/>
        </w:rPr>
        <w:t xml:space="preserve"> and management response’</w:t>
      </w:r>
      <w:r w:rsidR="00405551">
        <w:rPr>
          <w:spacing w:val="-4"/>
          <w:lang w:val="en-AU"/>
        </w:rPr>
        <w:t xml:space="preserve">. However, </w:t>
      </w:r>
      <w:r w:rsidR="003A727B">
        <w:rPr>
          <w:spacing w:val="-4"/>
          <w:lang w:val="en-AU"/>
        </w:rPr>
        <w:t xml:space="preserve">the source of these </w:t>
      </w:r>
      <w:r w:rsidR="006249F2">
        <w:rPr>
          <w:spacing w:val="-4"/>
          <w:lang w:val="en-AU"/>
        </w:rPr>
        <w:t>lessons</w:t>
      </w:r>
      <w:r w:rsidR="00647557">
        <w:rPr>
          <w:spacing w:val="-4"/>
          <w:lang w:val="en-AU"/>
        </w:rPr>
        <w:t xml:space="preserve"> and whether and how they will be operationalised is not app</w:t>
      </w:r>
      <w:r w:rsidR="00D036B9">
        <w:rPr>
          <w:spacing w:val="-4"/>
          <w:lang w:val="en-AU"/>
        </w:rPr>
        <w:t xml:space="preserve">arent. Nor is there any </w:t>
      </w:r>
      <w:r w:rsidR="00405551">
        <w:rPr>
          <w:spacing w:val="-4"/>
          <w:lang w:val="en-AU"/>
        </w:rPr>
        <w:t xml:space="preserve">indication of </w:t>
      </w:r>
      <w:r w:rsidR="00F9596A">
        <w:rPr>
          <w:spacing w:val="-4"/>
          <w:lang w:val="en-AU"/>
        </w:rPr>
        <w:t>active consideration of timeline and budget implications of ‘</w:t>
      </w:r>
      <w:r w:rsidR="00647557">
        <w:rPr>
          <w:spacing w:val="-4"/>
          <w:lang w:val="en-AU"/>
        </w:rPr>
        <w:t>priorities</w:t>
      </w:r>
      <w:r w:rsidR="00F9596A">
        <w:rPr>
          <w:spacing w:val="-4"/>
          <w:lang w:val="en-AU"/>
        </w:rPr>
        <w:t>’</w:t>
      </w:r>
      <w:r w:rsidR="00647557">
        <w:rPr>
          <w:spacing w:val="-4"/>
          <w:lang w:val="en-AU"/>
        </w:rPr>
        <w:t xml:space="preserve"> for the following </w:t>
      </w:r>
      <w:r w:rsidR="007448B0">
        <w:rPr>
          <w:spacing w:val="-4"/>
          <w:lang w:val="en-AU"/>
        </w:rPr>
        <w:t>year</w:t>
      </w:r>
      <w:r w:rsidR="00F9596A">
        <w:rPr>
          <w:spacing w:val="-4"/>
          <w:lang w:val="en-AU"/>
        </w:rPr>
        <w:t>.</w:t>
      </w:r>
      <w:r w:rsidR="00DC084C">
        <w:rPr>
          <w:spacing w:val="-4"/>
          <w:lang w:val="en-AU"/>
        </w:rPr>
        <w:t xml:space="preserve"> For example, </w:t>
      </w:r>
      <w:r w:rsidR="002272F4">
        <w:rPr>
          <w:spacing w:val="-4"/>
          <w:lang w:val="en-AU"/>
        </w:rPr>
        <w:t>both the 2023 and 2024 Annual Reports recognised the ‘</w:t>
      </w:r>
      <w:r w:rsidR="00EE0D8F" w:rsidRPr="00EE0D8F">
        <w:rPr>
          <w:spacing w:val="-4"/>
          <w:lang w:val="en-AU"/>
        </w:rPr>
        <w:t xml:space="preserve">lack of educational data or analysis on Tuvalu, particularly on GEDSI, </w:t>
      </w:r>
      <w:r w:rsidR="0056508C">
        <w:rPr>
          <w:spacing w:val="-4"/>
          <w:lang w:val="en-AU"/>
        </w:rPr>
        <w:t xml:space="preserve">… </w:t>
      </w:r>
      <w:r w:rsidR="00EE0D8F" w:rsidRPr="00EE0D8F">
        <w:rPr>
          <w:spacing w:val="-4"/>
          <w:lang w:val="en-AU"/>
        </w:rPr>
        <w:t>need for clear evidence on the rate of intersectional inclusion and the drivers for exclusion</w:t>
      </w:r>
      <w:r w:rsidR="00EE0D8F">
        <w:rPr>
          <w:spacing w:val="-4"/>
          <w:lang w:val="en-AU"/>
        </w:rPr>
        <w:t xml:space="preserve">’. </w:t>
      </w:r>
      <w:r w:rsidR="00EB7A3F">
        <w:rPr>
          <w:spacing w:val="-4"/>
          <w:lang w:val="en-AU"/>
        </w:rPr>
        <w:t xml:space="preserve">Moreover, both reports </w:t>
      </w:r>
      <w:r w:rsidR="00661B81">
        <w:rPr>
          <w:spacing w:val="-4"/>
          <w:lang w:val="en-AU"/>
        </w:rPr>
        <w:t>also recognise that ‘</w:t>
      </w:r>
      <w:r w:rsidR="007A6F8D" w:rsidRPr="00A51BC4">
        <w:rPr>
          <w:bdr w:val="none" w:sz="0" w:space="0" w:color="auto" w:frame="1"/>
          <w:lang w:eastAsia="en-AU"/>
        </w:rPr>
        <w:t>Governance remains a priority through the TAPQE Steering Group, meeting quarterly to consider program adjustments throughout the year</w:t>
      </w:r>
      <w:r w:rsidR="007A6F8D">
        <w:rPr>
          <w:bdr w:val="none" w:sz="0" w:space="0" w:color="auto" w:frame="1"/>
          <w:lang w:eastAsia="en-AU"/>
        </w:rPr>
        <w:t xml:space="preserve">’. That </w:t>
      </w:r>
      <w:r w:rsidR="007A6F8D">
        <w:rPr>
          <w:bdr w:val="none" w:sz="0" w:space="0" w:color="auto" w:frame="1"/>
          <w:lang w:eastAsia="en-AU"/>
        </w:rPr>
        <w:lastRenderedPageBreak/>
        <w:t xml:space="preserve">these </w:t>
      </w:r>
      <w:r w:rsidR="007A6F8D" w:rsidRPr="00542B9A">
        <w:rPr>
          <w:b/>
          <w:bCs/>
          <w:bdr w:val="none" w:sz="0" w:space="0" w:color="auto" w:frame="1"/>
          <w:lang w:eastAsia="en-AU"/>
        </w:rPr>
        <w:t xml:space="preserve">priorities </w:t>
      </w:r>
      <w:r w:rsidR="00F9596A" w:rsidRPr="00542B9A">
        <w:rPr>
          <w:b/>
          <w:bCs/>
          <w:bdr w:val="none" w:sz="0" w:space="0" w:color="auto" w:frame="1"/>
          <w:lang w:eastAsia="en-AU"/>
        </w:rPr>
        <w:t>have been repeated across both reports</w:t>
      </w:r>
      <w:r w:rsidR="00F9596A">
        <w:rPr>
          <w:bdr w:val="none" w:sz="0" w:space="0" w:color="auto" w:frame="1"/>
          <w:lang w:eastAsia="en-AU"/>
        </w:rPr>
        <w:t xml:space="preserve"> </w:t>
      </w:r>
      <w:r w:rsidR="0093019F">
        <w:rPr>
          <w:bdr w:val="none" w:sz="0" w:space="0" w:color="auto" w:frame="1"/>
          <w:lang w:eastAsia="en-AU"/>
        </w:rPr>
        <w:t xml:space="preserve">begs </w:t>
      </w:r>
      <w:r w:rsidR="008F428E">
        <w:rPr>
          <w:bdr w:val="none" w:sz="0" w:space="0" w:color="auto" w:frame="1"/>
          <w:lang w:eastAsia="en-AU"/>
        </w:rPr>
        <w:t>the</w:t>
      </w:r>
      <w:r w:rsidR="0093019F">
        <w:rPr>
          <w:bdr w:val="none" w:sz="0" w:space="0" w:color="auto" w:frame="1"/>
          <w:lang w:eastAsia="en-AU"/>
        </w:rPr>
        <w:t xml:space="preserve"> question of what adjustments might be made for 2025 to </w:t>
      </w:r>
      <w:r w:rsidR="003D1B2D">
        <w:rPr>
          <w:bdr w:val="none" w:sz="0" w:space="0" w:color="auto" w:frame="1"/>
          <w:lang w:eastAsia="en-AU"/>
        </w:rPr>
        <w:t>address and mitigate the issues.</w:t>
      </w:r>
      <w:r w:rsidR="00661B81">
        <w:rPr>
          <w:spacing w:val="-4"/>
          <w:lang w:val="en-AU"/>
        </w:rPr>
        <w:t xml:space="preserve"> </w:t>
      </w:r>
    </w:p>
    <w:p w14:paraId="704F147F" w14:textId="551F14A7" w:rsidR="007448B0" w:rsidRPr="007448B0" w:rsidRDefault="002A4070" w:rsidP="00DF5451">
      <w:pPr>
        <w:spacing w:after="240"/>
        <w:rPr>
          <w:spacing w:val="-4"/>
          <w:lang w:val="en-AU"/>
        </w:rPr>
      </w:pPr>
      <w:r>
        <w:rPr>
          <w:spacing w:val="-4"/>
          <w:lang w:val="en-AU"/>
        </w:rPr>
        <w:t>O</w:t>
      </w:r>
      <w:r w:rsidR="007448B0">
        <w:rPr>
          <w:spacing w:val="-4"/>
          <w:lang w:val="en-AU"/>
        </w:rPr>
        <w:t>ne example of a</w:t>
      </w:r>
      <w:r w:rsidR="004C7D22">
        <w:rPr>
          <w:spacing w:val="-4"/>
          <w:lang w:val="en-AU"/>
        </w:rPr>
        <w:t>n adaptive</w:t>
      </w:r>
      <w:r w:rsidR="007448B0">
        <w:rPr>
          <w:spacing w:val="-4"/>
          <w:lang w:val="en-AU"/>
        </w:rPr>
        <w:t xml:space="preserve"> Program structure change was the matter </w:t>
      </w:r>
      <w:r w:rsidR="007448B0" w:rsidRPr="007448B0">
        <w:rPr>
          <w:spacing w:val="-4"/>
          <w:lang w:val="en-AU"/>
        </w:rPr>
        <w:t>of the shared team leader and TA</w:t>
      </w:r>
      <w:r w:rsidR="007448B0">
        <w:rPr>
          <w:spacing w:val="-4"/>
          <w:lang w:val="en-AU"/>
        </w:rPr>
        <w:t xml:space="preserve">, </w:t>
      </w:r>
      <w:r w:rsidR="008E452F">
        <w:rPr>
          <w:spacing w:val="-4"/>
          <w:lang w:val="en-AU"/>
        </w:rPr>
        <w:t xml:space="preserve">with </w:t>
      </w:r>
      <w:r w:rsidR="007448B0">
        <w:rPr>
          <w:spacing w:val="-4"/>
          <w:lang w:val="en-AU"/>
        </w:rPr>
        <w:t>the Nauru p</w:t>
      </w:r>
      <w:r w:rsidR="007448B0" w:rsidRPr="007448B0">
        <w:rPr>
          <w:spacing w:val="-4"/>
          <w:lang w:val="en-AU"/>
        </w:rPr>
        <w:t xml:space="preserve">rogram. </w:t>
      </w:r>
      <w:r w:rsidR="007448B0">
        <w:rPr>
          <w:spacing w:val="-4"/>
          <w:lang w:val="en-AU"/>
        </w:rPr>
        <w:t xml:space="preserve">Following consideration of the merits of the current arrangement and opportunities to </w:t>
      </w:r>
      <w:r w:rsidR="009567C8">
        <w:rPr>
          <w:spacing w:val="-4"/>
          <w:lang w:val="en-AU"/>
        </w:rPr>
        <w:t>improve matters</w:t>
      </w:r>
      <w:r w:rsidR="004B334B">
        <w:rPr>
          <w:spacing w:val="-4"/>
          <w:lang w:val="en-AU"/>
        </w:rPr>
        <w:t>,</w:t>
      </w:r>
      <w:r w:rsidR="009567C8">
        <w:rPr>
          <w:spacing w:val="-4"/>
          <w:lang w:val="en-AU"/>
        </w:rPr>
        <w:t xml:space="preserve"> the decision was taken to </w:t>
      </w:r>
      <w:r w:rsidR="003B75B3">
        <w:rPr>
          <w:spacing w:val="-4"/>
          <w:lang w:val="en-AU"/>
        </w:rPr>
        <w:t xml:space="preserve">bring in a deputy lead and to advertise a new, full-time team leader. </w:t>
      </w:r>
      <w:r w:rsidR="00F364C9">
        <w:rPr>
          <w:spacing w:val="-4"/>
          <w:lang w:val="en-AU"/>
        </w:rPr>
        <w:t>T</w:t>
      </w:r>
      <w:r w:rsidR="00170CE4">
        <w:rPr>
          <w:spacing w:val="-4"/>
          <w:lang w:val="en-AU"/>
        </w:rPr>
        <w:t xml:space="preserve">his change, combined with the recent appointment of a new Education Director in MEHRD could </w:t>
      </w:r>
      <w:r w:rsidR="00DC084C">
        <w:rPr>
          <w:spacing w:val="-4"/>
          <w:lang w:val="en-AU"/>
        </w:rPr>
        <w:t xml:space="preserve">improve strategic engagement and </w:t>
      </w:r>
      <w:r w:rsidR="007448B0" w:rsidRPr="007448B0">
        <w:rPr>
          <w:spacing w:val="-4"/>
          <w:lang w:val="en-AU"/>
        </w:rPr>
        <w:t>lead to a more efficient and effective program</w:t>
      </w:r>
      <w:r w:rsidR="005B74F3">
        <w:rPr>
          <w:spacing w:val="-4"/>
          <w:lang w:val="en-AU"/>
        </w:rPr>
        <w:t>.</w:t>
      </w:r>
    </w:p>
    <w:p w14:paraId="70BBF402" w14:textId="1077A8FC" w:rsidR="00402A92" w:rsidRPr="00F9596A" w:rsidRDefault="00402A92" w:rsidP="00DF5451">
      <w:pPr>
        <w:pStyle w:val="ListParagraph"/>
        <w:numPr>
          <w:ilvl w:val="0"/>
          <w:numId w:val="9"/>
        </w:numPr>
        <w:spacing w:after="240"/>
        <w:ind w:left="425" w:hanging="425"/>
        <w:rPr>
          <w:rStyle w:val="SubtleEmphasis"/>
        </w:rPr>
      </w:pPr>
      <w:r w:rsidRPr="00F9596A">
        <w:rPr>
          <w:rStyle w:val="SubtleEmphasis"/>
        </w:rPr>
        <w:t>How does the Program reflect on and, where appropriate, adjust its structure and</w:t>
      </w:r>
      <w:r w:rsidR="004F1B9F">
        <w:rPr>
          <w:rStyle w:val="SubtleEmphasis"/>
        </w:rPr>
        <w:t>/</w:t>
      </w:r>
      <w:r w:rsidRPr="00F9596A">
        <w:rPr>
          <w:rStyle w:val="SubtleEmphasis"/>
        </w:rPr>
        <w:t>or activities to improve GEDSI and climate change activities, outputs and outcomes?</w:t>
      </w:r>
    </w:p>
    <w:p w14:paraId="0388D867" w14:textId="4C96D43F" w:rsidR="005B74F3" w:rsidRDefault="005B74F3" w:rsidP="00DF5451">
      <w:pPr>
        <w:spacing w:after="240"/>
        <w:rPr>
          <w:spacing w:val="-4"/>
          <w:lang w:val="en-AU"/>
        </w:rPr>
      </w:pPr>
      <w:r w:rsidRPr="0069506B">
        <w:rPr>
          <w:spacing w:val="-4"/>
          <w:lang w:val="en-AU"/>
        </w:rPr>
        <w:t xml:space="preserve">Following on from discussion in the previous section </w:t>
      </w:r>
      <w:r w:rsidR="003A646E">
        <w:rPr>
          <w:spacing w:val="-4"/>
          <w:lang w:val="en-AU"/>
        </w:rPr>
        <w:t xml:space="preserve">two </w:t>
      </w:r>
      <w:r w:rsidR="005E049F">
        <w:rPr>
          <w:spacing w:val="-4"/>
          <w:lang w:val="en-AU"/>
        </w:rPr>
        <w:t xml:space="preserve">GEDSI </w:t>
      </w:r>
      <w:r w:rsidR="003A646E">
        <w:rPr>
          <w:spacing w:val="-4"/>
          <w:lang w:val="en-AU"/>
        </w:rPr>
        <w:t xml:space="preserve">examples </w:t>
      </w:r>
      <w:r w:rsidR="005E049F">
        <w:rPr>
          <w:spacing w:val="-4"/>
          <w:lang w:val="en-AU"/>
        </w:rPr>
        <w:t>are provided.</w:t>
      </w:r>
    </w:p>
    <w:p w14:paraId="0AB9AA32" w14:textId="0DD08396" w:rsidR="002E00A9" w:rsidRDefault="005E049F" w:rsidP="00DF5451">
      <w:pPr>
        <w:spacing w:after="240"/>
        <w:rPr>
          <w:rFonts w:eastAsiaTheme="minorEastAsia" w:cstheme="minorBidi"/>
        </w:rPr>
      </w:pPr>
      <w:r>
        <w:rPr>
          <w:spacing w:val="-4"/>
          <w:lang w:val="en-AU"/>
        </w:rPr>
        <w:t xml:space="preserve">The first, summarised in the </w:t>
      </w:r>
      <w:r w:rsidR="002E00A9" w:rsidRPr="0069506B">
        <w:rPr>
          <w:i/>
          <w:iCs/>
          <w:spacing w:val="-4"/>
          <w:lang w:val="en-AU"/>
        </w:rPr>
        <w:t>TAPQE STORY OF CHANGE: The Impacts of the Braille Machine on Toko Simona</w:t>
      </w:r>
      <w:r w:rsidR="0040371B">
        <w:rPr>
          <w:spacing w:val="-4"/>
          <w:lang w:val="en-AU"/>
        </w:rPr>
        <w:t xml:space="preserve">, relates to the </w:t>
      </w:r>
      <w:r w:rsidR="00C42139">
        <w:rPr>
          <w:spacing w:val="-4"/>
          <w:lang w:val="en-AU"/>
        </w:rPr>
        <w:t>identification of a particular need (whi</w:t>
      </w:r>
      <w:r w:rsidR="003E53EF">
        <w:rPr>
          <w:spacing w:val="-4"/>
          <w:lang w:val="en-AU"/>
        </w:rPr>
        <w:t>c</w:t>
      </w:r>
      <w:r w:rsidR="00C42139">
        <w:rPr>
          <w:spacing w:val="-4"/>
          <w:lang w:val="en-AU"/>
        </w:rPr>
        <w:t xml:space="preserve">h may not have been </w:t>
      </w:r>
      <w:r w:rsidR="009B47CF">
        <w:rPr>
          <w:spacing w:val="-4"/>
          <w:lang w:val="en-AU"/>
        </w:rPr>
        <w:t>foreseen</w:t>
      </w:r>
      <w:r w:rsidR="00C42139">
        <w:rPr>
          <w:spacing w:val="-4"/>
          <w:lang w:val="en-AU"/>
        </w:rPr>
        <w:t xml:space="preserve"> at the outset of the Program)</w:t>
      </w:r>
      <w:r w:rsidR="003E53EF">
        <w:rPr>
          <w:spacing w:val="-4"/>
          <w:lang w:val="en-AU"/>
        </w:rPr>
        <w:t xml:space="preserve">. </w:t>
      </w:r>
      <w:r w:rsidR="00485202">
        <w:rPr>
          <w:spacing w:val="-4"/>
          <w:lang w:val="en-AU"/>
        </w:rPr>
        <w:t>T</w:t>
      </w:r>
      <w:r w:rsidR="002C6C72">
        <w:rPr>
          <w:spacing w:val="-4"/>
          <w:lang w:val="en-AU"/>
        </w:rPr>
        <w:t>he provision of</w:t>
      </w:r>
      <w:r w:rsidR="003E53EF">
        <w:rPr>
          <w:spacing w:val="-4"/>
          <w:lang w:val="en-AU"/>
        </w:rPr>
        <w:t xml:space="preserve"> </w:t>
      </w:r>
      <w:r w:rsidR="0034512F">
        <w:rPr>
          <w:spacing w:val="-4"/>
          <w:lang w:val="en-AU"/>
        </w:rPr>
        <w:t xml:space="preserve">a </w:t>
      </w:r>
      <w:r w:rsidR="002C6C72" w:rsidRPr="1D4FC37C">
        <w:rPr>
          <w:rFonts w:eastAsiaTheme="minorEastAsia" w:cstheme="minorBidi"/>
        </w:rPr>
        <w:t>Braille machine</w:t>
      </w:r>
      <w:r w:rsidR="00485202">
        <w:rPr>
          <w:rFonts w:eastAsiaTheme="minorEastAsia" w:cstheme="minorBidi"/>
        </w:rPr>
        <w:t xml:space="preserve"> to </w:t>
      </w:r>
      <w:r w:rsidR="00DC740C">
        <w:rPr>
          <w:rFonts w:eastAsiaTheme="minorEastAsia" w:cstheme="minorBidi"/>
        </w:rPr>
        <w:t>one student</w:t>
      </w:r>
      <w:r w:rsidR="002C6C72">
        <w:rPr>
          <w:rFonts w:eastAsiaTheme="minorEastAsia" w:cstheme="minorBidi"/>
        </w:rPr>
        <w:t xml:space="preserve">, was a response to </w:t>
      </w:r>
      <w:r w:rsidR="002C6C72" w:rsidRPr="1D4FC37C">
        <w:rPr>
          <w:rFonts w:eastAsiaTheme="minorEastAsia" w:cstheme="minorBidi"/>
        </w:rPr>
        <w:t xml:space="preserve">limited resources available for visually impaired students in Tuvalu, providing them with tools to ensure </w:t>
      </w:r>
      <w:r w:rsidR="009B47CF" w:rsidRPr="1D4FC37C">
        <w:rPr>
          <w:rFonts w:eastAsiaTheme="minorEastAsia" w:cstheme="minorBidi"/>
        </w:rPr>
        <w:t>inclusive</w:t>
      </w:r>
      <w:r w:rsidR="002C6C72" w:rsidRPr="1D4FC37C">
        <w:rPr>
          <w:rFonts w:eastAsiaTheme="minorEastAsia" w:cstheme="minorBidi"/>
        </w:rPr>
        <w:t xml:space="preserve"> and equitable participation in education</w:t>
      </w:r>
      <w:r w:rsidR="004E1065">
        <w:rPr>
          <w:rFonts w:eastAsiaTheme="minorEastAsia" w:cstheme="minorBidi"/>
        </w:rPr>
        <w:t xml:space="preserve">. </w:t>
      </w:r>
      <w:r w:rsidR="00E32E86">
        <w:rPr>
          <w:rFonts w:eastAsiaTheme="minorEastAsia" w:cstheme="minorBidi"/>
        </w:rPr>
        <w:t xml:space="preserve">It was accompanied </w:t>
      </w:r>
      <w:r w:rsidR="00FE11BC">
        <w:rPr>
          <w:rFonts w:eastAsiaTheme="minorEastAsia" w:cstheme="minorBidi"/>
        </w:rPr>
        <w:t>b</w:t>
      </w:r>
      <w:r w:rsidR="00934466">
        <w:rPr>
          <w:rFonts w:eastAsiaTheme="minorEastAsia" w:cstheme="minorBidi"/>
        </w:rPr>
        <w:t xml:space="preserve">y </w:t>
      </w:r>
      <w:r w:rsidR="00651A25">
        <w:rPr>
          <w:rFonts w:eastAsiaTheme="minorEastAsia" w:cstheme="minorBidi"/>
        </w:rPr>
        <w:t xml:space="preserve">training and mentoring of teachers to </w:t>
      </w:r>
      <w:r w:rsidR="00FE11BC">
        <w:rPr>
          <w:rFonts w:eastAsiaTheme="minorEastAsia" w:cstheme="minorBidi"/>
        </w:rPr>
        <w:t>ensure</w:t>
      </w:r>
      <w:r w:rsidR="00651A25">
        <w:rPr>
          <w:rFonts w:eastAsiaTheme="minorEastAsia" w:cstheme="minorBidi"/>
        </w:rPr>
        <w:t xml:space="preserve"> the best use of the tool. </w:t>
      </w:r>
      <w:r w:rsidR="00DC740C">
        <w:rPr>
          <w:rFonts w:eastAsiaTheme="minorEastAsia" w:cstheme="minorBidi"/>
        </w:rPr>
        <w:t>Th</w:t>
      </w:r>
      <w:r w:rsidR="002128E1">
        <w:rPr>
          <w:rFonts w:eastAsiaTheme="minorEastAsia" w:cstheme="minorBidi"/>
        </w:rPr>
        <w:t xml:space="preserve">is is a positive example of the responsiveness of the TAPQE program, however, as noted elsewhere in this report and in the following paragraph </w:t>
      </w:r>
      <w:r w:rsidR="00DA0475">
        <w:rPr>
          <w:rFonts w:eastAsiaTheme="minorEastAsia" w:cstheme="minorBidi"/>
        </w:rPr>
        <w:t>it was not the product of a systematic needs analysis.</w:t>
      </w:r>
    </w:p>
    <w:p w14:paraId="71BD9780" w14:textId="4FE934B9" w:rsidR="0056508C" w:rsidRDefault="007D4253" w:rsidP="00DF5451">
      <w:pPr>
        <w:spacing w:after="240"/>
        <w:rPr>
          <w:spacing w:val="-4"/>
          <w:lang w:val="en-AU"/>
        </w:rPr>
      </w:pPr>
      <w:r>
        <w:rPr>
          <w:rFonts w:eastAsiaTheme="minorEastAsia" w:cstheme="minorBidi"/>
        </w:rPr>
        <w:t>The second, in part a corollary of the first, is the</w:t>
      </w:r>
      <w:r w:rsidR="0052524A">
        <w:rPr>
          <w:rFonts w:eastAsiaTheme="minorEastAsia" w:cstheme="minorBidi"/>
        </w:rPr>
        <w:t xml:space="preserve"> </w:t>
      </w:r>
      <w:r w:rsidR="005D7333">
        <w:rPr>
          <w:rFonts w:eastAsiaTheme="minorEastAsia" w:cstheme="minorBidi"/>
        </w:rPr>
        <w:t xml:space="preserve">same </w:t>
      </w:r>
      <w:r w:rsidR="0052524A">
        <w:rPr>
          <w:rFonts w:eastAsiaTheme="minorEastAsia" w:cstheme="minorBidi"/>
        </w:rPr>
        <w:t xml:space="preserve">observation </w:t>
      </w:r>
      <w:r>
        <w:rPr>
          <w:rFonts w:eastAsiaTheme="minorEastAsia" w:cstheme="minorBidi"/>
        </w:rPr>
        <w:t xml:space="preserve">in both the 2023 and 2024 TAPQE Annual </w:t>
      </w:r>
      <w:r w:rsidR="00C52FAD">
        <w:rPr>
          <w:rFonts w:eastAsiaTheme="minorEastAsia" w:cstheme="minorBidi"/>
        </w:rPr>
        <w:t>R</w:t>
      </w:r>
      <w:r>
        <w:rPr>
          <w:rFonts w:eastAsiaTheme="minorEastAsia" w:cstheme="minorBidi"/>
        </w:rPr>
        <w:t xml:space="preserve">eports </w:t>
      </w:r>
      <w:r w:rsidR="005D7333">
        <w:rPr>
          <w:rFonts w:eastAsiaTheme="minorEastAsia" w:cstheme="minorBidi"/>
        </w:rPr>
        <w:t xml:space="preserve">of the need </w:t>
      </w:r>
      <w:r w:rsidR="00EE78C2">
        <w:rPr>
          <w:rFonts w:eastAsiaTheme="minorEastAsia" w:cstheme="minorBidi"/>
        </w:rPr>
        <w:t>to address the ‘</w:t>
      </w:r>
      <w:r w:rsidR="00EE78C2" w:rsidRPr="00EE0D8F">
        <w:rPr>
          <w:spacing w:val="-4"/>
          <w:lang w:val="en-AU"/>
        </w:rPr>
        <w:t>lack of educational data or analysis on Tuvalu, particularly on GEDSI</w:t>
      </w:r>
      <w:r w:rsidR="00EE78C2">
        <w:rPr>
          <w:spacing w:val="-4"/>
          <w:lang w:val="en-AU"/>
        </w:rPr>
        <w:t>’</w:t>
      </w:r>
      <w:r w:rsidR="005603EA">
        <w:rPr>
          <w:spacing w:val="-4"/>
          <w:lang w:val="en-AU"/>
        </w:rPr>
        <w:t xml:space="preserve"> </w:t>
      </w:r>
      <w:r w:rsidR="00D61397">
        <w:rPr>
          <w:spacing w:val="-4"/>
          <w:lang w:val="en-AU"/>
        </w:rPr>
        <w:t xml:space="preserve">and </w:t>
      </w:r>
      <w:r w:rsidR="0056508C">
        <w:rPr>
          <w:spacing w:val="-4"/>
          <w:lang w:val="en-AU"/>
        </w:rPr>
        <w:t>for ‘</w:t>
      </w:r>
      <w:r w:rsidR="0056508C" w:rsidRPr="00EE0D8F">
        <w:rPr>
          <w:spacing w:val="-4"/>
          <w:lang w:val="en-AU"/>
        </w:rPr>
        <w:t>clear evidence on the rate of intersectional inclusion and the drivers for exclusion</w:t>
      </w:r>
      <w:r w:rsidR="0056508C">
        <w:rPr>
          <w:spacing w:val="-4"/>
          <w:lang w:val="en-AU"/>
        </w:rPr>
        <w:t>’.</w:t>
      </w:r>
    </w:p>
    <w:p w14:paraId="063B9212" w14:textId="1354C220" w:rsidR="008663C8" w:rsidRPr="00072184" w:rsidRDefault="0056508C" w:rsidP="00DF5451">
      <w:pPr>
        <w:spacing w:after="240"/>
      </w:pPr>
      <w:r>
        <w:t xml:space="preserve">As for the </w:t>
      </w:r>
      <w:r w:rsidR="00192E0C">
        <w:t>previous sub-question</w:t>
      </w:r>
      <w:r w:rsidR="009F497D">
        <w:t>,</w:t>
      </w:r>
      <w:r w:rsidR="00192E0C">
        <w:t xml:space="preserve"> </w:t>
      </w:r>
      <w:r w:rsidR="000F5D62">
        <w:t xml:space="preserve">the Program appears to have the intention to </w:t>
      </w:r>
      <w:r w:rsidR="002F5F9F">
        <w:t>reflect on and, where appropriate, adjust its structure and</w:t>
      </w:r>
      <w:r w:rsidR="009F497D">
        <w:t>/</w:t>
      </w:r>
      <w:r w:rsidR="002F5F9F">
        <w:t>or activities</w:t>
      </w:r>
      <w:r w:rsidR="00C01A5A">
        <w:t xml:space="preserve"> to improve program outcomes, including for GEDSI and climate change activities, outputs and outcomes. However, th</w:t>
      </w:r>
      <w:r w:rsidR="00CB2BE9">
        <w:t xml:space="preserve">ere </w:t>
      </w:r>
      <w:r w:rsidR="00CB2BE9" w:rsidRPr="0085570B">
        <w:rPr>
          <w:b/>
          <w:bCs/>
        </w:rPr>
        <w:t xml:space="preserve">is limited evidence to suggest that this is done </w:t>
      </w:r>
      <w:r w:rsidR="00934466" w:rsidRPr="0085570B">
        <w:rPr>
          <w:b/>
          <w:bCs/>
        </w:rPr>
        <w:t>in</w:t>
      </w:r>
      <w:r w:rsidR="00CB2BE9" w:rsidRPr="0085570B">
        <w:rPr>
          <w:b/>
          <w:bCs/>
        </w:rPr>
        <w:t xml:space="preserve"> a systematic and sustained manner</w:t>
      </w:r>
      <w:r w:rsidR="00CB2BE9">
        <w:t xml:space="preserve">. </w:t>
      </w:r>
      <w:r w:rsidR="00A61AAC">
        <w:t xml:space="preserve">Further, it appears that </w:t>
      </w:r>
      <w:r w:rsidR="00934466">
        <w:t>the engagement</w:t>
      </w:r>
      <w:r w:rsidR="00A61AAC">
        <w:t xml:space="preserve"> of the Steering Group on such matters, </w:t>
      </w:r>
      <w:r w:rsidR="00D82561">
        <w:t xml:space="preserve">(in the absence of another </w:t>
      </w:r>
      <w:r w:rsidR="00472098">
        <w:t>GEDSI oversight mechanism)</w:t>
      </w:r>
      <w:r w:rsidR="00AC2217">
        <w:t>, needs to improve.</w:t>
      </w:r>
    </w:p>
    <w:p w14:paraId="44B16123" w14:textId="77777777" w:rsidR="00C30367" w:rsidRDefault="00C30367" w:rsidP="00542B9A">
      <w:pPr>
        <w:pStyle w:val="Heading2"/>
      </w:pPr>
      <w:bookmarkStart w:id="15" w:name="_Toc209431951"/>
      <w:r>
        <w:t>GEDSI and Climate Change</w:t>
      </w:r>
      <w:bookmarkEnd w:id="15"/>
    </w:p>
    <w:p w14:paraId="12D1BBC3" w14:textId="3ECC637C" w:rsidR="00BD5F72" w:rsidRDefault="007F06A1" w:rsidP="00005956">
      <w:pPr>
        <w:pStyle w:val="Subtitle"/>
        <w:numPr>
          <w:ilvl w:val="0"/>
          <w:numId w:val="6"/>
        </w:numPr>
      </w:pPr>
      <w:r w:rsidRPr="007F06A1">
        <w:t>To what extent are the TAPQE Program’s GEDSI and Climate Change ambitions, approaches and achievements adequate against program logic and design, and current DFAT policies?</w:t>
      </w:r>
    </w:p>
    <w:p w14:paraId="56C7653C" w14:textId="77777777" w:rsidR="00D37839" w:rsidRPr="0039652F" w:rsidRDefault="00D37839" w:rsidP="00D37839">
      <w:pPr>
        <w:rPr>
          <w:b/>
          <w:bCs/>
        </w:rPr>
      </w:pPr>
      <w:r w:rsidRPr="0039652F">
        <w:rPr>
          <w:b/>
          <w:bCs/>
        </w:rPr>
        <w:t xml:space="preserve">Summary response to the review </w:t>
      </w:r>
      <w:r>
        <w:rPr>
          <w:b/>
          <w:bCs/>
        </w:rPr>
        <w:t xml:space="preserve">‘GEDSI and Climate Change’ </w:t>
      </w:r>
      <w:r w:rsidRPr="0039652F">
        <w:rPr>
          <w:b/>
          <w:bCs/>
        </w:rPr>
        <w:t>question</w:t>
      </w:r>
    </w:p>
    <w:p w14:paraId="3A838830" w14:textId="77777777" w:rsidR="00D37839" w:rsidRDefault="00D37839" w:rsidP="007A08F5">
      <w:pPr>
        <w:spacing w:after="240"/>
      </w:pPr>
      <w:r>
        <w:t xml:space="preserve">Both GEDSI and Climate Change are </w:t>
      </w:r>
      <w:r w:rsidRPr="005E77D5">
        <w:rPr>
          <w:b/>
          <w:bCs/>
          <w:color w:val="auto"/>
        </w:rPr>
        <w:t>prominent in the TAPQE 2024 AWP</w:t>
      </w:r>
      <w:r w:rsidRPr="005E77D5">
        <w:rPr>
          <w:color w:val="auto"/>
        </w:rPr>
        <w:t xml:space="preserve"> </w:t>
      </w:r>
      <w:r>
        <w:t xml:space="preserve">across the three EOPOs, indicating ambition and plans to address these across policy and practice. </w:t>
      </w:r>
    </w:p>
    <w:p w14:paraId="6DF1B082" w14:textId="77777777" w:rsidR="00D37839" w:rsidRDefault="00D37839" w:rsidP="007A08F5">
      <w:pPr>
        <w:spacing w:after="240"/>
      </w:pPr>
      <w:r>
        <w:t>The MTR team read and heard about TAPQE contributions to improving the engagement and participation of boys and girls and students with disability and addressing barriers to the participation in schooling of all students. It was clear that, to a degree, some of these took account of different data on the participation and achievement of boys and girls and students with disability.</w:t>
      </w:r>
    </w:p>
    <w:p w14:paraId="57CB64B5" w14:textId="77777777" w:rsidR="00D37839" w:rsidRDefault="00D37839" w:rsidP="007A08F5">
      <w:pPr>
        <w:spacing w:after="240"/>
      </w:pPr>
      <w:r>
        <w:t xml:space="preserve">Based on discussion with TAPQE it is understood that further work is to be undertaken to review planned activities against the ambitions and approaches set out in current DFAT policies, noting that the design of the TAPQE program predates recent DFAT policies on GEDSI and Climate Change. </w:t>
      </w:r>
    </w:p>
    <w:p w14:paraId="1C7202E4" w14:textId="77777777" w:rsidR="00D37839" w:rsidRDefault="00D37839" w:rsidP="007A08F5">
      <w:pPr>
        <w:spacing w:after="240"/>
      </w:pPr>
      <w:r>
        <w:lastRenderedPageBreak/>
        <w:t>As noted earlier, the apparent absence of a Program baseline as per DFAT expectations</w:t>
      </w:r>
      <w:r w:rsidRPr="00EC2EF0">
        <w:t xml:space="preserve">, nor of a systematic </w:t>
      </w:r>
      <w:r>
        <w:t xml:space="preserve">implementation of the MEL system </w:t>
      </w:r>
      <w:r w:rsidRPr="005E77D5">
        <w:rPr>
          <w:b/>
          <w:bCs/>
        </w:rPr>
        <w:t xml:space="preserve">significantly limits the capacity of the </w:t>
      </w:r>
      <w:r>
        <w:rPr>
          <w:b/>
          <w:bCs/>
        </w:rPr>
        <w:t>MTR team</w:t>
      </w:r>
      <w:r w:rsidRPr="005E77D5">
        <w:rPr>
          <w:b/>
          <w:bCs/>
        </w:rPr>
        <w:t xml:space="preserve"> to make a judgement on Program progress</w:t>
      </w:r>
      <w:r>
        <w:t xml:space="preserve"> on GEDSI and Climate Change ambitions. </w:t>
      </w:r>
    </w:p>
    <w:p w14:paraId="36BE15A8" w14:textId="112C2826" w:rsidR="008663C8" w:rsidRPr="0069506B" w:rsidRDefault="00AF5352" w:rsidP="007A08F5">
      <w:pPr>
        <w:pStyle w:val="ListParagraph"/>
        <w:numPr>
          <w:ilvl w:val="0"/>
          <w:numId w:val="10"/>
        </w:numPr>
        <w:spacing w:after="240"/>
        <w:ind w:left="425" w:hanging="425"/>
        <w:rPr>
          <w:rStyle w:val="SubtleEmphasis"/>
        </w:rPr>
      </w:pPr>
      <w:r w:rsidRPr="0069506B">
        <w:rPr>
          <w:rStyle w:val="SubtleEmphasis"/>
        </w:rPr>
        <w:t xml:space="preserve">What </w:t>
      </w:r>
      <w:r w:rsidR="00E6580B" w:rsidRPr="0069506B">
        <w:rPr>
          <w:rStyle w:val="SubtleEmphasis"/>
        </w:rPr>
        <w:t>are the key</w:t>
      </w:r>
      <w:r w:rsidRPr="0069506B">
        <w:rPr>
          <w:rStyle w:val="SubtleEmphasis"/>
        </w:rPr>
        <w:t xml:space="preserve"> activities </w:t>
      </w:r>
      <w:r w:rsidR="00E6580B">
        <w:rPr>
          <w:rStyle w:val="SubtleEmphasis"/>
        </w:rPr>
        <w:t>i</w:t>
      </w:r>
      <w:r w:rsidRPr="0069506B">
        <w:rPr>
          <w:rStyle w:val="SubtleEmphasis"/>
        </w:rPr>
        <w:t xml:space="preserve">n each </w:t>
      </w:r>
      <w:r w:rsidR="008068A1" w:rsidRPr="0069506B">
        <w:rPr>
          <w:rStyle w:val="SubtleEmphasis"/>
        </w:rPr>
        <w:t xml:space="preserve">GEDSI </w:t>
      </w:r>
      <w:r w:rsidRPr="0069506B">
        <w:rPr>
          <w:rStyle w:val="SubtleEmphasis"/>
        </w:rPr>
        <w:t xml:space="preserve">track? What process was used to design the </w:t>
      </w:r>
      <w:r w:rsidR="009F497D" w:rsidRPr="0069506B">
        <w:rPr>
          <w:rStyle w:val="SubtleEmphasis"/>
        </w:rPr>
        <w:t>GEDSI</w:t>
      </w:r>
      <w:r w:rsidR="009F497D">
        <w:rPr>
          <w:rStyle w:val="SubtleEmphasis"/>
        </w:rPr>
        <w:t>-</w:t>
      </w:r>
      <w:r w:rsidRPr="0069506B">
        <w:rPr>
          <w:rStyle w:val="SubtleEmphasis"/>
        </w:rPr>
        <w:t>focused activities?</w:t>
      </w:r>
      <w:r w:rsidR="007A3939">
        <w:rPr>
          <w:rStyle w:val="FootnoteReference"/>
          <w:i/>
          <w:iCs/>
          <w:color w:val="002060"/>
        </w:rPr>
        <w:footnoteReference w:id="17"/>
      </w:r>
    </w:p>
    <w:p w14:paraId="5EF13107" w14:textId="693B268D" w:rsidR="0088331B" w:rsidRDefault="00E61150" w:rsidP="007A08F5">
      <w:pPr>
        <w:spacing w:after="240"/>
        <w:rPr>
          <w:lang w:val="en-AU"/>
        </w:rPr>
      </w:pPr>
      <w:r>
        <w:rPr>
          <w:lang w:val="en-AU"/>
        </w:rPr>
        <w:t xml:space="preserve">The </w:t>
      </w:r>
      <w:r w:rsidR="004661F1" w:rsidRPr="00D26E66">
        <w:rPr>
          <w:i/>
          <w:iCs/>
          <w:lang w:val="en-AU"/>
        </w:rPr>
        <w:t>2024 TAPQE Workplan</w:t>
      </w:r>
      <w:r w:rsidR="004661F1">
        <w:rPr>
          <w:lang w:val="en-AU"/>
        </w:rPr>
        <w:t xml:space="preserve"> </w:t>
      </w:r>
      <w:r w:rsidR="003F3747">
        <w:rPr>
          <w:lang w:val="en-AU"/>
        </w:rPr>
        <w:t>presents GEDSI m</w:t>
      </w:r>
      <w:r w:rsidR="003C7020" w:rsidRPr="003C7020">
        <w:rPr>
          <w:lang w:val="en-AU"/>
        </w:rPr>
        <w:t>ainstreamed and targeted activities in relation to each IO</w:t>
      </w:r>
      <w:r w:rsidR="00EF120B">
        <w:rPr>
          <w:lang w:val="en-AU"/>
        </w:rPr>
        <w:t>. For example, for EOPO1</w:t>
      </w:r>
      <w:r w:rsidR="00D3120E">
        <w:rPr>
          <w:lang w:val="en-AU"/>
        </w:rPr>
        <w:t>,</w:t>
      </w:r>
      <w:r w:rsidR="00EF120B">
        <w:rPr>
          <w:lang w:val="en-AU"/>
        </w:rPr>
        <w:t xml:space="preserve"> </w:t>
      </w:r>
      <w:r w:rsidR="00175476">
        <w:rPr>
          <w:lang w:val="en-AU"/>
        </w:rPr>
        <w:t>IO</w:t>
      </w:r>
      <w:r w:rsidR="00DE2B8C">
        <w:rPr>
          <w:lang w:val="en-AU"/>
        </w:rPr>
        <w:t>1.3</w:t>
      </w:r>
      <w:r w:rsidR="00D26E66">
        <w:rPr>
          <w:lang w:val="en-AU"/>
        </w:rPr>
        <w:t xml:space="preserve"> </w:t>
      </w:r>
      <w:r w:rsidR="001C2EC1">
        <w:rPr>
          <w:lang w:val="en-AU"/>
        </w:rPr>
        <w:t>-</w:t>
      </w:r>
      <w:r w:rsidR="00D26E66">
        <w:rPr>
          <w:lang w:val="en-AU"/>
        </w:rPr>
        <w:t xml:space="preserve"> </w:t>
      </w:r>
      <w:r w:rsidR="00175476">
        <w:rPr>
          <w:lang w:val="en-AU"/>
        </w:rPr>
        <w:t>‘</w:t>
      </w:r>
      <w:r w:rsidR="00175476" w:rsidRPr="00175476">
        <w:rPr>
          <w:lang w:val="en-AU"/>
        </w:rPr>
        <w:t>Increased participation of learners with a disability in primary education, and reduced performance gap between boys and girls at primary school</w:t>
      </w:r>
      <w:r w:rsidR="00175476">
        <w:rPr>
          <w:lang w:val="en-AU"/>
        </w:rPr>
        <w:t xml:space="preserve">’ </w:t>
      </w:r>
      <w:r w:rsidR="0088331B">
        <w:rPr>
          <w:lang w:val="en-AU"/>
        </w:rPr>
        <w:t xml:space="preserve">is </w:t>
      </w:r>
      <w:r w:rsidR="001C2EC1">
        <w:rPr>
          <w:lang w:val="en-AU"/>
        </w:rPr>
        <w:t>underpinned</w:t>
      </w:r>
      <w:r w:rsidR="0088331B">
        <w:rPr>
          <w:lang w:val="en-AU"/>
        </w:rPr>
        <w:t xml:space="preserve"> by four activities:</w:t>
      </w:r>
    </w:p>
    <w:p w14:paraId="01C2CCD7" w14:textId="26BFA5C4" w:rsidR="0088331B" w:rsidRDefault="00421094" w:rsidP="007A08F5">
      <w:pPr>
        <w:pStyle w:val="ListParagraph"/>
        <w:numPr>
          <w:ilvl w:val="0"/>
          <w:numId w:val="29"/>
        </w:numPr>
        <w:spacing w:after="240"/>
        <w:rPr>
          <w:lang w:val="en-AU"/>
        </w:rPr>
      </w:pPr>
      <w:r w:rsidRPr="00421094">
        <w:rPr>
          <w:lang w:val="en-AU"/>
        </w:rPr>
        <w:t xml:space="preserve">With </w:t>
      </w:r>
      <w:r w:rsidR="00A7242A">
        <w:rPr>
          <w:lang w:val="en-AU"/>
        </w:rPr>
        <w:t>MEHRD</w:t>
      </w:r>
      <w:r w:rsidRPr="00421094">
        <w:rPr>
          <w:lang w:val="en-AU"/>
        </w:rPr>
        <w:t xml:space="preserve"> CDU, support integration of GEDSI principles into the National Primary Curriculum</w:t>
      </w:r>
    </w:p>
    <w:p w14:paraId="1F201864" w14:textId="0C8F69CC" w:rsidR="00421094" w:rsidRDefault="00421094" w:rsidP="007A08F5">
      <w:pPr>
        <w:pStyle w:val="ListParagraph"/>
        <w:numPr>
          <w:ilvl w:val="0"/>
          <w:numId w:val="29"/>
        </w:numPr>
        <w:spacing w:after="240"/>
        <w:rPr>
          <w:lang w:val="en-AU"/>
        </w:rPr>
      </w:pPr>
      <w:r w:rsidRPr="00421094">
        <w:rPr>
          <w:lang w:val="en-AU"/>
        </w:rPr>
        <w:t>Develop options for a health screening program to better identify and support students with a disability, including learning disabilities</w:t>
      </w:r>
    </w:p>
    <w:p w14:paraId="7D834DD2" w14:textId="02F35FDE" w:rsidR="00421094" w:rsidRDefault="009328D2" w:rsidP="007A08F5">
      <w:pPr>
        <w:pStyle w:val="ListParagraph"/>
        <w:numPr>
          <w:ilvl w:val="0"/>
          <w:numId w:val="29"/>
        </w:numPr>
        <w:spacing w:after="240"/>
        <w:rPr>
          <w:lang w:val="en-AU"/>
        </w:rPr>
      </w:pPr>
      <w:r w:rsidRPr="009328D2">
        <w:rPr>
          <w:lang w:val="en-AU"/>
        </w:rPr>
        <w:t>Inclusive Education training needs for primary school teachers identified and modules designed and delivered as part of CPD plan</w:t>
      </w:r>
    </w:p>
    <w:p w14:paraId="77C1A9B2" w14:textId="1BA81166" w:rsidR="009328D2" w:rsidRPr="0088331B" w:rsidRDefault="009328D2" w:rsidP="007A08F5">
      <w:pPr>
        <w:pStyle w:val="ListParagraph"/>
        <w:numPr>
          <w:ilvl w:val="0"/>
          <w:numId w:val="29"/>
        </w:numPr>
        <w:spacing w:after="240"/>
        <w:rPr>
          <w:lang w:val="en-AU"/>
        </w:rPr>
      </w:pPr>
      <w:r w:rsidRPr="009328D2">
        <w:rPr>
          <w:lang w:val="en-AU"/>
        </w:rPr>
        <w:t xml:space="preserve">With </w:t>
      </w:r>
      <w:r w:rsidR="00A7242A">
        <w:rPr>
          <w:lang w:val="en-AU"/>
        </w:rPr>
        <w:t>MEHRD</w:t>
      </w:r>
      <w:r w:rsidRPr="009328D2">
        <w:rPr>
          <w:lang w:val="en-AU"/>
        </w:rPr>
        <w:t xml:space="preserve"> and CDU, investigate design and content needs of remediation programs for both Numeracy years 1-4 and Literacy years 5-8 for students identified at risk; programs </w:t>
      </w:r>
      <w:r w:rsidR="00A3281B" w:rsidRPr="009328D2">
        <w:rPr>
          <w:lang w:val="en-AU"/>
        </w:rPr>
        <w:t>developed.</w:t>
      </w:r>
    </w:p>
    <w:p w14:paraId="4A4D4C9D" w14:textId="386EA065" w:rsidR="0007223F" w:rsidRDefault="00781EE3" w:rsidP="007A08F5">
      <w:pPr>
        <w:spacing w:after="240"/>
        <w:rPr>
          <w:lang w:val="en-AU"/>
        </w:rPr>
      </w:pPr>
      <w:r>
        <w:rPr>
          <w:lang w:val="en-AU"/>
        </w:rPr>
        <w:t xml:space="preserve">The </w:t>
      </w:r>
      <w:r w:rsidR="003F7C64">
        <w:rPr>
          <w:lang w:val="en-AU"/>
        </w:rPr>
        <w:t xml:space="preserve">GEDSI element of the 2024 TAPQE Workplan </w:t>
      </w:r>
      <w:r w:rsidR="009509A1">
        <w:rPr>
          <w:lang w:val="en-AU"/>
        </w:rPr>
        <w:t>has been informed by the TAPQE GEDSI Strategy</w:t>
      </w:r>
      <w:r w:rsidR="0007223F">
        <w:rPr>
          <w:lang w:val="en-AU"/>
        </w:rPr>
        <w:t xml:space="preserve">, which in turn was developed in </w:t>
      </w:r>
      <w:r w:rsidR="0007223F" w:rsidRPr="0007223F">
        <w:rPr>
          <w:lang w:val="en-AU"/>
        </w:rPr>
        <w:t xml:space="preserve">consultation with TAPQE staff and senior management, the Ministry for Education Youth and Sport (MEYS) CEO and Director, Fusi Alofa Disability Peoples organisation, Teachers of the Aofiaga Centre, Ministry of Health, Social Welfare and Gender Affairs, National Council of Women and the Australian High Commission. </w:t>
      </w:r>
    </w:p>
    <w:p w14:paraId="5111EC0E" w14:textId="0F4BCA56" w:rsidR="00E340C8" w:rsidRPr="00542B9A" w:rsidRDefault="008E23D6" w:rsidP="007A08F5">
      <w:pPr>
        <w:spacing w:after="240"/>
      </w:pPr>
      <w:r>
        <w:t>Use</w:t>
      </w:r>
      <w:r w:rsidR="002B4945" w:rsidRPr="002B4945">
        <w:t xml:space="preserve"> of the twin-track approach to inclusive development </w:t>
      </w:r>
      <w:r w:rsidR="002B4945">
        <w:t xml:space="preserve">is </w:t>
      </w:r>
      <w:r>
        <w:t xml:space="preserve">consistent </w:t>
      </w:r>
      <w:r w:rsidR="00474DF9">
        <w:t xml:space="preserve">with </w:t>
      </w:r>
      <w:r w:rsidR="00986467">
        <w:t xml:space="preserve">DFAT </w:t>
      </w:r>
      <w:r w:rsidR="00474DF9">
        <w:t xml:space="preserve">advice </w:t>
      </w:r>
      <w:r w:rsidR="006F5647">
        <w:t>(</w:t>
      </w:r>
      <w:r w:rsidR="006F5647" w:rsidRPr="00542B9A">
        <w:rPr>
          <w:i/>
          <w:iCs/>
        </w:rPr>
        <w:t>Australia’s International Disability Equity and Rights Strategy: Advancing equity to transform lives</w:t>
      </w:r>
      <w:r w:rsidR="006F5647">
        <w:t>)</w:t>
      </w:r>
      <w:r w:rsidR="00474DF9">
        <w:t xml:space="preserve">. </w:t>
      </w:r>
      <w:r w:rsidR="00B91B68">
        <w:t xml:space="preserve">However, more needs to be done </w:t>
      </w:r>
      <w:r w:rsidR="00E70E4C" w:rsidRPr="00542B9A">
        <w:rPr>
          <w:b/>
          <w:bCs/>
        </w:rPr>
        <w:t xml:space="preserve">to ensure strong and </w:t>
      </w:r>
      <w:r w:rsidR="002B4945" w:rsidRPr="00542B9A">
        <w:rPr>
          <w:b/>
          <w:bCs/>
        </w:rPr>
        <w:t>appropriately mainstreamed</w:t>
      </w:r>
      <w:r w:rsidR="00E70E4C" w:rsidRPr="00542B9A">
        <w:rPr>
          <w:b/>
          <w:bCs/>
        </w:rPr>
        <w:t xml:space="preserve"> </w:t>
      </w:r>
      <w:r w:rsidR="007F0530" w:rsidRPr="00542B9A">
        <w:rPr>
          <w:b/>
          <w:bCs/>
        </w:rPr>
        <w:t>GEDSI and Climate Change activities</w:t>
      </w:r>
      <w:r w:rsidR="007F0530">
        <w:t xml:space="preserve"> </w:t>
      </w:r>
      <w:r w:rsidR="00E70E4C">
        <w:t xml:space="preserve">are in place. </w:t>
      </w:r>
      <w:r w:rsidR="007F0530">
        <w:t xml:space="preserve">Further, </w:t>
      </w:r>
      <w:r w:rsidR="002B4945" w:rsidRPr="002B4945">
        <w:t xml:space="preserve">gender and disability data collected in TEMIS and for </w:t>
      </w:r>
      <w:r w:rsidR="00703EAA">
        <w:t>the P</w:t>
      </w:r>
      <w:r w:rsidR="002B4945" w:rsidRPr="002B4945">
        <w:t xml:space="preserve">rogram MERL </w:t>
      </w:r>
      <w:r w:rsidR="00703EAA">
        <w:t xml:space="preserve">need to be </w:t>
      </w:r>
      <w:r w:rsidR="00703EAA" w:rsidRPr="00542B9A">
        <w:rPr>
          <w:b/>
          <w:bCs/>
        </w:rPr>
        <w:t>d</w:t>
      </w:r>
      <w:r w:rsidR="002B4945" w:rsidRPr="00542B9A">
        <w:rPr>
          <w:b/>
          <w:bCs/>
        </w:rPr>
        <w:t>isaggregated by sex and disability</w:t>
      </w:r>
      <w:r w:rsidR="00703EAA" w:rsidRPr="00542B9A">
        <w:rPr>
          <w:b/>
          <w:bCs/>
        </w:rPr>
        <w:t xml:space="preserve"> and analysed to identify what is working</w:t>
      </w:r>
      <w:r w:rsidR="00703EAA">
        <w:t xml:space="preserve"> and what needs to be improved</w:t>
      </w:r>
      <w:r w:rsidR="00BE29E8">
        <w:t xml:space="preserve">. </w:t>
      </w:r>
      <w:r w:rsidR="00075F5E">
        <w:t xml:space="preserve">Consideration might be given to </w:t>
      </w:r>
      <w:r w:rsidR="00A3281B" w:rsidRPr="002B4945">
        <w:t>the use</w:t>
      </w:r>
      <w:r w:rsidR="002B4945" w:rsidRPr="002B4945">
        <w:t xml:space="preserve"> of the Washington Group short set (WGSS) </w:t>
      </w:r>
      <w:r w:rsidR="0009229F">
        <w:t xml:space="preserve">(which </w:t>
      </w:r>
      <w:r w:rsidR="002B4945" w:rsidRPr="002B4945">
        <w:t>is increasing in the Pacific</w:t>
      </w:r>
      <w:r w:rsidR="00920DD5">
        <w:t>)</w:t>
      </w:r>
      <w:r w:rsidR="00DC2DA8">
        <w:t xml:space="preserve"> to strengthen TAPQE’s disability</w:t>
      </w:r>
      <w:r w:rsidR="00D42840">
        <w:t xml:space="preserve"> assessment</w:t>
      </w:r>
      <w:r w:rsidR="00920DD5">
        <w:t>,</w:t>
      </w:r>
      <w:r w:rsidR="002B4945" w:rsidRPr="002B4945">
        <w:t xml:space="preserve"> and technical assistance can be sourced from SPC, UNICEF and the Pacific Disability Forum. </w:t>
      </w:r>
    </w:p>
    <w:p w14:paraId="3B44D903" w14:textId="2AC6926C" w:rsidR="00AF5352" w:rsidRPr="0069506B" w:rsidRDefault="00DF217D" w:rsidP="007A08F5">
      <w:pPr>
        <w:pStyle w:val="ListParagraph"/>
        <w:numPr>
          <w:ilvl w:val="0"/>
          <w:numId w:val="10"/>
        </w:numPr>
        <w:spacing w:after="240"/>
        <w:ind w:left="425" w:hanging="425"/>
        <w:rPr>
          <w:rStyle w:val="SubtleEmphasis"/>
        </w:rPr>
      </w:pPr>
      <w:r>
        <w:rPr>
          <w:rStyle w:val="SubtleEmphasis"/>
        </w:rPr>
        <w:t>What</w:t>
      </w:r>
      <w:r w:rsidR="00311624">
        <w:rPr>
          <w:rStyle w:val="SubtleEmphasis"/>
        </w:rPr>
        <w:t xml:space="preserve"> progress has been </w:t>
      </w:r>
      <w:r w:rsidR="00AD6995">
        <w:rPr>
          <w:rStyle w:val="SubtleEmphasis"/>
        </w:rPr>
        <w:t xml:space="preserve">achieved in relation to </w:t>
      </w:r>
      <w:r w:rsidR="00BF53EF">
        <w:rPr>
          <w:rStyle w:val="SubtleEmphasis"/>
        </w:rPr>
        <w:t xml:space="preserve">MEYS implementation of the </w:t>
      </w:r>
      <w:r w:rsidR="00AF5352" w:rsidRPr="0069506B">
        <w:rPr>
          <w:rStyle w:val="SubtleEmphasis"/>
        </w:rPr>
        <w:t xml:space="preserve">Disability Inclusive Education policy and TAPQE </w:t>
      </w:r>
      <w:r w:rsidR="00BF53EF">
        <w:rPr>
          <w:rStyle w:val="SubtleEmphasis"/>
        </w:rPr>
        <w:t xml:space="preserve">Program </w:t>
      </w:r>
      <w:r w:rsidR="00AF5352" w:rsidRPr="0069506B">
        <w:rPr>
          <w:rStyle w:val="SubtleEmphasis"/>
        </w:rPr>
        <w:t>activities</w:t>
      </w:r>
      <w:r w:rsidR="00BF53EF">
        <w:rPr>
          <w:rStyle w:val="SubtleEmphasis"/>
        </w:rPr>
        <w:t>?</w:t>
      </w:r>
      <w:r w:rsidR="00AF5352" w:rsidRPr="0069506B">
        <w:rPr>
          <w:rStyle w:val="SubtleEmphasis"/>
        </w:rPr>
        <w:t xml:space="preserve"> </w:t>
      </w:r>
    </w:p>
    <w:p w14:paraId="3324D6F8" w14:textId="1EEBF51B" w:rsidR="002A16F2" w:rsidRDefault="006B64BA" w:rsidP="007A08F5">
      <w:pPr>
        <w:spacing w:after="240"/>
      </w:pPr>
      <w:r>
        <w:t xml:space="preserve">The </w:t>
      </w:r>
      <w:r w:rsidRPr="006628BC">
        <w:rPr>
          <w:i/>
          <w:iCs/>
        </w:rPr>
        <w:t>2024 TAPQE Annual Work</w:t>
      </w:r>
      <w:r w:rsidR="00244639" w:rsidRPr="006628BC">
        <w:rPr>
          <w:i/>
          <w:iCs/>
        </w:rPr>
        <w:t>plan</w:t>
      </w:r>
      <w:r w:rsidR="00244639">
        <w:t xml:space="preserve"> </w:t>
      </w:r>
      <w:r w:rsidR="005035A2">
        <w:t xml:space="preserve">EOPO3, </w:t>
      </w:r>
      <w:r w:rsidR="00FF0440">
        <w:t>IO</w:t>
      </w:r>
      <w:r w:rsidR="00C83992">
        <w:t xml:space="preserve"> 3.2, </w:t>
      </w:r>
      <w:r w:rsidR="00E86D87" w:rsidRPr="0069506B">
        <w:t xml:space="preserve">Activity </w:t>
      </w:r>
      <w:r w:rsidR="00E773BA" w:rsidRPr="0069506B">
        <w:t>3</w:t>
      </w:r>
      <w:r w:rsidR="00FD42AC">
        <w:t xml:space="preserve"> </w:t>
      </w:r>
      <w:r w:rsidR="004D1B4E">
        <w:t>‘</w:t>
      </w:r>
      <w:r w:rsidR="004D1B4E" w:rsidRPr="004D1B4E">
        <w:t>Supporting MEYS to deliver policies, plans and procedures related to GEDSI and Climate change</w:t>
      </w:r>
      <w:r w:rsidR="004D1B4E">
        <w:t xml:space="preserve">’ </w:t>
      </w:r>
      <w:r w:rsidR="000D1AF1">
        <w:t xml:space="preserve">includes </w:t>
      </w:r>
      <w:r w:rsidR="00AF76FA">
        <w:t>five</w:t>
      </w:r>
      <w:r w:rsidR="000D1AF1">
        <w:t xml:space="preserve"> activities</w:t>
      </w:r>
      <w:r w:rsidR="002A16F2">
        <w:t>:</w:t>
      </w:r>
    </w:p>
    <w:p w14:paraId="763B0FAC" w14:textId="77777777" w:rsidR="002A16F2" w:rsidRDefault="002A16F2" w:rsidP="007A08F5">
      <w:pPr>
        <w:pStyle w:val="ListParagraph"/>
        <w:numPr>
          <w:ilvl w:val="0"/>
          <w:numId w:val="30"/>
        </w:numPr>
        <w:spacing w:after="240"/>
      </w:pPr>
      <w:r>
        <w:t>working closely with MEYS to implement the Disability Inclusion Policy and Workplan (noting MEYS yet to recruit an Inclusive Education Officer)</w:t>
      </w:r>
    </w:p>
    <w:p w14:paraId="52D522E8" w14:textId="070C19D6" w:rsidR="002A16F2" w:rsidRDefault="002A16F2" w:rsidP="007A08F5">
      <w:pPr>
        <w:pStyle w:val="ListParagraph"/>
        <w:numPr>
          <w:ilvl w:val="0"/>
          <w:numId w:val="30"/>
        </w:numPr>
        <w:spacing w:after="240"/>
      </w:pPr>
      <w:r>
        <w:t xml:space="preserve">providing </w:t>
      </w:r>
      <w:r w:rsidR="006730EE">
        <w:t>high-</w:t>
      </w:r>
      <w:r>
        <w:t>level secretariat support for the Inclusive Education Advisory Group</w:t>
      </w:r>
    </w:p>
    <w:p w14:paraId="55A90E00" w14:textId="44FC28BB" w:rsidR="002A16F2" w:rsidRDefault="002A16F2" w:rsidP="007A08F5">
      <w:pPr>
        <w:pStyle w:val="ListParagraph"/>
        <w:numPr>
          <w:ilvl w:val="0"/>
          <w:numId w:val="30"/>
        </w:numPr>
        <w:spacing w:after="240"/>
      </w:pPr>
      <w:r>
        <w:t>reviewing and updating all policies and workplans for GEDSI</w:t>
      </w:r>
    </w:p>
    <w:p w14:paraId="518AE92B" w14:textId="717D4D6C" w:rsidR="002A16F2" w:rsidRDefault="002A16F2" w:rsidP="007A08F5">
      <w:pPr>
        <w:pStyle w:val="ListParagraph"/>
        <w:numPr>
          <w:ilvl w:val="0"/>
          <w:numId w:val="30"/>
        </w:numPr>
        <w:spacing w:after="240"/>
      </w:pPr>
      <w:r>
        <w:lastRenderedPageBreak/>
        <w:t>ensuring all MEYS Officers are upskilled on GEDSI and climate change</w:t>
      </w:r>
    </w:p>
    <w:p w14:paraId="4508F08F" w14:textId="2D842D79" w:rsidR="009E7652" w:rsidRPr="0069506B" w:rsidRDefault="002A16F2" w:rsidP="007A08F5">
      <w:pPr>
        <w:pStyle w:val="ListParagraph"/>
        <w:numPr>
          <w:ilvl w:val="0"/>
          <w:numId w:val="30"/>
        </w:numPr>
        <w:spacing w:after="240"/>
      </w:pPr>
      <w:r>
        <w:t>delivering climate change Disaster Reduction education workshops to schools and supporting schools in the development of Disaster Reduction plans</w:t>
      </w:r>
      <w:r w:rsidR="00FD42AC">
        <w:t xml:space="preserve"> </w:t>
      </w:r>
    </w:p>
    <w:p w14:paraId="45FDE126" w14:textId="3CD31752" w:rsidR="00B074C4" w:rsidRDefault="00B748FA" w:rsidP="007A08F5">
      <w:pPr>
        <w:spacing w:after="240"/>
      </w:pPr>
      <w:r>
        <w:t xml:space="preserve">The </w:t>
      </w:r>
      <w:r w:rsidRPr="006628BC">
        <w:rPr>
          <w:i/>
          <w:iCs/>
        </w:rPr>
        <w:t>2024 (draft) TAPQE Annual Report</w:t>
      </w:r>
      <w:r>
        <w:t xml:space="preserve"> </w:t>
      </w:r>
      <w:r w:rsidR="00CE10B7" w:rsidRPr="00542B9A">
        <w:rPr>
          <w:i/>
          <w:iCs/>
        </w:rPr>
        <w:t xml:space="preserve">Annex </w:t>
      </w:r>
      <w:r w:rsidR="006D390E" w:rsidRPr="00542B9A">
        <w:rPr>
          <w:i/>
          <w:iCs/>
        </w:rPr>
        <w:t>1</w:t>
      </w:r>
      <w:r w:rsidR="00135E32" w:rsidRPr="00542B9A">
        <w:rPr>
          <w:i/>
          <w:iCs/>
        </w:rPr>
        <w:t>: TAPQE Evidence Table</w:t>
      </w:r>
      <w:r w:rsidR="00CE10B7">
        <w:t xml:space="preserve"> </w:t>
      </w:r>
      <w:r w:rsidR="00AD6995">
        <w:t xml:space="preserve">reports the </w:t>
      </w:r>
      <w:r w:rsidR="00EC664E">
        <w:t xml:space="preserve">following </w:t>
      </w:r>
      <w:r w:rsidR="00DD5B22">
        <w:t>progress in r</w:t>
      </w:r>
      <w:r w:rsidR="001156F5">
        <w:t xml:space="preserve">elation to GEDSI </w:t>
      </w:r>
      <w:r w:rsidR="00B074C4">
        <w:t>a</w:t>
      </w:r>
      <w:r w:rsidR="009A7DC9">
        <w:t xml:space="preserve">t </w:t>
      </w:r>
      <w:r w:rsidR="00B074C4">
        <w:t xml:space="preserve">the </w:t>
      </w:r>
      <w:r w:rsidR="00EC664E">
        <w:t>end of 2024</w:t>
      </w:r>
      <w:r w:rsidR="00B074C4">
        <w:t>:</w:t>
      </w:r>
    </w:p>
    <w:p w14:paraId="13C82D9E" w14:textId="0E265148" w:rsidR="00CE4BEB" w:rsidRDefault="00135E32" w:rsidP="007A08F5">
      <w:pPr>
        <w:spacing w:after="240"/>
        <w:ind w:left="284"/>
      </w:pPr>
      <w:r>
        <w:t xml:space="preserve">Success Indicator </w:t>
      </w:r>
      <w:r w:rsidR="00AF76FA">
        <w:t xml:space="preserve">Point </w:t>
      </w:r>
      <w:r w:rsidR="00722392">
        <w:t>1.8 More schools (primary and secondary) implementing practical, contextually appropriate child protection and inclusion strategies.</w:t>
      </w:r>
    </w:p>
    <w:p w14:paraId="3999819B" w14:textId="77777777" w:rsidR="009A7DC9" w:rsidRPr="0069506B" w:rsidRDefault="009A7DC9" w:rsidP="007A08F5">
      <w:pPr>
        <w:pStyle w:val="ListParagraph"/>
        <w:numPr>
          <w:ilvl w:val="0"/>
          <w:numId w:val="31"/>
        </w:numPr>
        <w:spacing w:after="240"/>
        <w:rPr>
          <w:i/>
          <w:iCs/>
        </w:rPr>
      </w:pPr>
      <w:r w:rsidRPr="0069506B">
        <w:rPr>
          <w:i/>
          <w:iCs/>
        </w:rPr>
        <w:t>33.3% of schools are implementing some level of inclusive education strategies. An increase of 20% from 2023</w:t>
      </w:r>
    </w:p>
    <w:p w14:paraId="6F211F10" w14:textId="6C0C9413" w:rsidR="00722392" w:rsidRPr="0069506B" w:rsidRDefault="009A7DC9" w:rsidP="007A08F5">
      <w:pPr>
        <w:pStyle w:val="ListParagraph"/>
        <w:numPr>
          <w:ilvl w:val="0"/>
          <w:numId w:val="31"/>
        </w:numPr>
        <w:spacing w:after="240"/>
        <w:rPr>
          <w:i/>
          <w:iCs/>
        </w:rPr>
      </w:pPr>
      <w:r w:rsidRPr="0069506B">
        <w:rPr>
          <w:i/>
          <w:iCs/>
        </w:rPr>
        <w:t>Only 25% are fully implementing inclusive strategies with proper resources and trained teachers</w:t>
      </w:r>
    </w:p>
    <w:p w14:paraId="14985541" w14:textId="0CEA0EBB" w:rsidR="00722392" w:rsidRDefault="00135E32" w:rsidP="007A08F5">
      <w:pPr>
        <w:spacing w:after="240"/>
        <w:ind w:left="284"/>
      </w:pPr>
      <w:r>
        <w:t xml:space="preserve">Success Indicator </w:t>
      </w:r>
      <w:r w:rsidR="005379F7">
        <w:t>3.3 Education strategies, policies, plans and procedures, including for GEDSI, are updated to reflect best practice, and are understood and actioned by staff.</w:t>
      </w:r>
    </w:p>
    <w:p w14:paraId="04974DD0" w14:textId="64591EB1" w:rsidR="002672BE" w:rsidRPr="0069506B" w:rsidRDefault="002672BE" w:rsidP="007A08F5">
      <w:pPr>
        <w:pStyle w:val="ListParagraph"/>
        <w:numPr>
          <w:ilvl w:val="0"/>
          <w:numId w:val="31"/>
        </w:numPr>
        <w:spacing w:after="240"/>
        <w:rPr>
          <w:i/>
          <w:iCs/>
        </w:rPr>
      </w:pPr>
      <w:r w:rsidRPr="0069506B">
        <w:rPr>
          <w:i/>
          <w:iCs/>
        </w:rPr>
        <w:t xml:space="preserve">ToR </w:t>
      </w:r>
      <w:r w:rsidR="00D66078">
        <w:rPr>
          <w:i/>
          <w:iCs/>
        </w:rPr>
        <w:t xml:space="preserve">for IEWG </w:t>
      </w:r>
      <w:r w:rsidRPr="0069506B">
        <w:rPr>
          <w:i/>
          <w:iCs/>
        </w:rPr>
        <w:t xml:space="preserve">developed by TAPQE and approved by MEHRD </w:t>
      </w:r>
    </w:p>
    <w:p w14:paraId="3B90C95A" w14:textId="77777777" w:rsidR="002672BE" w:rsidRPr="0069506B" w:rsidRDefault="002672BE" w:rsidP="007A08F5">
      <w:pPr>
        <w:pStyle w:val="ListParagraph"/>
        <w:numPr>
          <w:ilvl w:val="0"/>
          <w:numId w:val="31"/>
        </w:numPr>
        <w:spacing w:after="240"/>
        <w:rPr>
          <w:i/>
          <w:iCs/>
        </w:rPr>
      </w:pPr>
      <w:r w:rsidRPr="0069506B">
        <w:rPr>
          <w:i/>
          <w:iCs/>
        </w:rPr>
        <w:t xml:space="preserve">TAPQE Inclusion coordinator is the secretary of the IEWG. Quarterly meetings </w:t>
      </w:r>
      <w:proofErr w:type="gramStart"/>
      <w:r w:rsidRPr="0069506B">
        <w:rPr>
          <w:i/>
          <w:iCs/>
        </w:rPr>
        <w:t>held</w:t>
      </w:r>
      <w:proofErr w:type="gramEnd"/>
      <w:r w:rsidRPr="0069506B">
        <w:rPr>
          <w:i/>
          <w:iCs/>
        </w:rPr>
        <w:t xml:space="preserve"> since July 2023. Ongoing monitoring of the goals set in the Disability Inclusive Education Policy.</w:t>
      </w:r>
    </w:p>
    <w:p w14:paraId="3C8962A7" w14:textId="77777777" w:rsidR="002672BE" w:rsidRPr="0069506B" w:rsidRDefault="002672BE" w:rsidP="007A08F5">
      <w:pPr>
        <w:pStyle w:val="ListParagraph"/>
        <w:numPr>
          <w:ilvl w:val="0"/>
          <w:numId w:val="31"/>
        </w:numPr>
        <w:spacing w:after="240"/>
        <w:rPr>
          <w:i/>
          <w:iCs/>
        </w:rPr>
      </w:pPr>
      <w:r w:rsidRPr="0069506B">
        <w:rPr>
          <w:i/>
          <w:iCs/>
        </w:rPr>
        <w:t>MEHRD Officers have participated in inclusive education workshops and IEWG meetings.</w:t>
      </w:r>
    </w:p>
    <w:p w14:paraId="5CF9DED0" w14:textId="46586ECA" w:rsidR="00DF1C91" w:rsidRDefault="007C073D" w:rsidP="007A08F5">
      <w:pPr>
        <w:spacing w:after="240"/>
      </w:pPr>
      <w:r>
        <w:t>T</w:t>
      </w:r>
      <w:r w:rsidR="00E22E2D">
        <w:t>his shows t</w:t>
      </w:r>
      <w:r>
        <w:t xml:space="preserve">here is </w:t>
      </w:r>
      <w:r w:rsidR="00CA3B71" w:rsidRPr="00542B9A">
        <w:rPr>
          <w:b/>
          <w:bCs/>
        </w:rPr>
        <w:t xml:space="preserve">evidence of </w:t>
      </w:r>
      <w:r w:rsidR="00B42225" w:rsidRPr="00542B9A">
        <w:rPr>
          <w:b/>
          <w:bCs/>
        </w:rPr>
        <w:t>activities being undertaken</w:t>
      </w:r>
      <w:r w:rsidR="00221D4C">
        <w:t xml:space="preserve">, </w:t>
      </w:r>
      <w:r w:rsidR="00D66078">
        <w:t xml:space="preserve">and </w:t>
      </w:r>
      <w:r w:rsidR="00732114">
        <w:t xml:space="preserve">implementation </w:t>
      </w:r>
      <w:r w:rsidR="00E22E2D">
        <w:t>of</w:t>
      </w:r>
      <w:r w:rsidR="006A5901">
        <w:t xml:space="preserve"> </w:t>
      </w:r>
      <w:r w:rsidR="001156F5">
        <w:t>inclusive education strate</w:t>
      </w:r>
      <w:r w:rsidR="00D844B5">
        <w:t xml:space="preserve">gies </w:t>
      </w:r>
      <w:r w:rsidR="00732114">
        <w:t xml:space="preserve">by </w:t>
      </w:r>
      <w:r w:rsidR="006628BC">
        <w:t>schools</w:t>
      </w:r>
      <w:r w:rsidR="006E7581">
        <w:t>. H</w:t>
      </w:r>
      <w:r w:rsidR="00221D4C">
        <w:t xml:space="preserve">owever, it is not </w:t>
      </w:r>
      <w:r w:rsidR="00BD686B">
        <w:t xml:space="preserve">clear </w:t>
      </w:r>
      <w:r w:rsidR="00221D4C">
        <w:t xml:space="preserve">from information provided to the </w:t>
      </w:r>
      <w:r w:rsidR="00165A4E">
        <w:t>MTR team</w:t>
      </w:r>
      <w:r w:rsidR="00221D4C">
        <w:t xml:space="preserve"> </w:t>
      </w:r>
      <w:r w:rsidR="00221D4C" w:rsidRPr="00542B9A">
        <w:rPr>
          <w:b/>
          <w:bCs/>
        </w:rPr>
        <w:t>wh</w:t>
      </w:r>
      <w:r w:rsidR="00EE3963" w:rsidRPr="00542B9A">
        <w:rPr>
          <w:b/>
          <w:bCs/>
        </w:rPr>
        <w:t xml:space="preserve">ether any data is being collected in relation to </w:t>
      </w:r>
      <w:r w:rsidR="00C45B0A" w:rsidRPr="00542B9A">
        <w:rPr>
          <w:b/>
          <w:bCs/>
        </w:rPr>
        <w:t>changes in school and teacher practice</w:t>
      </w:r>
      <w:r w:rsidR="00732114" w:rsidRPr="00542B9A">
        <w:rPr>
          <w:b/>
          <w:bCs/>
        </w:rPr>
        <w:t>s</w:t>
      </w:r>
      <w:r w:rsidR="006E7581">
        <w:t xml:space="preserve">. This means that it is </w:t>
      </w:r>
      <w:r w:rsidR="006E7581" w:rsidRPr="00542B9A">
        <w:rPr>
          <w:b/>
          <w:bCs/>
        </w:rPr>
        <w:t xml:space="preserve">not possible to </w:t>
      </w:r>
      <w:r w:rsidR="00401791" w:rsidRPr="00542B9A">
        <w:rPr>
          <w:b/>
          <w:bCs/>
        </w:rPr>
        <w:t xml:space="preserve">comment on </w:t>
      </w:r>
      <w:r w:rsidR="00B91B68" w:rsidRPr="00B91B68">
        <w:rPr>
          <w:b/>
          <w:bCs/>
        </w:rPr>
        <w:t>the effectiveness</w:t>
      </w:r>
      <w:r w:rsidR="00401791" w:rsidRPr="00542B9A">
        <w:rPr>
          <w:b/>
          <w:bCs/>
        </w:rPr>
        <w:t xml:space="preserve"> or efficiency</w:t>
      </w:r>
      <w:r w:rsidR="00401791">
        <w:t xml:space="preserve"> of the </w:t>
      </w:r>
      <w:r w:rsidR="0066675C">
        <w:t>Program’s efforts in this area</w:t>
      </w:r>
      <w:r w:rsidR="00C45B0A">
        <w:t>.</w:t>
      </w:r>
    </w:p>
    <w:p w14:paraId="5B4621DA" w14:textId="59BB3385" w:rsidR="00AF5352" w:rsidRPr="0069506B" w:rsidRDefault="00AF5352" w:rsidP="007A08F5">
      <w:pPr>
        <w:pStyle w:val="ListParagraph"/>
        <w:numPr>
          <w:ilvl w:val="0"/>
          <w:numId w:val="10"/>
        </w:numPr>
        <w:spacing w:after="240"/>
        <w:ind w:left="425" w:hanging="425"/>
        <w:rPr>
          <w:rStyle w:val="SubtleEmphasis"/>
        </w:rPr>
      </w:pPr>
      <w:r w:rsidRPr="0069506B">
        <w:rPr>
          <w:rStyle w:val="SubtleEmphasis"/>
        </w:rPr>
        <w:t xml:space="preserve">What results </w:t>
      </w:r>
      <w:r w:rsidR="00C44E04" w:rsidRPr="0069506B">
        <w:rPr>
          <w:rStyle w:val="SubtleEmphasis"/>
        </w:rPr>
        <w:t xml:space="preserve">are </w:t>
      </w:r>
      <w:r w:rsidRPr="0069506B">
        <w:rPr>
          <w:rStyle w:val="SubtleEmphasis"/>
        </w:rPr>
        <w:t xml:space="preserve">reported for GEDSI and what tools were used? </w:t>
      </w:r>
    </w:p>
    <w:p w14:paraId="2CE5100C" w14:textId="77777777" w:rsidR="002B662F" w:rsidRDefault="00FC0B7D" w:rsidP="007A08F5">
      <w:pPr>
        <w:spacing w:after="240"/>
        <w:rPr>
          <w:color w:val="auto"/>
        </w:rPr>
      </w:pPr>
      <w:r>
        <w:t>Earlier discussion in this report (sub questions 2d and</w:t>
      </w:r>
      <w:r w:rsidR="00131F6C">
        <w:t xml:space="preserve"> 3c) </w:t>
      </w:r>
      <w:r w:rsidR="00D01462">
        <w:t>considers the effectiveness and efficiency of TAPQE GEDSI activities</w:t>
      </w:r>
      <w:r w:rsidR="006835B7">
        <w:t xml:space="preserve">. While it is evident that a range of TAPQE </w:t>
      </w:r>
      <w:r w:rsidR="006835B7">
        <w:rPr>
          <w:color w:val="auto"/>
        </w:rPr>
        <w:t xml:space="preserve">activities and associated outputs </w:t>
      </w:r>
      <w:r w:rsidR="00AD021E">
        <w:rPr>
          <w:color w:val="auto"/>
        </w:rPr>
        <w:t xml:space="preserve">address GEDSI the </w:t>
      </w:r>
      <w:r w:rsidR="002B662F">
        <w:rPr>
          <w:color w:val="auto"/>
        </w:rPr>
        <w:t>conclusions drawn by the MTR Team were that:</w:t>
      </w:r>
    </w:p>
    <w:p w14:paraId="4565B4A1" w14:textId="77777777" w:rsidR="00FC0B7D" w:rsidRDefault="00FC0B7D" w:rsidP="007A08F5">
      <w:pPr>
        <w:pStyle w:val="ListParagraph"/>
        <w:numPr>
          <w:ilvl w:val="0"/>
          <w:numId w:val="79"/>
        </w:numPr>
        <w:spacing w:after="240"/>
      </w:pPr>
      <w:r>
        <w:t xml:space="preserve">In the absence of baseline and associated progress data (for relevant Intermediate Outcomes and for End of Program Outcomes) it is </w:t>
      </w:r>
      <w:r w:rsidRPr="00A9645C">
        <w:t>not possible to make an objective judgement on the extent to which the GEDSI activities have been effective</w:t>
      </w:r>
      <w:r>
        <w:t xml:space="preserve">. </w:t>
      </w:r>
    </w:p>
    <w:p w14:paraId="376A8597" w14:textId="278D514F" w:rsidR="006835B7" w:rsidRDefault="00147C78" w:rsidP="007A08F5">
      <w:pPr>
        <w:pStyle w:val="ListParagraph"/>
        <w:numPr>
          <w:ilvl w:val="0"/>
          <w:numId w:val="79"/>
        </w:numPr>
        <w:spacing w:after="240"/>
      </w:pPr>
      <w:r>
        <w:t xml:space="preserve">While the Program intends to </w:t>
      </w:r>
      <w:r w:rsidR="006835B7">
        <w:t xml:space="preserve">reflect on and, where appropriate, adjust its structure and/or activities to improve </w:t>
      </w:r>
      <w:r>
        <w:t xml:space="preserve">GEDSI </w:t>
      </w:r>
      <w:r w:rsidR="006835B7">
        <w:t xml:space="preserve">program </w:t>
      </w:r>
      <w:r>
        <w:t xml:space="preserve">activities and </w:t>
      </w:r>
      <w:r w:rsidR="006835B7">
        <w:t>outcomes</w:t>
      </w:r>
      <w:r>
        <w:t>, there i</w:t>
      </w:r>
      <w:r w:rsidR="006835B7" w:rsidRPr="00A9645C">
        <w:t>s limited evidence to suggest that this is done in a systematic and sustained manner</w:t>
      </w:r>
      <w:r w:rsidR="006835B7">
        <w:t>.</w:t>
      </w:r>
    </w:p>
    <w:p w14:paraId="6ACE8519" w14:textId="6EF0C053" w:rsidR="007B0922" w:rsidRPr="0021118D" w:rsidRDefault="00147C78" w:rsidP="007A08F5">
      <w:pPr>
        <w:spacing w:after="240"/>
      </w:pPr>
      <w:r>
        <w:t xml:space="preserve">Reporting on GEDSI is undertaken </w:t>
      </w:r>
      <w:r w:rsidR="001C4AFB">
        <w:t xml:space="preserve">through </w:t>
      </w:r>
      <w:r w:rsidR="0060187B">
        <w:t>the TAPQE Evidence Table</w:t>
      </w:r>
      <w:r w:rsidR="001C4AFB">
        <w:t xml:space="preserve"> and the </w:t>
      </w:r>
      <w:r w:rsidR="00742B4B">
        <w:t xml:space="preserve">TAPQE Report on Progress against end of program outcomes. </w:t>
      </w:r>
      <w:r w:rsidR="00BA0C88">
        <w:t xml:space="preserve">This reporting </w:t>
      </w:r>
      <w:proofErr w:type="gramStart"/>
      <w:r w:rsidR="00BA0C88">
        <w:t>drew</w:t>
      </w:r>
      <w:proofErr w:type="gramEnd"/>
      <w:r w:rsidR="00BA0C88">
        <w:t xml:space="preserve"> on T</w:t>
      </w:r>
      <w:r w:rsidR="008C1D41" w:rsidRPr="0069506B">
        <w:t xml:space="preserve">APQE Inclusive Education </w:t>
      </w:r>
      <w:r w:rsidR="008C1D41" w:rsidRPr="0021118D">
        <w:t>reports</w:t>
      </w:r>
      <w:r w:rsidR="00BA0C88">
        <w:t xml:space="preserve"> and the I</w:t>
      </w:r>
      <w:r w:rsidR="00DC0905" w:rsidRPr="0021118D">
        <w:t>E Working Group Action Plan</w:t>
      </w:r>
      <w:r w:rsidR="00302E09">
        <w:t>.</w:t>
      </w:r>
    </w:p>
    <w:p w14:paraId="28837377" w14:textId="7C4BC12E" w:rsidR="00402A92" w:rsidRPr="0069506B" w:rsidRDefault="00AF5352" w:rsidP="007A08F5">
      <w:pPr>
        <w:pStyle w:val="ListParagraph"/>
        <w:numPr>
          <w:ilvl w:val="0"/>
          <w:numId w:val="10"/>
        </w:numPr>
        <w:spacing w:after="240"/>
        <w:ind w:left="425" w:hanging="425"/>
        <w:rPr>
          <w:rStyle w:val="SubtleEmphasis"/>
        </w:rPr>
      </w:pPr>
      <w:r w:rsidRPr="0069506B">
        <w:rPr>
          <w:rStyle w:val="SubtleEmphasis"/>
        </w:rPr>
        <w:t xml:space="preserve">What results </w:t>
      </w:r>
      <w:r w:rsidR="00C44E04" w:rsidRPr="0069506B">
        <w:rPr>
          <w:rStyle w:val="SubtleEmphasis"/>
        </w:rPr>
        <w:t xml:space="preserve">are </w:t>
      </w:r>
      <w:r w:rsidRPr="0069506B">
        <w:rPr>
          <w:rStyle w:val="SubtleEmphasis"/>
        </w:rPr>
        <w:t>reported for Climate Change and what tools were used?</w:t>
      </w:r>
    </w:p>
    <w:p w14:paraId="11C9D647" w14:textId="0A5D3838" w:rsidR="0092555F" w:rsidRDefault="00F1195C" w:rsidP="007A08F5">
      <w:pPr>
        <w:spacing w:after="240"/>
      </w:pPr>
      <w:r>
        <w:t>Earlier discussion in this report (sub questions 2e and 3</w:t>
      </w:r>
      <w:r w:rsidR="0092555F">
        <w:t>c</w:t>
      </w:r>
      <w:r>
        <w:t xml:space="preserve">d) considers the effectiveness and efficiency of TAPQE </w:t>
      </w:r>
      <w:r w:rsidR="0092555F">
        <w:t>Climate Change</w:t>
      </w:r>
      <w:r>
        <w:t xml:space="preserve"> activities</w:t>
      </w:r>
      <w:r w:rsidR="0092555F">
        <w:t>.</w:t>
      </w:r>
      <w:r>
        <w:t xml:space="preserve"> </w:t>
      </w:r>
    </w:p>
    <w:p w14:paraId="5F2A313B" w14:textId="460959C3" w:rsidR="0092555F" w:rsidRDefault="0092555F" w:rsidP="007A08F5">
      <w:pPr>
        <w:spacing w:after="240"/>
        <w:rPr>
          <w:color w:val="auto"/>
        </w:rPr>
      </w:pPr>
      <w:r>
        <w:lastRenderedPageBreak/>
        <w:t xml:space="preserve">While it is evident that </w:t>
      </w:r>
      <w:r w:rsidR="00EA1447">
        <w:t>the range</w:t>
      </w:r>
      <w:r>
        <w:t xml:space="preserve"> of TAPQE </w:t>
      </w:r>
      <w:r>
        <w:rPr>
          <w:color w:val="auto"/>
        </w:rPr>
        <w:t xml:space="preserve">activities and associated outputs address Climate Change the conclusions drawn by the MTR Team </w:t>
      </w:r>
      <w:r w:rsidR="00A521B1">
        <w:rPr>
          <w:color w:val="auto"/>
        </w:rPr>
        <w:t>were</w:t>
      </w:r>
      <w:r>
        <w:rPr>
          <w:color w:val="auto"/>
        </w:rPr>
        <w:t>:</w:t>
      </w:r>
    </w:p>
    <w:p w14:paraId="70AF7AE6" w14:textId="597B4A52" w:rsidR="0092555F" w:rsidRDefault="0092555F" w:rsidP="007A08F5">
      <w:pPr>
        <w:pStyle w:val="ListParagraph"/>
        <w:numPr>
          <w:ilvl w:val="0"/>
          <w:numId w:val="79"/>
        </w:numPr>
        <w:spacing w:after="240"/>
      </w:pPr>
      <w:r>
        <w:t xml:space="preserve">In the absence of baseline and associated progress data (for relevant Intermediate Outcomes and for End of Program Outcomes) it is </w:t>
      </w:r>
      <w:r w:rsidRPr="008E665A">
        <w:t xml:space="preserve">not possible to make an objective judgement on the extent to which the </w:t>
      </w:r>
      <w:r>
        <w:t>Climate Change</w:t>
      </w:r>
      <w:r w:rsidRPr="008E665A">
        <w:t xml:space="preserve"> activities have been effective</w:t>
      </w:r>
      <w:r>
        <w:t xml:space="preserve">. </w:t>
      </w:r>
    </w:p>
    <w:p w14:paraId="170ABAED" w14:textId="5334A1D7" w:rsidR="0092555F" w:rsidRDefault="0092555F" w:rsidP="007A08F5">
      <w:pPr>
        <w:pStyle w:val="ListParagraph"/>
        <w:numPr>
          <w:ilvl w:val="0"/>
          <w:numId w:val="79"/>
        </w:numPr>
        <w:spacing w:after="240"/>
      </w:pPr>
      <w:r>
        <w:t>While the Program intends to reflect on and, where appropriate, adjust its structure and/or activities to improve Climate Change program activities and outcomes, there i</w:t>
      </w:r>
      <w:r w:rsidRPr="008E665A">
        <w:t>s limited evidence to suggest that this is done in a systematic and sustained manner</w:t>
      </w:r>
      <w:r>
        <w:t>.</w:t>
      </w:r>
    </w:p>
    <w:p w14:paraId="210081E0" w14:textId="27E7F090" w:rsidR="0060187B" w:rsidRDefault="0060187B" w:rsidP="007A08F5">
      <w:pPr>
        <w:spacing w:after="240"/>
      </w:pPr>
      <w:r>
        <w:t>Results</w:t>
      </w:r>
      <w:r w:rsidR="002035F7">
        <w:t xml:space="preserve"> for Climate Change </w:t>
      </w:r>
      <w:r w:rsidR="00AD2BBD">
        <w:t xml:space="preserve">activities and results reported in Annex 6 of the </w:t>
      </w:r>
      <w:r w:rsidR="003456F4" w:rsidRPr="006405B1">
        <w:rPr>
          <w:i/>
          <w:iCs/>
        </w:rPr>
        <w:t>2024 (draft) TAPQE Annual Report</w:t>
      </w:r>
      <w:r w:rsidR="003456F4">
        <w:t xml:space="preserve"> include:</w:t>
      </w:r>
    </w:p>
    <w:p w14:paraId="602B450A" w14:textId="2FB8A133" w:rsidR="00E43C4D" w:rsidRDefault="003319AD" w:rsidP="007A08F5">
      <w:pPr>
        <w:pStyle w:val="ListParagraph"/>
        <w:numPr>
          <w:ilvl w:val="0"/>
          <w:numId w:val="31"/>
        </w:numPr>
        <w:spacing w:after="240"/>
      </w:pPr>
      <w:r>
        <w:t>Climate Change Teachers Guides completed</w:t>
      </w:r>
    </w:p>
    <w:p w14:paraId="1EB51503" w14:textId="440070A1" w:rsidR="00672F83" w:rsidRDefault="004F48CB" w:rsidP="007A08F5">
      <w:pPr>
        <w:pStyle w:val="ListParagraph"/>
        <w:numPr>
          <w:ilvl w:val="0"/>
          <w:numId w:val="31"/>
        </w:numPr>
        <w:spacing w:after="240"/>
      </w:pPr>
      <w:r>
        <w:t xml:space="preserve">80% </w:t>
      </w:r>
      <w:r w:rsidR="0066675C">
        <w:t>of teachers</w:t>
      </w:r>
      <w:r>
        <w:t xml:space="preserve"> have attended climate change workshops. </w:t>
      </w:r>
    </w:p>
    <w:p w14:paraId="39ADD47D" w14:textId="3D2CCEE4" w:rsidR="004F48CB" w:rsidRDefault="00310360" w:rsidP="007A08F5">
      <w:pPr>
        <w:pStyle w:val="ListParagraph"/>
        <w:numPr>
          <w:ilvl w:val="0"/>
          <w:numId w:val="31"/>
        </w:numPr>
        <w:spacing w:after="240"/>
      </w:pPr>
      <w:r>
        <w:t>T</w:t>
      </w:r>
      <w:r w:rsidR="00B31BE0" w:rsidRPr="00B31BE0">
        <w:t>eacher workshops</w:t>
      </w:r>
      <w:r>
        <w:t xml:space="preserve"> conducted</w:t>
      </w:r>
      <w:r w:rsidR="00B31BE0" w:rsidRPr="00B31BE0">
        <w:t xml:space="preserve"> in August 2024 to review the science and social science curriculum, including incorporating climate change learning </w:t>
      </w:r>
      <w:r w:rsidR="0066675C" w:rsidRPr="00B31BE0">
        <w:t>outcomes.</w:t>
      </w:r>
      <w:r w:rsidR="0066675C">
        <w:t xml:space="preserve"> Teachers</w:t>
      </w:r>
      <w:r w:rsidR="004F48CB">
        <w:t xml:space="preserve"> also participated in a field trip to learn how to monitor their own environment and share info with their community</w:t>
      </w:r>
    </w:p>
    <w:p w14:paraId="2B88ED7E" w14:textId="465CF2D8" w:rsidR="004F48CB" w:rsidRDefault="004F48CB" w:rsidP="007A08F5">
      <w:pPr>
        <w:pStyle w:val="ListParagraph"/>
        <w:numPr>
          <w:ilvl w:val="0"/>
          <w:numId w:val="31"/>
        </w:numPr>
        <w:spacing w:after="240"/>
      </w:pPr>
      <w:r>
        <w:t>Climate Change awareness radio programs held.</w:t>
      </w:r>
    </w:p>
    <w:p w14:paraId="167D4DB3" w14:textId="77777777" w:rsidR="00C30367" w:rsidRDefault="00C30367" w:rsidP="00542B9A">
      <w:pPr>
        <w:pStyle w:val="Heading2"/>
      </w:pPr>
      <w:bookmarkStart w:id="16" w:name="_Toc209431952"/>
      <w:r>
        <w:t>Monitoring, Evaluation and Learning</w:t>
      </w:r>
      <w:bookmarkEnd w:id="16"/>
    </w:p>
    <w:p w14:paraId="5994350B" w14:textId="5F81AAC7" w:rsidR="007F06A1" w:rsidRDefault="00BD5F72" w:rsidP="00BD5F72">
      <w:pPr>
        <w:pStyle w:val="Subtitle"/>
        <w:numPr>
          <w:ilvl w:val="0"/>
          <w:numId w:val="6"/>
        </w:numPr>
      </w:pPr>
      <w:r>
        <w:t xml:space="preserve">To what extent are the MEL arrangements fit for purpose? </w:t>
      </w:r>
    </w:p>
    <w:p w14:paraId="22A372E5" w14:textId="77777777" w:rsidR="00D37839" w:rsidRPr="0039652F" w:rsidRDefault="00D37839" w:rsidP="00D37839">
      <w:pPr>
        <w:rPr>
          <w:b/>
          <w:bCs/>
        </w:rPr>
      </w:pPr>
      <w:r w:rsidRPr="0039652F">
        <w:rPr>
          <w:b/>
          <w:bCs/>
        </w:rPr>
        <w:t xml:space="preserve">Summary response to the </w:t>
      </w:r>
      <w:r>
        <w:rPr>
          <w:b/>
          <w:bCs/>
        </w:rPr>
        <w:t xml:space="preserve">‘MEL’ </w:t>
      </w:r>
      <w:r w:rsidRPr="0039652F">
        <w:rPr>
          <w:b/>
          <w:bCs/>
        </w:rPr>
        <w:t>review question</w:t>
      </w:r>
    </w:p>
    <w:p w14:paraId="737B878A" w14:textId="77777777" w:rsidR="00D37839" w:rsidRDefault="00D37839" w:rsidP="007A08F5">
      <w:pPr>
        <w:spacing w:after="240"/>
      </w:pPr>
      <w:r>
        <w:t xml:space="preserve">Various TAPQE documents provided to the MTR team indicate </w:t>
      </w:r>
      <w:r w:rsidRPr="00542B9A">
        <w:rPr>
          <w:b/>
          <w:bCs/>
        </w:rPr>
        <w:t>a comprehensive view of MEL</w:t>
      </w:r>
      <w:r>
        <w:t xml:space="preserve"> with:</w:t>
      </w:r>
    </w:p>
    <w:p w14:paraId="650BBCDB" w14:textId="77777777" w:rsidR="00D37839" w:rsidRDefault="00D37839" w:rsidP="007A08F5">
      <w:pPr>
        <w:pStyle w:val="ListParagraph"/>
        <w:numPr>
          <w:ilvl w:val="0"/>
          <w:numId w:val="12"/>
        </w:numPr>
        <w:spacing w:after="240"/>
      </w:pPr>
      <w:r>
        <w:t>A clear sense of purpose (</w:t>
      </w:r>
      <w:r w:rsidRPr="001319EC">
        <w:rPr>
          <w:i/>
          <w:iCs/>
          <w:lang w:val="en-AU"/>
        </w:rPr>
        <w:t>TAPQE MERL Framework (Interim)</w:t>
      </w:r>
      <w:r>
        <w:t xml:space="preserve"> - Intent p.6)</w:t>
      </w:r>
    </w:p>
    <w:p w14:paraId="0E5903FD" w14:textId="77777777" w:rsidR="00D37839" w:rsidRDefault="00D37839" w:rsidP="007A08F5">
      <w:pPr>
        <w:pStyle w:val="ListParagraph"/>
        <w:numPr>
          <w:ilvl w:val="0"/>
          <w:numId w:val="12"/>
        </w:numPr>
        <w:spacing w:after="240"/>
      </w:pPr>
      <w:r>
        <w:t>A comprehensive ‘results framework’ and ‘evaluation questions and analytical framework’ (</w:t>
      </w:r>
      <w:r w:rsidRPr="001319EC">
        <w:rPr>
          <w:i/>
          <w:iCs/>
          <w:lang w:val="en-AU"/>
        </w:rPr>
        <w:t>TAPQE MERL Framework (Interim)</w:t>
      </w:r>
      <w:r>
        <w:t xml:space="preserve"> p.18, 20) </w:t>
      </w:r>
    </w:p>
    <w:p w14:paraId="07FAC001" w14:textId="77777777" w:rsidR="00D37839" w:rsidRDefault="00D37839" w:rsidP="007A08F5">
      <w:pPr>
        <w:pStyle w:val="ListParagraph"/>
        <w:numPr>
          <w:ilvl w:val="0"/>
          <w:numId w:val="12"/>
        </w:numPr>
        <w:spacing w:after="240"/>
      </w:pPr>
      <w:r>
        <w:t>An implementation plan (</w:t>
      </w:r>
      <w:r w:rsidRPr="001319EC">
        <w:rPr>
          <w:i/>
          <w:iCs/>
          <w:lang w:val="en-AU"/>
        </w:rPr>
        <w:t>TAPQE MERL Framework (Interim)</w:t>
      </w:r>
      <w:r>
        <w:t xml:space="preserve"> p.24) with priority for a “</w:t>
      </w:r>
      <w:r w:rsidRPr="000E7D40">
        <w:t>TESP IV results framework baseline data collection and target setting</w:t>
      </w:r>
      <w:r>
        <w:t>” to be delivered in June-December 2024.</w:t>
      </w:r>
    </w:p>
    <w:p w14:paraId="39A49798" w14:textId="77777777" w:rsidR="00D37839" w:rsidRPr="005D1646" w:rsidRDefault="00D37839" w:rsidP="007A08F5">
      <w:pPr>
        <w:pStyle w:val="ListParagraph"/>
        <w:numPr>
          <w:ilvl w:val="0"/>
          <w:numId w:val="12"/>
        </w:numPr>
        <w:spacing w:after="240"/>
      </w:pPr>
      <w:r>
        <w:t>A TAPQE Evidence Table, setting out success indicators, status, evidence of results etc. albeit without substantive data.</w:t>
      </w:r>
    </w:p>
    <w:p w14:paraId="2BCDA8F7" w14:textId="77777777" w:rsidR="00D37839" w:rsidRDefault="00D37839" w:rsidP="007A08F5">
      <w:pPr>
        <w:spacing w:after="240"/>
      </w:pPr>
      <w:r>
        <w:t xml:space="preserve">The </w:t>
      </w:r>
      <w:r w:rsidRPr="001319EC">
        <w:rPr>
          <w:i/>
          <w:iCs/>
          <w:lang w:val="en-AU"/>
        </w:rPr>
        <w:t>TAPQE MERL Framework (Interim)</w:t>
      </w:r>
      <w:r>
        <w:t xml:space="preserve"> presents a strategic view, taking account of the Tuvalu and DP context, for an ‘overall’ Tuvalu MEHRD MERL framework with data collection and analysis benefiting the Ministry and individual donor partners.</w:t>
      </w:r>
    </w:p>
    <w:p w14:paraId="71250B06" w14:textId="77777777" w:rsidR="00D37839" w:rsidRDefault="00D37839" w:rsidP="007A08F5">
      <w:pPr>
        <w:spacing w:after="240"/>
      </w:pPr>
      <w:r>
        <w:t>However, while planning to support the development of and contribution to the MEHRD MERL, the program also recognises the importance of a program MEL, noting that “</w:t>
      </w:r>
      <w:r w:rsidRPr="006120A1">
        <w:t>TAPQE will leverage MEHRD data in TEMIS to monitor the progress and efficacy of TAPQE activities towards planned TAPQE outcomes</w:t>
      </w:r>
      <w:r>
        <w:t>” (p.10)</w:t>
      </w:r>
    </w:p>
    <w:p w14:paraId="617589E2" w14:textId="77777777" w:rsidR="00D37839" w:rsidRDefault="00D37839" w:rsidP="007A08F5">
      <w:pPr>
        <w:spacing w:after="240"/>
      </w:pPr>
      <w:r>
        <w:t xml:space="preserve">While the design and strategic intentions for a holistic Tuvalu MEHRD MEL are acknowledged, the limited progress with that approach has meant that the </w:t>
      </w:r>
      <w:r w:rsidRPr="00E569AD">
        <w:rPr>
          <w:b/>
          <w:bCs/>
        </w:rPr>
        <w:t>TAPQE Program does not (appear to) have an implemented MEL system</w:t>
      </w:r>
      <w:r>
        <w:t>, with consequences such as:</w:t>
      </w:r>
    </w:p>
    <w:p w14:paraId="75379896" w14:textId="77777777" w:rsidR="00D37839" w:rsidRDefault="00D37839" w:rsidP="007A08F5">
      <w:pPr>
        <w:pStyle w:val="ListParagraph"/>
        <w:numPr>
          <w:ilvl w:val="0"/>
          <w:numId w:val="13"/>
        </w:numPr>
        <w:spacing w:after="240"/>
      </w:pPr>
      <w:r>
        <w:t xml:space="preserve">the TAPQE team being </w:t>
      </w:r>
      <w:r w:rsidRPr="00A9645C">
        <w:rPr>
          <w:b/>
          <w:bCs/>
        </w:rPr>
        <w:t>unable</w:t>
      </w:r>
      <w:r>
        <w:t xml:space="preserve"> </w:t>
      </w:r>
      <w:r w:rsidRPr="00542B9A">
        <w:rPr>
          <w:b/>
          <w:bCs/>
        </w:rPr>
        <w:t xml:space="preserve">to provide a baseline </w:t>
      </w:r>
      <w:r>
        <w:t xml:space="preserve">for the MTR team despite numerous references to the collection of baseline data in the </w:t>
      </w:r>
      <w:r w:rsidRPr="001319EC">
        <w:rPr>
          <w:i/>
          <w:iCs/>
          <w:lang w:val="en-AU"/>
        </w:rPr>
        <w:t>TAPQE MERL Framework (Interim)</w:t>
      </w:r>
      <w:r>
        <w:t xml:space="preserve">. </w:t>
      </w:r>
    </w:p>
    <w:p w14:paraId="70E5AB80" w14:textId="77777777" w:rsidR="00D37839" w:rsidRPr="00DC74E7" w:rsidRDefault="00D37839" w:rsidP="007A08F5">
      <w:pPr>
        <w:pStyle w:val="ListParagraph"/>
        <w:numPr>
          <w:ilvl w:val="0"/>
          <w:numId w:val="13"/>
        </w:numPr>
        <w:spacing w:after="240"/>
      </w:pPr>
      <w:r w:rsidRPr="00542B9A">
        <w:rPr>
          <w:b/>
          <w:bCs/>
        </w:rPr>
        <w:lastRenderedPageBreak/>
        <w:t>little or no discussion about improvements in key areas</w:t>
      </w:r>
      <w:r>
        <w:t xml:space="preserve"> such as attendance, teacher knowledge and skill and student attainment in the </w:t>
      </w:r>
      <w:r w:rsidRPr="00A74931">
        <w:rPr>
          <w:i/>
          <w:iCs/>
        </w:rPr>
        <w:t>2024 (draft) TAPQE Annual Report</w:t>
      </w:r>
      <w:r>
        <w:t xml:space="preserve"> section on ‘Progress towards </w:t>
      </w:r>
      <w:proofErr w:type="gramStart"/>
      <w:r>
        <w:t>outcomes’</w:t>
      </w:r>
      <w:proofErr w:type="gramEnd"/>
      <w:r>
        <w:t>.</w:t>
      </w:r>
    </w:p>
    <w:p w14:paraId="7EA3E636" w14:textId="7AA22801" w:rsidR="00D37839" w:rsidRDefault="00D37839" w:rsidP="007A08F5">
      <w:pPr>
        <w:spacing w:after="240"/>
        <w:rPr>
          <w:b/>
          <w:bCs/>
        </w:rPr>
      </w:pPr>
      <w:r>
        <w:t>Although there are clear intentions in the Program’s MEL plan that the “</w:t>
      </w:r>
      <w:r w:rsidRPr="00C61D9D">
        <w:t>MERL Framework is for use by the TAPQE delivery team to guide planning, consultations, implementation and reporting under the Program</w:t>
      </w:r>
      <w:r>
        <w:t>” (</w:t>
      </w:r>
      <w:r w:rsidRPr="00C61D9D">
        <w:rPr>
          <w:i/>
          <w:iCs/>
          <w:color w:val="auto"/>
        </w:rPr>
        <w:t>TAPQE MERL Framework (Interim)</w:t>
      </w:r>
      <w:r>
        <w:rPr>
          <w:i/>
          <w:iCs/>
          <w:color w:val="auto"/>
        </w:rPr>
        <w:t xml:space="preserve">, </w:t>
      </w:r>
      <w:r w:rsidRPr="00C61D9D">
        <w:rPr>
          <w:color w:val="auto"/>
        </w:rPr>
        <w:t>p.4</w:t>
      </w:r>
      <w:r w:rsidRPr="00A9645C">
        <w:rPr>
          <w:color w:val="auto"/>
        </w:rPr>
        <w:t xml:space="preserve">) </w:t>
      </w:r>
      <w:r>
        <w:t xml:space="preserve">the MTR team was </w:t>
      </w:r>
      <w:r w:rsidRPr="00542B9A">
        <w:rPr>
          <w:b/>
          <w:bCs/>
        </w:rPr>
        <w:t>not provided with any evidence of a program baseline</w:t>
      </w:r>
      <w:r>
        <w:t xml:space="preserve"> having been provided as per DFAT expectations</w:t>
      </w:r>
      <w:r w:rsidRPr="00EC2EF0">
        <w:t xml:space="preserve">, nor of a systematic </w:t>
      </w:r>
      <w:r>
        <w:t xml:space="preserve">implementation of the MEL system. It was therefore </w:t>
      </w:r>
      <w:r w:rsidRPr="00E569AD">
        <w:rPr>
          <w:b/>
          <w:bCs/>
        </w:rPr>
        <w:t xml:space="preserve">not possible for the </w:t>
      </w:r>
      <w:r>
        <w:rPr>
          <w:b/>
          <w:bCs/>
        </w:rPr>
        <w:t>MTR team</w:t>
      </w:r>
      <w:r w:rsidRPr="00E569AD">
        <w:rPr>
          <w:b/>
          <w:bCs/>
        </w:rPr>
        <w:t xml:space="preserve"> to make a judgement on whether the program was on track to achieve its end of program outcomes, or intermediate outcomes</w:t>
      </w:r>
      <w:r>
        <w:t xml:space="preserve">. The MTR team concluded that while the design and intention are substantial, overall, the </w:t>
      </w:r>
      <w:r w:rsidRPr="00E569AD">
        <w:rPr>
          <w:b/>
          <w:bCs/>
        </w:rPr>
        <w:t>MEL arrangements are not fit for purpose.</w:t>
      </w:r>
    </w:p>
    <w:p w14:paraId="6E9770D1" w14:textId="245CF977" w:rsidR="00EA59A9" w:rsidRPr="006048B9" w:rsidRDefault="00BD5F72" w:rsidP="007A08F5">
      <w:pPr>
        <w:pStyle w:val="ListParagraph"/>
        <w:numPr>
          <w:ilvl w:val="1"/>
          <w:numId w:val="11"/>
        </w:numPr>
        <w:spacing w:after="240"/>
        <w:ind w:left="425" w:hanging="425"/>
        <w:rPr>
          <w:rStyle w:val="SubtleEmphasis"/>
        </w:rPr>
      </w:pPr>
      <w:r w:rsidRPr="006048B9">
        <w:rPr>
          <w:rStyle w:val="SubtleEmphasis"/>
        </w:rPr>
        <w:t>To what extent Is the TAPQE MEL Plan and Framework appropriate to monitor progress on the achievement of the Program’s intermediate and end of program outcomes?</w:t>
      </w:r>
    </w:p>
    <w:p w14:paraId="2400238F" w14:textId="7B682FC2" w:rsidR="00B13753" w:rsidRDefault="00C26777" w:rsidP="007A08F5">
      <w:pPr>
        <w:spacing w:after="240"/>
      </w:pPr>
      <w:r>
        <w:t xml:space="preserve">The </w:t>
      </w:r>
      <w:r w:rsidR="002B4327" w:rsidRPr="001319EC">
        <w:rPr>
          <w:i/>
          <w:iCs/>
          <w:lang w:val="en-AU"/>
        </w:rPr>
        <w:t>TAPQE MERL Framework (Interim)</w:t>
      </w:r>
      <w:r w:rsidR="002B4327">
        <w:rPr>
          <w:i/>
          <w:iCs/>
          <w:lang w:val="en-AU"/>
        </w:rPr>
        <w:t xml:space="preserve"> </w:t>
      </w:r>
      <w:r>
        <w:t>is detailed and</w:t>
      </w:r>
      <w:r w:rsidR="001342B1">
        <w:t xml:space="preserve">, building on the TAPQE </w:t>
      </w:r>
      <w:r w:rsidR="00201A99">
        <w:t xml:space="preserve">Theory of Change, </w:t>
      </w:r>
      <w:r>
        <w:t xml:space="preserve">provides a roadmap towards the achievement of the EOPOs. </w:t>
      </w:r>
    </w:p>
    <w:p w14:paraId="1161FA26" w14:textId="5F01788D" w:rsidR="00B13753" w:rsidRDefault="00B13753" w:rsidP="007A08F5">
      <w:pPr>
        <w:spacing w:after="240"/>
      </w:pPr>
      <w:r>
        <w:t xml:space="preserve">Various TAPQE documents provided to the </w:t>
      </w:r>
      <w:r w:rsidR="00165A4E">
        <w:t>MTR team</w:t>
      </w:r>
      <w:r>
        <w:t xml:space="preserve"> indicate </w:t>
      </w:r>
      <w:r w:rsidRPr="00542B9A">
        <w:rPr>
          <w:b/>
          <w:bCs/>
        </w:rPr>
        <w:t>a comprehensive view of MEL</w:t>
      </w:r>
      <w:r>
        <w:t xml:space="preserve"> with:</w:t>
      </w:r>
    </w:p>
    <w:p w14:paraId="76C639D3" w14:textId="731D0D73" w:rsidR="00B13753" w:rsidRDefault="00B13753" w:rsidP="007A08F5">
      <w:pPr>
        <w:pStyle w:val="ListParagraph"/>
        <w:numPr>
          <w:ilvl w:val="0"/>
          <w:numId w:val="12"/>
        </w:numPr>
        <w:spacing w:after="240"/>
      </w:pPr>
      <w:r>
        <w:t>A clear sense of purpose (</w:t>
      </w:r>
      <w:r w:rsidR="009F7957" w:rsidRPr="001319EC">
        <w:rPr>
          <w:i/>
          <w:iCs/>
          <w:lang w:val="en-AU"/>
        </w:rPr>
        <w:t>TAPQE MERL Framework (Interim)</w:t>
      </w:r>
      <w:r>
        <w:t xml:space="preserve"> - Intent p.6)</w:t>
      </w:r>
    </w:p>
    <w:p w14:paraId="2DA5526F" w14:textId="774A0A85" w:rsidR="00B13753" w:rsidRDefault="00B13753" w:rsidP="007A08F5">
      <w:pPr>
        <w:pStyle w:val="ListParagraph"/>
        <w:numPr>
          <w:ilvl w:val="0"/>
          <w:numId w:val="12"/>
        </w:numPr>
        <w:spacing w:after="240"/>
      </w:pPr>
      <w:r>
        <w:t>A comprehensive ‘results framework’ and ‘evaluation questions and analytical framework’ (</w:t>
      </w:r>
      <w:r w:rsidR="009F7957" w:rsidRPr="001319EC">
        <w:rPr>
          <w:i/>
          <w:iCs/>
          <w:lang w:val="en-AU"/>
        </w:rPr>
        <w:t>TAPQE MERL Framework (Interim)</w:t>
      </w:r>
      <w:r>
        <w:t xml:space="preserve"> p.18, 20) </w:t>
      </w:r>
    </w:p>
    <w:p w14:paraId="3A582CB0" w14:textId="1FE6C78C" w:rsidR="00B13753" w:rsidRPr="005D1646" w:rsidRDefault="00B13753" w:rsidP="007A08F5">
      <w:pPr>
        <w:pStyle w:val="ListParagraph"/>
        <w:numPr>
          <w:ilvl w:val="0"/>
          <w:numId w:val="12"/>
        </w:numPr>
        <w:spacing w:after="240"/>
      </w:pPr>
      <w:r>
        <w:t>An implementation plan (</w:t>
      </w:r>
      <w:r w:rsidR="00352687" w:rsidRPr="001319EC">
        <w:rPr>
          <w:i/>
          <w:iCs/>
          <w:lang w:val="en-AU"/>
        </w:rPr>
        <w:t>TAPQE MERL Framework (Interim)</w:t>
      </w:r>
      <w:r w:rsidR="00352687">
        <w:rPr>
          <w:i/>
          <w:iCs/>
          <w:lang w:val="en-AU"/>
        </w:rPr>
        <w:t xml:space="preserve"> </w:t>
      </w:r>
      <w:r>
        <w:t>p.24) with priority for a “</w:t>
      </w:r>
      <w:r w:rsidRPr="000E7D40">
        <w:t>TESP IV results framework baseline data collection and target setting</w:t>
      </w:r>
      <w:r>
        <w:t>” to be delivered in June-December 2024.</w:t>
      </w:r>
    </w:p>
    <w:p w14:paraId="2B49CD46" w14:textId="704C3AC2" w:rsidR="00D611DA" w:rsidRDefault="00C26777" w:rsidP="007A08F5">
      <w:pPr>
        <w:spacing w:after="240"/>
      </w:pPr>
      <w:r>
        <w:t xml:space="preserve">The </w:t>
      </w:r>
      <w:r w:rsidR="00352687" w:rsidRPr="001319EC">
        <w:rPr>
          <w:i/>
          <w:iCs/>
          <w:lang w:val="en-AU"/>
        </w:rPr>
        <w:t>TAPQE MERL Framework (Interim)</w:t>
      </w:r>
      <w:r w:rsidR="00352687">
        <w:rPr>
          <w:i/>
          <w:iCs/>
          <w:lang w:val="en-AU"/>
        </w:rPr>
        <w:t xml:space="preserve"> </w:t>
      </w:r>
      <w:r w:rsidR="007130E6">
        <w:t xml:space="preserve">also </w:t>
      </w:r>
      <w:r w:rsidR="00201A99">
        <w:t xml:space="preserve">refers to </w:t>
      </w:r>
      <w:r w:rsidR="0021560E">
        <w:t>several</w:t>
      </w:r>
      <w:r>
        <w:t xml:space="preserve"> data collection tools, however</w:t>
      </w:r>
      <w:r w:rsidR="00D86C3B">
        <w:t xml:space="preserve">, </w:t>
      </w:r>
      <w:r>
        <w:t xml:space="preserve">these </w:t>
      </w:r>
      <w:r w:rsidR="00D86C3B">
        <w:t xml:space="preserve">were not </w:t>
      </w:r>
      <w:r w:rsidR="00CD1BD8">
        <w:t>(</w:t>
      </w:r>
      <w:r>
        <w:t>made available</w:t>
      </w:r>
      <w:r w:rsidR="00CD1BD8">
        <w:t xml:space="preserve"> or) reviewed by the </w:t>
      </w:r>
      <w:r w:rsidR="00165A4E">
        <w:t>MTR team</w:t>
      </w:r>
      <w:r w:rsidR="00CD1BD8">
        <w:t>.</w:t>
      </w:r>
      <w:r w:rsidR="00D611DA">
        <w:t xml:space="preserve"> </w:t>
      </w:r>
      <w:r w:rsidR="00265F50">
        <w:t>Thus,</w:t>
      </w:r>
      <w:r>
        <w:t xml:space="preserve"> it is challenging to make an evaluative judgement on the appropriateness of the TAPQE MEL Plan and Framework in monitoring intermediate and end of program outcomes. </w:t>
      </w:r>
    </w:p>
    <w:p w14:paraId="33F2CFFE" w14:textId="37DA0CA0" w:rsidR="00C26777" w:rsidRDefault="00E944C3" w:rsidP="007A08F5">
      <w:pPr>
        <w:spacing w:after="240"/>
      </w:pPr>
      <w:r>
        <w:t xml:space="preserve">Key issues in relation to </w:t>
      </w:r>
      <w:r w:rsidR="00E93857">
        <w:t xml:space="preserve">the </w:t>
      </w:r>
      <w:r w:rsidR="00352687" w:rsidRPr="001319EC">
        <w:rPr>
          <w:i/>
          <w:iCs/>
          <w:lang w:val="en-AU"/>
        </w:rPr>
        <w:t>TAPQE MERL Framework (Interim)</w:t>
      </w:r>
      <w:r w:rsidR="00E93857">
        <w:t xml:space="preserve"> </w:t>
      </w:r>
      <w:r w:rsidR="004956A1">
        <w:t xml:space="preserve">are </w:t>
      </w:r>
      <w:r w:rsidR="00C26777" w:rsidRPr="00542B9A">
        <w:rPr>
          <w:b/>
          <w:bCs/>
        </w:rPr>
        <w:t xml:space="preserve">lack of </w:t>
      </w:r>
      <w:proofErr w:type="gramStart"/>
      <w:r w:rsidR="00B525C8">
        <w:rPr>
          <w:b/>
          <w:bCs/>
        </w:rPr>
        <w:t xml:space="preserve">a </w:t>
      </w:r>
      <w:r w:rsidR="00C26777" w:rsidRPr="00542B9A">
        <w:rPr>
          <w:b/>
          <w:bCs/>
        </w:rPr>
        <w:t>baseline</w:t>
      </w:r>
      <w:proofErr w:type="gramEnd"/>
      <w:r w:rsidR="004956A1" w:rsidRPr="00542B9A">
        <w:rPr>
          <w:b/>
          <w:bCs/>
        </w:rPr>
        <w:t xml:space="preserve">, </w:t>
      </w:r>
      <w:r w:rsidR="00297DFE" w:rsidRPr="00542B9A">
        <w:rPr>
          <w:b/>
          <w:bCs/>
        </w:rPr>
        <w:t>incomplete</w:t>
      </w:r>
      <w:r w:rsidR="00C26777" w:rsidRPr="00542B9A">
        <w:rPr>
          <w:b/>
          <w:bCs/>
        </w:rPr>
        <w:t xml:space="preserve"> performance rubric</w:t>
      </w:r>
      <w:r w:rsidR="004956A1" w:rsidRPr="00542B9A">
        <w:rPr>
          <w:b/>
          <w:bCs/>
        </w:rPr>
        <w:t xml:space="preserve">, and </w:t>
      </w:r>
      <w:r w:rsidR="00297DFE" w:rsidRPr="00542B9A">
        <w:rPr>
          <w:b/>
          <w:bCs/>
        </w:rPr>
        <w:t xml:space="preserve">limited </w:t>
      </w:r>
      <w:r w:rsidR="004956A1" w:rsidRPr="00542B9A">
        <w:rPr>
          <w:b/>
          <w:bCs/>
        </w:rPr>
        <w:t xml:space="preserve">operationalisation of the </w:t>
      </w:r>
      <w:r w:rsidR="00352687" w:rsidRPr="00542B9A">
        <w:rPr>
          <w:b/>
          <w:bCs/>
          <w:i/>
          <w:iCs/>
          <w:lang w:val="en-AU"/>
        </w:rPr>
        <w:t>TAPQE MERL Framework (Interim)</w:t>
      </w:r>
      <w:r w:rsidR="00C26777">
        <w:t xml:space="preserve">. </w:t>
      </w:r>
    </w:p>
    <w:p w14:paraId="052216BF" w14:textId="5F91A67F" w:rsidR="00C26777" w:rsidRPr="0069506B" w:rsidRDefault="00C26777" w:rsidP="007A08F5">
      <w:pPr>
        <w:keepNext/>
        <w:spacing w:after="240"/>
        <w:rPr>
          <w:u w:val="single"/>
        </w:rPr>
      </w:pPr>
      <w:r w:rsidRPr="0069506B">
        <w:rPr>
          <w:u w:val="single"/>
        </w:rPr>
        <w:t>Baseline</w:t>
      </w:r>
    </w:p>
    <w:p w14:paraId="62272319" w14:textId="3777195E" w:rsidR="00733E79" w:rsidRDefault="00733E79" w:rsidP="007A08F5">
      <w:pPr>
        <w:keepNext/>
        <w:spacing w:after="240"/>
      </w:pPr>
      <w:r>
        <w:t>In relation to Program baselines</w:t>
      </w:r>
      <w:r w:rsidR="004322E6">
        <w:t xml:space="preserve">, the DFAT </w:t>
      </w:r>
      <w:r w:rsidR="00C7438C" w:rsidRPr="00542B9A">
        <w:rPr>
          <w:i/>
          <w:iCs/>
        </w:rPr>
        <w:t>Design and Monitoring, Evaluation and Learning</w:t>
      </w:r>
      <w:r w:rsidR="004322E6" w:rsidRPr="00542B9A">
        <w:rPr>
          <w:i/>
          <w:iCs/>
        </w:rPr>
        <w:t xml:space="preserve"> Standards</w:t>
      </w:r>
      <w:r w:rsidR="004322E6">
        <w:t xml:space="preserve"> state that:</w:t>
      </w:r>
    </w:p>
    <w:p w14:paraId="395DA8F0" w14:textId="7B520882" w:rsidR="00C26777" w:rsidRDefault="00C26777" w:rsidP="007A08F5">
      <w:pPr>
        <w:spacing w:after="240"/>
        <w:ind w:left="284"/>
      </w:pPr>
      <w:r>
        <w:t>“Baselines are constructed, where available. If a baseline is not available, there is a viable approach to finalise the baseline by the end of the first year. Baseline should be followed-up midway and at the end of the investment” (</w:t>
      </w:r>
      <w:r w:rsidR="004322E6">
        <w:t>p.38)</w:t>
      </w:r>
    </w:p>
    <w:p w14:paraId="36B7FB19" w14:textId="4E558EF9" w:rsidR="004322E6" w:rsidRDefault="004322E6" w:rsidP="007A08F5">
      <w:pPr>
        <w:spacing w:after="240"/>
        <w:ind w:left="284"/>
      </w:pPr>
      <w:r>
        <w:t>“It is a DFAT requirement that baseline data for the program must be available by the end of the first year of implementation, to avoid measurement challenges down the track” (p.39)</w:t>
      </w:r>
    </w:p>
    <w:p w14:paraId="53169793" w14:textId="43233570" w:rsidR="00486705" w:rsidRDefault="00486705" w:rsidP="007A08F5">
      <w:pPr>
        <w:spacing w:after="240"/>
      </w:pPr>
      <w:r>
        <w:t xml:space="preserve">Consistent with this expectation the </w:t>
      </w:r>
      <w:r w:rsidRPr="0069506B">
        <w:rPr>
          <w:i/>
          <w:iCs/>
        </w:rPr>
        <w:t xml:space="preserve">TAPQE MERL Framework (Interim) </w:t>
      </w:r>
      <w:r>
        <w:t>notes</w:t>
      </w:r>
      <w:r w:rsidR="00736A00">
        <w:t xml:space="preserve"> </w:t>
      </w:r>
      <w:r>
        <w:t xml:space="preserve">that: </w:t>
      </w:r>
    </w:p>
    <w:p w14:paraId="0907A7CD" w14:textId="37DBD6B1" w:rsidR="00486705" w:rsidRDefault="00486705" w:rsidP="007A08F5">
      <w:pPr>
        <w:pStyle w:val="ListParagraph"/>
        <w:numPr>
          <w:ilvl w:val="0"/>
          <w:numId w:val="12"/>
        </w:numPr>
        <w:spacing w:after="240"/>
      </w:pPr>
      <w:r w:rsidRPr="00A422DD">
        <w:rPr>
          <w:i/>
          <w:iCs/>
        </w:rPr>
        <w:t xml:space="preserve">The TAPQE MERL Framework is founded on the TAPQE DFAT Investment Design and guided by DFAT MEL Standards. The intent of the TAPQE MERL Framework is to generate sound evidence and </w:t>
      </w:r>
      <w:r w:rsidRPr="00A422DD">
        <w:rPr>
          <w:i/>
          <w:iCs/>
        </w:rPr>
        <w:lastRenderedPageBreak/>
        <w:t>motivate reflections about what is changing in the program to inform better program management, decision-making and communications about TAPQE results.</w:t>
      </w:r>
      <w:r>
        <w:t xml:space="preserve"> (p.6)</w:t>
      </w:r>
    </w:p>
    <w:p w14:paraId="39777437" w14:textId="64B41A34" w:rsidR="00A5098F" w:rsidRDefault="00A5098F" w:rsidP="007A08F5">
      <w:pPr>
        <w:pStyle w:val="ListParagraph"/>
        <w:numPr>
          <w:ilvl w:val="0"/>
          <w:numId w:val="12"/>
        </w:numPr>
        <w:spacing w:after="240"/>
      </w:pPr>
      <w:r w:rsidRPr="0069506B">
        <w:rPr>
          <w:i/>
          <w:iCs/>
        </w:rPr>
        <w:t>The baseline provides an accurate and credible record of conditions at the commencement of the program, in all EOPO areas, including key intermediate outcomes</w:t>
      </w:r>
      <w:r w:rsidR="00136910">
        <w:rPr>
          <w:i/>
          <w:iCs/>
        </w:rPr>
        <w:t>. (p.46)</w:t>
      </w:r>
    </w:p>
    <w:p w14:paraId="46236FA0" w14:textId="5131E48E" w:rsidR="00CC05B8" w:rsidRDefault="0058014E" w:rsidP="007A08F5">
      <w:pPr>
        <w:spacing w:after="240"/>
      </w:pPr>
      <w:r>
        <w:t xml:space="preserve">Following </w:t>
      </w:r>
      <w:r w:rsidR="002A5FF5">
        <w:t>specific discussion about the MERL Framework and the availability of baseline data</w:t>
      </w:r>
      <w:r w:rsidR="00224BAE">
        <w:t>,</w:t>
      </w:r>
      <w:r w:rsidR="002A5FF5">
        <w:t xml:space="preserve"> the </w:t>
      </w:r>
      <w:r w:rsidR="00165A4E">
        <w:t>MTR team</w:t>
      </w:r>
      <w:r w:rsidR="00C26777">
        <w:t xml:space="preserve"> </w:t>
      </w:r>
      <w:r w:rsidR="00393D93">
        <w:t xml:space="preserve">was provided </w:t>
      </w:r>
      <w:r w:rsidR="00C26777">
        <w:t xml:space="preserve">with an evidence table </w:t>
      </w:r>
      <w:r w:rsidR="0038620B">
        <w:t>‘</w:t>
      </w:r>
      <w:r w:rsidR="0038620B" w:rsidRPr="0038620B">
        <w:t>designed to capture baseline data and evidence, for evaluating the outcomes and sustainable impacts of the TAPQE program</w:t>
      </w:r>
      <w:r w:rsidR="0038620B">
        <w:t>’</w:t>
      </w:r>
      <w:r w:rsidR="00B67F08">
        <w:rPr>
          <w:rStyle w:val="FootnoteReference"/>
        </w:rPr>
        <w:footnoteReference w:id="18"/>
      </w:r>
      <w:r w:rsidR="0038620B">
        <w:t xml:space="preserve"> </w:t>
      </w:r>
      <w:r w:rsidR="00C26777">
        <w:t xml:space="preserve">with the strength of evidence applying to each one. </w:t>
      </w:r>
      <w:r w:rsidR="00FD2949">
        <w:t xml:space="preserve">The "Strength of Evidence" column specifically mentions that baseline data is available for eight indicators </w:t>
      </w:r>
      <w:r w:rsidR="004B4DB8">
        <w:t xml:space="preserve">(1.1, 1.5, 1.8, 1.11, 2.2, </w:t>
      </w:r>
      <w:r w:rsidR="00FD2949">
        <w:t>3.4, 3.6, 3.7)</w:t>
      </w:r>
      <w:r w:rsidR="00CC05B8">
        <w:t xml:space="preserve">. </w:t>
      </w:r>
      <w:r w:rsidR="00C26777">
        <w:t xml:space="preserve">However, the actual baseline status of an indicator is only mentioned once, under 3.6: "As of December 2023, the baseline for this indicator is zero (0) units using a fully integrated evidence-based system for planning, implementation, monitoring, and reporting". </w:t>
      </w:r>
    </w:p>
    <w:p w14:paraId="79EE7B0D" w14:textId="2C41F9C7" w:rsidR="00C26777" w:rsidRDefault="00C26777" w:rsidP="007A08F5">
      <w:pPr>
        <w:spacing w:after="240"/>
      </w:pPr>
      <w:proofErr w:type="gramStart"/>
      <w:r>
        <w:t>To adequately</w:t>
      </w:r>
      <w:proofErr w:type="gramEnd"/>
      <w:r>
        <w:t xml:space="preserve"> evaluate if the MERL Plan and Framework can monitor progress towards outcomes, the </w:t>
      </w:r>
      <w:r w:rsidR="00165A4E">
        <w:t>MTR team</w:t>
      </w:r>
      <w:r>
        <w:t xml:space="preserve"> would need the type of information provided under 3.6 to be repeated for each of the indicators. </w:t>
      </w:r>
      <w:r w:rsidR="005D6B92">
        <w:t>W</w:t>
      </w:r>
      <w:r>
        <w:t xml:space="preserve">hile the Evidence Table </w:t>
      </w:r>
      <w:r w:rsidR="005D6B92">
        <w:t xml:space="preserve">discussed </w:t>
      </w:r>
      <w:r>
        <w:t xml:space="preserve">the strength of evidence available, which is useful, and mentions the existence of baseline data, it doesn't provide what the baseline </w:t>
      </w:r>
      <w:r w:rsidR="00A90F73">
        <w:t>is</w:t>
      </w:r>
      <w:r>
        <w:t xml:space="preserve"> (except for the one example </w:t>
      </w:r>
      <w:r w:rsidR="00C30301">
        <w:t xml:space="preserve">noted </w:t>
      </w:r>
      <w:r>
        <w:t xml:space="preserve">above). </w:t>
      </w:r>
    </w:p>
    <w:p w14:paraId="12FE3A57" w14:textId="45161B33" w:rsidR="00297DFE" w:rsidRDefault="00297DFE" w:rsidP="007A08F5">
      <w:pPr>
        <w:spacing w:after="240"/>
      </w:pPr>
      <w:r>
        <w:t xml:space="preserve">This </w:t>
      </w:r>
      <w:r w:rsidRPr="00542B9A">
        <w:rPr>
          <w:b/>
          <w:bCs/>
        </w:rPr>
        <w:t>lack of baseline means that it is challenging, if not impossible, to demonstrate progress towards the EOPOs</w:t>
      </w:r>
      <w:r>
        <w:t>.</w:t>
      </w:r>
    </w:p>
    <w:p w14:paraId="20D28F2C" w14:textId="31C17E5D" w:rsidR="00C26777" w:rsidRPr="0069506B" w:rsidRDefault="002E7A94" w:rsidP="007A08F5">
      <w:pPr>
        <w:spacing w:after="240"/>
        <w:rPr>
          <w:u w:val="single"/>
        </w:rPr>
      </w:pPr>
      <w:r>
        <w:rPr>
          <w:u w:val="single"/>
        </w:rPr>
        <w:t xml:space="preserve">Use of </w:t>
      </w:r>
      <w:proofErr w:type="gramStart"/>
      <w:r>
        <w:rPr>
          <w:u w:val="single"/>
        </w:rPr>
        <w:t>a p</w:t>
      </w:r>
      <w:r w:rsidR="00C26777" w:rsidRPr="0069506B">
        <w:rPr>
          <w:u w:val="single"/>
        </w:rPr>
        <w:t>erformance</w:t>
      </w:r>
      <w:proofErr w:type="gramEnd"/>
      <w:r w:rsidR="00C26777" w:rsidRPr="0069506B">
        <w:rPr>
          <w:u w:val="single"/>
        </w:rPr>
        <w:t xml:space="preserve"> rubric</w:t>
      </w:r>
      <w:r w:rsidR="003D43AC">
        <w:rPr>
          <w:u w:val="single"/>
        </w:rPr>
        <w:t xml:space="preserve"> </w:t>
      </w:r>
    </w:p>
    <w:p w14:paraId="48CB54CA" w14:textId="11673AD6" w:rsidR="00C26777" w:rsidRDefault="00C26777" w:rsidP="007A08F5">
      <w:pPr>
        <w:spacing w:after="240"/>
      </w:pPr>
      <w:r>
        <w:t xml:space="preserve">Key to monitoring and evaluating performance against intermediate and end of program outcomes is having a performance rubric, against which outcomes can be agreed and measured. The </w:t>
      </w:r>
      <w:r w:rsidR="00873C42" w:rsidRPr="001319EC">
        <w:rPr>
          <w:i/>
          <w:iCs/>
          <w:lang w:val="en-AU"/>
        </w:rPr>
        <w:t>TAPQE MERL Framework (Interim)</w:t>
      </w:r>
      <w:r w:rsidR="00873C42">
        <w:rPr>
          <w:i/>
          <w:iCs/>
          <w:lang w:val="en-AU"/>
        </w:rPr>
        <w:t xml:space="preserve"> </w:t>
      </w:r>
      <w:r>
        <w:t>outlines that:</w:t>
      </w:r>
    </w:p>
    <w:p w14:paraId="3B80A000" w14:textId="6992A903" w:rsidR="00C26777" w:rsidRDefault="00C26777" w:rsidP="007A08F5">
      <w:pPr>
        <w:spacing w:after="240"/>
        <w:ind w:left="284"/>
      </w:pPr>
      <w:r>
        <w:t>“Evaluating the effectiveness of the TAPQE program management will be facilitated through the co-development of a performance rubric. Rubrics have been used for some time in the education field and are generally thought of as a scoring guide used to evaluate the quality of a student’s work. In more recent times rubrics have been used by MERL specialists and evaluators to undertake program and project evaluations and for performance measurement of program management. The rubric approach is well suited to measuring, monitoring, assessing and reporting program performance and will form an integral element of the TAPQE developmental evaluation approach to program implementation and learning.” (p</w:t>
      </w:r>
      <w:r w:rsidR="003F1BED">
        <w:t>.</w:t>
      </w:r>
      <w:r>
        <w:t>19</w:t>
      </w:r>
      <w:r w:rsidR="00E50FEB">
        <w:t>)</w:t>
      </w:r>
    </w:p>
    <w:p w14:paraId="3AA5F9E9" w14:textId="62090057" w:rsidR="00C26777" w:rsidRDefault="00843259" w:rsidP="007A08F5">
      <w:pPr>
        <w:spacing w:after="240"/>
      </w:pPr>
      <w:r>
        <w:t xml:space="preserve">The </w:t>
      </w:r>
      <w:r w:rsidR="00165A4E">
        <w:t>MTR team</w:t>
      </w:r>
      <w:r>
        <w:t xml:space="preserve"> </w:t>
      </w:r>
      <w:r w:rsidR="003D43AC">
        <w:t xml:space="preserve">found </w:t>
      </w:r>
      <w:r w:rsidR="003D43AC" w:rsidRPr="00542B9A">
        <w:rPr>
          <w:b/>
          <w:bCs/>
        </w:rPr>
        <w:t>no evidence that</w:t>
      </w:r>
      <w:r w:rsidR="00297DFE" w:rsidRPr="00542B9A">
        <w:rPr>
          <w:b/>
          <w:bCs/>
        </w:rPr>
        <w:t xml:space="preserve"> </w:t>
      </w:r>
      <w:r w:rsidR="003D43AC" w:rsidRPr="00542B9A">
        <w:rPr>
          <w:b/>
          <w:bCs/>
        </w:rPr>
        <w:t xml:space="preserve">a performance </w:t>
      </w:r>
      <w:proofErr w:type="gramStart"/>
      <w:r w:rsidR="00297DFE" w:rsidRPr="00542B9A">
        <w:rPr>
          <w:b/>
          <w:bCs/>
        </w:rPr>
        <w:t>rubric</w:t>
      </w:r>
      <w:proofErr w:type="gramEnd"/>
      <w:r w:rsidR="003D43AC" w:rsidRPr="00542B9A">
        <w:rPr>
          <w:b/>
          <w:bCs/>
        </w:rPr>
        <w:t xml:space="preserve"> </w:t>
      </w:r>
      <w:r w:rsidR="006D596F" w:rsidRPr="00542B9A">
        <w:rPr>
          <w:b/>
          <w:bCs/>
        </w:rPr>
        <w:t xml:space="preserve">was </w:t>
      </w:r>
      <w:r w:rsidR="00C26777" w:rsidRPr="00542B9A">
        <w:rPr>
          <w:b/>
          <w:bCs/>
        </w:rPr>
        <w:t>in use</w:t>
      </w:r>
      <w:r w:rsidR="00C26777">
        <w:t xml:space="preserve"> or has been developed by the ME</w:t>
      </w:r>
      <w:r w:rsidR="00297DFE">
        <w:t>R</w:t>
      </w:r>
      <w:r w:rsidR="00C26777">
        <w:t xml:space="preserve">L team. If this was to be finalised, the MEL systems would most likely have a stronger chance </w:t>
      </w:r>
      <w:r w:rsidR="00297DFE">
        <w:t>of</w:t>
      </w:r>
      <w:r w:rsidR="00C26777">
        <w:t xml:space="preserve"> demonstrating progress against the outcomes.</w:t>
      </w:r>
    </w:p>
    <w:p w14:paraId="76B28C42" w14:textId="4298C3E8" w:rsidR="006D596F" w:rsidRPr="0069506B" w:rsidRDefault="004956A1" w:rsidP="007A08F5">
      <w:pPr>
        <w:keepNext/>
        <w:spacing w:after="240"/>
        <w:rPr>
          <w:u w:val="single"/>
        </w:rPr>
      </w:pPr>
      <w:proofErr w:type="spellStart"/>
      <w:r w:rsidRPr="0069506B">
        <w:rPr>
          <w:u w:val="single"/>
        </w:rPr>
        <w:t>Operationalisation</w:t>
      </w:r>
      <w:proofErr w:type="spellEnd"/>
      <w:r w:rsidRPr="0069506B">
        <w:rPr>
          <w:u w:val="single"/>
        </w:rPr>
        <w:t xml:space="preserve"> of </w:t>
      </w:r>
      <w:r w:rsidRPr="000A0897">
        <w:rPr>
          <w:u w:val="single"/>
        </w:rPr>
        <w:t xml:space="preserve">the </w:t>
      </w:r>
      <w:r w:rsidR="00873C42" w:rsidRPr="00542B9A">
        <w:rPr>
          <w:i/>
          <w:iCs/>
          <w:u w:val="single"/>
          <w:lang w:val="en-AU"/>
        </w:rPr>
        <w:t>TAPQE MERL Framework (Interim)</w:t>
      </w:r>
    </w:p>
    <w:p w14:paraId="7D05353A" w14:textId="3D28B058" w:rsidR="00C26777" w:rsidRDefault="00626B05" w:rsidP="007A08F5">
      <w:pPr>
        <w:spacing w:after="240"/>
      </w:pPr>
      <w:r>
        <w:t xml:space="preserve">The 2023 and 2024 </w:t>
      </w:r>
      <w:r w:rsidR="00A20001">
        <w:t xml:space="preserve">TAPQE Annual Reports </w:t>
      </w:r>
      <w:r>
        <w:t xml:space="preserve">include </w:t>
      </w:r>
      <w:r w:rsidR="00297DFE">
        <w:t>reference to</w:t>
      </w:r>
      <w:r w:rsidR="00547240">
        <w:t xml:space="preserve"> </w:t>
      </w:r>
      <w:r w:rsidR="00FD7600">
        <w:t>operationalis</w:t>
      </w:r>
      <w:r w:rsidR="00547240">
        <w:t xml:space="preserve">ation </w:t>
      </w:r>
      <w:r w:rsidR="000C7A10">
        <w:t xml:space="preserve">and progress with </w:t>
      </w:r>
      <w:r w:rsidR="00FD7600">
        <w:t xml:space="preserve">the </w:t>
      </w:r>
      <w:r w:rsidR="00F05C04">
        <w:t>MERL</w:t>
      </w:r>
      <w:r w:rsidR="00A045A4">
        <w:t xml:space="preserve"> framework</w:t>
      </w:r>
      <w:r w:rsidR="00F05C04">
        <w:t xml:space="preserve">, </w:t>
      </w:r>
      <w:r w:rsidR="00A045A4">
        <w:t xml:space="preserve">including </w:t>
      </w:r>
      <w:r w:rsidR="00F05C04">
        <w:t>collection of baseline</w:t>
      </w:r>
      <w:r w:rsidR="000E7B36">
        <w:t xml:space="preserve"> </w:t>
      </w:r>
      <w:r w:rsidR="000C7A10">
        <w:t>data</w:t>
      </w:r>
      <w:r w:rsidR="00AA7D00">
        <w:t xml:space="preserve"> and ‘</w:t>
      </w:r>
      <w:r w:rsidR="00AA7D00" w:rsidRPr="01389C4D">
        <w:rPr>
          <w:lang w:val="en-GB"/>
        </w:rPr>
        <w:t>operationalising the core MERL components, systems and processes, and establishing the groundwork for TAPQE’s MERL data collection, analysis, sense-</w:t>
      </w:r>
      <w:r w:rsidR="00AA7D00" w:rsidRPr="01389C4D">
        <w:rPr>
          <w:lang w:val="en-GB"/>
        </w:rPr>
        <w:lastRenderedPageBreak/>
        <w:t>making and reporting</w:t>
      </w:r>
      <w:r w:rsidR="00AA7D00">
        <w:rPr>
          <w:lang w:val="en-GB"/>
        </w:rPr>
        <w:t>’</w:t>
      </w:r>
      <w:r w:rsidR="00AA7D00">
        <w:rPr>
          <w:rStyle w:val="FootnoteReference"/>
          <w:lang w:val="en-GB"/>
        </w:rPr>
        <w:footnoteReference w:id="19"/>
      </w:r>
      <w:r w:rsidR="000E7B36">
        <w:t>. However, as discussed in the previous two sections</w:t>
      </w:r>
      <w:r w:rsidR="00DC0F5F">
        <w:t xml:space="preserve"> and earlier in th</w:t>
      </w:r>
      <w:r w:rsidR="00A61232">
        <w:t>is R</w:t>
      </w:r>
      <w:r w:rsidR="00DC0F5F">
        <w:t>eport</w:t>
      </w:r>
      <w:r w:rsidR="000E7B36">
        <w:t xml:space="preserve"> the</w:t>
      </w:r>
      <w:r w:rsidR="00DC0F5F">
        <w:t xml:space="preserve"> </w:t>
      </w:r>
      <w:r w:rsidR="00165A4E">
        <w:t>MTR team</w:t>
      </w:r>
      <w:r w:rsidR="00DC0F5F">
        <w:t xml:space="preserve"> has concluded that the </w:t>
      </w:r>
      <w:r w:rsidR="00873C42" w:rsidRPr="00542B9A">
        <w:rPr>
          <w:b/>
          <w:bCs/>
          <w:i/>
          <w:iCs/>
          <w:lang w:val="en-AU"/>
        </w:rPr>
        <w:t xml:space="preserve">TAPQE MERL Framework (Interim) </w:t>
      </w:r>
      <w:r w:rsidR="00DC0F5F" w:rsidRPr="00542B9A">
        <w:rPr>
          <w:b/>
          <w:bCs/>
        </w:rPr>
        <w:t xml:space="preserve">has not </w:t>
      </w:r>
      <w:r w:rsidR="00C42512" w:rsidRPr="00542B9A">
        <w:rPr>
          <w:b/>
          <w:bCs/>
        </w:rPr>
        <w:t>progress</w:t>
      </w:r>
      <w:r w:rsidR="00A61232" w:rsidRPr="00542B9A">
        <w:rPr>
          <w:b/>
          <w:bCs/>
        </w:rPr>
        <w:t>ed</w:t>
      </w:r>
      <w:r w:rsidR="00C42512" w:rsidRPr="00542B9A">
        <w:rPr>
          <w:b/>
          <w:bCs/>
        </w:rPr>
        <w:t xml:space="preserve"> to the point where it can be judged appropriate</w:t>
      </w:r>
      <w:r w:rsidR="00C42512">
        <w:t xml:space="preserve"> to monitor progress on the achievement of the Program’s intermediate and end of program outcomes.</w:t>
      </w:r>
    </w:p>
    <w:p w14:paraId="718F43DA" w14:textId="0D49BC8F" w:rsidR="004963D0" w:rsidRDefault="004963D0" w:rsidP="007A08F5">
      <w:pPr>
        <w:spacing w:after="240"/>
      </w:pPr>
      <w:r>
        <w:t xml:space="preserve">This does not appear to be a design issue, rather it appears to be an issue of strategic leadership and </w:t>
      </w:r>
      <w:r w:rsidR="00065A5C">
        <w:t xml:space="preserve">judgement </w:t>
      </w:r>
      <w:r w:rsidR="00C406BC">
        <w:t>in that the P</w:t>
      </w:r>
      <w:r w:rsidR="00065A5C">
        <w:t xml:space="preserve">rogram has decided to </w:t>
      </w:r>
      <w:r w:rsidR="001B63BD">
        <w:t>align its MERL activities with MEHRD MERL activities</w:t>
      </w:r>
      <w:r w:rsidR="00065A5C">
        <w:t xml:space="preserve">. </w:t>
      </w:r>
      <w:r w:rsidR="00941AB8">
        <w:t xml:space="preserve">This intention is reflected in the </w:t>
      </w:r>
      <w:r w:rsidR="00873C42" w:rsidRPr="001319EC">
        <w:rPr>
          <w:i/>
          <w:iCs/>
          <w:lang w:val="en-AU"/>
        </w:rPr>
        <w:t>TAPQE MERL Framework (Interim)</w:t>
      </w:r>
      <w:r w:rsidR="00873C42" w:rsidRPr="00CE41E2" w:rsidDel="00873C42">
        <w:t xml:space="preserve"> </w:t>
      </w:r>
      <w:r w:rsidR="00A902B6">
        <w:t>(p.8)</w:t>
      </w:r>
      <w:r w:rsidR="000C7A10">
        <w:t>:</w:t>
      </w:r>
    </w:p>
    <w:p w14:paraId="2CD134C8" w14:textId="0C07B9F2" w:rsidR="00C26777" w:rsidRPr="0069506B" w:rsidRDefault="00A902B6" w:rsidP="007A08F5">
      <w:pPr>
        <w:spacing w:after="240"/>
        <w:ind w:left="284"/>
        <w:rPr>
          <w:i/>
          <w:iCs/>
        </w:rPr>
      </w:pPr>
      <w:r w:rsidRPr="0069506B">
        <w:rPr>
          <w:i/>
          <w:iCs/>
        </w:rPr>
        <w:t>TAPQE’s strategic approach to MERL is to support the development of a unified MERL Framework as part of TESP IV. The framework will be owned and led by MEHRD with TAPQE and other education stakeholders also aligning to this overall framework. In essence, all education outcomes belong to MEHRD – TAPQE is contributing to these outcomes in selected areas i.e. TAPQE education outcomes (literacy, numeracy, secondary pathways and MEHRD capacity) are a subset of proposed TESP IV outcomes.</w:t>
      </w:r>
    </w:p>
    <w:p w14:paraId="61D02263" w14:textId="1DC18A75" w:rsidR="00EB165F" w:rsidRDefault="00A46048" w:rsidP="007A08F5">
      <w:pPr>
        <w:spacing w:after="240"/>
        <w:rPr>
          <w:lang w:val="en-GB"/>
        </w:rPr>
      </w:pPr>
      <w:r>
        <w:t xml:space="preserve">While this approach has </w:t>
      </w:r>
      <w:r w:rsidRPr="00542B9A">
        <w:rPr>
          <w:b/>
          <w:bCs/>
        </w:rPr>
        <w:t>merit from a sustainability and localisation point of view</w:t>
      </w:r>
      <w:r>
        <w:t xml:space="preserve"> it has meant that the </w:t>
      </w:r>
      <w:r w:rsidRPr="00542B9A">
        <w:rPr>
          <w:b/>
          <w:bCs/>
        </w:rPr>
        <w:t xml:space="preserve">Program has not been able to </w:t>
      </w:r>
      <w:r w:rsidR="00CE7782" w:rsidRPr="00542B9A">
        <w:rPr>
          <w:b/>
          <w:bCs/>
        </w:rPr>
        <w:t xml:space="preserve">systematically </w:t>
      </w:r>
      <w:r w:rsidR="00214208" w:rsidRPr="00542B9A">
        <w:rPr>
          <w:b/>
          <w:bCs/>
        </w:rPr>
        <w:t>report on evidence of progress</w:t>
      </w:r>
      <w:r w:rsidR="00214208">
        <w:t xml:space="preserve"> towards Program outcomes (and has not </w:t>
      </w:r>
      <w:r w:rsidR="00547240">
        <w:t>met</w:t>
      </w:r>
      <w:r>
        <w:t xml:space="preserve"> DFAT </w:t>
      </w:r>
      <w:r w:rsidR="00214208">
        <w:t xml:space="preserve">MEL </w:t>
      </w:r>
      <w:r>
        <w:t>expectations</w:t>
      </w:r>
      <w:r w:rsidR="00CE7782">
        <w:t xml:space="preserve"> in relation to baseline data</w:t>
      </w:r>
      <w:r w:rsidR="00214208">
        <w:t>)</w:t>
      </w:r>
      <w:r w:rsidR="00AD33F8">
        <w:t xml:space="preserve">. Further, whereas the </w:t>
      </w:r>
      <w:r w:rsidR="009A6318">
        <w:t xml:space="preserve">original intention may have been to meet Program MERL requirements, the delay in finalising the TESP IV and subsequent MERL </w:t>
      </w:r>
      <w:r w:rsidR="00C56C42">
        <w:t xml:space="preserve">arrangements </w:t>
      </w:r>
      <w:r w:rsidR="00E94D9B">
        <w:t xml:space="preserve">appears to have meant that this has not been possible. </w:t>
      </w:r>
      <w:r w:rsidR="00735605">
        <w:t xml:space="preserve">The </w:t>
      </w:r>
      <w:r w:rsidR="00A721C0">
        <w:t xml:space="preserve">‘under-development’ nature of the TAPQE MERL and its </w:t>
      </w:r>
      <w:r w:rsidR="002114E9">
        <w:t xml:space="preserve">apparent dependence on TESP IV is </w:t>
      </w:r>
      <w:r w:rsidR="00E326EC">
        <w:t xml:space="preserve">evident in the MERL discussion in the </w:t>
      </w:r>
      <w:r w:rsidR="00E326EC" w:rsidRPr="00547240">
        <w:rPr>
          <w:i/>
          <w:iCs/>
        </w:rPr>
        <w:t>2024 (Draft) TAPQE Annual Report</w:t>
      </w:r>
      <w:r w:rsidR="00E326EC">
        <w:t xml:space="preserve"> (p</w:t>
      </w:r>
      <w:r w:rsidR="00043D1D">
        <w:t>.</w:t>
      </w:r>
      <w:r w:rsidR="00E326EC">
        <w:t>10)</w:t>
      </w:r>
      <w:r w:rsidR="00FF58E2">
        <w:t>, for example ‘</w:t>
      </w:r>
      <w:r w:rsidR="00FF58E2" w:rsidRPr="0069506B">
        <w:rPr>
          <w:i/>
          <w:iCs/>
        </w:rPr>
        <w:t>An update of the MERL Framework and Plan in mid-2025 will include a more clearly articulated results framework (indicators, baselines and targets) aligned to the TESP IV results framework, once finalised and endorsed</w:t>
      </w:r>
      <w:r w:rsidR="00FF58E2">
        <w:rPr>
          <w:i/>
          <w:iCs/>
        </w:rPr>
        <w:t xml:space="preserve">’ </w:t>
      </w:r>
      <w:r w:rsidR="00FF58E2" w:rsidRPr="0069506B">
        <w:t xml:space="preserve">and </w:t>
      </w:r>
      <w:r w:rsidR="00EB165F">
        <w:t>‘</w:t>
      </w:r>
      <w:r w:rsidR="00EB165F" w:rsidRPr="0069506B">
        <w:rPr>
          <w:i/>
          <w:iCs/>
          <w:lang w:val="en-GB"/>
        </w:rPr>
        <w:t>The focus for TAPQE MERL efforts in 2024 was operationalising the core MERL components, systems and processes, and establishing the groundwork for TAPQE’s MERL data collection, analysis, sense-making and reporting</w:t>
      </w:r>
      <w:r w:rsidR="00EB165F">
        <w:rPr>
          <w:lang w:val="en-GB"/>
        </w:rPr>
        <w:t>’</w:t>
      </w:r>
      <w:r w:rsidR="00EB165F" w:rsidRPr="00EB165F">
        <w:rPr>
          <w:lang w:val="en-GB"/>
        </w:rPr>
        <w:t>.</w:t>
      </w:r>
    </w:p>
    <w:p w14:paraId="6C5A282E" w14:textId="2CA610BB" w:rsidR="00000C4A" w:rsidRDefault="00BB00EB" w:rsidP="007A08F5">
      <w:pPr>
        <w:spacing w:after="240"/>
      </w:pPr>
      <w:r>
        <w:rPr>
          <w:lang w:val="en-GB"/>
        </w:rPr>
        <w:t>An alternative approach to that taken by the TAPQE Program could have resulted in a bas</w:t>
      </w:r>
      <w:r w:rsidR="00722544">
        <w:rPr>
          <w:lang w:val="en-GB"/>
        </w:rPr>
        <w:t>e</w:t>
      </w:r>
      <w:r>
        <w:rPr>
          <w:lang w:val="en-GB"/>
        </w:rPr>
        <w:t>line being established in 2023, possibly involving data available through</w:t>
      </w:r>
      <w:r w:rsidR="00567ACE">
        <w:rPr>
          <w:lang w:val="en-GB"/>
        </w:rPr>
        <w:t xml:space="preserve"> </w:t>
      </w:r>
      <w:r w:rsidR="00567ACE" w:rsidRPr="00567ACE">
        <w:rPr>
          <w:lang w:val="en-AU"/>
        </w:rPr>
        <w:t>Tuvalu - Early Grade Reading Assessment (TuEGRA)</w:t>
      </w:r>
      <w:r w:rsidR="00567ACE">
        <w:rPr>
          <w:lang w:val="en-AU"/>
        </w:rPr>
        <w:t xml:space="preserve">, </w:t>
      </w:r>
      <w:r w:rsidR="00F02A87">
        <w:t>Transforming the Use of Statistics in Teaching and Assessment (</w:t>
      </w:r>
      <w:r w:rsidR="00F02A87" w:rsidRPr="006452C6">
        <w:t>TUSTA</w:t>
      </w:r>
      <w:r w:rsidR="00F02A87">
        <w:t xml:space="preserve">), and </w:t>
      </w:r>
      <w:r w:rsidR="00BF007B" w:rsidRPr="0087037E">
        <w:rPr>
          <w:rFonts w:cstheme="minorHAnsi"/>
        </w:rPr>
        <w:t>Pacific Islands Literacy and Numeracy Assessment</w:t>
      </w:r>
      <w:r w:rsidR="00BF007B">
        <w:rPr>
          <w:rFonts w:cstheme="minorHAnsi"/>
        </w:rPr>
        <w:t xml:space="preserve"> (PILNA</w:t>
      </w:r>
      <w:r w:rsidR="001048FE">
        <w:rPr>
          <w:rFonts w:cstheme="minorHAnsi"/>
        </w:rPr>
        <w:t>)</w:t>
      </w:r>
      <w:r w:rsidR="00FB5322">
        <w:rPr>
          <w:lang w:val="en-GB"/>
        </w:rPr>
        <w:t xml:space="preserve"> data sets</w:t>
      </w:r>
      <w:r w:rsidR="00A75103">
        <w:rPr>
          <w:lang w:val="en-GB"/>
        </w:rPr>
        <w:t xml:space="preserve"> as we</w:t>
      </w:r>
      <w:r w:rsidR="008F6BC7">
        <w:rPr>
          <w:lang w:val="en-GB"/>
        </w:rPr>
        <w:t>ll as other baseline data sets</w:t>
      </w:r>
      <w:r w:rsidR="00BC5AE4">
        <w:rPr>
          <w:lang w:val="en-GB"/>
        </w:rPr>
        <w:t xml:space="preserve">. It </w:t>
      </w:r>
      <w:r w:rsidR="00876E75">
        <w:rPr>
          <w:lang w:val="en-GB"/>
        </w:rPr>
        <w:t xml:space="preserve">might also have resulted in </w:t>
      </w:r>
      <w:r w:rsidR="00FB5322">
        <w:rPr>
          <w:lang w:val="en-GB"/>
        </w:rPr>
        <w:t xml:space="preserve">a </w:t>
      </w:r>
      <w:r w:rsidR="008679D6">
        <w:rPr>
          <w:lang w:val="en-GB"/>
        </w:rPr>
        <w:t xml:space="preserve">fully functioning MERL which </w:t>
      </w:r>
      <w:r w:rsidR="008F6BC7">
        <w:rPr>
          <w:lang w:val="en-GB"/>
        </w:rPr>
        <w:t xml:space="preserve">would provide </w:t>
      </w:r>
      <w:r w:rsidR="005510DC">
        <w:rPr>
          <w:lang w:val="en-GB"/>
        </w:rPr>
        <w:t xml:space="preserve">data </w:t>
      </w:r>
      <w:r w:rsidR="008F6BC7">
        <w:rPr>
          <w:lang w:val="en-GB"/>
        </w:rPr>
        <w:t xml:space="preserve">for the 2024 </w:t>
      </w:r>
      <w:r w:rsidR="00593987">
        <w:rPr>
          <w:lang w:val="en-GB"/>
        </w:rPr>
        <w:t>a</w:t>
      </w:r>
      <w:r w:rsidR="008F6BC7">
        <w:rPr>
          <w:lang w:val="en-GB"/>
        </w:rPr>
        <w:t xml:space="preserve">nnual </w:t>
      </w:r>
      <w:r w:rsidR="00593987">
        <w:rPr>
          <w:lang w:val="en-GB"/>
        </w:rPr>
        <w:t>r</w:t>
      </w:r>
      <w:r w:rsidR="008F6BC7">
        <w:rPr>
          <w:lang w:val="en-GB"/>
        </w:rPr>
        <w:t>eport</w:t>
      </w:r>
      <w:r w:rsidR="00FF71CE">
        <w:rPr>
          <w:lang w:val="en-GB"/>
        </w:rPr>
        <w:t>,</w:t>
      </w:r>
      <w:r w:rsidR="0098292B">
        <w:rPr>
          <w:lang w:val="en-GB"/>
        </w:rPr>
        <w:t xml:space="preserve"> beyond descriptions of </w:t>
      </w:r>
      <w:r w:rsidR="00FF71CE">
        <w:rPr>
          <w:lang w:val="en-GB"/>
        </w:rPr>
        <w:t xml:space="preserve">Program </w:t>
      </w:r>
      <w:r w:rsidR="0098292B">
        <w:rPr>
          <w:lang w:val="en-GB"/>
        </w:rPr>
        <w:t>activities</w:t>
      </w:r>
      <w:r w:rsidR="00FF71CE">
        <w:rPr>
          <w:lang w:val="en-GB"/>
        </w:rPr>
        <w:t xml:space="preserve">, indicating </w:t>
      </w:r>
      <w:r w:rsidR="001F697A">
        <w:rPr>
          <w:lang w:val="en-GB"/>
        </w:rPr>
        <w:t xml:space="preserve">changes in </w:t>
      </w:r>
      <w:r w:rsidR="005510DC">
        <w:rPr>
          <w:lang w:val="en-GB"/>
        </w:rPr>
        <w:t>areas</w:t>
      </w:r>
      <w:r w:rsidR="008C51DA">
        <w:rPr>
          <w:lang w:val="en-GB"/>
        </w:rPr>
        <w:t xml:space="preserve"> such as </w:t>
      </w:r>
      <w:r w:rsidR="001F697A">
        <w:rPr>
          <w:lang w:val="en-GB"/>
        </w:rPr>
        <w:t>student attendance, improvements in teacher knowledge and capability etc</w:t>
      </w:r>
      <w:r w:rsidR="00876E75">
        <w:rPr>
          <w:lang w:val="en-GB"/>
        </w:rPr>
        <w:t xml:space="preserve"> and any shifts from the baseline</w:t>
      </w:r>
      <w:r w:rsidR="008C51DA">
        <w:rPr>
          <w:lang w:val="en-GB"/>
        </w:rPr>
        <w:t xml:space="preserve">. </w:t>
      </w:r>
      <w:r w:rsidR="0098292B">
        <w:rPr>
          <w:lang w:val="en-GB"/>
        </w:rPr>
        <w:t xml:space="preserve"> </w:t>
      </w:r>
      <w:r w:rsidR="00722544">
        <w:rPr>
          <w:lang w:val="en-GB"/>
        </w:rPr>
        <w:t xml:space="preserve">An operating and informative MERL </w:t>
      </w:r>
      <w:r w:rsidR="00BC5AE4">
        <w:rPr>
          <w:lang w:val="en-GB"/>
        </w:rPr>
        <w:t xml:space="preserve">would </w:t>
      </w:r>
      <w:r w:rsidR="00F63CFE">
        <w:rPr>
          <w:lang w:val="en-GB"/>
        </w:rPr>
        <w:t xml:space="preserve">also </w:t>
      </w:r>
      <w:r w:rsidR="00D45EE2">
        <w:rPr>
          <w:lang w:val="en-GB"/>
        </w:rPr>
        <w:t xml:space="preserve">model the value of a MERL system </w:t>
      </w:r>
      <w:r w:rsidR="00F63CFE">
        <w:rPr>
          <w:lang w:val="en-GB"/>
        </w:rPr>
        <w:t xml:space="preserve">to </w:t>
      </w:r>
      <w:r w:rsidR="00547240">
        <w:rPr>
          <w:lang w:val="en-GB"/>
        </w:rPr>
        <w:t xml:space="preserve">MEHRD </w:t>
      </w:r>
      <w:r w:rsidR="00F63CFE">
        <w:rPr>
          <w:lang w:val="en-GB"/>
        </w:rPr>
        <w:t xml:space="preserve">planning and </w:t>
      </w:r>
      <w:r w:rsidR="000A0897">
        <w:rPr>
          <w:lang w:val="en-GB"/>
        </w:rPr>
        <w:t>decision-making and</w:t>
      </w:r>
      <w:r w:rsidR="00D45EE2">
        <w:rPr>
          <w:lang w:val="en-GB"/>
        </w:rPr>
        <w:t xml:space="preserve"> possibly encourage </w:t>
      </w:r>
      <w:r w:rsidR="00F05606">
        <w:rPr>
          <w:lang w:val="en-GB"/>
        </w:rPr>
        <w:t>more rapid progress with the resolution of TESP IV and development of the MEHRD MERL.</w:t>
      </w:r>
      <w:r w:rsidR="001C44E6">
        <w:rPr>
          <w:lang w:val="en-GB"/>
        </w:rPr>
        <w:t xml:space="preserve"> </w:t>
      </w:r>
      <w:r w:rsidR="00E326EC">
        <w:t xml:space="preserve"> </w:t>
      </w:r>
    </w:p>
    <w:p w14:paraId="618F0131" w14:textId="2BAAF7C6" w:rsidR="00AF5352" w:rsidRPr="00547240" w:rsidRDefault="00BD5F72" w:rsidP="007A08F5">
      <w:pPr>
        <w:pStyle w:val="ListParagraph"/>
        <w:keepNext/>
        <w:numPr>
          <w:ilvl w:val="1"/>
          <w:numId w:val="11"/>
        </w:numPr>
        <w:spacing w:after="240"/>
        <w:ind w:left="425" w:hanging="425"/>
        <w:rPr>
          <w:rStyle w:val="SubtleEmphasis"/>
        </w:rPr>
      </w:pPr>
      <w:r w:rsidRPr="00547240">
        <w:rPr>
          <w:rStyle w:val="SubtleEmphasis"/>
        </w:rPr>
        <w:t>To what extent is the MEL system producing appropriate information products, including performance information that meets user information needs?</w:t>
      </w:r>
    </w:p>
    <w:p w14:paraId="327EE69E" w14:textId="7A90D24A" w:rsidR="00F73ECA" w:rsidRDefault="00F73ECA" w:rsidP="007A08F5">
      <w:pPr>
        <w:spacing w:after="240"/>
        <w:rPr>
          <w:color w:val="auto"/>
        </w:rPr>
      </w:pPr>
      <w:r w:rsidRPr="0069506B">
        <w:rPr>
          <w:color w:val="auto"/>
        </w:rPr>
        <w:t xml:space="preserve">The </w:t>
      </w:r>
      <w:r>
        <w:rPr>
          <w:color w:val="auto"/>
        </w:rPr>
        <w:t xml:space="preserve">TAPQE </w:t>
      </w:r>
      <w:r w:rsidRPr="0069506B">
        <w:rPr>
          <w:color w:val="auto"/>
        </w:rPr>
        <w:t>ME</w:t>
      </w:r>
      <w:r>
        <w:rPr>
          <w:color w:val="auto"/>
        </w:rPr>
        <w:t>R</w:t>
      </w:r>
      <w:r w:rsidRPr="0069506B">
        <w:rPr>
          <w:color w:val="auto"/>
        </w:rPr>
        <w:t xml:space="preserve">L System appears to be producing information that </w:t>
      </w:r>
      <w:r w:rsidR="00817D98">
        <w:rPr>
          <w:color w:val="auto"/>
        </w:rPr>
        <w:t>enables</w:t>
      </w:r>
      <w:r w:rsidR="002D3484">
        <w:rPr>
          <w:color w:val="auto"/>
        </w:rPr>
        <w:t xml:space="preserve"> </w:t>
      </w:r>
      <w:r w:rsidRPr="0069506B">
        <w:rPr>
          <w:color w:val="auto"/>
        </w:rPr>
        <w:t xml:space="preserve">the </w:t>
      </w:r>
      <w:r w:rsidR="00163EE1">
        <w:rPr>
          <w:color w:val="auto"/>
        </w:rPr>
        <w:t xml:space="preserve">production </w:t>
      </w:r>
      <w:r w:rsidR="002D3484">
        <w:rPr>
          <w:color w:val="auto"/>
        </w:rPr>
        <w:t>of reports to meet user needs</w:t>
      </w:r>
      <w:r w:rsidRPr="0069506B">
        <w:rPr>
          <w:color w:val="auto"/>
        </w:rPr>
        <w:t xml:space="preserve">. However, the system is lacking in a centralised data collation and analysis tool that records all evidence. </w:t>
      </w:r>
    </w:p>
    <w:p w14:paraId="741708D0" w14:textId="3D9D678F" w:rsidR="003472F5" w:rsidRDefault="003472F5" w:rsidP="007A08F5">
      <w:pPr>
        <w:spacing w:after="240"/>
        <w:rPr>
          <w:color w:val="auto"/>
        </w:rPr>
      </w:pPr>
      <w:r>
        <w:rPr>
          <w:color w:val="auto"/>
        </w:rPr>
        <w:lastRenderedPageBreak/>
        <w:t xml:space="preserve">Further, the </w:t>
      </w:r>
      <w:r w:rsidRPr="00547240">
        <w:rPr>
          <w:i/>
          <w:iCs/>
          <w:color w:val="auto"/>
        </w:rPr>
        <w:t>TAPQE Communications Plan (2023)</w:t>
      </w:r>
      <w:r>
        <w:rPr>
          <w:color w:val="auto"/>
        </w:rPr>
        <w:t xml:space="preserve"> sets 9 objectives and proposes a range of outputs which would presumably require information products derived from ME</w:t>
      </w:r>
      <w:r w:rsidR="00547240">
        <w:rPr>
          <w:color w:val="auto"/>
        </w:rPr>
        <w:t>R</w:t>
      </w:r>
      <w:r>
        <w:rPr>
          <w:color w:val="auto"/>
        </w:rPr>
        <w:t xml:space="preserve">L data and analysis. </w:t>
      </w:r>
      <w:r w:rsidR="00A2629D">
        <w:rPr>
          <w:color w:val="auto"/>
        </w:rPr>
        <w:t xml:space="preserve">Notwithstanding the importance of </w:t>
      </w:r>
      <w:r>
        <w:rPr>
          <w:color w:val="auto"/>
        </w:rPr>
        <w:t xml:space="preserve">promoting the purpose and achievements of the Program within and beyond Tuvalu, </w:t>
      </w:r>
      <w:r w:rsidR="00547240">
        <w:rPr>
          <w:color w:val="auto"/>
        </w:rPr>
        <w:t>overall,</w:t>
      </w:r>
      <w:r w:rsidR="00FB7FFC">
        <w:rPr>
          <w:color w:val="auto"/>
        </w:rPr>
        <w:t xml:space="preserve"> </w:t>
      </w:r>
      <w:r>
        <w:rPr>
          <w:color w:val="auto"/>
        </w:rPr>
        <w:t>the</w:t>
      </w:r>
      <w:r w:rsidR="00411122">
        <w:rPr>
          <w:color w:val="auto"/>
        </w:rPr>
        <w:t xml:space="preserve"> Program’s communication activities do not appear to be </w:t>
      </w:r>
      <w:r w:rsidR="00F27B1D">
        <w:rPr>
          <w:color w:val="auto"/>
        </w:rPr>
        <w:t xml:space="preserve">systematic or strategic. </w:t>
      </w:r>
      <w:r w:rsidR="00FB7FFC">
        <w:rPr>
          <w:color w:val="auto"/>
        </w:rPr>
        <w:t xml:space="preserve">The </w:t>
      </w:r>
      <w:r w:rsidR="00207063">
        <w:rPr>
          <w:color w:val="auto"/>
        </w:rPr>
        <w:t xml:space="preserve">2024 </w:t>
      </w:r>
      <w:r w:rsidR="00FB7FFC">
        <w:rPr>
          <w:color w:val="auto"/>
        </w:rPr>
        <w:t xml:space="preserve">Radio Program </w:t>
      </w:r>
      <w:r w:rsidR="00207063">
        <w:rPr>
          <w:color w:val="auto"/>
        </w:rPr>
        <w:t xml:space="preserve">schedule is </w:t>
      </w:r>
      <w:r w:rsidR="00D2435F">
        <w:rPr>
          <w:color w:val="auto"/>
        </w:rPr>
        <w:t>one</w:t>
      </w:r>
      <w:r w:rsidR="00207063">
        <w:rPr>
          <w:color w:val="auto"/>
        </w:rPr>
        <w:t xml:space="preserve"> example of </w:t>
      </w:r>
      <w:r w:rsidR="00AC7453">
        <w:rPr>
          <w:color w:val="auto"/>
        </w:rPr>
        <w:t xml:space="preserve">a plan to use the medium and </w:t>
      </w:r>
      <w:r w:rsidR="00D47BF2">
        <w:rPr>
          <w:color w:val="auto"/>
        </w:rPr>
        <w:t xml:space="preserve">to </w:t>
      </w:r>
      <w:r w:rsidR="00AC7453">
        <w:rPr>
          <w:color w:val="auto"/>
        </w:rPr>
        <w:t>cover the scope of Program</w:t>
      </w:r>
      <w:r w:rsidR="00D47BF2">
        <w:rPr>
          <w:color w:val="auto"/>
        </w:rPr>
        <w:t xml:space="preserve">. </w:t>
      </w:r>
      <w:r w:rsidR="005D0A57">
        <w:rPr>
          <w:color w:val="auto"/>
        </w:rPr>
        <w:t xml:space="preserve">Contributions to the AHC Facebook page </w:t>
      </w:r>
      <w:r w:rsidR="00547240">
        <w:rPr>
          <w:color w:val="auto"/>
        </w:rPr>
        <w:t>are</w:t>
      </w:r>
      <w:r w:rsidR="005D0A57">
        <w:rPr>
          <w:color w:val="auto"/>
        </w:rPr>
        <w:t xml:space="preserve"> also mentione</w:t>
      </w:r>
      <w:r w:rsidR="00A571D4">
        <w:rPr>
          <w:color w:val="auto"/>
        </w:rPr>
        <w:t>d</w:t>
      </w:r>
      <w:r w:rsidR="006213CB">
        <w:rPr>
          <w:color w:val="auto"/>
        </w:rPr>
        <w:t>. H</w:t>
      </w:r>
      <w:r w:rsidR="00A571D4">
        <w:rPr>
          <w:color w:val="auto"/>
        </w:rPr>
        <w:t>owever</w:t>
      </w:r>
      <w:r w:rsidR="002D3484">
        <w:rPr>
          <w:color w:val="auto"/>
        </w:rPr>
        <w:t>,</w:t>
      </w:r>
      <w:r w:rsidR="009D174F">
        <w:rPr>
          <w:color w:val="auto"/>
        </w:rPr>
        <w:t xml:space="preserve"> the review team could find no </w:t>
      </w:r>
      <w:r w:rsidR="00817D98">
        <w:rPr>
          <w:color w:val="auto"/>
        </w:rPr>
        <w:t>evidence that</w:t>
      </w:r>
      <w:r w:rsidR="009D174F">
        <w:rPr>
          <w:color w:val="auto"/>
        </w:rPr>
        <w:t xml:space="preserve"> </w:t>
      </w:r>
      <w:r w:rsidR="000B1DE2">
        <w:rPr>
          <w:color w:val="auto"/>
        </w:rPr>
        <w:t>the Program has undertaken an</w:t>
      </w:r>
      <w:r w:rsidR="00A571D4">
        <w:rPr>
          <w:color w:val="auto"/>
        </w:rPr>
        <w:t xml:space="preserve"> analysis of key audiences</w:t>
      </w:r>
      <w:r w:rsidR="00E1205D">
        <w:rPr>
          <w:color w:val="auto"/>
        </w:rPr>
        <w:t xml:space="preserve"> and</w:t>
      </w:r>
      <w:r w:rsidR="006213CB">
        <w:rPr>
          <w:color w:val="auto"/>
        </w:rPr>
        <w:t xml:space="preserve"> their </w:t>
      </w:r>
      <w:r w:rsidR="0007267B">
        <w:rPr>
          <w:color w:val="auto"/>
        </w:rPr>
        <w:t>interests or</w:t>
      </w:r>
      <w:r w:rsidR="00CD4D61">
        <w:rPr>
          <w:color w:val="auto"/>
        </w:rPr>
        <w:t xml:space="preserve"> completed a </w:t>
      </w:r>
      <w:r w:rsidR="006213CB">
        <w:rPr>
          <w:color w:val="auto"/>
        </w:rPr>
        <w:t xml:space="preserve">systematic </w:t>
      </w:r>
      <w:r w:rsidR="00CD4D61">
        <w:rPr>
          <w:color w:val="auto"/>
        </w:rPr>
        <w:t xml:space="preserve">plan </w:t>
      </w:r>
      <w:r w:rsidR="006213CB">
        <w:rPr>
          <w:color w:val="auto"/>
        </w:rPr>
        <w:t xml:space="preserve">to </w:t>
      </w:r>
      <w:r w:rsidR="0007267B">
        <w:rPr>
          <w:color w:val="auto"/>
        </w:rPr>
        <w:t>communicate</w:t>
      </w:r>
      <w:r w:rsidR="005160C1">
        <w:rPr>
          <w:color w:val="auto"/>
        </w:rPr>
        <w:t xml:space="preserve"> with them.</w:t>
      </w:r>
    </w:p>
    <w:p w14:paraId="15F5F92F" w14:textId="27D1C9DF" w:rsidR="00F73ECA" w:rsidRDefault="00F73ECA" w:rsidP="007A08F5">
      <w:pPr>
        <w:spacing w:after="240"/>
        <w:rPr>
          <w:color w:val="auto"/>
        </w:rPr>
      </w:pPr>
      <w:r w:rsidRPr="0069506B">
        <w:rPr>
          <w:color w:val="auto"/>
        </w:rPr>
        <w:t xml:space="preserve">From the </w:t>
      </w:r>
      <w:r w:rsidR="00165A4E">
        <w:rPr>
          <w:color w:val="auto"/>
        </w:rPr>
        <w:t>MTR team</w:t>
      </w:r>
      <w:r w:rsidR="005D7233">
        <w:rPr>
          <w:color w:val="auto"/>
        </w:rPr>
        <w:t>’s</w:t>
      </w:r>
      <w:r w:rsidRPr="0069506B">
        <w:rPr>
          <w:color w:val="auto"/>
        </w:rPr>
        <w:t xml:space="preserve"> perspective, this makes it very challenging to evaluate </w:t>
      </w:r>
      <w:r w:rsidR="00E15ED5">
        <w:rPr>
          <w:color w:val="auto"/>
        </w:rPr>
        <w:t xml:space="preserve">the extent to which </w:t>
      </w:r>
      <w:r w:rsidR="001B3510">
        <w:rPr>
          <w:color w:val="auto"/>
        </w:rPr>
        <w:t xml:space="preserve">information products and performance information </w:t>
      </w:r>
      <w:r w:rsidR="00547240">
        <w:rPr>
          <w:color w:val="auto"/>
        </w:rPr>
        <w:t>are</w:t>
      </w:r>
      <w:r w:rsidR="001B3510">
        <w:rPr>
          <w:color w:val="auto"/>
        </w:rPr>
        <w:t xml:space="preserve"> being produced (and used). </w:t>
      </w:r>
      <w:r w:rsidR="005F2252">
        <w:rPr>
          <w:color w:val="auto"/>
        </w:rPr>
        <w:t xml:space="preserve"> </w:t>
      </w:r>
      <w:r w:rsidR="002B7D04">
        <w:rPr>
          <w:color w:val="auto"/>
        </w:rPr>
        <w:t xml:space="preserve">Two </w:t>
      </w:r>
      <w:r w:rsidR="00547240">
        <w:rPr>
          <w:color w:val="auto"/>
        </w:rPr>
        <w:t>matters</w:t>
      </w:r>
      <w:r w:rsidR="002B7D04">
        <w:rPr>
          <w:color w:val="auto"/>
        </w:rPr>
        <w:t xml:space="preserve"> which might contribute </w:t>
      </w:r>
      <w:r w:rsidR="002E45DA">
        <w:rPr>
          <w:color w:val="auto"/>
        </w:rPr>
        <w:t xml:space="preserve">to this current state </w:t>
      </w:r>
      <w:r w:rsidR="002B7D04">
        <w:rPr>
          <w:color w:val="auto"/>
        </w:rPr>
        <w:t>are discuss</w:t>
      </w:r>
      <w:r w:rsidRPr="0069506B">
        <w:rPr>
          <w:color w:val="auto"/>
        </w:rPr>
        <w:t>ed below.</w:t>
      </w:r>
    </w:p>
    <w:p w14:paraId="18653B32" w14:textId="393C7855" w:rsidR="00F73ECA" w:rsidRPr="0069506B" w:rsidRDefault="00F73ECA" w:rsidP="007A08F5">
      <w:pPr>
        <w:spacing w:after="240"/>
        <w:rPr>
          <w:color w:val="auto"/>
          <w:u w:val="single"/>
        </w:rPr>
      </w:pPr>
      <w:r w:rsidRPr="0069506B">
        <w:rPr>
          <w:color w:val="auto"/>
          <w:u w:val="single"/>
        </w:rPr>
        <w:t xml:space="preserve">Lack of evidence of </w:t>
      </w:r>
      <w:r w:rsidR="00547240" w:rsidRPr="0069506B">
        <w:rPr>
          <w:color w:val="auto"/>
          <w:u w:val="single"/>
        </w:rPr>
        <w:t>appropriate</w:t>
      </w:r>
      <w:r w:rsidRPr="0069506B">
        <w:rPr>
          <w:color w:val="auto"/>
          <w:u w:val="single"/>
        </w:rPr>
        <w:t xml:space="preserve"> data collation and analysis tools to demonstrate </w:t>
      </w:r>
      <w:r w:rsidR="00E15ED5">
        <w:rPr>
          <w:color w:val="auto"/>
          <w:u w:val="single"/>
        </w:rPr>
        <w:t xml:space="preserve">and communicate about </w:t>
      </w:r>
      <w:r w:rsidRPr="0069506B">
        <w:rPr>
          <w:color w:val="auto"/>
          <w:u w:val="single"/>
        </w:rPr>
        <w:t>performance</w:t>
      </w:r>
    </w:p>
    <w:p w14:paraId="1943FC20" w14:textId="419F3771" w:rsidR="004223E6" w:rsidRDefault="00F73ECA" w:rsidP="007A08F5">
      <w:pPr>
        <w:spacing w:after="240"/>
        <w:rPr>
          <w:color w:val="auto"/>
        </w:rPr>
      </w:pPr>
      <w:r w:rsidRPr="0069506B">
        <w:rPr>
          <w:color w:val="auto"/>
        </w:rPr>
        <w:t xml:space="preserve">Assessing and evaluating evidence is simpler when there is a system in place to capture, collate and analyse data. This seems to be missing in the TAPQE </w:t>
      </w:r>
      <w:r w:rsidR="004223E6">
        <w:rPr>
          <w:color w:val="auto"/>
        </w:rPr>
        <w:t>P</w:t>
      </w:r>
      <w:r w:rsidRPr="0069506B">
        <w:rPr>
          <w:color w:val="auto"/>
        </w:rPr>
        <w:t xml:space="preserve">rogram. </w:t>
      </w:r>
      <w:r w:rsidR="00C67961">
        <w:rPr>
          <w:color w:val="auto"/>
        </w:rPr>
        <w:t>The</w:t>
      </w:r>
      <w:r w:rsidRPr="0069506B">
        <w:rPr>
          <w:color w:val="auto"/>
        </w:rPr>
        <w:t xml:space="preserve"> TAPQE Project </w:t>
      </w:r>
      <w:r w:rsidR="00E469C0">
        <w:rPr>
          <w:color w:val="auto"/>
        </w:rPr>
        <w:t>‘</w:t>
      </w:r>
      <w:r w:rsidRPr="0069506B">
        <w:rPr>
          <w:color w:val="auto"/>
        </w:rPr>
        <w:t xml:space="preserve">document </w:t>
      </w:r>
      <w:proofErr w:type="gramStart"/>
      <w:r w:rsidRPr="0069506B">
        <w:rPr>
          <w:color w:val="auto"/>
        </w:rPr>
        <w:t>hub</w:t>
      </w:r>
      <w:r w:rsidR="00E469C0">
        <w:rPr>
          <w:color w:val="auto"/>
        </w:rPr>
        <w:t>’</w:t>
      </w:r>
      <w:r w:rsidR="00C67961">
        <w:rPr>
          <w:color w:val="auto"/>
        </w:rPr>
        <w:t>,</w:t>
      </w:r>
      <w:proofErr w:type="gramEnd"/>
      <w:r w:rsidR="00C67961">
        <w:rPr>
          <w:color w:val="auto"/>
        </w:rPr>
        <w:t xml:space="preserve"> accessible to the </w:t>
      </w:r>
      <w:r w:rsidR="00165A4E">
        <w:rPr>
          <w:color w:val="auto"/>
        </w:rPr>
        <w:t>MTR team</w:t>
      </w:r>
      <w:r w:rsidR="00C67961">
        <w:rPr>
          <w:color w:val="auto"/>
        </w:rPr>
        <w:t>,</w:t>
      </w:r>
      <w:r w:rsidRPr="0069506B">
        <w:rPr>
          <w:color w:val="auto"/>
        </w:rPr>
        <w:t xml:space="preserve"> does not reveal a tool which would be able to undertake this task. Some of the building blocks</w:t>
      </w:r>
      <w:r w:rsidR="00E469C0">
        <w:rPr>
          <w:color w:val="auto"/>
        </w:rPr>
        <w:t xml:space="preserve">, </w:t>
      </w:r>
      <w:r w:rsidR="00E469C0" w:rsidRPr="00D939DA">
        <w:rPr>
          <w:color w:val="auto"/>
        </w:rPr>
        <w:t xml:space="preserve">outlined within the </w:t>
      </w:r>
      <w:r w:rsidR="00FB668A" w:rsidRPr="001319EC">
        <w:rPr>
          <w:i/>
          <w:iCs/>
          <w:lang w:val="en-AU"/>
        </w:rPr>
        <w:t>TAPQE MERL Framework (Interim)</w:t>
      </w:r>
      <w:r w:rsidR="00E469C0">
        <w:rPr>
          <w:color w:val="auto"/>
        </w:rPr>
        <w:t>,</w:t>
      </w:r>
      <w:r w:rsidRPr="0069506B">
        <w:rPr>
          <w:color w:val="auto"/>
        </w:rPr>
        <w:t xml:space="preserve"> are in place to start to develop such a tool</w:t>
      </w:r>
      <w:r w:rsidR="00E469C0">
        <w:rPr>
          <w:color w:val="auto"/>
        </w:rPr>
        <w:t xml:space="preserve">. </w:t>
      </w:r>
      <w:r w:rsidRPr="0069506B">
        <w:rPr>
          <w:color w:val="auto"/>
        </w:rPr>
        <w:t xml:space="preserve">Specifically, </w:t>
      </w:r>
      <w:r w:rsidRPr="0069506B">
        <w:rPr>
          <w:i/>
          <w:iCs/>
          <w:color w:val="auto"/>
        </w:rPr>
        <w:t>Section 12: Evaluation Questions</w:t>
      </w:r>
      <w:r w:rsidRPr="0069506B">
        <w:rPr>
          <w:color w:val="auto"/>
        </w:rPr>
        <w:t xml:space="preserve"> outlines the data sources which will be used to provide evidence to answer the KEQs. However, </w:t>
      </w:r>
      <w:r w:rsidR="00577A82">
        <w:rPr>
          <w:color w:val="auto"/>
        </w:rPr>
        <w:t xml:space="preserve">based on a </w:t>
      </w:r>
      <w:r w:rsidRPr="0069506B">
        <w:rPr>
          <w:color w:val="auto"/>
        </w:rPr>
        <w:t xml:space="preserve">review of the document hub, there appears to be little evidence of these data collection sources being available, thus making an independent analysis of progress within any of the evaluation domains challenging. </w:t>
      </w:r>
    </w:p>
    <w:p w14:paraId="7E9CACB3" w14:textId="5D8D4E15" w:rsidR="00F73ECA" w:rsidRPr="0069506B" w:rsidRDefault="00577A82" w:rsidP="007A08F5">
      <w:pPr>
        <w:spacing w:after="240"/>
        <w:rPr>
          <w:color w:val="auto"/>
        </w:rPr>
      </w:pPr>
      <w:r>
        <w:rPr>
          <w:color w:val="auto"/>
        </w:rPr>
        <w:t xml:space="preserve">While </w:t>
      </w:r>
      <w:r w:rsidR="00F73ECA" w:rsidRPr="0069506B">
        <w:rPr>
          <w:color w:val="auto"/>
        </w:rPr>
        <w:t xml:space="preserve">four </w:t>
      </w:r>
      <w:r>
        <w:rPr>
          <w:color w:val="auto"/>
        </w:rPr>
        <w:t>‘</w:t>
      </w:r>
      <w:r w:rsidR="00F73ECA" w:rsidRPr="0069506B">
        <w:rPr>
          <w:color w:val="auto"/>
        </w:rPr>
        <w:t>stories of change</w:t>
      </w:r>
      <w:r>
        <w:rPr>
          <w:color w:val="auto"/>
        </w:rPr>
        <w:t>’</w:t>
      </w:r>
      <w:r w:rsidR="00F73ECA" w:rsidRPr="0069506B">
        <w:rPr>
          <w:color w:val="auto"/>
        </w:rPr>
        <w:t xml:space="preserve"> </w:t>
      </w:r>
      <w:r>
        <w:rPr>
          <w:color w:val="auto"/>
        </w:rPr>
        <w:t xml:space="preserve">were found in the </w:t>
      </w:r>
      <w:r w:rsidR="00F73ECA" w:rsidRPr="0069506B">
        <w:rPr>
          <w:color w:val="auto"/>
        </w:rPr>
        <w:t>relevant folder there was no evidence of</w:t>
      </w:r>
      <w:r w:rsidR="001F2E5E">
        <w:rPr>
          <w:color w:val="auto"/>
        </w:rPr>
        <w:t xml:space="preserve"> other </w:t>
      </w:r>
      <w:r w:rsidR="00BE5E1B">
        <w:rPr>
          <w:color w:val="auto"/>
        </w:rPr>
        <w:t xml:space="preserve">data </w:t>
      </w:r>
      <w:r w:rsidR="00D01E2B">
        <w:rPr>
          <w:color w:val="auto"/>
        </w:rPr>
        <w:t>sources</w:t>
      </w:r>
      <w:r w:rsidR="00E44DC6">
        <w:rPr>
          <w:color w:val="auto"/>
        </w:rPr>
        <w:t xml:space="preserve"> that had been identified in the interim MERL Framework</w:t>
      </w:r>
      <w:r w:rsidR="00F73ECA" w:rsidRPr="0069506B">
        <w:rPr>
          <w:color w:val="auto"/>
        </w:rPr>
        <w:t>:</w:t>
      </w:r>
    </w:p>
    <w:p w14:paraId="5B9A506D" w14:textId="759D165C" w:rsidR="00F73ECA" w:rsidRPr="0069506B" w:rsidRDefault="00F73ECA" w:rsidP="007A08F5">
      <w:pPr>
        <w:pStyle w:val="ListParagraph"/>
        <w:numPr>
          <w:ilvl w:val="1"/>
          <w:numId w:val="14"/>
        </w:numPr>
        <w:spacing w:after="240"/>
        <w:rPr>
          <w:color w:val="auto"/>
        </w:rPr>
      </w:pPr>
      <w:r w:rsidRPr="0069506B">
        <w:rPr>
          <w:color w:val="auto"/>
        </w:rPr>
        <w:t>Tracer Studies</w:t>
      </w:r>
    </w:p>
    <w:p w14:paraId="4A0C5A1C" w14:textId="5D10C308" w:rsidR="00F73ECA" w:rsidRPr="0069506B" w:rsidRDefault="00666241" w:rsidP="007A08F5">
      <w:pPr>
        <w:pStyle w:val="ListParagraph"/>
        <w:numPr>
          <w:ilvl w:val="1"/>
          <w:numId w:val="14"/>
        </w:numPr>
        <w:spacing w:after="240"/>
        <w:rPr>
          <w:color w:val="auto"/>
        </w:rPr>
      </w:pPr>
      <w:r w:rsidRPr="0069506B">
        <w:rPr>
          <w:color w:val="auto"/>
        </w:rPr>
        <w:t>Semi</w:t>
      </w:r>
      <w:r>
        <w:rPr>
          <w:color w:val="auto"/>
        </w:rPr>
        <w:t>-</w:t>
      </w:r>
      <w:r w:rsidR="00F73ECA" w:rsidRPr="0069506B">
        <w:rPr>
          <w:color w:val="auto"/>
        </w:rPr>
        <w:t>structured interviews</w:t>
      </w:r>
    </w:p>
    <w:p w14:paraId="56E9CF51" w14:textId="06E381BD" w:rsidR="00F73ECA" w:rsidRPr="0069506B" w:rsidRDefault="00F73ECA" w:rsidP="007A08F5">
      <w:pPr>
        <w:pStyle w:val="ListParagraph"/>
        <w:numPr>
          <w:ilvl w:val="1"/>
          <w:numId w:val="14"/>
        </w:numPr>
        <w:spacing w:after="240"/>
        <w:rPr>
          <w:color w:val="auto"/>
        </w:rPr>
      </w:pPr>
      <w:r w:rsidRPr="0069506B">
        <w:rPr>
          <w:color w:val="auto"/>
        </w:rPr>
        <w:t>Policy analysis</w:t>
      </w:r>
    </w:p>
    <w:p w14:paraId="62C34CE3" w14:textId="0FB8F75C" w:rsidR="00F73ECA" w:rsidRPr="0069506B" w:rsidRDefault="00F73ECA" w:rsidP="007A08F5">
      <w:pPr>
        <w:pStyle w:val="ListParagraph"/>
        <w:numPr>
          <w:ilvl w:val="1"/>
          <w:numId w:val="14"/>
        </w:numPr>
        <w:spacing w:after="240"/>
        <w:rPr>
          <w:color w:val="auto"/>
        </w:rPr>
      </w:pPr>
      <w:r w:rsidRPr="0069506B">
        <w:rPr>
          <w:color w:val="auto"/>
        </w:rPr>
        <w:t>Student profile analysis</w:t>
      </w:r>
    </w:p>
    <w:p w14:paraId="796980F8" w14:textId="7AE5BAD1" w:rsidR="00F73ECA" w:rsidRPr="0069506B" w:rsidRDefault="00F73ECA" w:rsidP="007A08F5">
      <w:pPr>
        <w:pStyle w:val="ListParagraph"/>
        <w:numPr>
          <w:ilvl w:val="1"/>
          <w:numId w:val="14"/>
        </w:numPr>
        <w:spacing w:after="240"/>
        <w:rPr>
          <w:color w:val="auto"/>
        </w:rPr>
      </w:pPr>
      <w:r w:rsidRPr="0069506B">
        <w:rPr>
          <w:color w:val="auto"/>
        </w:rPr>
        <w:t xml:space="preserve">CDF Measurement </w:t>
      </w:r>
    </w:p>
    <w:p w14:paraId="5F85A87F" w14:textId="78F17C9D" w:rsidR="00F73ECA" w:rsidRPr="0069506B" w:rsidRDefault="00F73ECA" w:rsidP="007A08F5">
      <w:pPr>
        <w:pStyle w:val="ListParagraph"/>
        <w:numPr>
          <w:ilvl w:val="1"/>
          <w:numId w:val="14"/>
        </w:numPr>
        <w:spacing w:after="240"/>
        <w:rPr>
          <w:color w:val="auto"/>
        </w:rPr>
      </w:pPr>
      <w:r w:rsidRPr="0069506B">
        <w:rPr>
          <w:color w:val="auto"/>
        </w:rPr>
        <w:t>Rapid evaluation studies</w:t>
      </w:r>
    </w:p>
    <w:p w14:paraId="259DFA76" w14:textId="173687CB" w:rsidR="00F73ECA" w:rsidRPr="0069506B" w:rsidRDefault="00F73ECA" w:rsidP="007A08F5">
      <w:pPr>
        <w:pStyle w:val="ListParagraph"/>
        <w:numPr>
          <w:ilvl w:val="1"/>
          <w:numId w:val="14"/>
        </w:numPr>
        <w:spacing w:after="240"/>
        <w:rPr>
          <w:color w:val="auto"/>
        </w:rPr>
      </w:pPr>
      <w:r w:rsidRPr="0069506B">
        <w:rPr>
          <w:color w:val="auto"/>
        </w:rPr>
        <w:t>Standardised test results</w:t>
      </w:r>
    </w:p>
    <w:p w14:paraId="389E510B" w14:textId="44BAF478" w:rsidR="00F73ECA" w:rsidRPr="0069506B" w:rsidRDefault="00F73ECA" w:rsidP="007A08F5">
      <w:pPr>
        <w:pStyle w:val="ListParagraph"/>
        <w:numPr>
          <w:ilvl w:val="1"/>
          <w:numId w:val="14"/>
        </w:numPr>
        <w:spacing w:after="240"/>
        <w:rPr>
          <w:color w:val="auto"/>
        </w:rPr>
      </w:pPr>
      <w:r w:rsidRPr="0069506B">
        <w:rPr>
          <w:color w:val="auto"/>
        </w:rPr>
        <w:t>Workforce management analysis</w:t>
      </w:r>
    </w:p>
    <w:p w14:paraId="2C97D41C" w14:textId="6EBEEF2E" w:rsidR="00F73ECA" w:rsidRPr="0069506B" w:rsidRDefault="00F73ECA" w:rsidP="007A08F5">
      <w:pPr>
        <w:pStyle w:val="ListParagraph"/>
        <w:numPr>
          <w:ilvl w:val="1"/>
          <w:numId w:val="14"/>
        </w:numPr>
        <w:spacing w:after="240"/>
        <w:rPr>
          <w:color w:val="auto"/>
        </w:rPr>
      </w:pPr>
      <w:r w:rsidRPr="0069506B">
        <w:rPr>
          <w:color w:val="auto"/>
        </w:rPr>
        <w:t>Program work plan progress tracker results</w:t>
      </w:r>
    </w:p>
    <w:p w14:paraId="57B10A17" w14:textId="12DADD92" w:rsidR="00F73ECA" w:rsidRPr="0069506B" w:rsidRDefault="00F73ECA" w:rsidP="007A08F5">
      <w:pPr>
        <w:pStyle w:val="ListParagraph"/>
        <w:numPr>
          <w:ilvl w:val="1"/>
          <w:numId w:val="14"/>
        </w:numPr>
        <w:spacing w:after="240"/>
        <w:rPr>
          <w:color w:val="auto"/>
        </w:rPr>
      </w:pPr>
      <w:r w:rsidRPr="0069506B">
        <w:rPr>
          <w:color w:val="auto"/>
        </w:rPr>
        <w:t>Contribution analysis</w:t>
      </w:r>
    </w:p>
    <w:p w14:paraId="3DDCFEFB" w14:textId="5EA92744" w:rsidR="00F73ECA" w:rsidRPr="0069506B" w:rsidRDefault="00F73ECA" w:rsidP="007A08F5">
      <w:pPr>
        <w:pStyle w:val="ListParagraph"/>
        <w:numPr>
          <w:ilvl w:val="1"/>
          <w:numId w:val="14"/>
        </w:numPr>
        <w:spacing w:after="240"/>
        <w:rPr>
          <w:color w:val="auto"/>
        </w:rPr>
      </w:pPr>
      <w:proofErr w:type="gramStart"/>
      <w:r w:rsidRPr="0069506B">
        <w:rPr>
          <w:color w:val="auto"/>
        </w:rPr>
        <w:t>Program</w:t>
      </w:r>
      <w:proofErr w:type="gramEnd"/>
      <w:r w:rsidRPr="0069506B">
        <w:rPr>
          <w:color w:val="auto"/>
        </w:rPr>
        <w:t xml:space="preserve"> management and performance rubric (previously mentioned)</w:t>
      </w:r>
    </w:p>
    <w:p w14:paraId="331123A4" w14:textId="163197F8" w:rsidR="00F73ECA" w:rsidRPr="0069506B" w:rsidRDefault="00CA2477" w:rsidP="007A08F5">
      <w:pPr>
        <w:spacing w:after="240"/>
        <w:rPr>
          <w:color w:val="auto"/>
          <w:u w:val="single"/>
        </w:rPr>
      </w:pPr>
      <w:r w:rsidRPr="0069506B">
        <w:rPr>
          <w:color w:val="auto"/>
          <w:u w:val="single"/>
        </w:rPr>
        <w:t>MTR questions and TAPQE MERL KEQs</w:t>
      </w:r>
      <w:r w:rsidR="00F73ECA" w:rsidRPr="0069506B">
        <w:rPr>
          <w:color w:val="auto"/>
          <w:u w:val="single"/>
        </w:rPr>
        <w:t>.</w:t>
      </w:r>
    </w:p>
    <w:p w14:paraId="56D771A1" w14:textId="60556EEE" w:rsidR="00F73ECA" w:rsidRPr="0069506B" w:rsidRDefault="00E82FE3" w:rsidP="007A08F5">
      <w:pPr>
        <w:spacing w:after="240"/>
        <w:rPr>
          <w:color w:val="auto"/>
        </w:rPr>
      </w:pPr>
      <w:r>
        <w:rPr>
          <w:color w:val="auto"/>
        </w:rPr>
        <w:t>T</w:t>
      </w:r>
      <w:r w:rsidR="00F73ECA" w:rsidRPr="0069506B">
        <w:rPr>
          <w:color w:val="auto"/>
        </w:rPr>
        <w:t>he Mid</w:t>
      </w:r>
      <w:r w:rsidR="000A0897">
        <w:rPr>
          <w:color w:val="auto"/>
        </w:rPr>
        <w:t>-</w:t>
      </w:r>
      <w:r w:rsidR="00F73ECA" w:rsidRPr="0069506B">
        <w:rPr>
          <w:color w:val="auto"/>
        </w:rPr>
        <w:t>Term Review is a key step in understanding how the program is progressing</w:t>
      </w:r>
      <w:r>
        <w:rPr>
          <w:color w:val="auto"/>
        </w:rPr>
        <w:t>. For this MTR</w:t>
      </w:r>
      <w:r w:rsidR="000A0897">
        <w:rPr>
          <w:color w:val="auto"/>
        </w:rPr>
        <w:t>,</w:t>
      </w:r>
      <w:r>
        <w:rPr>
          <w:color w:val="auto"/>
        </w:rPr>
        <w:t xml:space="preserve"> </w:t>
      </w:r>
      <w:r w:rsidR="00F73ECA" w:rsidRPr="0069506B">
        <w:rPr>
          <w:color w:val="auto"/>
        </w:rPr>
        <w:t xml:space="preserve">DFAT </w:t>
      </w:r>
      <w:r>
        <w:rPr>
          <w:color w:val="auto"/>
        </w:rPr>
        <w:t>took the lead i</w:t>
      </w:r>
      <w:r w:rsidR="00F73ECA" w:rsidRPr="0069506B">
        <w:rPr>
          <w:color w:val="auto"/>
        </w:rPr>
        <w:t>n developing the Terms of Reference</w:t>
      </w:r>
      <w:r>
        <w:rPr>
          <w:color w:val="auto"/>
        </w:rPr>
        <w:t xml:space="preserve"> </w:t>
      </w:r>
      <w:r w:rsidR="00F73ECA" w:rsidRPr="0069506B">
        <w:rPr>
          <w:color w:val="auto"/>
        </w:rPr>
        <w:t xml:space="preserve">(ToR), and importantly, the Key </w:t>
      </w:r>
      <w:r>
        <w:rPr>
          <w:color w:val="auto"/>
        </w:rPr>
        <w:t>Review Questions</w:t>
      </w:r>
      <w:r w:rsidR="006C6FA4">
        <w:rPr>
          <w:color w:val="auto"/>
        </w:rPr>
        <w:t>.</w:t>
      </w:r>
      <w:r w:rsidR="00F73ECA" w:rsidRPr="0069506B">
        <w:rPr>
          <w:color w:val="auto"/>
        </w:rPr>
        <w:t xml:space="preserve"> If the </w:t>
      </w:r>
      <w:r w:rsidR="00FB668A" w:rsidRPr="001319EC">
        <w:rPr>
          <w:i/>
          <w:iCs/>
          <w:lang w:val="en-AU"/>
        </w:rPr>
        <w:t>TAPQE MERL Framework (Interim)</w:t>
      </w:r>
      <w:r w:rsidR="006C6FA4">
        <w:rPr>
          <w:color w:val="auto"/>
        </w:rPr>
        <w:t xml:space="preserve">, as </w:t>
      </w:r>
      <w:r w:rsidR="009D0126">
        <w:rPr>
          <w:color w:val="auto"/>
        </w:rPr>
        <w:t xml:space="preserve">the </w:t>
      </w:r>
      <w:r w:rsidR="00F73ECA" w:rsidRPr="0069506B">
        <w:rPr>
          <w:color w:val="auto"/>
        </w:rPr>
        <w:t>framework</w:t>
      </w:r>
      <w:r w:rsidR="006C6FA4">
        <w:rPr>
          <w:color w:val="auto"/>
        </w:rPr>
        <w:t xml:space="preserve"> designed for </w:t>
      </w:r>
      <w:r w:rsidR="009D0126">
        <w:rPr>
          <w:color w:val="auto"/>
        </w:rPr>
        <w:t xml:space="preserve">monitoring and evaluating Program </w:t>
      </w:r>
      <w:r w:rsidR="00F73ECA" w:rsidRPr="0069506B">
        <w:rPr>
          <w:color w:val="auto"/>
        </w:rPr>
        <w:t xml:space="preserve">progress, </w:t>
      </w:r>
      <w:r w:rsidR="009D0126">
        <w:rPr>
          <w:color w:val="auto"/>
        </w:rPr>
        <w:t xml:space="preserve">had been </w:t>
      </w:r>
      <w:r w:rsidR="00F05B97">
        <w:rPr>
          <w:color w:val="auto"/>
        </w:rPr>
        <w:t xml:space="preserve">fully functioning the </w:t>
      </w:r>
      <w:r w:rsidR="00F73ECA" w:rsidRPr="0069506B">
        <w:rPr>
          <w:color w:val="auto"/>
        </w:rPr>
        <w:t>key questions</w:t>
      </w:r>
      <w:r w:rsidR="00FB668A">
        <w:rPr>
          <w:color w:val="auto"/>
        </w:rPr>
        <w:t xml:space="preserve"> in the Framework</w:t>
      </w:r>
      <w:r w:rsidR="00F73ECA" w:rsidRPr="0069506B">
        <w:rPr>
          <w:color w:val="auto"/>
        </w:rPr>
        <w:t xml:space="preserve"> (</w:t>
      </w:r>
      <w:r w:rsidR="00F40FAA">
        <w:rPr>
          <w:color w:val="auto"/>
        </w:rPr>
        <w:t>pp</w:t>
      </w:r>
      <w:r w:rsidR="00F73ECA" w:rsidRPr="0069506B">
        <w:rPr>
          <w:color w:val="auto"/>
        </w:rPr>
        <w:t xml:space="preserve"> 20</w:t>
      </w:r>
      <w:r w:rsidR="00F40FAA">
        <w:rPr>
          <w:color w:val="auto"/>
        </w:rPr>
        <w:t xml:space="preserve">-23) </w:t>
      </w:r>
      <w:r w:rsidR="00971F76">
        <w:rPr>
          <w:color w:val="auto"/>
        </w:rPr>
        <w:t xml:space="preserve">would have been a </w:t>
      </w:r>
      <w:r w:rsidR="00F73ECA" w:rsidRPr="0069506B">
        <w:rPr>
          <w:color w:val="auto"/>
        </w:rPr>
        <w:t xml:space="preserve">more efficient and effective </w:t>
      </w:r>
      <w:r w:rsidR="00971F76">
        <w:rPr>
          <w:color w:val="auto"/>
        </w:rPr>
        <w:t xml:space="preserve">reference </w:t>
      </w:r>
      <w:r w:rsidR="00F73ECA" w:rsidRPr="0069506B">
        <w:rPr>
          <w:color w:val="auto"/>
        </w:rPr>
        <w:t>point for the Review</w:t>
      </w:r>
      <w:r w:rsidR="006D5BD9">
        <w:rPr>
          <w:color w:val="auto"/>
        </w:rPr>
        <w:t>.</w:t>
      </w:r>
    </w:p>
    <w:p w14:paraId="477C4743" w14:textId="77777777" w:rsidR="008663C8" w:rsidRPr="00AF5352" w:rsidRDefault="008663C8" w:rsidP="008663C8"/>
    <w:p w14:paraId="25DCAC3C" w14:textId="77777777" w:rsidR="008663C8" w:rsidRDefault="008663C8" w:rsidP="001668EE">
      <w:pPr>
        <w:pStyle w:val="Heading1"/>
        <w:sectPr w:rsidR="008663C8" w:rsidSect="0069506B">
          <w:pgSz w:w="11900" w:h="16840" w:code="9"/>
          <w:pgMar w:top="1134" w:right="1134" w:bottom="1134" w:left="1134" w:header="709" w:footer="709" w:gutter="0"/>
          <w:cols w:space="708"/>
          <w:docGrid w:linePitch="360"/>
        </w:sectPr>
      </w:pPr>
    </w:p>
    <w:p w14:paraId="792BB111" w14:textId="77777777" w:rsidR="006E40A4" w:rsidRDefault="002933E6" w:rsidP="001668EE">
      <w:pPr>
        <w:pStyle w:val="Heading1"/>
      </w:pPr>
      <w:bookmarkStart w:id="17" w:name="_Toc209431953"/>
      <w:r>
        <w:lastRenderedPageBreak/>
        <w:t>Conclusion and Rec</w:t>
      </w:r>
      <w:r w:rsidR="006E40A4">
        <w:t>ommendations</w:t>
      </w:r>
      <w:bookmarkEnd w:id="17"/>
    </w:p>
    <w:p w14:paraId="238935B5" w14:textId="77777777" w:rsidR="006E40A4" w:rsidRDefault="006E40A4" w:rsidP="006E40A4">
      <w:pPr>
        <w:pStyle w:val="Heading2"/>
      </w:pPr>
      <w:bookmarkStart w:id="18" w:name="_Toc209431954"/>
      <w:r>
        <w:t>Conclusion</w:t>
      </w:r>
      <w:bookmarkEnd w:id="18"/>
    </w:p>
    <w:p w14:paraId="186E3DBD" w14:textId="6F8398D5" w:rsidR="00375548" w:rsidRDefault="00681779" w:rsidP="00681779">
      <w:r>
        <w:t xml:space="preserve">The </w:t>
      </w:r>
      <w:r w:rsidR="00E6203B">
        <w:t xml:space="preserve">Mid-Term Review was </w:t>
      </w:r>
      <w:r w:rsidR="00375548">
        <w:t xml:space="preserve">designed to answer </w:t>
      </w:r>
      <w:r w:rsidR="007166D5">
        <w:t xml:space="preserve">the following </w:t>
      </w:r>
      <w:r w:rsidR="00375548">
        <w:t>key questions:</w:t>
      </w:r>
    </w:p>
    <w:p w14:paraId="69BAFACF" w14:textId="77777777" w:rsidR="00716C78" w:rsidRPr="0099771C" w:rsidRDefault="00716C78" w:rsidP="00B32148">
      <w:pPr>
        <w:pStyle w:val="ListParagraph"/>
        <w:numPr>
          <w:ilvl w:val="0"/>
          <w:numId w:val="40"/>
        </w:numPr>
        <w:suppressAutoHyphens w:val="0"/>
        <w:autoSpaceDE/>
        <w:autoSpaceDN/>
        <w:adjustRightInd/>
        <w:spacing w:after="160" w:line="278" w:lineRule="auto"/>
        <w:jc w:val="left"/>
        <w:textAlignment w:val="auto"/>
      </w:pPr>
      <w:r w:rsidRPr="0099771C">
        <w:t>To what extent is the TAPQE Program engaged in appropriate interventions and activities within the context of the Tuvaluan education sector?</w:t>
      </w:r>
    </w:p>
    <w:p w14:paraId="202357B0" w14:textId="37AAD8FC" w:rsidR="00995250" w:rsidRPr="00995250" w:rsidRDefault="00995250" w:rsidP="00B32148">
      <w:pPr>
        <w:pStyle w:val="ListParagraph"/>
        <w:numPr>
          <w:ilvl w:val="0"/>
          <w:numId w:val="40"/>
        </w:numPr>
      </w:pPr>
      <w:r w:rsidRPr="00995250">
        <w:t xml:space="preserve">To what extent is the TAPQE Program on track to achieve its three </w:t>
      </w:r>
      <w:r>
        <w:t>E</w:t>
      </w:r>
      <w:r w:rsidRPr="00995250">
        <w:t xml:space="preserve">nd of </w:t>
      </w:r>
      <w:r>
        <w:t>P</w:t>
      </w:r>
      <w:r w:rsidRPr="00995250">
        <w:t xml:space="preserve">rogram </w:t>
      </w:r>
      <w:r>
        <w:t>O</w:t>
      </w:r>
      <w:r w:rsidRPr="00995250">
        <w:t xml:space="preserve">utcomes? </w:t>
      </w:r>
    </w:p>
    <w:p w14:paraId="5F59CEDF" w14:textId="77777777" w:rsidR="00E10F8C" w:rsidRPr="0099771C" w:rsidRDefault="00E10F8C" w:rsidP="00B32148">
      <w:pPr>
        <w:pStyle w:val="ListParagraph"/>
        <w:numPr>
          <w:ilvl w:val="0"/>
          <w:numId w:val="40"/>
        </w:numPr>
      </w:pPr>
      <w:r w:rsidRPr="0099771C">
        <w:t>To what extent is the TAPQE Program using resources efficiently to achieve its End of Program Outcomes?</w:t>
      </w:r>
    </w:p>
    <w:p w14:paraId="726B1280" w14:textId="77777777" w:rsidR="00E10F8C" w:rsidRPr="0099771C" w:rsidRDefault="00E10F8C" w:rsidP="00B32148">
      <w:pPr>
        <w:pStyle w:val="ListParagraph"/>
        <w:numPr>
          <w:ilvl w:val="0"/>
          <w:numId w:val="40"/>
        </w:numPr>
      </w:pPr>
      <w:r w:rsidRPr="0099771C">
        <w:t>To what extent are the TAPQE Program’s GEDSI and Climate Change ambitions, approaches and achievements adequate against program logic and design, and current DFAT policies?</w:t>
      </w:r>
    </w:p>
    <w:p w14:paraId="2A8C1E1C" w14:textId="77777777" w:rsidR="00E10F8C" w:rsidRPr="0099771C" w:rsidRDefault="00E10F8C" w:rsidP="00B32148">
      <w:pPr>
        <w:pStyle w:val="ListParagraph"/>
        <w:numPr>
          <w:ilvl w:val="0"/>
          <w:numId w:val="40"/>
        </w:numPr>
      </w:pPr>
      <w:r w:rsidRPr="0099771C">
        <w:t xml:space="preserve">To what extent are the MEL arrangements fit for purpose? </w:t>
      </w:r>
    </w:p>
    <w:p w14:paraId="4F5097A1" w14:textId="68FC3E16" w:rsidR="0069084D" w:rsidRDefault="00621948" w:rsidP="00621948">
      <w:pPr>
        <w:suppressAutoHyphens w:val="0"/>
        <w:autoSpaceDE/>
        <w:autoSpaceDN/>
        <w:adjustRightInd/>
        <w:spacing w:after="160" w:line="278" w:lineRule="auto"/>
        <w:jc w:val="left"/>
        <w:textAlignment w:val="auto"/>
      </w:pPr>
      <w:r w:rsidRPr="0099771C">
        <w:t xml:space="preserve">Based on the documents provided to the Review, discussion with the TAPQE team and, discussion with a range of stakeholders in Tuvalu (see Annex 4) the </w:t>
      </w:r>
      <w:r w:rsidR="00165A4E">
        <w:rPr>
          <w:b/>
          <w:bCs/>
        </w:rPr>
        <w:t>MTR team</w:t>
      </w:r>
      <w:r w:rsidRPr="0085570B">
        <w:rPr>
          <w:b/>
          <w:bCs/>
        </w:rPr>
        <w:t xml:space="preserve"> concluded that the TAPQE Program is engaged in appropriate interventions and activities designed to improve education opportunities for Tuvalu students</w:t>
      </w:r>
      <w:r w:rsidR="00463EFD">
        <w:rPr>
          <w:b/>
          <w:bCs/>
        </w:rPr>
        <w:t xml:space="preserve"> </w:t>
      </w:r>
      <w:r w:rsidR="00463EFD" w:rsidRPr="00A9645C">
        <w:t xml:space="preserve">and has </w:t>
      </w:r>
      <w:r w:rsidR="00891EEB">
        <w:t>collaborated w</w:t>
      </w:r>
      <w:r w:rsidR="00463EFD" w:rsidRPr="00A9645C">
        <w:t>ith</w:t>
      </w:r>
      <w:r w:rsidR="00463EFD">
        <w:rPr>
          <w:b/>
          <w:bCs/>
        </w:rPr>
        <w:t xml:space="preserve"> </w:t>
      </w:r>
      <w:r w:rsidR="00463EFD">
        <w:t xml:space="preserve">other </w:t>
      </w:r>
      <w:r w:rsidR="00830CB0">
        <w:t>d</w:t>
      </w:r>
      <w:r w:rsidR="00891EEB">
        <w:t xml:space="preserve">onor </w:t>
      </w:r>
      <w:r w:rsidR="00830CB0">
        <w:t>programs to</w:t>
      </w:r>
      <w:r w:rsidR="005B2232">
        <w:t xml:space="preserve"> maximise </w:t>
      </w:r>
      <w:r w:rsidR="0007267B">
        <w:t>alignment.</w:t>
      </w:r>
      <w:r w:rsidR="00745DD8">
        <w:t xml:space="preserve"> The </w:t>
      </w:r>
      <w:r w:rsidR="00165A4E">
        <w:t>MTR team</w:t>
      </w:r>
      <w:r w:rsidR="00745DD8">
        <w:t xml:space="preserve"> also </w:t>
      </w:r>
      <w:r w:rsidR="003D5187">
        <w:t xml:space="preserve">found </w:t>
      </w:r>
      <w:r w:rsidR="00FD135D">
        <w:t>that</w:t>
      </w:r>
      <w:r w:rsidR="00362941">
        <w:t>, based on activities being implemented and feedback from interviewees</w:t>
      </w:r>
      <w:r w:rsidR="002817AE">
        <w:t>,</w:t>
      </w:r>
      <w:r w:rsidR="00362941">
        <w:t xml:space="preserve"> there are signs that some </w:t>
      </w:r>
      <w:r w:rsidR="0069084D">
        <w:t xml:space="preserve">improvements are being </w:t>
      </w:r>
      <w:r w:rsidR="00E326E9">
        <w:t>made</w:t>
      </w:r>
      <w:r w:rsidR="0069084D">
        <w:t>.</w:t>
      </w:r>
    </w:p>
    <w:p w14:paraId="2BECFE07" w14:textId="613767B0" w:rsidR="00621948" w:rsidRPr="0099771C" w:rsidRDefault="0069084D" w:rsidP="00621948">
      <w:pPr>
        <w:suppressAutoHyphens w:val="0"/>
        <w:autoSpaceDE/>
        <w:autoSpaceDN/>
        <w:adjustRightInd/>
        <w:spacing w:after="160" w:line="278" w:lineRule="auto"/>
        <w:jc w:val="left"/>
        <w:textAlignment w:val="auto"/>
      </w:pPr>
      <w:r>
        <w:t xml:space="preserve">However, notwithstanding the range of activities </w:t>
      </w:r>
      <w:r w:rsidR="002817AE">
        <w:t>underway</w:t>
      </w:r>
      <w:r w:rsidR="00431FB3">
        <w:t xml:space="preserve"> and anec</w:t>
      </w:r>
      <w:r w:rsidR="00B22DB3">
        <w:t>dotal examples of progress being made</w:t>
      </w:r>
      <w:r>
        <w:t xml:space="preserve">, the </w:t>
      </w:r>
      <w:r w:rsidR="00165A4E">
        <w:rPr>
          <w:b/>
          <w:bCs/>
        </w:rPr>
        <w:t>MTR team</w:t>
      </w:r>
      <w:r w:rsidRPr="0085570B">
        <w:rPr>
          <w:b/>
          <w:bCs/>
        </w:rPr>
        <w:t xml:space="preserve"> </w:t>
      </w:r>
      <w:proofErr w:type="gramStart"/>
      <w:r w:rsidR="00E4587B" w:rsidRPr="0085570B">
        <w:rPr>
          <w:b/>
          <w:bCs/>
        </w:rPr>
        <w:t xml:space="preserve">is </w:t>
      </w:r>
      <w:r w:rsidRPr="0085570B">
        <w:rPr>
          <w:b/>
          <w:bCs/>
        </w:rPr>
        <w:t>not able to</w:t>
      </w:r>
      <w:proofErr w:type="gramEnd"/>
      <w:r w:rsidRPr="0085570B">
        <w:rPr>
          <w:b/>
          <w:bCs/>
        </w:rPr>
        <w:t xml:space="preserve"> provide a more positive and conclusive judgment</w:t>
      </w:r>
      <w:r w:rsidR="00621948" w:rsidRPr="0085570B">
        <w:rPr>
          <w:b/>
          <w:bCs/>
        </w:rPr>
        <w:t xml:space="preserve"> </w:t>
      </w:r>
      <w:r w:rsidRPr="0085570B">
        <w:rPr>
          <w:b/>
          <w:bCs/>
        </w:rPr>
        <w:t xml:space="preserve">about </w:t>
      </w:r>
      <w:r w:rsidR="00995250" w:rsidRPr="0085570B">
        <w:rPr>
          <w:b/>
          <w:bCs/>
        </w:rPr>
        <w:t xml:space="preserve">the </w:t>
      </w:r>
      <w:r w:rsidR="00FD135D" w:rsidRPr="0085570B">
        <w:rPr>
          <w:b/>
          <w:bCs/>
        </w:rPr>
        <w:t xml:space="preserve">progress, </w:t>
      </w:r>
      <w:r w:rsidR="00995250" w:rsidRPr="0085570B">
        <w:rPr>
          <w:b/>
          <w:bCs/>
        </w:rPr>
        <w:t xml:space="preserve">effectiveness </w:t>
      </w:r>
      <w:r w:rsidR="006403F7" w:rsidRPr="0085570B">
        <w:rPr>
          <w:b/>
          <w:bCs/>
        </w:rPr>
        <w:t xml:space="preserve">or </w:t>
      </w:r>
      <w:r w:rsidR="00995250" w:rsidRPr="0085570B">
        <w:rPr>
          <w:b/>
          <w:bCs/>
        </w:rPr>
        <w:t>efficiency of the TAPQE Program</w:t>
      </w:r>
      <w:r w:rsidR="00995250">
        <w:t xml:space="preserve">. This is because the </w:t>
      </w:r>
      <w:r w:rsidR="00995250" w:rsidRPr="00995250">
        <w:t xml:space="preserve">TAPQE Program </w:t>
      </w:r>
      <w:r w:rsidR="00995250">
        <w:t xml:space="preserve">has not collected </w:t>
      </w:r>
      <w:r w:rsidR="00995250" w:rsidRPr="00995250">
        <w:t>baseline and, currently, there is no reporting against TAPQE EOPOs.</w:t>
      </w:r>
      <w:r w:rsidR="005E77D5">
        <w:t xml:space="preserve"> This also means that the </w:t>
      </w:r>
      <w:r w:rsidR="00165A4E">
        <w:rPr>
          <w:b/>
          <w:bCs/>
        </w:rPr>
        <w:t>MTR team</w:t>
      </w:r>
      <w:r w:rsidR="00C90965" w:rsidRPr="0085570B">
        <w:rPr>
          <w:b/>
          <w:bCs/>
        </w:rPr>
        <w:t xml:space="preserve"> </w:t>
      </w:r>
      <w:proofErr w:type="gramStart"/>
      <w:r w:rsidR="00C90965" w:rsidRPr="0085570B">
        <w:rPr>
          <w:b/>
          <w:bCs/>
        </w:rPr>
        <w:t>is not able to</w:t>
      </w:r>
      <w:proofErr w:type="gramEnd"/>
      <w:r w:rsidR="00C90965" w:rsidRPr="0085570B">
        <w:rPr>
          <w:b/>
          <w:bCs/>
        </w:rPr>
        <w:t xml:space="preserve"> conclude whether TAPQE Program’s GEDSI and Climate Change ambitions, approaches and achievements </w:t>
      </w:r>
      <w:r w:rsidR="00C90965" w:rsidRPr="00C90965">
        <w:rPr>
          <w:b/>
          <w:bCs/>
        </w:rPr>
        <w:t>are adequate</w:t>
      </w:r>
      <w:r w:rsidR="00C90965">
        <w:t>.</w:t>
      </w:r>
    </w:p>
    <w:p w14:paraId="3DDA0D23" w14:textId="31FE5004" w:rsidR="00621948" w:rsidRDefault="00995250" w:rsidP="00621948">
      <w:pPr>
        <w:suppressAutoHyphens w:val="0"/>
        <w:autoSpaceDE/>
        <w:autoSpaceDN/>
        <w:adjustRightInd/>
        <w:spacing w:after="160" w:line="278" w:lineRule="auto"/>
        <w:jc w:val="left"/>
        <w:textAlignment w:val="auto"/>
        <w:rPr>
          <w:b/>
          <w:bCs/>
        </w:rPr>
      </w:pPr>
      <w:r w:rsidRPr="00A9645C">
        <w:rPr>
          <w:b/>
          <w:bCs/>
        </w:rPr>
        <w:t xml:space="preserve">The commitment to align activities with TESP and MEHRD priorities has </w:t>
      </w:r>
      <w:r w:rsidR="00946015" w:rsidRPr="00A9645C">
        <w:rPr>
          <w:b/>
          <w:bCs/>
        </w:rPr>
        <w:t xml:space="preserve">likely enhanced </w:t>
      </w:r>
      <w:r w:rsidR="00EA084B" w:rsidRPr="00A9645C">
        <w:rPr>
          <w:b/>
          <w:bCs/>
        </w:rPr>
        <w:t xml:space="preserve">Program </w:t>
      </w:r>
      <w:r w:rsidRPr="00A9645C">
        <w:rPr>
          <w:b/>
          <w:bCs/>
        </w:rPr>
        <w:t>relevance</w:t>
      </w:r>
      <w:r w:rsidR="002D3484">
        <w:rPr>
          <w:b/>
          <w:bCs/>
        </w:rPr>
        <w:t xml:space="preserve"> </w:t>
      </w:r>
      <w:r w:rsidR="00834764" w:rsidRPr="00A9645C">
        <w:t xml:space="preserve">and </w:t>
      </w:r>
      <w:r w:rsidR="00D550B6" w:rsidRPr="00A9645C">
        <w:t xml:space="preserve">is consistent with principles of </w:t>
      </w:r>
      <w:r w:rsidR="0007267B" w:rsidRPr="00A9645C">
        <w:t>locally led</w:t>
      </w:r>
      <w:r w:rsidR="00D550B6" w:rsidRPr="00A9645C">
        <w:t xml:space="preserve"> development and intentions of government ownership and capability buildi</w:t>
      </w:r>
      <w:r w:rsidR="00D550B6" w:rsidRPr="00D550B6">
        <w:rPr>
          <w:b/>
          <w:bCs/>
        </w:rPr>
        <w:t>ng</w:t>
      </w:r>
      <w:r w:rsidR="006B5E9D" w:rsidRPr="00A9645C">
        <w:rPr>
          <w:b/>
          <w:bCs/>
        </w:rPr>
        <w:t>.</w:t>
      </w:r>
      <w:r w:rsidR="006B5E9D">
        <w:t xml:space="preserve"> </w:t>
      </w:r>
      <w:r w:rsidR="003A2AE6">
        <w:t>However, t</w:t>
      </w:r>
      <w:r w:rsidR="008B6563">
        <w:t xml:space="preserve">he </w:t>
      </w:r>
      <w:r w:rsidR="00566670">
        <w:t>alignment</w:t>
      </w:r>
      <w:r w:rsidR="00200399">
        <w:t xml:space="preserve"> </w:t>
      </w:r>
      <w:r w:rsidR="008B6563">
        <w:t xml:space="preserve">has </w:t>
      </w:r>
      <w:r w:rsidR="00E4587B">
        <w:t xml:space="preserve">also </w:t>
      </w:r>
      <w:r w:rsidR="008B6563">
        <w:t xml:space="preserve">resulted in </w:t>
      </w:r>
      <w:r w:rsidR="006B5E9D">
        <w:t xml:space="preserve">a degree of dependency of the Program on MEHRD activities and </w:t>
      </w:r>
      <w:r w:rsidR="0099771C">
        <w:t>timelines and</w:t>
      </w:r>
      <w:r w:rsidR="00817C20">
        <w:t xml:space="preserve"> </w:t>
      </w:r>
      <w:r w:rsidR="00161451">
        <w:t xml:space="preserve">has involved the </w:t>
      </w:r>
      <w:r w:rsidR="00B60180">
        <w:t xml:space="preserve">incorporation of the </w:t>
      </w:r>
      <w:r w:rsidR="00FF256B">
        <w:t xml:space="preserve">TAPQE MERL </w:t>
      </w:r>
      <w:r w:rsidR="006B5E9D">
        <w:t xml:space="preserve">Framework </w:t>
      </w:r>
      <w:r w:rsidR="00B60180">
        <w:t xml:space="preserve">into the MEHRD </w:t>
      </w:r>
      <w:r w:rsidR="00581B42">
        <w:t>MERL framework</w:t>
      </w:r>
      <w:r w:rsidR="008B6563">
        <w:t xml:space="preserve">. This </w:t>
      </w:r>
      <w:r w:rsidR="00581B42">
        <w:t xml:space="preserve">appears to have </w:t>
      </w:r>
      <w:r w:rsidR="008B6563">
        <w:t xml:space="preserve">resulted in </w:t>
      </w:r>
      <w:r w:rsidR="00581B42">
        <w:t xml:space="preserve">some </w:t>
      </w:r>
      <w:r>
        <w:t>loss of Program agency</w:t>
      </w:r>
      <w:r w:rsidR="00581B42">
        <w:t xml:space="preserve">, </w:t>
      </w:r>
      <w:r>
        <w:t xml:space="preserve">delays </w:t>
      </w:r>
      <w:r w:rsidR="00581B42">
        <w:t xml:space="preserve">for some Program </w:t>
      </w:r>
      <w:r>
        <w:t>activities and</w:t>
      </w:r>
      <w:r w:rsidR="007B6E00">
        <w:t>,</w:t>
      </w:r>
      <w:r>
        <w:t xml:space="preserve"> </w:t>
      </w:r>
      <w:r w:rsidR="008B6563">
        <w:t>most significantly</w:t>
      </w:r>
      <w:r w:rsidR="007B6E00">
        <w:t>,</w:t>
      </w:r>
      <w:r>
        <w:t xml:space="preserve"> the </w:t>
      </w:r>
      <w:r w:rsidRPr="0099771C">
        <w:t>TAPQE Program not hav</w:t>
      </w:r>
      <w:r w:rsidR="007B6E00" w:rsidRPr="0099771C">
        <w:t xml:space="preserve">ing </w:t>
      </w:r>
      <w:r w:rsidR="004F3904">
        <w:t xml:space="preserve">a </w:t>
      </w:r>
      <w:r w:rsidRPr="0099771C">
        <w:t xml:space="preserve">baseline </w:t>
      </w:r>
      <w:r w:rsidRPr="002817AE">
        <w:t>and</w:t>
      </w:r>
      <w:r w:rsidR="004F3904">
        <w:t xml:space="preserve"> </w:t>
      </w:r>
      <w:r w:rsidR="004F3904" w:rsidRPr="004F3904">
        <w:t>t</w:t>
      </w:r>
      <w:r w:rsidR="008D5B00" w:rsidRPr="004F3904">
        <w:t xml:space="preserve">he reporting against TAPQE MERL Framework success indicators </w:t>
      </w:r>
      <w:r w:rsidR="004F3904" w:rsidRPr="004F3904">
        <w:t xml:space="preserve">being </w:t>
      </w:r>
      <w:r w:rsidR="008D5B00" w:rsidRPr="004F3904">
        <w:t xml:space="preserve">quite limited </w:t>
      </w:r>
      <w:r w:rsidR="004F3904" w:rsidRPr="004F3904">
        <w:t xml:space="preserve">with </w:t>
      </w:r>
      <w:r w:rsidR="008D5B00" w:rsidRPr="004F3904">
        <w:t xml:space="preserve">very few cases of strong evidence that could be used to demonstrate </w:t>
      </w:r>
      <w:r w:rsidR="004F3904" w:rsidRPr="004F3904">
        <w:t>year-to-year</w:t>
      </w:r>
      <w:r w:rsidR="008D5B00" w:rsidRPr="004F3904">
        <w:t xml:space="preserve"> change</w:t>
      </w:r>
      <w:r w:rsidR="00161451">
        <w:t>.</w:t>
      </w:r>
      <w:r w:rsidR="00C90965">
        <w:t xml:space="preserve"> As a result of these actions the </w:t>
      </w:r>
      <w:r w:rsidR="00165A4E">
        <w:t>MTR team</w:t>
      </w:r>
      <w:r w:rsidR="00C90965">
        <w:t xml:space="preserve"> judged that </w:t>
      </w:r>
      <w:r w:rsidR="00F12A40">
        <w:t xml:space="preserve">while the design and intention are substantial, overall, the </w:t>
      </w:r>
      <w:r w:rsidR="00F12A40" w:rsidRPr="001319EC">
        <w:rPr>
          <w:b/>
          <w:bCs/>
        </w:rPr>
        <w:t>MEL arrangements are not fit for purpose.</w:t>
      </w:r>
    </w:p>
    <w:p w14:paraId="70FE011A" w14:textId="3E736B26" w:rsidR="00260D5F" w:rsidRPr="0099771C" w:rsidRDefault="00260D5F" w:rsidP="00621948">
      <w:pPr>
        <w:suppressAutoHyphens w:val="0"/>
        <w:autoSpaceDE/>
        <w:autoSpaceDN/>
        <w:adjustRightInd/>
        <w:spacing w:after="160" w:line="278" w:lineRule="auto"/>
        <w:jc w:val="left"/>
        <w:textAlignment w:val="auto"/>
      </w:pPr>
      <w:r>
        <w:t xml:space="preserve">It is not clear to the </w:t>
      </w:r>
      <w:r w:rsidR="00165A4E">
        <w:t>MTR team</w:t>
      </w:r>
      <w:r>
        <w:t xml:space="preserve"> whether this was the result of an explicit decision by the TAPQE Steering Group or whether it was simply seen as an implementation strategy. Either way, it has meant that the TAPQE Program has not met DFAT requirements </w:t>
      </w:r>
      <w:r w:rsidR="00A90F73">
        <w:t>and</w:t>
      </w:r>
      <w:r>
        <w:t xml:space="preserve"> appears to have </w:t>
      </w:r>
      <w:r w:rsidRPr="0085570B">
        <w:rPr>
          <w:b/>
          <w:bCs/>
        </w:rPr>
        <w:t>diminished the</w:t>
      </w:r>
      <w:r w:rsidR="00245629" w:rsidRPr="0085570B">
        <w:rPr>
          <w:b/>
          <w:bCs/>
        </w:rPr>
        <w:t xml:space="preserve"> TAPQE Program’s ability to monitor and analyse activity</w:t>
      </w:r>
      <w:r w:rsidR="00245629">
        <w:t xml:space="preserve"> </w:t>
      </w:r>
      <w:r w:rsidR="00245629" w:rsidRPr="00A9645C">
        <w:rPr>
          <w:b/>
          <w:bCs/>
        </w:rPr>
        <w:t>in relation to effectiveness and efficiency.</w:t>
      </w:r>
      <w:r>
        <w:t xml:space="preserve"> </w:t>
      </w:r>
    </w:p>
    <w:p w14:paraId="758524D7" w14:textId="77777777" w:rsidR="006E40A4" w:rsidRDefault="006E40A4" w:rsidP="00542B9A">
      <w:pPr>
        <w:pStyle w:val="Heading2"/>
        <w:pageBreakBefore/>
      </w:pPr>
      <w:bookmarkStart w:id="19" w:name="_Toc209431955"/>
      <w:r>
        <w:lastRenderedPageBreak/>
        <w:t>Recommendations</w:t>
      </w:r>
      <w:bookmarkEnd w:id="19"/>
    </w:p>
    <w:p w14:paraId="2999527E" w14:textId="5E75B66C" w:rsidR="00F37454" w:rsidRDefault="00F12A40" w:rsidP="007A08F5">
      <w:pPr>
        <w:spacing w:after="240"/>
      </w:pPr>
      <w:r>
        <w:t xml:space="preserve">Building on the conclusion </w:t>
      </w:r>
      <w:r w:rsidR="0034216D">
        <w:t>outline</w:t>
      </w:r>
      <w:r w:rsidR="008A5767">
        <w:t>d</w:t>
      </w:r>
      <w:r w:rsidR="0034216D">
        <w:t xml:space="preserve"> above and the discussion provided in this report the</w:t>
      </w:r>
      <w:r w:rsidR="00F37454">
        <w:t xml:space="preserve"> following recommendations</w:t>
      </w:r>
      <w:r w:rsidR="00EF3095">
        <w:t xml:space="preserve"> (with associated resourcing considerations) </w:t>
      </w:r>
      <w:r w:rsidR="00F37454">
        <w:t xml:space="preserve">are submitted for consideration </w:t>
      </w:r>
      <w:r w:rsidR="008A5767">
        <w:t xml:space="preserve">by </w:t>
      </w:r>
      <w:r w:rsidR="00F37454">
        <w:t xml:space="preserve">the </w:t>
      </w:r>
      <w:r w:rsidR="008A5767">
        <w:t>Funafuti</w:t>
      </w:r>
      <w:r w:rsidR="00F37454">
        <w:t xml:space="preserve"> Australian High Commission:</w:t>
      </w:r>
    </w:p>
    <w:p w14:paraId="57F710B3" w14:textId="7E5D91F7" w:rsidR="00280E48" w:rsidRPr="00542B9A" w:rsidRDefault="00280E48" w:rsidP="007A08F5">
      <w:pPr>
        <w:pStyle w:val="ListParagraph"/>
        <w:numPr>
          <w:ilvl w:val="0"/>
          <w:numId w:val="68"/>
        </w:numPr>
        <w:spacing w:after="240"/>
        <w:ind w:left="426" w:hanging="426"/>
        <w:rPr>
          <w:b/>
          <w:bCs/>
        </w:rPr>
      </w:pPr>
      <w:r w:rsidRPr="00542B9A">
        <w:rPr>
          <w:b/>
          <w:bCs/>
        </w:rPr>
        <w:t>Refine EOPOs for greater definition and achievability – TAPQE and DFAT</w:t>
      </w:r>
    </w:p>
    <w:p w14:paraId="3C48760D" w14:textId="64E43DA0" w:rsidR="00280E48" w:rsidRDefault="00280E48" w:rsidP="007A08F5">
      <w:pPr>
        <w:spacing w:after="240"/>
      </w:pPr>
      <w:r>
        <w:t xml:space="preserve">Current EOPOs 2 and 3 should be reviewed and simplified to provide a more defined and achievable aspiration for the current TAPQE program </w:t>
      </w:r>
      <w:r w:rsidR="006132F0">
        <w:t>(</w:t>
      </w:r>
      <w:r w:rsidR="006132F0" w:rsidRPr="009363F9">
        <w:t xml:space="preserve">by </w:t>
      </w:r>
      <w:r w:rsidRPr="009363F9">
        <w:t>end of April 2025</w:t>
      </w:r>
      <w:r w:rsidR="00A96DA2" w:rsidRPr="009363F9">
        <w:t>)</w:t>
      </w:r>
      <w:r w:rsidRPr="009363F9">
        <w:t>.</w:t>
      </w:r>
      <w:r>
        <w:t xml:space="preserve"> </w:t>
      </w:r>
    </w:p>
    <w:p w14:paraId="42E5A518" w14:textId="77777777" w:rsidR="00280E48" w:rsidRDefault="00280E48" w:rsidP="007A08F5">
      <w:pPr>
        <w:spacing w:after="240"/>
      </w:pPr>
      <w:r>
        <w:t>For example:</w:t>
      </w:r>
    </w:p>
    <w:p w14:paraId="7EFB516C" w14:textId="231D0EA6" w:rsidR="00280E48" w:rsidRDefault="00280E48" w:rsidP="007A08F5">
      <w:pPr>
        <w:pStyle w:val="ListParagraph"/>
        <w:numPr>
          <w:ilvl w:val="0"/>
          <w:numId w:val="73"/>
        </w:numPr>
        <w:spacing w:after="240"/>
      </w:pPr>
      <w:r>
        <w:t xml:space="preserve">EOPO2 </w:t>
      </w:r>
      <w:r w:rsidR="00155756">
        <w:t xml:space="preserve">could </w:t>
      </w:r>
      <w:r>
        <w:t>be amended to focus on one or a combination of:</w:t>
      </w:r>
    </w:p>
    <w:p w14:paraId="0A6F95EC" w14:textId="77777777" w:rsidR="00280E48" w:rsidRDefault="00280E48" w:rsidP="007A08F5">
      <w:pPr>
        <w:pStyle w:val="ListParagraph"/>
        <w:numPr>
          <w:ilvl w:val="1"/>
          <w:numId w:val="74"/>
        </w:numPr>
        <w:spacing w:after="240"/>
      </w:pPr>
      <w:r>
        <w:t xml:space="preserve">agreed key actions from those proposed in </w:t>
      </w:r>
      <w:r w:rsidRPr="00DC31A1">
        <w:rPr>
          <w:i/>
          <w:iCs/>
        </w:rPr>
        <w:t>TVET Ataeao Manuia (TVET Futures)</w:t>
      </w:r>
    </w:p>
    <w:p w14:paraId="75D7319C" w14:textId="77777777" w:rsidR="00280E48" w:rsidRDefault="00280E48" w:rsidP="007A08F5">
      <w:pPr>
        <w:pStyle w:val="ListParagraph"/>
        <w:numPr>
          <w:ilvl w:val="1"/>
          <w:numId w:val="74"/>
        </w:numPr>
        <w:spacing w:after="240"/>
      </w:pPr>
      <w:r>
        <w:t xml:space="preserve">lower secondary pathways for </w:t>
      </w:r>
      <w:r w:rsidRPr="00DC31A1">
        <w:rPr>
          <w:u w:val="single"/>
        </w:rPr>
        <w:t>all</w:t>
      </w:r>
      <w:r>
        <w:t xml:space="preserve"> students through to senior secondary schooling</w:t>
      </w:r>
    </w:p>
    <w:p w14:paraId="5B971453" w14:textId="77777777" w:rsidR="00280E48" w:rsidRDefault="00280E48" w:rsidP="007A08F5">
      <w:pPr>
        <w:pStyle w:val="ListParagraph"/>
        <w:numPr>
          <w:ilvl w:val="1"/>
          <w:numId w:val="74"/>
        </w:numPr>
        <w:spacing w:after="240"/>
      </w:pPr>
      <w:r>
        <w:t>development of a meaningful and relevant policy and pathway for students who fail the Year 8 examination.</w:t>
      </w:r>
    </w:p>
    <w:p w14:paraId="4DF3884C" w14:textId="068C2402" w:rsidR="00280E48" w:rsidRDefault="00280E48" w:rsidP="007A08F5">
      <w:pPr>
        <w:pStyle w:val="ListParagraph"/>
        <w:numPr>
          <w:ilvl w:val="0"/>
          <w:numId w:val="73"/>
        </w:numPr>
        <w:spacing w:after="240"/>
      </w:pPr>
      <w:r>
        <w:t xml:space="preserve">EOPO 3 </w:t>
      </w:r>
      <w:r w:rsidR="00155756">
        <w:t xml:space="preserve">could </w:t>
      </w:r>
      <w:r>
        <w:t xml:space="preserve">be amended to </w:t>
      </w:r>
      <w:r w:rsidR="00867083">
        <w:t xml:space="preserve">specifically </w:t>
      </w:r>
      <w:r>
        <w:t>focus on the development and use of the TEMIS, with a corresponding commitment to develop the capacity of MEHRD personnel to undertake evidence-based planning, implementation</w:t>
      </w:r>
      <w:r w:rsidR="00590F51">
        <w:t>,</w:t>
      </w:r>
      <w:r>
        <w:t xml:space="preserve"> monitoring and reporting.</w:t>
      </w:r>
    </w:p>
    <w:p w14:paraId="373E796B" w14:textId="536CC06F" w:rsidR="00DC31A1" w:rsidRDefault="000508BC" w:rsidP="007A08F5">
      <w:pPr>
        <w:spacing w:after="240"/>
      </w:pPr>
      <w:r>
        <w:t xml:space="preserve">Recommendation </w:t>
      </w:r>
      <w:r w:rsidR="00DC31A1">
        <w:t>1</w:t>
      </w:r>
      <w:r>
        <w:t>a. will require some well-defined and achievable options being drafted for consideration and approval by the TAPQE Steering Group.</w:t>
      </w:r>
      <w:r w:rsidR="00DC31A1">
        <w:t xml:space="preserve"> </w:t>
      </w:r>
      <w:r w:rsidR="00DC31A1">
        <w:rPr>
          <w:color w:val="auto"/>
        </w:rPr>
        <w:t>Recommendation 1b. might involve the embedding of one or two Program positions for a fixed period to finalise the TEMIS and build capacity of personnel.</w:t>
      </w:r>
    </w:p>
    <w:p w14:paraId="4990C060" w14:textId="5959D9E4" w:rsidR="00DC31A1" w:rsidRPr="00542B9A" w:rsidRDefault="00DC31A1" w:rsidP="007A08F5">
      <w:pPr>
        <w:pStyle w:val="ListParagraph"/>
        <w:numPr>
          <w:ilvl w:val="0"/>
          <w:numId w:val="68"/>
        </w:numPr>
        <w:spacing w:after="240"/>
        <w:ind w:left="426" w:hanging="426"/>
        <w:rPr>
          <w:b/>
          <w:bCs/>
        </w:rPr>
      </w:pPr>
      <w:r w:rsidRPr="00542B9A">
        <w:rPr>
          <w:b/>
          <w:bCs/>
        </w:rPr>
        <w:t>Review, simplify and deliver an updated TAPQE MERL – TAPQE Team</w:t>
      </w:r>
    </w:p>
    <w:p w14:paraId="51310CE6" w14:textId="77777777" w:rsidR="00DC31A1" w:rsidRDefault="00DC31A1" w:rsidP="007A08F5">
      <w:pPr>
        <w:spacing w:after="240"/>
      </w:pPr>
      <w:r>
        <w:t>The TAPQE Program should review and simplify the TAPQE MERL Framework and success indicators to provide an implementable Program MERL Plan including:</w:t>
      </w:r>
    </w:p>
    <w:p w14:paraId="61C8AE37" w14:textId="77777777" w:rsidR="00DC31A1" w:rsidRDefault="00DC31A1" w:rsidP="007A08F5">
      <w:pPr>
        <w:pStyle w:val="ListParagraph"/>
        <w:numPr>
          <w:ilvl w:val="0"/>
          <w:numId w:val="75"/>
        </w:numPr>
        <w:spacing w:after="240"/>
      </w:pPr>
      <w:r>
        <w:t xml:space="preserve">clear </w:t>
      </w:r>
      <w:r w:rsidRPr="00452E42">
        <w:t>qualitative and quantitative baseline markers, by indicator, to en</w:t>
      </w:r>
      <w:r>
        <w:t xml:space="preserve">able </w:t>
      </w:r>
      <w:r w:rsidRPr="00452E42">
        <w:t>measurement of progress</w:t>
      </w:r>
      <w:r>
        <w:t xml:space="preserve"> against EOPOs - with a more analytical focus on GEDSI – end of April 2025</w:t>
      </w:r>
    </w:p>
    <w:p w14:paraId="6AD06BF0" w14:textId="77777777" w:rsidR="00DC31A1" w:rsidRDefault="00DC31A1" w:rsidP="007A08F5">
      <w:pPr>
        <w:pStyle w:val="ListParagraph"/>
        <w:numPr>
          <w:ilvl w:val="0"/>
          <w:numId w:val="75"/>
        </w:numPr>
        <w:spacing w:after="240"/>
      </w:pPr>
      <w:r>
        <w:t>a 2023 TAPQE Program baseline – end of May 2025</w:t>
      </w:r>
    </w:p>
    <w:p w14:paraId="58C9CEF9" w14:textId="1A399C2C" w:rsidR="00DC31A1" w:rsidRDefault="00DC31A1" w:rsidP="007A08F5">
      <w:pPr>
        <w:pStyle w:val="ListParagraph"/>
        <w:numPr>
          <w:ilvl w:val="0"/>
          <w:numId w:val="75"/>
        </w:numPr>
        <w:spacing w:after="240"/>
      </w:pPr>
      <w:r>
        <w:t xml:space="preserve">collection and reporting of Program activity and data against (revised) success indicators and Program outcomes (effectiveness), and budget data and analytics by program activity (efficiency), for the </w:t>
      </w:r>
      <w:r w:rsidR="00BD7B07">
        <w:t>18-</w:t>
      </w:r>
      <w:r>
        <w:t>month</w:t>
      </w:r>
      <w:r w:rsidR="00BD7B07">
        <w:t xml:space="preserve"> </w:t>
      </w:r>
      <w:r>
        <w:t>period ending June 2025 – end of July 2025.</w:t>
      </w:r>
    </w:p>
    <w:p w14:paraId="70FFEBB3" w14:textId="5CB9023B" w:rsidR="00DC31A1" w:rsidRDefault="00DC31A1" w:rsidP="007A08F5">
      <w:pPr>
        <w:spacing w:after="240"/>
      </w:pPr>
      <w:r>
        <w:t xml:space="preserve">The </w:t>
      </w:r>
      <w:r w:rsidR="006D519A">
        <w:t xml:space="preserve">process </w:t>
      </w:r>
      <w:r>
        <w:t>should consider operationalisation of features of the existing MERL Framework such as the ‘performance rubric’, a centralised system to capture evidence against the MERL Plan, and an appropriate and efficient suite of data collection tools, based on those proposed in the current MERL Framework.</w:t>
      </w:r>
    </w:p>
    <w:p w14:paraId="11D4CEA8" w14:textId="6A549085" w:rsidR="006D519A" w:rsidRDefault="006D519A" w:rsidP="007A08F5">
      <w:pPr>
        <w:spacing w:after="240"/>
      </w:pPr>
      <w:r>
        <w:t xml:space="preserve">Recommendation 2 </w:t>
      </w:r>
      <w:r w:rsidR="00491D91">
        <w:t xml:space="preserve">will </w:t>
      </w:r>
      <w:r>
        <w:t xml:space="preserve">require a TAPQE Program MERL activity that is separate from other Program activity focused on the design, development and operation of </w:t>
      </w:r>
      <w:proofErr w:type="gramStart"/>
      <w:r>
        <w:t>a MEHRD</w:t>
      </w:r>
      <w:proofErr w:type="gramEnd"/>
      <w:r>
        <w:t xml:space="preserve"> MERL Framework, based on TESP IV.</w:t>
      </w:r>
    </w:p>
    <w:p w14:paraId="2C157037" w14:textId="25A5DA36" w:rsidR="00DC31A1" w:rsidRPr="00542B9A" w:rsidRDefault="00DC31A1" w:rsidP="007A08F5">
      <w:pPr>
        <w:pStyle w:val="ListParagraph"/>
        <w:numPr>
          <w:ilvl w:val="0"/>
          <w:numId w:val="68"/>
        </w:numPr>
        <w:spacing w:after="240"/>
        <w:ind w:left="426" w:hanging="426"/>
        <w:rPr>
          <w:b/>
          <w:bCs/>
        </w:rPr>
      </w:pPr>
      <w:r w:rsidRPr="00542B9A">
        <w:rPr>
          <w:b/>
          <w:bCs/>
        </w:rPr>
        <w:t>Enhance oversight role and operation of the Steering Group – AHC and TAPQE Team</w:t>
      </w:r>
    </w:p>
    <w:p w14:paraId="0FE29BBA" w14:textId="140C1023" w:rsidR="00AD66D7" w:rsidRDefault="00AD66D7" w:rsidP="007A08F5">
      <w:pPr>
        <w:spacing w:after="240"/>
      </w:pPr>
      <w:r>
        <w:t xml:space="preserve">The Steering </w:t>
      </w:r>
      <w:r w:rsidR="00400B97">
        <w:t xml:space="preserve">Group </w:t>
      </w:r>
      <w:r>
        <w:t xml:space="preserve">should take a more active and strategic role in the planning and monitoring of TAPQE Program activities and how they contribute to Program outcomes and contribute to MEHRD objectives. The Steering Group should apply a sharper focus on the effectiveness and efficiency of the delivery, and regular </w:t>
      </w:r>
      <w:r>
        <w:lastRenderedPageBreak/>
        <w:t xml:space="preserve">reflection on what’s working well and/or what needs to change to maximise the chance of Program success and achievement of MEHRD outcomes.  </w:t>
      </w:r>
      <w:r w:rsidR="006E6F47">
        <w:t xml:space="preserve">This recommendation should be in </w:t>
      </w:r>
      <w:r>
        <w:t xml:space="preserve">operation from </w:t>
      </w:r>
      <w:r w:rsidR="00E1138E">
        <w:t>the 2nd</w:t>
      </w:r>
      <w:r>
        <w:t xml:space="preserve"> Steering Group meeting of 2025.</w:t>
      </w:r>
    </w:p>
    <w:p w14:paraId="0EE8D6BE" w14:textId="2EA38E99" w:rsidR="004276B8" w:rsidRDefault="00AD66D7" w:rsidP="007A08F5">
      <w:pPr>
        <w:spacing w:after="240"/>
      </w:pPr>
      <w:r>
        <w:t xml:space="preserve">To do this the Steering Group, guided by the AHC, should review its Terms of Reference, its composition </w:t>
      </w:r>
      <w:r w:rsidR="00E93261">
        <w:t>(</w:t>
      </w:r>
      <w:r>
        <w:t>to determine if additional expertise is required to supplement limited staff resources</w:t>
      </w:r>
      <w:r w:rsidR="004276B8">
        <w:t>,</w:t>
      </w:r>
      <w:r>
        <w:t xml:space="preserve"> or to add independent expert perspectives), and its mode of operation to ensure it can provide the required leadership for the TAPQE Program. </w:t>
      </w:r>
    </w:p>
    <w:p w14:paraId="77D1B4F8" w14:textId="53A23EED" w:rsidR="00DC31A1" w:rsidRDefault="00AD66D7" w:rsidP="007A08F5">
      <w:pPr>
        <w:spacing w:after="240"/>
      </w:pPr>
      <w:r>
        <w:t xml:space="preserve">The TAPQE team, which is responsible for supporting the Steering Group, will need to ensure that the meeting agenda and supporting papers are fit for purpose </w:t>
      </w:r>
      <w:r w:rsidR="001E0317">
        <w:t>and enabling deep and constructive engagement on progress, challenges and emerging opportunities</w:t>
      </w:r>
      <w:r>
        <w:t xml:space="preserve">. </w:t>
      </w:r>
      <w:r w:rsidR="000740F7">
        <w:t xml:space="preserve">The </w:t>
      </w:r>
      <w:r>
        <w:t>TAPQE team should seek external advice on how best to support a strategic leadership group</w:t>
      </w:r>
      <w:r w:rsidR="00D550B6">
        <w:t xml:space="preserve">, including </w:t>
      </w:r>
      <w:r w:rsidR="00AE0D56">
        <w:t xml:space="preserve">the </w:t>
      </w:r>
      <w:r w:rsidR="00D550B6">
        <w:t xml:space="preserve">chairing and </w:t>
      </w:r>
      <w:r w:rsidR="00AE0D56">
        <w:t xml:space="preserve">meeting </w:t>
      </w:r>
      <w:r w:rsidR="009D32A6">
        <w:t>facilitation,</w:t>
      </w:r>
      <w:r>
        <w:t xml:space="preserve"> to support the Program to work as effectively and efficiently as possible.</w:t>
      </w:r>
    </w:p>
    <w:p w14:paraId="43187858" w14:textId="1254DE8C" w:rsidR="00DC31A1" w:rsidRPr="00542B9A" w:rsidRDefault="00DC31A1" w:rsidP="007A08F5">
      <w:pPr>
        <w:pStyle w:val="ListParagraph"/>
        <w:numPr>
          <w:ilvl w:val="0"/>
          <w:numId w:val="68"/>
        </w:numPr>
        <w:spacing w:after="240"/>
        <w:ind w:left="426" w:hanging="426"/>
        <w:rPr>
          <w:b/>
          <w:bCs/>
        </w:rPr>
      </w:pPr>
      <w:proofErr w:type="spellStart"/>
      <w:r w:rsidRPr="00542B9A">
        <w:rPr>
          <w:b/>
          <w:bCs/>
        </w:rPr>
        <w:t>Maximise</w:t>
      </w:r>
      <w:proofErr w:type="spellEnd"/>
      <w:r w:rsidRPr="00542B9A">
        <w:rPr>
          <w:b/>
          <w:bCs/>
        </w:rPr>
        <w:t xml:space="preserve"> effective and efficient use of TAPQE personnel resources</w:t>
      </w:r>
      <w:r w:rsidR="00AE0D56">
        <w:rPr>
          <w:b/>
          <w:bCs/>
        </w:rPr>
        <w:t xml:space="preserve"> –</w:t>
      </w:r>
      <w:r w:rsidRPr="00542B9A">
        <w:rPr>
          <w:b/>
          <w:bCs/>
        </w:rPr>
        <w:t xml:space="preserve"> TAPQE Team</w:t>
      </w:r>
    </w:p>
    <w:p w14:paraId="1CCD9153" w14:textId="31BC0D3B" w:rsidR="00DC31A1" w:rsidRDefault="00DC31A1" w:rsidP="007A08F5">
      <w:pPr>
        <w:spacing w:after="240"/>
      </w:pPr>
      <w:r>
        <w:t xml:space="preserve">With a focus on sustainability and localisation, and the capacity challenges confronting MEHRD, the TAPQE Program should investigate the relative cost and program benefit of different profiles of locally engaged staff, international advisers and embedded staff. Options should be presented to the Steering Group for decision, with the analysis of each option in terms of anticipated effectiveness and efficiency. </w:t>
      </w:r>
      <w:r w:rsidR="002C4985">
        <w:t xml:space="preserve">This should be </w:t>
      </w:r>
      <w:r>
        <w:t>consider</w:t>
      </w:r>
      <w:r w:rsidR="006448FC">
        <w:t>ed</w:t>
      </w:r>
      <w:r>
        <w:t xml:space="preserve"> by the Steering Group at its 2</w:t>
      </w:r>
      <w:r w:rsidRPr="00F46727">
        <w:rPr>
          <w:vertAlign w:val="superscript"/>
        </w:rPr>
        <w:t>nd</w:t>
      </w:r>
      <w:r>
        <w:t xml:space="preserve"> Steering Group </w:t>
      </w:r>
      <w:r w:rsidR="00E1138E">
        <w:t>meeting of 2025 and</w:t>
      </w:r>
      <w:r>
        <w:t xml:space="preserve"> implement</w:t>
      </w:r>
      <w:r w:rsidR="006448FC">
        <w:t>ed</w:t>
      </w:r>
      <w:r>
        <w:t xml:space="preserve"> from July 2025.</w:t>
      </w:r>
    </w:p>
    <w:p w14:paraId="43AC6B75" w14:textId="6A3195B6" w:rsidR="00DC31A1" w:rsidRPr="00542B9A" w:rsidRDefault="00DC31A1" w:rsidP="007A08F5">
      <w:pPr>
        <w:pStyle w:val="ListParagraph"/>
        <w:numPr>
          <w:ilvl w:val="0"/>
          <w:numId w:val="68"/>
        </w:numPr>
        <w:spacing w:after="240"/>
        <w:ind w:left="426" w:hanging="426"/>
        <w:rPr>
          <w:b/>
          <w:bCs/>
        </w:rPr>
      </w:pPr>
      <w:r w:rsidRPr="00542B9A">
        <w:rPr>
          <w:b/>
          <w:bCs/>
        </w:rPr>
        <w:t xml:space="preserve">Options to update Program design </w:t>
      </w:r>
    </w:p>
    <w:p w14:paraId="405E3777" w14:textId="58D54DA1" w:rsidR="00DC31A1" w:rsidRDefault="00DC31A1" w:rsidP="007A08F5">
      <w:pPr>
        <w:spacing w:after="240"/>
      </w:pPr>
      <w:r>
        <w:t>Given the significant changes to the Tuvalu context and DFAT Investment priorities</w:t>
      </w:r>
      <w:r w:rsidR="003C5083">
        <w:t>,</w:t>
      </w:r>
      <w:r>
        <w:t xml:space="preserve"> the AHC should consider the potential benefits of a new design and tender process</w:t>
      </w:r>
      <w:r w:rsidR="008F0F7B">
        <w:t xml:space="preserve"> for the next phase of this Program, </w:t>
      </w:r>
      <w:r>
        <w:t>rather than a second five-year extension of the current program.</w:t>
      </w:r>
    </w:p>
    <w:p w14:paraId="1843250E" w14:textId="3CAF316F" w:rsidR="006D519A" w:rsidRDefault="006D519A" w:rsidP="007A08F5">
      <w:pPr>
        <w:spacing w:after="240"/>
      </w:pPr>
      <w:r>
        <w:t>As</w:t>
      </w:r>
      <w:r w:rsidR="00AC3ABC">
        <w:t xml:space="preserve"> </w:t>
      </w:r>
      <w:r>
        <w:t>this report</w:t>
      </w:r>
      <w:r w:rsidR="00AC3ABC">
        <w:t xml:space="preserve"> has noted</w:t>
      </w:r>
      <w:r>
        <w:t>, the changing Tuvalu context and that of DFAT Investment priorities</w:t>
      </w:r>
      <w:r w:rsidR="00A93328">
        <w:t>, when combined with the findings from this review,</w:t>
      </w:r>
      <w:r>
        <w:t xml:space="preserve"> would most likely result in a different design to the one</w:t>
      </w:r>
      <w:r w:rsidR="00A93328">
        <w:t xml:space="preserve"> currently</w:t>
      </w:r>
      <w:r>
        <w:t xml:space="preserve"> in operation</w:t>
      </w:r>
      <w:r w:rsidR="00556DD4">
        <w:t xml:space="preserve">. </w:t>
      </w:r>
      <w:r w:rsidR="00A24F7F">
        <w:t>This might include a clear distinction between</w:t>
      </w:r>
      <w:r w:rsidR="00F216AD">
        <w:t xml:space="preserve"> Ministry capacity development (possibly through embedded staff and/or the application of a DFA) and </w:t>
      </w:r>
      <w:r>
        <w:t xml:space="preserve">provision of services to </w:t>
      </w:r>
      <w:r w:rsidR="00F216AD">
        <w:t xml:space="preserve">assist the </w:t>
      </w:r>
      <w:r>
        <w:t xml:space="preserve">Ministry to improve </w:t>
      </w:r>
      <w:r w:rsidR="00434D62">
        <w:t xml:space="preserve">teaching and </w:t>
      </w:r>
      <w:r w:rsidR="00E1138E">
        <w:t>learning.</w:t>
      </w:r>
    </w:p>
    <w:p w14:paraId="23AD97DB" w14:textId="77777777" w:rsidR="00E800C2" w:rsidRPr="008663C8" w:rsidRDefault="00E800C2" w:rsidP="008663C8">
      <w:pPr>
        <w:sectPr w:rsidR="00E800C2" w:rsidRPr="008663C8" w:rsidSect="00AE0C58">
          <w:pgSz w:w="11900" w:h="16840" w:code="9"/>
          <w:pgMar w:top="1134" w:right="1134" w:bottom="1134" w:left="1134" w:header="709" w:footer="709" w:gutter="0"/>
          <w:cols w:space="708"/>
          <w:docGrid w:linePitch="360"/>
        </w:sectPr>
      </w:pPr>
    </w:p>
    <w:p w14:paraId="74085525" w14:textId="77777777" w:rsidR="00CF2603" w:rsidRDefault="00CF2603" w:rsidP="00CF2603">
      <w:pPr>
        <w:pStyle w:val="Heading1"/>
      </w:pPr>
      <w:bookmarkStart w:id="20" w:name="_Toc209431956"/>
      <w:r>
        <w:lastRenderedPageBreak/>
        <w:t>Annexures</w:t>
      </w:r>
      <w:bookmarkEnd w:id="20"/>
    </w:p>
    <w:p w14:paraId="7E273968" w14:textId="19808F5B" w:rsidR="00F428FF" w:rsidRPr="00CF2603" w:rsidRDefault="00F428FF" w:rsidP="00CF2603">
      <w:pPr>
        <w:pStyle w:val="Heading2"/>
      </w:pPr>
      <w:bookmarkStart w:id="21" w:name="_Toc209431957"/>
      <w:r w:rsidRPr="00CF2603">
        <w:t>Annex 1: Terms of Reference</w:t>
      </w:r>
      <w:bookmarkEnd w:id="21"/>
    </w:p>
    <w:p w14:paraId="6709D061" w14:textId="77777777" w:rsidR="004B555A" w:rsidRDefault="004B555A" w:rsidP="004B555A"/>
    <w:p w14:paraId="4B9ACAE6" w14:textId="77777777" w:rsidR="004B555A" w:rsidRDefault="004B555A" w:rsidP="004B555A"/>
    <w:p w14:paraId="0C66A5C3" w14:textId="77777777" w:rsidR="00274FFC" w:rsidRPr="00953811" w:rsidRDefault="00274FFC" w:rsidP="00274FFC">
      <w:pPr>
        <w:jc w:val="center"/>
        <w:rPr>
          <w:b/>
          <w:bCs/>
        </w:rPr>
      </w:pPr>
      <w:r w:rsidRPr="00953811">
        <w:rPr>
          <w:b/>
          <w:bCs/>
        </w:rPr>
        <w:t>DRAFT TERMS OF REFERENCE</w:t>
      </w:r>
    </w:p>
    <w:p w14:paraId="58F1D2E6" w14:textId="77777777" w:rsidR="00274FFC" w:rsidRPr="00953811" w:rsidRDefault="00274FFC" w:rsidP="00274FFC">
      <w:pPr>
        <w:jc w:val="center"/>
        <w:rPr>
          <w:b/>
          <w:bCs/>
        </w:rPr>
      </w:pPr>
      <w:r w:rsidRPr="00953811">
        <w:rPr>
          <w:b/>
          <w:bCs/>
        </w:rPr>
        <w:t xml:space="preserve">Mid-Term Review of the Tuvalu Australia Partnerships for Quality Education (TAPQE) Program </w:t>
      </w:r>
    </w:p>
    <w:p w14:paraId="5034B013" w14:textId="77777777" w:rsidR="00274FFC" w:rsidRPr="00953811" w:rsidRDefault="00274FFC" w:rsidP="00274FFC">
      <w:pPr>
        <w:jc w:val="center"/>
        <w:rPr>
          <w:b/>
          <w:bCs/>
        </w:rPr>
      </w:pPr>
      <w:r w:rsidRPr="00953811">
        <w:rPr>
          <w:b/>
          <w:bCs/>
        </w:rPr>
        <w:t>January – March 2025</w:t>
      </w:r>
    </w:p>
    <w:p w14:paraId="10539FAC" w14:textId="77777777" w:rsidR="00274FFC" w:rsidRPr="00953811" w:rsidRDefault="00274FFC" w:rsidP="00274FFC">
      <w:pPr>
        <w:rPr>
          <w:b/>
          <w:bCs/>
        </w:rPr>
      </w:pPr>
      <w:r w:rsidRPr="00953811">
        <w:rPr>
          <w:b/>
          <w:bCs/>
        </w:rPr>
        <w:t>Background</w:t>
      </w:r>
    </w:p>
    <w:p w14:paraId="732149FF" w14:textId="5F74A925" w:rsidR="00274FFC" w:rsidRPr="00953811" w:rsidRDefault="00274FFC" w:rsidP="00274FFC">
      <w:r w:rsidRPr="00953811">
        <w:t>Tuvalu is one of the world’s smallest independent and most remote countries, comprising nine low-lying coral atolls, and is the second-smallest economy (with GDP of $60m) in the Pacific. It has the highest official development assistance (ODA) to Gross National Income ratio in the region, with aid accounting for approximately 80 per</w:t>
      </w:r>
      <w:r w:rsidR="0004764B">
        <w:t xml:space="preserve"> </w:t>
      </w:r>
      <w:r w:rsidRPr="00953811">
        <w:t>cent of its national income</w:t>
      </w:r>
      <w:r w:rsidRPr="00953811">
        <w:rPr>
          <w:rStyle w:val="FootnoteReference"/>
        </w:rPr>
        <w:footnoteReference w:id="20"/>
      </w:r>
      <w:r w:rsidRPr="00953811">
        <w:t xml:space="preserve">. Tuvalu has a population of almost 11,000 and the Tuvalu government’s development agenda </w:t>
      </w:r>
      <w:r w:rsidRPr="00953811">
        <w:rPr>
          <w:i/>
          <w:iCs/>
        </w:rPr>
        <w:t>(Te Kete</w:t>
      </w:r>
      <w:r w:rsidRPr="00953811">
        <w:rPr>
          <w:rStyle w:val="FootnoteReference"/>
          <w:i/>
          <w:iCs/>
        </w:rPr>
        <w:footnoteReference w:id="21"/>
      </w:r>
      <w:r w:rsidRPr="00953811">
        <w:rPr>
          <w:i/>
          <w:iCs/>
        </w:rPr>
        <w:t>)</w:t>
      </w:r>
      <w:r w:rsidRPr="00953811">
        <w:t xml:space="preserve"> focuses on five strategic areas including sustainable development, economic development, infrastructure development, social development and inclusion, and island &amp; culture development. </w:t>
      </w:r>
    </w:p>
    <w:p w14:paraId="5F20A489" w14:textId="77777777" w:rsidR="00274FFC" w:rsidRPr="00953811" w:rsidRDefault="00274FFC" w:rsidP="00274FFC">
      <w:r w:rsidRPr="00953811">
        <w:t>Tuvalu’s major development partners include Australia, Taiwan, New Zealand, Japan, EU, World Bank and Asian Development Bank. In the education sector, Australia, NZ (through scholarships), World Bank and UNICEF (through the Global Partnerships for Education) are key partners. Other regional education partners such as the University of the South Pacific, SPC EQAP, UNESCO and Fiji National University are also active in Tuvalu.</w:t>
      </w:r>
    </w:p>
    <w:p w14:paraId="02550100" w14:textId="77777777" w:rsidR="00274FFC" w:rsidRPr="00953811" w:rsidRDefault="00274FFC" w:rsidP="00274FFC">
      <w:r w:rsidRPr="00953811">
        <w:t>Tuvalu’s education system includes 2 secondary schools, 10 primary schools and 18 early childhood education centres. In 2023, there were 3689 students enrolled across the Tuvalu education system, supported by a total of 214</w:t>
      </w:r>
      <w:r w:rsidRPr="00953811">
        <w:rPr>
          <w:rStyle w:val="FootnoteReference"/>
        </w:rPr>
        <w:footnoteReference w:id="22"/>
      </w:r>
      <w:r w:rsidRPr="00953811">
        <w:t xml:space="preserve"> FTE teachers employed by the Ministry of Education &amp; Human Resource Development (MEHRD) across all sectors including early childhood, primary, secondary, and technical &amp; vocational skills development. In December 2023, there were 16 FTE Ministry-based staff, supporting the education workforce and systems</w:t>
      </w:r>
      <w:r w:rsidRPr="00953811">
        <w:rPr>
          <w:rStyle w:val="FootnoteReference"/>
        </w:rPr>
        <w:footnoteReference w:id="23"/>
      </w:r>
      <w:r w:rsidRPr="00953811">
        <w:t>. There are a range of challenges facing Tuvalu’s education system, including high turnover of teachers, lack of qualified teaching staff, literacy and numeracy learning challenges, low learning levels and high rates of grade repetition, drop-out and out-of-school children</w:t>
      </w:r>
      <w:r w:rsidRPr="00953811">
        <w:rPr>
          <w:rStyle w:val="FootnoteReference"/>
        </w:rPr>
        <w:footnoteReference w:id="24"/>
      </w:r>
      <w:r w:rsidRPr="00953811">
        <w:t>.</w:t>
      </w:r>
    </w:p>
    <w:p w14:paraId="12141FB0" w14:textId="77777777" w:rsidR="00274FFC" w:rsidRPr="00953811" w:rsidRDefault="00274FFC" w:rsidP="00274FFC">
      <w:pPr>
        <w:rPr>
          <w:i/>
          <w:iCs/>
          <w:u w:val="single"/>
        </w:rPr>
      </w:pPr>
      <w:r w:rsidRPr="00953811">
        <w:rPr>
          <w:i/>
          <w:iCs/>
          <w:u w:val="single"/>
        </w:rPr>
        <w:t>Australia’s Assistance to Tuvalu’s Education Sector</w:t>
      </w:r>
    </w:p>
    <w:p w14:paraId="29106FBE" w14:textId="7D4E4823" w:rsidR="00274FFC" w:rsidRPr="00953811" w:rsidRDefault="00274FFC" w:rsidP="00274FFC">
      <w:r w:rsidRPr="00953811">
        <w:t xml:space="preserve">Australia has a strong commitment in supporting Tuvalu’s education sector through the </w:t>
      </w:r>
      <w:r w:rsidRPr="00953811">
        <w:rPr>
          <w:i/>
          <w:iCs/>
        </w:rPr>
        <w:t xml:space="preserve">Tuvalu Australia Partnership for Quality Education (TAPQE) Program ($10 million over 5 years 2022/23-2026/27), </w:t>
      </w:r>
      <w:r w:rsidRPr="00953811">
        <w:t xml:space="preserve">delivered </w:t>
      </w:r>
      <w:r w:rsidRPr="00953811">
        <w:lastRenderedPageBreak/>
        <w:t>through a Managing Contractor model</w:t>
      </w:r>
      <w:r w:rsidRPr="00953811">
        <w:rPr>
          <w:rStyle w:val="FootnoteReference"/>
        </w:rPr>
        <w:footnoteReference w:id="25"/>
      </w:r>
      <w:r w:rsidRPr="00953811">
        <w:rPr>
          <w:i/>
          <w:iCs/>
        </w:rPr>
        <w:t xml:space="preserve">. </w:t>
      </w:r>
      <w:r w:rsidRPr="00953811">
        <w:t xml:space="preserve">The TAPQE Program is focused on addressing some of the education challenges in </w:t>
      </w:r>
      <w:r w:rsidR="008A6D29" w:rsidRPr="00953811">
        <w:t>Tuvalu</w:t>
      </w:r>
      <w:r w:rsidRPr="00953811">
        <w:t xml:space="preserve"> as reflected in its (TAPQE) End of Program Outcomes</w:t>
      </w:r>
      <w:r w:rsidRPr="00953811">
        <w:rPr>
          <w:rStyle w:val="FootnoteReference"/>
        </w:rPr>
        <w:footnoteReference w:id="26"/>
      </w:r>
      <w:r w:rsidRPr="00953811">
        <w:t xml:space="preserve"> : </w:t>
      </w:r>
    </w:p>
    <w:p w14:paraId="769B9D78" w14:textId="77777777" w:rsidR="00274FFC" w:rsidRPr="00953811" w:rsidRDefault="00274FFC" w:rsidP="00274FFC">
      <w:pPr>
        <w:rPr>
          <w:i/>
          <w:iCs/>
        </w:rPr>
      </w:pPr>
      <w:r w:rsidRPr="00953811">
        <w:rPr>
          <w:b/>
          <w:bCs/>
          <w:i/>
          <w:iCs/>
        </w:rPr>
        <w:t>EOPO 1:</w:t>
      </w:r>
      <w:r w:rsidRPr="00953811">
        <w:rPr>
          <w:b/>
          <w:bCs/>
        </w:rPr>
        <w:t xml:space="preserve"> </w:t>
      </w:r>
      <w:r w:rsidRPr="00953811">
        <w:rPr>
          <w:i/>
          <w:iCs/>
        </w:rPr>
        <w:t>Improved numeracy and literacy outcomes for both girls and boys (Years 1-10), including children with disabilities.</w:t>
      </w:r>
    </w:p>
    <w:p w14:paraId="4AF4EF71" w14:textId="77777777" w:rsidR="00274FFC" w:rsidRPr="00953811" w:rsidRDefault="00274FFC" w:rsidP="00274FFC">
      <w:pPr>
        <w:rPr>
          <w:i/>
          <w:iCs/>
        </w:rPr>
      </w:pPr>
      <w:r w:rsidRPr="00953811">
        <w:rPr>
          <w:b/>
          <w:bCs/>
          <w:i/>
          <w:iCs/>
        </w:rPr>
        <w:t>EOPO 2:</w:t>
      </w:r>
      <w:r w:rsidRPr="00953811">
        <w:rPr>
          <w:i/>
          <w:iCs/>
        </w:rPr>
        <w:t xml:space="preserve"> Improved relevance and quality of secondary school teaching and pathways to employment and further education opportunities for both girls and boys, including learners with disabilities; and </w:t>
      </w:r>
    </w:p>
    <w:p w14:paraId="31929CCA" w14:textId="77777777" w:rsidR="00274FFC" w:rsidRPr="00953811" w:rsidRDefault="00274FFC" w:rsidP="00274FFC">
      <w:pPr>
        <w:rPr>
          <w:i/>
          <w:iCs/>
        </w:rPr>
      </w:pPr>
      <w:r w:rsidRPr="00953811">
        <w:rPr>
          <w:b/>
          <w:bCs/>
          <w:i/>
          <w:iCs/>
        </w:rPr>
        <w:t>EOPO 3:</w:t>
      </w:r>
      <w:r w:rsidRPr="00953811">
        <w:t xml:space="preserve"> </w:t>
      </w:r>
      <w:r w:rsidRPr="00953811">
        <w:rPr>
          <w:i/>
          <w:iCs/>
        </w:rPr>
        <w:t xml:space="preserve">Strengthened Ministry of Education, Youth &amp; Sports (now Ministry of Education &amp; Human Resources Development) personnel and systems so that service delivery is more inclusive, evidence-based and efficient. </w:t>
      </w:r>
    </w:p>
    <w:p w14:paraId="6095C9F2" w14:textId="77777777" w:rsidR="00274FFC" w:rsidRPr="00953811" w:rsidRDefault="00274FFC" w:rsidP="00274FFC">
      <w:r w:rsidRPr="00953811">
        <w:t>The TAPQE Program builds on previous years of support (</w:t>
      </w:r>
      <w:r w:rsidRPr="00953811">
        <w:rPr>
          <w:i/>
          <w:iCs/>
        </w:rPr>
        <w:t>Australian Support to Education in Tuvalu (ASET Program 2018-2022)</w:t>
      </w:r>
      <w:r w:rsidRPr="00953811">
        <w:t xml:space="preserve"> and the Australia Awards Scholarships. The TAPQE Investment Design Document (IDD) was developed during the COVID-19 pandemic, and inception phase activities commenced in January 2023. The TAPQE Program was officially launched in May 2024 at the Program’s inaugural Steering Committee Meeting.</w:t>
      </w:r>
    </w:p>
    <w:p w14:paraId="6D713D93" w14:textId="77777777" w:rsidR="00274FFC" w:rsidRPr="00953811" w:rsidRDefault="00274FFC" w:rsidP="00274FFC">
      <w:r w:rsidRPr="00953811">
        <w:t xml:space="preserve">The TAPQE Program’s Investment Design Document (IDD) has not yet been finalised by DFAT. The Program is currently implementing its workplan activities based on the draft IDD; pending the revision of the IDD to align with Tuvalu’s new education sector plan (TESP IV) which is currently being reviewed by Tuvalu’s senior education officials. </w:t>
      </w:r>
    </w:p>
    <w:p w14:paraId="2C54297D" w14:textId="77777777" w:rsidR="00274FFC" w:rsidRPr="00953811" w:rsidRDefault="00274FFC" w:rsidP="00274FFC">
      <w:r w:rsidRPr="00953811">
        <w:t xml:space="preserve">Since its inception, TAPQE has had a part-time team leader co-shared with the Nauru Education Program (NEP), with technical support provided by a range of short-term technical advisers encompassing literacy &amp; numeracy, technical &amp; vocational skills development, gender and social inclusion (GEDSI), climate change, education management information systems, continuous professional development, and monitoring and evaluation. The short-term advisers work with a team of locally engaged staff to support MEHRD. In March 2024, TAPQE appointed a Deputy Team Leader to be based full-time in Tuvalu to manage the Program’s activities and support the country manager and team leader. Some anticipated TAPQE staffing changes in 2025 include a full-time team leader role and a literacy and numeracy adviser to be based in Tuvalu.   </w:t>
      </w:r>
    </w:p>
    <w:p w14:paraId="33C86844" w14:textId="77777777" w:rsidR="00274FFC" w:rsidRPr="00953811" w:rsidRDefault="00274FFC" w:rsidP="00274FFC">
      <w:r w:rsidRPr="00953811">
        <w:t xml:space="preserve">In addition to TAPQE, DFAT also provides direct technical assistance to MEHRD’s senior leadership (a Strategic Education Adviser engaged separately through the Australia Pacific Partnerships Platform (AusP3). The Strategic Education Adviser provides mentoring support to the Director of Education and senior education officers; and assists MEHRD with their Education Sector Plans and development partner coordination efforts. Although the Strategic Education Adviser’s activities are not in scope as part of this review, it would be useful to assess how the TAPQE Program is leveraging this support. </w:t>
      </w:r>
    </w:p>
    <w:p w14:paraId="2A54D9F6" w14:textId="77777777" w:rsidR="00274FFC" w:rsidRPr="00953811" w:rsidRDefault="00274FFC" w:rsidP="00274FFC">
      <w:pPr>
        <w:rPr>
          <w:i/>
          <w:iCs/>
          <w:u w:val="single"/>
        </w:rPr>
      </w:pPr>
      <w:r w:rsidRPr="00953811">
        <w:rPr>
          <w:i/>
          <w:iCs/>
          <w:u w:val="single"/>
        </w:rPr>
        <w:t>Tuvalu education sector – current developments</w:t>
      </w:r>
    </w:p>
    <w:p w14:paraId="143A835E" w14:textId="3F326006" w:rsidR="00274FFC" w:rsidRPr="00953811" w:rsidRDefault="00274FFC" w:rsidP="00274FFC">
      <w:r w:rsidRPr="00953811">
        <w:t xml:space="preserve">With funding support from the Global Partnerships for Education (GPE), UNICEF is supporting Tuvalu to develop its next Tuvalu Education Sector Plan (TESP IV). An Education Sector Analysis (ESA) has been developed to inform the TESP IV priorities. Tuvalu’s Ministry of Education &amp; Human Resources Development (MEHRD) is in the process of finalising the ESA and TESP IV and preparing its grant application for the Systems Transformation Grant through GPE. The Education Act has also been </w:t>
      </w:r>
      <w:r w:rsidR="008A6D29" w:rsidRPr="00953811">
        <w:t>reviewed,</w:t>
      </w:r>
      <w:r w:rsidRPr="00953811">
        <w:t xml:space="preserve"> and a draft Bill is currently with the Attorney General’s office before its tabled in Parliament. </w:t>
      </w:r>
    </w:p>
    <w:p w14:paraId="23CE6E30" w14:textId="77777777" w:rsidR="00274FFC" w:rsidRPr="00953811" w:rsidRDefault="00274FFC" w:rsidP="00274FFC">
      <w:r w:rsidRPr="00953811">
        <w:lastRenderedPageBreak/>
        <w:t xml:space="preserve">Tuvalu’s TESP IV sets out Tuvalu’s education priorities over the next 5 years, supported by a range of development partners including DFAT, World Bank, UNICEF, UNESCO, USP and SPC EQAP. Through GPE and other funding sources, several studies have been conducted to inform the development of TESP IV. These include the Education Sector Analysis, Education Enabling Factor Analysis, Education Workforce Review, Gender Analysis, etc. A draft summary of the current draft TESP IV is attached in </w:t>
      </w:r>
      <w:r w:rsidRPr="00953811">
        <w:rPr>
          <w:b/>
          <w:bCs/>
        </w:rPr>
        <w:t>Annex 1.</w:t>
      </w:r>
      <w:r w:rsidRPr="00953811">
        <w:t xml:space="preserve"> The Tuvalu Education Partners Group (TEPG) supports MEHRD’s oversight of the GPE grants managed through UNICEF.</w:t>
      </w:r>
    </w:p>
    <w:p w14:paraId="4165F464" w14:textId="77777777" w:rsidR="00274FFC" w:rsidRPr="00953811" w:rsidRDefault="00274FFC" w:rsidP="00274FFC">
      <w:pPr>
        <w:rPr>
          <w:i/>
          <w:iCs/>
          <w:u w:val="single"/>
        </w:rPr>
      </w:pPr>
      <w:r w:rsidRPr="00953811">
        <w:rPr>
          <w:i/>
          <w:iCs/>
          <w:u w:val="single"/>
        </w:rPr>
        <w:t>Other Contextual Shifts</w:t>
      </w:r>
    </w:p>
    <w:p w14:paraId="7F5D68B5" w14:textId="535F27E1" w:rsidR="00274FFC" w:rsidRPr="00953811" w:rsidRDefault="00274FFC" w:rsidP="007A08F5">
      <w:pPr>
        <w:spacing w:after="240"/>
      </w:pPr>
      <w:r w:rsidRPr="00953811">
        <w:t>Australia and Tuvalu signed the Falepili Treaty in 2023. The Treaty is now in force. Among other commitments, the Treaty includes a mobility pathway providing up to 280 visas per year for Tuvaluans for permanent residency in Australia. This will enable visa</w:t>
      </w:r>
      <w:r w:rsidR="00CE2F84">
        <w:t xml:space="preserve"> </w:t>
      </w:r>
      <w:r w:rsidRPr="00953811">
        <w:t xml:space="preserve">holders to move freely between the two countries.  The pathway will be operational in mid-2025. </w:t>
      </w:r>
    </w:p>
    <w:p w14:paraId="3D86D36D" w14:textId="40882BA6" w:rsidR="00274FFC" w:rsidRPr="00953811" w:rsidRDefault="00AB42FD" w:rsidP="00274FFC">
      <w:pPr>
        <w:rPr>
          <w:b/>
          <w:bCs/>
        </w:rPr>
      </w:pPr>
      <w:r w:rsidRPr="00953811">
        <w:rPr>
          <w:b/>
          <w:bCs/>
        </w:rPr>
        <w:t>Mid-Term</w:t>
      </w:r>
      <w:r w:rsidR="00274FFC" w:rsidRPr="00953811">
        <w:rPr>
          <w:b/>
          <w:bCs/>
        </w:rPr>
        <w:t xml:space="preserve"> Review Objectives </w:t>
      </w:r>
    </w:p>
    <w:p w14:paraId="7869D72F" w14:textId="77777777" w:rsidR="00274FFC" w:rsidRPr="00953811" w:rsidRDefault="00274FFC" w:rsidP="00274FFC">
      <w:r w:rsidRPr="00953811">
        <w:t xml:space="preserve">DFAT is commissioning this mid-term review to address two main objectives: </w:t>
      </w:r>
    </w:p>
    <w:p w14:paraId="0F711712" w14:textId="77777777" w:rsidR="00274FFC" w:rsidRPr="00953811" w:rsidRDefault="00274FFC" w:rsidP="00B32148">
      <w:pPr>
        <w:pStyle w:val="ListParagraph"/>
        <w:numPr>
          <w:ilvl w:val="0"/>
          <w:numId w:val="38"/>
        </w:numPr>
        <w:suppressAutoHyphens w:val="0"/>
        <w:autoSpaceDE/>
        <w:autoSpaceDN/>
        <w:adjustRightInd/>
        <w:spacing w:after="160" w:line="259" w:lineRule="auto"/>
        <w:jc w:val="left"/>
        <w:textAlignment w:val="auto"/>
      </w:pPr>
      <w:r w:rsidRPr="00953811">
        <w:t xml:space="preserve">to help inform the finalisation of the TAPQE Investment Design Document and ensure it remains relevant to Tuvalu’s education context, operational environment, and the priorities in the draft TESP IV to strengthen Tuvalu’s education systems and outcomes; and </w:t>
      </w:r>
    </w:p>
    <w:p w14:paraId="008EBDB9" w14:textId="77777777" w:rsidR="00274FFC" w:rsidRPr="00953811" w:rsidRDefault="00274FFC" w:rsidP="00B4774E">
      <w:pPr>
        <w:pStyle w:val="ListParagraph"/>
        <w:numPr>
          <w:ilvl w:val="0"/>
          <w:numId w:val="0"/>
        </w:numPr>
        <w:ind w:left="1440"/>
      </w:pPr>
    </w:p>
    <w:p w14:paraId="7F110DD0" w14:textId="77777777" w:rsidR="00274FFC" w:rsidRPr="00953811" w:rsidRDefault="00274FFC" w:rsidP="00B32148">
      <w:pPr>
        <w:pStyle w:val="ListParagraph"/>
        <w:numPr>
          <w:ilvl w:val="0"/>
          <w:numId w:val="38"/>
        </w:numPr>
        <w:suppressAutoHyphens w:val="0"/>
        <w:autoSpaceDE/>
        <w:autoSpaceDN/>
        <w:adjustRightInd/>
        <w:spacing w:after="160" w:line="259" w:lineRule="auto"/>
        <w:jc w:val="left"/>
        <w:textAlignment w:val="auto"/>
      </w:pPr>
      <w:r w:rsidRPr="00953811">
        <w:t xml:space="preserve">to assess TAPQE’s progress towards achieving its End of Program Outcomes, identify what is working well and what needs to be strengthened to achieve the EOPOs; determine whether the current TAPQE MERL Framework and performance reporting is fit for purpose; and identify some recommendations for where improvements could be made to drive real changes in student outcomes, including students with disabilities and those most at risk of falling behind and/or in need of assistance. </w:t>
      </w:r>
    </w:p>
    <w:p w14:paraId="14F06360" w14:textId="77777777" w:rsidR="00274FFC" w:rsidRPr="00953811" w:rsidRDefault="00274FFC" w:rsidP="00274FFC">
      <w:r w:rsidRPr="00953811">
        <w:t xml:space="preserve">The Mid Term Review will be conducted in line with DFAT’s Development Evaluation Policy and DFAT’s Design and Monitoring, Evaluation and Learning standards. The intended primary users of the findings and recommendations from this mid-term review include DFAT staff in Canberra (Tuvalu Desk/ Office of the Pacific) and Funafuti Post staff, senior officials of Tuvalu’s Department of Education, including the Permanent Secretary (MEHRD) and the TAPQE Program team including the managing contractor team at both the headquarters level and program team in Funafuti. Secondary users of the findings from the mid-term review include school communities such as teachers and local island council (Kaupule) representatives, other development partners and members of the Tuvalu Education Partners Group. </w:t>
      </w:r>
    </w:p>
    <w:p w14:paraId="652106AE" w14:textId="5A36A4A9" w:rsidR="00274FFC" w:rsidRPr="00953811" w:rsidRDefault="00274FFC" w:rsidP="007A08F5">
      <w:pPr>
        <w:spacing w:before="240"/>
        <w:rPr>
          <w:b/>
          <w:bCs/>
        </w:rPr>
      </w:pPr>
      <w:r w:rsidRPr="00953811">
        <w:rPr>
          <w:b/>
          <w:bCs/>
        </w:rPr>
        <w:t>Scope</w:t>
      </w:r>
    </w:p>
    <w:p w14:paraId="3F0A32E1" w14:textId="77777777" w:rsidR="00274FFC" w:rsidRPr="00953811" w:rsidRDefault="00274FFC" w:rsidP="00274FFC">
      <w:r w:rsidRPr="00953811">
        <w:t xml:space="preserve">The scope for the review will cover the TAPQE Program since its Inception Phase in November 2022 to date, including the following: </w:t>
      </w:r>
    </w:p>
    <w:p w14:paraId="054EAA46" w14:textId="77777777" w:rsidR="00274FFC" w:rsidRPr="00953811" w:rsidRDefault="00274FFC" w:rsidP="00274FFC">
      <w:pPr>
        <w:ind w:left="567" w:hanging="207"/>
        <w:rPr>
          <w:color w:val="FF0000"/>
        </w:rPr>
      </w:pPr>
      <w:r w:rsidRPr="00953811">
        <w:t xml:space="preserve">a) Alignment with Tuvalu’s key policies and priorities in the education sector (including </w:t>
      </w:r>
      <w:r w:rsidRPr="00953811">
        <w:rPr>
          <w:i/>
          <w:iCs/>
        </w:rPr>
        <w:t xml:space="preserve">Te Kete, </w:t>
      </w:r>
      <w:r w:rsidRPr="00953811">
        <w:t>the Tuvalu Government’s 21 Priorities and Tuvalu’s Education Sector Plans)</w:t>
      </w:r>
    </w:p>
    <w:p w14:paraId="35E6EC50" w14:textId="77777777" w:rsidR="00274FFC" w:rsidRPr="00C14CC5" w:rsidRDefault="00274FFC" w:rsidP="00274FFC">
      <w:pPr>
        <w:ind w:left="567" w:hanging="207"/>
        <w:rPr>
          <w:color w:val="FF0000"/>
        </w:rPr>
      </w:pPr>
      <w:r w:rsidRPr="00953811">
        <w:t xml:space="preserve">b) The TAPQE Program implementation and management support, including the activities implemented by the technical advisers, locally engaged staff and program management and administration </w:t>
      </w:r>
      <w:proofErr w:type="gramStart"/>
      <w:r w:rsidRPr="00953811">
        <w:t>team;</w:t>
      </w:r>
      <w:proofErr w:type="gramEnd"/>
    </w:p>
    <w:p w14:paraId="77048B55" w14:textId="0489D5E8" w:rsidR="00274FFC" w:rsidRPr="00953811" w:rsidRDefault="00274FFC" w:rsidP="00274FFC">
      <w:pPr>
        <w:ind w:left="567" w:hanging="207"/>
      </w:pPr>
      <w:r w:rsidRPr="00953811">
        <w:t>c) TAPQE’s engagement with key stakeholders including MEHRD, Department of Education staff and teachers, the Strategic Education Adviser, and development partners (World Bank TuLEP Program, UNICEF, USP, SPC, etc.</w:t>
      </w:r>
      <w:proofErr w:type="gramStart"/>
      <w:r w:rsidRPr="00953811">
        <w:t>);</w:t>
      </w:r>
      <w:proofErr w:type="gramEnd"/>
    </w:p>
    <w:p w14:paraId="046226A8" w14:textId="77777777" w:rsidR="00274FFC" w:rsidRPr="00953811" w:rsidRDefault="00274FFC" w:rsidP="00274FFC">
      <w:pPr>
        <w:ind w:left="567" w:hanging="207"/>
      </w:pPr>
      <w:r w:rsidRPr="00953811">
        <w:t xml:space="preserve">d) MEHRD’s interactions with TAPQE to support the Department of Education’s policy priorities and </w:t>
      </w:r>
      <w:proofErr w:type="gramStart"/>
      <w:r w:rsidRPr="00953811">
        <w:t>engagement;</w:t>
      </w:r>
      <w:proofErr w:type="gramEnd"/>
    </w:p>
    <w:p w14:paraId="4471A85D" w14:textId="77777777" w:rsidR="00274FFC" w:rsidRPr="00953811" w:rsidRDefault="00274FFC" w:rsidP="00274FFC">
      <w:pPr>
        <w:ind w:left="567" w:hanging="207"/>
      </w:pPr>
      <w:r w:rsidRPr="00953811">
        <w:t xml:space="preserve">e) TAPQE’s engagement with the Tuvalu Education Partners Group (TEPG) and other relevant government agencies and civil society organisations in Tuvalu; and </w:t>
      </w:r>
    </w:p>
    <w:p w14:paraId="5754CD81" w14:textId="77777777" w:rsidR="00274FFC" w:rsidRPr="00953811" w:rsidRDefault="00274FFC" w:rsidP="00274FFC">
      <w:pPr>
        <w:ind w:left="567" w:hanging="207"/>
      </w:pPr>
      <w:r w:rsidRPr="00953811">
        <w:lastRenderedPageBreak/>
        <w:t>f) DFAT’s engagement with the TAPQE Program.</w:t>
      </w:r>
    </w:p>
    <w:p w14:paraId="6B5C9FE8" w14:textId="2F4E7669" w:rsidR="00274FFC" w:rsidRPr="00953811" w:rsidRDefault="00274FFC" w:rsidP="007A08F5">
      <w:pPr>
        <w:spacing w:before="240"/>
        <w:rPr>
          <w:b/>
          <w:bCs/>
        </w:rPr>
      </w:pPr>
      <w:r w:rsidRPr="00953811">
        <w:rPr>
          <w:b/>
          <w:bCs/>
        </w:rPr>
        <w:t>The following areas are excluded from the scope of the review:</w:t>
      </w:r>
    </w:p>
    <w:p w14:paraId="601518B9" w14:textId="0CFCC13C" w:rsidR="00274FFC" w:rsidRPr="00953811" w:rsidRDefault="00274FFC" w:rsidP="00B32148">
      <w:pPr>
        <w:pStyle w:val="ListParagraph"/>
        <w:numPr>
          <w:ilvl w:val="0"/>
          <w:numId w:val="37"/>
        </w:numPr>
        <w:suppressAutoHyphens w:val="0"/>
        <w:autoSpaceDE/>
        <w:autoSpaceDN/>
        <w:adjustRightInd/>
        <w:spacing w:after="160" w:line="259" w:lineRule="auto"/>
        <w:ind w:left="709" w:hanging="349"/>
        <w:jc w:val="left"/>
        <w:textAlignment w:val="auto"/>
      </w:pPr>
      <w:r w:rsidRPr="00953811">
        <w:t xml:space="preserve">MEHRD’s engagement with other development partners, including </w:t>
      </w:r>
      <w:proofErr w:type="gramStart"/>
      <w:r w:rsidRPr="00953811">
        <w:t>DFAT;</w:t>
      </w:r>
      <w:proofErr w:type="gramEnd"/>
    </w:p>
    <w:p w14:paraId="6A27FA0E" w14:textId="50AF59BD" w:rsidR="00274FFC" w:rsidRPr="00953811" w:rsidRDefault="00274FFC" w:rsidP="00B32148">
      <w:pPr>
        <w:pStyle w:val="ListParagraph"/>
        <w:numPr>
          <w:ilvl w:val="0"/>
          <w:numId w:val="37"/>
        </w:numPr>
        <w:suppressAutoHyphens w:val="0"/>
        <w:autoSpaceDE/>
        <w:autoSpaceDN/>
        <w:adjustRightInd/>
        <w:spacing w:after="160" w:line="259" w:lineRule="auto"/>
        <w:ind w:left="709" w:hanging="349"/>
        <w:jc w:val="left"/>
        <w:textAlignment w:val="auto"/>
      </w:pPr>
      <w:r w:rsidRPr="00953811">
        <w:t xml:space="preserve">MEHRD’s engagement with the DFAT-funded Strategic Education Adviser and their engagement with </w:t>
      </w:r>
      <w:proofErr w:type="gramStart"/>
      <w:r w:rsidRPr="00953811">
        <w:t>DFAT;</w:t>
      </w:r>
      <w:proofErr w:type="gramEnd"/>
      <w:r w:rsidRPr="00953811">
        <w:t xml:space="preserve"> </w:t>
      </w:r>
    </w:p>
    <w:p w14:paraId="0D794780" w14:textId="447ECEC3" w:rsidR="00274FFC" w:rsidRPr="00953811" w:rsidRDefault="00274FFC" w:rsidP="00B32148">
      <w:pPr>
        <w:pStyle w:val="ListParagraph"/>
        <w:numPr>
          <w:ilvl w:val="0"/>
          <w:numId w:val="37"/>
        </w:numPr>
        <w:suppressAutoHyphens w:val="0"/>
        <w:autoSpaceDE/>
        <w:autoSpaceDN/>
        <w:adjustRightInd/>
        <w:spacing w:after="160" w:line="259" w:lineRule="auto"/>
        <w:ind w:left="709" w:hanging="349"/>
        <w:jc w:val="left"/>
        <w:textAlignment w:val="auto"/>
      </w:pPr>
      <w:r w:rsidRPr="00953811">
        <w:t>DFAT’s engagement on the Global Partnership for Education’s grants to Tuvalu (as a coordinating agent) and</w:t>
      </w:r>
    </w:p>
    <w:p w14:paraId="00B8C0FC" w14:textId="77777777" w:rsidR="00274FFC" w:rsidRPr="00953811" w:rsidRDefault="00274FFC" w:rsidP="00B32148">
      <w:pPr>
        <w:pStyle w:val="ListParagraph"/>
        <w:numPr>
          <w:ilvl w:val="0"/>
          <w:numId w:val="37"/>
        </w:numPr>
        <w:suppressAutoHyphens w:val="0"/>
        <w:autoSpaceDE/>
        <w:autoSpaceDN/>
        <w:adjustRightInd/>
        <w:spacing w:after="160" w:line="259" w:lineRule="auto"/>
        <w:ind w:left="709" w:hanging="349"/>
        <w:jc w:val="left"/>
        <w:textAlignment w:val="auto"/>
      </w:pPr>
      <w:r w:rsidRPr="00953811">
        <w:t>DFAT’s management of the Australian Aid program in Tuvalu.</w:t>
      </w:r>
    </w:p>
    <w:p w14:paraId="327F5FF9" w14:textId="77777777" w:rsidR="00274FFC" w:rsidRPr="00953811" w:rsidRDefault="00274FFC" w:rsidP="007A08F5">
      <w:pPr>
        <w:spacing w:before="240"/>
        <w:rPr>
          <w:b/>
          <w:bCs/>
        </w:rPr>
      </w:pPr>
      <w:r w:rsidRPr="00953811">
        <w:rPr>
          <w:b/>
          <w:bCs/>
        </w:rPr>
        <w:t>Key Questions for the Mid-Term Review</w:t>
      </w:r>
    </w:p>
    <w:p w14:paraId="5B919E16" w14:textId="77777777" w:rsidR="00274FFC" w:rsidRPr="00953811" w:rsidRDefault="00274FFC" w:rsidP="00274FFC">
      <w:pPr>
        <w:rPr>
          <w:u w:val="single"/>
        </w:rPr>
      </w:pPr>
      <w:r w:rsidRPr="00953811">
        <w:rPr>
          <w:i/>
          <w:iCs/>
          <w:u w:val="single"/>
        </w:rPr>
        <w:t>Relevance</w:t>
      </w:r>
    </w:p>
    <w:p w14:paraId="7C6A8888" w14:textId="77777777" w:rsidR="00274FFC" w:rsidRPr="006658D0" w:rsidRDefault="00274FFC" w:rsidP="00B32148">
      <w:pPr>
        <w:pStyle w:val="ListParagraph"/>
        <w:numPr>
          <w:ilvl w:val="0"/>
          <w:numId w:val="54"/>
        </w:numPr>
        <w:suppressAutoHyphens w:val="0"/>
        <w:autoSpaceDE/>
        <w:autoSpaceDN/>
        <w:adjustRightInd/>
        <w:spacing w:after="160" w:line="278" w:lineRule="auto"/>
        <w:jc w:val="left"/>
        <w:textAlignment w:val="auto"/>
        <w:rPr>
          <w:b/>
          <w:bCs/>
        </w:rPr>
      </w:pPr>
      <w:r w:rsidRPr="006658D0">
        <w:rPr>
          <w:b/>
          <w:bCs/>
        </w:rPr>
        <w:t>To what extent is the TAPQE Program engaged in appropriate interventions and activities within the context of the Tuvaluan education sector?</w:t>
      </w:r>
    </w:p>
    <w:p w14:paraId="1E04C1BE" w14:textId="77777777" w:rsidR="00274FFC" w:rsidRPr="00173E95"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rsidRPr="00173E95">
        <w:t>Are the key assumptions underpinning the program logic and theory of change still relevant? Do other factors need to be considered</w:t>
      </w:r>
      <w:r>
        <w:t xml:space="preserve"> to reflect the current Tuvalu education context and </w:t>
      </w:r>
      <w:r w:rsidRPr="00C01370">
        <w:t xml:space="preserve">Australia’s </w:t>
      </w:r>
      <w:r>
        <w:t xml:space="preserve">current </w:t>
      </w:r>
      <w:r w:rsidRPr="00C01370">
        <w:t>International Development Policy</w:t>
      </w:r>
      <w:r w:rsidRPr="00173E95">
        <w:t>?</w:t>
      </w:r>
    </w:p>
    <w:p w14:paraId="37896513" w14:textId="77777777" w:rsidR="00274FFC" w:rsidRPr="00842F0B"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t xml:space="preserve">To what extent does the </w:t>
      </w:r>
      <w:r w:rsidRPr="00757029">
        <w:t xml:space="preserve">Program </w:t>
      </w:r>
      <w:r>
        <w:t xml:space="preserve">align with TESP IV priorities, MEHRD </w:t>
      </w:r>
      <w:r w:rsidRPr="00757029">
        <w:t xml:space="preserve">priorities and </w:t>
      </w:r>
      <w:r>
        <w:t xml:space="preserve">with other partner programs? </w:t>
      </w:r>
    </w:p>
    <w:p w14:paraId="2CF75595" w14:textId="77777777" w:rsidR="00274FFC" w:rsidRPr="00757029"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t xml:space="preserve">How well is the </w:t>
      </w:r>
      <w:r w:rsidRPr="00757029">
        <w:t xml:space="preserve">Program </w:t>
      </w:r>
      <w:r>
        <w:t xml:space="preserve">aligned with the </w:t>
      </w:r>
      <w:r w:rsidRPr="00757029">
        <w:t>needs of the target beneficiaries?</w:t>
      </w:r>
    </w:p>
    <w:p w14:paraId="279AFA24" w14:textId="77777777" w:rsidR="00274FFC" w:rsidRPr="0097757E"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rsidRPr="00980EA1">
        <w:t xml:space="preserve">To what extent are localisation aspirations </w:t>
      </w:r>
      <w:r w:rsidRPr="0097757E">
        <w:t>being realised?</w:t>
      </w:r>
    </w:p>
    <w:p w14:paraId="7F7AF5B7" w14:textId="77777777" w:rsidR="00274FFC" w:rsidRPr="00757029"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t xml:space="preserve">How likely is it that Program benefits can be sustained? </w:t>
      </w:r>
      <w:r w:rsidRPr="00757029">
        <w:t xml:space="preserve"> </w:t>
      </w:r>
    </w:p>
    <w:p w14:paraId="2B3167FD" w14:textId="77777777" w:rsidR="00274FFC" w:rsidRPr="00953811" w:rsidRDefault="00274FFC" w:rsidP="00B32148">
      <w:pPr>
        <w:pStyle w:val="ListParagraph"/>
        <w:numPr>
          <w:ilvl w:val="0"/>
          <w:numId w:val="39"/>
        </w:numPr>
        <w:suppressAutoHyphens w:val="0"/>
        <w:autoSpaceDE/>
        <w:autoSpaceDN/>
        <w:adjustRightInd/>
        <w:spacing w:after="160" w:line="278" w:lineRule="auto"/>
        <w:ind w:left="818"/>
        <w:jc w:val="left"/>
        <w:textAlignment w:val="auto"/>
      </w:pPr>
      <w:r w:rsidRPr="00757029">
        <w:t xml:space="preserve">What opportunities are there </w:t>
      </w:r>
      <w:r>
        <w:t xml:space="preserve">for the </w:t>
      </w:r>
      <w:r w:rsidRPr="00757029">
        <w:t xml:space="preserve">mobility pathways </w:t>
      </w:r>
      <w:r>
        <w:t xml:space="preserve">provided through the </w:t>
      </w:r>
      <w:r w:rsidRPr="00757029">
        <w:t>Falepili Treaty</w:t>
      </w:r>
      <w:r>
        <w:t xml:space="preserve"> to contribute to enhancing the Tuvalu </w:t>
      </w:r>
      <w:r w:rsidRPr="00757029">
        <w:t>education sector and teaching workforce</w:t>
      </w:r>
      <w:r>
        <w:t xml:space="preserve">? What role might the </w:t>
      </w:r>
      <w:r w:rsidRPr="00757029">
        <w:t>Program</w:t>
      </w:r>
      <w:r>
        <w:t xml:space="preserve"> undertake</w:t>
      </w:r>
      <w:r w:rsidRPr="00757029">
        <w:t xml:space="preserve">? </w:t>
      </w:r>
    </w:p>
    <w:p w14:paraId="216F2E27" w14:textId="77777777" w:rsidR="00274FFC" w:rsidRPr="00953811" w:rsidRDefault="00274FFC" w:rsidP="00274FFC">
      <w:pPr>
        <w:rPr>
          <w:i/>
          <w:iCs/>
          <w:u w:val="single"/>
        </w:rPr>
      </w:pPr>
      <w:r w:rsidRPr="00953811">
        <w:rPr>
          <w:i/>
          <w:iCs/>
          <w:u w:val="single"/>
        </w:rPr>
        <w:t>Effectiveness</w:t>
      </w:r>
    </w:p>
    <w:p w14:paraId="414A4E75" w14:textId="77777777" w:rsidR="00274FFC" w:rsidRPr="00D153EE" w:rsidRDefault="00274FFC" w:rsidP="00B32148">
      <w:pPr>
        <w:pStyle w:val="ListParagraph"/>
        <w:numPr>
          <w:ilvl w:val="0"/>
          <w:numId w:val="54"/>
        </w:numPr>
        <w:suppressAutoHyphens w:val="0"/>
        <w:autoSpaceDE/>
        <w:autoSpaceDN/>
        <w:adjustRightInd/>
        <w:spacing w:after="160" w:line="278" w:lineRule="auto"/>
        <w:jc w:val="left"/>
        <w:textAlignment w:val="auto"/>
        <w:rPr>
          <w:b/>
          <w:bCs/>
        </w:rPr>
      </w:pPr>
      <w:r w:rsidRPr="00D153EE">
        <w:rPr>
          <w:b/>
          <w:bCs/>
        </w:rPr>
        <w:t xml:space="preserve">To what extent is the TAPQE Program on track to achieve its three </w:t>
      </w:r>
      <w:proofErr w:type="gramStart"/>
      <w:r w:rsidRPr="00D153EE">
        <w:rPr>
          <w:b/>
          <w:bCs/>
        </w:rPr>
        <w:t>end</w:t>
      </w:r>
      <w:proofErr w:type="gramEnd"/>
      <w:r w:rsidRPr="00D153EE">
        <w:rPr>
          <w:b/>
          <w:bCs/>
        </w:rPr>
        <w:t xml:space="preserve"> of program outcomes? </w:t>
      </w:r>
    </w:p>
    <w:p w14:paraId="5AB0B27F" w14:textId="77777777" w:rsidR="00274FFC" w:rsidRPr="008D2E0F" w:rsidRDefault="00274FFC" w:rsidP="00B32148">
      <w:pPr>
        <w:pStyle w:val="ListParagraph"/>
        <w:numPr>
          <w:ilvl w:val="1"/>
          <w:numId w:val="54"/>
        </w:numPr>
        <w:suppressAutoHyphens w:val="0"/>
        <w:autoSpaceDE/>
        <w:autoSpaceDN/>
        <w:adjustRightInd/>
        <w:spacing w:after="160" w:line="278" w:lineRule="auto"/>
        <w:jc w:val="left"/>
        <w:textAlignment w:val="auto"/>
      </w:pPr>
      <w:r w:rsidRPr="008D2E0F">
        <w:t xml:space="preserve">To what extent have program activities </w:t>
      </w:r>
      <w:r>
        <w:t xml:space="preserve">improved numeracy and literacy </w:t>
      </w:r>
      <w:r w:rsidRPr="008D2E0F">
        <w:t>outcomes for all learners?</w:t>
      </w:r>
    </w:p>
    <w:p w14:paraId="47BCA3BA" w14:textId="77777777" w:rsidR="00274FFC" w:rsidRPr="008D2E0F" w:rsidRDefault="00274FFC" w:rsidP="00B32148">
      <w:pPr>
        <w:pStyle w:val="ListParagraph"/>
        <w:numPr>
          <w:ilvl w:val="1"/>
          <w:numId w:val="54"/>
        </w:numPr>
        <w:suppressAutoHyphens w:val="0"/>
        <w:autoSpaceDE/>
        <w:autoSpaceDN/>
        <w:adjustRightInd/>
        <w:spacing w:after="160" w:line="278" w:lineRule="auto"/>
        <w:jc w:val="left"/>
        <w:textAlignment w:val="auto"/>
      </w:pPr>
      <w:r w:rsidRPr="008D2E0F">
        <w:t xml:space="preserve">To what extent </w:t>
      </w:r>
      <w:r>
        <w:t xml:space="preserve">is the </w:t>
      </w:r>
      <w:r w:rsidRPr="00FC13A6">
        <w:t>relevance and quality of secondary school teaching for pathways to employment and further education opportunities</w:t>
      </w:r>
      <w:r w:rsidRPr="008D2E0F">
        <w:t xml:space="preserve"> </w:t>
      </w:r>
      <w:r>
        <w:t>being improved for all students</w:t>
      </w:r>
      <w:r w:rsidRPr="008D2E0F">
        <w:t>?</w:t>
      </w:r>
    </w:p>
    <w:p w14:paraId="2AE1FE7F" w14:textId="77777777" w:rsidR="00274FFC" w:rsidRDefault="00274FFC" w:rsidP="00B32148">
      <w:pPr>
        <w:pStyle w:val="ListParagraph"/>
        <w:numPr>
          <w:ilvl w:val="1"/>
          <w:numId w:val="54"/>
        </w:numPr>
        <w:suppressAutoHyphens w:val="0"/>
        <w:autoSpaceDE/>
        <w:autoSpaceDN/>
        <w:adjustRightInd/>
        <w:spacing w:after="160" w:line="278" w:lineRule="auto"/>
        <w:jc w:val="left"/>
        <w:textAlignment w:val="auto"/>
      </w:pPr>
      <w:r w:rsidRPr="008D2E0F">
        <w:t xml:space="preserve">To what extent has the program </w:t>
      </w:r>
      <w:r>
        <w:t>strengthened</w:t>
      </w:r>
      <w:r w:rsidRPr="008D2E0F">
        <w:t xml:space="preserve"> MEHRD </w:t>
      </w:r>
      <w:r w:rsidRPr="0001099E">
        <w:t>personnel and systems so that service delivery is more inclusive, evidence-based and efficient</w:t>
      </w:r>
      <w:r>
        <w:t>?</w:t>
      </w:r>
      <w:r w:rsidRPr="00AA3957">
        <w:t xml:space="preserve"> </w:t>
      </w:r>
    </w:p>
    <w:p w14:paraId="3AED2581" w14:textId="77777777" w:rsidR="00274FFC" w:rsidRDefault="00274FFC" w:rsidP="00B32148">
      <w:pPr>
        <w:pStyle w:val="ListParagraph"/>
        <w:numPr>
          <w:ilvl w:val="1"/>
          <w:numId w:val="54"/>
        </w:numPr>
        <w:suppressAutoHyphens w:val="0"/>
        <w:autoSpaceDE/>
        <w:autoSpaceDN/>
        <w:adjustRightInd/>
        <w:spacing w:after="160" w:line="278" w:lineRule="auto"/>
        <w:jc w:val="left"/>
        <w:textAlignment w:val="auto"/>
      </w:pPr>
      <w:r w:rsidRPr="00580C45">
        <w:t xml:space="preserve">To what extent have </w:t>
      </w:r>
      <w:r>
        <w:t xml:space="preserve">the Program’s </w:t>
      </w:r>
      <w:r w:rsidRPr="00580C45">
        <w:t xml:space="preserve">GEDSI </w:t>
      </w:r>
      <w:r>
        <w:t xml:space="preserve">activities </w:t>
      </w:r>
      <w:r w:rsidRPr="00580C45">
        <w:t>been effective?</w:t>
      </w:r>
      <w:r>
        <w:t xml:space="preserve"> </w:t>
      </w:r>
    </w:p>
    <w:p w14:paraId="36C497C3" w14:textId="77777777" w:rsidR="00274FFC" w:rsidRPr="00953811" w:rsidRDefault="00274FFC" w:rsidP="00B32148">
      <w:pPr>
        <w:pStyle w:val="ListParagraph"/>
        <w:numPr>
          <w:ilvl w:val="1"/>
          <w:numId w:val="54"/>
        </w:numPr>
        <w:suppressAutoHyphens w:val="0"/>
        <w:autoSpaceDE/>
        <w:autoSpaceDN/>
        <w:adjustRightInd/>
        <w:spacing w:after="160" w:line="278" w:lineRule="auto"/>
        <w:jc w:val="left"/>
        <w:textAlignment w:val="auto"/>
      </w:pPr>
      <w:r w:rsidRPr="00690672">
        <w:t xml:space="preserve">To what extent have the </w:t>
      </w:r>
      <w:r>
        <w:t>Program’s</w:t>
      </w:r>
      <w:r w:rsidRPr="00690672">
        <w:t xml:space="preserve"> climate change activities </w:t>
      </w:r>
      <w:r>
        <w:t xml:space="preserve">been </w:t>
      </w:r>
      <w:r w:rsidRPr="00690672">
        <w:t>effective?</w:t>
      </w:r>
    </w:p>
    <w:p w14:paraId="2EFEDBC6" w14:textId="77777777" w:rsidR="00274FFC" w:rsidRPr="00953811" w:rsidRDefault="00274FFC" w:rsidP="00274FFC">
      <w:pPr>
        <w:rPr>
          <w:i/>
          <w:iCs/>
          <w:u w:val="single"/>
        </w:rPr>
      </w:pPr>
      <w:r w:rsidRPr="00953811">
        <w:rPr>
          <w:i/>
          <w:iCs/>
          <w:u w:val="single"/>
        </w:rPr>
        <w:t>Efficiency</w:t>
      </w:r>
    </w:p>
    <w:p w14:paraId="0241FCCC" w14:textId="77777777" w:rsidR="00274FFC" w:rsidRPr="00CA056A" w:rsidRDefault="00274FFC" w:rsidP="00B32148">
      <w:pPr>
        <w:pStyle w:val="ListParagraph"/>
        <w:numPr>
          <w:ilvl w:val="0"/>
          <w:numId w:val="54"/>
        </w:numPr>
        <w:suppressAutoHyphens w:val="0"/>
        <w:autoSpaceDE/>
        <w:autoSpaceDN/>
        <w:adjustRightInd/>
        <w:spacing w:after="160" w:line="259" w:lineRule="auto"/>
        <w:jc w:val="left"/>
        <w:textAlignment w:val="auto"/>
        <w:rPr>
          <w:b/>
          <w:bCs/>
        </w:rPr>
      </w:pPr>
      <w:r w:rsidRPr="00CA056A">
        <w:rPr>
          <w:b/>
          <w:bCs/>
        </w:rPr>
        <w:t>To what extent is the TAPQE Program using resources efficiently to achieve its End of Program Outcomes?</w:t>
      </w:r>
    </w:p>
    <w:p w14:paraId="388BC4A0" w14:textId="77777777" w:rsidR="00274FFC" w:rsidRPr="00D153EE" w:rsidRDefault="00274FFC" w:rsidP="00B32148">
      <w:pPr>
        <w:pStyle w:val="ListParagraph"/>
        <w:numPr>
          <w:ilvl w:val="1"/>
          <w:numId w:val="54"/>
        </w:numPr>
        <w:suppressAutoHyphens w:val="0"/>
        <w:autoSpaceDE/>
        <w:autoSpaceDN/>
        <w:adjustRightInd/>
        <w:spacing w:after="160" w:line="259" w:lineRule="auto"/>
        <w:jc w:val="left"/>
        <w:textAlignment w:val="auto"/>
      </w:pPr>
      <w:r w:rsidRPr="00D153EE">
        <w:t xml:space="preserve">How does the Program plan for and monitor the economic and timely delivery of program activities? </w:t>
      </w:r>
    </w:p>
    <w:p w14:paraId="6502EF8A" w14:textId="36DFDFBA" w:rsidR="00274FFC" w:rsidRPr="00D153EE" w:rsidRDefault="00274FFC" w:rsidP="00B32148">
      <w:pPr>
        <w:pStyle w:val="ListParagraph"/>
        <w:numPr>
          <w:ilvl w:val="1"/>
          <w:numId w:val="54"/>
        </w:numPr>
        <w:suppressAutoHyphens w:val="0"/>
        <w:autoSpaceDE/>
        <w:autoSpaceDN/>
        <w:adjustRightInd/>
        <w:spacing w:after="160" w:line="259" w:lineRule="auto"/>
        <w:jc w:val="left"/>
        <w:textAlignment w:val="auto"/>
      </w:pPr>
      <w:r w:rsidRPr="00D153EE">
        <w:t>How does the Program reflect on and, where appropriate, adjust its structure and</w:t>
      </w:r>
      <w:r w:rsidR="008821F8">
        <w:t>/</w:t>
      </w:r>
      <w:r w:rsidRPr="00D153EE">
        <w:t>or activities to improve the likelihood of achieving its End of Program Outcomes?</w:t>
      </w:r>
    </w:p>
    <w:p w14:paraId="3CAC6191" w14:textId="4596B01F" w:rsidR="00274FFC" w:rsidRPr="00D153EE" w:rsidRDefault="00274FFC" w:rsidP="00B32148">
      <w:pPr>
        <w:pStyle w:val="ListParagraph"/>
        <w:numPr>
          <w:ilvl w:val="1"/>
          <w:numId w:val="54"/>
        </w:numPr>
        <w:suppressAutoHyphens w:val="0"/>
        <w:autoSpaceDE/>
        <w:autoSpaceDN/>
        <w:adjustRightInd/>
        <w:spacing w:after="160" w:line="259" w:lineRule="auto"/>
        <w:jc w:val="left"/>
        <w:textAlignment w:val="auto"/>
      </w:pPr>
      <w:r w:rsidRPr="00D153EE">
        <w:t>How does the Program reflect on and, where appropriate, adjust its structure and</w:t>
      </w:r>
      <w:r w:rsidR="00C002D0">
        <w:t>/</w:t>
      </w:r>
      <w:r w:rsidRPr="00D153EE">
        <w:t>or activities to improve GEDSI and climate change activities, outputs and outcomes?</w:t>
      </w:r>
    </w:p>
    <w:p w14:paraId="3C27C8C0" w14:textId="77777777" w:rsidR="00274FFC" w:rsidRPr="00953811" w:rsidRDefault="00274FFC" w:rsidP="00DC6354">
      <w:pPr>
        <w:pStyle w:val="ListParagraph"/>
        <w:numPr>
          <w:ilvl w:val="0"/>
          <w:numId w:val="0"/>
        </w:numPr>
        <w:ind w:left="1134"/>
        <w:rPr>
          <w:color w:val="4472C4" w:themeColor="accent1"/>
        </w:rPr>
      </w:pPr>
    </w:p>
    <w:p w14:paraId="5D4D35C1" w14:textId="77777777" w:rsidR="00274FFC" w:rsidRPr="00953811" w:rsidRDefault="00274FFC" w:rsidP="00274FFC">
      <w:pPr>
        <w:rPr>
          <w:i/>
          <w:iCs/>
          <w:u w:val="single"/>
        </w:rPr>
      </w:pPr>
      <w:r w:rsidRPr="00953811">
        <w:rPr>
          <w:i/>
          <w:iCs/>
          <w:u w:val="single"/>
        </w:rPr>
        <w:t>Gender Equality and Social Inclusion (GEDSI) and Climate Change</w:t>
      </w:r>
    </w:p>
    <w:p w14:paraId="76141C4E" w14:textId="77777777" w:rsidR="00274FFC" w:rsidRPr="00476BE7" w:rsidRDefault="00274FFC" w:rsidP="00B32148">
      <w:pPr>
        <w:pStyle w:val="ListParagraph"/>
        <w:numPr>
          <w:ilvl w:val="0"/>
          <w:numId w:val="54"/>
        </w:numPr>
        <w:suppressAutoHyphens w:val="0"/>
        <w:autoSpaceDE/>
        <w:autoSpaceDN/>
        <w:adjustRightInd/>
        <w:spacing w:after="160" w:line="259" w:lineRule="auto"/>
        <w:jc w:val="left"/>
        <w:textAlignment w:val="auto"/>
        <w:rPr>
          <w:b/>
          <w:bCs/>
        </w:rPr>
      </w:pPr>
      <w:r w:rsidRPr="00476BE7">
        <w:rPr>
          <w:b/>
          <w:bCs/>
        </w:rPr>
        <w:lastRenderedPageBreak/>
        <w:t>To what extent are the TAPQE Program’s GEDSI and Climate Change ambitions, approaches and achievements adequate against program logic and design, and current DFAT policies?</w:t>
      </w:r>
    </w:p>
    <w:p w14:paraId="7C8ECB74" w14:textId="77777777" w:rsidR="00274FFC" w:rsidRPr="00953811" w:rsidRDefault="00274FFC" w:rsidP="00274FFC">
      <w:pPr>
        <w:rPr>
          <w:i/>
          <w:iCs/>
          <w:u w:val="single"/>
        </w:rPr>
      </w:pPr>
      <w:r w:rsidRPr="00953811">
        <w:rPr>
          <w:i/>
          <w:iCs/>
          <w:u w:val="single"/>
        </w:rPr>
        <w:t xml:space="preserve">Monitoring &amp; Evaluation </w:t>
      </w:r>
    </w:p>
    <w:p w14:paraId="0D20095F" w14:textId="77777777" w:rsidR="00274FFC" w:rsidRPr="00B91333" w:rsidRDefault="00274FFC" w:rsidP="00B32148">
      <w:pPr>
        <w:pStyle w:val="ListParagraph"/>
        <w:numPr>
          <w:ilvl w:val="0"/>
          <w:numId w:val="54"/>
        </w:numPr>
        <w:suppressAutoHyphens w:val="0"/>
        <w:autoSpaceDE/>
        <w:autoSpaceDN/>
        <w:adjustRightInd/>
        <w:spacing w:after="160" w:line="259" w:lineRule="auto"/>
        <w:jc w:val="left"/>
        <w:textAlignment w:val="auto"/>
        <w:rPr>
          <w:b/>
          <w:bCs/>
        </w:rPr>
      </w:pPr>
      <w:r w:rsidRPr="00B91333">
        <w:rPr>
          <w:b/>
          <w:bCs/>
        </w:rPr>
        <w:t xml:space="preserve">To what extent are the MEL arrangements fit for purpose? </w:t>
      </w:r>
    </w:p>
    <w:p w14:paraId="2114281A" w14:textId="77777777" w:rsidR="00274FFC" w:rsidRPr="00D4211B" w:rsidRDefault="00274FFC" w:rsidP="00B32148">
      <w:pPr>
        <w:pStyle w:val="ListParagraph"/>
        <w:numPr>
          <w:ilvl w:val="1"/>
          <w:numId w:val="54"/>
        </w:numPr>
        <w:suppressAutoHyphens w:val="0"/>
        <w:autoSpaceDE/>
        <w:autoSpaceDN/>
        <w:adjustRightInd/>
        <w:spacing w:after="160" w:line="259" w:lineRule="auto"/>
        <w:jc w:val="left"/>
        <w:textAlignment w:val="auto"/>
      </w:pPr>
      <w:r w:rsidRPr="00D4211B">
        <w:t>To what extent Is the TAPQE MEL Plan and Framework appropriate to monitor progress on the achievement of the Program’s intermediate and end of program outcomes?</w:t>
      </w:r>
    </w:p>
    <w:p w14:paraId="1D5335D4" w14:textId="77777777" w:rsidR="00274FFC" w:rsidRPr="00D4211B" w:rsidRDefault="00274FFC" w:rsidP="00B32148">
      <w:pPr>
        <w:pStyle w:val="ListParagraph"/>
        <w:numPr>
          <w:ilvl w:val="1"/>
          <w:numId w:val="54"/>
        </w:numPr>
        <w:suppressAutoHyphens w:val="0"/>
        <w:autoSpaceDE/>
        <w:autoSpaceDN/>
        <w:adjustRightInd/>
        <w:spacing w:after="160" w:line="259" w:lineRule="auto"/>
        <w:jc w:val="left"/>
        <w:textAlignment w:val="auto"/>
      </w:pPr>
      <w:r w:rsidRPr="00D4211B">
        <w:t>To what extent is the MEL system producing appropriate information products, including performance information that meets user information needs?</w:t>
      </w:r>
    </w:p>
    <w:p w14:paraId="1C44CB54" w14:textId="77777777" w:rsidR="00274FFC" w:rsidRPr="00953811" w:rsidRDefault="00274FFC" w:rsidP="00274FFC">
      <w:pPr>
        <w:rPr>
          <w:b/>
          <w:bCs/>
        </w:rPr>
      </w:pPr>
      <w:r w:rsidRPr="00953811">
        <w:rPr>
          <w:b/>
          <w:bCs/>
        </w:rPr>
        <w:t xml:space="preserve">Team Composition </w:t>
      </w:r>
    </w:p>
    <w:p w14:paraId="163909AB" w14:textId="77777777" w:rsidR="00274FFC" w:rsidRPr="00953811" w:rsidRDefault="00274FFC" w:rsidP="00274FFC">
      <w:r w:rsidRPr="00953811">
        <w:t xml:space="preserve">The Mid Term Review team will include the following: </w:t>
      </w:r>
    </w:p>
    <w:p w14:paraId="2534A8C9" w14:textId="77777777" w:rsidR="00274FFC" w:rsidRPr="00953811" w:rsidRDefault="00274FFC" w:rsidP="00B32148">
      <w:pPr>
        <w:pStyle w:val="ListParagraph"/>
        <w:numPr>
          <w:ilvl w:val="0"/>
          <w:numId w:val="35"/>
        </w:numPr>
        <w:suppressAutoHyphens w:val="0"/>
        <w:autoSpaceDE/>
        <w:autoSpaceDN/>
        <w:adjustRightInd/>
        <w:spacing w:after="160" w:line="259" w:lineRule="auto"/>
        <w:ind w:left="426" w:hanging="284"/>
        <w:jc w:val="left"/>
        <w:textAlignment w:val="auto"/>
      </w:pPr>
      <w:r w:rsidRPr="00953811">
        <w:t xml:space="preserve">An external independent education sector specialist (as team leader), with significant evaluation experience in the education sector in the Pacific or in a developing country context. The team leader will be responsible for drafting the MTR </w:t>
      </w:r>
      <w:proofErr w:type="gramStart"/>
      <w:r w:rsidRPr="00953811">
        <w:t>report;</w:t>
      </w:r>
      <w:proofErr w:type="gramEnd"/>
    </w:p>
    <w:p w14:paraId="703BDB51" w14:textId="696CAC50" w:rsidR="00274FFC" w:rsidRPr="00953811" w:rsidRDefault="00274FFC" w:rsidP="00B32148">
      <w:pPr>
        <w:pStyle w:val="ListParagraph"/>
        <w:numPr>
          <w:ilvl w:val="0"/>
          <w:numId w:val="35"/>
        </w:numPr>
        <w:suppressAutoHyphens w:val="0"/>
        <w:autoSpaceDE/>
        <w:autoSpaceDN/>
        <w:adjustRightInd/>
        <w:spacing w:after="160" w:line="259" w:lineRule="auto"/>
        <w:ind w:left="426" w:hanging="284"/>
        <w:jc w:val="left"/>
        <w:textAlignment w:val="auto"/>
      </w:pPr>
      <w:r w:rsidRPr="00953811">
        <w:t xml:space="preserve">An external MEL specialist with significant experience in the education sector in a developing country context – member (provide desk inputs of up to 12 days, working remotely). The MEL specialist will provide M&amp;E </w:t>
      </w:r>
      <w:r w:rsidR="00AB42FD" w:rsidRPr="00953811">
        <w:t>input</w:t>
      </w:r>
      <w:r w:rsidRPr="00953811">
        <w:t xml:space="preserve"> and will also have drafting responsibilities for the MTR Report as assigned by the Team Leader.</w:t>
      </w:r>
    </w:p>
    <w:p w14:paraId="4359AA63" w14:textId="77777777" w:rsidR="00274FFC" w:rsidRPr="00953811" w:rsidRDefault="00274FFC" w:rsidP="00B32148">
      <w:pPr>
        <w:pStyle w:val="ListParagraph"/>
        <w:numPr>
          <w:ilvl w:val="0"/>
          <w:numId w:val="35"/>
        </w:numPr>
        <w:suppressAutoHyphens w:val="0"/>
        <w:autoSpaceDE/>
        <w:autoSpaceDN/>
        <w:adjustRightInd/>
        <w:spacing w:after="160" w:line="259" w:lineRule="auto"/>
        <w:ind w:left="426" w:hanging="284"/>
        <w:jc w:val="left"/>
        <w:textAlignment w:val="auto"/>
      </w:pPr>
      <w:r w:rsidRPr="00953811">
        <w:t>An external GEDSI specialist with significant experience in the education sector in a developing country context – member (provide desk inputs of up to 12 days, working remotely)</w:t>
      </w:r>
      <w:r>
        <w:t xml:space="preserve">. </w:t>
      </w:r>
      <w:r w:rsidRPr="00953811">
        <w:t>The GEDSI specialist will provide GEDSI inputs and will also have drafting responsibilities for the MTR Report as assigned by the Team Leader</w:t>
      </w:r>
    </w:p>
    <w:p w14:paraId="61EA6A76" w14:textId="77777777" w:rsidR="00274FFC" w:rsidRPr="00953811" w:rsidRDefault="00274FFC" w:rsidP="00B32148">
      <w:pPr>
        <w:pStyle w:val="ListParagraph"/>
        <w:numPr>
          <w:ilvl w:val="0"/>
          <w:numId w:val="35"/>
        </w:numPr>
        <w:suppressAutoHyphens w:val="0"/>
        <w:autoSpaceDE/>
        <w:autoSpaceDN/>
        <w:adjustRightInd/>
        <w:spacing w:after="160" w:line="259" w:lineRule="auto"/>
        <w:ind w:left="426" w:hanging="284"/>
        <w:jc w:val="left"/>
        <w:textAlignment w:val="auto"/>
      </w:pPr>
      <w:r w:rsidRPr="00953811">
        <w:t xml:space="preserve">An education sector specialist (from DFAT Pacific Education Team, Canberra) – member. The DFAT representative on the team will also contribute to the MTR report. </w:t>
      </w:r>
    </w:p>
    <w:p w14:paraId="79030A2E" w14:textId="091B6D6E" w:rsidR="00274FFC" w:rsidRPr="00953811" w:rsidRDefault="00274FFC" w:rsidP="00274FFC">
      <w:r w:rsidRPr="00953811">
        <w:t xml:space="preserve">The Mid Term Review will be led by an externally engaged Team Leader and will complement support from education partners in Tuvalu (World Bank, UNICEF, </w:t>
      </w:r>
      <w:r w:rsidR="00A9279C" w:rsidRPr="00953811">
        <w:t>etc.</w:t>
      </w:r>
      <w:r w:rsidRPr="00953811">
        <w:t>). The Review team will be supported by Tuvalu Desk and Funafuti Post.</w:t>
      </w:r>
    </w:p>
    <w:p w14:paraId="04AA7456" w14:textId="20169553" w:rsidR="00274FFC" w:rsidRPr="00953811" w:rsidRDefault="00274FFC" w:rsidP="007A08F5">
      <w:pPr>
        <w:keepNext/>
        <w:spacing w:before="240"/>
        <w:rPr>
          <w:b/>
          <w:bCs/>
        </w:rPr>
      </w:pPr>
      <w:r w:rsidRPr="00953811">
        <w:rPr>
          <w:b/>
          <w:bCs/>
        </w:rPr>
        <w:t>Timeframe</w:t>
      </w:r>
    </w:p>
    <w:p w14:paraId="1A3DB0D4" w14:textId="7CE02DFF" w:rsidR="00274FFC" w:rsidRPr="00953811" w:rsidRDefault="00274FFC" w:rsidP="00274FFC">
      <w:r w:rsidRPr="00953811">
        <w:t xml:space="preserve">The Mid-term review will commence in January to March 2025, so that the TAPQE Investment Design Document can be </w:t>
      </w:r>
      <w:r w:rsidRPr="004537A4">
        <w:rPr>
          <w:lang w:val="en-AU"/>
        </w:rPr>
        <w:t>finalised</w:t>
      </w:r>
      <w:r w:rsidRPr="00953811">
        <w:t xml:space="preserve"> by </w:t>
      </w:r>
      <w:r w:rsidR="00C002D0">
        <w:t xml:space="preserve">the </w:t>
      </w:r>
      <w:r w:rsidRPr="00953811">
        <w:t xml:space="preserve">end </w:t>
      </w:r>
      <w:r w:rsidR="00C002D0">
        <w:t xml:space="preserve">of </w:t>
      </w:r>
      <w:r w:rsidRPr="00953811">
        <w:t>March 2025.</w:t>
      </w:r>
    </w:p>
    <w:p w14:paraId="4BB58796" w14:textId="7C41CBCE" w:rsidR="00274FFC" w:rsidRPr="00953811" w:rsidRDefault="00274FFC" w:rsidP="00274FFC">
      <w:r w:rsidRPr="00953811">
        <w:t xml:space="preserve">MEHRD and UNICEF are still finalising the Tuvalu Education Sector Analysis (ESA) report and the Tuvalu Education Sector Plan IV (TESP IV). DFAT will ensure that the review team has access to relevant MEHRD and UNICEF staff during the review period, to ensure the review recommendations </w:t>
      </w:r>
      <w:r w:rsidR="00AB42FD" w:rsidRPr="00953811">
        <w:t>are</w:t>
      </w:r>
      <w:r w:rsidRPr="00953811">
        <w:t xml:space="preserve"> in line with the priorities in the final TESP IV.  </w:t>
      </w:r>
    </w:p>
    <w:p w14:paraId="0E1F65C7" w14:textId="77777777" w:rsidR="00274FFC" w:rsidRPr="00953811" w:rsidRDefault="00274FFC" w:rsidP="00274FFC">
      <w:r w:rsidRPr="00953811">
        <w:t xml:space="preserve">The Mid-term review is expected to include the following activities: </w:t>
      </w:r>
    </w:p>
    <w:p w14:paraId="6AEABA35" w14:textId="7B7625D4" w:rsidR="00274FFC" w:rsidRPr="00953811" w:rsidRDefault="00274FFC" w:rsidP="00B32148">
      <w:pPr>
        <w:pStyle w:val="ListParagraph"/>
        <w:numPr>
          <w:ilvl w:val="0"/>
          <w:numId w:val="36"/>
        </w:numPr>
        <w:suppressAutoHyphens w:val="0"/>
        <w:autoSpaceDE/>
        <w:autoSpaceDN/>
        <w:adjustRightInd/>
        <w:spacing w:after="160" w:line="259" w:lineRule="auto"/>
        <w:jc w:val="left"/>
        <w:textAlignment w:val="auto"/>
      </w:pPr>
      <w:r w:rsidRPr="00953811">
        <w:t xml:space="preserve">Conduct a Desk Review of the draft TAPQE IDD and the draft TESP IV documents and analysis made available by Funafuti Post and make recommendations to ensure the TAPQE Program is aligned with the Australia Tuvalu Development Partnership Plan and TESP </w:t>
      </w:r>
      <w:proofErr w:type="gramStart"/>
      <w:r w:rsidRPr="00953811">
        <w:t>IV;</w:t>
      </w:r>
      <w:proofErr w:type="gramEnd"/>
      <w:r w:rsidRPr="00953811">
        <w:t xml:space="preserve"> </w:t>
      </w:r>
    </w:p>
    <w:p w14:paraId="0E74AFFB" w14:textId="40EF6F07" w:rsidR="00274FFC" w:rsidRPr="00953811" w:rsidRDefault="00274FFC" w:rsidP="00B32148">
      <w:pPr>
        <w:pStyle w:val="ListParagraph"/>
        <w:numPr>
          <w:ilvl w:val="0"/>
          <w:numId w:val="36"/>
        </w:numPr>
        <w:suppressAutoHyphens w:val="0"/>
        <w:autoSpaceDE/>
        <w:autoSpaceDN/>
        <w:adjustRightInd/>
        <w:spacing w:after="160" w:line="259" w:lineRule="auto"/>
        <w:jc w:val="left"/>
        <w:textAlignment w:val="auto"/>
      </w:pPr>
      <w:r w:rsidRPr="00953811">
        <w:t xml:space="preserve">Assess the TAPQE Program activities and determine what’s working </w:t>
      </w:r>
      <w:r w:rsidR="007A761C">
        <w:t xml:space="preserve">and </w:t>
      </w:r>
      <w:r w:rsidRPr="00953811">
        <w:t xml:space="preserve">what needs to be </w:t>
      </w:r>
      <w:proofErr w:type="gramStart"/>
      <w:r w:rsidRPr="00953811">
        <w:t>strengthened;</w:t>
      </w:r>
      <w:proofErr w:type="gramEnd"/>
      <w:r w:rsidRPr="00953811">
        <w:t xml:space="preserve"> </w:t>
      </w:r>
    </w:p>
    <w:p w14:paraId="0306C89D" w14:textId="51BAE255" w:rsidR="00274FFC" w:rsidRPr="00953811" w:rsidRDefault="00274FFC" w:rsidP="00B32148">
      <w:pPr>
        <w:pStyle w:val="ListParagraph"/>
        <w:numPr>
          <w:ilvl w:val="0"/>
          <w:numId w:val="36"/>
        </w:numPr>
        <w:suppressAutoHyphens w:val="0"/>
        <w:autoSpaceDE/>
        <w:autoSpaceDN/>
        <w:adjustRightInd/>
        <w:spacing w:after="160" w:line="259" w:lineRule="auto"/>
        <w:jc w:val="left"/>
        <w:textAlignment w:val="auto"/>
      </w:pPr>
      <w:r w:rsidRPr="00953811">
        <w:t>Conduct an in-country visit to Tuvalu (Funafuti) to meet with key stakeholders to validate findings and recommendations from (a) and (b) above; and</w:t>
      </w:r>
    </w:p>
    <w:p w14:paraId="364AF22C" w14:textId="146639F8" w:rsidR="00274FFC" w:rsidRPr="00953811" w:rsidRDefault="00274FFC" w:rsidP="00B32148">
      <w:pPr>
        <w:pStyle w:val="ListParagraph"/>
        <w:numPr>
          <w:ilvl w:val="0"/>
          <w:numId w:val="36"/>
        </w:numPr>
        <w:suppressAutoHyphens w:val="0"/>
        <w:autoSpaceDE/>
        <w:autoSpaceDN/>
        <w:adjustRightInd/>
        <w:spacing w:after="160" w:line="259" w:lineRule="auto"/>
        <w:jc w:val="left"/>
        <w:textAlignment w:val="auto"/>
      </w:pPr>
      <w:r w:rsidRPr="00953811">
        <w:t xml:space="preserve">make recommendations to DFAT on how identified issues can be addressed within the context of the TAPQE IDD (through an Addendum) </w:t>
      </w:r>
      <w:r>
        <w:t>to</w:t>
      </w:r>
      <w:r w:rsidRPr="00953811">
        <w:t xml:space="preserve"> </w:t>
      </w:r>
      <w:r>
        <w:t xml:space="preserve">maximise the chance </w:t>
      </w:r>
      <w:r w:rsidR="00AB42FD">
        <w:t xml:space="preserve">that </w:t>
      </w:r>
      <w:r w:rsidR="00AB42FD" w:rsidRPr="00953811">
        <w:t>the</w:t>
      </w:r>
      <w:r w:rsidRPr="00953811">
        <w:t xml:space="preserve"> TAPQE Program </w:t>
      </w:r>
      <w:r>
        <w:t xml:space="preserve">will </w:t>
      </w:r>
      <w:r w:rsidRPr="00953811">
        <w:t>achieve its end of program outcomes by 2026-27.</w:t>
      </w:r>
    </w:p>
    <w:p w14:paraId="7439523B" w14:textId="77777777" w:rsidR="00274FFC" w:rsidRPr="00953811" w:rsidRDefault="00274FFC" w:rsidP="00274FFC">
      <w:pPr>
        <w:pageBreakBefore/>
      </w:pPr>
      <w:r w:rsidRPr="00953811">
        <w:lastRenderedPageBreak/>
        <w:t xml:space="preserve">An Indicative timeline for the TAPQE Mid-Term Review is provided in the table below: </w:t>
      </w:r>
    </w:p>
    <w:tbl>
      <w:tblPr>
        <w:tblStyle w:val="TableGrid"/>
        <w:tblW w:w="0" w:type="auto"/>
        <w:tblLook w:val="0620" w:firstRow="1" w:lastRow="0" w:firstColumn="0" w:lastColumn="0" w:noHBand="1" w:noVBand="1"/>
      </w:tblPr>
      <w:tblGrid>
        <w:gridCol w:w="1374"/>
        <w:gridCol w:w="2318"/>
        <w:gridCol w:w="1196"/>
        <w:gridCol w:w="836"/>
        <w:gridCol w:w="1074"/>
        <w:gridCol w:w="1235"/>
        <w:gridCol w:w="1589"/>
      </w:tblGrid>
      <w:tr w:rsidR="00274FFC" w:rsidRPr="00953811" w14:paraId="5D485398" w14:textId="77777777" w:rsidTr="00DA0F21">
        <w:tc>
          <w:tcPr>
            <w:tcW w:w="1413" w:type="dxa"/>
            <w:shd w:val="clear" w:color="auto" w:fill="FBE4D5" w:themeFill="accent2" w:themeFillTint="33"/>
          </w:tcPr>
          <w:p w14:paraId="478A6FBA" w14:textId="480912F1" w:rsidR="00274FFC" w:rsidRPr="00953811" w:rsidRDefault="00287746" w:rsidP="001319EC">
            <w:pPr>
              <w:rPr>
                <w:b/>
                <w:bCs/>
              </w:rPr>
            </w:pPr>
            <w:r w:rsidRPr="00953811">
              <w:rPr>
                <w:b/>
                <w:bCs/>
              </w:rPr>
              <w:t>Indicative Dates</w:t>
            </w:r>
          </w:p>
        </w:tc>
        <w:tc>
          <w:tcPr>
            <w:tcW w:w="2410" w:type="dxa"/>
            <w:shd w:val="clear" w:color="auto" w:fill="FBE4D5" w:themeFill="accent2" w:themeFillTint="33"/>
          </w:tcPr>
          <w:p w14:paraId="24ED0EE2" w14:textId="252EA7DB" w:rsidR="00274FFC" w:rsidRPr="00953811" w:rsidRDefault="00287746" w:rsidP="001319EC">
            <w:pPr>
              <w:rPr>
                <w:b/>
                <w:bCs/>
              </w:rPr>
            </w:pPr>
            <w:r w:rsidRPr="00953811">
              <w:rPr>
                <w:b/>
                <w:bCs/>
              </w:rPr>
              <w:t>Activities</w:t>
            </w:r>
          </w:p>
        </w:tc>
        <w:tc>
          <w:tcPr>
            <w:tcW w:w="1226" w:type="dxa"/>
            <w:shd w:val="clear" w:color="auto" w:fill="FBE4D5" w:themeFill="accent2" w:themeFillTint="33"/>
          </w:tcPr>
          <w:p w14:paraId="3560C58D" w14:textId="12953968" w:rsidR="00274FFC" w:rsidRPr="00953811" w:rsidRDefault="00287746" w:rsidP="001319EC">
            <w:pPr>
              <w:rPr>
                <w:b/>
                <w:bCs/>
              </w:rPr>
            </w:pPr>
            <w:r w:rsidRPr="00953811">
              <w:rPr>
                <w:b/>
                <w:bCs/>
              </w:rPr>
              <w:t>Location</w:t>
            </w:r>
          </w:p>
        </w:tc>
        <w:tc>
          <w:tcPr>
            <w:tcW w:w="836" w:type="dxa"/>
            <w:shd w:val="clear" w:color="auto" w:fill="FBE4D5" w:themeFill="accent2" w:themeFillTint="33"/>
          </w:tcPr>
          <w:p w14:paraId="5C8776B5" w14:textId="2A7412FA" w:rsidR="00274FFC" w:rsidRPr="00953811" w:rsidRDefault="00274FFC" w:rsidP="001319EC">
            <w:pPr>
              <w:rPr>
                <w:b/>
                <w:bCs/>
              </w:rPr>
            </w:pPr>
            <w:r w:rsidRPr="00953811">
              <w:rPr>
                <w:b/>
                <w:bCs/>
              </w:rPr>
              <w:t>Team Leader</w:t>
            </w:r>
            <w:r w:rsidR="00287746">
              <w:rPr>
                <w:b/>
                <w:bCs/>
              </w:rPr>
              <w:t xml:space="preserve"> Days</w:t>
            </w:r>
          </w:p>
        </w:tc>
        <w:tc>
          <w:tcPr>
            <w:tcW w:w="1074" w:type="dxa"/>
            <w:shd w:val="clear" w:color="auto" w:fill="FBE4D5" w:themeFill="accent2" w:themeFillTint="33"/>
          </w:tcPr>
          <w:p w14:paraId="53E1D857" w14:textId="1043FD4F" w:rsidR="00274FFC" w:rsidRPr="00953811" w:rsidRDefault="00274FFC" w:rsidP="001319EC">
            <w:pPr>
              <w:jc w:val="center"/>
              <w:rPr>
                <w:b/>
                <w:bCs/>
              </w:rPr>
            </w:pPr>
            <w:r w:rsidRPr="00953811">
              <w:rPr>
                <w:b/>
                <w:bCs/>
              </w:rPr>
              <w:t>MEL Specialist</w:t>
            </w:r>
            <w:r w:rsidR="00287746">
              <w:rPr>
                <w:b/>
                <w:bCs/>
              </w:rPr>
              <w:t xml:space="preserve"> Days</w:t>
            </w:r>
          </w:p>
        </w:tc>
        <w:tc>
          <w:tcPr>
            <w:tcW w:w="1258" w:type="dxa"/>
            <w:shd w:val="clear" w:color="auto" w:fill="FBE4D5" w:themeFill="accent2" w:themeFillTint="33"/>
          </w:tcPr>
          <w:p w14:paraId="1A35729A" w14:textId="19BF2FE3" w:rsidR="00274FFC" w:rsidRPr="00953811" w:rsidRDefault="00274FFC" w:rsidP="001319EC">
            <w:pPr>
              <w:jc w:val="center"/>
              <w:rPr>
                <w:b/>
                <w:bCs/>
              </w:rPr>
            </w:pPr>
            <w:r w:rsidRPr="00953811">
              <w:rPr>
                <w:b/>
                <w:bCs/>
              </w:rPr>
              <w:t>GEDSI Specialist</w:t>
            </w:r>
            <w:r w:rsidR="00287746">
              <w:rPr>
                <w:b/>
                <w:bCs/>
              </w:rPr>
              <w:t xml:space="preserve"> Days</w:t>
            </w:r>
          </w:p>
        </w:tc>
        <w:tc>
          <w:tcPr>
            <w:tcW w:w="1405" w:type="dxa"/>
            <w:shd w:val="clear" w:color="auto" w:fill="FBE4D5" w:themeFill="accent2" w:themeFillTint="33"/>
          </w:tcPr>
          <w:p w14:paraId="0F7A2E21" w14:textId="4E3CDC84" w:rsidR="00274FFC" w:rsidRPr="00953811" w:rsidRDefault="00274FFC" w:rsidP="001319EC">
            <w:pPr>
              <w:jc w:val="center"/>
              <w:rPr>
                <w:b/>
                <w:bCs/>
              </w:rPr>
            </w:pPr>
            <w:r w:rsidRPr="00953811">
              <w:rPr>
                <w:b/>
                <w:bCs/>
              </w:rPr>
              <w:t>DFAT Representative</w:t>
            </w:r>
            <w:r w:rsidR="00287746">
              <w:rPr>
                <w:b/>
                <w:bCs/>
              </w:rPr>
              <w:t xml:space="preserve"> Days</w:t>
            </w:r>
          </w:p>
        </w:tc>
      </w:tr>
      <w:tr w:rsidR="00274FFC" w:rsidRPr="00953811" w14:paraId="205C195F" w14:textId="77777777" w:rsidTr="00DA0F21">
        <w:tc>
          <w:tcPr>
            <w:tcW w:w="1413" w:type="dxa"/>
          </w:tcPr>
          <w:p w14:paraId="3ABBE37B" w14:textId="77777777" w:rsidR="00274FFC" w:rsidRPr="00953811" w:rsidRDefault="00274FFC" w:rsidP="001319EC">
            <w:r w:rsidRPr="00953811">
              <w:t>6 Jan 2025</w:t>
            </w:r>
          </w:p>
        </w:tc>
        <w:tc>
          <w:tcPr>
            <w:tcW w:w="2410" w:type="dxa"/>
          </w:tcPr>
          <w:p w14:paraId="4CD417A2" w14:textId="058AD469" w:rsidR="00274FFC" w:rsidRPr="00953811" w:rsidRDefault="00274FFC" w:rsidP="001319EC">
            <w:r w:rsidRPr="00953811">
              <w:t xml:space="preserve">DFAT/AHC verbal briefing with the Review team (Teams meeting online) to cover the background, key issues, and priorities for the MTR. </w:t>
            </w:r>
          </w:p>
        </w:tc>
        <w:tc>
          <w:tcPr>
            <w:tcW w:w="1226" w:type="dxa"/>
          </w:tcPr>
          <w:p w14:paraId="7F9B861A" w14:textId="77777777" w:rsidR="00274FFC" w:rsidRPr="00953811" w:rsidRDefault="00274FFC" w:rsidP="001319EC">
            <w:r w:rsidRPr="00953811">
              <w:t>Online</w:t>
            </w:r>
          </w:p>
        </w:tc>
        <w:tc>
          <w:tcPr>
            <w:tcW w:w="836" w:type="dxa"/>
          </w:tcPr>
          <w:p w14:paraId="0C749500" w14:textId="77777777" w:rsidR="00274FFC" w:rsidRPr="00953811" w:rsidRDefault="00274FFC" w:rsidP="001319EC">
            <w:r w:rsidRPr="00953811">
              <w:t>1</w:t>
            </w:r>
          </w:p>
        </w:tc>
        <w:tc>
          <w:tcPr>
            <w:tcW w:w="1074" w:type="dxa"/>
          </w:tcPr>
          <w:p w14:paraId="6F84D6B9" w14:textId="77777777" w:rsidR="00274FFC" w:rsidRPr="00953811" w:rsidRDefault="00274FFC" w:rsidP="001319EC">
            <w:r w:rsidRPr="00953811">
              <w:t>1</w:t>
            </w:r>
          </w:p>
        </w:tc>
        <w:tc>
          <w:tcPr>
            <w:tcW w:w="1258" w:type="dxa"/>
          </w:tcPr>
          <w:p w14:paraId="562E5A1D" w14:textId="77777777" w:rsidR="00274FFC" w:rsidRPr="00953811" w:rsidRDefault="00274FFC" w:rsidP="001319EC">
            <w:r w:rsidRPr="00953811">
              <w:t>1</w:t>
            </w:r>
          </w:p>
        </w:tc>
        <w:tc>
          <w:tcPr>
            <w:tcW w:w="1405" w:type="dxa"/>
          </w:tcPr>
          <w:p w14:paraId="05441812" w14:textId="320B9C46" w:rsidR="00274FFC" w:rsidRPr="00953811" w:rsidRDefault="00274FFC" w:rsidP="007A08F5">
            <w:r w:rsidRPr="00953811">
              <w:t>1</w:t>
            </w:r>
          </w:p>
        </w:tc>
      </w:tr>
      <w:tr w:rsidR="00274FFC" w:rsidRPr="00953811" w14:paraId="3A440442" w14:textId="77777777" w:rsidTr="00DA0F21">
        <w:tc>
          <w:tcPr>
            <w:tcW w:w="1413" w:type="dxa"/>
          </w:tcPr>
          <w:p w14:paraId="08461926" w14:textId="77777777" w:rsidR="00274FFC" w:rsidRPr="00953811" w:rsidRDefault="00274FFC" w:rsidP="001319EC">
            <w:r w:rsidRPr="00953811">
              <w:t xml:space="preserve">6 – 11 January 2025 </w:t>
            </w:r>
          </w:p>
        </w:tc>
        <w:tc>
          <w:tcPr>
            <w:tcW w:w="2410" w:type="dxa"/>
          </w:tcPr>
          <w:p w14:paraId="043F6CCC" w14:textId="77777777" w:rsidR="00274FFC" w:rsidRPr="00953811" w:rsidRDefault="00274FFC" w:rsidP="001319EC">
            <w:r w:rsidRPr="00953811">
              <w:t>Desk Review – team leader</w:t>
            </w:r>
          </w:p>
          <w:p w14:paraId="23284316" w14:textId="073D2D14" w:rsidR="00274FFC" w:rsidRPr="00953811" w:rsidRDefault="00274FFC" w:rsidP="001319EC">
            <w:r w:rsidRPr="00953811">
              <w:t>(</w:t>
            </w:r>
            <w:proofErr w:type="gramStart"/>
            <w:r w:rsidRPr="00953811">
              <w:rPr>
                <w:i/>
                <w:iCs/>
              </w:rPr>
              <w:t>also</w:t>
            </w:r>
            <w:proofErr w:type="gramEnd"/>
            <w:r w:rsidRPr="00953811">
              <w:rPr>
                <w:i/>
                <w:iCs/>
              </w:rPr>
              <w:t xml:space="preserve"> MEL specialist and GEDSI specialist – remote inputs</w:t>
            </w:r>
            <w:r w:rsidRPr="00953811">
              <w:t xml:space="preserve">) </w:t>
            </w:r>
          </w:p>
        </w:tc>
        <w:tc>
          <w:tcPr>
            <w:tcW w:w="1226" w:type="dxa"/>
          </w:tcPr>
          <w:p w14:paraId="5AA27A82" w14:textId="77777777" w:rsidR="00274FFC" w:rsidRPr="00953811" w:rsidRDefault="00274FFC" w:rsidP="001319EC">
            <w:r w:rsidRPr="00953811">
              <w:t>Home-base</w:t>
            </w:r>
          </w:p>
        </w:tc>
        <w:tc>
          <w:tcPr>
            <w:tcW w:w="836" w:type="dxa"/>
          </w:tcPr>
          <w:p w14:paraId="66F5FE80" w14:textId="0276EA52" w:rsidR="00274FFC" w:rsidRPr="00953811" w:rsidRDefault="00274FFC" w:rsidP="007A08F5">
            <w:r w:rsidRPr="00953811">
              <w:t>6</w:t>
            </w:r>
          </w:p>
        </w:tc>
        <w:tc>
          <w:tcPr>
            <w:tcW w:w="1074" w:type="dxa"/>
          </w:tcPr>
          <w:p w14:paraId="06315D7A" w14:textId="77777777" w:rsidR="00274FFC" w:rsidRPr="00953811" w:rsidRDefault="00274FFC" w:rsidP="001319EC">
            <w:r w:rsidRPr="00953811">
              <w:t>4</w:t>
            </w:r>
          </w:p>
        </w:tc>
        <w:tc>
          <w:tcPr>
            <w:tcW w:w="1258" w:type="dxa"/>
          </w:tcPr>
          <w:p w14:paraId="2EDBD728" w14:textId="77777777" w:rsidR="00274FFC" w:rsidRPr="00953811" w:rsidRDefault="00274FFC" w:rsidP="001319EC">
            <w:r w:rsidRPr="00953811">
              <w:t>4</w:t>
            </w:r>
          </w:p>
        </w:tc>
        <w:tc>
          <w:tcPr>
            <w:tcW w:w="1405" w:type="dxa"/>
          </w:tcPr>
          <w:p w14:paraId="42D9D819" w14:textId="77777777" w:rsidR="00274FFC" w:rsidRPr="00953811" w:rsidRDefault="00274FFC" w:rsidP="001319EC">
            <w:r w:rsidRPr="00953811">
              <w:t>4</w:t>
            </w:r>
          </w:p>
        </w:tc>
      </w:tr>
      <w:tr w:rsidR="00274FFC" w:rsidRPr="00953811" w14:paraId="38C249E4" w14:textId="77777777" w:rsidTr="00DA0F21">
        <w:tc>
          <w:tcPr>
            <w:tcW w:w="1413" w:type="dxa"/>
          </w:tcPr>
          <w:p w14:paraId="5E643543" w14:textId="77777777" w:rsidR="00274FFC" w:rsidRPr="00953811" w:rsidRDefault="00274FFC" w:rsidP="001319EC">
            <w:r w:rsidRPr="00953811">
              <w:t>22 January 2025</w:t>
            </w:r>
          </w:p>
        </w:tc>
        <w:tc>
          <w:tcPr>
            <w:tcW w:w="2410" w:type="dxa"/>
          </w:tcPr>
          <w:p w14:paraId="7BDCFDF0" w14:textId="3356B764" w:rsidR="00274FFC" w:rsidRPr="00641898" w:rsidRDefault="00274FFC" w:rsidP="00641898">
            <w:pPr>
              <w:pStyle w:val="ListParagraph"/>
              <w:numPr>
                <w:ilvl w:val="0"/>
                <w:numId w:val="84"/>
              </w:numPr>
              <w:ind w:left="314" w:hanging="283"/>
            </w:pPr>
            <w:r w:rsidRPr="00953811">
              <w:t xml:space="preserve">Desk review meeting with DFAT to discuss early observations from desk review </w:t>
            </w:r>
          </w:p>
          <w:p w14:paraId="6BB2C473" w14:textId="5D0A5141" w:rsidR="00274FFC" w:rsidRPr="00641898" w:rsidRDefault="00274FFC" w:rsidP="001319EC">
            <w:pPr>
              <w:pStyle w:val="ListParagraph"/>
              <w:numPr>
                <w:ilvl w:val="0"/>
                <w:numId w:val="84"/>
              </w:numPr>
              <w:ind w:left="314" w:hanging="283"/>
            </w:pPr>
            <w:r w:rsidRPr="00953811">
              <w:t xml:space="preserve">Submit Evaluation plan (including consultation plans for the in-country visit) </w:t>
            </w:r>
          </w:p>
        </w:tc>
        <w:tc>
          <w:tcPr>
            <w:tcW w:w="1226" w:type="dxa"/>
          </w:tcPr>
          <w:p w14:paraId="442754EE" w14:textId="77777777" w:rsidR="00274FFC" w:rsidRPr="00953811" w:rsidRDefault="00274FFC" w:rsidP="001319EC">
            <w:r w:rsidRPr="00953811">
              <w:t>Home base</w:t>
            </w:r>
          </w:p>
        </w:tc>
        <w:tc>
          <w:tcPr>
            <w:tcW w:w="836" w:type="dxa"/>
          </w:tcPr>
          <w:p w14:paraId="33F210B1" w14:textId="77777777" w:rsidR="00274FFC" w:rsidRPr="00953811" w:rsidRDefault="00274FFC" w:rsidP="001319EC">
            <w:r w:rsidRPr="00953811">
              <w:t>3</w:t>
            </w:r>
          </w:p>
        </w:tc>
        <w:tc>
          <w:tcPr>
            <w:tcW w:w="1074" w:type="dxa"/>
          </w:tcPr>
          <w:p w14:paraId="68773528" w14:textId="77777777" w:rsidR="00274FFC" w:rsidRPr="00953811" w:rsidRDefault="00274FFC" w:rsidP="001319EC">
            <w:r w:rsidRPr="00953811">
              <w:t>2</w:t>
            </w:r>
          </w:p>
        </w:tc>
        <w:tc>
          <w:tcPr>
            <w:tcW w:w="1258" w:type="dxa"/>
          </w:tcPr>
          <w:p w14:paraId="403F3E16" w14:textId="77777777" w:rsidR="00274FFC" w:rsidRPr="00953811" w:rsidRDefault="00274FFC" w:rsidP="001319EC">
            <w:r w:rsidRPr="00953811">
              <w:t>2</w:t>
            </w:r>
          </w:p>
        </w:tc>
        <w:tc>
          <w:tcPr>
            <w:tcW w:w="1405" w:type="dxa"/>
          </w:tcPr>
          <w:p w14:paraId="553DA3D0" w14:textId="77777777" w:rsidR="00274FFC" w:rsidRPr="00953811" w:rsidRDefault="00274FFC" w:rsidP="001319EC">
            <w:r w:rsidRPr="00953811">
              <w:t>2</w:t>
            </w:r>
          </w:p>
        </w:tc>
      </w:tr>
      <w:tr w:rsidR="00274FFC" w:rsidRPr="00953811" w14:paraId="1D4A3CD0" w14:textId="77777777" w:rsidTr="00DA0F21">
        <w:tc>
          <w:tcPr>
            <w:tcW w:w="1413" w:type="dxa"/>
          </w:tcPr>
          <w:p w14:paraId="109975D0" w14:textId="77777777" w:rsidR="00274FFC" w:rsidRPr="00953811" w:rsidRDefault="00274FFC" w:rsidP="001319EC">
            <w:r w:rsidRPr="00953811">
              <w:t>week of 27</w:t>
            </w:r>
            <w:r w:rsidRPr="00953811">
              <w:rPr>
                <w:vertAlign w:val="superscript"/>
              </w:rPr>
              <w:t>th</w:t>
            </w:r>
            <w:r w:rsidRPr="00953811">
              <w:t xml:space="preserve"> Jan </w:t>
            </w:r>
          </w:p>
        </w:tc>
        <w:tc>
          <w:tcPr>
            <w:tcW w:w="2410" w:type="dxa"/>
          </w:tcPr>
          <w:p w14:paraId="6A497910" w14:textId="77777777" w:rsidR="00274FFC" w:rsidRPr="00953811" w:rsidRDefault="00274FFC" w:rsidP="001319EC">
            <w:r w:rsidRPr="00953811">
              <w:t>In-country visit to Tuvalu</w:t>
            </w:r>
          </w:p>
        </w:tc>
        <w:tc>
          <w:tcPr>
            <w:tcW w:w="1226" w:type="dxa"/>
          </w:tcPr>
          <w:p w14:paraId="1FB6461D" w14:textId="77777777" w:rsidR="00274FFC" w:rsidRPr="00953811" w:rsidRDefault="00274FFC" w:rsidP="001319EC">
            <w:r w:rsidRPr="00953811">
              <w:t>Tuvalu</w:t>
            </w:r>
          </w:p>
        </w:tc>
        <w:tc>
          <w:tcPr>
            <w:tcW w:w="836" w:type="dxa"/>
          </w:tcPr>
          <w:p w14:paraId="2EAC7E35" w14:textId="77777777" w:rsidR="00274FFC" w:rsidRPr="00953811" w:rsidRDefault="00274FFC" w:rsidP="001319EC">
            <w:r w:rsidRPr="00953811">
              <w:t>5</w:t>
            </w:r>
          </w:p>
        </w:tc>
        <w:tc>
          <w:tcPr>
            <w:tcW w:w="1074" w:type="dxa"/>
          </w:tcPr>
          <w:p w14:paraId="2A728F85" w14:textId="1C7FDB40" w:rsidR="00274FFC" w:rsidRPr="00953811" w:rsidRDefault="006A155F" w:rsidP="001319EC">
            <w:r>
              <w:t>0</w:t>
            </w:r>
          </w:p>
        </w:tc>
        <w:tc>
          <w:tcPr>
            <w:tcW w:w="1258" w:type="dxa"/>
          </w:tcPr>
          <w:p w14:paraId="07F8BA1C" w14:textId="700AF42C" w:rsidR="00274FFC" w:rsidRPr="00953811" w:rsidRDefault="006A155F" w:rsidP="001319EC">
            <w:r>
              <w:t>0</w:t>
            </w:r>
          </w:p>
        </w:tc>
        <w:tc>
          <w:tcPr>
            <w:tcW w:w="1405" w:type="dxa"/>
          </w:tcPr>
          <w:p w14:paraId="6C088103" w14:textId="77777777" w:rsidR="00274FFC" w:rsidRPr="00953811" w:rsidRDefault="00274FFC" w:rsidP="001319EC">
            <w:r w:rsidRPr="00953811">
              <w:t>5</w:t>
            </w:r>
          </w:p>
        </w:tc>
      </w:tr>
      <w:tr w:rsidR="00274FFC" w:rsidRPr="00953811" w14:paraId="29FA9BB1" w14:textId="77777777" w:rsidTr="00DA0F21">
        <w:tc>
          <w:tcPr>
            <w:tcW w:w="1413" w:type="dxa"/>
          </w:tcPr>
          <w:p w14:paraId="440BC09E" w14:textId="77777777" w:rsidR="00274FFC" w:rsidRPr="00953811" w:rsidRDefault="00274FFC" w:rsidP="001319EC">
            <w:r w:rsidRPr="00953811">
              <w:t>22 Feb</w:t>
            </w:r>
          </w:p>
        </w:tc>
        <w:tc>
          <w:tcPr>
            <w:tcW w:w="2410" w:type="dxa"/>
          </w:tcPr>
          <w:p w14:paraId="3DF15A3D" w14:textId="1984FA8C" w:rsidR="00274FFC" w:rsidRPr="00953811" w:rsidRDefault="00274FFC" w:rsidP="001319EC">
            <w:r w:rsidRPr="00953811">
              <w:t>Draft MTR Report (including Addendum on the TAPQE IDD revisions)</w:t>
            </w:r>
          </w:p>
        </w:tc>
        <w:tc>
          <w:tcPr>
            <w:tcW w:w="1226" w:type="dxa"/>
          </w:tcPr>
          <w:p w14:paraId="6F1F9D31" w14:textId="77777777" w:rsidR="00274FFC" w:rsidRPr="00953811" w:rsidRDefault="00274FFC" w:rsidP="001319EC">
            <w:r w:rsidRPr="00953811">
              <w:t>Home base</w:t>
            </w:r>
          </w:p>
        </w:tc>
        <w:tc>
          <w:tcPr>
            <w:tcW w:w="836" w:type="dxa"/>
          </w:tcPr>
          <w:p w14:paraId="2ADE4222" w14:textId="77777777" w:rsidR="00274FFC" w:rsidRPr="00953811" w:rsidRDefault="00274FFC" w:rsidP="001319EC">
            <w:r w:rsidRPr="00953811">
              <w:t>10</w:t>
            </w:r>
          </w:p>
        </w:tc>
        <w:tc>
          <w:tcPr>
            <w:tcW w:w="1074" w:type="dxa"/>
          </w:tcPr>
          <w:p w14:paraId="2B9BEA65" w14:textId="77777777" w:rsidR="00274FFC" w:rsidRPr="00953811" w:rsidRDefault="00274FFC" w:rsidP="001319EC">
            <w:r w:rsidRPr="00953811">
              <w:t>3</w:t>
            </w:r>
          </w:p>
        </w:tc>
        <w:tc>
          <w:tcPr>
            <w:tcW w:w="1258" w:type="dxa"/>
          </w:tcPr>
          <w:p w14:paraId="177BE894" w14:textId="77777777" w:rsidR="00274FFC" w:rsidRPr="00953811" w:rsidRDefault="00274FFC" w:rsidP="001319EC">
            <w:r w:rsidRPr="00953811">
              <w:t>3</w:t>
            </w:r>
          </w:p>
        </w:tc>
        <w:tc>
          <w:tcPr>
            <w:tcW w:w="1405" w:type="dxa"/>
          </w:tcPr>
          <w:p w14:paraId="07963EF9" w14:textId="77777777" w:rsidR="00274FFC" w:rsidRPr="00953811" w:rsidRDefault="00274FFC" w:rsidP="001319EC">
            <w:r w:rsidRPr="00953811">
              <w:t>6</w:t>
            </w:r>
          </w:p>
        </w:tc>
      </w:tr>
      <w:tr w:rsidR="00274FFC" w:rsidRPr="00953811" w14:paraId="32B5C130" w14:textId="77777777" w:rsidTr="00FF4F98">
        <w:tc>
          <w:tcPr>
            <w:tcW w:w="1413" w:type="dxa"/>
            <w:tcBorders>
              <w:bottom w:val="single" w:sz="4" w:space="0" w:color="000000" w:themeColor="text1"/>
            </w:tcBorders>
          </w:tcPr>
          <w:p w14:paraId="0E33A8D9" w14:textId="77777777" w:rsidR="00274FFC" w:rsidRPr="00953811" w:rsidRDefault="00274FFC" w:rsidP="001319EC">
            <w:r w:rsidRPr="00953811">
              <w:t xml:space="preserve">17 March </w:t>
            </w:r>
          </w:p>
        </w:tc>
        <w:tc>
          <w:tcPr>
            <w:tcW w:w="2410" w:type="dxa"/>
            <w:tcBorders>
              <w:bottom w:val="single" w:sz="4" w:space="0" w:color="000000" w:themeColor="text1"/>
            </w:tcBorders>
          </w:tcPr>
          <w:p w14:paraId="6EE1549C" w14:textId="77777777" w:rsidR="00274FFC" w:rsidRPr="00953811" w:rsidRDefault="00274FFC" w:rsidP="001319EC">
            <w:r w:rsidRPr="00953811">
              <w:t>Final Report</w:t>
            </w:r>
          </w:p>
        </w:tc>
        <w:tc>
          <w:tcPr>
            <w:tcW w:w="1226" w:type="dxa"/>
            <w:tcBorders>
              <w:bottom w:val="single" w:sz="4" w:space="0" w:color="000000" w:themeColor="text1"/>
            </w:tcBorders>
          </w:tcPr>
          <w:p w14:paraId="5577E553" w14:textId="77777777" w:rsidR="00274FFC" w:rsidRPr="00953811" w:rsidRDefault="00274FFC" w:rsidP="001319EC">
            <w:r w:rsidRPr="00953811">
              <w:t>Home Base</w:t>
            </w:r>
          </w:p>
        </w:tc>
        <w:tc>
          <w:tcPr>
            <w:tcW w:w="836" w:type="dxa"/>
          </w:tcPr>
          <w:p w14:paraId="73A57658" w14:textId="77777777" w:rsidR="00274FFC" w:rsidRPr="00953811" w:rsidRDefault="00274FFC" w:rsidP="001319EC">
            <w:r w:rsidRPr="00953811">
              <w:t>3</w:t>
            </w:r>
          </w:p>
        </w:tc>
        <w:tc>
          <w:tcPr>
            <w:tcW w:w="1074" w:type="dxa"/>
          </w:tcPr>
          <w:p w14:paraId="2DB9FBF7" w14:textId="77777777" w:rsidR="00274FFC" w:rsidRPr="00953811" w:rsidRDefault="00274FFC" w:rsidP="001319EC">
            <w:r w:rsidRPr="00953811">
              <w:t>2</w:t>
            </w:r>
          </w:p>
        </w:tc>
        <w:tc>
          <w:tcPr>
            <w:tcW w:w="1258" w:type="dxa"/>
          </w:tcPr>
          <w:p w14:paraId="5303FF15" w14:textId="77777777" w:rsidR="00274FFC" w:rsidRPr="00953811" w:rsidRDefault="00274FFC" w:rsidP="001319EC">
            <w:r w:rsidRPr="00953811">
              <w:t>2</w:t>
            </w:r>
          </w:p>
        </w:tc>
        <w:tc>
          <w:tcPr>
            <w:tcW w:w="1405" w:type="dxa"/>
          </w:tcPr>
          <w:p w14:paraId="5B5DA5FD" w14:textId="77777777" w:rsidR="00274FFC" w:rsidRPr="00953811" w:rsidRDefault="00274FFC" w:rsidP="001319EC">
            <w:r w:rsidRPr="00953811">
              <w:t>2</w:t>
            </w:r>
          </w:p>
        </w:tc>
      </w:tr>
      <w:tr w:rsidR="00641898" w:rsidRPr="00953811" w14:paraId="564D90A4" w14:textId="77777777" w:rsidTr="00FF4F98">
        <w:tc>
          <w:tcPr>
            <w:tcW w:w="1413" w:type="dxa"/>
            <w:tcBorders>
              <w:top w:val="single" w:sz="4" w:space="0" w:color="000000" w:themeColor="text1"/>
              <w:left w:val="single" w:sz="4" w:space="0" w:color="000000" w:themeColor="text1"/>
              <w:bottom w:val="single" w:sz="4" w:space="0" w:color="000000" w:themeColor="text1"/>
              <w:right w:val="nil"/>
            </w:tcBorders>
            <w:shd w:val="clear" w:color="auto" w:fill="FBE4D5" w:themeFill="accent2" w:themeFillTint="33"/>
          </w:tcPr>
          <w:p w14:paraId="2A712104" w14:textId="5D2BB175" w:rsidR="00641898" w:rsidRPr="00990AC0" w:rsidRDefault="00FF4F98" w:rsidP="001319EC">
            <w:pPr>
              <w:jc w:val="center"/>
              <w:rPr>
                <w:b/>
                <w:bCs/>
                <w:highlight w:val="yellow"/>
              </w:rPr>
            </w:pPr>
            <w:r>
              <w:rPr>
                <w:b/>
                <w:bCs/>
              </w:rPr>
              <w:t>TOTAL</w:t>
            </w:r>
          </w:p>
        </w:tc>
        <w:tc>
          <w:tcPr>
            <w:tcW w:w="2410" w:type="dxa"/>
            <w:tcBorders>
              <w:top w:val="single" w:sz="4" w:space="0" w:color="000000" w:themeColor="text1"/>
              <w:left w:val="nil"/>
              <w:bottom w:val="single" w:sz="4" w:space="0" w:color="000000" w:themeColor="text1"/>
              <w:right w:val="nil"/>
            </w:tcBorders>
            <w:shd w:val="clear" w:color="auto" w:fill="FBE4D5" w:themeFill="accent2" w:themeFillTint="33"/>
          </w:tcPr>
          <w:p w14:paraId="057E5394" w14:textId="6713BDBD" w:rsidR="00641898" w:rsidRPr="00990AC0" w:rsidRDefault="00FF4F98" w:rsidP="001319EC">
            <w:pPr>
              <w:jc w:val="center"/>
              <w:rPr>
                <w:b/>
                <w:bCs/>
                <w:highlight w:val="yellow"/>
              </w:rPr>
            </w:pPr>
            <w:r>
              <w:rPr>
                <w:b/>
                <w:bCs/>
              </w:rPr>
              <w:t>excluding travel days</w:t>
            </w:r>
          </w:p>
        </w:tc>
        <w:tc>
          <w:tcPr>
            <w:tcW w:w="1226" w:type="dxa"/>
            <w:tcBorders>
              <w:top w:val="single" w:sz="4" w:space="0" w:color="000000" w:themeColor="text1"/>
              <w:left w:val="nil"/>
              <w:bottom w:val="single" w:sz="4" w:space="0" w:color="000000" w:themeColor="text1"/>
              <w:right w:val="single" w:sz="4" w:space="0" w:color="000000" w:themeColor="text1"/>
            </w:tcBorders>
            <w:shd w:val="clear" w:color="auto" w:fill="FBE4D5" w:themeFill="accent2" w:themeFillTint="33"/>
          </w:tcPr>
          <w:p w14:paraId="69D9E179" w14:textId="59DB57C7" w:rsidR="00641898" w:rsidRPr="00953811" w:rsidRDefault="00B4429E" w:rsidP="00B4429E">
            <w:pPr>
              <w:jc w:val="center"/>
              <w:rPr>
                <w:b/>
                <w:bCs/>
              </w:rPr>
            </w:pPr>
            <w:r>
              <w:rPr>
                <w:b/>
                <w:bCs/>
              </w:rPr>
              <w:t>-</w:t>
            </w:r>
          </w:p>
        </w:tc>
        <w:tc>
          <w:tcPr>
            <w:tcW w:w="836" w:type="dxa"/>
            <w:tcBorders>
              <w:left w:val="single" w:sz="4" w:space="0" w:color="000000" w:themeColor="text1"/>
            </w:tcBorders>
            <w:shd w:val="clear" w:color="auto" w:fill="FBE4D5" w:themeFill="accent2" w:themeFillTint="33"/>
          </w:tcPr>
          <w:p w14:paraId="66ABC502" w14:textId="77777777" w:rsidR="00641898" w:rsidRPr="00953811" w:rsidRDefault="00641898" w:rsidP="001319EC">
            <w:pPr>
              <w:rPr>
                <w:b/>
                <w:bCs/>
              </w:rPr>
            </w:pPr>
            <w:r w:rsidRPr="00953811">
              <w:rPr>
                <w:b/>
                <w:bCs/>
              </w:rPr>
              <w:t>28 days</w:t>
            </w:r>
          </w:p>
        </w:tc>
        <w:tc>
          <w:tcPr>
            <w:tcW w:w="1074" w:type="dxa"/>
            <w:shd w:val="clear" w:color="auto" w:fill="FBE4D5" w:themeFill="accent2" w:themeFillTint="33"/>
          </w:tcPr>
          <w:p w14:paraId="66B1DDB4" w14:textId="77777777" w:rsidR="00641898" w:rsidRPr="00953811" w:rsidRDefault="00641898" w:rsidP="001319EC">
            <w:pPr>
              <w:rPr>
                <w:b/>
                <w:bCs/>
              </w:rPr>
            </w:pPr>
            <w:r w:rsidRPr="00953811">
              <w:rPr>
                <w:b/>
                <w:bCs/>
              </w:rPr>
              <w:t>12 days</w:t>
            </w:r>
          </w:p>
        </w:tc>
        <w:tc>
          <w:tcPr>
            <w:tcW w:w="1258" w:type="dxa"/>
            <w:shd w:val="clear" w:color="auto" w:fill="FBE4D5" w:themeFill="accent2" w:themeFillTint="33"/>
          </w:tcPr>
          <w:p w14:paraId="50932585" w14:textId="77777777" w:rsidR="00641898" w:rsidRPr="00953811" w:rsidRDefault="00641898" w:rsidP="001319EC">
            <w:pPr>
              <w:rPr>
                <w:b/>
                <w:bCs/>
              </w:rPr>
            </w:pPr>
            <w:r w:rsidRPr="00953811">
              <w:rPr>
                <w:b/>
                <w:bCs/>
              </w:rPr>
              <w:t>12 days</w:t>
            </w:r>
          </w:p>
        </w:tc>
        <w:tc>
          <w:tcPr>
            <w:tcW w:w="1405" w:type="dxa"/>
            <w:shd w:val="clear" w:color="auto" w:fill="FBE4D5" w:themeFill="accent2" w:themeFillTint="33"/>
          </w:tcPr>
          <w:p w14:paraId="38134512" w14:textId="77777777" w:rsidR="00641898" w:rsidRPr="00953811" w:rsidRDefault="00641898" w:rsidP="001319EC">
            <w:pPr>
              <w:rPr>
                <w:b/>
                <w:bCs/>
              </w:rPr>
            </w:pPr>
            <w:r w:rsidRPr="00953811">
              <w:rPr>
                <w:b/>
                <w:bCs/>
              </w:rPr>
              <w:t>20 days</w:t>
            </w:r>
          </w:p>
        </w:tc>
      </w:tr>
    </w:tbl>
    <w:p w14:paraId="7B92699E" w14:textId="77777777" w:rsidR="00274FFC" w:rsidRPr="00953811" w:rsidRDefault="00274FFC" w:rsidP="007A08F5">
      <w:pPr>
        <w:spacing w:before="240"/>
        <w:rPr>
          <w:b/>
          <w:bCs/>
        </w:rPr>
      </w:pPr>
      <w:r w:rsidRPr="00953811">
        <w:rPr>
          <w:b/>
          <w:bCs/>
        </w:rPr>
        <w:t xml:space="preserve">Consultations </w:t>
      </w:r>
    </w:p>
    <w:p w14:paraId="3AEAD41A" w14:textId="3C832A3F" w:rsidR="00274FFC" w:rsidRPr="00953811" w:rsidRDefault="00274FFC" w:rsidP="00274FFC">
      <w:r w:rsidRPr="00953811">
        <w:t>The mid-term review team will consult closely with key education partners in Tuvalu in their various roles as school system managers and Tuvalu Ministry of Education and Human Resources Development to reflect their unique delivery contexts and local expertise.</w:t>
      </w:r>
    </w:p>
    <w:p w14:paraId="5DD7AD1B" w14:textId="0EF89067" w:rsidR="00274FFC" w:rsidRPr="00953811" w:rsidRDefault="00274FFC" w:rsidP="00274FFC">
      <w:r w:rsidRPr="00953811">
        <w:t xml:space="preserve">The Review team will consult widely with stakeholders, including teachers, school leaders, support staff, education unions and nongovernment sector stakeholders, parents, youth and student bodies and other key stakeholder groups. Staff from the Australian High Commission in Tuvalu will work closely with the Review team to schedule meetings with the relevant stakeholders. </w:t>
      </w:r>
    </w:p>
    <w:p w14:paraId="3618BF79" w14:textId="77777777" w:rsidR="00274FFC" w:rsidRPr="00953811" w:rsidRDefault="00274FFC" w:rsidP="00274FFC">
      <w:pPr>
        <w:rPr>
          <w:b/>
          <w:bCs/>
        </w:rPr>
      </w:pPr>
      <w:r w:rsidRPr="00953811">
        <w:rPr>
          <w:b/>
          <w:bCs/>
        </w:rPr>
        <w:t>Reports</w:t>
      </w:r>
    </w:p>
    <w:p w14:paraId="6E76568D" w14:textId="77777777" w:rsidR="00274FFC" w:rsidRPr="00953811" w:rsidRDefault="00274FFC" w:rsidP="00274FFC">
      <w:r w:rsidRPr="00953811">
        <w:t xml:space="preserve">The Mid-term review team will provide the following reports to DFAT: </w:t>
      </w:r>
    </w:p>
    <w:p w14:paraId="6714CC7C" w14:textId="6F316FE7" w:rsidR="007B485C" w:rsidRPr="00953811" w:rsidRDefault="007B485C" w:rsidP="00251A3C">
      <w:pPr>
        <w:pStyle w:val="ListParagraph"/>
        <w:numPr>
          <w:ilvl w:val="0"/>
          <w:numId w:val="81"/>
        </w:numPr>
        <w:tabs>
          <w:tab w:val="left" w:pos="4621"/>
        </w:tabs>
        <w:jc w:val="left"/>
      </w:pPr>
      <w:r w:rsidRPr="00953811">
        <w:lastRenderedPageBreak/>
        <w:t>Summary Report of Desk Review findings</w:t>
      </w:r>
      <w:r w:rsidR="00251A3C">
        <w:t xml:space="preserve"> – </w:t>
      </w:r>
      <w:r w:rsidRPr="00953811">
        <w:tab/>
        <w:t>22 January 2025</w:t>
      </w:r>
    </w:p>
    <w:p w14:paraId="23F59680" w14:textId="5F91D2AB" w:rsidR="007B485C" w:rsidRPr="00953811" w:rsidRDefault="007B485C" w:rsidP="00251A3C">
      <w:pPr>
        <w:pStyle w:val="ListParagraph"/>
        <w:numPr>
          <w:ilvl w:val="0"/>
          <w:numId w:val="81"/>
        </w:numPr>
        <w:tabs>
          <w:tab w:val="left" w:pos="4621"/>
        </w:tabs>
        <w:jc w:val="left"/>
      </w:pPr>
      <w:r w:rsidRPr="00953811">
        <w:t>Draft Evaluation Plan (including consultation plans for the in-country visit)</w:t>
      </w:r>
      <w:r w:rsidR="00275CC4">
        <w:t xml:space="preserve"> – </w:t>
      </w:r>
      <w:r w:rsidRPr="00953811">
        <w:t>23 January 2025</w:t>
      </w:r>
    </w:p>
    <w:p w14:paraId="1F9B8418" w14:textId="75DBAF72" w:rsidR="007B485C" w:rsidRPr="00953811" w:rsidRDefault="007B485C" w:rsidP="00251A3C">
      <w:pPr>
        <w:pStyle w:val="ListParagraph"/>
        <w:numPr>
          <w:ilvl w:val="0"/>
          <w:numId w:val="81"/>
        </w:numPr>
        <w:tabs>
          <w:tab w:val="left" w:pos="4621"/>
        </w:tabs>
        <w:jc w:val="left"/>
      </w:pPr>
      <w:r w:rsidRPr="00953811">
        <w:t>Aide Memoir and debrief with Funafuti Post (during in-country visit)</w:t>
      </w:r>
      <w:r w:rsidR="00275CC4">
        <w:t xml:space="preserve"> – </w:t>
      </w:r>
      <w:r w:rsidRPr="00953811">
        <w:t>First week of February 2025 (dates TBC)</w:t>
      </w:r>
    </w:p>
    <w:p w14:paraId="7AC7D976" w14:textId="10F6852B" w:rsidR="007B485C" w:rsidRPr="00953811" w:rsidRDefault="007B485C" w:rsidP="002C1304">
      <w:pPr>
        <w:pStyle w:val="ListParagraph"/>
        <w:numPr>
          <w:ilvl w:val="0"/>
          <w:numId w:val="81"/>
        </w:numPr>
        <w:tabs>
          <w:tab w:val="left" w:pos="4621"/>
        </w:tabs>
        <w:jc w:val="left"/>
      </w:pPr>
      <w:r w:rsidRPr="00953811">
        <w:t>Draft MTR Report (including Addendum on the changes to be made to the TAPQE IDD)</w:t>
      </w:r>
      <w:r w:rsidR="00275CC4">
        <w:t xml:space="preserve"> – </w:t>
      </w:r>
      <w:r w:rsidRPr="00953811">
        <w:t>22 February 2025</w:t>
      </w:r>
    </w:p>
    <w:p w14:paraId="5FEE6D37" w14:textId="5AA45620" w:rsidR="007B485C" w:rsidRPr="00953811" w:rsidRDefault="007B485C" w:rsidP="00251A3C">
      <w:pPr>
        <w:pStyle w:val="ListParagraph"/>
        <w:numPr>
          <w:ilvl w:val="0"/>
          <w:numId w:val="81"/>
        </w:numPr>
        <w:tabs>
          <w:tab w:val="left" w:pos="4621"/>
        </w:tabs>
        <w:jc w:val="left"/>
      </w:pPr>
      <w:r w:rsidRPr="00953811">
        <w:t>Final MTR Report (including the Addendum on the proposed changes to the TAPQE IDD</w:t>
      </w:r>
      <w:r>
        <w:t>)</w:t>
      </w:r>
      <w:r w:rsidR="002C1304">
        <w:t xml:space="preserve"> – </w:t>
      </w:r>
      <w:r w:rsidRPr="00953811">
        <w:t>17 March 2025</w:t>
      </w:r>
    </w:p>
    <w:p w14:paraId="5FB28554" w14:textId="77777777" w:rsidR="00274FFC" w:rsidRPr="00953811" w:rsidRDefault="00274FFC" w:rsidP="007A08F5">
      <w:pPr>
        <w:spacing w:before="240"/>
      </w:pPr>
      <w:r w:rsidRPr="00953811">
        <w:t>The mid-term review final report and management response will be published on the DFAT website (in accordance with DFAT’s Development Evaluation Policy) and must meet DFAT’s Design and Monitoring, Evaluation and Learning standards.</w:t>
      </w:r>
    </w:p>
    <w:p w14:paraId="5EB1C553" w14:textId="77777777" w:rsidR="00274FFC" w:rsidRPr="00953811" w:rsidRDefault="00274FFC" w:rsidP="00274FFC">
      <w:pPr>
        <w:rPr>
          <w:b/>
          <w:bCs/>
        </w:rPr>
      </w:pPr>
      <w:r w:rsidRPr="00953811">
        <w:rPr>
          <w:b/>
          <w:bCs/>
        </w:rPr>
        <w:t xml:space="preserve">Key Documents to </w:t>
      </w:r>
      <w:proofErr w:type="gramStart"/>
      <w:r w:rsidRPr="00953811">
        <w:rPr>
          <w:b/>
          <w:bCs/>
        </w:rPr>
        <w:t>inform</w:t>
      </w:r>
      <w:proofErr w:type="gramEnd"/>
      <w:r w:rsidRPr="00953811">
        <w:rPr>
          <w:b/>
          <w:bCs/>
        </w:rPr>
        <w:t xml:space="preserve"> the Mid-term Review</w:t>
      </w:r>
    </w:p>
    <w:p w14:paraId="64EBEAE0"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TAPQE draft Investment Design Document and Annexures</w:t>
      </w:r>
    </w:p>
    <w:p w14:paraId="499E7887"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TAPQE Workplans and Annual Reports</w:t>
      </w:r>
    </w:p>
    <w:p w14:paraId="5F82B51F"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IMR Report for TAPQE (both DFAT and Managing Contractor’s feedback)</w:t>
      </w:r>
    </w:p>
    <w:p w14:paraId="346B5D8C"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TESP IV (current draft)</w:t>
      </w:r>
    </w:p>
    <w:p w14:paraId="15F0A44C"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 xml:space="preserve">Tuvalu Partnership Compact </w:t>
      </w:r>
    </w:p>
    <w:p w14:paraId="4BDBA251"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Tuvalu Education Sector Analysis</w:t>
      </w:r>
    </w:p>
    <w:p w14:paraId="43EEEBCC"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 xml:space="preserve">Tuvalu Education – Enabling Factor Analysis </w:t>
      </w:r>
    </w:p>
    <w:p w14:paraId="3FD8B9F1"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TuLEP Mid-Term Review Report</w:t>
      </w:r>
    </w:p>
    <w:p w14:paraId="78621B4E"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Australia – Tuvalu Development Partnership Plan</w:t>
      </w:r>
    </w:p>
    <w:p w14:paraId="66BE677C" w14:textId="77777777" w:rsidR="00274FFC" w:rsidRPr="00953811" w:rsidRDefault="00274FFC" w:rsidP="00B32148">
      <w:pPr>
        <w:pStyle w:val="ListParagraph"/>
        <w:numPr>
          <w:ilvl w:val="0"/>
          <w:numId w:val="32"/>
        </w:numPr>
        <w:suppressAutoHyphens w:val="0"/>
        <w:autoSpaceDE/>
        <w:autoSpaceDN/>
        <w:adjustRightInd/>
        <w:spacing w:after="160" w:line="259" w:lineRule="auto"/>
        <w:jc w:val="left"/>
        <w:textAlignment w:val="auto"/>
      </w:pPr>
      <w:r w:rsidRPr="00953811">
        <w:t>Falepili Treaty</w:t>
      </w:r>
    </w:p>
    <w:p w14:paraId="39408B11" w14:textId="77777777" w:rsidR="00274FFC" w:rsidRDefault="00274FFC" w:rsidP="00274FFC">
      <w:r>
        <w:br w:type="page"/>
      </w:r>
    </w:p>
    <w:p w14:paraId="7C23CBFC" w14:textId="77777777" w:rsidR="00274FFC" w:rsidRPr="007460D1" w:rsidRDefault="00274FFC" w:rsidP="00274FFC">
      <w:pPr>
        <w:rPr>
          <w:b/>
          <w:bCs/>
          <w:sz w:val="28"/>
          <w:szCs w:val="28"/>
          <w:u w:val="single"/>
        </w:rPr>
      </w:pPr>
      <w:r w:rsidRPr="007460D1">
        <w:rPr>
          <w:b/>
          <w:bCs/>
          <w:sz w:val="28"/>
          <w:szCs w:val="28"/>
          <w:u w:val="single"/>
        </w:rPr>
        <w:lastRenderedPageBreak/>
        <w:t>ANNEX 1: Draft Summary of TESP IV Outcomes, Objectives and Strategies</w:t>
      </w:r>
    </w:p>
    <w:p w14:paraId="04558753" w14:textId="77777777" w:rsidR="00274FFC" w:rsidRDefault="00274FFC" w:rsidP="00274FFC">
      <w:r>
        <w:t>The current final draft version of TESP IV has the following outcomes and objectives:</w:t>
      </w:r>
    </w:p>
    <w:p w14:paraId="728730F4" w14:textId="30CA9EC9" w:rsidR="00274FFC" w:rsidRPr="00274FFC" w:rsidRDefault="00274FFC" w:rsidP="00274FFC">
      <w:pPr>
        <w:suppressAutoHyphens w:val="0"/>
        <w:autoSpaceDE/>
        <w:autoSpaceDN/>
        <w:adjustRightInd/>
        <w:spacing w:after="160" w:line="259" w:lineRule="auto"/>
        <w:jc w:val="left"/>
        <w:textAlignment w:val="auto"/>
      </w:pPr>
      <w:r w:rsidRPr="00274FFC">
        <w:rPr>
          <w:b/>
          <w:bCs/>
          <w:i/>
          <w:iCs/>
        </w:rPr>
        <w:t>Outcome 1: Equitable access, participation, retention and inclusive education</w:t>
      </w:r>
      <w:r>
        <w:t xml:space="preserve">: All children and youth in </w:t>
      </w:r>
      <w:r w:rsidR="00FF3495">
        <w:t>Tuvalu,</w:t>
      </w:r>
      <w:r>
        <w:t xml:space="preserve"> regardless of their geographical location, gender, socio-economic status or special education needs, have equitable access to quality education and the necessary support systems to achieve retention and successful completion of their educational journey. </w:t>
      </w:r>
    </w:p>
    <w:tbl>
      <w:tblPr>
        <w:tblStyle w:val="TableGrid"/>
        <w:tblW w:w="0" w:type="auto"/>
        <w:tblInd w:w="765" w:type="dxa"/>
        <w:tblLook w:val="0620" w:firstRow="1" w:lastRow="0" w:firstColumn="0" w:lastColumn="0" w:noHBand="1" w:noVBand="1"/>
      </w:tblPr>
      <w:tblGrid>
        <w:gridCol w:w="4427"/>
        <w:gridCol w:w="4430"/>
      </w:tblGrid>
      <w:tr w:rsidR="00274FFC" w14:paraId="0B6BD1EC" w14:textId="77777777" w:rsidTr="00990AC0">
        <w:trPr>
          <w:tblHeader/>
        </w:trPr>
        <w:tc>
          <w:tcPr>
            <w:tcW w:w="4508" w:type="dxa"/>
            <w:shd w:val="clear" w:color="auto" w:fill="FBE4D5" w:themeFill="accent2" w:themeFillTint="33"/>
          </w:tcPr>
          <w:p w14:paraId="476DE5B8" w14:textId="77777777" w:rsidR="00274FFC" w:rsidRPr="00F602BE" w:rsidRDefault="00274FFC" w:rsidP="001319EC">
            <w:pPr>
              <w:pStyle w:val="ListParagraph"/>
              <w:ind w:left="0"/>
              <w:rPr>
                <w:b/>
                <w:bCs/>
              </w:rPr>
            </w:pPr>
            <w:r w:rsidRPr="00F602BE">
              <w:rPr>
                <w:b/>
                <w:bCs/>
              </w:rPr>
              <w:t>Outcome 1 - Objectives</w:t>
            </w:r>
          </w:p>
        </w:tc>
        <w:tc>
          <w:tcPr>
            <w:tcW w:w="4508" w:type="dxa"/>
            <w:shd w:val="clear" w:color="auto" w:fill="FBE4D5" w:themeFill="accent2" w:themeFillTint="33"/>
          </w:tcPr>
          <w:p w14:paraId="5E129F08" w14:textId="77777777" w:rsidR="00274FFC" w:rsidRPr="00F602BE" w:rsidRDefault="00274FFC" w:rsidP="001319EC">
            <w:pPr>
              <w:pStyle w:val="ListParagraph"/>
              <w:ind w:left="0"/>
              <w:rPr>
                <w:b/>
                <w:bCs/>
              </w:rPr>
            </w:pPr>
            <w:r w:rsidRPr="00F602BE">
              <w:rPr>
                <w:b/>
                <w:bCs/>
              </w:rPr>
              <w:t>Outcome 1 - Strategies</w:t>
            </w:r>
          </w:p>
        </w:tc>
      </w:tr>
      <w:tr w:rsidR="00274FFC" w14:paraId="1BE9CF06" w14:textId="77777777" w:rsidTr="00990AC0">
        <w:tc>
          <w:tcPr>
            <w:tcW w:w="4508" w:type="dxa"/>
          </w:tcPr>
          <w:p w14:paraId="4261004F" w14:textId="77777777" w:rsidR="00274FFC" w:rsidRPr="00F602BE" w:rsidRDefault="00274FFC" w:rsidP="00B32148">
            <w:pPr>
              <w:pStyle w:val="ListParagraph"/>
              <w:numPr>
                <w:ilvl w:val="0"/>
                <w:numId w:val="34"/>
              </w:numPr>
              <w:suppressAutoHyphens w:val="0"/>
              <w:autoSpaceDE/>
              <w:autoSpaceDN/>
              <w:adjustRightInd/>
              <w:spacing w:line="240" w:lineRule="auto"/>
              <w:ind w:left="249" w:hanging="283"/>
              <w:jc w:val="left"/>
              <w:textAlignment w:val="auto"/>
            </w:pPr>
            <w:r w:rsidRPr="00F602BE">
              <w:rPr>
                <w:i/>
                <w:iCs/>
              </w:rPr>
              <w:t>Access to</w:t>
            </w:r>
            <w:r>
              <w:rPr>
                <w:i/>
                <w:iCs/>
              </w:rPr>
              <w:t xml:space="preserve"> education is equitable at all islands despite geographic disparities.</w:t>
            </w:r>
          </w:p>
          <w:p w14:paraId="1E55ABAC" w14:textId="77777777" w:rsidR="00274FFC" w:rsidRDefault="00274FFC" w:rsidP="001319EC">
            <w:pPr>
              <w:pStyle w:val="ListParagraph"/>
              <w:ind w:left="0"/>
            </w:pPr>
          </w:p>
        </w:tc>
        <w:tc>
          <w:tcPr>
            <w:tcW w:w="4508" w:type="dxa"/>
          </w:tcPr>
          <w:p w14:paraId="57A79836"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Improve school connectivity and technology infrastructure – improve school connectivity bandwidth and provide ICT infrastructure to allow students and teachers to benefit from digital learning and training.</w:t>
            </w:r>
          </w:p>
          <w:p w14:paraId="53872855"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distance learning programs – develop a distance learning platform and implement remote learning solutions for students and teachers to bridge the geographic divide.</w:t>
            </w:r>
          </w:p>
          <w:p w14:paraId="0323211F"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Improve transportation infrastructure – for students on the larger islands, ensure their access to school is not impeded by lack of sufficient transportation infrastructure</w:t>
            </w:r>
          </w:p>
          <w:p w14:paraId="75BA4660"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Address overcrowding in Funafuti primary schools – noting that potential overcrowding in schools could also be impacted through the mobility pathways (Pacific Engagement Visa, Falepili, NZ Pacific Access Migration pathways, etc.</w:t>
            </w:r>
          </w:p>
          <w:p w14:paraId="310EB2B0" w14:textId="4594D1A9" w:rsidR="00274FFC" w:rsidRPr="00990AC0" w:rsidRDefault="00274FFC" w:rsidP="00990AC0">
            <w:pPr>
              <w:pStyle w:val="ListParagraph"/>
              <w:numPr>
                <w:ilvl w:val="0"/>
                <w:numId w:val="33"/>
              </w:numPr>
              <w:suppressAutoHyphens w:val="0"/>
              <w:autoSpaceDE/>
              <w:autoSpaceDN/>
              <w:adjustRightInd/>
              <w:spacing w:line="240" w:lineRule="auto"/>
              <w:ind w:left="206" w:hanging="206"/>
              <w:jc w:val="left"/>
              <w:textAlignment w:val="auto"/>
            </w:pPr>
            <w:r>
              <w:t>develop infrastructure and assign additional teaching staff to address overcrowding in affected schools.</w:t>
            </w:r>
          </w:p>
        </w:tc>
      </w:tr>
      <w:tr w:rsidR="00274FFC" w14:paraId="79C87305" w14:textId="77777777" w:rsidTr="00990AC0">
        <w:tc>
          <w:tcPr>
            <w:tcW w:w="4508" w:type="dxa"/>
          </w:tcPr>
          <w:p w14:paraId="73B7DEC9" w14:textId="77777777" w:rsidR="00274FFC" w:rsidRPr="00F602BE" w:rsidRDefault="00274FFC" w:rsidP="00B32148">
            <w:pPr>
              <w:pStyle w:val="ListParagraph"/>
              <w:numPr>
                <w:ilvl w:val="0"/>
                <w:numId w:val="34"/>
              </w:numPr>
              <w:suppressAutoHyphens w:val="0"/>
              <w:autoSpaceDE/>
              <w:autoSpaceDN/>
              <w:adjustRightInd/>
              <w:spacing w:line="240" w:lineRule="auto"/>
              <w:ind w:left="249" w:hanging="283"/>
              <w:jc w:val="left"/>
              <w:textAlignment w:val="auto"/>
            </w:pPr>
            <w:r>
              <w:rPr>
                <w:i/>
                <w:iCs/>
              </w:rPr>
              <w:t>Gender equity in access to safe schools is ensured</w:t>
            </w:r>
          </w:p>
          <w:p w14:paraId="6FEABB67" w14:textId="77777777" w:rsidR="00274FFC" w:rsidRDefault="00274FFC" w:rsidP="001319EC">
            <w:pPr>
              <w:pStyle w:val="ListParagraph"/>
              <w:ind w:left="0"/>
            </w:pPr>
          </w:p>
        </w:tc>
        <w:tc>
          <w:tcPr>
            <w:tcW w:w="4508" w:type="dxa"/>
          </w:tcPr>
          <w:p w14:paraId="1B245E53"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Design and implement gender-focused programs – design and deliver initiatives specifically supporting boys’ enrolment, retention and completion in secondary education.</w:t>
            </w:r>
          </w:p>
          <w:p w14:paraId="5D434C06" w14:textId="683A5EA2"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Develop Positive Behaviour Management Framework – integrate gender-based violence awareness and prevention into the school curriculum, anti-bullying initiatives, establish clear and confidential reporting mechanisms, provide counselling and support services for victims, and enforce strict policies with consequences for </w:t>
            </w:r>
            <w:r w:rsidR="00A9279C">
              <w:t>perpetrators</w:t>
            </w:r>
            <w:r>
              <w:t xml:space="preserve"> to create a safe and supportive school environment. </w:t>
            </w:r>
          </w:p>
        </w:tc>
      </w:tr>
      <w:tr w:rsidR="00274FFC" w14:paraId="46445B85" w14:textId="77777777" w:rsidTr="00990AC0">
        <w:tc>
          <w:tcPr>
            <w:tcW w:w="4508" w:type="dxa"/>
          </w:tcPr>
          <w:p w14:paraId="19F175CA" w14:textId="77777777" w:rsidR="00274FFC" w:rsidRPr="00F602BE" w:rsidRDefault="00274FFC" w:rsidP="00B32148">
            <w:pPr>
              <w:pStyle w:val="ListParagraph"/>
              <w:numPr>
                <w:ilvl w:val="0"/>
                <w:numId w:val="34"/>
              </w:numPr>
              <w:suppressAutoHyphens w:val="0"/>
              <w:autoSpaceDE/>
              <w:autoSpaceDN/>
              <w:adjustRightInd/>
              <w:spacing w:line="240" w:lineRule="auto"/>
              <w:ind w:left="249" w:hanging="283"/>
              <w:jc w:val="left"/>
              <w:textAlignment w:val="auto"/>
            </w:pPr>
            <w:r>
              <w:rPr>
                <w:i/>
                <w:iCs/>
              </w:rPr>
              <w:t>Out-of-School children are reintegrated into formal schooling or follow alternative education pathways</w:t>
            </w:r>
          </w:p>
          <w:p w14:paraId="5F407A4E" w14:textId="77777777" w:rsidR="00274FFC" w:rsidRDefault="00274FFC" w:rsidP="001319EC">
            <w:pPr>
              <w:pStyle w:val="ListParagraph"/>
              <w:ind w:left="0"/>
            </w:pPr>
          </w:p>
        </w:tc>
        <w:tc>
          <w:tcPr>
            <w:tcW w:w="4508" w:type="dxa"/>
          </w:tcPr>
          <w:p w14:paraId="47A0FDD1"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Develop alternative learning pathways – create flexible learning pathways that allow children (including those currently out of school) to follow a variety of learning options in core academic subjects, TVSD and alternative education and develop own </w:t>
            </w:r>
            <w:r>
              <w:lastRenderedPageBreak/>
              <w:t>Individualised Education Plans (IEPs) and non-siloed subject selections.</w:t>
            </w:r>
          </w:p>
          <w:p w14:paraId="65C15E1D" w14:textId="36C02DC2" w:rsidR="00274FFC" w:rsidRPr="00990AC0" w:rsidRDefault="00274FFC" w:rsidP="00990AC0">
            <w:pPr>
              <w:pStyle w:val="ListParagraph"/>
              <w:numPr>
                <w:ilvl w:val="0"/>
                <w:numId w:val="33"/>
              </w:numPr>
              <w:suppressAutoHyphens w:val="0"/>
              <w:autoSpaceDE/>
              <w:autoSpaceDN/>
              <w:adjustRightInd/>
              <w:spacing w:line="240" w:lineRule="auto"/>
              <w:ind w:left="206" w:hanging="206"/>
              <w:jc w:val="left"/>
              <w:textAlignment w:val="auto"/>
            </w:pPr>
            <w:r>
              <w:t>Preparing for and implementing universal access to education up to Year 10 – prepare infrastructure, material and personnel support for schools to provide universal access up to Year 10 (as per draft Education Bill) and ensuring they are equipped to handle the increased number of students.</w:t>
            </w:r>
          </w:p>
        </w:tc>
      </w:tr>
      <w:tr w:rsidR="00274FFC" w14:paraId="03A9D5F2" w14:textId="77777777" w:rsidTr="00990AC0">
        <w:tc>
          <w:tcPr>
            <w:tcW w:w="4508" w:type="dxa"/>
          </w:tcPr>
          <w:p w14:paraId="4777E71D" w14:textId="77777777" w:rsidR="00274FFC" w:rsidRPr="00F602BE" w:rsidRDefault="00274FFC" w:rsidP="00B32148">
            <w:pPr>
              <w:pStyle w:val="ListParagraph"/>
              <w:numPr>
                <w:ilvl w:val="0"/>
                <w:numId w:val="34"/>
              </w:numPr>
              <w:suppressAutoHyphens w:val="0"/>
              <w:autoSpaceDE/>
              <w:autoSpaceDN/>
              <w:adjustRightInd/>
              <w:spacing w:line="240" w:lineRule="auto"/>
              <w:ind w:left="249" w:hanging="283"/>
              <w:jc w:val="left"/>
              <w:textAlignment w:val="auto"/>
            </w:pPr>
            <w:r>
              <w:rPr>
                <w:i/>
                <w:iCs/>
              </w:rPr>
              <w:lastRenderedPageBreak/>
              <w:t xml:space="preserve">Children with special education needs and disabilities </w:t>
            </w:r>
            <w:proofErr w:type="gramStart"/>
            <w:r>
              <w:rPr>
                <w:i/>
                <w:iCs/>
              </w:rPr>
              <w:t>are able to</w:t>
            </w:r>
            <w:proofErr w:type="gramEnd"/>
            <w:r>
              <w:rPr>
                <w:i/>
                <w:iCs/>
              </w:rPr>
              <w:t xml:space="preserve"> access appropriate education tailored to their needs</w:t>
            </w:r>
          </w:p>
          <w:p w14:paraId="5DEA2FA8" w14:textId="77777777" w:rsidR="00274FFC" w:rsidRDefault="00274FFC" w:rsidP="001319EC">
            <w:pPr>
              <w:pStyle w:val="ListParagraph"/>
              <w:ind w:left="0"/>
            </w:pPr>
          </w:p>
        </w:tc>
        <w:tc>
          <w:tcPr>
            <w:tcW w:w="4508" w:type="dxa"/>
          </w:tcPr>
          <w:p w14:paraId="7C331DFD"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Enhance inclusion support training – provide comprehensive training for teachers, specialists and parents in inclusive education practices to address existing prejudice and help develop more inclusive environment</w:t>
            </w:r>
          </w:p>
          <w:p w14:paraId="50126A92"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a central mandate for inclusion – establish a dedicated body at the central level to manage and oversee inclusive education initiatives</w:t>
            </w:r>
          </w:p>
          <w:p w14:paraId="2B980FFB" w14:textId="13980E46" w:rsidR="00274FFC" w:rsidRPr="00990AC0" w:rsidRDefault="00274FFC" w:rsidP="00990AC0">
            <w:pPr>
              <w:pStyle w:val="ListParagraph"/>
              <w:numPr>
                <w:ilvl w:val="0"/>
                <w:numId w:val="33"/>
              </w:numPr>
              <w:suppressAutoHyphens w:val="0"/>
              <w:autoSpaceDE/>
              <w:autoSpaceDN/>
              <w:adjustRightInd/>
              <w:spacing w:line="240" w:lineRule="auto"/>
              <w:ind w:left="206" w:hanging="206"/>
              <w:jc w:val="left"/>
              <w:textAlignment w:val="auto"/>
            </w:pPr>
            <w:r>
              <w:t>Equip Inclusion Centres – provide additional resources and ongoing training to inclusive education centres to better support children with special needs and disabilities.</w:t>
            </w:r>
          </w:p>
        </w:tc>
      </w:tr>
      <w:tr w:rsidR="00274FFC" w14:paraId="548BF9A2" w14:textId="77777777" w:rsidTr="00990AC0">
        <w:tc>
          <w:tcPr>
            <w:tcW w:w="4508" w:type="dxa"/>
          </w:tcPr>
          <w:p w14:paraId="6EC6DEE2" w14:textId="5DAAA494" w:rsidR="00274FFC" w:rsidRPr="00990AC0" w:rsidRDefault="00274FFC" w:rsidP="00990AC0">
            <w:pPr>
              <w:pStyle w:val="ListParagraph"/>
              <w:numPr>
                <w:ilvl w:val="0"/>
                <w:numId w:val="34"/>
              </w:numPr>
              <w:suppressAutoHyphens w:val="0"/>
              <w:autoSpaceDE/>
              <w:autoSpaceDN/>
              <w:adjustRightInd/>
              <w:spacing w:line="240" w:lineRule="auto"/>
              <w:ind w:left="249" w:hanging="283"/>
              <w:jc w:val="left"/>
              <w:textAlignment w:val="auto"/>
            </w:pPr>
            <w:r>
              <w:rPr>
                <w:i/>
                <w:iCs/>
              </w:rPr>
              <w:t>Improved child screening and diagnostic practice helps provide differentiated and specialist learning support</w:t>
            </w:r>
          </w:p>
        </w:tc>
        <w:tc>
          <w:tcPr>
            <w:tcW w:w="4508" w:type="dxa"/>
          </w:tcPr>
          <w:p w14:paraId="5E618760"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Improve diagnostic capabilities – develop and deliver targeted training on disability and learning difficulty inclusion diagnostics to accurately identify and support children with special educational needs and disabilities in a sustainable way</w:t>
            </w:r>
          </w:p>
          <w:p w14:paraId="5E9350B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Implement basic health and learning readiness screening: procure and develop screening resources and deploy basic screening of health and learning across all sectors</w:t>
            </w:r>
          </w:p>
        </w:tc>
      </w:tr>
      <w:tr w:rsidR="00274FFC" w14:paraId="57460114" w14:textId="77777777" w:rsidTr="00990AC0">
        <w:tc>
          <w:tcPr>
            <w:tcW w:w="4508" w:type="dxa"/>
          </w:tcPr>
          <w:p w14:paraId="7AAF3281" w14:textId="4BB75265" w:rsidR="00274FFC" w:rsidRPr="00990AC0" w:rsidRDefault="00274FFC" w:rsidP="00990AC0">
            <w:pPr>
              <w:pStyle w:val="ListParagraph"/>
              <w:numPr>
                <w:ilvl w:val="0"/>
                <w:numId w:val="34"/>
              </w:numPr>
              <w:suppressAutoHyphens w:val="0"/>
              <w:autoSpaceDE/>
              <w:autoSpaceDN/>
              <w:adjustRightInd/>
              <w:spacing w:line="240" w:lineRule="auto"/>
              <w:ind w:left="249" w:hanging="283"/>
              <w:jc w:val="left"/>
              <w:textAlignment w:val="auto"/>
            </w:pPr>
            <w:r>
              <w:rPr>
                <w:i/>
                <w:iCs/>
              </w:rPr>
              <w:t xml:space="preserve">Children’s wellbeing is </w:t>
            </w:r>
            <w:r w:rsidR="00FF3495">
              <w:rPr>
                <w:i/>
                <w:iCs/>
              </w:rPr>
              <w:t>ensured,</w:t>
            </w:r>
            <w:r>
              <w:rPr>
                <w:i/>
                <w:iCs/>
              </w:rPr>
              <w:t xml:space="preserve"> and they have access to counselling </w:t>
            </w:r>
          </w:p>
        </w:tc>
        <w:tc>
          <w:tcPr>
            <w:tcW w:w="4508" w:type="dxa"/>
          </w:tcPr>
          <w:p w14:paraId="2E317062"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Strengthen student wellbeing programs – implement wellbeing framework and provide counselling support for teachers and parents</w:t>
            </w:r>
          </w:p>
          <w:p w14:paraId="5A49AB85" w14:textId="42A9757D" w:rsidR="00274FFC" w:rsidRPr="00990AC0" w:rsidRDefault="00274FFC" w:rsidP="00990AC0">
            <w:pPr>
              <w:pStyle w:val="ListParagraph"/>
              <w:numPr>
                <w:ilvl w:val="0"/>
                <w:numId w:val="33"/>
              </w:numPr>
              <w:suppressAutoHyphens w:val="0"/>
              <w:autoSpaceDE/>
              <w:autoSpaceDN/>
              <w:adjustRightInd/>
              <w:spacing w:line="240" w:lineRule="auto"/>
              <w:ind w:left="206" w:hanging="206"/>
              <w:jc w:val="left"/>
              <w:textAlignment w:val="auto"/>
            </w:pPr>
            <w:r>
              <w:t>Designate student counsellors – assign and train staff members at each school to act as a student counsellor</w:t>
            </w:r>
          </w:p>
        </w:tc>
      </w:tr>
      <w:tr w:rsidR="00274FFC" w14:paraId="2ECA3407" w14:textId="77777777" w:rsidTr="00990AC0">
        <w:tc>
          <w:tcPr>
            <w:tcW w:w="4508" w:type="dxa"/>
          </w:tcPr>
          <w:p w14:paraId="4162B173" w14:textId="749237C7" w:rsidR="00274FFC" w:rsidRPr="00990AC0" w:rsidRDefault="00274FFC" w:rsidP="00990AC0">
            <w:pPr>
              <w:pStyle w:val="ListParagraph"/>
              <w:numPr>
                <w:ilvl w:val="0"/>
                <w:numId w:val="34"/>
              </w:numPr>
              <w:suppressAutoHyphens w:val="0"/>
              <w:autoSpaceDE/>
              <w:autoSpaceDN/>
              <w:adjustRightInd/>
              <w:spacing w:line="240" w:lineRule="auto"/>
              <w:ind w:left="249" w:hanging="283"/>
              <w:jc w:val="left"/>
              <w:textAlignment w:val="auto"/>
            </w:pPr>
            <w:r>
              <w:rPr>
                <w:i/>
                <w:iCs/>
              </w:rPr>
              <w:t xml:space="preserve">Children at Risk of dropping out or repeating are identified early and adequately </w:t>
            </w:r>
            <w:r w:rsidR="00FF3495">
              <w:rPr>
                <w:i/>
                <w:iCs/>
              </w:rPr>
              <w:t>supported through</w:t>
            </w:r>
            <w:r>
              <w:rPr>
                <w:i/>
                <w:iCs/>
              </w:rPr>
              <w:t xml:space="preserve"> remedial programs</w:t>
            </w:r>
          </w:p>
        </w:tc>
        <w:tc>
          <w:tcPr>
            <w:tcW w:w="4508" w:type="dxa"/>
          </w:tcPr>
          <w:p w14:paraId="023E658B"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Implement early warning systems – develop and implement systems to identify children and youth at risk of dropping out or repeating early and provide timely support interventions, including through parent committees. </w:t>
            </w:r>
          </w:p>
        </w:tc>
      </w:tr>
    </w:tbl>
    <w:p w14:paraId="1E3AC2AB" w14:textId="77777777" w:rsidR="00274FFC" w:rsidRPr="00F602BE" w:rsidRDefault="00274FFC" w:rsidP="00274FFC">
      <w:pPr>
        <w:pStyle w:val="ListParagraph"/>
        <w:numPr>
          <w:ilvl w:val="0"/>
          <w:numId w:val="0"/>
        </w:numPr>
        <w:ind w:left="765"/>
      </w:pPr>
    </w:p>
    <w:p w14:paraId="4F4AE799" w14:textId="77777777" w:rsidR="00274FFC" w:rsidRDefault="00274FFC" w:rsidP="00274FFC"/>
    <w:p w14:paraId="2CF27710" w14:textId="6EDC0549" w:rsidR="00274FFC" w:rsidRPr="00274FFC" w:rsidRDefault="00274FFC" w:rsidP="00274FFC">
      <w:pPr>
        <w:suppressAutoHyphens w:val="0"/>
        <w:autoSpaceDE/>
        <w:autoSpaceDN/>
        <w:adjustRightInd/>
        <w:spacing w:after="160" w:line="259" w:lineRule="auto"/>
        <w:jc w:val="left"/>
        <w:textAlignment w:val="auto"/>
      </w:pPr>
      <w:r w:rsidRPr="00274FFC">
        <w:rPr>
          <w:b/>
          <w:bCs/>
          <w:i/>
          <w:iCs/>
        </w:rPr>
        <w:t>Quality learning and teaching</w:t>
      </w:r>
      <w:r w:rsidRPr="00274FFC">
        <w:rPr>
          <w:i/>
          <w:iCs/>
        </w:rPr>
        <w:t>:</w:t>
      </w:r>
      <w:r>
        <w:t xml:space="preserve"> Students’ learning outcomes and overall educational achievement </w:t>
      </w:r>
      <w:r w:rsidR="00FF3495">
        <w:t>are</w:t>
      </w:r>
      <w:r>
        <w:t xml:space="preserve"> improved through high-quality learning experiences delivered by well-trained and supported teachers, relevant and effective curricula, quality resources and infrastructure, and robust assessment systems.</w:t>
      </w:r>
    </w:p>
    <w:tbl>
      <w:tblPr>
        <w:tblStyle w:val="TableGrid"/>
        <w:tblW w:w="0" w:type="auto"/>
        <w:tblInd w:w="765" w:type="dxa"/>
        <w:tblLook w:val="0620" w:firstRow="1" w:lastRow="0" w:firstColumn="0" w:lastColumn="0" w:noHBand="1" w:noVBand="1"/>
      </w:tblPr>
      <w:tblGrid>
        <w:gridCol w:w="4126"/>
        <w:gridCol w:w="4125"/>
      </w:tblGrid>
      <w:tr w:rsidR="00274FFC" w14:paraId="6E335855" w14:textId="77777777" w:rsidTr="00473C7A">
        <w:trPr>
          <w:tblHeader/>
        </w:trPr>
        <w:tc>
          <w:tcPr>
            <w:tcW w:w="4126" w:type="dxa"/>
            <w:shd w:val="clear" w:color="auto" w:fill="FBE4D5" w:themeFill="accent2" w:themeFillTint="33"/>
          </w:tcPr>
          <w:p w14:paraId="6CCE7DF2" w14:textId="77777777" w:rsidR="00274FFC" w:rsidRDefault="00274FFC" w:rsidP="001319EC">
            <w:pPr>
              <w:pStyle w:val="ListParagraph"/>
              <w:ind w:left="0"/>
            </w:pPr>
            <w:r w:rsidRPr="00F602BE">
              <w:rPr>
                <w:b/>
                <w:bCs/>
              </w:rPr>
              <w:lastRenderedPageBreak/>
              <w:t xml:space="preserve">Outcome </w:t>
            </w:r>
            <w:r>
              <w:rPr>
                <w:b/>
                <w:bCs/>
              </w:rPr>
              <w:t>2</w:t>
            </w:r>
            <w:r w:rsidRPr="00F602BE">
              <w:rPr>
                <w:b/>
                <w:bCs/>
              </w:rPr>
              <w:t xml:space="preserve"> - Objectives</w:t>
            </w:r>
          </w:p>
        </w:tc>
        <w:tc>
          <w:tcPr>
            <w:tcW w:w="4125" w:type="dxa"/>
            <w:shd w:val="clear" w:color="auto" w:fill="FBE4D5" w:themeFill="accent2" w:themeFillTint="33"/>
          </w:tcPr>
          <w:p w14:paraId="48C2A4A6" w14:textId="77777777" w:rsidR="00274FFC" w:rsidRDefault="00274FFC" w:rsidP="001319EC">
            <w:pPr>
              <w:pStyle w:val="ListParagraph"/>
              <w:ind w:left="0"/>
            </w:pPr>
            <w:r w:rsidRPr="00F602BE">
              <w:rPr>
                <w:b/>
                <w:bCs/>
              </w:rPr>
              <w:t xml:space="preserve">Outcome </w:t>
            </w:r>
            <w:r>
              <w:rPr>
                <w:b/>
                <w:bCs/>
              </w:rPr>
              <w:t>2</w:t>
            </w:r>
            <w:r w:rsidRPr="00F602BE">
              <w:rPr>
                <w:b/>
                <w:bCs/>
              </w:rPr>
              <w:t xml:space="preserve"> - Strategies</w:t>
            </w:r>
          </w:p>
        </w:tc>
      </w:tr>
      <w:tr w:rsidR="00274FFC" w14:paraId="7B715CDB" w14:textId="77777777" w:rsidTr="00990AC0">
        <w:tc>
          <w:tcPr>
            <w:tcW w:w="4126" w:type="dxa"/>
          </w:tcPr>
          <w:p w14:paraId="42D0A186" w14:textId="77777777" w:rsidR="00274FFC" w:rsidRPr="000A7AC8" w:rsidRDefault="00274FFC" w:rsidP="001319EC">
            <w:pPr>
              <w:pStyle w:val="ListParagraph"/>
              <w:ind w:left="0"/>
              <w:rPr>
                <w:i/>
                <w:iCs/>
              </w:rPr>
            </w:pPr>
            <w:r>
              <w:rPr>
                <w:i/>
                <w:iCs/>
              </w:rPr>
              <w:t>a) Teachers are highly qualified, continuously developing professionally, and empowered as leaders, leading to improved educational practices and student outcomes</w:t>
            </w:r>
          </w:p>
        </w:tc>
        <w:tc>
          <w:tcPr>
            <w:tcW w:w="4125" w:type="dxa"/>
          </w:tcPr>
          <w:p w14:paraId="58D17A3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Enhance teacher qualifications – develop and implement comprehensive pre-service training programmes, with practical components, to improve teacher qualifications and professional development.</w:t>
            </w:r>
          </w:p>
          <w:p w14:paraId="774A05A3"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and implement teacher CPD policy – develop a systematic, dedicated CPD policy and offer ongoing professional development opportunities focusing on current pedagogical skills, strategies to address gender and inclusion in the school, and relevant issues such as climate change, family planning, etc. aligned to teacher needs.</w:t>
            </w:r>
          </w:p>
          <w:p w14:paraId="6DC73BDE"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Expand support to communities of practice – provide guidance and material support to teachers’ communities of practice (including guidance on coaching and mentoring, peer lesson observations and feedback), particularly on the islands, to further support teacher development in isolated communities.</w:t>
            </w:r>
          </w:p>
          <w:p w14:paraId="0F50A505"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Strengthen formative assessment practice in schools – provide targeted training and tools for all teachers to improve their formative assessment practice.</w:t>
            </w:r>
          </w:p>
          <w:p w14:paraId="23D75D8D"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Embed experts with regional/ international experience (internationals or expert diaspora members) in local schools and institutions to build capacity of teachers and educational leaders.</w:t>
            </w:r>
          </w:p>
          <w:p w14:paraId="182CAE8F"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Empower teachers as leaders – empowering teachers as leaders of learning in their classrooms through professional development and support and link it to structured career progression.</w:t>
            </w:r>
          </w:p>
          <w:p w14:paraId="0531709B"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Address teacher gender imbalance – implement targeted recruitment and awareness programs to attract and retain men to the teaching workforce, ensuring gender diversity and improving equity across all educational levels.</w:t>
            </w:r>
          </w:p>
          <w:p w14:paraId="6EDBA5B7" w14:textId="39E2D8A1" w:rsidR="00274FFC" w:rsidRPr="00473C7A" w:rsidRDefault="00274FFC" w:rsidP="00473C7A">
            <w:pPr>
              <w:pStyle w:val="ListParagraph"/>
              <w:numPr>
                <w:ilvl w:val="0"/>
                <w:numId w:val="33"/>
              </w:numPr>
              <w:suppressAutoHyphens w:val="0"/>
              <w:autoSpaceDE/>
              <w:autoSpaceDN/>
              <w:adjustRightInd/>
              <w:spacing w:line="240" w:lineRule="auto"/>
              <w:ind w:left="206" w:hanging="206"/>
              <w:jc w:val="left"/>
              <w:textAlignment w:val="auto"/>
            </w:pPr>
            <w:r>
              <w:t>Review and implement teacher and leader standards and quality framework – update the teacher and leadership standards to be more effective, train staff on standards and link standard compliance to performance evaluation.</w:t>
            </w:r>
          </w:p>
        </w:tc>
      </w:tr>
      <w:tr w:rsidR="00274FFC" w14:paraId="695037DC" w14:textId="77777777" w:rsidTr="00990AC0">
        <w:tc>
          <w:tcPr>
            <w:tcW w:w="4126" w:type="dxa"/>
          </w:tcPr>
          <w:p w14:paraId="470435AB" w14:textId="77777777" w:rsidR="00274FFC" w:rsidRPr="000A7AC8" w:rsidRDefault="00274FFC" w:rsidP="001319EC">
            <w:pPr>
              <w:pStyle w:val="ListParagraph"/>
              <w:ind w:left="0"/>
              <w:rPr>
                <w:i/>
                <w:iCs/>
              </w:rPr>
            </w:pPr>
            <w:r>
              <w:rPr>
                <w:i/>
                <w:iCs/>
              </w:rPr>
              <w:lastRenderedPageBreak/>
              <w:t xml:space="preserve">b) Holistic curriculum and language learning approaches are adopted to ensure all learners </w:t>
            </w:r>
            <w:proofErr w:type="gramStart"/>
            <w:r>
              <w:rPr>
                <w:i/>
                <w:iCs/>
              </w:rPr>
              <w:t>are able to</w:t>
            </w:r>
            <w:proofErr w:type="gramEnd"/>
            <w:r>
              <w:rPr>
                <w:i/>
                <w:iCs/>
              </w:rPr>
              <w:t xml:space="preserve"> develop core skills, understand how to live a healthy lifestyle, build resilience, and access the curriculum effectively.</w:t>
            </w:r>
          </w:p>
        </w:tc>
        <w:tc>
          <w:tcPr>
            <w:tcW w:w="4125" w:type="dxa"/>
          </w:tcPr>
          <w:p w14:paraId="078BC18F"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Align the curriculum framework to ensure continuity and relevance – review and update the curriculum framework to ensure continuity and linkages between levels and links beyond school, as well as increased focus on all-life skills.</w:t>
            </w:r>
          </w:p>
          <w:p w14:paraId="178D35A9"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a language policy – develop and implement a language policy and supporting curriculum materials that can effectively support multilingual education and strengthens the use of Tuvaluan language in schools</w:t>
            </w:r>
          </w:p>
          <w:p w14:paraId="1F505C67"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Expand the Tuvaluan language home reader program – develop a home reader program and resources (particularly for ECE and early primary) and related training for teachers linking classroom to home and improving early literacy.</w:t>
            </w:r>
          </w:p>
          <w:p w14:paraId="68F5A43F"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Integrate non-cognitive skills into curricula – incorporate relevant all-life skills, non-cognitive and cultural skills development into the curriculum framework and add cross-curricular links and themes.</w:t>
            </w:r>
          </w:p>
          <w:p w14:paraId="32AAF402"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Strengthen healthy living agenda and integrate with sports in schools – promoting healthy and active lifestyles to improve children’s health outcomes and to fight non-communicable diseases.</w:t>
            </w:r>
          </w:p>
          <w:p w14:paraId="635FB283"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Build resilience through whole school approach – based on Tuvaluan culture and values, broaden after-school programs to include more practical culture and value-based activities. </w:t>
            </w:r>
          </w:p>
        </w:tc>
      </w:tr>
      <w:tr w:rsidR="00274FFC" w14:paraId="2913AED4" w14:textId="77777777" w:rsidTr="00990AC0">
        <w:tc>
          <w:tcPr>
            <w:tcW w:w="4126" w:type="dxa"/>
          </w:tcPr>
          <w:p w14:paraId="457BDED2" w14:textId="77777777" w:rsidR="00274FFC" w:rsidRPr="000A7AC8" w:rsidRDefault="00274FFC" w:rsidP="001319EC">
            <w:pPr>
              <w:pStyle w:val="ListParagraph"/>
              <w:ind w:left="0"/>
              <w:rPr>
                <w:i/>
                <w:iCs/>
              </w:rPr>
            </w:pPr>
            <w:r>
              <w:rPr>
                <w:i/>
                <w:iCs/>
              </w:rPr>
              <w:t>c) educational resources are in place to ensure issues of overcrowding are addressed, and that practical learning can take place effectively</w:t>
            </w:r>
          </w:p>
        </w:tc>
        <w:tc>
          <w:tcPr>
            <w:tcW w:w="4125" w:type="dxa"/>
          </w:tcPr>
          <w:p w14:paraId="3C1FE758"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Improve classroom facilities – upgrade and maintain classroom facilities to create conducive learning environments in both primary and secondary schools.</w:t>
            </w:r>
          </w:p>
          <w:p w14:paraId="6D211446" w14:textId="5A11D245" w:rsidR="00274FFC" w:rsidRPr="00473C7A" w:rsidRDefault="00274FFC" w:rsidP="00473C7A">
            <w:pPr>
              <w:pStyle w:val="ListParagraph"/>
              <w:numPr>
                <w:ilvl w:val="0"/>
                <w:numId w:val="33"/>
              </w:numPr>
              <w:suppressAutoHyphens w:val="0"/>
              <w:autoSpaceDE/>
              <w:autoSpaceDN/>
              <w:adjustRightInd/>
              <w:spacing w:line="240" w:lineRule="auto"/>
              <w:ind w:left="206" w:hanging="206"/>
              <w:jc w:val="left"/>
              <w:textAlignment w:val="auto"/>
            </w:pPr>
            <w:r>
              <w:t>Ensure adequate school resourcing, particularly to support core subjects – provide schools with necessary up-to-date textbooks, review and update library collections, and provide laboratory and specialist equipment to secondary schools, inclusion centres and TVSD.</w:t>
            </w:r>
          </w:p>
        </w:tc>
      </w:tr>
      <w:tr w:rsidR="00274FFC" w14:paraId="51F02814" w14:textId="77777777" w:rsidTr="00990AC0">
        <w:tc>
          <w:tcPr>
            <w:tcW w:w="4126" w:type="dxa"/>
          </w:tcPr>
          <w:p w14:paraId="7326B5FB" w14:textId="77777777" w:rsidR="00274FFC" w:rsidRPr="000A7AC8" w:rsidRDefault="00274FFC" w:rsidP="001319EC">
            <w:pPr>
              <w:pStyle w:val="ListParagraph"/>
              <w:ind w:left="0"/>
              <w:rPr>
                <w:i/>
                <w:iCs/>
              </w:rPr>
            </w:pPr>
            <w:r>
              <w:rPr>
                <w:i/>
                <w:iCs/>
              </w:rPr>
              <w:t xml:space="preserve">d) Technology-supported delivery is effectively resourced to build digital literacy skills, improve learning and teaching, and strengthen school management </w:t>
            </w:r>
          </w:p>
        </w:tc>
        <w:tc>
          <w:tcPr>
            <w:tcW w:w="4125" w:type="dxa"/>
          </w:tcPr>
          <w:p w14:paraId="2F205C8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Integrate technology in classrooms – promote the use of technology in teaching and learning by providing connectivity, digital tools and resources to teachers and students.</w:t>
            </w:r>
          </w:p>
          <w:p w14:paraId="0789F106"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lastRenderedPageBreak/>
              <w:t xml:space="preserve">Develop digital literacy – offer training for teachers (both pre-service and in-service), administrative staff and children and youth to enhance their digital literacy and ability to effectively use technology for educational and management purposes. </w:t>
            </w:r>
          </w:p>
        </w:tc>
      </w:tr>
      <w:tr w:rsidR="00274FFC" w14:paraId="62DA15C2" w14:textId="77777777" w:rsidTr="00990AC0">
        <w:tc>
          <w:tcPr>
            <w:tcW w:w="4126" w:type="dxa"/>
          </w:tcPr>
          <w:p w14:paraId="053E6A40" w14:textId="09C3BE34" w:rsidR="00274FFC" w:rsidRPr="000A7AC8" w:rsidRDefault="00274FFC" w:rsidP="001319EC">
            <w:pPr>
              <w:pStyle w:val="ListParagraph"/>
              <w:ind w:left="0"/>
              <w:rPr>
                <w:i/>
                <w:iCs/>
              </w:rPr>
            </w:pPr>
            <w:r>
              <w:rPr>
                <w:i/>
                <w:iCs/>
              </w:rPr>
              <w:lastRenderedPageBreak/>
              <w:t xml:space="preserve">e) ECCE access and provision </w:t>
            </w:r>
            <w:r w:rsidR="00FF3495">
              <w:rPr>
                <w:i/>
                <w:iCs/>
              </w:rPr>
              <w:t>are</w:t>
            </w:r>
            <w:r>
              <w:rPr>
                <w:i/>
                <w:iCs/>
              </w:rPr>
              <w:t xml:space="preserve"> enhanced through a unified curriculum, effective resource management and strengthened policy development and coordination</w:t>
            </w:r>
          </w:p>
        </w:tc>
        <w:tc>
          <w:tcPr>
            <w:tcW w:w="4125" w:type="dxa"/>
          </w:tcPr>
          <w:p w14:paraId="467ECAB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Implement a unified ECCE Curriculum – ensure consistent application of a unified curriculum across all preschools with comprehensive teacher training and regular assessments. </w:t>
            </w:r>
          </w:p>
          <w:p w14:paraId="093330BD"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Enhance resource management and access – improve the availability and equitable distribution of educational resources across all ECCE centres, particularly in remote areas.</w:t>
            </w:r>
          </w:p>
          <w:p w14:paraId="0BE171DE"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Align policies and improve coordination – ensure alignment between ECCE policies, curriculum frameworks, and teacher training programs to support consistent implementation and improve educational outcomes.</w:t>
            </w:r>
          </w:p>
        </w:tc>
      </w:tr>
      <w:tr w:rsidR="00274FFC" w14:paraId="3972FE98" w14:textId="77777777" w:rsidTr="00990AC0">
        <w:tc>
          <w:tcPr>
            <w:tcW w:w="4126" w:type="dxa"/>
          </w:tcPr>
          <w:p w14:paraId="63819196" w14:textId="77777777" w:rsidR="00274FFC" w:rsidRPr="000A7AC8" w:rsidRDefault="00274FFC" w:rsidP="001319EC">
            <w:pPr>
              <w:pStyle w:val="ListParagraph"/>
              <w:ind w:left="0"/>
              <w:rPr>
                <w:i/>
                <w:iCs/>
              </w:rPr>
            </w:pPr>
            <w:r>
              <w:rPr>
                <w:i/>
                <w:iCs/>
              </w:rPr>
              <w:t>f) Effective pathways and technical education are established, with parity of esteem, high expectations for all, with practical engagement with workforce needs.</w:t>
            </w:r>
          </w:p>
        </w:tc>
        <w:tc>
          <w:tcPr>
            <w:tcW w:w="4125" w:type="dxa"/>
          </w:tcPr>
          <w:p w14:paraId="7CBB06B9"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Enhance perception and value of TVSD – launch awareness campaigns to highlight the importance and benefits of TVSD education, changing public perception and increasing enrolment and reform admission policies to ensure that admission to TVSD is not seen as a fallback for failing exams, but as a viable and valuable educational pathway.</w:t>
            </w:r>
          </w:p>
          <w:p w14:paraId="2DFDE23E"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Engage private sector and key employers – partner with the private sector to align TVSD curricula with market needs and encourage sponsorship and involvement in course development and delivery</w:t>
            </w:r>
          </w:p>
          <w:p w14:paraId="7FDD21E3"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Build support systems for TVSD students – implement support services such as career counselling, mentorship, apprenticeships and internships as well as financial aid to help students continue and succeed in their TVSD careers.</w:t>
            </w:r>
          </w:p>
          <w:p w14:paraId="6169F899"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and implement a revised TVSD curriculum framework – developing a curriculum framework for the TVSD sector aligning it to labour market needs, international qualification frameworks and available offerings and implement it in selected institutions.</w:t>
            </w:r>
          </w:p>
        </w:tc>
      </w:tr>
    </w:tbl>
    <w:p w14:paraId="3FF8C730" w14:textId="77777777" w:rsidR="00274FFC" w:rsidRDefault="00274FFC" w:rsidP="00274FFC"/>
    <w:p w14:paraId="47DF235F" w14:textId="755BAB2A" w:rsidR="00274FFC" w:rsidRPr="00274FFC" w:rsidRDefault="00274FFC" w:rsidP="00274FFC">
      <w:pPr>
        <w:suppressAutoHyphens w:val="0"/>
        <w:autoSpaceDE/>
        <w:autoSpaceDN/>
        <w:adjustRightInd/>
        <w:spacing w:after="160" w:line="259" w:lineRule="auto"/>
        <w:jc w:val="left"/>
        <w:textAlignment w:val="auto"/>
        <w:rPr>
          <w:i/>
          <w:iCs/>
        </w:rPr>
      </w:pPr>
      <w:r w:rsidRPr="00274FFC">
        <w:rPr>
          <w:b/>
          <w:bCs/>
          <w:i/>
          <w:iCs/>
        </w:rPr>
        <w:lastRenderedPageBreak/>
        <w:t>The education system is resilient, founded in effective and efficient governance and financial management</w:t>
      </w:r>
      <w:r w:rsidRPr="00274FFC">
        <w:rPr>
          <w:i/>
          <w:iCs/>
        </w:rPr>
        <w:t>:</w:t>
      </w:r>
      <w:r>
        <w:t xml:space="preserve"> Tuvalu’s education system is resilient and well-governed with robust infrastructure, effective policy frameworks, and sustainable financial management practices to ensure continuous improvement and adaptability to environmental, socio-economic and other external challenges. </w:t>
      </w:r>
    </w:p>
    <w:tbl>
      <w:tblPr>
        <w:tblStyle w:val="TableGrid"/>
        <w:tblW w:w="0" w:type="auto"/>
        <w:tblInd w:w="765" w:type="dxa"/>
        <w:tblLook w:val="0620" w:firstRow="1" w:lastRow="0" w:firstColumn="0" w:lastColumn="0" w:noHBand="1" w:noVBand="1"/>
      </w:tblPr>
      <w:tblGrid>
        <w:gridCol w:w="4126"/>
        <w:gridCol w:w="4125"/>
      </w:tblGrid>
      <w:tr w:rsidR="00274FFC" w14:paraId="7EC7D546" w14:textId="77777777" w:rsidTr="00473C7A">
        <w:trPr>
          <w:tblHeader/>
        </w:trPr>
        <w:tc>
          <w:tcPr>
            <w:tcW w:w="4126" w:type="dxa"/>
            <w:shd w:val="clear" w:color="auto" w:fill="FBE4D5" w:themeFill="accent2" w:themeFillTint="33"/>
          </w:tcPr>
          <w:p w14:paraId="565CD511" w14:textId="77777777" w:rsidR="00274FFC" w:rsidRDefault="00274FFC" w:rsidP="001319EC">
            <w:pPr>
              <w:pStyle w:val="ListParagraph"/>
              <w:ind w:left="0"/>
            </w:pPr>
            <w:r w:rsidRPr="00F602BE">
              <w:rPr>
                <w:b/>
                <w:bCs/>
              </w:rPr>
              <w:t xml:space="preserve">Outcome </w:t>
            </w:r>
            <w:r>
              <w:rPr>
                <w:b/>
                <w:bCs/>
              </w:rPr>
              <w:t>3</w:t>
            </w:r>
            <w:r w:rsidRPr="00F602BE">
              <w:rPr>
                <w:b/>
                <w:bCs/>
              </w:rPr>
              <w:t xml:space="preserve"> - Objectives</w:t>
            </w:r>
          </w:p>
        </w:tc>
        <w:tc>
          <w:tcPr>
            <w:tcW w:w="4125" w:type="dxa"/>
            <w:shd w:val="clear" w:color="auto" w:fill="FBE4D5" w:themeFill="accent2" w:themeFillTint="33"/>
          </w:tcPr>
          <w:p w14:paraId="4266DA0C" w14:textId="77777777" w:rsidR="00274FFC" w:rsidRDefault="00274FFC" w:rsidP="001319EC">
            <w:pPr>
              <w:pStyle w:val="ListParagraph"/>
              <w:ind w:left="0"/>
            </w:pPr>
            <w:r w:rsidRPr="00F602BE">
              <w:rPr>
                <w:b/>
                <w:bCs/>
              </w:rPr>
              <w:t xml:space="preserve">Outcome </w:t>
            </w:r>
            <w:r>
              <w:rPr>
                <w:b/>
                <w:bCs/>
              </w:rPr>
              <w:t>3</w:t>
            </w:r>
            <w:r w:rsidRPr="00F602BE">
              <w:rPr>
                <w:b/>
                <w:bCs/>
              </w:rPr>
              <w:t xml:space="preserve"> - Strategies</w:t>
            </w:r>
          </w:p>
        </w:tc>
      </w:tr>
      <w:tr w:rsidR="00274FFC" w14:paraId="0667F490" w14:textId="77777777" w:rsidTr="00473C7A">
        <w:tc>
          <w:tcPr>
            <w:tcW w:w="4126" w:type="dxa"/>
          </w:tcPr>
          <w:p w14:paraId="534DD33E" w14:textId="77777777" w:rsidR="00274FFC" w:rsidRPr="00DC0F4A" w:rsidRDefault="00274FFC" w:rsidP="001319EC">
            <w:pPr>
              <w:pStyle w:val="ListParagraph"/>
              <w:ind w:left="0"/>
              <w:rPr>
                <w:i/>
                <w:iCs/>
              </w:rPr>
            </w:pPr>
            <w:r>
              <w:rPr>
                <w:i/>
                <w:iCs/>
              </w:rPr>
              <w:t>a) educational infrastructure is resilient to climate and environmental challenges</w:t>
            </w:r>
          </w:p>
        </w:tc>
        <w:tc>
          <w:tcPr>
            <w:tcW w:w="4125" w:type="dxa"/>
          </w:tcPr>
          <w:p w14:paraId="6BADD241"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Design and enhance climate-resilient infrastructure – construct and upgrade educational facilities that can withstand environmental challenges such as rising sea levels and cyclones.</w:t>
            </w:r>
          </w:p>
        </w:tc>
      </w:tr>
      <w:tr w:rsidR="00274FFC" w14:paraId="77CF37C5" w14:textId="77777777" w:rsidTr="00473C7A">
        <w:tc>
          <w:tcPr>
            <w:tcW w:w="4126" w:type="dxa"/>
          </w:tcPr>
          <w:p w14:paraId="5D1DEFFC" w14:textId="77777777" w:rsidR="00274FFC" w:rsidRPr="00DC0F4A" w:rsidRDefault="00274FFC" w:rsidP="001319EC">
            <w:pPr>
              <w:pStyle w:val="ListParagraph"/>
              <w:ind w:left="0"/>
              <w:rPr>
                <w:i/>
                <w:iCs/>
              </w:rPr>
            </w:pPr>
            <w:r>
              <w:rPr>
                <w:i/>
                <w:iCs/>
              </w:rPr>
              <w:t xml:space="preserve">b) education data and information systems are robust and used in policymaking and planning </w:t>
            </w:r>
          </w:p>
        </w:tc>
        <w:tc>
          <w:tcPr>
            <w:tcW w:w="4125" w:type="dxa"/>
          </w:tcPr>
          <w:p w14:paraId="608C6ED0"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Upgrade to a comprehensive TEMIS – upgrade and maintain an integrated TEMIS that covers all educational sub-sectors, inclusion and equity indicators, ensuring accurate and timely data reporting for decision-making.</w:t>
            </w:r>
          </w:p>
          <w:p w14:paraId="0683FA5B"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Integrate data sources to track students’ progress – integrate data sources from international, national and school assessments to comprehensively track student progress and identify areas in need of support.</w:t>
            </w:r>
          </w:p>
          <w:p w14:paraId="102831E7"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Integrate inclusion data into TEMIS – ensure key data points on inclusion are incorporated into the TEMIS to inform policy development and review processes.</w:t>
            </w:r>
          </w:p>
          <w:p w14:paraId="710F3146"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Enhance research and evidence generation – establish a comprehensive research and evidence generation framework within TEMIS, enabling the collection, analysis and dissemination of high-quality data to inform policy decisions, improve educational practices, and drive continuous improvement across all educational sub-sectors.</w:t>
            </w:r>
          </w:p>
          <w:p w14:paraId="6EE239C5"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human capacity in planning, management and utilisation of education data – implement targeted training programmes to build the skills of education staff in effectively planning, managing and utilising education data and information systems, ensuring data-driven decision-making and improved educational outcomes.</w:t>
            </w:r>
          </w:p>
        </w:tc>
      </w:tr>
      <w:tr w:rsidR="00274FFC" w14:paraId="6CB99FDC" w14:textId="77777777" w:rsidTr="00473C7A">
        <w:tc>
          <w:tcPr>
            <w:tcW w:w="4126" w:type="dxa"/>
          </w:tcPr>
          <w:p w14:paraId="639B6E7C" w14:textId="77777777" w:rsidR="00274FFC" w:rsidRPr="00DC0F4A" w:rsidRDefault="00274FFC" w:rsidP="001319EC">
            <w:pPr>
              <w:pStyle w:val="ListParagraph"/>
              <w:ind w:left="0"/>
              <w:rPr>
                <w:i/>
                <w:iCs/>
              </w:rPr>
            </w:pPr>
            <w:r>
              <w:rPr>
                <w:i/>
                <w:iCs/>
              </w:rPr>
              <w:t xml:space="preserve">c) planning and budgeting processes are integrated and equitable </w:t>
            </w:r>
          </w:p>
        </w:tc>
        <w:tc>
          <w:tcPr>
            <w:tcW w:w="4125" w:type="dxa"/>
          </w:tcPr>
          <w:p w14:paraId="5CEA76DE"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Strengthen planning and budgeting processes – establish clear linkages between planning, budgeting, implementation and monitoring and evaluation to ensure effective and efficient use of resources.</w:t>
            </w:r>
          </w:p>
          <w:p w14:paraId="29DF0B1A"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lastRenderedPageBreak/>
              <w:t>Ensure equitable distribution of resources – allocate resources fairly across all levels of education, with a focus on early childhood care and secondary education, to address disparities and support equitable access.</w:t>
            </w:r>
          </w:p>
        </w:tc>
      </w:tr>
      <w:tr w:rsidR="00274FFC" w14:paraId="6212777B" w14:textId="77777777" w:rsidTr="00473C7A">
        <w:tc>
          <w:tcPr>
            <w:tcW w:w="4126" w:type="dxa"/>
          </w:tcPr>
          <w:p w14:paraId="2836BCB3" w14:textId="77777777" w:rsidR="00274FFC" w:rsidRPr="00DC0F4A" w:rsidRDefault="00274FFC" w:rsidP="001319EC">
            <w:pPr>
              <w:pStyle w:val="ListParagraph"/>
              <w:ind w:left="0"/>
              <w:rPr>
                <w:i/>
                <w:iCs/>
              </w:rPr>
            </w:pPr>
            <w:r>
              <w:rPr>
                <w:i/>
                <w:iCs/>
              </w:rPr>
              <w:lastRenderedPageBreak/>
              <w:t>d) Communities and parents are actively involved in children’s education from early age</w:t>
            </w:r>
          </w:p>
        </w:tc>
        <w:tc>
          <w:tcPr>
            <w:tcW w:w="4125" w:type="dxa"/>
          </w:tcPr>
          <w:p w14:paraId="56F1E99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Engage communities and parents – develop initiatives to enhance the involvement of communities and parents in the educational process, such as through awareness and support programmes focused on parental learning, fostering a collaborative environment for student success.</w:t>
            </w:r>
          </w:p>
          <w:p w14:paraId="199AC8B5"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Strengthen community and parental engagement in ECCE and ECD – develop and execute strategies to actively engage parents and caregivers, including community outreach programs and workshops and develop and implement associated communications plan.</w:t>
            </w:r>
          </w:p>
        </w:tc>
      </w:tr>
      <w:tr w:rsidR="00274FFC" w14:paraId="62787649" w14:textId="77777777" w:rsidTr="00473C7A">
        <w:tc>
          <w:tcPr>
            <w:tcW w:w="4126" w:type="dxa"/>
          </w:tcPr>
          <w:p w14:paraId="797E9E92" w14:textId="77777777" w:rsidR="00274FFC" w:rsidRPr="00DC0F4A" w:rsidRDefault="00274FFC" w:rsidP="001319EC">
            <w:pPr>
              <w:pStyle w:val="ListParagraph"/>
              <w:ind w:left="0"/>
              <w:rPr>
                <w:i/>
                <w:iCs/>
              </w:rPr>
            </w:pPr>
            <w:r>
              <w:rPr>
                <w:i/>
                <w:iCs/>
              </w:rPr>
              <w:t>e) teacher retention is improved, addressed systematically and linked to performance</w:t>
            </w:r>
          </w:p>
        </w:tc>
        <w:tc>
          <w:tcPr>
            <w:tcW w:w="4125" w:type="dxa"/>
          </w:tcPr>
          <w:p w14:paraId="09962EAB"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retention programs – create and pilot strategies to improve teacher retention, including in-country concurrent teacher training programs to enhance job satisfaction and professional development.</w:t>
            </w:r>
          </w:p>
          <w:p w14:paraId="618911B0"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Individual Performance Development Goals – establish performance development goals and initiatives for administrative and teaching staff to foster career pathways and improve retention, systematically collect and review data on teacher performance and effectiveness, impact of training and link it to teacher evaluation and career progress within an accessible online platform.</w:t>
            </w:r>
          </w:p>
        </w:tc>
      </w:tr>
      <w:tr w:rsidR="00274FFC" w14:paraId="078C8F77" w14:textId="77777777" w:rsidTr="00473C7A">
        <w:tc>
          <w:tcPr>
            <w:tcW w:w="4126" w:type="dxa"/>
          </w:tcPr>
          <w:p w14:paraId="425EB732" w14:textId="77777777" w:rsidR="00274FFC" w:rsidRPr="00DC0F4A" w:rsidRDefault="00274FFC" w:rsidP="001319EC">
            <w:pPr>
              <w:pStyle w:val="ListParagraph"/>
              <w:ind w:left="0"/>
              <w:rPr>
                <w:i/>
                <w:iCs/>
              </w:rPr>
            </w:pPr>
            <w:r>
              <w:rPr>
                <w:i/>
                <w:iCs/>
              </w:rPr>
              <w:t>f) school management committees (SMC) regularly develop and implement School Improvement Plans (SIP)</w:t>
            </w:r>
          </w:p>
        </w:tc>
        <w:tc>
          <w:tcPr>
            <w:tcW w:w="4125" w:type="dxa"/>
          </w:tcPr>
          <w:p w14:paraId="46A6C97D"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Empower SMCs and implement SIPs – enhance the role of school management committees and develop annual School Improvement Plans to improve school management and educational outcomes and link SIPs to education funding.</w:t>
            </w:r>
          </w:p>
        </w:tc>
      </w:tr>
      <w:tr w:rsidR="00274FFC" w14:paraId="1C4121A7" w14:textId="77777777" w:rsidTr="00473C7A">
        <w:tc>
          <w:tcPr>
            <w:tcW w:w="4126" w:type="dxa"/>
          </w:tcPr>
          <w:p w14:paraId="36686D8C" w14:textId="77777777" w:rsidR="00274FFC" w:rsidRPr="002E53F4" w:rsidRDefault="00274FFC" w:rsidP="001319EC">
            <w:pPr>
              <w:rPr>
                <w:i/>
                <w:iCs/>
              </w:rPr>
            </w:pPr>
            <w:r>
              <w:rPr>
                <w:i/>
                <w:iCs/>
              </w:rPr>
              <w:t>g) Disaster Risk Reduction (DRR) and Emergency Preparedness Plans are developed and implemented</w:t>
            </w:r>
          </w:p>
        </w:tc>
        <w:tc>
          <w:tcPr>
            <w:tcW w:w="4125" w:type="dxa"/>
          </w:tcPr>
          <w:p w14:paraId="5F3F58DE"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Implement DRR and emergency plans – establish and enforce disaster risk reduction and emergency preparedness strategies to ensure the educational system can effectively respond to external shocks and maintain continuity.</w:t>
            </w:r>
          </w:p>
        </w:tc>
      </w:tr>
      <w:tr w:rsidR="00274FFC" w14:paraId="03414FCF" w14:textId="77777777" w:rsidTr="00473C7A">
        <w:tc>
          <w:tcPr>
            <w:tcW w:w="4126" w:type="dxa"/>
          </w:tcPr>
          <w:p w14:paraId="09B4D7D1" w14:textId="77777777" w:rsidR="00274FFC" w:rsidRDefault="00274FFC" w:rsidP="001319EC">
            <w:pPr>
              <w:pStyle w:val="ListParagraph"/>
              <w:ind w:left="0"/>
              <w:rPr>
                <w:i/>
                <w:iCs/>
              </w:rPr>
            </w:pPr>
            <w:r>
              <w:rPr>
                <w:i/>
                <w:iCs/>
              </w:rPr>
              <w:lastRenderedPageBreak/>
              <w:t xml:space="preserve">h) policy frameworks are robust, regularly updated and founded in evidence and research. </w:t>
            </w:r>
          </w:p>
        </w:tc>
        <w:tc>
          <w:tcPr>
            <w:tcW w:w="4125" w:type="dxa"/>
          </w:tcPr>
          <w:p w14:paraId="79C81FB9"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Develop and implement robust policies – formulate and regularly update policy frameworks that guide educational practices, ensuring alignment with national goals and international standards.</w:t>
            </w:r>
          </w:p>
          <w:p w14:paraId="0D760242"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Promote research initiatives – encourage and support research activities at all levels of education to inform policy development and improve educational outcomes.</w:t>
            </w:r>
          </w:p>
        </w:tc>
      </w:tr>
      <w:tr w:rsidR="00274FFC" w14:paraId="2F24C9E3" w14:textId="77777777" w:rsidTr="00473C7A">
        <w:tc>
          <w:tcPr>
            <w:tcW w:w="4126" w:type="dxa"/>
          </w:tcPr>
          <w:p w14:paraId="7B9F63A8" w14:textId="77777777" w:rsidR="00274FFC" w:rsidRDefault="00274FFC" w:rsidP="001319EC">
            <w:pPr>
              <w:pStyle w:val="ListParagraph"/>
              <w:ind w:left="0"/>
              <w:rPr>
                <w:i/>
                <w:iCs/>
              </w:rPr>
            </w:pPr>
            <w:r>
              <w:rPr>
                <w:i/>
                <w:iCs/>
              </w:rPr>
              <w:t>i) There is continuity and complementarity in management and implementation of education programming/ interventions across all sectors and knowledge is shared effectively</w:t>
            </w:r>
          </w:p>
        </w:tc>
        <w:tc>
          <w:tcPr>
            <w:tcW w:w="4125" w:type="dxa"/>
          </w:tcPr>
          <w:p w14:paraId="2CBF0B5C"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Develop succession planning framework – develop and implement a comprehensive succession planning framework across all levels of the ministry, including structured handover processes, detailed documentation practices and mentorship programs to ensure continuity, effective data transfer and seamless transitions. </w:t>
            </w:r>
          </w:p>
          <w:p w14:paraId="3823A569"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Improve knowledge management – establish a central repository for key data, documents, policies and other essential information, ensuring easy access, regular updates and secure management to support effective knowledge sharing and decision-making across the ministry.</w:t>
            </w:r>
          </w:p>
          <w:p w14:paraId="4A8D7094" w14:textId="77777777" w:rsidR="00274FFC" w:rsidRDefault="00274FFC" w:rsidP="00B32148">
            <w:pPr>
              <w:pStyle w:val="ListParagraph"/>
              <w:numPr>
                <w:ilvl w:val="0"/>
                <w:numId w:val="33"/>
              </w:numPr>
              <w:suppressAutoHyphens w:val="0"/>
              <w:autoSpaceDE/>
              <w:autoSpaceDN/>
              <w:adjustRightInd/>
              <w:spacing w:line="240" w:lineRule="auto"/>
              <w:ind w:left="206" w:hanging="206"/>
              <w:jc w:val="left"/>
              <w:textAlignment w:val="auto"/>
            </w:pPr>
            <w:r>
              <w:t xml:space="preserve">Strengthen coordination mechanisms – establish and strengthen coordination mechanisms with other ministries, multilateral partners, and education stakeholders to ensure continuity, complementarity and effective knowledge sharing in the management and implementation of education programs and interventions </w:t>
            </w:r>
          </w:p>
        </w:tc>
      </w:tr>
    </w:tbl>
    <w:p w14:paraId="3161E76D" w14:textId="77777777" w:rsidR="00274FFC" w:rsidRPr="00B52AF4" w:rsidRDefault="00274FFC" w:rsidP="00274FFC">
      <w:pPr>
        <w:rPr>
          <w:b/>
          <w:bCs/>
        </w:rPr>
      </w:pPr>
    </w:p>
    <w:p w14:paraId="2774E97F" w14:textId="77777777" w:rsidR="00274FFC" w:rsidRPr="004B555A" w:rsidRDefault="00274FFC" w:rsidP="004B555A">
      <w:pPr>
        <w:sectPr w:rsidR="00274FFC" w:rsidRPr="004B555A" w:rsidSect="00AE0C58">
          <w:headerReference w:type="default" r:id="rId13"/>
          <w:pgSz w:w="11900" w:h="16840" w:code="9"/>
          <w:pgMar w:top="1134" w:right="1134" w:bottom="1134" w:left="1134" w:header="709" w:footer="709" w:gutter="0"/>
          <w:cols w:space="708"/>
          <w:docGrid w:linePitch="360"/>
        </w:sectPr>
      </w:pPr>
    </w:p>
    <w:p w14:paraId="0F115DF9" w14:textId="13F23009" w:rsidR="00D306CA" w:rsidRDefault="00D306CA" w:rsidP="00D306CA">
      <w:pPr>
        <w:pStyle w:val="Heading2"/>
      </w:pPr>
      <w:bookmarkStart w:id="22" w:name="_Toc209431958"/>
      <w:r w:rsidRPr="00CF2603">
        <w:lastRenderedPageBreak/>
        <w:t xml:space="preserve">Annex 2: </w:t>
      </w:r>
      <w:r>
        <w:t>Evaluation Plan</w:t>
      </w:r>
      <w:bookmarkEnd w:id="22"/>
    </w:p>
    <w:p w14:paraId="412D687B" w14:textId="77777777" w:rsidR="00E43A6C" w:rsidRPr="00E63A7C" w:rsidRDefault="00E43A6C" w:rsidP="003D37B6">
      <w:pPr>
        <w:spacing w:before="3840"/>
        <w:jc w:val="center"/>
        <w:rPr>
          <w:b/>
          <w:bCs/>
          <w:sz w:val="48"/>
          <w:szCs w:val="48"/>
          <w:lang w:val="en-AU"/>
        </w:rPr>
      </w:pPr>
      <w:r w:rsidRPr="00E63A7C">
        <w:rPr>
          <w:b/>
          <w:bCs/>
          <w:sz w:val="48"/>
          <w:szCs w:val="48"/>
          <w:lang w:val="en-AU"/>
        </w:rPr>
        <w:t>TAPQE Mid-term Review</w:t>
      </w:r>
    </w:p>
    <w:p w14:paraId="63AB4137" w14:textId="77777777" w:rsidR="00E43A6C" w:rsidRPr="00E63A7C" w:rsidRDefault="00E43A6C" w:rsidP="003D37B6">
      <w:pPr>
        <w:spacing w:before="720"/>
        <w:jc w:val="center"/>
        <w:rPr>
          <w:b/>
          <w:bCs/>
          <w:sz w:val="48"/>
          <w:szCs w:val="48"/>
          <w:lang w:val="en-AU"/>
        </w:rPr>
      </w:pPr>
      <w:r w:rsidRPr="00E63A7C">
        <w:rPr>
          <w:b/>
          <w:bCs/>
          <w:sz w:val="48"/>
          <w:szCs w:val="48"/>
          <w:lang w:val="en-AU"/>
        </w:rPr>
        <w:t>Evaluation Plan</w:t>
      </w:r>
    </w:p>
    <w:p w14:paraId="42C3ED2F"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b/>
          <w:bCs/>
          <w:color w:val="auto"/>
          <w:kern w:val="2"/>
          <w:lang w:val="en-AU"/>
          <w14:ligatures w14:val="standardContextual"/>
        </w:rPr>
      </w:pPr>
      <w:r w:rsidRPr="00E43A6C">
        <w:rPr>
          <w:rFonts w:ascii="Aptos" w:eastAsia="Aptos" w:hAnsi="Aptos" w:cs="Times New Roman"/>
          <w:b/>
          <w:bCs/>
          <w:color w:val="auto"/>
          <w:lang w:val="en-AU"/>
        </w:rPr>
        <w:br w:type="page"/>
      </w:r>
    </w:p>
    <w:p w14:paraId="716F0B19"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b/>
          <w:bCs/>
          <w:color w:val="auto"/>
          <w:kern w:val="2"/>
          <w:lang w:val="en-AU"/>
          <w14:ligatures w14:val="standardContextual"/>
        </w:rPr>
      </w:pPr>
    </w:p>
    <w:bookmarkStart w:id="23" w:name="_Toc188559349" w:displacedByCustomXml="next"/>
    <w:sdt>
      <w:sdtPr>
        <w:rPr>
          <w:b/>
          <w:bCs/>
          <w:lang w:val="en-GB"/>
        </w:rPr>
        <w:id w:val="-59645338"/>
        <w:docPartObj>
          <w:docPartGallery w:val="Table of Contents"/>
          <w:docPartUnique/>
        </w:docPartObj>
      </w:sdtPr>
      <w:sdtEndPr>
        <w:rPr>
          <w:rFonts w:ascii="Aptos" w:eastAsia="Aptos" w:hAnsi="Aptos" w:cs="Times New Roman"/>
          <w:b w:val="0"/>
          <w:bCs w:val="0"/>
          <w:color w:val="auto"/>
          <w:kern w:val="2"/>
          <w:sz w:val="24"/>
          <w:szCs w:val="24"/>
          <w14:ligatures w14:val="standardContextual"/>
        </w:rPr>
      </w:sdtEndPr>
      <w:sdtContent>
        <w:p w14:paraId="4C09B4EB" w14:textId="77777777" w:rsidR="00E43A6C" w:rsidRPr="00E63A7C" w:rsidRDefault="00E43A6C" w:rsidP="00E63A7C">
          <w:pPr>
            <w:rPr>
              <w:b/>
              <w:bCs/>
              <w:lang w:val="en-AU"/>
            </w:rPr>
          </w:pPr>
          <w:r w:rsidRPr="00E63A7C">
            <w:rPr>
              <w:b/>
              <w:bCs/>
              <w:lang w:val="en-AU"/>
            </w:rPr>
            <w:t>Contents</w:t>
          </w:r>
          <w:bookmarkEnd w:id="23"/>
        </w:p>
        <w:p w14:paraId="2B6E7882" w14:textId="02010F09" w:rsidR="00E43A6C" w:rsidRPr="008A2B44" w:rsidRDefault="00E43A6C" w:rsidP="00E43A6C">
          <w:pPr>
            <w:tabs>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r w:rsidRPr="00E43A6C">
            <w:rPr>
              <w:rFonts w:ascii="Aptos" w:eastAsia="Aptos" w:hAnsi="Aptos" w:cs="Times New Roman"/>
              <w:color w:val="auto"/>
              <w:kern w:val="2"/>
              <w:sz w:val="24"/>
              <w:szCs w:val="24"/>
              <w:lang w:val="en-AU"/>
              <w14:ligatures w14:val="standardContextual"/>
            </w:rPr>
            <w:fldChar w:fldCharType="begin"/>
          </w:r>
          <w:r w:rsidRPr="00E43A6C">
            <w:rPr>
              <w:rFonts w:ascii="Aptos" w:eastAsia="Aptos" w:hAnsi="Aptos" w:cs="Times New Roman"/>
              <w:color w:val="auto"/>
              <w:kern w:val="2"/>
              <w:sz w:val="24"/>
              <w:szCs w:val="24"/>
              <w:lang w:val="en-AU"/>
              <w14:ligatures w14:val="standardContextual"/>
            </w:rPr>
            <w:instrText xml:space="preserve"> TOC \o "1-3" \h \z \u </w:instrText>
          </w:r>
          <w:r w:rsidRPr="00E43A6C">
            <w:rPr>
              <w:rFonts w:ascii="Aptos" w:eastAsia="Aptos" w:hAnsi="Aptos" w:cs="Times New Roman"/>
              <w:color w:val="auto"/>
              <w:kern w:val="2"/>
              <w:sz w:val="24"/>
              <w:szCs w:val="24"/>
              <w:lang w:val="en-AU"/>
              <w14:ligatures w14:val="standardContextual"/>
            </w:rPr>
            <w:fldChar w:fldCharType="separate"/>
          </w:r>
          <w:hyperlink r:id="rId14" w:anchor="_Toc188559349" w:history="1">
            <w:r w:rsidRPr="008A2B44">
              <w:rPr>
                <w:rFonts w:ascii="Aptos" w:eastAsia="Aptos" w:hAnsi="Aptos" w:cs="Times New Roman"/>
                <w:noProof/>
                <w:color w:val="467886"/>
                <w:kern w:val="2"/>
                <w:sz w:val="24"/>
                <w:szCs w:val="24"/>
                <w:lang w:val="en-AU"/>
                <w14:ligatures w14:val="standardContextual"/>
              </w:rPr>
              <w:t>Contents</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_Toc188559349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2</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4811E499" w14:textId="23EB4149" w:rsidR="00E43A6C" w:rsidRPr="008A2B44" w:rsidRDefault="00E43A6C" w:rsidP="00E43A6C">
          <w:pPr>
            <w:tabs>
              <w:tab w:val="left" w:pos="567"/>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15" w:anchor="_Toc188559350" w:history="1">
            <w:r w:rsidRPr="008A2B44">
              <w:rPr>
                <w:rFonts w:ascii="Aptos" w:eastAsia="Aptos" w:hAnsi="Aptos" w:cs="Times New Roman"/>
                <w:noProof/>
                <w:color w:val="467886"/>
                <w:kern w:val="2"/>
                <w:sz w:val="24"/>
                <w:szCs w:val="24"/>
                <w:lang w:val="en-AU"/>
                <w14:ligatures w14:val="standardContextual"/>
              </w:rPr>
              <w:t>1.</w:t>
            </w:r>
            <w:r w:rsidRPr="008A2B44">
              <w:rPr>
                <w:rFonts w:ascii="Aptos" w:eastAsia="Aptos" w:hAnsi="Aptos" w:cs="Times New Roman"/>
                <w:noProof/>
                <w:color w:val="467886"/>
                <w:kern w:val="2"/>
                <w:sz w:val="24"/>
                <w:szCs w:val="24"/>
                <w:lang w:val="en-AU" w:eastAsia="en-AU"/>
                <w14:ligatures w14:val="standardContextual"/>
              </w:rPr>
              <w:tab/>
            </w:r>
            <w:r w:rsidRPr="008A2B44">
              <w:rPr>
                <w:rFonts w:ascii="Aptos" w:eastAsia="Aptos" w:hAnsi="Aptos" w:cs="Times New Roman"/>
                <w:noProof/>
                <w:color w:val="467886"/>
                <w:kern w:val="2"/>
                <w:sz w:val="24"/>
                <w:szCs w:val="24"/>
                <w:lang w:val="en-AU"/>
                <w14:ligatures w14:val="standardContextual"/>
              </w:rPr>
              <w:t>Introduction</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_Toc188559350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3</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717BA575" w14:textId="68D365F6" w:rsidR="00E43A6C" w:rsidRPr="008A2B44" w:rsidRDefault="00E43A6C" w:rsidP="00E43A6C">
          <w:pPr>
            <w:tabs>
              <w:tab w:val="right" w:leader="dot" w:pos="9628"/>
            </w:tabs>
            <w:suppressAutoHyphens w:val="0"/>
            <w:autoSpaceDE/>
            <w:autoSpaceDN/>
            <w:adjustRightInd/>
            <w:spacing w:after="100"/>
            <w:ind w:left="567"/>
            <w:jc w:val="left"/>
            <w:textAlignment w:val="auto"/>
            <w:rPr>
              <w:rFonts w:ascii="Aptos" w:eastAsia="Times New Roman" w:hAnsi="Aptos" w:cs="Times New Roman"/>
              <w:noProof/>
              <w:color w:val="auto"/>
              <w:kern w:val="2"/>
              <w:sz w:val="24"/>
              <w:szCs w:val="24"/>
              <w:lang w:val="en-AU" w:eastAsia="en-AU"/>
              <w14:ligatures w14:val="standardContextual"/>
            </w:rPr>
          </w:pPr>
          <w:hyperlink r:id="rId16" w:anchor="_Toc188559351" w:history="1">
            <w:r w:rsidRPr="008A2B44">
              <w:rPr>
                <w:rFonts w:ascii="Aptos" w:eastAsia="Aptos" w:hAnsi="Aptos" w:cs="Times New Roman"/>
                <w:noProof/>
                <w:color w:val="467886"/>
                <w:kern w:val="2"/>
                <w:sz w:val="24"/>
                <w:szCs w:val="24"/>
                <w:lang w:val="en-AU"/>
                <w14:ligatures w14:val="standardContextual"/>
              </w:rPr>
              <w:t>Background and context</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_Toc188559351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3</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2F877E94" w14:textId="3DD2C840" w:rsidR="00E43A6C" w:rsidRPr="008A2B44" w:rsidRDefault="00E43A6C" w:rsidP="00E43A6C">
          <w:pPr>
            <w:tabs>
              <w:tab w:val="right" w:leader="dot" w:pos="9628"/>
            </w:tabs>
            <w:suppressAutoHyphens w:val="0"/>
            <w:autoSpaceDE/>
            <w:autoSpaceDN/>
            <w:adjustRightInd/>
            <w:spacing w:after="100"/>
            <w:ind w:left="567"/>
            <w:jc w:val="left"/>
            <w:textAlignment w:val="auto"/>
            <w:rPr>
              <w:rFonts w:ascii="Aptos" w:eastAsia="Times New Roman" w:hAnsi="Aptos" w:cs="Times New Roman"/>
              <w:noProof/>
              <w:color w:val="auto"/>
              <w:kern w:val="2"/>
              <w:sz w:val="24"/>
              <w:szCs w:val="24"/>
              <w:lang w:val="en-AU" w:eastAsia="en-AU"/>
              <w14:ligatures w14:val="standardContextual"/>
            </w:rPr>
          </w:pPr>
          <w:hyperlink r:id="rId17" w:anchor="_Toc188559352" w:history="1">
            <w:r w:rsidRPr="008A2B44">
              <w:rPr>
                <w:rFonts w:ascii="Aptos" w:eastAsia="Aptos" w:hAnsi="Aptos" w:cs="Times New Roman"/>
                <w:noProof/>
                <w:color w:val="467886"/>
                <w:kern w:val="2"/>
                <w:sz w:val="24"/>
                <w:szCs w:val="24"/>
                <w:lang w:val="en-AU"/>
                <w14:ligatures w14:val="standardContextual"/>
              </w:rPr>
              <w:t>Purpose and Scope</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_Toc188559352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3</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7C0FBE04" w14:textId="1F38AC26" w:rsidR="00E43A6C" w:rsidRPr="008A2B44" w:rsidRDefault="00E43A6C" w:rsidP="00E43A6C">
          <w:pPr>
            <w:tabs>
              <w:tab w:val="left" w:pos="567"/>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18" w:anchor="_Toc188559353" w:history="1">
            <w:r w:rsidRPr="008A2B44">
              <w:rPr>
                <w:rFonts w:ascii="Aptos" w:eastAsia="Aptos" w:hAnsi="Aptos" w:cs="Times New Roman"/>
                <w:noProof/>
                <w:color w:val="467886"/>
                <w:kern w:val="2"/>
                <w:sz w:val="24"/>
                <w:szCs w:val="24"/>
                <w:lang w:val="en-AU"/>
                <w14:ligatures w14:val="standardContextual"/>
              </w:rPr>
              <w:t>2.</w:t>
            </w:r>
            <w:r w:rsidRPr="008A2B44">
              <w:rPr>
                <w:rFonts w:ascii="Aptos" w:eastAsia="Aptos" w:hAnsi="Aptos" w:cs="Times New Roman"/>
                <w:noProof/>
                <w:color w:val="467886"/>
                <w:kern w:val="2"/>
                <w:sz w:val="24"/>
                <w:szCs w:val="24"/>
                <w:lang w:val="en-AU" w:eastAsia="en-AU"/>
                <w14:ligatures w14:val="standardContextual"/>
              </w:rPr>
              <w:tab/>
            </w:r>
            <w:r w:rsidRPr="008A2B44">
              <w:rPr>
                <w:rFonts w:ascii="Aptos" w:eastAsia="Aptos" w:hAnsi="Aptos" w:cs="Times New Roman"/>
                <w:noProof/>
                <w:color w:val="467886"/>
                <w:kern w:val="2"/>
                <w:sz w:val="24"/>
                <w:szCs w:val="24"/>
                <w:lang w:val="en-AU"/>
                <w14:ligatures w14:val="standardContextual"/>
              </w:rPr>
              <w:t>Mid-Term Review Key Questions</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_Toc188559353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4</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02F99FE2" w14:textId="1F58654A" w:rsidR="00E43A6C" w:rsidRPr="008A2B44" w:rsidRDefault="00E43A6C" w:rsidP="00E43A6C">
          <w:pPr>
            <w:tabs>
              <w:tab w:val="left" w:pos="567"/>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19" w:anchor="_Toc188559354" w:history="1">
            <w:r w:rsidRPr="008A2B44">
              <w:rPr>
                <w:rFonts w:ascii="Aptos" w:eastAsia="Aptos" w:hAnsi="Aptos" w:cs="Times New Roman"/>
                <w:noProof/>
                <w:color w:val="467886"/>
                <w:kern w:val="2"/>
                <w:sz w:val="24"/>
                <w:szCs w:val="24"/>
                <w:lang w:val="en-AU"/>
                <w14:ligatures w14:val="standardContextual"/>
              </w:rPr>
              <w:t>3.</w:t>
            </w:r>
            <w:r w:rsidRPr="008A2B44">
              <w:rPr>
                <w:rFonts w:ascii="Aptos" w:eastAsia="Aptos" w:hAnsi="Aptos" w:cs="Times New Roman"/>
                <w:noProof/>
                <w:color w:val="467886"/>
                <w:kern w:val="2"/>
                <w:sz w:val="24"/>
                <w:szCs w:val="24"/>
                <w:lang w:val="en-AU" w:eastAsia="en-AU"/>
                <w14:ligatures w14:val="standardContextual"/>
              </w:rPr>
              <w:tab/>
            </w:r>
            <w:r w:rsidRPr="008A2B44">
              <w:rPr>
                <w:rFonts w:ascii="Aptos" w:eastAsia="Aptos" w:hAnsi="Aptos" w:cs="Times New Roman"/>
                <w:noProof/>
                <w:color w:val="467886"/>
                <w:kern w:val="2"/>
                <w:sz w:val="24"/>
                <w:szCs w:val="24"/>
                <w:lang w:val="en-AU"/>
                <w14:ligatures w14:val="standardContextual"/>
              </w:rPr>
              <w:t>Approach</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_Toc188559354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5</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3D776177" w14:textId="301F68EF" w:rsidR="00E43A6C" w:rsidRPr="008A2B44" w:rsidRDefault="00E43A6C" w:rsidP="00E43A6C">
          <w:pPr>
            <w:tabs>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20" w:anchor="_Toc188559355" w:history="1">
            <w:r w:rsidRPr="008A2B44">
              <w:rPr>
                <w:rFonts w:ascii="Aptos" w:eastAsia="Aptos" w:hAnsi="Aptos" w:cs="Times New Roman"/>
                <w:noProof/>
                <w:color w:val="467886"/>
                <w:kern w:val="2"/>
                <w:sz w:val="24"/>
                <w:szCs w:val="24"/>
                <w:lang w:val="en-AU"/>
                <w14:ligatures w14:val="standardContextual"/>
              </w:rPr>
              <w:t>Annex 1 – TAPQE Mid-Term Review Terms of Reference (draft – 6 January)</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_Toc188559355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6</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27E2ED33" w14:textId="5E70A05E" w:rsidR="00E43A6C" w:rsidRPr="008A2B44" w:rsidRDefault="00E43A6C" w:rsidP="00E43A6C">
          <w:pPr>
            <w:tabs>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21" w:anchor="_Toc188559356" w:history="1">
            <w:r w:rsidRPr="008A2B44">
              <w:rPr>
                <w:rFonts w:ascii="Aptos" w:eastAsia="Aptos" w:hAnsi="Aptos" w:cs="Times New Roman"/>
                <w:noProof/>
                <w:color w:val="467886"/>
                <w:kern w:val="2"/>
                <w:sz w:val="24"/>
                <w:szCs w:val="24"/>
                <w:lang w:val="en-AU"/>
                <w14:ligatures w14:val="standardContextual"/>
              </w:rPr>
              <w:t>Annex 2 – Background documents (Initial set)</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_Toc188559356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13</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47B27546" w14:textId="6FD9F2BA" w:rsidR="00E43A6C" w:rsidRPr="008A2B44" w:rsidRDefault="00E43A6C" w:rsidP="00E43A6C">
          <w:pPr>
            <w:tabs>
              <w:tab w:val="right" w:leader="dot" w:pos="9628"/>
            </w:tabs>
            <w:suppressAutoHyphens w:val="0"/>
            <w:autoSpaceDE/>
            <w:autoSpaceDN/>
            <w:adjustRightInd/>
            <w:spacing w:after="100"/>
            <w:jc w:val="left"/>
            <w:textAlignment w:val="auto"/>
            <w:rPr>
              <w:rFonts w:ascii="Aptos" w:eastAsia="Times New Roman" w:hAnsi="Aptos" w:cs="Times New Roman"/>
              <w:noProof/>
              <w:color w:val="auto"/>
              <w:kern w:val="2"/>
              <w:sz w:val="24"/>
              <w:szCs w:val="24"/>
              <w:lang w:val="en-AU" w:eastAsia="en-AU"/>
              <w14:ligatures w14:val="standardContextual"/>
            </w:rPr>
          </w:pPr>
          <w:hyperlink r:id="rId22" w:anchor="_Toc188559357" w:history="1">
            <w:r w:rsidRPr="008A2B44">
              <w:rPr>
                <w:rFonts w:ascii="Aptos" w:eastAsia="Aptos" w:hAnsi="Aptos" w:cs="Times New Roman"/>
                <w:noProof/>
                <w:color w:val="467886"/>
                <w:kern w:val="2"/>
                <w:sz w:val="24"/>
                <w:szCs w:val="24"/>
                <w:lang w:val="en-AU"/>
                <w14:ligatures w14:val="standardContextual"/>
              </w:rPr>
              <w:t>Annex 3 – TAPQE Mid-Term Review Key Questions x Sources of Data</w:t>
            </w:r>
            <w:r w:rsidRPr="008A2B44">
              <w:rPr>
                <w:rFonts w:ascii="Aptos" w:eastAsia="Aptos" w:hAnsi="Aptos" w:cs="Times New Roman"/>
                <w:noProof/>
                <w:webHidden/>
                <w:color w:val="467886"/>
                <w:kern w:val="2"/>
                <w:sz w:val="24"/>
                <w:szCs w:val="24"/>
                <w:lang w:val="en-AU"/>
                <w14:ligatures w14:val="standardContextual"/>
              </w:rPr>
              <w:tab/>
            </w:r>
            <w:r w:rsidRPr="008A2B44">
              <w:rPr>
                <w:rFonts w:ascii="Aptos" w:eastAsia="Aptos" w:hAnsi="Aptos" w:cs="Times New Roman"/>
                <w:noProof/>
                <w:webHidden/>
                <w:color w:val="467886"/>
                <w:kern w:val="2"/>
                <w:sz w:val="24"/>
                <w:szCs w:val="24"/>
                <w:lang w:val="en-AU"/>
                <w14:ligatures w14:val="standardContextual"/>
              </w:rPr>
              <w:fldChar w:fldCharType="begin"/>
            </w:r>
            <w:r w:rsidRPr="008A2B44">
              <w:rPr>
                <w:rFonts w:ascii="Aptos" w:eastAsia="Aptos" w:hAnsi="Aptos" w:cs="Times New Roman"/>
                <w:noProof/>
                <w:webHidden/>
                <w:color w:val="467886"/>
                <w:kern w:val="2"/>
                <w:sz w:val="24"/>
                <w:szCs w:val="24"/>
                <w:lang w:val="en-AU"/>
                <w14:ligatures w14:val="standardContextual"/>
              </w:rPr>
              <w:instrText xml:space="preserve"> PAGEREF _Toc188559357 \h </w:instrText>
            </w:r>
            <w:r w:rsidRPr="008A2B44">
              <w:rPr>
                <w:rFonts w:ascii="Aptos" w:eastAsia="Aptos" w:hAnsi="Aptos" w:cs="Times New Roman"/>
                <w:noProof/>
                <w:webHidden/>
                <w:color w:val="467886"/>
                <w:kern w:val="2"/>
                <w:sz w:val="24"/>
                <w:szCs w:val="24"/>
                <w:lang w:val="en-AU"/>
                <w14:ligatures w14:val="standardContextual"/>
              </w:rPr>
            </w:r>
            <w:r w:rsidRPr="008A2B44">
              <w:rPr>
                <w:rFonts w:ascii="Aptos" w:eastAsia="Aptos" w:hAnsi="Aptos" w:cs="Times New Roman"/>
                <w:noProof/>
                <w:webHidden/>
                <w:color w:val="467886"/>
                <w:kern w:val="2"/>
                <w:sz w:val="24"/>
                <w:szCs w:val="24"/>
                <w:lang w:val="en-AU"/>
                <w14:ligatures w14:val="standardContextual"/>
              </w:rPr>
              <w:fldChar w:fldCharType="separate"/>
            </w:r>
            <w:r w:rsidR="00473C7A" w:rsidRPr="008A2B44">
              <w:rPr>
                <w:rFonts w:ascii="Aptos" w:eastAsia="Aptos" w:hAnsi="Aptos" w:cs="Times New Roman"/>
                <w:noProof/>
                <w:webHidden/>
                <w:color w:val="467886"/>
                <w:kern w:val="2"/>
                <w:sz w:val="24"/>
                <w:szCs w:val="24"/>
                <w:lang w:val="en-AU"/>
                <w14:ligatures w14:val="standardContextual"/>
              </w:rPr>
              <w:t>14</w:t>
            </w:r>
            <w:r w:rsidRPr="008A2B44">
              <w:rPr>
                <w:rFonts w:ascii="Aptos" w:eastAsia="Aptos" w:hAnsi="Aptos" w:cs="Times New Roman"/>
                <w:noProof/>
                <w:webHidden/>
                <w:color w:val="467886"/>
                <w:kern w:val="2"/>
                <w:sz w:val="24"/>
                <w:szCs w:val="24"/>
                <w:lang w:val="en-AU"/>
                <w14:ligatures w14:val="standardContextual"/>
              </w:rPr>
              <w:fldChar w:fldCharType="end"/>
            </w:r>
          </w:hyperlink>
        </w:p>
        <w:p w14:paraId="2449DDAA"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sz w:val="24"/>
              <w:szCs w:val="24"/>
              <w:lang w:val="en-AU"/>
              <w14:ligatures w14:val="standardContextual"/>
            </w:rPr>
          </w:pPr>
          <w:r w:rsidRPr="00E43A6C">
            <w:rPr>
              <w:rFonts w:ascii="Aptos" w:eastAsia="Aptos" w:hAnsi="Aptos" w:cs="Times New Roman"/>
              <w:b/>
              <w:bCs/>
              <w:color w:val="auto"/>
              <w:kern w:val="2"/>
              <w:sz w:val="24"/>
              <w:szCs w:val="24"/>
              <w:lang w:val="en-GB"/>
              <w14:ligatures w14:val="standardContextual"/>
            </w:rPr>
            <w:fldChar w:fldCharType="end"/>
          </w:r>
        </w:p>
      </w:sdtContent>
    </w:sdt>
    <w:p w14:paraId="2C704242" w14:textId="77777777" w:rsidR="00E43A6C" w:rsidRPr="00E43A6C" w:rsidRDefault="00E43A6C" w:rsidP="003D37B6">
      <w:pPr>
        <w:suppressAutoHyphens w:val="0"/>
        <w:autoSpaceDE/>
        <w:autoSpaceDN/>
        <w:adjustRightInd/>
        <w:spacing w:before="1440" w:after="120" w:line="252" w:lineRule="auto"/>
        <w:jc w:val="left"/>
        <w:textAlignment w:val="auto"/>
        <w:rPr>
          <w:rFonts w:ascii="Aptos" w:eastAsia="Calibri" w:hAnsi="Aptos" w:cs="Times New Roman"/>
          <w:color w:val="auto"/>
          <w:sz w:val="24"/>
          <w:szCs w:val="24"/>
          <w:u w:val="single"/>
          <w:lang w:val="en-AU"/>
        </w:rPr>
      </w:pPr>
      <w:r w:rsidRPr="00E43A6C">
        <w:rPr>
          <w:rFonts w:ascii="Aptos" w:eastAsia="Calibri" w:hAnsi="Aptos" w:cs="Times New Roman"/>
          <w:color w:val="auto"/>
          <w:sz w:val="24"/>
          <w:szCs w:val="24"/>
          <w:u w:val="single"/>
          <w:lang w:val="en-AU"/>
        </w:rPr>
        <w:t>Document history</w:t>
      </w:r>
    </w:p>
    <w:tbl>
      <w:tblPr>
        <w:tblW w:w="0" w:type="auto"/>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Look w:val="04A0" w:firstRow="1" w:lastRow="0" w:firstColumn="1" w:lastColumn="0" w:noHBand="0" w:noVBand="1"/>
      </w:tblPr>
      <w:tblGrid>
        <w:gridCol w:w="1555"/>
        <w:gridCol w:w="1701"/>
        <w:gridCol w:w="2522"/>
        <w:gridCol w:w="3225"/>
      </w:tblGrid>
      <w:tr w:rsidR="00E43A6C" w:rsidRPr="00E43A6C" w14:paraId="28C748FB" w14:textId="77777777" w:rsidTr="00E43A6C">
        <w:tc>
          <w:tcPr>
            <w:tcW w:w="1555" w:type="dxa"/>
            <w:tcBorders>
              <w:top w:val="single" w:sz="4" w:space="0" w:color="D9D9D9"/>
              <w:left w:val="single" w:sz="4" w:space="0" w:color="D9D9D9"/>
              <w:bottom w:val="single" w:sz="4" w:space="0" w:color="D9D9D9"/>
              <w:right w:val="single" w:sz="4" w:space="0" w:color="D9D9D9"/>
            </w:tcBorders>
            <w:shd w:val="clear" w:color="auto" w:fill="BFBFBF"/>
            <w:hideMark/>
          </w:tcPr>
          <w:p w14:paraId="69AA9845" w14:textId="77777777" w:rsidR="00E43A6C" w:rsidRPr="00E43A6C" w:rsidRDefault="00E43A6C" w:rsidP="00E43A6C">
            <w:pPr>
              <w:suppressAutoHyphens w:val="0"/>
              <w:autoSpaceDE/>
              <w:autoSpaceDN/>
              <w:adjustRightInd/>
              <w:spacing w:before="60" w:after="40"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Version</w:t>
            </w:r>
          </w:p>
        </w:tc>
        <w:tc>
          <w:tcPr>
            <w:tcW w:w="1701" w:type="dxa"/>
            <w:tcBorders>
              <w:top w:val="single" w:sz="4" w:space="0" w:color="D9D9D9"/>
              <w:left w:val="single" w:sz="4" w:space="0" w:color="D9D9D9"/>
              <w:bottom w:val="single" w:sz="4" w:space="0" w:color="D9D9D9"/>
              <w:right w:val="single" w:sz="4" w:space="0" w:color="D9D9D9"/>
            </w:tcBorders>
            <w:shd w:val="clear" w:color="auto" w:fill="BFBFBF"/>
            <w:hideMark/>
          </w:tcPr>
          <w:p w14:paraId="50A0750B" w14:textId="77777777" w:rsidR="00E43A6C" w:rsidRPr="00E43A6C" w:rsidRDefault="00E43A6C" w:rsidP="00E43A6C">
            <w:pPr>
              <w:suppressAutoHyphens w:val="0"/>
              <w:autoSpaceDE/>
              <w:autoSpaceDN/>
              <w:adjustRightInd/>
              <w:spacing w:before="60" w:after="40"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Date submitted</w:t>
            </w:r>
          </w:p>
        </w:tc>
        <w:tc>
          <w:tcPr>
            <w:tcW w:w="2522" w:type="dxa"/>
            <w:tcBorders>
              <w:top w:val="single" w:sz="4" w:space="0" w:color="D9D9D9"/>
              <w:left w:val="single" w:sz="4" w:space="0" w:color="D9D9D9"/>
              <w:bottom w:val="single" w:sz="4" w:space="0" w:color="D9D9D9"/>
              <w:right w:val="single" w:sz="4" w:space="0" w:color="D9D9D9"/>
            </w:tcBorders>
            <w:shd w:val="clear" w:color="auto" w:fill="BFBFBF"/>
            <w:hideMark/>
          </w:tcPr>
          <w:p w14:paraId="36B70901" w14:textId="77777777" w:rsidR="00E43A6C" w:rsidRPr="00E43A6C" w:rsidRDefault="00E43A6C" w:rsidP="00E43A6C">
            <w:pPr>
              <w:suppressAutoHyphens w:val="0"/>
              <w:autoSpaceDE/>
              <w:autoSpaceDN/>
              <w:adjustRightInd/>
              <w:spacing w:before="60" w:after="40"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Submitted to</w:t>
            </w:r>
          </w:p>
        </w:tc>
        <w:tc>
          <w:tcPr>
            <w:tcW w:w="3225" w:type="dxa"/>
            <w:tcBorders>
              <w:top w:val="single" w:sz="4" w:space="0" w:color="D9D9D9"/>
              <w:left w:val="single" w:sz="4" w:space="0" w:color="D9D9D9"/>
              <w:bottom w:val="single" w:sz="4" w:space="0" w:color="D9D9D9"/>
              <w:right w:val="single" w:sz="4" w:space="0" w:color="D9D9D9"/>
            </w:tcBorders>
            <w:shd w:val="clear" w:color="auto" w:fill="BFBFBF"/>
            <w:hideMark/>
          </w:tcPr>
          <w:p w14:paraId="26E13552" w14:textId="77777777" w:rsidR="00E43A6C" w:rsidRPr="00E43A6C" w:rsidRDefault="00E43A6C" w:rsidP="00E43A6C">
            <w:pPr>
              <w:suppressAutoHyphens w:val="0"/>
              <w:autoSpaceDE/>
              <w:autoSpaceDN/>
              <w:adjustRightInd/>
              <w:spacing w:before="60" w:after="40"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Amendments</w:t>
            </w:r>
          </w:p>
        </w:tc>
      </w:tr>
      <w:tr w:rsidR="00E43A6C" w:rsidRPr="00E43A6C" w14:paraId="7909D0BF" w14:textId="77777777" w:rsidTr="00E43A6C">
        <w:tc>
          <w:tcPr>
            <w:tcW w:w="1555" w:type="dxa"/>
            <w:tcBorders>
              <w:top w:val="single" w:sz="4" w:space="0" w:color="D9D9D9"/>
              <w:left w:val="single" w:sz="4" w:space="0" w:color="D9D9D9"/>
              <w:bottom w:val="single" w:sz="4" w:space="0" w:color="D9D9D9"/>
              <w:right w:val="single" w:sz="4" w:space="0" w:color="D9D9D9"/>
            </w:tcBorders>
            <w:hideMark/>
          </w:tcPr>
          <w:p w14:paraId="004795E3" w14:textId="77777777" w:rsidR="00E43A6C" w:rsidRPr="00E43A6C" w:rsidRDefault="00E43A6C" w:rsidP="00E43A6C">
            <w:pPr>
              <w:suppressAutoHyphens w:val="0"/>
              <w:autoSpaceDE/>
              <w:autoSpaceDN/>
              <w:adjustRightInd/>
              <w:spacing w:line="252" w:lineRule="auto"/>
              <w:jc w:val="left"/>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V1.0 for review</w:t>
            </w:r>
          </w:p>
        </w:tc>
        <w:tc>
          <w:tcPr>
            <w:tcW w:w="1701" w:type="dxa"/>
            <w:tcBorders>
              <w:top w:val="single" w:sz="4" w:space="0" w:color="D9D9D9"/>
              <w:left w:val="single" w:sz="4" w:space="0" w:color="D9D9D9"/>
              <w:bottom w:val="single" w:sz="4" w:space="0" w:color="D9D9D9"/>
              <w:right w:val="single" w:sz="4" w:space="0" w:color="D9D9D9"/>
            </w:tcBorders>
            <w:hideMark/>
          </w:tcPr>
          <w:p w14:paraId="554DCAA1" w14:textId="77777777" w:rsidR="00E43A6C" w:rsidRPr="00E43A6C" w:rsidRDefault="00E43A6C" w:rsidP="00E43A6C">
            <w:pPr>
              <w:suppressAutoHyphens w:val="0"/>
              <w:autoSpaceDE/>
              <w:autoSpaceDN/>
              <w:adjustRightInd/>
              <w:spacing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23 January</w:t>
            </w:r>
          </w:p>
        </w:tc>
        <w:tc>
          <w:tcPr>
            <w:tcW w:w="2522" w:type="dxa"/>
            <w:tcBorders>
              <w:top w:val="single" w:sz="4" w:space="0" w:color="D9D9D9"/>
              <w:left w:val="single" w:sz="4" w:space="0" w:color="D9D9D9"/>
              <w:bottom w:val="single" w:sz="4" w:space="0" w:color="D9D9D9"/>
              <w:right w:val="single" w:sz="4" w:space="0" w:color="D9D9D9"/>
            </w:tcBorders>
            <w:hideMark/>
          </w:tcPr>
          <w:p w14:paraId="24635FED" w14:textId="77777777" w:rsidR="00E43A6C" w:rsidRPr="00E43A6C" w:rsidRDefault="00E43A6C" w:rsidP="00E43A6C">
            <w:pPr>
              <w:suppressAutoHyphens w:val="0"/>
              <w:autoSpaceDE/>
              <w:autoSpaceDN/>
              <w:adjustRightInd/>
              <w:spacing w:line="252" w:lineRule="auto"/>
              <w:jc w:val="center"/>
              <w:textAlignment w:val="auto"/>
              <w:rPr>
                <w:rFonts w:ascii="Aptos" w:eastAsia="Calibri" w:hAnsi="Aptos" w:cs="Times New Roman"/>
                <w:color w:val="auto"/>
                <w:kern w:val="2"/>
                <w:sz w:val="20"/>
                <w:szCs w:val="20"/>
                <w:lang w:val="en-AU"/>
                <w14:ligatures w14:val="standardContextual"/>
              </w:rPr>
            </w:pPr>
            <w:r w:rsidRPr="00E43A6C">
              <w:rPr>
                <w:rFonts w:ascii="Aptos" w:eastAsia="Calibri" w:hAnsi="Aptos" w:cs="Times New Roman"/>
                <w:color w:val="auto"/>
                <w:kern w:val="2"/>
                <w:sz w:val="20"/>
                <w:szCs w:val="20"/>
                <w:lang w:val="en-AU"/>
                <w14:ligatures w14:val="standardContextual"/>
              </w:rPr>
              <w:t>Harry Needham, Second Secretary, AHC Tuvalu</w:t>
            </w:r>
          </w:p>
        </w:tc>
        <w:tc>
          <w:tcPr>
            <w:tcW w:w="3225" w:type="dxa"/>
            <w:tcBorders>
              <w:top w:val="single" w:sz="4" w:space="0" w:color="D9D9D9"/>
              <w:left w:val="single" w:sz="4" w:space="0" w:color="D9D9D9"/>
              <w:bottom w:val="single" w:sz="4" w:space="0" w:color="D9D9D9"/>
              <w:right w:val="single" w:sz="4" w:space="0" w:color="D9D9D9"/>
            </w:tcBorders>
          </w:tcPr>
          <w:p w14:paraId="1363DC5E" w14:textId="77777777" w:rsidR="00E43A6C" w:rsidRPr="00E43A6C" w:rsidRDefault="00E43A6C" w:rsidP="00E43A6C">
            <w:pPr>
              <w:suppressAutoHyphens w:val="0"/>
              <w:autoSpaceDE/>
              <w:autoSpaceDN/>
              <w:adjustRightInd/>
              <w:jc w:val="left"/>
              <w:textAlignment w:val="auto"/>
              <w:rPr>
                <w:rFonts w:ascii="Aptos" w:eastAsia="Aptos" w:hAnsi="Aptos" w:cs="Times New Roman"/>
                <w:color w:val="auto"/>
                <w:kern w:val="2"/>
                <w:sz w:val="20"/>
                <w:szCs w:val="20"/>
                <w:lang w:val="en-AU"/>
                <w14:ligatures w14:val="standardContextual"/>
              </w:rPr>
            </w:pPr>
          </w:p>
        </w:tc>
      </w:tr>
    </w:tbl>
    <w:p w14:paraId="089A1DFC"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b/>
          <w:bCs/>
          <w:color w:val="auto"/>
          <w:kern w:val="2"/>
          <w:lang w:val="en-AU"/>
          <w14:ligatures w14:val="standardContextual"/>
        </w:rPr>
      </w:pPr>
      <w:r w:rsidRPr="00E43A6C">
        <w:rPr>
          <w:rFonts w:ascii="Aptos" w:eastAsia="Aptos" w:hAnsi="Aptos" w:cs="Times New Roman"/>
          <w:b/>
          <w:bCs/>
          <w:color w:val="auto"/>
          <w:lang w:val="en-AU"/>
        </w:rPr>
        <w:br w:type="page"/>
      </w:r>
    </w:p>
    <w:p w14:paraId="1B7D03EC" w14:textId="77777777" w:rsidR="00E43A6C" w:rsidRPr="00E43A6C" w:rsidRDefault="00E43A6C" w:rsidP="00E43A6C">
      <w:pPr>
        <w:suppressAutoHyphens w:val="0"/>
        <w:autoSpaceDE/>
        <w:autoSpaceDN/>
        <w:adjustRightInd/>
        <w:spacing w:after="160"/>
        <w:jc w:val="center"/>
        <w:textAlignment w:val="auto"/>
        <w:rPr>
          <w:rFonts w:ascii="Aptos" w:eastAsia="Aptos" w:hAnsi="Aptos" w:cs="Times New Roman"/>
          <w:b/>
          <w:bCs/>
          <w:color w:val="auto"/>
          <w:kern w:val="2"/>
          <w:sz w:val="28"/>
          <w:szCs w:val="28"/>
          <w:lang w:val="en-AU"/>
          <w14:ligatures w14:val="standardContextual"/>
        </w:rPr>
      </w:pPr>
      <w:r w:rsidRPr="00E43A6C">
        <w:rPr>
          <w:rFonts w:ascii="Aptos" w:eastAsia="Aptos" w:hAnsi="Aptos" w:cs="Times New Roman"/>
          <w:b/>
          <w:bCs/>
          <w:color w:val="auto"/>
          <w:kern w:val="2"/>
          <w:sz w:val="28"/>
          <w:szCs w:val="28"/>
          <w:lang w:val="en-AU"/>
          <w14:ligatures w14:val="standardContextual"/>
        </w:rPr>
        <w:lastRenderedPageBreak/>
        <w:t xml:space="preserve">Tuvalu and Australia Partnership for Quality Education (TAPQE) </w:t>
      </w:r>
    </w:p>
    <w:p w14:paraId="260C3121" w14:textId="77777777" w:rsidR="00E43A6C" w:rsidRPr="00E43A6C" w:rsidRDefault="00E43A6C" w:rsidP="00E43A6C">
      <w:pPr>
        <w:suppressAutoHyphens w:val="0"/>
        <w:autoSpaceDE/>
        <w:autoSpaceDN/>
        <w:adjustRightInd/>
        <w:spacing w:after="160"/>
        <w:jc w:val="center"/>
        <w:textAlignment w:val="auto"/>
        <w:rPr>
          <w:rFonts w:ascii="Aptos" w:eastAsia="Aptos" w:hAnsi="Aptos" w:cs="Times New Roman"/>
          <w:b/>
          <w:bCs/>
          <w:color w:val="auto"/>
          <w:kern w:val="2"/>
          <w:sz w:val="28"/>
          <w:szCs w:val="28"/>
          <w:lang w:val="en-AU"/>
          <w14:ligatures w14:val="standardContextual"/>
        </w:rPr>
      </w:pPr>
      <w:r w:rsidRPr="00E43A6C">
        <w:rPr>
          <w:rFonts w:ascii="Aptos" w:eastAsia="Aptos" w:hAnsi="Aptos" w:cs="Times New Roman"/>
          <w:b/>
          <w:bCs/>
          <w:color w:val="auto"/>
          <w:kern w:val="2"/>
          <w:sz w:val="28"/>
          <w:szCs w:val="28"/>
          <w:lang w:val="en-AU"/>
          <w14:ligatures w14:val="standardContextual"/>
        </w:rPr>
        <w:t>– Mid-Term Review Evaluation Plan</w:t>
      </w:r>
    </w:p>
    <w:p w14:paraId="3CC581E6" w14:textId="77777777" w:rsidR="00E43A6C" w:rsidRPr="00226301" w:rsidRDefault="00E43A6C" w:rsidP="00E63A7C">
      <w:pPr>
        <w:rPr>
          <w:b/>
          <w:bCs/>
          <w:sz w:val="28"/>
          <w:szCs w:val="28"/>
          <w:lang w:val="en-AU"/>
        </w:rPr>
      </w:pPr>
      <w:bookmarkStart w:id="24" w:name="_Toc188559350"/>
      <w:r w:rsidRPr="00226301">
        <w:rPr>
          <w:b/>
          <w:bCs/>
          <w:sz w:val="28"/>
          <w:szCs w:val="28"/>
          <w:lang w:val="en-AU"/>
        </w:rPr>
        <w:t>Introduction</w:t>
      </w:r>
      <w:bookmarkEnd w:id="24"/>
    </w:p>
    <w:p w14:paraId="00153644" w14:textId="77777777" w:rsidR="00E43A6C" w:rsidRPr="00E63A7C" w:rsidRDefault="00E43A6C" w:rsidP="00E63A7C">
      <w:pPr>
        <w:rPr>
          <w:rFonts w:ascii="Aptos" w:eastAsia="Aptos" w:hAnsi="Aptos" w:cs="Times New Roman"/>
          <w:b/>
          <w:bCs/>
          <w:color w:val="auto"/>
          <w:kern w:val="2"/>
          <w:lang w:val="en-AU"/>
          <w14:ligatures w14:val="standardContextual"/>
        </w:rPr>
      </w:pPr>
      <w:bookmarkStart w:id="25" w:name="_Toc188559351"/>
      <w:r w:rsidRPr="00E63A7C">
        <w:rPr>
          <w:rFonts w:ascii="Aptos" w:eastAsia="Aptos" w:hAnsi="Aptos" w:cs="Times New Roman"/>
          <w:b/>
          <w:bCs/>
          <w:color w:val="auto"/>
          <w:kern w:val="2"/>
          <w:lang w:val="en-AU"/>
          <w14:ligatures w14:val="standardContextual"/>
        </w:rPr>
        <w:t>Background and context</w:t>
      </w:r>
      <w:bookmarkEnd w:id="25"/>
    </w:p>
    <w:p w14:paraId="48CF7CC9"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Australia has a strong commitment in supporting Tuvalu’s education sector through the Tuvalu Australia Partnership for Quality Education (TAPQE) Program ($10 million over 5 years 2022/23-2026/27), managed by Tetra Tech International Development. </w:t>
      </w:r>
    </w:p>
    <w:p w14:paraId="5AF2F9B2" w14:textId="2BBD560D"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TAPQE Program is focused on addressing some of the education challenges in </w:t>
      </w:r>
      <w:r w:rsidR="00AF185F" w:rsidRPr="00E43A6C">
        <w:rPr>
          <w:rFonts w:ascii="Aptos" w:eastAsia="Aptos" w:hAnsi="Aptos" w:cs="Times New Roman"/>
          <w:color w:val="auto"/>
          <w:kern w:val="2"/>
          <w:lang w:val="en-AU"/>
          <w14:ligatures w14:val="standardContextual"/>
        </w:rPr>
        <w:t>Tuvalu</w:t>
      </w:r>
      <w:r w:rsidRPr="00E43A6C">
        <w:rPr>
          <w:rFonts w:ascii="Aptos" w:eastAsia="Aptos" w:hAnsi="Aptos" w:cs="Times New Roman"/>
          <w:color w:val="auto"/>
          <w:kern w:val="2"/>
          <w:lang w:val="en-AU"/>
          <w14:ligatures w14:val="standardContextual"/>
        </w:rPr>
        <w:t xml:space="preserve"> as reflected in its (TAPQE) End of Program Outcomes: </w:t>
      </w:r>
    </w:p>
    <w:p w14:paraId="3661FE80" w14:textId="77777777" w:rsidR="00E43A6C" w:rsidRPr="00E43A6C" w:rsidRDefault="00E43A6C" w:rsidP="00E43A6C">
      <w:pPr>
        <w:suppressAutoHyphens w:val="0"/>
        <w:autoSpaceDE/>
        <w:autoSpaceDN/>
        <w:adjustRightInd/>
        <w:spacing w:after="160"/>
        <w:ind w:left="709"/>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EOPO 1: Improved numeracy and literacy outcomes for both girls and boys (Years 1-10), including children with disabilities.</w:t>
      </w:r>
    </w:p>
    <w:p w14:paraId="686D505C" w14:textId="77777777" w:rsidR="00E43A6C" w:rsidRPr="00E43A6C" w:rsidRDefault="00E43A6C" w:rsidP="00E43A6C">
      <w:pPr>
        <w:suppressAutoHyphens w:val="0"/>
        <w:autoSpaceDE/>
        <w:autoSpaceDN/>
        <w:adjustRightInd/>
        <w:spacing w:after="160"/>
        <w:ind w:left="709"/>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EOPO 2: Improved relevance and quality of secondary school teaching and pathways to employment and further education opportunities for both girls and boys, including learners with disabilities; and </w:t>
      </w:r>
    </w:p>
    <w:p w14:paraId="44B0CDC9" w14:textId="77777777" w:rsidR="00E43A6C" w:rsidRPr="00E43A6C" w:rsidRDefault="00E43A6C" w:rsidP="00E43A6C">
      <w:pPr>
        <w:suppressAutoHyphens w:val="0"/>
        <w:autoSpaceDE/>
        <w:autoSpaceDN/>
        <w:adjustRightInd/>
        <w:spacing w:after="160"/>
        <w:ind w:left="709"/>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EOPO 3: Strengthened Ministry of Education, Youth &amp; Sports (now Ministry of Education &amp; Human Resources Development) personnel and systems so that service delivery is more inclusive, evidence-based and efficient. </w:t>
      </w:r>
    </w:p>
    <w:p w14:paraId="4DD3753B"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TAPQE Program builds on previous years of support (Australian Support to Education in Tuvalu (ASET Program 2018-2022) and the Australia Awards Scholarships. </w:t>
      </w:r>
    </w:p>
    <w:p w14:paraId="444530C6"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The TAPQE Investment Design Document (IDD) was developed during the COVID-19 pandemic, which obviously created challenges for consultation, engagement and negotiation during the development process. The TAPQE Program’s Investment Design Document (IDD) has not yet been formally approved by DFAT.</w:t>
      </w:r>
    </w:p>
    <w:p w14:paraId="2D6CFBB1"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Inception phase activities commenced in January 2023 and the TAPQE Program was officially launched in May 2024 at the Program’s inaugural Steering Committee Meeting. The Program is in the early phase of implementation and its workplan activities are based on the draft IDD, pending the revision of the IDD to align with Tuvalu’s new education sector plan (TESP IV) which is currently being reviewed by Tuvalu’s senior education officials. </w:t>
      </w:r>
    </w:p>
    <w:p w14:paraId="49006E05" w14:textId="77777777" w:rsidR="00E43A6C" w:rsidRPr="00226301" w:rsidRDefault="00E43A6C" w:rsidP="00226301">
      <w:pPr>
        <w:rPr>
          <w:b/>
          <w:bCs/>
          <w:sz w:val="24"/>
          <w:szCs w:val="24"/>
          <w:lang w:val="en-AU"/>
        </w:rPr>
      </w:pPr>
      <w:bookmarkStart w:id="26" w:name="_Toc188559352"/>
      <w:r w:rsidRPr="00226301">
        <w:rPr>
          <w:b/>
          <w:bCs/>
          <w:sz w:val="24"/>
          <w:szCs w:val="24"/>
          <w:lang w:val="en-AU"/>
        </w:rPr>
        <w:t>Purpose and Scope</w:t>
      </w:r>
      <w:bookmarkEnd w:id="26"/>
    </w:p>
    <w:p w14:paraId="3089A2EA"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14:ligatures w14:val="standardContextual"/>
        </w:rPr>
        <w:t xml:space="preserve">This document outlines the mid-term review evaluation plan for the </w:t>
      </w:r>
      <w:r w:rsidRPr="00E43A6C">
        <w:rPr>
          <w:rFonts w:ascii="Aptos" w:eastAsia="Aptos" w:hAnsi="Aptos" w:cs="Times New Roman"/>
          <w:color w:val="auto"/>
          <w:kern w:val="2"/>
          <w:lang w:val="en-AU"/>
          <w14:ligatures w14:val="standardContextual"/>
        </w:rPr>
        <w:t>Tuvalu Australia Partnership for Quality Education (TAPQE) Program. The evaluation plan sets out the key questions and approach.</w:t>
      </w:r>
    </w:p>
    <w:p w14:paraId="2B3BB078"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terms of reference for this review, including objectives and scope, are set out in </w:t>
      </w:r>
      <w:r w:rsidRPr="00E43A6C">
        <w:rPr>
          <w:rFonts w:ascii="Aptos" w:eastAsia="Aptos" w:hAnsi="Aptos" w:cs="Times New Roman"/>
          <w:color w:val="auto"/>
          <w:kern w:val="2"/>
          <w:u w:val="single"/>
          <w:lang w:val="en-AU"/>
          <w14:ligatures w14:val="standardContextual"/>
        </w:rPr>
        <w:t>Annex 1</w:t>
      </w:r>
      <w:r w:rsidRPr="00E43A6C">
        <w:rPr>
          <w:rFonts w:ascii="Aptos" w:eastAsia="Aptos" w:hAnsi="Aptos" w:cs="Times New Roman"/>
          <w:color w:val="auto"/>
          <w:kern w:val="2"/>
          <w:lang w:val="en-AU"/>
          <w14:ligatures w14:val="standardContextual"/>
        </w:rPr>
        <w:t>.</w:t>
      </w:r>
    </w:p>
    <w:p w14:paraId="2BEDADAF"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As set out in the terms of reference, DFAT has two main objectives for the mid-term review:</w:t>
      </w:r>
    </w:p>
    <w:p w14:paraId="582CCDFE" w14:textId="77777777" w:rsidR="00E43A6C" w:rsidRPr="00E43A6C" w:rsidRDefault="00E43A6C" w:rsidP="00B32148">
      <w:pPr>
        <w:numPr>
          <w:ilvl w:val="0"/>
          <w:numId w:val="41"/>
        </w:numPr>
        <w:suppressAutoHyphens w:val="0"/>
        <w:autoSpaceDE/>
        <w:autoSpaceDN/>
        <w:adjustRightInd/>
        <w:spacing w:after="160"/>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to help inform the finalisation of the TAPQE Investment Design Document and ensure it remains relevant to Tuvalu’s education context, operational environment, and the priorities in the draft TESP IV to strengthen Tuvalu’s education systems and outcomes; and </w:t>
      </w:r>
    </w:p>
    <w:p w14:paraId="49E764B0" w14:textId="77777777" w:rsidR="00E43A6C" w:rsidRPr="00E43A6C" w:rsidRDefault="00E43A6C" w:rsidP="00B32148">
      <w:pPr>
        <w:numPr>
          <w:ilvl w:val="0"/>
          <w:numId w:val="41"/>
        </w:numPr>
        <w:suppressAutoHyphens w:val="0"/>
        <w:autoSpaceDE/>
        <w:autoSpaceDN/>
        <w:adjustRightInd/>
        <w:spacing w:after="160"/>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to assess TAPQE’s progress towards achieving its End of Program Outcomes, identify what is working well and what needs to be strengthened to achieve the EOPOs; determine whether the current TAPQE MERL Framework and performance reporting is fit for purpose; </w:t>
      </w:r>
      <w:r w:rsidRPr="00E43A6C">
        <w:rPr>
          <w:rFonts w:ascii="Aptos" w:eastAsia="Aptos" w:hAnsi="Aptos" w:cs="Times New Roman"/>
          <w:color w:val="auto"/>
          <w:kern w:val="2"/>
          <w:lang w:val="en-AU"/>
          <w14:ligatures w14:val="standardContextual"/>
        </w:rPr>
        <w:lastRenderedPageBreak/>
        <w:t>and identify some recommendations for where improvements could be made to drive real changes in student outcomes, including students with disabilities and those most at risk of falling behind and/or in need of assistance.</w:t>
      </w:r>
    </w:p>
    <w:p w14:paraId="4D0E7E7E"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primary audience for the review report is DFAT, senior officials of Tuvalu’s Department of Education and the TAPQE Program team including the managing contractor. </w:t>
      </w:r>
    </w:p>
    <w:p w14:paraId="40177759" w14:textId="77777777" w:rsidR="00E43A6C" w:rsidRPr="00E43A6C" w:rsidRDefault="00E43A6C" w:rsidP="00E43A6C">
      <w:pPr>
        <w:suppressAutoHyphens w:val="0"/>
        <w:autoSpaceDE/>
        <w:autoSpaceDN/>
        <w:adjustRightInd/>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The review team comprises:</w:t>
      </w:r>
    </w:p>
    <w:p w14:paraId="5F4A676C" w14:textId="77777777" w:rsidR="00E43A6C" w:rsidRPr="00E43A6C" w:rsidRDefault="00E43A6C" w:rsidP="00B32148">
      <w:pPr>
        <w:numPr>
          <w:ilvl w:val="0"/>
          <w:numId w:val="42"/>
        </w:numPr>
        <w:suppressAutoHyphens w:val="0"/>
        <w:autoSpaceDE/>
        <w:autoSpaceDN/>
        <w:adjustRightInd/>
        <w:spacing w:after="160"/>
        <w:ind w:left="851" w:hanging="491"/>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Robert Randall - independent education sector specialist (as team leader)</w:t>
      </w:r>
    </w:p>
    <w:p w14:paraId="446E8F1F" w14:textId="77777777" w:rsidR="00E43A6C" w:rsidRPr="00E43A6C" w:rsidRDefault="00E43A6C" w:rsidP="00B32148">
      <w:pPr>
        <w:numPr>
          <w:ilvl w:val="0"/>
          <w:numId w:val="42"/>
        </w:numPr>
        <w:suppressAutoHyphens w:val="0"/>
        <w:autoSpaceDE/>
        <w:autoSpaceDN/>
        <w:adjustRightInd/>
        <w:spacing w:after="160"/>
        <w:ind w:left="851" w:hanging="491"/>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Alex Gruenewald - external MEL specialist</w:t>
      </w:r>
    </w:p>
    <w:p w14:paraId="60757FE3" w14:textId="77777777" w:rsidR="00E43A6C" w:rsidRPr="00E43A6C" w:rsidRDefault="00E43A6C" w:rsidP="00B32148">
      <w:pPr>
        <w:numPr>
          <w:ilvl w:val="0"/>
          <w:numId w:val="42"/>
        </w:numPr>
        <w:suppressAutoHyphens w:val="0"/>
        <w:autoSpaceDE/>
        <w:autoSpaceDN/>
        <w:adjustRightInd/>
        <w:spacing w:after="160"/>
        <w:ind w:left="851" w:hanging="491"/>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Seta Macanawai - external GEDSI</w:t>
      </w:r>
    </w:p>
    <w:p w14:paraId="16B80953" w14:textId="77777777" w:rsidR="00E43A6C" w:rsidRPr="00E43A6C" w:rsidRDefault="00E43A6C" w:rsidP="00B32148">
      <w:pPr>
        <w:numPr>
          <w:ilvl w:val="0"/>
          <w:numId w:val="42"/>
        </w:numPr>
        <w:suppressAutoHyphens w:val="0"/>
        <w:autoSpaceDE/>
        <w:autoSpaceDN/>
        <w:adjustRightInd/>
        <w:spacing w:after="160"/>
        <w:ind w:left="851" w:hanging="491"/>
        <w:contextualSpacing/>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Michael Currie – DFAT education sector specialist</w:t>
      </w:r>
    </w:p>
    <w:p w14:paraId="2D4A712C" w14:textId="77777777" w:rsidR="00E43A6C" w:rsidRPr="00E43A6C" w:rsidRDefault="00E43A6C" w:rsidP="00226301">
      <w:pPr>
        <w:rPr>
          <w:b/>
          <w:bCs/>
          <w:sz w:val="28"/>
          <w:szCs w:val="28"/>
          <w:lang w:val="en-AU"/>
        </w:rPr>
      </w:pPr>
      <w:bookmarkStart w:id="27" w:name="_Toc188559353"/>
      <w:r w:rsidRPr="00E43A6C">
        <w:rPr>
          <w:b/>
          <w:bCs/>
          <w:sz w:val="28"/>
          <w:szCs w:val="28"/>
          <w:lang w:val="en-AU"/>
        </w:rPr>
        <w:t>Mid-Term Review Key Questions</w:t>
      </w:r>
      <w:bookmarkEnd w:id="27"/>
    </w:p>
    <w:p w14:paraId="1BE46B6B"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The key questions in Table 1 are a refinement of those posed in the terms of reference. Revised key questions were submitted to and approved by the Tuvalu AHC in early January.</w:t>
      </w:r>
    </w:p>
    <w:p w14:paraId="24F9B7D2"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The key questions will be used to assess the Program’s progress, identify what is working well and what needs to be strengthened. The findings of the review will inform advice in response to the first objective of the mid-term review.</w:t>
      </w:r>
    </w:p>
    <w:p w14:paraId="1B0DC5DD"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key questions and the sub questions provide the structure for the review process and the review report. These questions are mapped against sources of data (primarily document reviews and interviews) in </w:t>
      </w:r>
      <w:r w:rsidRPr="00E43A6C">
        <w:rPr>
          <w:rFonts w:ascii="Aptos" w:eastAsia="Aptos" w:hAnsi="Aptos" w:cs="Times New Roman"/>
          <w:color w:val="auto"/>
          <w:kern w:val="2"/>
          <w:u w:val="single"/>
          <w:lang w:val="en-AU"/>
          <w14:ligatures w14:val="standardContextual"/>
        </w:rPr>
        <w:t>Annex 3</w:t>
      </w:r>
      <w:r w:rsidRPr="00E43A6C">
        <w:rPr>
          <w:rFonts w:ascii="Aptos" w:eastAsia="Aptos" w:hAnsi="Aptos" w:cs="Times New Roman"/>
          <w:color w:val="auto"/>
          <w:kern w:val="2"/>
          <w:lang w:val="en-AU"/>
          <w14:ligatures w14:val="standardContextual"/>
        </w:rPr>
        <w:t>.</w:t>
      </w:r>
    </w:p>
    <w:p w14:paraId="7A6C6934" w14:textId="5D5E73E9" w:rsidR="00E43A6C" w:rsidRPr="00E43A6C" w:rsidRDefault="00E43A6C" w:rsidP="00E43A6C">
      <w:pPr>
        <w:keepNext/>
        <w:suppressAutoHyphens w:val="0"/>
        <w:autoSpaceDE/>
        <w:autoSpaceDN/>
        <w:adjustRightInd/>
        <w:spacing w:after="200" w:line="240" w:lineRule="auto"/>
        <w:jc w:val="left"/>
        <w:textAlignment w:val="auto"/>
        <w:rPr>
          <w:rFonts w:ascii="Aptos" w:eastAsia="Aptos" w:hAnsi="Aptos" w:cs="Times New Roman"/>
          <w:i/>
          <w:iCs/>
          <w:color w:val="0E2841"/>
          <w:kern w:val="2"/>
          <w:sz w:val="18"/>
          <w:szCs w:val="18"/>
          <w:lang w:val="en-AU"/>
          <w14:ligatures w14:val="standardContextual"/>
        </w:rPr>
      </w:pPr>
      <w:r w:rsidRPr="00E43A6C">
        <w:rPr>
          <w:rFonts w:ascii="Aptos" w:eastAsia="Aptos" w:hAnsi="Aptos" w:cs="Times New Roman"/>
          <w:i/>
          <w:iCs/>
          <w:color w:val="0E2841"/>
          <w:kern w:val="2"/>
          <w:sz w:val="18"/>
          <w:szCs w:val="18"/>
          <w:lang w:val="en-AU"/>
          <w14:ligatures w14:val="standardContextual"/>
        </w:rPr>
        <w:t xml:space="preserve">Table </w:t>
      </w:r>
      <w:r w:rsidRPr="00E43A6C">
        <w:rPr>
          <w:rFonts w:ascii="Aptos" w:eastAsia="Aptos" w:hAnsi="Aptos" w:cs="Times New Roman"/>
          <w:i/>
          <w:iCs/>
          <w:color w:val="0E2841"/>
          <w:kern w:val="2"/>
          <w:sz w:val="18"/>
          <w:szCs w:val="18"/>
          <w:lang w:val="en-AU"/>
          <w14:ligatures w14:val="standardContextual"/>
        </w:rPr>
        <w:fldChar w:fldCharType="begin"/>
      </w:r>
      <w:r w:rsidRPr="00E43A6C">
        <w:rPr>
          <w:rFonts w:ascii="Aptos" w:eastAsia="Aptos" w:hAnsi="Aptos" w:cs="Times New Roman"/>
          <w:i/>
          <w:iCs/>
          <w:color w:val="0E2841"/>
          <w:kern w:val="2"/>
          <w:sz w:val="18"/>
          <w:szCs w:val="18"/>
          <w:lang w:val="en-AU"/>
          <w14:ligatures w14:val="standardContextual"/>
        </w:rPr>
        <w:instrText xml:space="preserve"> SEQ Table \* ARABIC </w:instrText>
      </w:r>
      <w:r w:rsidRPr="00E43A6C">
        <w:rPr>
          <w:rFonts w:ascii="Aptos" w:eastAsia="Aptos" w:hAnsi="Aptos" w:cs="Times New Roman"/>
          <w:i/>
          <w:iCs/>
          <w:color w:val="0E2841"/>
          <w:kern w:val="2"/>
          <w:sz w:val="18"/>
          <w:szCs w:val="18"/>
          <w:lang w:val="en-AU"/>
          <w14:ligatures w14:val="standardContextual"/>
        </w:rPr>
        <w:fldChar w:fldCharType="separate"/>
      </w:r>
      <w:r w:rsidR="001706B4">
        <w:rPr>
          <w:rFonts w:ascii="Aptos" w:eastAsia="Aptos" w:hAnsi="Aptos" w:cs="Times New Roman"/>
          <w:i/>
          <w:iCs/>
          <w:noProof/>
          <w:color w:val="0E2841"/>
          <w:kern w:val="2"/>
          <w:sz w:val="18"/>
          <w:szCs w:val="18"/>
          <w:lang w:val="en-AU"/>
          <w14:ligatures w14:val="standardContextual"/>
        </w:rPr>
        <w:t>1</w:t>
      </w:r>
      <w:r w:rsidRPr="00E43A6C">
        <w:rPr>
          <w:rFonts w:ascii="Aptos" w:eastAsia="Aptos" w:hAnsi="Aptos" w:cs="Times New Roman"/>
          <w:i/>
          <w:iCs/>
          <w:noProof/>
          <w:color w:val="0E2841"/>
          <w:kern w:val="2"/>
          <w:sz w:val="18"/>
          <w:szCs w:val="18"/>
          <w:lang w:val="en-AU"/>
          <w14:ligatures w14:val="standardContextual"/>
        </w:rPr>
        <w:fldChar w:fldCharType="end"/>
      </w:r>
      <w:r w:rsidRPr="00E43A6C">
        <w:rPr>
          <w:rFonts w:ascii="Aptos" w:eastAsia="Aptos" w:hAnsi="Aptos" w:cs="Times New Roman"/>
          <w:i/>
          <w:iCs/>
          <w:color w:val="0E2841"/>
          <w:kern w:val="2"/>
          <w:sz w:val="18"/>
          <w:szCs w:val="18"/>
          <w:lang w:val="en-AU"/>
          <w14:ligatures w14:val="standardContextual"/>
        </w:rPr>
        <w:t>: TAPQE Mid-Term Review Key Questions</w:t>
      </w:r>
    </w:p>
    <w:tbl>
      <w:tblPr>
        <w:tblStyle w:val="GridTable4-Accent11"/>
        <w:tblW w:w="9921" w:type="dxa"/>
        <w:tblInd w:w="0" w:type="dxa"/>
        <w:tblLook w:val="0420" w:firstRow="1" w:lastRow="0" w:firstColumn="0" w:lastColumn="0" w:noHBand="0" w:noVBand="1"/>
      </w:tblPr>
      <w:tblGrid>
        <w:gridCol w:w="3397"/>
        <w:gridCol w:w="6524"/>
      </w:tblGrid>
      <w:tr w:rsidR="00E43A6C" w:rsidRPr="00E43A6C" w14:paraId="0DCF72DA" w14:textId="77777777" w:rsidTr="00390D61">
        <w:trPr>
          <w:cnfStyle w:val="100000000000" w:firstRow="1" w:lastRow="0" w:firstColumn="0" w:lastColumn="0" w:oddVBand="0" w:evenVBand="0" w:oddHBand="0" w:evenHBand="0" w:firstRowFirstColumn="0" w:firstRowLastColumn="0" w:lastRowFirstColumn="0" w:lastRowLastColumn="0"/>
          <w:cantSplit/>
          <w:tblHeader/>
        </w:trPr>
        <w:tc>
          <w:tcPr>
            <w:tcW w:w="3397" w:type="dxa"/>
            <w:hideMark/>
          </w:tcPr>
          <w:p w14:paraId="2C0CD964" w14:textId="77777777" w:rsidR="00E43A6C" w:rsidRPr="00E43A6C" w:rsidRDefault="00E43A6C" w:rsidP="00E43A6C">
            <w:pPr>
              <w:suppressAutoHyphens w:val="0"/>
              <w:autoSpaceDE/>
              <w:autoSpaceDN/>
              <w:adjustRightInd/>
              <w:spacing w:line="256" w:lineRule="auto"/>
              <w:jc w:val="left"/>
              <w:textAlignment w:val="auto"/>
              <w:rPr>
                <w:rFonts w:cs="Times New Roman"/>
                <w:color w:val="FFFFFF"/>
                <w:sz w:val="20"/>
                <w:szCs w:val="20"/>
                <w:lang w:val="en-AU"/>
              </w:rPr>
            </w:pPr>
            <w:r w:rsidRPr="00E43A6C">
              <w:rPr>
                <w:rFonts w:cs="Times New Roman"/>
                <w:color w:val="FFFFFF"/>
                <w:sz w:val="20"/>
                <w:szCs w:val="20"/>
                <w:lang w:val="en-AU"/>
              </w:rPr>
              <w:t>Evaluation criteria and key questions</w:t>
            </w:r>
          </w:p>
        </w:tc>
        <w:tc>
          <w:tcPr>
            <w:tcW w:w="6524" w:type="dxa"/>
            <w:hideMark/>
          </w:tcPr>
          <w:p w14:paraId="03FCA195" w14:textId="77777777" w:rsidR="00E43A6C" w:rsidRPr="00E43A6C" w:rsidRDefault="00E43A6C" w:rsidP="00E43A6C">
            <w:pPr>
              <w:suppressAutoHyphens w:val="0"/>
              <w:autoSpaceDE/>
              <w:autoSpaceDN/>
              <w:adjustRightInd/>
              <w:spacing w:line="256" w:lineRule="auto"/>
              <w:jc w:val="left"/>
              <w:textAlignment w:val="auto"/>
              <w:rPr>
                <w:rFonts w:cs="Times New Roman"/>
                <w:color w:val="FFFFFF"/>
                <w:sz w:val="20"/>
                <w:szCs w:val="20"/>
                <w:lang w:val="en-AU"/>
              </w:rPr>
            </w:pPr>
            <w:r w:rsidRPr="00E43A6C">
              <w:rPr>
                <w:rFonts w:cs="Times New Roman"/>
                <w:color w:val="FFFFFF"/>
                <w:sz w:val="20"/>
                <w:szCs w:val="20"/>
                <w:lang w:val="en-AU"/>
              </w:rPr>
              <w:t>Sub questions</w:t>
            </w:r>
          </w:p>
        </w:tc>
      </w:tr>
      <w:tr w:rsidR="00E43A6C" w:rsidRPr="00E43A6C" w14:paraId="1C540BD7" w14:textId="77777777" w:rsidTr="00390D61">
        <w:trPr>
          <w:cnfStyle w:val="000000100000" w:firstRow="0" w:lastRow="0" w:firstColumn="0" w:lastColumn="0" w:oddVBand="0" w:evenVBand="0" w:oddHBand="1" w:evenHBand="0" w:firstRowFirstColumn="0" w:firstRowLastColumn="0" w:lastRowFirstColumn="0" w:lastRowLastColumn="0"/>
          <w:cantSplit/>
        </w:trPr>
        <w:tc>
          <w:tcPr>
            <w:tcW w:w="3397" w:type="dxa"/>
            <w:tcBorders>
              <w:top w:val="single" w:sz="4" w:space="0" w:color="45B0E1"/>
              <w:left w:val="single" w:sz="4" w:space="0" w:color="45B0E1"/>
              <w:bottom w:val="single" w:sz="4" w:space="0" w:color="45B0E1"/>
              <w:right w:val="single" w:sz="4" w:space="0" w:color="45B0E1"/>
            </w:tcBorders>
            <w:hideMark/>
          </w:tcPr>
          <w:p w14:paraId="6A75BEA1"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421F117C"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6524" w:type="dxa"/>
            <w:tcBorders>
              <w:top w:val="single" w:sz="4" w:space="0" w:color="45B0E1"/>
              <w:left w:val="single" w:sz="4" w:space="0" w:color="45B0E1"/>
              <w:bottom w:val="single" w:sz="4" w:space="0" w:color="45B0E1"/>
              <w:right w:val="single" w:sz="4" w:space="0" w:color="45B0E1"/>
            </w:tcBorders>
            <w:hideMark/>
          </w:tcPr>
          <w:p w14:paraId="3CEEAA93"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Are the key assumptions underpinning the program logic and theory of change still relevant? Do other factors need to be considered to reflect the current Tuvalu education context and Australia’s current International Development Policy?</w:t>
            </w:r>
          </w:p>
          <w:p w14:paraId="2B128BCA"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 xml:space="preserve">To what extent does the Program align with TESP IV priorities, MEHRD priorities and with other partner programs? </w:t>
            </w:r>
          </w:p>
          <w:p w14:paraId="01899BAE"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How well is the Program aligned with the needs of the target beneficiaries?</w:t>
            </w:r>
          </w:p>
          <w:p w14:paraId="172606C7"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To what extent are localisation aspirations being realised?</w:t>
            </w:r>
          </w:p>
          <w:p w14:paraId="28DECC59"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 xml:space="preserve">How likely is it that Program benefits can be sustained?  </w:t>
            </w:r>
          </w:p>
          <w:p w14:paraId="06523F53" w14:textId="77777777" w:rsidR="00E43A6C" w:rsidRPr="00E43A6C" w:rsidRDefault="00E43A6C" w:rsidP="00B32148">
            <w:pPr>
              <w:numPr>
                <w:ilvl w:val="0"/>
                <w:numId w:val="43"/>
              </w:numPr>
              <w:suppressAutoHyphens w:val="0"/>
              <w:autoSpaceDE/>
              <w:autoSpaceDN/>
              <w:adjustRightInd/>
              <w:spacing w:after="160" w:line="256" w:lineRule="auto"/>
              <w:ind w:left="227" w:hanging="227"/>
              <w:contextualSpacing/>
              <w:jc w:val="left"/>
              <w:textAlignment w:val="auto"/>
              <w:rPr>
                <w:rFonts w:cs="Times New Roman"/>
                <w:color w:val="auto"/>
                <w:sz w:val="20"/>
                <w:szCs w:val="20"/>
                <w:lang w:val="en-AU"/>
              </w:rPr>
            </w:pPr>
            <w:r w:rsidRPr="00E43A6C">
              <w:rPr>
                <w:rFonts w:cs="Times New Roman"/>
                <w:color w:val="auto"/>
                <w:sz w:val="20"/>
                <w:szCs w:val="20"/>
                <w:lang w:val="en-AU"/>
              </w:rPr>
              <w:t xml:space="preserve">What opportunities are there for the mobility pathways provided through the Falepili Treaty to contribute to enhancing the Tuvalu education sector and teaching workforce? What role might the Program undertake? </w:t>
            </w:r>
          </w:p>
        </w:tc>
      </w:tr>
      <w:tr w:rsidR="00E43A6C" w:rsidRPr="00E43A6C" w14:paraId="32DF4C15" w14:textId="77777777" w:rsidTr="00390D61">
        <w:trPr>
          <w:cantSplit/>
        </w:trPr>
        <w:tc>
          <w:tcPr>
            <w:tcW w:w="3397" w:type="dxa"/>
            <w:tcBorders>
              <w:top w:val="single" w:sz="4" w:space="0" w:color="45B0E1"/>
              <w:left w:val="single" w:sz="4" w:space="0" w:color="45B0E1"/>
              <w:bottom w:val="single" w:sz="4" w:space="0" w:color="45B0E1"/>
              <w:right w:val="single" w:sz="4" w:space="0" w:color="45B0E1"/>
            </w:tcBorders>
            <w:hideMark/>
          </w:tcPr>
          <w:p w14:paraId="5F56E72C"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Effectiveness</w:t>
            </w:r>
          </w:p>
          <w:p w14:paraId="23EF5DB0"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6524" w:type="dxa"/>
            <w:tcBorders>
              <w:top w:val="single" w:sz="4" w:space="0" w:color="45B0E1"/>
              <w:left w:val="single" w:sz="4" w:space="0" w:color="45B0E1"/>
              <w:bottom w:val="single" w:sz="4" w:space="0" w:color="45B0E1"/>
              <w:right w:val="single" w:sz="4" w:space="0" w:color="45B0E1"/>
            </w:tcBorders>
            <w:hideMark/>
          </w:tcPr>
          <w:p w14:paraId="30E9EAE0"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To what extent have program activities improved numeracy and literacy outcomes for all learners?</w:t>
            </w:r>
          </w:p>
          <w:p w14:paraId="18E46739"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To what extent is the relevance and quality of secondary school teaching for pathways to employment and further education opportunities being improved for all students?</w:t>
            </w:r>
          </w:p>
          <w:p w14:paraId="0D58B300"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c.</w:t>
            </w:r>
            <w:r w:rsidRPr="00E43A6C">
              <w:rPr>
                <w:rFonts w:cs="Times New Roman"/>
                <w:color w:val="auto"/>
                <w:sz w:val="20"/>
                <w:szCs w:val="20"/>
                <w:lang w:val="en-AU"/>
              </w:rPr>
              <w:tab/>
              <w:t xml:space="preserve">To what extent has the program strengthened MEHRD personnel and systems so that service delivery is more inclusive, evidence-based and efficient? </w:t>
            </w:r>
          </w:p>
          <w:p w14:paraId="1ED7D0CF"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d.</w:t>
            </w:r>
            <w:r w:rsidRPr="00E43A6C">
              <w:rPr>
                <w:rFonts w:cs="Times New Roman"/>
                <w:color w:val="auto"/>
                <w:sz w:val="20"/>
                <w:szCs w:val="20"/>
                <w:lang w:val="en-AU"/>
              </w:rPr>
              <w:tab/>
              <w:t xml:space="preserve">To what extent have the Program’s GEDSI activities been effective? </w:t>
            </w:r>
          </w:p>
          <w:p w14:paraId="58724574"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w:t>
            </w:r>
            <w:r w:rsidRPr="00E43A6C">
              <w:rPr>
                <w:rFonts w:cs="Times New Roman"/>
                <w:color w:val="auto"/>
                <w:sz w:val="20"/>
                <w:szCs w:val="20"/>
                <w:lang w:val="en-AU"/>
              </w:rPr>
              <w:tab/>
              <w:t>To what extent have the Program’s climate change activities been effective?</w:t>
            </w:r>
          </w:p>
        </w:tc>
      </w:tr>
      <w:tr w:rsidR="00E43A6C" w:rsidRPr="00E43A6C" w14:paraId="4F9B7AE7" w14:textId="77777777" w:rsidTr="00390D61">
        <w:trPr>
          <w:cnfStyle w:val="000000100000" w:firstRow="0" w:lastRow="0" w:firstColumn="0" w:lastColumn="0" w:oddVBand="0" w:evenVBand="0" w:oddHBand="1" w:evenHBand="0" w:firstRowFirstColumn="0" w:firstRowLastColumn="0" w:lastRowFirstColumn="0" w:lastRowLastColumn="0"/>
          <w:cantSplit/>
        </w:trPr>
        <w:tc>
          <w:tcPr>
            <w:tcW w:w="3397" w:type="dxa"/>
            <w:tcBorders>
              <w:top w:val="single" w:sz="4" w:space="0" w:color="45B0E1"/>
              <w:left w:val="single" w:sz="4" w:space="0" w:color="45B0E1"/>
              <w:bottom w:val="single" w:sz="4" w:space="0" w:color="45B0E1"/>
              <w:right w:val="single" w:sz="4" w:space="0" w:color="45B0E1"/>
            </w:tcBorders>
            <w:hideMark/>
          </w:tcPr>
          <w:p w14:paraId="3B768C68"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lastRenderedPageBreak/>
              <w:t>Efficiency</w:t>
            </w:r>
          </w:p>
          <w:p w14:paraId="4DF55642"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3. To what extent is the TAPQE Program using resources efficiently to achieve its End of Program Outcomes?</w:t>
            </w:r>
          </w:p>
        </w:tc>
        <w:tc>
          <w:tcPr>
            <w:tcW w:w="6524" w:type="dxa"/>
            <w:tcBorders>
              <w:top w:val="single" w:sz="4" w:space="0" w:color="45B0E1"/>
              <w:left w:val="single" w:sz="4" w:space="0" w:color="45B0E1"/>
              <w:bottom w:val="single" w:sz="4" w:space="0" w:color="45B0E1"/>
              <w:right w:val="single" w:sz="4" w:space="0" w:color="45B0E1"/>
            </w:tcBorders>
            <w:hideMark/>
          </w:tcPr>
          <w:p w14:paraId="57FB1211"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 xml:space="preserve">How does the Program plan for and monitor the economic and timely delivery of program activities? </w:t>
            </w:r>
          </w:p>
          <w:p w14:paraId="55F10C30"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How does the Program reflect on and, where appropriate, adjust its structure and / or activities to improve the likelihood of achieving its End of Program Outcomes?</w:t>
            </w:r>
          </w:p>
          <w:p w14:paraId="1B6D6A80"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c.</w:t>
            </w:r>
            <w:r w:rsidRPr="00E43A6C">
              <w:rPr>
                <w:rFonts w:cs="Times New Roman"/>
                <w:color w:val="auto"/>
                <w:sz w:val="20"/>
                <w:szCs w:val="20"/>
                <w:lang w:val="en-AU"/>
              </w:rPr>
              <w:tab/>
              <w:t>How does the Program reflect on and, where appropriate, adjust its structure and / or activities to improve GEDSI and climate change activities, outputs and outcomes?</w:t>
            </w:r>
          </w:p>
        </w:tc>
      </w:tr>
      <w:tr w:rsidR="00E43A6C" w:rsidRPr="00E43A6C" w14:paraId="421442F0" w14:textId="77777777" w:rsidTr="003D37B6">
        <w:trPr>
          <w:cantSplit/>
        </w:trPr>
        <w:tc>
          <w:tcPr>
            <w:tcW w:w="3397" w:type="dxa"/>
            <w:tcBorders>
              <w:top w:val="single" w:sz="4" w:space="0" w:color="45B0E1"/>
              <w:left w:val="single" w:sz="4" w:space="0" w:color="45B0E1"/>
              <w:bottom w:val="single" w:sz="4" w:space="0" w:color="45B0E1"/>
              <w:right w:val="single" w:sz="4" w:space="0" w:color="45B0E1"/>
            </w:tcBorders>
            <w:hideMark/>
          </w:tcPr>
          <w:p w14:paraId="1AC6D7EC"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Gender Equality and Social Inclusion (GEDSI) and Climate Change</w:t>
            </w:r>
          </w:p>
          <w:p w14:paraId="595630B4"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4. To what extent are the TAPQE Program’s GEDSI and Climate Change ambitions, approaches and achievements adequate against program logic and design, and current DFAT policies?</w:t>
            </w:r>
          </w:p>
        </w:tc>
        <w:tc>
          <w:tcPr>
            <w:tcW w:w="6524" w:type="dxa"/>
            <w:tcBorders>
              <w:top w:val="single" w:sz="4" w:space="0" w:color="45B0E1"/>
              <w:left w:val="single" w:sz="4" w:space="0" w:color="45B0E1"/>
              <w:bottom w:val="single" w:sz="4" w:space="0" w:color="45B0E1"/>
              <w:right w:val="single" w:sz="4" w:space="0" w:color="45B0E1"/>
            </w:tcBorders>
            <w:vAlign w:val="center"/>
          </w:tcPr>
          <w:p w14:paraId="15463963" w14:textId="2FE08BB6" w:rsidR="00E43A6C" w:rsidRPr="00E43A6C" w:rsidRDefault="00E43A6C" w:rsidP="003D37B6">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Also see 2 d, 2e and 3 c.</w:t>
            </w:r>
          </w:p>
        </w:tc>
      </w:tr>
      <w:tr w:rsidR="00E43A6C" w:rsidRPr="00E43A6C" w14:paraId="01BA6E15" w14:textId="77777777" w:rsidTr="00390D61">
        <w:trPr>
          <w:cnfStyle w:val="000000100000" w:firstRow="0" w:lastRow="0" w:firstColumn="0" w:lastColumn="0" w:oddVBand="0" w:evenVBand="0" w:oddHBand="1" w:evenHBand="0" w:firstRowFirstColumn="0" w:firstRowLastColumn="0" w:lastRowFirstColumn="0" w:lastRowLastColumn="0"/>
          <w:cantSplit/>
        </w:trPr>
        <w:tc>
          <w:tcPr>
            <w:tcW w:w="3397" w:type="dxa"/>
            <w:tcBorders>
              <w:top w:val="single" w:sz="4" w:space="0" w:color="45B0E1"/>
              <w:left w:val="single" w:sz="4" w:space="0" w:color="45B0E1"/>
              <w:bottom w:val="single" w:sz="4" w:space="0" w:color="45B0E1"/>
              <w:right w:val="single" w:sz="4" w:space="0" w:color="45B0E1"/>
            </w:tcBorders>
            <w:hideMark/>
          </w:tcPr>
          <w:p w14:paraId="1E58BEF7"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Monitoring and evaluation</w:t>
            </w:r>
          </w:p>
          <w:p w14:paraId="4DA2D209" w14:textId="77777777" w:rsidR="00E43A6C" w:rsidRPr="00E43A6C" w:rsidRDefault="00E43A6C" w:rsidP="00E43A6C">
            <w:pPr>
              <w:suppressAutoHyphens w:val="0"/>
              <w:autoSpaceDE/>
              <w:autoSpaceDN/>
              <w:adjustRightInd/>
              <w:spacing w:line="256" w:lineRule="auto"/>
              <w:jc w:val="left"/>
              <w:textAlignment w:val="auto"/>
              <w:rPr>
                <w:rFonts w:cs="Times New Roman"/>
                <w:color w:val="auto"/>
                <w:sz w:val="20"/>
                <w:szCs w:val="20"/>
                <w:lang w:val="en-AU"/>
              </w:rPr>
            </w:pPr>
            <w:r w:rsidRPr="00E43A6C">
              <w:rPr>
                <w:rFonts w:cs="Times New Roman"/>
                <w:color w:val="auto"/>
                <w:sz w:val="20"/>
                <w:szCs w:val="20"/>
                <w:lang w:val="en-AU"/>
              </w:rPr>
              <w:t>5. To what extent are the MEL arrangements fit for purpose?</w:t>
            </w:r>
          </w:p>
        </w:tc>
        <w:tc>
          <w:tcPr>
            <w:tcW w:w="6524" w:type="dxa"/>
            <w:tcBorders>
              <w:top w:val="single" w:sz="4" w:space="0" w:color="45B0E1"/>
              <w:left w:val="single" w:sz="4" w:space="0" w:color="45B0E1"/>
              <w:bottom w:val="single" w:sz="4" w:space="0" w:color="45B0E1"/>
              <w:right w:val="single" w:sz="4" w:space="0" w:color="45B0E1"/>
            </w:tcBorders>
            <w:hideMark/>
          </w:tcPr>
          <w:p w14:paraId="7A6087F8"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To what extent is the TAPQE MEL Plan and Framework appropriate to monitor progress on the achievement of the Program’s intermediate and end of program outcomes?</w:t>
            </w:r>
          </w:p>
          <w:p w14:paraId="644D3A17" w14:textId="77777777" w:rsidR="00E43A6C" w:rsidRPr="00E43A6C" w:rsidRDefault="00E43A6C" w:rsidP="00E43A6C">
            <w:pPr>
              <w:suppressAutoHyphens w:val="0"/>
              <w:autoSpaceDE/>
              <w:autoSpaceDN/>
              <w:adjustRightInd/>
              <w:spacing w:line="256"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To what extent is the MEL system producing appropriate information products, including performance information that meets user information needs?</w:t>
            </w:r>
          </w:p>
        </w:tc>
      </w:tr>
    </w:tbl>
    <w:p w14:paraId="681DDA6B"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p>
    <w:p w14:paraId="5C511CF4" w14:textId="77777777" w:rsidR="00E43A6C" w:rsidRPr="00E43A6C" w:rsidRDefault="00E43A6C" w:rsidP="00226301">
      <w:pPr>
        <w:rPr>
          <w:b/>
          <w:bCs/>
          <w:sz w:val="28"/>
          <w:szCs w:val="28"/>
          <w:lang w:val="en-AU"/>
        </w:rPr>
      </w:pPr>
      <w:bookmarkStart w:id="28" w:name="_Toc188559354"/>
      <w:r w:rsidRPr="00E43A6C">
        <w:rPr>
          <w:b/>
          <w:bCs/>
          <w:sz w:val="28"/>
          <w:szCs w:val="28"/>
          <w:lang w:val="en-AU"/>
        </w:rPr>
        <w:t>Approach</w:t>
      </w:r>
      <w:bookmarkEnd w:id="28"/>
    </w:p>
    <w:p w14:paraId="2ED0A491"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main sources of data for the review will be documents and interviews with key stakeholders. As set of documents was initially provided by the Tuvalu AHC – </w:t>
      </w:r>
      <w:r w:rsidRPr="00E43A6C">
        <w:rPr>
          <w:rFonts w:ascii="Aptos" w:eastAsia="Aptos" w:hAnsi="Aptos" w:cs="Times New Roman"/>
          <w:color w:val="auto"/>
          <w:kern w:val="2"/>
          <w:u w:val="single"/>
          <w:lang w:val="en-AU"/>
          <w14:ligatures w14:val="standardContextual"/>
        </w:rPr>
        <w:t>Annex 2</w:t>
      </w:r>
      <w:r w:rsidRPr="00E43A6C">
        <w:rPr>
          <w:rFonts w:ascii="Aptos" w:eastAsia="Aptos" w:hAnsi="Aptos" w:cs="Times New Roman"/>
          <w:color w:val="auto"/>
          <w:kern w:val="2"/>
          <w:lang w:val="en-AU"/>
          <w14:ligatures w14:val="standardContextual"/>
        </w:rPr>
        <w:t xml:space="preserve">. Findings from the review of these documents will be provided to the Tuvalu AHC. Based on the initial review further documents have been sought – see </w:t>
      </w:r>
      <w:r w:rsidRPr="00E43A6C">
        <w:rPr>
          <w:rFonts w:ascii="Aptos" w:eastAsia="Aptos" w:hAnsi="Aptos" w:cs="Times New Roman"/>
          <w:color w:val="auto"/>
          <w:kern w:val="2"/>
          <w:u w:val="single"/>
          <w:lang w:val="en-AU"/>
          <w14:ligatures w14:val="standardContextual"/>
        </w:rPr>
        <w:t>Annex 3</w:t>
      </w:r>
      <w:r w:rsidRPr="00E43A6C">
        <w:rPr>
          <w:rFonts w:ascii="Aptos" w:eastAsia="Aptos" w:hAnsi="Aptos" w:cs="Times New Roman"/>
          <w:color w:val="auto"/>
          <w:kern w:val="2"/>
          <w:lang w:val="en-AU"/>
          <w14:ligatures w14:val="standardContextual"/>
        </w:rPr>
        <w:t xml:space="preserve">.  </w:t>
      </w:r>
    </w:p>
    <w:p w14:paraId="1546260C"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Documents will be reviewed across all stages of the review, with a complete list provided in the final Mid-Term Review Report. Key observations and questions arising from document reviews are being recorded by key questions in excel spreadsheets by individual team members. These will be compiled into one document to inform interviews and reporting.</w:t>
      </w:r>
    </w:p>
    <w:p w14:paraId="3F2E45E5"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Interviews will be conducted with stakeholders in-country and remotely (as required). Interview questions will be based on the review key questions and sub questions, providing some structure while also allowing for flexibility in the interview process to benefit from interviewees expertise and engagement with the program. Where possible and appropriate interviews will be recorded. They will be available for review and for transcription as needed by the review team. </w:t>
      </w:r>
    </w:p>
    <w:p w14:paraId="6D3C2A1F"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Where available quantitative and qualitative data will be used to inform the review process and findings against key questions. No new quantitative data is planned to be sought or gathered.</w:t>
      </w:r>
    </w:p>
    <w:p w14:paraId="3828CF7D"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kern w:val="2"/>
          <w:lang w:val="en-AU"/>
          <w14:ligatures w14:val="standardContextual"/>
        </w:rPr>
        <w:t xml:space="preserve">The review is following the timeline set out in the terms of reference – </w:t>
      </w:r>
      <w:r w:rsidRPr="00E43A6C">
        <w:rPr>
          <w:rFonts w:ascii="Aptos" w:eastAsia="Aptos" w:hAnsi="Aptos" w:cs="Times New Roman"/>
          <w:color w:val="auto"/>
          <w:kern w:val="2"/>
          <w:u w:val="single"/>
          <w:lang w:val="en-AU"/>
          <w14:ligatures w14:val="standardContextual"/>
        </w:rPr>
        <w:t>Annex 2</w:t>
      </w:r>
      <w:r w:rsidRPr="00E43A6C">
        <w:rPr>
          <w:rFonts w:ascii="Aptos" w:eastAsia="Aptos" w:hAnsi="Aptos" w:cs="Times New Roman"/>
          <w:color w:val="auto"/>
          <w:kern w:val="2"/>
          <w:lang w:val="en-AU"/>
          <w14:ligatures w14:val="standardContextual"/>
        </w:rPr>
        <w:t>.</w:t>
      </w:r>
    </w:p>
    <w:p w14:paraId="4D9CA72A"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r w:rsidRPr="00E43A6C">
        <w:rPr>
          <w:rFonts w:ascii="Aptos" w:eastAsia="Aptos" w:hAnsi="Aptos" w:cs="Times New Roman"/>
          <w:color w:val="auto"/>
          <w:lang w:val="en-AU"/>
        </w:rPr>
        <w:br w:type="page"/>
      </w:r>
    </w:p>
    <w:p w14:paraId="0DC5E1EF" w14:textId="36A0DEDC" w:rsidR="00E43A6C" w:rsidRPr="00E43A6C" w:rsidRDefault="00E43A6C" w:rsidP="00226301">
      <w:pPr>
        <w:rPr>
          <w:b/>
          <w:bCs/>
          <w:sz w:val="28"/>
          <w:szCs w:val="28"/>
          <w:lang w:val="en-AU"/>
        </w:rPr>
      </w:pPr>
      <w:bookmarkStart w:id="29" w:name="_Toc188559355"/>
      <w:r w:rsidRPr="00E43A6C">
        <w:rPr>
          <w:b/>
          <w:bCs/>
          <w:sz w:val="28"/>
          <w:szCs w:val="28"/>
          <w:lang w:val="en-AU"/>
        </w:rPr>
        <w:lastRenderedPageBreak/>
        <w:t>Annex 1 – TAPQE Mid-Term Review Terms of Reference (6 January)</w:t>
      </w:r>
      <w:bookmarkEnd w:id="29"/>
    </w:p>
    <w:p w14:paraId="7B7941F9" w14:textId="77777777" w:rsidR="00E43A6C" w:rsidRPr="008D1C67" w:rsidRDefault="00E43A6C" w:rsidP="008D1C67">
      <w:pPr>
        <w:jc w:val="center"/>
        <w:rPr>
          <w:b/>
          <w:bCs/>
          <w:sz w:val="24"/>
          <w:szCs w:val="24"/>
          <w:lang w:val="en-AU"/>
        </w:rPr>
      </w:pPr>
      <w:r w:rsidRPr="008D1C67">
        <w:rPr>
          <w:b/>
          <w:bCs/>
          <w:sz w:val="24"/>
          <w:szCs w:val="24"/>
          <w:lang w:val="en-AU"/>
        </w:rPr>
        <w:t>DRAFT TERMS OF REFERENCE</w:t>
      </w:r>
    </w:p>
    <w:p w14:paraId="75E4D77A" w14:textId="2BAF9342" w:rsidR="00E43A6C" w:rsidRPr="008D1C67" w:rsidRDefault="00E43A6C" w:rsidP="008D1C67">
      <w:pPr>
        <w:jc w:val="center"/>
        <w:rPr>
          <w:b/>
          <w:bCs/>
          <w:sz w:val="24"/>
          <w:szCs w:val="24"/>
          <w:lang w:val="en-AU"/>
        </w:rPr>
      </w:pPr>
      <w:r w:rsidRPr="008D1C67">
        <w:rPr>
          <w:b/>
          <w:bCs/>
          <w:sz w:val="24"/>
          <w:szCs w:val="24"/>
          <w:lang w:val="en-AU"/>
        </w:rPr>
        <w:t>Mid-Term Review of the Tuvalu Australia Partnerships for Quality Education (TAPQE) Program</w:t>
      </w:r>
    </w:p>
    <w:p w14:paraId="672B646B" w14:textId="77777777" w:rsidR="00E43A6C" w:rsidRPr="008D1C67" w:rsidRDefault="00E43A6C" w:rsidP="008D1C67">
      <w:pPr>
        <w:jc w:val="center"/>
        <w:rPr>
          <w:b/>
          <w:bCs/>
          <w:sz w:val="24"/>
          <w:szCs w:val="24"/>
          <w:lang w:val="en-AU"/>
        </w:rPr>
      </w:pPr>
      <w:r w:rsidRPr="008D1C67">
        <w:rPr>
          <w:b/>
          <w:bCs/>
          <w:sz w:val="24"/>
          <w:szCs w:val="24"/>
          <w:lang w:val="en-AU"/>
        </w:rPr>
        <w:t>January – March 2025</w:t>
      </w:r>
    </w:p>
    <w:p w14:paraId="06B85BE1" w14:textId="77777777" w:rsidR="00E43A6C" w:rsidRPr="008D1C67" w:rsidRDefault="00E43A6C" w:rsidP="008D1C67">
      <w:pPr>
        <w:rPr>
          <w:b/>
          <w:bCs/>
          <w:lang w:val="en-AU"/>
        </w:rPr>
      </w:pPr>
      <w:r w:rsidRPr="008D1C67">
        <w:rPr>
          <w:b/>
          <w:bCs/>
          <w:lang w:val="en-AU"/>
        </w:rPr>
        <w:t>Background</w:t>
      </w:r>
    </w:p>
    <w:p w14:paraId="69A975A4"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Tuvalu is one of the world’s smallest independent and most remote countries, comprising nine low-lying coral atolls, and is the second-smallest economy (with GDP of $60m) in the Pacific. It has the highest official development assistance (ODA) to Gross National Income ratio in the region, with aid accounting for approximately 80 percent of its national income</w:t>
      </w:r>
      <w:r w:rsidRPr="00E43A6C">
        <w:rPr>
          <w:rFonts w:ascii="Calibri" w:eastAsia="Calibri" w:hAnsi="Calibri" w:cs="Times New Roman"/>
          <w:color w:val="auto"/>
          <w:kern w:val="2"/>
          <w:vertAlign w:val="superscript"/>
          <w:lang w:val="en-AU"/>
          <w14:ligatures w14:val="standardContextual"/>
        </w:rPr>
        <w:footnoteReference w:id="27"/>
      </w:r>
      <w:r w:rsidRPr="00E43A6C">
        <w:rPr>
          <w:rFonts w:ascii="Calibri" w:eastAsia="Calibri" w:hAnsi="Calibri" w:cs="Times New Roman"/>
          <w:color w:val="auto"/>
          <w:kern w:val="2"/>
          <w:lang w:val="en-AU"/>
          <w14:ligatures w14:val="standardContextual"/>
        </w:rPr>
        <w:t xml:space="preserve">. Tuvalu has a population of almost 11,000 and the Tuvalu government’s development agenda </w:t>
      </w:r>
      <w:r w:rsidRPr="00E43A6C">
        <w:rPr>
          <w:rFonts w:ascii="Calibri" w:eastAsia="Calibri" w:hAnsi="Calibri" w:cs="Times New Roman"/>
          <w:i/>
          <w:iCs/>
          <w:color w:val="auto"/>
          <w:kern w:val="2"/>
          <w:lang w:val="en-AU"/>
          <w14:ligatures w14:val="standardContextual"/>
        </w:rPr>
        <w:t>(Te Kete</w:t>
      </w:r>
      <w:r w:rsidRPr="00E43A6C">
        <w:rPr>
          <w:rFonts w:ascii="Calibri" w:eastAsia="Calibri" w:hAnsi="Calibri" w:cs="Times New Roman"/>
          <w:i/>
          <w:iCs/>
          <w:color w:val="auto"/>
          <w:kern w:val="2"/>
          <w:vertAlign w:val="superscript"/>
          <w:lang w:val="en-AU"/>
          <w14:ligatures w14:val="standardContextual"/>
        </w:rPr>
        <w:footnoteReference w:id="28"/>
      </w:r>
      <w:r w:rsidRPr="00E43A6C">
        <w:rPr>
          <w:rFonts w:ascii="Calibri" w:eastAsia="Calibri" w:hAnsi="Calibri" w:cs="Times New Roman"/>
          <w:i/>
          <w:iCs/>
          <w:color w:val="auto"/>
          <w:kern w:val="2"/>
          <w:lang w:val="en-AU"/>
          <w14:ligatures w14:val="standardContextual"/>
        </w:rPr>
        <w:t>)</w:t>
      </w:r>
      <w:r w:rsidRPr="00E43A6C">
        <w:rPr>
          <w:rFonts w:ascii="Calibri" w:eastAsia="Calibri" w:hAnsi="Calibri" w:cs="Times New Roman"/>
          <w:color w:val="auto"/>
          <w:kern w:val="2"/>
          <w:lang w:val="en-AU"/>
          <w14:ligatures w14:val="standardContextual"/>
        </w:rPr>
        <w:t xml:space="preserve"> focuses on five strategic areas including sustainable development, economic development, infrastructure development, social development and inclusion, and island &amp; culture development. </w:t>
      </w:r>
    </w:p>
    <w:p w14:paraId="2513098B"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Tuvalu’s major development partners include Australia, Taiwan, New Zealand, Japan, EU, World Bank and Asian Development Bank. In the education sector, Australia, NZ (through scholarships), World Bank and UNICEF (through the Global Partnerships for Education) are key partners. Other regional education partners such as the University of the South Pacific, SPC EQAP, UNESCO and Fiji National University are also active in Tuvalu.</w:t>
      </w:r>
    </w:p>
    <w:p w14:paraId="6661E1BA" w14:textId="6950663F"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Tuvalu’s education system includes </w:t>
      </w:r>
      <w:r w:rsidR="00A90F73" w:rsidRPr="00E43A6C">
        <w:rPr>
          <w:rFonts w:ascii="Calibri" w:eastAsia="Calibri" w:hAnsi="Calibri" w:cs="Times New Roman"/>
          <w:color w:val="auto"/>
          <w:kern w:val="2"/>
          <w:lang w:val="en-AU"/>
          <w14:ligatures w14:val="standardContextual"/>
        </w:rPr>
        <w:t>two</w:t>
      </w:r>
      <w:r w:rsidRPr="00E43A6C">
        <w:rPr>
          <w:rFonts w:ascii="Calibri" w:eastAsia="Calibri" w:hAnsi="Calibri" w:cs="Times New Roman"/>
          <w:color w:val="auto"/>
          <w:kern w:val="2"/>
          <w:lang w:val="en-AU"/>
          <w14:ligatures w14:val="standardContextual"/>
        </w:rPr>
        <w:t xml:space="preserve"> secondary schools, </w:t>
      </w:r>
      <w:r w:rsidR="00A90F73" w:rsidRPr="00E43A6C">
        <w:rPr>
          <w:rFonts w:ascii="Calibri" w:eastAsia="Calibri" w:hAnsi="Calibri" w:cs="Times New Roman"/>
          <w:color w:val="auto"/>
          <w:kern w:val="2"/>
          <w:lang w:val="en-AU"/>
          <w14:ligatures w14:val="standardContextual"/>
        </w:rPr>
        <w:t>ten</w:t>
      </w:r>
      <w:r w:rsidRPr="00E43A6C">
        <w:rPr>
          <w:rFonts w:ascii="Calibri" w:eastAsia="Calibri" w:hAnsi="Calibri" w:cs="Times New Roman"/>
          <w:color w:val="auto"/>
          <w:kern w:val="2"/>
          <w:lang w:val="en-AU"/>
          <w14:ligatures w14:val="standardContextual"/>
        </w:rPr>
        <w:t xml:space="preserve"> primary schools and 18 early childhood education centres. In 2023, there were 3689 students enrolled across the Tuvalu education system, supported by a total of 214</w:t>
      </w:r>
      <w:r w:rsidRPr="00E43A6C">
        <w:rPr>
          <w:rFonts w:ascii="Calibri" w:eastAsia="Calibri" w:hAnsi="Calibri" w:cs="Times New Roman"/>
          <w:color w:val="auto"/>
          <w:kern w:val="2"/>
          <w:vertAlign w:val="superscript"/>
          <w:lang w:val="en-AU"/>
          <w14:ligatures w14:val="standardContextual"/>
        </w:rPr>
        <w:footnoteReference w:id="29"/>
      </w:r>
      <w:r w:rsidRPr="00E43A6C">
        <w:rPr>
          <w:rFonts w:ascii="Calibri" w:eastAsia="Calibri" w:hAnsi="Calibri" w:cs="Times New Roman"/>
          <w:color w:val="auto"/>
          <w:kern w:val="2"/>
          <w:lang w:val="en-AU"/>
          <w14:ligatures w14:val="standardContextual"/>
        </w:rPr>
        <w:t xml:space="preserve"> FTE teachers employed by the Ministry of Education &amp; Human Resource Development (MEHRD) across all sectors including early childhood, primary, secondary, and technical &amp; vocational skills development. In December 2023, there were 16 FTE Ministry-based staff, supporting the education workforce and systems</w:t>
      </w:r>
      <w:r w:rsidRPr="00E43A6C">
        <w:rPr>
          <w:rFonts w:ascii="Calibri" w:eastAsia="Calibri" w:hAnsi="Calibri" w:cs="Times New Roman"/>
          <w:color w:val="auto"/>
          <w:kern w:val="2"/>
          <w:vertAlign w:val="superscript"/>
          <w:lang w:val="en-AU"/>
          <w14:ligatures w14:val="standardContextual"/>
        </w:rPr>
        <w:footnoteReference w:id="30"/>
      </w:r>
      <w:r w:rsidRPr="00E43A6C">
        <w:rPr>
          <w:rFonts w:ascii="Calibri" w:eastAsia="Calibri" w:hAnsi="Calibri" w:cs="Times New Roman"/>
          <w:color w:val="auto"/>
          <w:kern w:val="2"/>
          <w:lang w:val="en-AU"/>
          <w14:ligatures w14:val="standardContextual"/>
        </w:rPr>
        <w:t>. There are a range of challenges facing Tuvalu’s education system, including high turnover of teachers, lack of qualified teaching staff, literacy and numeracy learning challenges, low learning levels and high rates of grade repetition, drop-out and out-of-school children</w:t>
      </w:r>
      <w:r w:rsidRPr="00E43A6C">
        <w:rPr>
          <w:rFonts w:ascii="Calibri" w:eastAsia="Calibri" w:hAnsi="Calibri" w:cs="Times New Roman"/>
          <w:color w:val="auto"/>
          <w:kern w:val="2"/>
          <w:vertAlign w:val="superscript"/>
          <w:lang w:val="en-AU"/>
          <w14:ligatures w14:val="standardContextual"/>
        </w:rPr>
        <w:footnoteReference w:id="31"/>
      </w:r>
      <w:r w:rsidRPr="00E43A6C">
        <w:rPr>
          <w:rFonts w:ascii="Calibri" w:eastAsia="Calibri" w:hAnsi="Calibri" w:cs="Times New Roman"/>
          <w:color w:val="auto"/>
          <w:kern w:val="2"/>
          <w:lang w:val="en-AU"/>
          <w14:ligatures w14:val="standardContextual"/>
        </w:rPr>
        <w:t>.</w:t>
      </w:r>
    </w:p>
    <w:p w14:paraId="541D7A4E"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Australia’s Assistance to Tuvalu’s Education Sector</w:t>
      </w:r>
    </w:p>
    <w:p w14:paraId="09E9E518" w14:textId="4C6F5D85"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Australia has a strong commitment in supporting Tuvalu’s education sector through the </w:t>
      </w:r>
      <w:r w:rsidRPr="00E43A6C">
        <w:rPr>
          <w:rFonts w:ascii="Calibri" w:eastAsia="Calibri" w:hAnsi="Calibri" w:cs="Times New Roman"/>
          <w:i/>
          <w:iCs/>
          <w:color w:val="auto"/>
          <w:kern w:val="2"/>
          <w:lang w:val="en-AU"/>
          <w14:ligatures w14:val="standardContextual"/>
        </w:rPr>
        <w:t xml:space="preserve">Tuvalu Australia Partnership for Quality Education (TAPQE) Program ($10 million over 5 years 2022/23-2026/27), </w:t>
      </w:r>
      <w:r w:rsidRPr="00E43A6C">
        <w:rPr>
          <w:rFonts w:ascii="Calibri" w:eastAsia="Calibri" w:hAnsi="Calibri" w:cs="Times New Roman"/>
          <w:color w:val="auto"/>
          <w:kern w:val="2"/>
          <w:lang w:val="en-AU"/>
          <w14:ligatures w14:val="standardContextual"/>
        </w:rPr>
        <w:t>delivered through a Managing Contractor model</w:t>
      </w:r>
      <w:r w:rsidRPr="00E43A6C">
        <w:rPr>
          <w:rFonts w:ascii="Calibri" w:eastAsia="Calibri" w:hAnsi="Calibri" w:cs="Times New Roman"/>
          <w:color w:val="auto"/>
          <w:kern w:val="2"/>
          <w:vertAlign w:val="superscript"/>
          <w:lang w:val="en-AU"/>
          <w14:ligatures w14:val="standardContextual"/>
        </w:rPr>
        <w:footnoteReference w:id="32"/>
      </w:r>
      <w:r w:rsidRPr="00E43A6C">
        <w:rPr>
          <w:rFonts w:ascii="Calibri" w:eastAsia="Calibri" w:hAnsi="Calibri" w:cs="Times New Roman"/>
          <w:i/>
          <w:iCs/>
          <w:color w:val="auto"/>
          <w:kern w:val="2"/>
          <w:lang w:val="en-AU"/>
          <w14:ligatures w14:val="standardContextual"/>
        </w:rPr>
        <w:t xml:space="preserve">. </w:t>
      </w:r>
      <w:r w:rsidRPr="00E43A6C">
        <w:rPr>
          <w:rFonts w:ascii="Calibri" w:eastAsia="Calibri" w:hAnsi="Calibri" w:cs="Times New Roman"/>
          <w:color w:val="auto"/>
          <w:kern w:val="2"/>
          <w:lang w:val="en-AU"/>
          <w14:ligatures w14:val="standardContextual"/>
        </w:rPr>
        <w:t xml:space="preserve">The TAPQE Program is focused on addressing some of the education challenges in </w:t>
      </w:r>
      <w:r w:rsidR="00AF185F" w:rsidRPr="00E43A6C">
        <w:rPr>
          <w:rFonts w:ascii="Calibri" w:eastAsia="Calibri" w:hAnsi="Calibri" w:cs="Times New Roman"/>
          <w:color w:val="auto"/>
          <w:kern w:val="2"/>
          <w:lang w:val="en-AU"/>
          <w14:ligatures w14:val="standardContextual"/>
        </w:rPr>
        <w:t>Tuvalu</w:t>
      </w:r>
      <w:r w:rsidRPr="00E43A6C">
        <w:rPr>
          <w:rFonts w:ascii="Calibri" w:eastAsia="Calibri" w:hAnsi="Calibri" w:cs="Times New Roman"/>
          <w:color w:val="auto"/>
          <w:kern w:val="2"/>
          <w:lang w:val="en-AU"/>
          <w14:ligatures w14:val="standardContextual"/>
        </w:rPr>
        <w:t xml:space="preserve"> as reflected in its (TAPQE) End of Program Outcomes</w:t>
      </w:r>
      <w:r w:rsidRPr="00E43A6C">
        <w:rPr>
          <w:rFonts w:ascii="Calibri" w:eastAsia="Calibri" w:hAnsi="Calibri" w:cs="Times New Roman"/>
          <w:color w:val="auto"/>
          <w:kern w:val="2"/>
          <w:vertAlign w:val="superscript"/>
          <w:lang w:val="en-AU"/>
          <w14:ligatures w14:val="standardContextual"/>
        </w:rPr>
        <w:footnoteReference w:id="33"/>
      </w:r>
      <w:r w:rsidRPr="00E43A6C">
        <w:rPr>
          <w:rFonts w:ascii="Calibri" w:eastAsia="Calibri" w:hAnsi="Calibri" w:cs="Times New Roman"/>
          <w:color w:val="auto"/>
          <w:kern w:val="2"/>
          <w:lang w:val="en-AU"/>
          <w14:ligatures w14:val="standardContextual"/>
        </w:rPr>
        <w:t xml:space="preserve"> : </w:t>
      </w:r>
    </w:p>
    <w:p w14:paraId="6D068CA1"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b/>
          <w:bCs/>
          <w:i/>
          <w:iCs/>
          <w:color w:val="auto"/>
          <w:kern w:val="2"/>
          <w:lang w:val="en-AU"/>
          <w14:ligatures w14:val="standardContextual"/>
        </w:rPr>
        <w:lastRenderedPageBreak/>
        <w:t>EOPO 1:</w:t>
      </w:r>
      <w:r w:rsidRPr="00E43A6C">
        <w:rPr>
          <w:rFonts w:ascii="Calibri" w:eastAsia="Calibri" w:hAnsi="Calibri" w:cs="Times New Roman"/>
          <w:b/>
          <w:bCs/>
          <w:color w:val="auto"/>
          <w:kern w:val="2"/>
          <w:lang w:val="en-AU"/>
          <w14:ligatures w14:val="standardContextual"/>
        </w:rPr>
        <w:t xml:space="preserve"> </w:t>
      </w:r>
      <w:r w:rsidRPr="00E43A6C">
        <w:rPr>
          <w:rFonts w:ascii="Calibri" w:eastAsia="Calibri" w:hAnsi="Calibri" w:cs="Times New Roman"/>
          <w:i/>
          <w:iCs/>
          <w:color w:val="auto"/>
          <w:kern w:val="2"/>
          <w:lang w:val="en-AU"/>
          <w14:ligatures w14:val="standardContextual"/>
        </w:rPr>
        <w:t>Improved numeracy and literacy outcomes for both girls and boys (Years 1-10), including children with disabilities.</w:t>
      </w:r>
    </w:p>
    <w:p w14:paraId="2F4DDE32"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b/>
          <w:bCs/>
          <w:i/>
          <w:iCs/>
          <w:color w:val="auto"/>
          <w:kern w:val="2"/>
          <w:lang w:val="en-AU"/>
          <w14:ligatures w14:val="standardContextual"/>
        </w:rPr>
        <w:t>EOPO 2:</w:t>
      </w:r>
      <w:r w:rsidRPr="00E43A6C">
        <w:rPr>
          <w:rFonts w:ascii="Calibri" w:eastAsia="Calibri" w:hAnsi="Calibri" w:cs="Times New Roman"/>
          <w:i/>
          <w:iCs/>
          <w:color w:val="auto"/>
          <w:kern w:val="2"/>
          <w:lang w:val="en-AU"/>
          <w14:ligatures w14:val="standardContextual"/>
        </w:rPr>
        <w:t xml:space="preserve"> Improved relevance and quality of secondary school teaching and pathways to employment and further education opportunities for both girls and boys, including learners with disabilities; and </w:t>
      </w:r>
    </w:p>
    <w:p w14:paraId="5951F89B"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b/>
          <w:bCs/>
          <w:i/>
          <w:iCs/>
          <w:color w:val="auto"/>
          <w:kern w:val="2"/>
          <w:lang w:val="en-AU"/>
          <w14:ligatures w14:val="standardContextual"/>
        </w:rPr>
        <w:t>EOPO 3:</w:t>
      </w:r>
      <w:r w:rsidRPr="00E43A6C">
        <w:rPr>
          <w:rFonts w:ascii="Calibri" w:eastAsia="Calibri" w:hAnsi="Calibri" w:cs="Times New Roman"/>
          <w:color w:val="auto"/>
          <w:kern w:val="2"/>
          <w:lang w:val="en-AU"/>
          <w14:ligatures w14:val="standardContextual"/>
        </w:rPr>
        <w:t xml:space="preserve"> </w:t>
      </w:r>
      <w:r w:rsidRPr="00E43A6C">
        <w:rPr>
          <w:rFonts w:ascii="Calibri" w:eastAsia="Calibri" w:hAnsi="Calibri" w:cs="Times New Roman"/>
          <w:i/>
          <w:iCs/>
          <w:color w:val="auto"/>
          <w:kern w:val="2"/>
          <w:lang w:val="en-AU"/>
          <w14:ligatures w14:val="standardContextual"/>
        </w:rPr>
        <w:t xml:space="preserve">Strengthened Ministry of Education, Youth &amp; Sports (now Ministry of Education &amp; Human Resources Development) personnel and systems so that service delivery is more inclusive, evidence-based and efficient. </w:t>
      </w:r>
    </w:p>
    <w:p w14:paraId="38BB4759"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The TAPQE Program builds on previous years of support (</w:t>
      </w:r>
      <w:r w:rsidRPr="00E43A6C">
        <w:rPr>
          <w:rFonts w:ascii="Calibri" w:eastAsia="Calibri" w:hAnsi="Calibri" w:cs="Times New Roman"/>
          <w:i/>
          <w:iCs/>
          <w:color w:val="auto"/>
          <w:kern w:val="2"/>
          <w:lang w:val="en-AU"/>
          <w14:ligatures w14:val="standardContextual"/>
        </w:rPr>
        <w:t>Australian Support to Education in Tuvalu (ASET Program 2018-2022)</w:t>
      </w:r>
      <w:r w:rsidRPr="00E43A6C">
        <w:rPr>
          <w:rFonts w:ascii="Calibri" w:eastAsia="Calibri" w:hAnsi="Calibri" w:cs="Times New Roman"/>
          <w:color w:val="auto"/>
          <w:kern w:val="2"/>
          <w:lang w:val="en-AU"/>
          <w14:ligatures w14:val="standardContextual"/>
        </w:rPr>
        <w:t xml:space="preserve"> and the Australia Awards Scholarships. The TAPQE Investment Design Document (IDD) was developed during the COVID-19 pandemic, and inception phase activities commenced in January 2023. The TAPQE Program was officially launched in May 2024 at the Program’s inaugural Steering Committee Meeting.</w:t>
      </w:r>
    </w:p>
    <w:p w14:paraId="03ACF089"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TAPQE Program’s Investment Design Document (IDD) has not yet been finalised by DFAT. The Program is currently implementing its workplan activities based on the draft IDD; pending the revision of the IDD to align with Tuvalu’s new education sector plan (TESP IV) which is currently being reviewed by Tuvalu’s senior education officials. </w:t>
      </w:r>
    </w:p>
    <w:p w14:paraId="1C946B06"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Since its inception, TAPQE has had a part-time team leader co-shared with the Nauru Education Program (NEP), with technical support provided by a range of short-term technical advisers encompassing literacy &amp; numeracy, technical &amp; vocational skills development, gender and social inclusion (GEDSI), climate change, education management information systems, continuous professional development, and monitoring and evaluation. The short-term advisers work with a team of locally engaged staff to support MEHRD. In March 2024, TAPQE appointed a Deputy Team Leader to be based full-time in Tuvalu to manage the Program’s activities and support the country manager and team leader. Some anticipated TAPQE staffing changes in 2025 include a full-time team leader role and a literacy and numeracy adviser to be based in Tuvalu.   </w:t>
      </w:r>
    </w:p>
    <w:p w14:paraId="04DA81F3"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In addition to TAPQE, DFAT also provides direct technical assistance to MEHRD’s senior leadership (a Strategic Education Adviser engaged separately through the Australia Pacific Partnerships Platform (AusP3). The Strategic Education Adviser provides mentoring support to the Director of Education and senior education officers; and assists MEHRD with their Education Sector Plans and development partner coordination efforts. Although the Strategic Education Adviser’s activities are not in scope as part of this review, it would be useful to assess how the TAPQE Program is leveraging this support. </w:t>
      </w:r>
    </w:p>
    <w:p w14:paraId="4DB806AB"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Tuvalu education sector – current developments</w:t>
      </w:r>
    </w:p>
    <w:p w14:paraId="27E49B39" w14:textId="6763A0F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With funding support from the Global Partnerships for Education (GPE), UNICEF is supporting Tuvalu to develop its next Tuvalu Education Sector Plan (TESP IV). An Education Sector Analysis (ESA) has been developed to inform the TESP IV priorities. Tuvalu’s Ministry of Education &amp; Human Resources Development (MEHRD) is in the process of finalising the ESA and TESP IV and preparing its grant application for the Systems Transformation Grant through GPE. The Education Act has also been </w:t>
      </w:r>
      <w:r w:rsidR="00AF185F" w:rsidRPr="00E43A6C">
        <w:rPr>
          <w:rFonts w:ascii="Calibri" w:eastAsia="Calibri" w:hAnsi="Calibri" w:cs="Times New Roman"/>
          <w:color w:val="auto"/>
          <w:kern w:val="2"/>
          <w:lang w:val="en-AU"/>
          <w14:ligatures w14:val="standardContextual"/>
        </w:rPr>
        <w:t>reviewed,</w:t>
      </w:r>
      <w:r w:rsidRPr="00E43A6C">
        <w:rPr>
          <w:rFonts w:ascii="Calibri" w:eastAsia="Calibri" w:hAnsi="Calibri" w:cs="Times New Roman"/>
          <w:color w:val="auto"/>
          <w:kern w:val="2"/>
          <w:lang w:val="en-AU"/>
          <w14:ligatures w14:val="standardContextual"/>
        </w:rPr>
        <w:t xml:space="preserve"> and a draft Bill is currently with the Attorney General’s office before its tabled in Parliament. </w:t>
      </w:r>
    </w:p>
    <w:p w14:paraId="0823B007"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Tuvalu’s TESP IV sets out Tuvalu’s education priorities over the next 5 years, supported by a range of development partners including DFAT, World Bank, UNICEF, UNESCO, USP and SPC EQAP. Through GPE and other funding sources, several studies have been conducted to inform the development of TESP IV. These include the Education Sector Analysis, Education Enabling Factor Analysis, Education Workforce Review, Gender Analysis, etc. A draft summary of the current draft TESP IV is attached in </w:t>
      </w:r>
      <w:r w:rsidRPr="00E43A6C">
        <w:rPr>
          <w:rFonts w:ascii="Calibri" w:eastAsia="Calibri" w:hAnsi="Calibri" w:cs="Times New Roman"/>
          <w:b/>
          <w:bCs/>
          <w:color w:val="auto"/>
          <w:kern w:val="2"/>
          <w:lang w:val="en-AU"/>
          <w14:ligatures w14:val="standardContextual"/>
        </w:rPr>
        <w:t>Annex 1.</w:t>
      </w:r>
      <w:r w:rsidRPr="00E43A6C">
        <w:rPr>
          <w:rFonts w:ascii="Calibri" w:eastAsia="Calibri" w:hAnsi="Calibri" w:cs="Times New Roman"/>
          <w:color w:val="auto"/>
          <w:kern w:val="2"/>
          <w:lang w:val="en-AU"/>
          <w14:ligatures w14:val="standardContextual"/>
        </w:rPr>
        <w:t xml:space="preserve"> The Tuvalu Education Partners Group (TEPG) supports MEHRD’s oversight of the GPE grants managed through UNICEF.</w:t>
      </w:r>
    </w:p>
    <w:p w14:paraId="5C24B99C" w14:textId="77777777" w:rsidR="00E43A6C" w:rsidRPr="00E43A6C" w:rsidRDefault="00E43A6C" w:rsidP="008D1C67">
      <w:pPr>
        <w:keepNext/>
        <w:suppressAutoHyphens w:val="0"/>
        <w:autoSpaceDE/>
        <w:autoSpaceDN/>
        <w:adjustRightInd/>
        <w:spacing w:after="160" w:line="257"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lastRenderedPageBreak/>
        <w:t>Other Contextual Shifts</w:t>
      </w:r>
    </w:p>
    <w:p w14:paraId="07F170F0"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Australia and Tuvalu signed the Falepili Treaty in 2023. The Treaty is now in force. Among other commitments, the Treaty includes a mobility pathway providing up to 280 visas per year for Tuvaluans for permanent residency in Australia. This will enable visa-holders to move freely between the two countries.  The pathway will be operational in mid-2025. </w:t>
      </w:r>
    </w:p>
    <w:p w14:paraId="548663CE" w14:textId="77777777" w:rsidR="00E43A6C" w:rsidRPr="008D1C67" w:rsidRDefault="00E43A6C" w:rsidP="008D1C67">
      <w:pPr>
        <w:rPr>
          <w:b/>
          <w:bCs/>
          <w:lang w:val="en-AU"/>
        </w:rPr>
      </w:pPr>
      <w:r w:rsidRPr="008D1C67">
        <w:rPr>
          <w:b/>
          <w:bCs/>
          <w:lang w:val="en-AU"/>
        </w:rPr>
        <w:t xml:space="preserve">Mid Term Review Objectives </w:t>
      </w:r>
    </w:p>
    <w:p w14:paraId="42AFADA7"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DFAT is commissioning this mid-term review to address two main objectives: </w:t>
      </w:r>
    </w:p>
    <w:p w14:paraId="68A5B502" w14:textId="77777777" w:rsidR="00E43A6C" w:rsidRPr="00E43A6C" w:rsidRDefault="00E43A6C" w:rsidP="00B32148">
      <w:pPr>
        <w:numPr>
          <w:ilvl w:val="0"/>
          <w:numId w:val="44"/>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to help inform the finalisation of the TAPQE Investment Design Document and ensure it remains relevant to Tuvalu’s education context, operational environment, and the priorities in the draft TESP IV to strengthen Tuvalu’s education systems and outcomes; and </w:t>
      </w:r>
    </w:p>
    <w:p w14:paraId="381E09A9" w14:textId="77777777" w:rsidR="00E43A6C" w:rsidRPr="00E43A6C" w:rsidRDefault="00E43A6C" w:rsidP="00E43A6C">
      <w:pPr>
        <w:suppressAutoHyphens w:val="0"/>
        <w:autoSpaceDE/>
        <w:autoSpaceDN/>
        <w:adjustRightInd/>
        <w:spacing w:line="256" w:lineRule="auto"/>
        <w:ind w:left="720"/>
        <w:contextualSpacing/>
        <w:jc w:val="left"/>
        <w:textAlignment w:val="auto"/>
        <w:rPr>
          <w:rFonts w:ascii="Calibri" w:eastAsia="Calibri" w:hAnsi="Calibri" w:cs="Times New Roman"/>
          <w:color w:val="auto"/>
          <w:kern w:val="2"/>
          <w:lang w:val="en-AU"/>
          <w14:ligatures w14:val="standardContextual"/>
        </w:rPr>
      </w:pPr>
    </w:p>
    <w:p w14:paraId="73655C80" w14:textId="77777777" w:rsidR="00E43A6C" w:rsidRPr="00E43A6C" w:rsidRDefault="00E43A6C" w:rsidP="00B32148">
      <w:pPr>
        <w:numPr>
          <w:ilvl w:val="0"/>
          <w:numId w:val="44"/>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to assess TAPQE’s progress towards achieving its End of Program Outcomes, identify what is working well and what needs to be strengthened to achieve the EOPOs; determine whether the current TAPQE MERL Framework and performance reporting is fit for purpose; and identify some recommendations for where improvements could be made to drive real changes in student outcomes, including students with disabilities and those most at risk of falling behind and/or in need of assistance. </w:t>
      </w:r>
    </w:p>
    <w:p w14:paraId="129A9EFA" w14:textId="77777777" w:rsidR="00E43A6C" w:rsidRPr="00E43A6C" w:rsidRDefault="00E43A6C" w:rsidP="00E43A6C">
      <w:pPr>
        <w:suppressAutoHyphens w:val="0"/>
        <w:autoSpaceDE/>
        <w:autoSpaceDN/>
        <w:adjustRightInd/>
        <w:spacing w:line="256" w:lineRule="auto"/>
        <w:ind w:left="720"/>
        <w:contextualSpacing/>
        <w:jc w:val="left"/>
        <w:textAlignment w:val="auto"/>
        <w:rPr>
          <w:rFonts w:ascii="Calibri" w:eastAsia="Calibri" w:hAnsi="Calibri" w:cs="Times New Roman"/>
          <w:color w:val="auto"/>
          <w:kern w:val="2"/>
          <w:lang w:val="en-AU"/>
          <w14:ligatures w14:val="standardContextual"/>
        </w:rPr>
      </w:pPr>
    </w:p>
    <w:p w14:paraId="50D195B1"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Mid Term Review will be conducted in line with DFAT’s Development Evaluation Policy and DFAT’s Design and Monitoring, Evaluation and Learning standards. The intended primary users of the findings and recommendations from this mid-term review include DFAT staff in Canberra (Tuvalu Desk/ Office of the Pacific) and Funafuti Post staff, senior officials of Tuvalu’s Department of Education, including the Permanent Secretary (MEHRD) and the TAPQE Program team including the managing contractor team at both the headquarters level and program team in Funafuti. Secondary users of the findings from the mid-term review include school communities such as teachers and local island council (Kaupule) representatives, other development partners and members of the Tuvalu Education Partners Group. </w:t>
      </w:r>
    </w:p>
    <w:p w14:paraId="13687BF9" w14:textId="77777777" w:rsidR="00E43A6C" w:rsidRPr="008D1C67" w:rsidRDefault="00E43A6C" w:rsidP="008D1C67">
      <w:pPr>
        <w:rPr>
          <w:b/>
          <w:bCs/>
          <w:lang w:val="en-AU"/>
        </w:rPr>
      </w:pPr>
      <w:r w:rsidRPr="008D1C67">
        <w:rPr>
          <w:b/>
          <w:bCs/>
          <w:lang w:val="en-AU"/>
        </w:rPr>
        <w:t>Scope</w:t>
      </w:r>
    </w:p>
    <w:p w14:paraId="2A68BCAD"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scope for the review will cover the TAPQE Program since its Inception Phase in November 2022 to date, including the following: </w:t>
      </w:r>
    </w:p>
    <w:p w14:paraId="0F1AFBB0"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FF0000"/>
          <w:kern w:val="2"/>
          <w:lang w:val="en-AU"/>
          <w14:ligatures w14:val="standardContextual"/>
        </w:rPr>
      </w:pPr>
      <w:r w:rsidRPr="00E43A6C">
        <w:rPr>
          <w:rFonts w:ascii="Calibri" w:eastAsia="Calibri" w:hAnsi="Calibri" w:cs="Times New Roman"/>
          <w:color w:val="auto"/>
          <w:kern w:val="2"/>
          <w:lang w:val="en-AU"/>
          <w14:ligatures w14:val="standardContextual"/>
        </w:rPr>
        <w:t xml:space="preserve">a) Alignment with Tuvalu’s key policies and priorities in the education sector (including </w:t>
      </w:r>
      <w:r w:rsidRPr="00E43A6C">
        <w:rPr>
          <w:rFonts w:ascii="Calibri" w:eastAsia="Calibri" w:hAnsi="Calibri" w:cs="Times New Roman"/>
          <w:i/>
          <w:iCs/>
          <w:color w:val="auto"/>
          <w:kern w:val="2"/>
          <w:lang w:val="en-AU"/>
          <w14:ligatures w14:val="standardContextual"/>
        </w:rPr>
        <w:t xml:space="preserve">Te Kete, </w:t>
      </w:r>
      <w:r w:rsidRPr="00E43A6C">
        <w:rPr>
          <w:rFonts w:ascii="Calibri" w:eastAsia="Calibri" w:hAnsi="Calibri" w:cs="Times New Roman"/>
          <w:color w:val="auto"/>
          <w:kern w:val="2"/>
          <w:lang w:val="en-AU"/>
          <w14:ligatures w14:val="standardContextual"/>
        </w:rPr>
        <w:t>the Tuvalu Government’s 21 Priorities and Tuvalu’s Education Sector Plans)</w:t>
      </w:r>
    </w:p>
    <w:p w14:paraId="19364351"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FF0000"/>
          <w:kern w:val="2"/>
          <w:lang w:val="en-AU"/>
          <w14:ligatures w14:val="standardContextual"/>
        </w:rPr>
      </w:pPr>
      <w:r w:rsidRPr="00E43A6C">
        <w:rPr>
          <w:rFonts w:ascii="Calibri" w:eastAsia="Calibri" w:hAnsi="Calibri" w:cs="Times New Roman"/>
          <w:color w:val="auto"/>
          <w:kern w:val="2"/>
          <w:lang w:val="en-AU"/>
          <w14:ligatures w14:val="standardContextual"/>
        </w:rPr>
        <w:t xml:space="preserve">b) The TAPQE Program implementation and management support, including the activities implemented by the technical advisers, locally engaged staff and program management and administration </w:t>
      </w:r>
      <w:proofErr w:type="gramStart"/>
      <w:r w:rsidRPr="00E43A6C">
        <w:rPr>
          <w:rFonts w:ascii="Calibri" w:eastAsia="Calibri" w:hAnsi="Calibri" w:cs="Times New Roman"/>
          <w:color w:val="auto"/>
          <w:kern w:val="2"/>
          <w:lang w:val="en-AU"/>
          <w14:ligatures w14:val="standardContextual"/>
        </w:rPr>
        <w:t>team;</w:t>
      </w:r>
      <w:proofErr w:type="gramEnd"/>
    </w:p>
    <w:p w14:paraId="51C12CA1"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c) TAPQE’s engagement with key stakeholders including MEHRD, Department of Education staff and teachers, and the Strategic Education Adviser, and development partners (World Bank TuLEP Program, UNICEF, USP, SPC, etc.</w:t>
      </w:r>
      <w:proofErr w:type="gramStart"/>
      <w:r w:rsidRPr="00E43A6C">
        <w:rPr>
          <w:rFonts w:ascii="Calibri" w:eastAsia="Calibri" w:hAnsi="Calibri" w:cs="Times New Roman"/>
          <w:color w:val="auto"/>
          <w:kern w:val="2"/>
          <w:lang w:val="en-AU"/>
          <w14:ligatures w14:val="standardContextual"/>
        </w:rPr>
        <w:t>);</w:t>
      </w:r>
      <w:proofErr w:type="gramEnd"/>
    </w:p>
    <w:p w14:paraId="7AD9EAC9"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d) MEHRD’s interactions with TAPQE to support the Department of Education’s policy priorities and </w:t>
      </w:r>
      <w:proofErr w:type="gramStart"/>
      <w:r w:rsidRPr="00E43A6C">
        <w:rPr>
          <w:rFonts w:ascii="Calibri" w:eastAsia="Calibri" w:hAnsi="Calibri" w:cs="Times New Roman"/>
          <w:color w:val="auto"/>
          <w:kern w:val="2"/>
          <w:lang w:val="en-AU"/>
          <w14:ligatures w14:val="standardContextual"/>
        </w:rPr>
        <w:t>engagement;</w:t>
      </w:r>
      <w:proofErr w:type="gramEnd"/>
    </w:p>
    <w:p w14:paraId="15111A1B"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e) TAPQE’s engagement with the Tuvalu Education Partners Group (TEPG) and other relevant government agencies and civil society organisations in Tuvalu; and </w:t>
      </w:r>
    </w:p>
    <w:p w14:paraId="4C2345AA" w14:textId="77777777" w:rsidR="00E43A6C" w:rsidRPr="00E43A6C" w:rsidRDefault="00E43A6C" w:rsidP="00E43A6C">
      <w:pPr>
        <w:suppressAutoHyphens w:val="0"/>
        <w:autoSpaceDE/>
        <w:autoSpaceDN/>
        <w:adjustRightInd/>
        <w:spacing w:after="160" w:line="256" w:lineRule="auto"/>
        <w:ind w:left="567" w:hanging="207"/>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f) DFAT’s engagement with the TAPQE Program.</w:t>
      </w:r>
    </w:p>
    <w:p w14:paraId="00346C05"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 xml:space="preserve"> The following areas are excluded from the scope of the review:</w:t>
      </w:r>
    </w:p>
    <w:p w14:paraId="7620A673" w14:textId="77777777" w:rsidR="00E43A6C" w:rsidRPr="00E43A6C" w:rsidRDefault="00E43A6C" w:rsidP="00B32148">
      <w:pPr>
        <w:numPr>
          <w:ilvl w:val="0"/>
          <w:numId w:val="45"/>
        </w:numPr>
        <w:suppressAutoHyphens w:val="0"/>
        <w:autoSpaceDE/>
        <w:autoSpaceDN/>
        <w:adjustRightInd/>
        <w:spacing w:after="160" w:line="256" w:lineRule="auto"/>
        <w:ind w:left="709" w:hanging="349"/>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MEHRD’s engagement with other development partners, including </w:t>
      </w:r>
      <w:proofErr w:type="gramStart"/>
      <w:r w:rsidRPr="00E43A6C">
        <w:rPr>
          <w:rFonts w:ascii="Calibri" w:eastAsia="Calibri" w:hAnsi="Calibri" w:cs="Times New Roman"/>
          <w:color w:val="auto"/>
          <w:kern w:val="2"/>
          <w:lang w:val="en-AU"/>
          <w14:ligatures w14:val="standardContextual"/>
        </w:rPr>
        <w:t>DFAT;</w:t>
      </w:r>
      <w:proofErr w:type="gramEnd"/>
    </w:p>
    <w:p w14:paraId="5D9E712E" w14:textId="77777777" w:rsidR="00E43A6C" w:rsidRPr="00E43A6C" w:rsidRDefault="00E43A6C" w:rsidP="00B32148">
      <w:pPr>
        <w:numPr>
          <w:ilvl w:val="0"/>
          <w:numId w:val="45"/>
        </w:numPr>
        <w:suppressAutoHyphens w:val="0"/>
        <w:autoSpaceDE/>
        <w:autoSpaceDN/>
        <w:adjustRightInd/>
        <w:spacing w:after="160" w:line="256" w:lineRule="auto"/>
        <w:ind w:left="709" w:hanging="349"/>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lastRenderedPageBreak/>
        <w:t xml:space="preserve">MEHRD’s engagement with the DFAT-funded Strategic Education Adviser and their engagement with </w:t>
      </w:r>
      <w:proofErr w:type="gramStart"/>
      <w:r w:rsidRPr="00E43A6C">
        <w:rPr>
          <w:rFonts w:ascii="Calibri" w:eastAsia="Calibri" w:hAnsi="Calibri" w:cs="Times New Roman"/>
          <w:color w:val="auto"/>
          <w:kern w:val="2"/>
          <w:lang w:val="en-AU"/>
          <w14:ligatures w14:val="standardContextual"/>
        </w:rPr>
        <w:t>DFAT;</w:t>
      </w:r>
      <w:proofErr w:type="gramEnd"/>
      <w:r w:rsidRPr="00E43A6C">
        <w:rPr>
          <w:rFonts w:ascii="Calibri" w:eastAsia="Calibri" w:hAnsi="Calibri" w:cs="Times New Roman"/>
          <w:color w:val="auto"/>
          <w:kern w:val="2"/>
          <w:lang w:val="en-AU"/>
          <w14:ligatures w14:val="standardContextual"/>
        </w:rPr>
        <w:t xml:space="preserve"> </w:t>
      </w:r>
    </w:p>
    <w:p w14:paraId="2268CD0D" w14:textId="77777777" w:rsidR="00E43A6C" w:rsidRPr="00E43A6C" w:rsidRDefault="00E43A6C" w:rsidP="00B32148">
      <w:pPr>
        <w:numPr>
          <w:ilvl w:val="0"/>
          <w:numId w:val="45"/>
        </w:numPr>
        <w:suppressAutoHyphens w:val="0"/>
        <w:autoSpaceDE/>
        <w:autoSpaceDN/>
        <w:adjustRightInd/>
        <w:spacing w:after="160" w:line="256" w:lineRule="auto"/>
        <w:ind w:left="709" w:hanging="349"/>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DFAT’s engagement on the Global Partnership for Education’s grants to Tuvalu (as a coordinating agent) and</w:t>
      </w:r>
    </w:p>
    <w:p w14:paraId="298F2F4F" w14:textId="77777777" w:rsidR="00E43A6C" w:rsidRPr="00E43A6C" w:rsidRDefault="00E43A6C" w:rsidP="00B32148">
      <w:pPr>
        <w:numPr>
          <w:ilvl w:val="0"/>
          <w:numId w:val="45"/>
        </w:numPr>
        <w:suppressAutoHyphens w:val="0"/>
        <w:autoSpaceDE/>
        <w:autoSpaceDN/>
        <w:adjustRightInd/>
        <w:spacing w:after="160" w:line="256" w:lineRule="auto"/>
        <w:ind w:left="709" w:hanging="349"/>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DFAT’s management of the Australian Aid program in Tuvalu.</w:t>
      </w:r>
    </w:p>
    <w:p w14:paraId="7516BD64" w14:textId="77777777" w:rsidR="00E43A6C" w:rsidRPr="00E43A6C" w:rsidRDefault="00E43A6C" w:rsidP="00E43A6C">
      <w:pPr>
        <w:suppressAutoHyphens w:val="0"/>
        <w:autoSpaceDE/>
        <w:autoSpaceDN/>
        <w:adjustRightInd/>
        <w:spacing w:line="256" w:lineRule="auto"/>
        <w:ind w:left="567"/>
        <w:contextualSpacing/>
        <w:jc w:val="left"/>
        <w:textAlignment w:val="auto"/>
        <w:rPr>
          <w:rFonts w:ascii="Calibri" w:eastAsia="Calibri" w:hAnsi="Calibri" w:cs="Times New Roman"/>
          <w:color w:val="auto"/>
          <w:kern w:val="2"/>
          <w:lang w:val="en-AU"/>
          <w14:ligatures w14:val="standardContextual"/>
        </w:rPr>
      </w:pPr>
    </w:p>
    <w:p w14:paraId="046CA16A"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Key Questions for the Mid-Term Review</w:t>
      </w:r>
    </w:p>
    <w:p w14:paraId="56790B31"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Relevance</w:t>
      </w:r>
    </w:p>
    <w:p w14:paraId="7CAF2CAA" w14:textId="46C9F1B0" w:rsidR="00E43A6C" w:rsidRPr="00E43A6C" w:rsidRDefault="003F235F" w:rsidP="00B32148">
      <w:pPr>
        <w:numPr>
          <w:ilvl w:val="0"/>
          <w:numId w:val="46"/>
        </w:numPr>
        <w:suppressAutoHyphens w:val="0"/>
        <w:autoSpaceDE/>
        <w:autoSpaceDN/>
        <w:adjustRightInd/>
        <w:spacing w:after="160" w:line="256" w:lineRule="auto"/>
        <w:contextualSpacing/>
        <w:jc w:val="left"/>
        <w:textAlignment w:val="auto"/>
        <w:rPr>
          <w:rFonts w:ascii="Calibri" w:eastAsia="Calibri" w:hAnsi="Calibri" w:cs="Times New Roman"/>
          <w:b/>
          <w:bCs/>
          <w:color w:val="auto"/>
          <w:kern w:val="2"/>
          <w:lang w:val="en-AU"/>
          <w14:ligatures w14:val="standardContextual"/>
        </w:rPr>
      </w:pPr>
      <w:r>
        <w:rPr>
          <w:rFonts w:ascii="Calibri" w:eastAsia="Calibri" w:hAnsi="Calibri" w:cs="Times New Roman"/>
          <w:b/>
          <w:bCs/>
          <w:color w:val="auto"/>
          <w:kern w:val="2"/>
          <w:lang w:val="en-AU"/>
          <w14:ligatures w14:val="standardContextual"/>
        </w:rPr>
        <w:t>Are</w:t>
      </w:r>
      <w:r w:rsidRPr="00E43A6C">
        <w:rPr>
          <w:rFonts w:ascii="Calibri" w:eastAsia="Calibri" w:hAnsi="Calibri" w:cs="Times New Roman"/>
          <w:b/>
          <w:bCs/>
          <w:color w:val="auto"/>
          <w:kern w:val="2"/>
          <w:lang w:val="en-AU"/>
          <w14:ligatures w14:val="standardContextual"/>
        </w:rPr>
        <w:t xml:space="preserve"> </w:t>
      </w:r>
      <w:r w:rsidR="00E43A6C" w:rsidRPr="00E43A6C">
        <w:rPr>
          <w:rFonts w:ascii="Calibri" w:eastAsia="Calibri" w:hAnsi="Calibri" w:cs="Times New Roman"/>
          <w:b/>
          <w:bCs/>
          <w:color w:val="auto"/>
          <w:kern w:val="2"/>
          <w:lang w:val="en-AU"/>
          <w14:ligatures w14:val="standardContextual"/>
        </w:rPr>
        <w:t>TAPQE’s Investment Design Document and End of Program Outcomes well-aligned with the draft TESP IV priorities and expected outcomes? If not, identify the TAPQE EOPOs that need to be strengthened, modified, or changed; and provide clear rationale for these proposed changes.</w:t>
      </w:r>
    </w:p>
    <w:p w14:paraId="67517C1A"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Is the TAPQE Program engaged in the right interventions and activities that are appropriate for the context of Tuvalu’s education sector?</w:t>
      </w:r>
    </w:p>
    <w:p w14:paraId="3C12E583"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What is the extent to which TAPQE’s objectives and design respond to/or are sensitive to the economic, environmental, social, political economy and capacity conditions in Tuvalu, including the TAPQE Program’s targeted beneficiaries?</w:t>
      </w:r>
    </w:p>
    <w:p w14:paraId="3BFB93EE"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How well does the TAPQE Program fit in with MEHRD’s priorities and other interventions funded by development partners in Tuvalu’s education sector?  </w:t>
      </w:r>
    </w:p>
    <w:p w14:paraId="3D66D3EC"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Is the TAPQE Program meeting the needs of the Program’s targeted beneficiaries? (MEHRD staff, teachers, students (including boys, girls and students with disabilities and learning difficulties), school communities (including parents, local island councils (Kaupules), etc.)</w:t>
      </w:r>
    </w:p>
    <w:p w14:paraId="2CDCE2FF"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How are the benefits introduced through the TAPQE Program interventions and activities strengthening MEHRD’s systems and processes, and determine if this can be sustained by MEHRD within the short to medium term? Are these benefits being institutionalised within the local systems and processes to ensure that the benefits are sustainable? </w:t>
      </w:r>
    </w:p>
    <w:p w14:paraId="30FD1772" w14:textId="4C49C820"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Is TAPQE’s localisation approaches through its program interventions and activities relevant and </w:t>
      </w:r>
      <w:r w:rsidR="003F235F" w:rsidRPr="00E43A6C">
        <w:rPr>
          <w:rFonts w:ascii="Calibri" w:eastAsia="Calibri" w:hAnsi="Calibri" w:cs="Times New Roman"/>
          <w:color w:val="auto"/>
          <w:kern w:val="2"/>
          <w:lang w:val="en-AU"/>
          <w14:ligatures w14:val="standardContextual"/>
        </w:rPr>
        <w:t>context</w:t>
      </w:r>
      <w:r w:rsidR="003F235F">
        <w:rPr>
          <w:rFonts w:ascii="Calibri" w:eastAsia="Calibri" w:hAnsi="Calibri" w:cs="Times New Roman"/>
          <w:color w:val="auto"/>
          <w:kern w:val="2"/>
          <w:lang w:val="en-AU"/>
          <w14:ligatures w14:val="standardContextual"/>
        </w:rPr>
        <w:t>-</w:t>
      </w:r>
      <w:r w:rsidRPr="00E43A6C">
        <w:rPr>
          <w:rFonts w:ascii="Calibri" w:eastAsia="Calibri" w:hAnsi="Calibri" w:cs="Times New Roman"/>
          <w:color w:val="auto"/>
          <w:kern w:val="2"/>
          <w:lang w:val="en-AU"/>
          <w14:ligatures w14:val="standardContextual"/>
        </w:rPr>
        <w:t xml:space="preserve">appropriate? How can these approaches be strengthened to ensure sustained benefits over the short to medium term? </w:t>
      </w:r>
    </w:p>
    <w:p w14:paraId="78793CD6" w14:textId="742301EA"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What opportunities are there under the mobility pathways in Tuvalu (</w:t>
      </w:r>
      <w:r w:rsidR="002A0901" w:rsidRPr="00E43A6C">
        <w:rPr>
          <w:rFonts w:ascii="Calibri" w:eastAsia="Calibri" w:hAnsi="Calibri" w:cs="Times New Roman"/>
          <w:color w:val="auto"/>
          <w:kern w:val="2"/>
          <w:lang w:val="en-AU"/>
          <w14:ligatures w14:val="standardContextual"/>
        </w:rPr>
        <w:t>e.g.</w:t>
      </w:r>
      <w:r w:rsidRPr="00E43A6C">
        <w:rPr>
          <w:rFonts w:ascii="Calibri" w:eastAsia="Calibri" w:hAnsi="Calibri" w:cs="Times New Roman"/>
          <w:color w:val="auto"/>
          <w:kern w:val="2"/>
          <w:lang w:val="en-AU"/>
          <w14:ligatures w14:val="standardContextual"/>
        </w:rPr>
        <w:t xml:space="preserve"> Falepili Treaty) that can positively impact the education sector and teaching workforce, in collaboration with the TAPQE Program? </w:t>
      </w:r>
    </w:p>
    <w:p w14:paraId="0924CC8F" w14:textId="458F4FA3"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Provide an Addendum specifying the changes and recommendations that need to be made to the draft TAPQE IDD, for DFAT’s consideration. </w:t>
      </w:r>
    </w:p>
    <w:p w14:paraId="63C84271"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Effectiveness</w:t>
      </w:r>
    </w:p>
    <w:p w14:paraId="14A9E79C" w14:textId="77777777" w:rsidR="00E43A6C" w:rsidRPr="00E43A6C" w:rsidRDefault="00E43A6C" w:rsidP="00B32148">
      <w:pPr>
        <w:numPr>
          <w:ilvl w:val="0"/>
          <w:numId w:val="46"/>
        </w:numPr>
        <w:suppressAutoHyphens w:val="0"/>
        <w:autoSpaceDE/>
        <w:autoSpaceDN/>
        <w:adjustRightInd/>
        <w:spacing w:after="160" w:line="256" w:lineRule="auto"/>
        <w:contextualSpacing/>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 xml:space="preserve">Is the TAPQE Program on track to achieve its three </w:t>
      </w:r>
      <w:proofErr w:type="gramStart"/>
      <w:r w:rsidRPr="00E43A6C">
        <w:rPr>
          <w:rFonts w:ascii="Calibri" w:eastAsia="Calibri" w:hAnsi="Calibri" w:cs="Times New Roman"/>
          <w:b/>
          <w:bCs/>
          <w:color w:val="auto"/>
          <w:kern w:val="2"/>
          <w:lang w:val="en-AU"/>
          <w14:ligatures w14:val="standardContextual"/>
        </w:rPr>
        <w:t>end</w:t>
      </w:r>
      <w:proofErr w:type="gramEnd"/>
      <w:r w:rsidRPr="00E43A6C">
        <w:rPr>
          <w:rFonts w:ascii="Calibri" w:eastAsia="Calibri" w:hAnsi="Calibri" w:cs="Times New Roman"/>
          <w:b/>
          <w:bCs/>
          <w:color w:val="auto"/>
          <w:kern w:val="2"/>
          <w:lang w:val="en-AU"/>
          <w14:ligatures w14:val="standardContextual"/>
        </w:rPr>
        <w:t xml:space="preserve"> of program outcomes? Assess the level of progress made towards achievement of the EOPOs. </w:t>
      </w:r>
    </w:p>
    <w:p w14:paraId="5526F721"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What TAPQE Program activities are working well and will help contribute to the achievement of the end of program outcomes? </w:t>
      </w:r>
    </w:p>
    <w:p w14:paraId="7FBDAD68" w14:textId="25EEFC2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What TAPQE Program activities are not working well and need to be reviewed or stopped and replaced by other recommended activities? </w:t>
      </w:r>
    </w:p>
    <w:p w14:paraId="2AB261A6"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Efficiency</w:t>
      </w:r>
    </w:p>
    <w:p w14:paraId="1858E251" w14:textId="77777777" w:rsidR="00E43A6C" w:rsidRPr="00E43A6C" w:rsidRDefault="00E43A6C" w:rsidP="00B32148">
      <w:pPr>
        <w:numPr>
          <w:ilvl w:val="0"/>
          <w:numId w:val="46"/>
        </w:numPr>
        <w:suppressAutoHyphens w:val="0"/>
        <w:autoSpaceDE/>
        <w:autoSpaceDN/>
        <w:adjustRightInd/>
        <w:spacing w:after="160" w:line="256" w:lineRule="auto"/>
        <w:contextualSpacing/>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How well are TAPQE program resources being used?</w:t>
      </w:r>
    </w:p>
    <w:p w14:paraId="24EEFC11"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4472C4"/>
          <w:kern w:val="2"/>
          <w:lang w:val="en-AU"/>
          <w14:ligatures w14:val="standardContextual"/>
        </w:rPr>
      </w:pPr>
      <w:r w:rsidRPr="00E43A6C">
        <w:rPr>
          <w:rFonts w:ascii="Calibri" w:eastAsia="Calibri" w:hAnsi="Calibri" w:cs="Times New Roman"/>
          <w:color w:val="auto"/>
          <w:kern w:val="2"/>
          <w:lang w:val="en-AU"/>
          <w14:ligatures w14:val="standardContextual"/>
        </w:rPr>
        <w:t>Is TAPQE using program resources efficiently to achieve its End of Program Outcomes? (</w:t>
      </w:r>
      <w:proofErr w:type="gramStart"/>
      <w:r w:rsidRPr="00E43A6C">
        <w:rPr>
          <w:rFonts w:ascii="Calibri" w:eastAsia="Calibri" w:hAnsi="Calibri" w:cs="Times New Roman"/>
          <w:color w:val="auto"/>
          <w:kern w:val="2"/>
          <w:lang w:val="en-AU"/>
          <w14:ligatures w14:val="standardContextual"/>
        </w:rPr>
        <w:t>including</w:t>
      </w:r>
      <w:proofErr w:type="gramEnd"/>
      <w:r w:rsidRPr="00E43A6C">
        <w:rPr>
          <w:rFonts w:ascii="Calibri" w:eastAsia="Calibri" w:hAnsi="Calibri" w:cs="Times New Roman"/>
          <w:color w:val="auto"/>
          <w:kern w:val="2"/>
          <w:lang w:val="en-AU"/>
          <w14:ligatures w14:val="standardContextual"/>
        </w:rPr>
        <w:t xml:space="preserve"> percentage spent across the EOPOs, etc.</w:t>
      </w:r>
      <w:proofErr w:type="gramStart"/>
      <w:r w:rsidRPr="00E43A6C">
        <w:rPr>
          <w:rFonts w:ascii="Calibri" w:eastAsia="Calibri" w:hAnsi="Calibri" w:cs="Times New Roman"/>
          <w:color w:val="auto"/>
          <w:kern w:val="2"/>
          <w:lang w:val="en-AU"/>
          <w14:ligatures w14:val="standardContextual"/>
        </w:rPr>
        <w:t>), and</w:t>
      </w:r>
      <w:proofErr w:type="gramEnd"/>
      <w:r w:rsidRPr="00E43A6C">
        <w:rPr>
          <w:rFonts w:ascii="Calibri" w:eastAsia="Calibri" w:hAnsi="Calibri" w:cs="Times New Roman"/>
          <w:color w:val="auto"/>
          <w:kern w:val="2"/>
          <w:lang w:val="en-AU"/>
          <w14:ligatures w14:val="standardContextual"/>
        </w:rPr>
        <w:t xml:space="preserve"> make appropriate recommendations to ensure that the Program meets MEHRD’s education priorities and is on track to achieve its three </w:t>
      </w:r>
      <w:proofErr w:type="gramStart"/>
      <w:r w:rsidRPr="00E43A6C">
        <w:rPr>
          <w:rFonts w:ascii="Calibri" w:eastAsia="Calibri" w:hAnsi="Calibri" w:cs="Times New Roman"/>
          <w:color w:val="auto"/>
          <w:kern w:val="2"/>
          <w:lang w:val="en-AU"/>
          <w14:ligatures w14:val="standardContextual"/>
        </w:rPr>
        <w:t>end</w:t>
      </w:r>
      <w:proofErr w:type="gramEnd"/>
      <w:r w:rsidRPr="00E43A6C">
        <w:rPr>
          <w:rFonts w:ascii="Calibri" w:eastAsia="Calibri" w:hAnsi="Calibri" w:cs="Times New Roman"/>
          <w:color w:val="auto"/>
          <w:kern w:val="2"/>
          <w:lang w:val="en-AU"/>
          <w14:ligatures w14:val="standardContextual"/>
        </w:rPr>
        <w:t xml:space="preserve"> of program outcomes by 2026-27.</w:t>
      </w:r>
    </w:p>
    <w:p w14:paraId="2B9EDEF5" w14:textId="4BD3F8D9"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Is the current TAPQE Program structure, roles and responsibilities fit for purpose? (</w:t>
      </w:r>
      <w:proofErr w:type="gramStart"/>
      <w:r w:rsidRPr="00E43A6C">
        <w:rPr>
          <w:rFonts w:ascii="Calibri" w:eastAsia="Calibri" w:hAnsi="Calibri" w:cs="Times New Roman"/>
          <w:color w:val="auto"/>
          <w:kern w:val="2"/>
          <w:lang w:val="en-AU"/>
          <w14:ligatures w14:val="standardContextual"/>
        </w:rPr>
        <w:t>taking into account</w:t>
      </w:r>
      <w:proofErr w:type="gramEnd"/>
      <w:r w:rsidRPr="00E43A6C">
        <w:rPr>
          <w:rFonts w:ascii="Calibri" w:eastAsia="Calibri" w:hAnsi="Calibri" w:cs="Times New Roman"/>
          <w:color w:val="auto"/>
          <w:kern w:val="2"/>
          <w:lang w:val="en-AU"/>
          <w14:ligatures w14:val="standardContextual"/>
        </w:rPr>
        <w:t xml:space="preserve"> DFAT’s Partner Performance Assessment (2023-24) and Investment Monitoring Report </w:t>
      </w:r>
      <w:r w:rsidRPr="00E43A6C">
        <w:rPr>
          <w:rFonts w:ascii="Calibri" w:eastAsia="Calibri" w:hAnsi="Calibri" w:cs="Times New Roman"/>
          <w:color w:val="auto"/>
          <w:kern w:val="2"/>
          <w:lang w:val="en-AU"/>
          <w14:ligatures w14:val="standardContextual"/>
        </w:rPr>
        <w:lastRenderedPageBreak/>
        <w:t xml:space="preserve">of the TAPQE Program; provide clear recommendations on how the TAPQE Program structure can be adapted to be ‘fit for purpose’ to deliver the TAPQE Program in Tuvalu and achieve its End of Program Outcomes. </w:t>
      </w:r>
    </w:p>
    <w:p w14:paraId="08DC167A"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Gender Equality and Social Inclusion (GEDSI) and Climate Change</w:t>
      </w:r>
    </w:p>
    <w:p w14:paraId="7E570602" w14:textId="77777777" w:rsidR="00E43A6C" w:rsidRPr="00E43A6C" w:rsidRDefault="00E43A6C" w:rsidP="00B32148">
      <w:pPr>
        <w:numPr>
          <w:ilvl w:val="0"/>
          <w:numId w:val="46"/>
        </w:numPr>
        <w:suppressAutoHyphens w:val="0"/>
        <w:autoSpaceDE/>
        <w:autoSpaceDN/>
        <w:adjustRightInd/>
        <w:spacing w:after="160" w:line="256" w:lineRule="auto"/>
        <w:contextualSpacing/>
        <w:jc w:val="left"/>
        <w:textAlignment w:val="auto"/>
        <w:rPr>
          <w:rFonts w:ascii="Calibri" w:eastAsia="Calibri" w:hAnsi="Calibri" w:cs="Times New Roman"/>
          <w:b/>
          <w:bCs/>
          <w:i/>
          <w:i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 xml:space="preserve">Assess the effectiveness and efficiency of progress made in the implementation of TAPQE’s GEDSI Strategy; and if it is well targeted to address the teaching and learning needs of girls and boys, including those with disabilities, in Tuvalu’s primary and secondary schools? </w:t>
      </w:r>
    </w:p>
    <w:p w14:paraId="6B8E63B3"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color w:val="auto"/>
          <w:kern w:val="2"/>
          <w:lang w:val="en-AU"/>
          <w14:ligatures w14:val="standardContextual"/>
        </w:rPr>
        <w:t>Are the strategies in place adequate to increase equitable access to education for girls and boys who are at risk of not enrolling or completing primary education?</w:t>
      </w:r>
    </w:p>
    <w:p w14:paraId="5093B64C"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Are the TAPQE program interventions and activities promoting gender equality and social inclusion in Tuvalu’s primary and secondary school classrooms? How can this be strengthened? </w:t>
      </w:r>
    </w:p>
    <w:p w14:paraId="4DC56D95" w14:textId="77777777" w:rsidR="00E43A6C"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i/>
          <w:iCs/>
          <w:color w:val="auto"/>
          <w:kern w:val="2"/>
          <w:lang w:val="en-AU"/>
          <w14:ligatures w14:val="standardContextual"/>
        </w:rPr>
      </w:pPr>
      <w:r w:rsidRPr="00E43A6C">
        <w:rPr>
          <w:rFonts w:ascii="Calibri" w:eastAsia="Calibri" w:hAnsi="Calibri" w:cs="Times New Roman"/>
          <w:color w:val="auto"/>
          <w:kern w:val="2"/>
          <w:lang w:val="en-AU"/>
          <w14:ligatures w14:val="standardContextual"/>
        </w:rPr>
        <w:t>Assess the implementation of TAPQE Program’s climate change interventions and activities to address the teaching and learning needs of boys and girls, including those with disabilities, in Tuvalu’s primary and secondary schools?</w:t>
      </w:r>
    </w:p>
    <w:p w14:paraId="0BEEEA1B" w14:textId="7FC48A23" w:rsidR="00B86782" w:rsidRPr="00E43A6C" w:rsidRDefault="00E43A6C" w:rsidP="00B32148">
      <w:pPr>
        <w:numPr>
          <w:ilvl w:val="0"/>
          <w:numId w:val="47"/>
        </w:numPr>
        <w:suppressAutoHyphens w:val="0"/>
        <w:autoSpaceDE/>
        <w:autoSpaceDN/>
        <w:adjustRightInd/>
        <w:spacing w:after="160" w:line="256" w:lineRule="auto"/>
        <w:ind w:left="1134" w:hanging="283"/>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How effective is TAPQE’s implementation of the Child Protection, PSEAH and other safeguard policies through its program interventions and activities?</w:t>
      </w:r>
    </w:p>
    <w:p w14:paraId="6C66ADEA"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i/>
          <w:iCs/>
          <w:color w:val="auto"/>
          <w:kern w:val="2"/>
          <w:u w:val="single"/>
          <w:lang w:val="en-AU"/>
          <w14:ligatures w14:val="standardContextual"/>
        </w:rPr>
      </w:pPr>
      <w:r w:rsidRPr="00E43A6C">
        <w:rPr>
          <w:rFonts w:ascii="Calibri" w:eastAsia="Calibri" w:hAnsi="Calibri" w:cs="Times New Roman"/>
          <w:i/>
          <w:iCs/>
          <w:color w:val="auto"/>
          <w:kern w:val="2"/>
          <w:u w:val="single"/>
          <w:lang w:val="en-AU"/>
          <w14:ligatures w14:val="standardContextual"/>
        </w:rPr>
        <w:t xml:space="preserve">Monitoring &amp; Evaluation </w:t>
      </w:r>
    </w:p>
    <w:p w14:paraId="3A2AD3E2" w14:textId="77777777" w:rsidR="00E43A6C" w:rsidRPr="00E43A6C" w:rsidRDefault="00E43A6C" w:rsidP="00B32148">
      <w:pPr>
        <w:numPr>
          <w:ilvl w:val="0"/>
          <w:numId w:val="46"/>
        </w:numPr>
        <w:suppressAutoHyphens w:val="0"/>
        <w:autoSpaceDE/>
        <w:autoSpaceDN/>
        <w:adjustRightInd/>
        <w:spacing w:after="160" w:line="256" w:lineRule="auto"/>
        <w:contextualSpacing/>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Does the TAPQE program logic and theory of change provide a good understanding of how change can occur in Tuvalu’s context?</w:t>
      </w:r>
    </w:p>
    <w:p w14:paraId="180F51E8" w14:textId="77777777" w:rsidR="00E43A6C" w:rsidRPr="00E43A6C" w:rsidRDefault="00E43A6C" w:rsidP="00B32148">
      <w:pPr>
        <w:numPr>
          <w:ilvl w:val="0"/>
          <w:numId w:val="47"/>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Are the key assumptions underpinning the program logic and theory of change still relevant?</w:t>
      </w:r>
    </w:p>
    <w:p w14:paraId="1EC5EBBA" w14:textId="77777777" w:rsidR="00E43A6C" w:rsidRPr="00E43A6C" w:rsidRDefault="00E43A6C" w:rsidP="00B32148">
      <w:pPr>
        <w:numPr>
          <w:ilvl w:val="0"/>
          <w:numId w:val="47"/>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Are the KPIs (including baselines and targets) pitched at the right level to monitor progress on the achievement of TAPQE’s Intermediate Outcomes and End of Program Outcomes?</w:t>
      </w:r>
    </w:p>
    <w:p w14:paraId="29F10C1F" w14:textId="77777777" w:rsidR="00E43A6C" w:rsidRPr="00E43A6C" w:rsidRDefault="00E43A6C" w:rsidP="00B32148">
      <w:pPr>
        <w:numPr>
          <w:ilvl w:val="0"/>
          <w:numId w:val="47"/>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Is the TAPQE MEL Plan and Framework appropriate to monitor progress on the achievement of the Program’s intermediate and end of program outcomes?</w:t>
      </w:r>
    </w:p>
    <w:p w14:paraId="1F6ADB07" w14:textId="77777777" w:rsidR="00E43A6C" w:rsidRDefault="00E43A6C" w:rsidP="00B32148">
      <w:pPr>
        <w:numPr>
          <w:ilvl w:val="0"/>
          <w:numId w:val="47"/>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Is the MEL system producing appropriate information products, including performance information that meets user information needs?</w:t>
      </w:r>
    </w:p>
    <w:p w14:paraId="056218FC" w14:textId="77777777" w:rsidR="00E4501B" w:rsidRPr="00E43A6C" w:rsidRDefault="00E4501B" w:rsidP="00E4501B">
      <w:pPr>
        <w:suppressAutoHyphens w:val="0"/>
        <w:autoSpaceDE/>
        <w:autoSpaceDN/>
        <w:adjustRightInd/>
        <w:spacing w:after="160" w:line="256" w:lineRule="auto"/>
        <w:ind w:left="1800"/>
        <w:contextualSpacing/>
        <w:jc w:val="left"/>
        <w:textAlignment w:val="auto"/>
        <w:rPr>
          <w:rFonts w:ascii="Calibri" w:eastAsia="Calibri" w:hAnsi="Calibri" w:cs="Times New Roman"/>
          <w:color w:val="auto"/>
          <w:kern w:val="2"/>
          <w:lang w:val="en-AU"/>
          <w14:ligatures w14:val="standardContextual"/>
        </w:rPr>
      </w:pPr>
    </w:p>
    <w:p w14:paraId="6161663F" w14:textId="2EBB1332"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 xml:space="preserve">Team Composition </w:t>
      </w:r>
    </w:p>
    <w:p w14:paraId="709C5C65"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Mid Term Review team will include the following: </w:t>
      </w:r>
    </w:p>
    <w:p w14:paraId="399182E8" w14:textId="77777777" w:rsidR="00E43A6C" w:rsidRPr="00E43A6C" w:rsidRDefault="00E43A6C" w:rsidP="00B32148">
      <w:pPr>
        <w:numPr>
          <w:ilvl w:val="0"/>
          <w:numId w:val="47"/>
        </w:numPr>
        <w:suppressAutoHyphens w:val="0"/>
        <w:autoSpaceDE/>
        <w:autoSpaceDN/>
        <w:adjustRightInd/>
        <w:spacing w:after="160" w:line="256" w:lineRule="auto"/>
        <w:ind w:left="426" w:hanging="284"/>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An external independent education sector specialist (as team leader), with significant evaluation experience in the education sector in the Pacific or in a developing country context. The team leader will be responsible for drafting the MTR </w:t>
      </w:r>
      <w:proofErr w:type="gramStart"/>
      <w:r w:rsidRPr="00E43A6C">
        <w:rPr>
          <w:rFonts w:ascii="Calibri" w:eastAsia="Calibri" w:hAnsi="Calibri" w:cs="Times New Roman"/>
          <w:color w:val="auto"/>
          <w:kern w:val="2"/>
          <w:lang w:val="en-AU"/>
          <w14:ligatures w14:val="standardContextual"/>
        </w:rPr>
        <w:t>report;</w:t>
      </w:r>
      <w:proofErr w:type="gramEnd"/>
    </w:p>
    <w:p w14:paraId="1E57CDA2" w14:textId="7E0D5435" w:rsidR="00E43A6C" w:rsidRPr="00E43A6C" w:rsidRDefault="00E43A6C" w:rsidP="00B32148">
      <w:pPr>
        <w:numPr>
          <w:ilvl w:val="0"/>
          <w:numId w:val="47"/>
        </w:numPr>
        <w:suppressAutoHyphens w:val="0"/>
        <w:autoSpaceDE/>
        <w:autoSpaceDN/>
        <w:adjustRightInd/>
        <w:spacing w:after="160" w:line="256" w:lineRule="auto"/>
        <w:ind w:left="426" w:hanging="284"/>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An external MEL specialist with </w:t>
      </w:r>
      <w:r w:rsidR="001E5D9D">
        <w:rPr>
          <w:rFonts w:ascii="Calibri" w:eastAsia="Calibri" w:hAnsi="Calibri" w:cs="Times New Roman"/>
          <w:color w:val="auto"/>
          <w:kern w:val="2"/>
          <w:lang w:val="en-AU"/>
          <w14:ligatures w14:val="standardContextual"/>
        </w:rPr>
        <w:t>significant</w:t>
      </w:r>
      <w:r w:rsidR="001E5D9D" w:rsidRPr="00E43A6C">
        <w:rPr>
          <w:rFonts w:ascii="Calibri" w:eastAsia="Calibri" w:hAnsi="Calibri" w:cs="Times New Roman"/>
          <w:color w:val="auto"/>
          <w:kern w:val="2"/>
          <w:lang w:val="en-AU"/>
          <w14:ligatures w14:val="standardContextual"/>
        </w:rPr>
        <w:t xml:space="preserve"> experience</w:t>
      </w:r>
      <w:r w:rsidRPr="00E43A6C">
        <w:rPr>
          <w:rFonts w:ascii="Calibri" w:eastAsia="Calibri" w:hAnsi="Calibri" w:cs="Times New Roman"/>
          <w:color w:val="auto"/>
          <w:kern w:val="2"/>
          <w:lang w:val="en-AU"/>
          <w14:ligatures w14:val="standardContextual"/>
        </w:rPr>
        <w:t xml:space="preserve"> in the education sector in a developing country context – member (provide desk inputs of up to 12 days, working remotely). The MEL specialist will provide M&amp;E inputs and will also have drafting responsibilities for the MTR Report as assigned by the Team Leader.</w:t>
      </w:r>
    </w:p>
    <w:p w14:paraId="2978810A" w14:textId="77777777" w:rsidR="00E43A6C" w:rsidRPr="00E43A6C" w:rsidRDefault="00E43A6C" w:rsidP="00B32148">
      <w:pPr>
        <w:numPr>
          <w:ilvl w:val="0"/>
          <w:numId w:val="47"/>
        </w:numPr>
        <w:suppressAutoHyphens w:val="0"/>
        <w:autoSpaceDE/>
        <w:autoSpaceDN/>
        <w:adjustRightInd/>
        <w:spacing w:after="160" w:line="256" w:lineRule="auto"/>
        <w:ind w:left="426" w:hanging="284"/>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An external GEDSI specialist with significant experience in the education sector in a developing country context – member (provide desk inputs of up to 12 days, working remotely). The GEDSI specialist will provide GEDSI inputs and will also have drafting responsibilities for the MTR Report as assigned by the Team Leader</w:t>
      </w:r>
    </w:p>
    <w:p w14:paraId="0EFB3786" w14:textId="77777777" w:rsidR="00E43A6C" w:rsidRPr="00E43A6C" w:rsidRDefault="00E43A6C" w:rsidP="00B32148">
      <w:pPr>
        <w:numPr>
          <w:ilvl w:val="0"/>
          <w:numId w:val="47"/>
        </w:numPr>
        <w:suppressAutoHyphens w:val="0"/>
        <w:autoSpaceDE/>
        <w:autoSpaceDN/>
        <w:adjustRightInd/>
        <w:spacing w:after="160" w:line="256" w:lineRule="auto"/>
        <w:ind w:left="426" w:hanging="284"/>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An education sector specialist (from DFAT Pacific Education Team, Canberra) – member. The DFAT representative on the team will also contribute to the MTR report. </w:t>
      </w:r>
    </w:p>
    <w:p w14:paraId="568DCFD1"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The Mid Term Review will be led by an externally engaged Team Leader and will complement support from education partners in Tuvalu (World Bank, UNICEF, etc). The Review team will be supported by Tuvalu Desk and Funafuti Post.</w:t>
      </w:r>
    </w:p>
    <w:p w14:paraId="196A715A"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lastRenderedPageBreak/>
        <w:t>Timeframe</w:t>
      </w:r>
    </w:p>
    <w:p w14:paraId="238B36CE" w14:textId="33BB8E5F"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Mid-term review will commence in January to March 2025, so that the TAPQE Investment Design Document can be finalised by </w:t>
      </w:r>
      <w:r w:rsidR="007109DB">
        <w:rPr>
          <w:rFonts w:ascii="Calibri" w:eastAsia="Calibri" w:hAnsi="Calibri" w:cs="Times New Roman"/>
          <w:color w:val="auto"/>
          <w:kern w:val="2"/>
          <w:lang w:val="en-AU"/>
          <w14:ligatures w14:val="standardContextual"/>
        </w:rPr>
        <w:t xml:space="preserve">the </w:t>
      </w:r>
      <w:r w:rsidRPr="00E43A6C">
        <w:rPr>
          <w:rFonts w:ascii="Calibri" w:eastAsia="Calibri" w:hAnsi="Calibri" w:cs="Times New Roman"/>
          <w:color w:val="auto"/>
          <w:kern w:val="2"/>
          <w:lang w:val="en-AU"/>
          <w14:ligatures w14:val="standardContextual"/>
        </w:rPr>
        <w:t xml:space="preserve">end </w:t>
      </w:r>
      <w:r w:rsidR="007109DB">
        <w:rPr>
          <w:rFonts w:ascii="Calibri" w:eastAsia="Calibri" w:hAnsi="Calibri" w:cs="Times New Roman"/>
          <w:color w:val="auto"/>
          <w:kern w:val="2"/>
          <w:lang w:val="en-AU"/>
          <w14:ligatures w14:val="standardContextual"/>
        </w:rPr>
        <w:t xml:space="preserve">of </w:t>
      </w:r>
      <w:r w:rsidRPr="00E43A6C">
        <w:rPr>
          <w:rFonts w:ascii="Calibri" w:eastAsia="Calibri" w:hAnsi="Calibri" w:cs="Times New Roman"/>
          <w:color w:val="auto"/>
          <w:kern w:val="2"/>
          <w:lang w:val="en-AU"/>
          <w14:ligatures w14:val="standardContextual"/>
        </w:rPr>
        <w:t>March 2025.</w:t>
      </w:r>
    </w:p>
    <w:p w14:paraId="2EC23DA6" w14:textId="5C4C3923"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MEHRD and UNICEF are still finalising the Tuvalu Education Sector Analysis (ESA) report and the Tuvalu Education Sector Plan IV (TESP IV). DFAT will ensure that the review team has access to relevant MEHRD and UNICEF staff during the review period, to ensure the review recommendations </w:t>
      </w:r>
      <w:r w:rsidR="00A70491">
        <w:rPr>
          <w:rFonts w:ascii="Calibri" w:eastAsia="Calibri" w:hAnsi="Calibri" w:cs="Times New Roman"/>
          <w:color w:val="auto"/>
          <w:kern w:val="2"/>
          <w:lang w:val="en-AU"/>
          <w14:ligatures w14:val="standardContextual"/>
        </w:rPr>
        <w:t>are</w:t>
      </w:r>
      <w:r w:rsidRPr="00E43A6C">
        <w:rPr>
          <w:rFonts w:ascii="Calibri" w:eastAsia="Calibri" w:hAnsi="Calibri" w:cs="Times New Roman"/>
          <w:color w:val="auto"/>
          <w:kern w:val="2"/>
          <w:lang w:val="en-AU"/>
          <w14:ligatures w14:val="standardContextual"/>
        </w:rPr>
        <w:t xml:space="preserve"> in line with the priorities in the final TESP IV.  </w:t>
      </w:r>
    </w:p>
    <w:p w14:paraId="6CC3E7B6"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Mid-term review is expected to include the following activities: </w:t>
      </w:r>
    </w:p>
    <w:p w14:paraId="329D2C3A" w14:textId="77777777" w:rsidR="00E43A6C" w:rsidRPr="00E43A6C" w:rsidRDefault="00E43A6C" w:rsidP="00B32148">
      <w:pPr>
        <w:numPr>
          <w:ilvl w:val="0"/>
          <w:numId w:val="48"/>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Conduct a Desk Review of the draft TAPQE IDD and the draft TESP IV documents and analysis made available by Funafuti Post and make recommendations to ensure the TAPQE Program is aligned with the Australia Tuvalu Development Partnership Plan and TESP </w:t>
      </w:r>
      <w:proofErr w:type="gramStart"/>
      <w:r w:rsidRPr="00E43A6C">
        <w:rPr>
          <w:rFonts w:ascii="Calibri" w:eastAsia="Calibri" w:hAnsi="Calibri" w:cs="Times New Roman"/>
          <w:color w:val="auto"/>
          <w:kern w:val="2"/>
          <w:lang w:val="en-AU"/>
          <w14:ligatures w14:val="standardContextual"/>
        </w:rPr>
        <w:t>IV;</w:t>
      </w:r>
      <w:proofErr w:type="gramEnd"/>
    </w:p>
    <w:p w14:paraId="52B67154" w14:textId="77777777" w:rsidR="00E43A6C" w:rsidRPr="00E43A6C" w:rsidRDefault="00E43A6C" w:rsidP="00E43A6C">
      <w:pPr>
        <w:suppressAutoHyphens w:val="0"/>
        <w:autoSpaceDE/>
        <w:autoSpaceDN/>
        <w:adjustRightInd/>
        <w:spacing w:line="256" w:lineRule="auto"/>
        <w:ind w:left="720"/>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 </w:t>
      </w:r>
    </w:p>
    <w:p w14:paraId="3C268F90" w14:textId="20F4A396" w:rsidR="00E43A6C" w:rsidRPr="00E43A6C" w:rsidRDefault="00E43A6C" w:rsidP="00B32148">
      <w:pPr>
        <w:numPr>
          <w:ilvl w:val="0"/>
          <w:numId w:val="48"/>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Assess the TAPQE Program activities and determine </w:t>
      </w:r>
      <w:r w:rsidR="00A90F73" w:rsidRPr="00E43A6C">
        <w:rPr>
          <w:rFonts w:ascii="Calibri" w:eastAsia="Calibri" w:hAnsi="Calibri" w:cs="Times New Roman"/>
          <w:color w:val="auto"/>
          <w:kern w:val="2"/>
          <w:lang w:val="en-AU"/>
          <w14:ligatures w14:val="standardContextual"/>
        </w:rPr>
        <w:t>what is</w:t>
      </w:r>
      <w:r w:rsidRPr="00E43A6C">
        <w:rPr>
          <w:rFonts w:ascii="Calibri" w:eastAsia="Calibri" w:hAnsi="Calibri" w:cs="Times New Roman"/>
          <w:color w:val="auto"/>
          <w:kern w:val="2"/>
          <w:lang w:val="en-AU"/>
          <w14:ligatures w14:val="standardContextual"/>
        </w:rPr>
        <w:t xml:space="preserve"> working, </w:t>
      </w:r>
      <w:r w:rsidR="00A70491">
        <w:rPr>
          <w:rFonts w:ascii="Calibri" w:eastAsia="Calibri" w:hAnsi="Calibri" w:cs="Times New Roman"/>
          <w:color w:val="auto"/>
          <w:kern w:val="2"/>
          <w:lang w:val="en-AU"/>
          <w14:ligatures w14:val="standardContextual"/>
        </w:rPr>
        <w:t xml:space="preserve">and </w:t>
      </w:r>
      <w:r w:rsidRPr="00E43A6C">
        <w:rPr>
          <w:rFonts w:ascii="Calibri" w:eastAsia="Calibri" w:hAnsi="Calibri" w:cs="Times New Roman"/>
          <w:color w:val="auto"/>
          <w:kern w:val="2"/>
          <w:lang w:val="en-AU"/>
          <w14:ligatures w14:val="standardContextual"/>
        </w:rPr>
        <w:t xml:space="preserve">what needs to be </w:t>
      </w:r>
      <w:proofErr w:type="gramStart"/>
      <w:r w:rsidRPr="00E43A6C">
        <w:rPr>
          <w:rFonts w:ascii="Calibri" w:eastAsia="Calibri" w:hAnsi="Calibri" w:cs="Times New Roman"/>
          <w:color w:val="auto"/>
          <w:kern w:val="2"/>
          <w:lang w:val="en-AU"/>
          <w14:ligatures w14:val="standardContextual"/>
        </w:rPr>
        <w:t>strengthened;</w:t>
      </w:r>
      <w:proofErr w:type="gramEnd"/>
      <w:r w:rsidRPr="00E43A6C">
        <w:rPr>
          <w:rFonts w:ascii="Calibri" w:eastAsia="Calibri" w:hAnsi="Calibri" w:cs="Times New Roman"/>
          <w:color w:val="auto"/>
          <w:kern w:val="2"/>
          <w:lang w:val="en-AU"/>
          <w14:ligatures w14:val="standardContextual"/>
        </w:rPr>
        <w:t xml:space="preserve"> </w:t>
      </w:r>
    </w:p>
    <w:p w14:paraId="2E5E5E4E" w14:textId="77777777" w:rsidR="00E43A6C" w:rsidRPr="00E43A6C" w:rsidRDefault="00E43A6C" w:rsidP="00E43A6C">
      <w:pPr>
        <w:suppressAutoHyphens w:val="0"/>
        <w:autoSpaceDE/>
        <w:autoSpaceDN/>
        <w:adjustRightInd/>
        <w:spacing w:line="256" w:lineRule="auto"/>
        <w:ind w:left="720"/>
        <w:contextualSpacing/>
        <w:jc w:val="left"/>
        <w:textAlignment w:val="auto"/>
        <w:rPr>
          <w:rFonts w:ascii="Calibri" w:eastAsia="Calibri" w:hAnsi="Calibri" w:cs="Times New Roman"/>
          <w:color w:val="auto"/>
          <w:kern w:val="2"/>
          <w:lang w:val="en-AU"/>
          <w14:ligatures w14:val="standardContextual"/>
        </w:rPr>
      </w:pPr>
    </w:p>
    <w:p w14:paraId="7554ABC0" w14:textId="77777777" w:rsidR="00E43A6C" w:rsidRPr="00E43A6C" w:rsidRDefault="00E43A6C" w:rsidP="00B32148">
      <w:pPr>
        <w:numPr>
          <w:ilvl w:val="0"/>
          <w:numId w:val="48"/>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Conduct an in-country visit to Tuvalu (Funafuti) to meet with key stakeholders to validate findings and recommendations from (a) and (b) above; and</w:t>
      </w:r>
    </w:p>
    <w:p w14:paraId="4C4DE7A6" w14:textId="77777777" w:rsidR="00E43A6C" w:rsidRPr="00E43A6C" w:rsidRDefault="00E43A6C" w:rsidP="00E43A6C">
      <w:pPr>
        <w:suppressAutoHyphens w:val="0"/>
        <w:autoSpaceDE/>
        <w:autoSpaceDN/>
        <w:adjustRightInd/>
        <w:spacing w:line="256" w:lineRule="auto"/>
        <w:ind w:left="720"/>
        <w:contextualSpacing/>
        <w:jc w:val="left"/>
        <w:textAlignment w:val="auto"/>
        <w:rPr>
          <w:rFonts w:ascii="Calibri" w:eastAsia="Calibri" w:hAnsi="Calibri" w:cs="Times New Roman"/>
          <w:color w:val="auto"/>
          <w:kern w:val="2"/>
          <w:lang w:val="en-AU"/>
          <w14:ligatures w14:val="standardContextual"/>
        </w:rPr>
      </w:pPr>
    </w:p>
    <w:p w14:paraId="63BCB1BB" w14:textId="7338CCCD" w:rsidR="00E43A6C" w:rsidRPr="00E43A6C" w:rsidRDefault="00A70491" w:rsidP="00B32148">
      <w:pPr>
        <w:numPr>
          <w:ilvl w:val="0"/>
          <w:numId w:val="48"/>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Pr>
          <w:rFonts w:ascii="Calibri" w:eastAsia="Calibri" w:hAnsi="Calibri" w:cs="Times New Roman"/>
          <w:color w:val="auto"/>
          <w:kern w:val="2"/>
          <w:lang w:val="en-AU"/>
          <w14:ligatures w14:val="standardContextual"/>
        </w:rPr>
        <w:t>M</w:t>
      </w:r>
      <w:r w:rsidRPr="00E43A6C">
        <w:rPr>
          <w:rFonts w:ascii="Calibri" w:eastAsia="Calibri" w:hAnsi="Calibri" w:cs="Times New Roman"/>
          <w:color w:val="auto"/>
          <w:kern w:val="2"/>
          <w:lang w:val="en-AU"/>
          <w14:ligatures w14:val="standardContextual"/>
        </w:rPr>
        <w:t xml:space="preserve">ake </w:t>
      </w:r>
      <w:r w:rsidR="00E43A6C" w:rsidRPr="00E43A6C">
        <w:rPr>
          <w:rFonts w:ascii="Calibri" w:eastAsia="Calibri" w:hAnsi="Calibri" w:cs="Times New Roman"/>
          <w:color w:val="auto"/>
          <w:kern w:val="2"/>
          <w:lang w:val="en-AU"/>
          <w14:ligatures w14:val="standardContextual"/>
        </w:rPr>
        <w:t>recommendations to DFAT on how identified issues can be addressed within the context of the TAPQE IDD (through an Addendum) and ensure that the TAPQE Program is on track to achieve its end of program outcomes by 2026-27.</w:t>
      </w:r>
    </w:p>
    <w:p w14:paraId="38AF058F" w14:textId="77777777" w:rsidR="00E43A6C" w:rsidRPr="00E43A6C" w:rsidRDefault="00E43A6C" w:rsidP="003D37B6">
      <w:pPr>
        <w:suppressAutoHyphens w:val="0"/>
        <w:autoSpaceDE/>
        <w:autoSpaceDN/>
        <w:adjustRightInd/>
        <w:spacing w:before="240" w:after="160" w:line="257"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An Indicative timeline for the TAPQE Mid-Term Review is provided in the table below: </w:t>
      </w:r>
    </w:p>
    <w:tbl>
      <w:tblPr>
        <w:tblStyle w:val="TableGrid1"/>
        <w:tblW w:w="0" w:type="auto"/>
        <w:tblInd w:w="0" w:type="dxa"/>
        <w:tblLook w:val="04A0" w:firstRow="1" w:lastRow="0" w:firstColumn="1" w:lastColumn="0" w:noHBand="0" w:noVBand="1"/>
      </w:tblPr>
      <w:tblGrid>
        <w:gridCol w:w="1377"/>
        <w:gridCol w:w="2657"/>
        <w:gridCol w:w="1303"/>
        <w:gridCol w:w="780"/>
        <w:gridCol w:w="996"/>
        <w:gridCol w:w="996"/>
        <w:gridCol w:w="1464"/>
      </w:tblGrid>
      <w:tr w:rsidR="004A5501" w:rsidRPr="00E43A6C" w14:paraId="654B3A7A" w14:textId="77777777" w:rsidTr="00A1459D">
        <w:tc>
          <w:tcPr>
            <w:tcW w:w="1377" w:type="dxa"/>
            <w:tcBorders>
              <w:top w:val="single" w:sz="4" w:space="0" w:color="auto"/>
              <w:left w:val="single" w:sz="4" w:space="0" w:color="auto"/>
              <w:bottom w:val="single" w:sz="4" w:space="0" w:color="auto"/>
              <w:right w:val="single" w:sz="4" w:space="0" w:color="auto"/>
            </w:tcBorders>
            <w:shd w:val="clear" w:color="auto" w:fill="FBE4D5"/>
          </w:tcPr>
          <w:p w14:paraId="11667A83" w14:textId="5517B6F9" w:rsidR="00E43A6C" w:rsidRPr="00E43A6C" w:rsidRDefault="00E706CB"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Indicative Dates</w:t>
            </w:r>
          </w:p>
        </w:tc>
        <w:tc>
          <w:tcPr>
            <w:tcW w:w="2657" w:type="dxa"/>
            <w:tcBorders>
              <w:top w:val="single" w:sz="4" w:space="0" w:color="auto"/>
              <w:left w:val="single" w:sz="4" w:space="0" w:color="auto"/>
              <w:bottom w:val="single" w:sz="4" w:space="0" w:color="auto"/>
              <w:right w:val="single" w:sz="4" w:space="0" w:color="auto"/>
            </w:tcBorders>
            <w:shd w:val="clear" w:color="auto" w:fill="FBE4D5"/>
          </w:tcPr>
          <w:p w14:paraId="2376C005" w14:textId="6EACB78C" w:rsidR="00E43A6C" w:rsidRPr="00E43A6C" w:rsidRDefault="00E706CB"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Activities</w:t>
            </w:r>
          </w:p>
        </w:tc>
        <w:tc>
          <w:tcPr>
            <w:tcW w:w="1303" w:type="dxa"/>
            <w:tcBorders>
              <w:top w:val="single" w:sz="4" w:space="0" w:color="auto"/>
              <w:left w:val="single" w:sz="4" w:space="0" w:color="auto"/>
              <w:bottom w:val="single" w:sz="4" w:space="0" w:color="auto"/>
              <w:right w:val="single" w:sz="4" w:space="0" w:color="auto"/>
            </w:tcBorders>
            <w:shd w:val="clear" w:color="auto" w:fill="FBE4D5"/>
          </w:tcPr>
          <w:p w14:paraId="1DB14949" w14:textId="7FEEBD33" w:rsidR="00E43A6C" w:rsidRPr="00E43A6C" w:rsidRDefault="00E706CB"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Location</w:t>
            </w:r>
          </w:p>
        </w:tc>
        <w:tc>
          <w:tcPr>
            <w:tcW w:w="780" w:type="dxa"/>
            <w:tcBorders>
              <w:top w:val="single" w:sz="4" w:space="0" w:color="auto"/>
              <w:left w:val="single" w:sz="4" w:space="0" w:color="auto"/>
              <w:bottom w:val="single" w:sz="4" w:space="0" w:color="auto"/>
              <w:right w:val="single" w:sz="4" w:space="0" w:color="auto"/>
            </w:tcBorders>
            <w:shd w:val="clear" w:color="auto" w:fill="FBE4D5"/>
            <w:hideMark/>
          </w:tcPr>
          <w:p w14:paraId="35553FF6" w14:textId="1C536E67" w:rsidR="00E43A6C" w:rsidRPr="00E43A6C" w:rsidRDefault="00E43A6C"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Team Leader</w:t>
            </w:r>
            <w:r w:rsidR="00E706CB">
              <w:rPr>
                <w:rFonts w:ascii="Calibri" w:hAnsi="Calibri" w:cs="Times New Roman"/>
                <w:b/>
                <w:bCs/>
                <w:color w:val="auto"/>
                <w:sz w:val="20"/>
                <w:szCs w:val="20"/>
                <w:lang w:val="en-AU"/>
              </w:rPr>
              <w:t xml:space="preserve"> Days</w:t>
            </w:r>
          </w:p>
        </w:tc>
        <w:tc>
          <w:tcPr>
            <w:tcW w:w="996" w:type="dxa"/>
            <w:tcBorders>
              <w:top w:val="single" w:sz="4" w:space="0" w:color="auto"/>
              <w:left w:val="single" w:sz="4" w:space="0" w:color="auto"/>
              <w:bottom w:val="single" w:sz="4" w:space="0" w:color="auto"/>
              <w:right w:val="single" w:sz="4" w:space="0" w:color="auto"/>
            </w:tcBorders>
            <w:shd w:val="clear" w:color="auto" w:fill="FBE4D5"/>
            <w:hideMark/>
          </w:tcPr>
          <w:p w14:paraId="228398AC" w14:textId="5DB42A5B" w:rsidR="00E43A6C" w:rsidRPr="00E43A6C" w:rsidRDefault="00E43A6C" w:rsidP="00E43A6C">
            <w:pPr>
              <w:suppressAutoHyphens w:val="0"/>
              <w:autoSpaceDE/>
              <w:autoSpaceDN/>
              <w:adjustRightInd/>
              <w:spacing w:line="240" w:lineRule="auto"/>
              <w:jc w:val="center"/>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MEL Specialist</w:t>
            </w:r>
            <w:r w:rsidR="00E706CB">
              <w:rPr>
                <w:rFonts w:ascii="Calibri" w:hAnsi="Calibri" w:cs="Times New Roman"/>
                <w:b/>
                <w:bCs/>
                <w:color w:val="auto"/>
                <w:sz w:val="20"/>
                <w:szCs w:val="20"/>
                <w:lang w:val="en-AU"/>
              </w:rPr>
              <w:t xml:space="preserve"> Days</w:t>
            </w:r>
          </w:p>
        </w:tc>
        <w:tc>
          <w:tcPr>
            <w:tcW w:w="996" w:type="dxa"/>
            <w:tcBorders>
              <w:top w:val="single" w:sz="4" w:space="0" w:color="auto"/>
              <w:left w:val="single" w:sz="4" w:space="0" w:color="auto"/>
              <w:bottom w:val="single" w:sz="4" w:space="0" w:color="auto"/>
              <w:right w:val="single" w:sz="4" w:space="0" w:color="auto"/>
            </w:tcBorders>
            <w:shd w:val="clear" w:color="auto" w:fill="FBE4D5"/>
            <w:hideMark/>
          </w:tcPr>
          <w:p w14:paraId="2D84C794" w14:textId="44222469" w:rsidR="00E43A6C" w:rsidRPr="00E43A6C" w:rsidRDefault="00E43A6C" w:rsidP="00E43A6C">
            <w:pPr>
              <w:suppressAutoHyphens w:val="0"/>
              <w:autoSpaceDE/>
              <w:autoSpaceDN/>
              <w:adjustRightInd/>
              <w:spacing w:line="240" w:lineRule="auto"/>
              <w:jc w:val="center"/>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GEDSI Specialist</w:t>
            </w:r>
            <w:r w:rsidR="00A1459D">
              <w:rPr>
                <w:rFonts w:ascii="Calibri" w:hAnsi="Calibri" w:cs="Times New Roman"/>
                <w:b/>
                <w:bCs/>
                <w:color w:val="auto"/>
                <w:sz w:val="20"/>
                <w:szCs w:val="20"/>
                <w:lang w:val="en-AU"/>
              </w:rPr>
              <w:t xml:space="preserve"> Days</w:t>
            </w:r>
          </w:p>
        </w:tc>
        <w:tc>
          <w:tcPr>
            <w:tcW w:w="1464" w:type="dxa"/>
            <w:tcBorders>
              <w:top w:val="single" w:sz="4" w:space="0" w:color="auto"/>
              <w:left w:val="single" w:sz="4" w:space="0" w:color="auto"/>
              <w:bottom w:val="single" w:sz="4" w:space="0" w:color="auto"/>
              <w:right w:val="single" w:sz="4" w:space="0" w:color="auto"/>
            </w:tcBorders>
            <w:shd w:val="clear" w:color="auto" w:fill="FBE4D5"/>
            <w:hideMark/>
          </w:tcPr>
          <w:p w14:paraId="59E946BA" w14:textId="659105D5" w:rsidR="00E43A6C" w:rsidRPr="00E43A6C" w:rsidRDefault="00E43A6C" w:rsidP="00E43A6C">
            <w:pPr>
              <w:suppressAutoHyphens w:val="0"/>
              <w:autoSpaceDE/>
              <w:autoSpaceDN/>
              <w:adjustRightInd/>
              <w:spacing w:line="240" w:lineRule="auto"/>
              <w:jc w:val="center"/>
              <w:textAlignment w:val="auto"/>
              <w:rPr>
                <w:rFonts w:ascii="Calibri" w:hAnsi="Calibri" w:cs="Times New Roman"/>
                <w:b/>
                <w:bCs/>
                <w:color w:val="auto"/>
                <w:sz w:val="20"/>
                <w:szCs w:val="20"/>
                <w:lang w:val="en-AU"/>
              </w:rPr>
            </w:pPr>
            <w:r w:rsidRPr="00E43A6C">
              <w:rPr>
                <w:rFonts w:ascii="Calibri" w:hAnsi="Calibri" w:cs="Times New Roman"/>
                <w:b/>
                <w:bCs/>
                <w:color w:val="auto"/>
                <w:sz w:val="20"/>
                <w:szCs w:val="20"/>
                <w:lang w:val="en-AU"/>
              </w:rPr>
              <w:t>DFAT Representative</w:t>
            </w:r>
            <w:r w:rsidR="00A1459D">
              <w:rPr>
                <w:rFonts w:ascii="Calibri" w:hAnsi="Calibri" w:cs="Times New Roman"/>
                <w:b/>
                <w:bCs/>
                <w:color w:val="auto"/>
                <w:sz w:val="20"/>
                <w:szCs w:val="20"/>
                <w:lang w:val="en-AU"/>
              </w:rPr>
              <w:t xml:space="preserve"> Days</w:t>
            </w:r>
          </w:p>
        </w:tc>
      </w:tr>
      <w:tr w:rsidR="00E43A6C" w:rsidRPr="00E43A6C" w14:paraId="5AD54131" w14:textId="77777777" w:rsidTr="00A1459D">
        <w:tc>
          <w:tcPr>
            <w:tcW w:w="1377" w:type="dxa"/>
            <w:tcBorders>
              <w:top w:val="single" w:sz="4" w:space="0" w:color="auto"/>
              <w:left w:val="single" w:sz="4" w:space="0" w:color="auto"/>
              <w:bottom w:val="single" w:sz="4" w:space="0" w:color="auto"/>
              <w:right w:val="single" w:sz="4" w:space="0" w:color="auto"/>
            </w:tcBorders>
            <w:hideMark/>
          </w:tcPr>
          <w:p w14:paraId="120F47DE"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6 Jan 2025</w:t>
            </w:r>
          </w:p>
        </w:tc>
        <w:tc>
          <w:tcPr>
            <w:tcW w:w="2657" w:type="dxa"/>
            <w:tcBorders>
              <w:top w:val="single" w:sz="4" w:space="0" w:color="auto"/>
              <w:left w:val="single" w:sz="4" w:space="0" w:color="auto"/>
              <w:bottom w:val="single" w:sz="4" w:space="0" w:color="auto"/>
              <w:right w:val="single" w:sz="4" w:space="0" w:color="auto"/>
            </w:tcBorders>
          </w:tcPr>
          <w:p w14:paraId="3F348F4F" w14:textId="1C7FBC8C"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 xml:space="preserve">DFAT/AHC verbal briefing with the Review team (Teams meeting online) to cover the background, key issues, and priorities for the MTR. </w:t>
            </w:r>
          </w:p>
        </w:tc>
        <w:tc>
          <w:tcPr>
            <w:tcW w:w="1303" w:type="dxa"/>
            <w:tcBorders>
              <w:top w:val="single" w:sz="4" w:space="0" w:color="auto"/>
              <w:left w:val="single" w:sz="4" w:space="0" w:color="auto"/>
              <w:bottom w:val="single" w:sz="4" w:space="0" w:color="auto"/>
              <w:right w:val="single" w:sz="4" w:space="0" w:color="auto"/>
            </w:tcBorders>
            <w:hideMark/>
          </w:tcPr>
          <w:p w14:paraId="5E6AADBA"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Online</w:t>
            </w:r>
          </w:p>
        </w:tc>
        <w:tc>
          <w:tcPr>
            <w:tcW w:w="780" w:type="dxa"/>
            <w:tcBorders>
              <w:top w:val="single" w:sz="4" w:space="0" w:color="auto"/>
              <w:left w:val="single" w:sz="4" w:space="0" w:color="auto"/>
              <w:bottom w:val="single" w:sz="4" w:space="0" w:color="auto"/>
              <w:right w:val="single" w:sz="4" w:space="0" w:color="auto"/>
            </w:tcBorders>
            <w:hideMark/>
          </w:tcPr>
          <w:p w14:paraId="3D97A538"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1</w:t>
            </w:r>
          </w:p>
        </w:tc>
        <w:tc>
          <w:tcPr>
            <w:tcW w:w="996" w:type="dxa"/>
            <w:tcBorders>
              <w:top w:val="single" w:sz="4" w:space="0" w:color="auto"/>
              <w:left w:val="single" w:sz="4" w:space="0" w:color="auto"/>
              <w:bottom w:val="single" w:sz="4" w:space="0" w:color="auto"/>
              <w:right w:val="single" w:sz="4" w:space="0" w:color="auto"/>
            </w:tcBorders>
            <w:hideMark/>
          </w:tcPr>
          <w:p w14:paraId="7DAA175A"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1</w:t>
            </w:r>
          </w:p>
        </w:tc>
        <w:tc>
          <w:tcPr>
            <w:tcW w:w="996" w:type="dxa"/>
            <w:tcBorders>
              <w:top w:val="single" w:sz="4" w:space="0" w:color="auto"/>
              <w:left w:val="single" w:sz="4" w:space="0" w:color="auto"/>
              <w:bottom w:val="single" w:sz="4" w:space="0" w:color="auto"/>
              <w:right w:val="single" w:sz="4" w:space="0" w:color="auto"/>
            </w:tcBorders>
            <w:hideMark/>
          </w:tcPr>
          <w:p w14:paraId="014ED8E0"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1</w:t>
            </w:r>
          </w:p>
        </w:tc>
        <w:tc>
          <w:tcPr>
            <w:tcW w:w="1464" w:type="dxa"/>
            <w:tcBorders>
              <w:top w:val="single" w:sz="4" w:space="0" w:color="auto"/>
              <w:left w:val="single" w:sz="4" w:space="0" w:color="auto"/>
              <w:bottom w:val="single" w:sz="4" w:space="0" w:color="auto"/>
              <w:right w:val="single" w:sz="4" w:space="0" w:color="auto"/>
            </w:tcBorders>
          </w:tcPr>
          <w:p w14:paraId="48E2C28C"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1</w:t>
            </w:r>
          </w:p>
          <w:p w14:paraId="3E4E3F0A"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p>
        </w:tc>
      </w:tr>
      <w:tr w:rsidR="00E43A6C" w:rsidRPr="00E43A6C" w14:paraId="3FF70F08" w14:textId="77777777" w:rsidTr="00A1459D">
        <w:tc>
          <w:tcPr>
            <w:tcW w:w="1377" w:type="dxa"/>
            <w:tcBorders>
              <w:top w:val="single" w:sz="4" w:space="0" w:color="auto"/>
              <w:left w:val="single" w:sz="4" w:space="0" w:color="auto"/>
              <w:bottom w:val="single" w:sz="4" w:space="0" w:color="auto"/>
              <w:right w:val="single" w:sz="4" w:space="0" w:color="auto"/>
            </w:tcBorders>
            <w:hideMark/>
          </w:tcPr>
          <w:p w14:paraId="4232D77B"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 xml:space="preserve">6 – 11 January 2025 </w:t>
            </w:r>
          </w:p>
        </w:tc>
        <w:tc>
          <w:tcPr>
            <w:tcW w:w="2657" w:type="dxa"/>
            <w:tcBorders>
              <w:top w:val="single" w:sz="4" w:space="0" w:color="auto"/>
              <w:left w:val="single" w:sz="4" w:space="0" w:color="auto"/>
              <w:bottom w:val="single" w:sz="4" w:space="0" w:color="auto"/>
              <w:right w:val="single" w:sz="4" w:space="0" w:color="auto"/>
            </w:tcBorders>
          </w:tcPr>
          <w:p w14:paraId="33816BFE"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Desk Review – team leader</w:t>
            </w:r>
          </w:p>
          <w:p w14:paraId="58F45CBA" w14:textId="7C6DAB1D"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w:t>
            </w:r>
            <w:proofErr w:type="gramStart"/>
            <w:r w:rsidRPr="00E43A6C">
              <w:rPr>
                <w:rFonts w:ascii="Calibri" w:hAnsi="Calibri" w:cs="Times New Roman"/>
                <w:i/>
                <w:iCs/>
                <w:color w:val="auto"/>
                <w:sz w:val="20"/>
                <w:szCs w:val="20"/>
                <w:lang w:val="en-AU"/>
              </w:rPr>
              <w:t>also</w:t>
            </w:r>
            <w:proofErr w:type="gramEnd"/>
            <w:r w:rsidRPr="00E43A6C">
              <w:rPr>
                <w:rFonts w:ascii="Calibri" w:hAnsi="Calibri" w:cs="Times New Roman"/>
                <w:i/>
                <w:iCs/>
                <w:color w:val="auto"/>
                <w:sz w:val="20"/>
                <w:szCs w:val="20"/>
                <w:lang w:val="en-AU"/>
              </w:rPr>
              <w:t xml:space="preserve"> MEL specialist and GEDSI specialist – remote inputs</w:t>
            </w:r>
            <w:r w:rsidRPr="00E43A6C">
              <w:rPr>
                <w:rFonts w:ascii="Calibri" w:hAnsi="Calibri" w:cs="Times New Roman"/>
                <w:color w:val="auto"/>
                <w:sz w:val="20"/>
                <w:szCs w:val="20"/>
                <w:lang w:val="en-AU"/>
              </w:rPr>
              <w:t xml:space="preserve">) </w:t>
            </w:r>
          </w:p>
        </w:tc>
        <w:tc>
          <w:tcPr>
            <w:tcW w:w="1303" w:type="dxa"/>
            <w:tcBorders>
              <w:top w:val="single" w:sz="4" w:space="0" w:color="auto"/>
              <w:left w:val="single" w:sz="4" w:space="0" w:color="auto"/>
              <w:bottom w:val="single" w:sz="4" w:space="0" w:color="auto"/>
              <w:right w:val="single" w:sz="4" w:space="0" w:color="auto"/>
            </w:tcBorders>
            <w:hideMark/>
          </w:tcPr>
          <w:p w14:paraId="31964422"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Home-base</w:t>
            </w:r>
          </w:p>
        </w:tc>
        <w:tc>
          <w:tcPr>
            <w:tcW w:w="780" w:type="dxa"/>
            <w:tcBorders>
              <w:top w:val="single" w:sz="4" w:space="0" w:color="auto"/>
              <w:left w:val="single" w:sz="4" w:space="0" w:color="auto"/>
              <w:bottom w:val="single" w:sz="4" w:space="0" w:color="auto"/>
              <w:right w:val="single" w:sz="4" w:space="0" w:color="auto"/>
            </w:tcBorders>
          </w:tcPr>
          <w:p w14:paraId="6CC089CA"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6</w:t>
            </w:r>
          </w:p>
          <w:p w14:paraId="3173087D"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p>
        </w:tc>
        <w:tc>
          <w:tcPr>
            <w:tcW w:w="996" w:type="dxa"/>
            <w:tcBorders>
              <w:top w:val="single" w:sz="4" w:space="0" w:color="auto"/>
              <w:left w:val="single" w:sz="4" w:space="0" w:color="auto"/>
              <w:bottom w:val="single" w:sz="4" w:space="0" w:color="auto"/>
              <w:right w:val="single" w:sz="4" w:space="0" w:color="auto"/>
            </w:tcBorders>
            <w:hideMark/>
          </w:tcPr>
          <w:p w14:paraId="251971DD"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4</w:t>
            </w:r>
          </w:p>
        </w:tc>
        <w:tc>
          <w:tcPr>
            <w:tcW w:w="996" w:type="dxa"/>
            <w:tcBorders>
              <w:top w:val="single" w:sz="4" w:space="0" w:color="auto"/>
              <w:left w:val="single" w:sz="4" w:space="0" w:color="auto"/>
              <w:bottom w:val="single" w:sz="4" w:space="0" w:color="auto"/>
              <w:right w:val="single" w:sz="4" w:space="0" w:color="auto"/>
            </w:tcBorders>
            <w:hideMark/>
          </w:tcPr>
          <w:p w14:paraId="5C31E594"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4</w:t>
            </w:r>
          </w:p>
        </w:tc>
        <w:tc>
          <w:tcPr>
            <w:tcW w:w="1464" w:type="dxa"/>
            <w:tcBorders>
              <w:top w:val="single" w:sz="4" w:space="0" w:color="auto"/>
              <w:left w:val="single" w:sz="4" w:space="0" w:color="auto"/>
              <w:bottom w:val="single" w:sz="4" w:space="0" w:color="auto"/>
              <w:right w:val="single" w:sz="4" w:space="0" w:color="auto"/>
            </w:tcBorders>
            <w:hideMark/>
          </w:tcPr>
          <w:p w14:paraId="014144BF"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4</w:t>
            </w:r>
          </w:p>
        </w:tc>
      </w:tr>
      <w:tr w:rsidR="00E43A6C" w:rsidRPr="00E43A6C" w14:paraId="7D25C7AA" w14:textId="77777777" w:rsidTr="00A1459D">
        <w:tc>
          <w:tcPr>
            <w:tcW w:w="1377" w:type="dxa"/>
            <w:tcBorders>
              <w:top w:val="single" w:sz="4" w:space="0" w:color="auto"/>
              <w:left w:val="single" w:sz="4" w:space="0" w:color="auto"/>
              <w:bottom w:val="single" w:sz="4" w:space="0" w:color="auto"/>
              <w:right w:val="single" w:sz="4" w:space="0" w:color="auto"/>
            </w:tcBorders>
            <w:hideMark/>
          </w:tcPr>
          <w:p w14:paraId="04086FDE"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22 January 2025</w:t>
            </w:r>
          </w:p>
        </w:tc>
        <w:tc>
          <w:tcPr>
            <w:tcW w:w="2657" w:type="dxa"/>
            <w:tcBorders>
              <w:top w:val="single" w:sz="4" w:space="0" w:color="auto"/>
              <w:left w:val="single" w:sz="4" w:space="0" w:color="auto"/>
              <w:bottom w:val="single" w:sz="4" w:space="0" w:color="auto"/>
              <w:right w:val="single" w:sz="4" w:space="0" w:color="auto"/>
            </w:tcBorders>
          </w:tcPr>
          <w:p w14:paraId="52B83AF0" w14:textId="77777777" w:rsidR="00E43A6C" w:rsidRPr="00E43A6C" w:rsidRDefault="00E43A6C" w:rsidP="00E43A6C">
            <w:pPr>
              <w:suppressAutoHyphens w:val="0"/>
              <w:autoSpaceDE/>
              <w:autoSpaceDN/>
              <w:adjustRightInd/>
              <w:spacing w:line="240" w:lineRule="auto"/>
              <w:ind w:left="77"/>
              <w:contextualSpacing/>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 xml:space="preserve">i) Desk review meeting with DFAT to discuss early observations from desk review </w:t>
            </w:r>
          </w:p>
          <w:p w14:paraId="00B9F83C" w14:textId="77777777" w:rsidR="00E43A6C" w:rsidRPr="00E43A6C" w:rsidRDefault="00E43A6C" w:rsidP="00E43A6C">
            <w:pPr>
              <w:suppressAutoHyphens w:val="0"/>
              <w:autoSpaceDE/>
              <w:autoSpaceDN/>
              <w:adjustRightInd/>
              <w:spacing w:line="240" w:lineRule="auto"/>
              <w:ind w:left="77"/>
              <w:contextualSpacing/>
              <w:jc w:val="left"/>
              <w:textAlignment w:val="auto"/>
              <w:rPr>
                <w:rFonts w:ascii="Calibri" w:hAnsi="Calibri" w:cs="Times New Roman"/>
                <w:color w:val="auto"/>
                <w:sz w:val="20"/>
                <w:szCs w:val="20"/>
                <w:lang w:val="en-AU"/>
              </w:rPr>
            </w:pPr>
          </w:p>
          <w:p w14:paraId="1174076F" w14:textId="3E28786E" w:rsidR="00E43A6C" w:rsidRPr="00E43A6C" w:rsidRDefault="00E43A6C" w:rsidP="004A5501">
            <w:pPr>
              <w:suppressAutoHyphens w:val="0"/>
              <w:autoSpaceDE/>
              <w:autoSpaceDN/>
              <w:adjustRightInd/>
              <w:spacing w:line="240" w:lineRule="auto"/>
              <w:ind w:left="77"/>
              <w:contextualSpacing/>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 xml:space="preserve">ii) Submit Evaluation plan (including consultation plans for the in-country visit) </w:t>
            </w:r>
          </w:p>
        </w:tc>
        <w:tc>
          <w:tcPr>
            <w:tcW w:w="1303" w:type="dxa"/>
            <w:tcBorders>
              <w:top w:val="single" w:sz="4" w:space="0" w:color="auto"/>
              <w:left w:val="single" w:sz="4" w:space="0" w:color="auto"/>
              <w:bottom w:val="single" w:sz="4" w:space="0" w:color="auto"/>
              <w:right w:val="single" w:sz="4" w:space="0" w:color="auto"/>
            </w:tcBorders>
            <w:hideMark/>
          </w:tcPr>
          <w:p w14:paraId="2B4DD7A9"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Home base</w:t>
            </w:r>
          </w:p>
        </w:tc>
        <w:tc>
          <w:tcPr>
            <w:tcW w:w="780" w:type="dxa"/>
            <w:tcBorders>
              <w:top w:val="single" w:sz="4" w:space="0" w:color="auto"/>
              <w:left w:val="single" w:sz="4" w:space="0" w:color="auto"/>
              <w:bottom w:val="single" w:sz="4" w:space="0" w:color="auto"/>
              <w:right w:val="single" w:sz="4" w:space="0" w:color="auto"/>
            </w:tcBorders>
            <w:hideMark/>
          </w:tcPr>
          <w:p w14:paraId="645739EC"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3</w:t>
            </w:r>
          </w:p>
        </w:tc>
        <w:tc>
          <w:tcPr>
            <w:tcW w:w="996" w:type="dxa"/>
            <w:tcBorders>
              <w:top w:val="single" w:sz="4" w:space="0" w:color="auto"/>
              <w:left w:val="single" w:sz="4" w:space="0" w:color="auto"/>
              <w:bottom w:val="single" w:sz="4" w:space="0" w:color="auto"/>
              <w:right w:val="single" w:sz="4" w:space="0" w:color="auto"/>
            </w:tcBorders>
            <w:hideMark/>
          </w:tcPr>
          <w:p w14:paraId="0155F02D"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c>
          <w:tcPr>
            <w:tcW w:w="996" w:type="dxa"/>
            <w:tcBorders>
              <w:top w:val="single" w:sz="4" w:space="0" w:color="auto"/>
              <w:left w:val="single" w:sz="4" w:space="0" w:color="auto"/>
              <w:bottom w:val="single" w:sz="4" w:space="0" w:color="auto"/>
              <w:right w:val="single" w:sz="4" w:space="0" w:color="auto"/>
            </w:tcBorders>
            <w:hideMark/>
          </w:tcPr>
          <w:p w14:paraId="58EB8EDE"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c>
          <w:tcPr>
            <w:tcW w:w="1464" w:type="dxa"/>
            <w:tcBorders>
              <w:top w:val="single" w:sz="4" w:space="0" w:color="auto"/>
              <w:left w:val="single" w:sz="4" w:space="0" w:color="auto"/>
              <w:bottom w:val="single" w:sz="4" w:space="0" w:color="auto"/>
              <w:right w:val="single" w:sz="4" w:space="0" w:color="auto"/>
            </w:tcBorders>
            <w:hideMark/>
          </w:tcPr>
          <w:p w14:paraId="5FD4AE0B"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r>
      <w:tr w:rsidR="00E43A6C" w:rsidRPr="00E43A6C" w14:paraId="3BF2540B" w14:textId="77777777" w:rsidTr="00A1459D">
        <w:tc>
          <w:tcPr>
            <w:tcW w:w="1377" w:type="dxa"/>
            <w:tcBorders>
              <w:top w:val="single" w:sz="4" w:space="0" w:color="auto"/>
              <w:left w:val="single" w:sz="4" w:space="0" w:color="auto"/>
              <w:bottom w:val="single" w:sz="4" w:space="0" w:color="auto"/>
              <w:right w:val="single" w:sz="4" w:space="0" w:color="auto"/>
            </w:tcBorders>
            <w:hideMark/>
          </w:tcPr>
          <w:p w14:paraId="2D69C5A3"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week of 27</w:t>
            </w:r>
            <w:r w:rsidRPr="00E43A6C">
              <w:rPr>
                <w:rFonts w:ascii="Calibri" w:hAnsi="Calibri" w:cs="Times New Roman"/>
                <w:color w:val="auto"/>
                <w:sz w:val="20"/>
                <w:szCs w:val="20"/>
                <w:vertAlign w:val="superscript"/>
                <w:lang w:val="en-AU"/>
              </w:rPr>
              <w:t>th</w:t>
            </w:r>
            <w:r w:rsidRPr="00E43A6C">
              <w:rPr>
                <w:rFonts w:ascii="Calibri" w:hAnsi="Calibri" w:cs="Times New Roman"/>
                <w:color w:val="auto"/>
                <w:sz w:val="20"/>
                <w:szCs w:val="20"/>
                <w:lang w:val="en-AU"/>
              </w:rPr>
              <w:t xml:space="preserve"> Jan </w:t>
            </w:r>
          </w:p>
        </w:tc>
        <w:tc>
          <w:tcPr>
            <w:tcW w:w="2657" w:type="dxa"/>
            <w:tcBorders>
              <w:top w:val="single" w:sz="4" w:space="0" w:color="auto"/>
              <w:left w:val="single" w:sz="4" w:space="0" w:color="auto"/>
              <w:bottom w:val="single" w:sz="4" w:space="0" w:color="auto"/>
              <w:right w:val="single" w:sz="4" w:space="0" w:color="auto"/>
            </w:tcBorders>
            <w:hideMark/>
          </w:tcPr>
          <w:p w14:paraId="4DCFC1E0"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In-country visit to Tuvalu</w:t>
            </w:r>
          </w:p>
        </w:tc>
        <w:tc>
          <w:tcPr>
            <w:tcW w:w="1303" w:type="dxa"/>
            <w:tcBorders>
              <w:top w:val="single" w:sz="4" w:space="0" w:color="auto"/>
              <w:left w:val="single" w:sz="4" w:space="0" w:color="auto"/>
              <w:bottom w:val="single" w:sz="4" w:space="0" w:color="auto"/>
              <w:right w:val="single" w:sz="4" w:space="0" w:color="auto"/>
            </w:tcBorders>
            <w:hideMark/>
          </w:tcPr>
          <w:p w14:paraId="364D890A"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Tuvalu</w:t>
            </w:r>
          </w:p>
        </w:tc>
        <w:tc>
          <w:tcPr>
            <w:tcW w:w="780" w:type="dxa"/>
            <w:tcBorders>
              <w:top w:val="single" w:sz="4" w:space="0" w:color="auto"/>
              <w:left w:val="single" w:sz="4" w:space="0" w:color="auto"/>
              <w:bottom w:val="single" w:sz="4" w:space="0" w:color="auto"/>
              <w:right w:val="single" w:sz="4" w:space="0" w:color="auto"/>
            </w:tcBorders>
            <w:hideMark/>
          </w:tcPr>
          <w:p w14:paraId="578F163B"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5</w:t>
            </w:r>
          </w:p>
        </w:tc>
        <w:tc>
          <w:tcPr>
            <w:tcW w:w="996" w:type="dxa"/>
            <w:tcBorders>
              <w:top w:val="single" w:sz="4" w:space="0" w:color="auto"/>
              <w:left w:val="single" w:sz="4" w:space="0" w:color="auto"/>
              <w:bottom w:val="single" w:sz="4" w:space="0" w:color="auto"/>
              <w:right w:val="single" w:sz="4" w:space="0" w:color="auto"/>
            </w:tcBorders>
          </w:tcPr>
          <w:p w14:paraId="2754A7DB" w14:textId="6BE26ECB" w:rsidR="00E43A6C" w:rsidRPr="00E43A6C" w:rsidRDefault="00A1459D"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Pr>
                <w:rFonts w:ascii="Calibri" w:hAnsi="Calibri" w:cs="Times New Roman"/>
                <w:color w:val="auto"/>
                <w:sz w:val="20"/>
                <w:szCs w:val="20"/>
                <w:lang w:val="en-AU"/>
              </w:rPr>
              <w:t>0</w:t>
            </w:r>
          </w:p>
        </w:tc>
        <w:tc>
          <w:tcPr>
            <w:tcW w:w="996" w:type="dxa"/>
            <w:tcBorders>
              <w:top w:val="single" w:sz="4" w:space="0" w:color="auto"/>
              <w:left w:val="single" w:sz="4" w:space="0" w:color="auto"/>
              <w:bottom w:val="single" w:sz="4" w:space="0" w:color="auto"/>
              <w:right w:val="single" w:sz="4" w:space="0" w:color="auto"/>
            </w:tcBorders>
          </w:tcPr>
          <w:p w14:paraId="75B84EE7" w14:textId="68C14121" w:rsidR="00E43A6C" w:rsidRPr="00E43A6C" w:rsidRDefault="00A1459D"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Pr>
                <w:rFonts w:ascii="Calibri" w:hAnsi="Calibri" w:cs="Times New Roman"/>
                <w:color w:val="auto"/>
                <w:sz w:val="20"/>
                <w:szCs w:val="20"/>
                <w:lang w:val="en-AU"/>
              </w:rPr>
              <w:t>0</w:t>
            </w:r>
          </w:p>
        </w:tc>
        <w:tc>
          <w:tcPr>
            <w:tcW w:w="1464" w:type="dxa"/>
            <w:tcBorders>
              <w:top w:val="single" w:sz="4" w:space="0" w:color="auto"/>
              <w:left w:val="single" w:sz="4" w:space="0" w:color="auto"/>
              <w:bottom w:val="single" w:sz="4" w:space="0" w:color="auto"/>
              <w:right w:val="single" w:sz="4" w:space="0" w:color="auto"/>
            </w:tcBorders>
            <w:hideMark/>
          </w:tcPr>
          <w:p w14:paraId="3AB7E5A9"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5</w:t>
            </w:r>
          </w:p>
        </w:tc>
      </w:tr>
      <w:tr w:rsidR="00E43A6C" w:rsidRPr="00E43A6C" w14:paraId="64395751" w14:textId="77777777" w:rsidTr="00A1459D">
        <w:tc>
          <w:tcPr>
            <w:tcW w:w="1377" w:type="dxa"/>
            <w:tcBorders>
              <w:top w:val="single" w:sz="4" w:space="0" w:color="auto"/>
              <w:left w:val="single" w:sz="4" w:space="0" w:color="auto"/>
              <w:bottom w:val="single" w:sz="4" w:space="0" w:color="auto"/>
              <w:right w:val="single" w:sz="4" w:space="0" w:color="auto"/>
            </w:tcBorders>
            <w:hideMark/>
          </w:tcPr>
          <w:p w14:paraId="5A8F070E"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22 Feb</w:t>
            </w:r>
          </w:p>
        </w:tc>
        <w:tc>
          <w:tcPr>
            <w:tcW w:w="2657" w:type="dxa"/>
            <w:tcBorders>
              <w:top w:val="single" w:sz="4" w:space="0" w:color="auto"/>
              <w:left w:val="single" w:sz="4" w:space="0" w:color="auto"/>
              <w:bottom w:val="single" w:sz="4" w:space="0" w:color="auto"/>
              <w:right w:val="single" w:sz="4" w:space="0" w:color="auto"/>
            </w:tcBorders>
          </w:tcPr>
          <w:p w14:paraId="16715733" w14:textId="671D8685"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Draft MTR Report (including Addendum on the TAPQE IDD revisions)</w:t>
            </w:r>
          </w:p>
        </w:tc>
        <w:tc>
          <w:tcPr>
            <w:tcW w:w="1303" w:type="dxa"/>
            <w:tcBorders>
              <w:top w:val="single" w:sz="4" w:space="0" w:color="auto"/>
              <w:left w:val="single" w:sz="4" w:space="0" w:color="auto"/>
              <w:bottom w:val="single" w:sz="4" w:space="0" w:color="auto"/>
              <w:right w:val="single" w:sz="4" w:space="0" w:color="auto"/>
            </w:tcBorders>
            <w:hideMark/>
          </w:tcPr>
          <w:p w14:paraId="152AF780"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Home base</w:t>
            </w:r>
          </w:p>
        </w:tc>
        <w:tc>
          <w:tcPr>
            <w:tcW w:w="780" w:type="dxa"/>
            <w:tcBorders>
              <w:top w:val="single" w:sz="4" w:space="0" w:color="auto"/>
              <w:left w:val="single" w:sz="4" w:space="0" w:color="auto"/>
              <w:bottom w:val="single" w:sz="4" w:space="0" w:color="auto"/>
              <w:right w:val="single" w:sz="4" w:space="0" w:color="auto"/>
            </w:tcBorders>
            <w:hideMark/>
          </w:tcPr>
          <w:p w14:paraId="2C65B747"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10</w:t>
            </w:r>
          </w:p>
        </w:tc>
        <w:tc>
          <w:tcPr>
            <w:tcW w:w="996" w:type="dxa"/>
            <w:tcBorders>
              <w:top w:val="single" w:sz="4" w:space="0" w:color="auto"/>
              <w:left w:val="single" w:sz="4" w:space="0" w:color="auto"/>
              <w:bottom w:val="single" w:sz="4" w:space="0" w:color="auto"/>
              <w:right w:val="single" w:sz="4" w:space="0" w:color="auto"/>
            </w:tcBorders>
            <w:hideMark/>
          </w:tcPr>
          <w:p w14:paraId="5534E719"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3</w:t>
            </w:r>
          </w:p>
        </w:tc>
        <w:tc>
          <w:tcPr>
            <w:tcW w:w="996" w:type="dxa"/>
            <w:tcBorders>
              <w:top w:val="single" w:sz="4" w:space="0" w:color="auto"/>
              <w:left w:val="single" w:sz="4" w:space="0" w:color="auto"/>
              <w:bottom w:val="single" w:sz="4" w:space="0" w:color="auto"/>
              <w:right w:val="single" w:sz="4" w:space="0" w:color="auto"/>
            </w:tcBorders>
            <w:hideMark/>
          </w:tcPr>
          <w:p w14:paraId="69928EC9"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3</w:t>
            </w:r>
          </w:p>
        </w:tc>
        <w:tc>
          <w:tcPr>
            <w:tcW w:w="1464" w:type="dxa"/>
            <w:tcBorders>
              <w:top w:val="single" w:sz="4" w:space="0" w:color="auto"/>
              <w:left w:val="single" w:sz="4" w:space="0" w:color="auto"/>
              <w:bottom w:val="single" w:sz="4" w:space="0" w:color="auto"/>
              <w:right w:val="single" w:sz="4" w:space="0" w:color="auto"/>
            </w:tcBorders>
            <w:hideMark/>
          </w:tcPr>
          <w:p w14:paraId="367C93A8"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6</w:t>
            </w:r>
          </w:p>
        </w:tc>
      </w:tr>
      <w:tr w:rsidR="00E43A6C" w:rsidRPr="00E43A6C" w14:paraId="7929D485" w14:textId="77777777" w:rsidTr="00DE09B2">
        <w:tc>
          <w:tcPr>
            <w:tcW w:w="1377" w:type="dxa"/>
            <w:tcBorders>
              <w:top w:val="single" w:sz="4" w:space="0" w:color="auto"/>
              <w:left w:val="single" w:sz="4" w:space="0" w:color="auto"/>
              <w:bottom w:val="single" w:sz="4" w:space="0" w:color="000000" w:themeColor="text1"/>
              <w:right w:val="single" w:sz="4" w:space="0" w:color="auto"/>
            </w:tcBorders>
            <w:hideMark/>
          </w:tcPr>
          <w:p w14:paraId="06D79C9D"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 xml:space="preserve">17 March </w:t>
            </w:r>
          </w:p>
        </w:tc>
        <w:tc>
          <w:tcPr>
            <w:tcW w:w="2657" w:type="dxa"/>
            <w:tcBorders>
              <w:top w:val="single" w:sz="4" w:space="0" w:color="auto"/>
              <w:left w:val="single" w:sz="4" w:space="0" w:color="auto"/>
              <w:bottom w:val="single" w:sz="4" w:space="0" w:color="000000" w:themeColor="text1"/>
              <w:right w:val="single" w:sz="4" w:space="0" w:color="auto"/>
            </w:tcBorders>
            <w:hideMark/>
          </w:tcPr>
          <w:p w14:paraId="189FF2E0"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Final Report</w:t>
            </w:r>
          </w:p>
        </w:tc>
        <w:tc>
          <w:tcPr>
            <w:tcW w:w="1303" w:type="dxa"/>
            <w:tcBorders>
              <w:top w:val="single" w:sz="4" w:space="0" w:color="auto"/>
              <w:left w:val="single" w:sz="4" w:space="0" w:color="auto"/>
              <w:bottom w:val="single" w:sz="4" w:space="0" w:color="000000" w:themeColor="text1"/>
              <w:right w:val="single" w:sz="4" w:space="0" w:color="auto"/>
            </w:tcBorders>
            <w:hideMark/>
          </w:tcPr>
          <w:p w14:paraId="4B354BEC"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Home Base</w:t>
            </w:r>
          </w:p>
        </w:tc>
        <w:tc>
          <w:tcPr>
            <w:tcW w:w="780" w:type="dxa"/>
            <w:tcBorders>
              <w:top w:val="single" w:sz="4" w:space="0" w:color="auto"/>
              <w:left w:val="single" w:sz="4" w:space="0" w:color="auto"/>
              <w:bottom w:val="single" w:sz="4" w:space="0" w:color="auto"/>
              <w:right w:val="single" w:sz="4" w:space="0" w:color="auto"/>
            </w:tcBorders>
            <w:hideMark/>
          </w:tcPr>
          <w:p w14:paraId="56AE80B0"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3</w:t>
            </w:r>
          </w:p>
        </w:tc>
        <w:tc>
          <w:tcPr>
            <w:tcW w:w="996" w:type="dxa"/>
            <w:tcBorders>
              <w:top w:val="single" w:sz="4" w:space="0" w:color="auto"/>
              <w:left w:val="single" w:sz="4" w:space="0" w:color="auto"/>
              <w:bottom w:val="single" w:sz="4" w:space="0" w:color="auto"/>
              <w:right w:val="single" w:sz="4" w:space="0" w:color="auto"/>
            </w:tcBorders>
            <w:hideMark/>
          </w:tcPr>
          <w:p w14:paraId="7F8BC59D"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c>
          <w:tcPr>
            <w:tcW w:w="996" w:type="dxa"/>
            <w:tcBorders>
              <w:top w:val="single" w:sz="4" w:space="0" w:color="auto"/>
              <w:left w:val="single" w:sz="4" w:space="0" w:color="auto"/>
              <w:bottom w:val="single" w:sz="4" w:space="0" w:color="auto"/>
              <w:right w:val="single" w:sz="4" w:space="0" w:color="auto"/>
            </w:tcBorders>
            <w:hideMark/>
          </w:tcPr>
          <w:p w14:paraId="30290488"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c>
          <w:tcPr>
            <w:tcW w:w="1464" w:type="dxa"/>
            <w:tcBorders>
              <w:top w:val="single" w:sz="4" w:space="0" w:color="auto"/>
              <w:left w:val="single" w:sz="4" w:space="0" w:color="auto"/>
              <w:bottom w:val="single" w:sz="4" w:space="0" w:color="auto"/>
              <w:right w:val="single" w:sz="4" w:space="0" w:color="auto"/>
            </w:tcBorders>
            <w:hideMark/>
          </w:tcPr>
          <w:p w14:paraId="309FAFD9" w14:textId="77777777" w:rsidR="00E43A6C" w:rsidRPr="00E43A6C" w:rsidRDefault="00E43A6C" w:rsidP="00E43A6C">
            <w:pPr>
              <w:suppressAutoHyphens w:val="0"/>
              <w:autoSpaceDE/>
              <w:autoSpaceDN/>
              <w:adjustRightInd/>
              <w:spacing w:line="240" w:lineRule="auto"/>
              <w:jc w:val="left"/>
              <w:textAlignment w:val="auto"/>
              <w:rPr>
                <w:rFonts w:ascii="Calibri" w:hAnsi="Calibri" w:cs="Times New Roman"/>
                <w:color w:val="auto"/>
                <w:sz w:val="20"/>
                <w:szCs w:val="20"/>
                <w:lang w:val="en-AU"/>
              </w:rPr>
            </w:pPr>
            <w:r w:rsidRPr="00E43A6C">
              <w:rPr>
                <w:rFonts w:ascii="Calibri" w:hAnsi="Calibri" w:cs="Times New Roman"/>
                <w:color w:val="auto"/>
                <w:sz w:val="20"/>
                <w:szCs w:val="20"/>
                <w:lang w:val="en-AU"/>
              </w:rPr>
              <w:t>2</w:t>
            </w:r>
          </w:p>
        </w:tc>
      </w:tr>
      <w:tr w:rsidR="00DE09B2" w:rsidRPr="00E43A6C" w14:paraId="171EBDBB" w14:textId="77777777" w:rsidTr="00AA335A">
        <w:tc>
          <w:tcPr>
            <w:tcW w:w="1377" w:type="dxa"/>
            <w:tcBorders>
              <w:top w:val="single" w:sz="4" w:space="0" w:color="000000" w:themeColor="text1"/>
              <w:left w:val="single" w:sz="4" w:space="0" w:color="000000" w:themeColor="text1"/>
              <w:bottom w:val="single" w:sz="4" w:space="0" w:color="000000" w:themeColor="text1"/>
              <w:right w:val="nil"/>
            </w:tcBorders>
            <w:shd w:val="clear" w:color="auto" w:fill="FBE4D5" w:themeFill="accent2" w:themeFillTint="33"/>
          </w:tcPr>
          <w:p w14:paraId="178E6C7D" w14:textId="27C70D89" w:rsidR="00DE09B2" w:rsidRPr="00E4501B"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501B">
              <w:rPr>
                <w:rFonts w:ascii="Calibri" w:hAnsi="Calibri" w:cs="Times New Roman"/>
                <w:b/>
                <w:bCs/>
                <w:color w:val="auto"/>
                <w:sz w:val="20"/>
                <w:szCs w:val="20"/>
                <w:lang w:val="en-AU"/>
              </w:rPr>
              <w:t>TOTAL</w:t>
            </w:r>
          </w:p>
        </w:tc>
        <w:tc>
          <w:tcPr>
            <w:tcW w:w="2657" w:type="dxa"/>
            <w:tcBorders>
              <w:top w:val="single" w:sz="4" w:space="0" w:color="000000" w:themeColor="text1"/>
              <w:left w:val="nil"/>
              <w:bottom w:val="single" w:sz="4" w:space="0" w:color="000000" w:themeColor="text1"/>
              <w:right w:val="nil"/>
            </w:tcBorders>
            <w:shd w:val="clear" w:color="auto" w:fill="FBE4D5" w:themeFill="accent2" w:themeFillTint="33"/>
          </w:tcPr>
          <w:p w14:paraId="4DE4B53A" w14:textId="7D45818B" w:rsidR="00DE09B2" w:rsidRPr="00E4501B"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E4501B">
              <w:rPr>
                <w:rFonts w:ascii="Calibri" w:hAnsi="Calibri" w:cs="Times New Roman"/>
                <w:b/>
                <w:bCs/>
                <w:color w:val="auto"/>
                <w:sz w:val="20"/>
                <w:szCs w:val="20"/>
                <w:lang w:val="en-AU"/>
              </w:rPr>
              <w:t>(excluding travel days)</w:t>
            </w:r>
          </w:p>
        </w:tc>
        <w:tc>
          <w:tcPr>
            <w:tcW w:w="1303" w:type="dxa"/>
            <w:tcBorders>
              <w:top w:val="single" w:sz="4" w:space="0" w:color="000000" w:themeColor="text1"/>
              <w:left w:val="nil"/>
              <w:bottom w:val="single" w:sz="4" w:space="0" w:color="000000" w:themeColor="text1"/>
              <w:right w:val="single" w:sz="4" w:space="0" w:color="000000" w:themeColor="text1"/>
            </w:tcBorders>
            <w:shd w:val="clear" w:color="auto" w:fill="FBE4D5" w:themeFill="accent2" w:themeFillTint="33"/>
          </w:tcPr>
          <w:p w14:paraId="5A09464A" w14:textId="702D642D" w:rsidR="00DE09B2" w:rsidRPr="00DE09B2" w:rsidRDefault="00B4429E" w:rsidP="00B4429E">
            <w:pPr>
              <w:suppressAutoHyphens w:val="0"/>
              <w:autoSpaceDE/>
              <w:autoSpaceDN/>
              <w:adjustRightInd/>
              <w:spacing w:line="240" w:lineRule="auto"/>
              <w:jc w:val="center"/>
              <w:textAlignment w:val="auto"/>
              <w:rPr>
                <w:rFonts w:ascii="Calibri" w:hAnsi="Calibri" w:cs="Times New Roman"/>
                <w:b/>
                <w:bCs/>
                <w:color w:val="auto"/>
                <w:sz w:val="20"/>
                <w:szCs w:val="20"/>
                <w:lang w:val="en-AU"/>
              </w:rPr>
            </w:pPr>
            <w:r>
              <w:rPr>
                <w:b/>
                <w:bCs/>
              </w:rPr>
              <w:t>-</w:t>
            </w:r>
          </w:p>
        </w:tc>
        <w:tc>
          <w:tcPr>
            <w:tcW w:w="780" w:type="dxa"/>
            <w:tcBorders>
              <w:top w:val="single" w:sz="4" w:space="0" w:color="auto"/>
              <w:left w:val="single" w:sz="4" w:space="0" w:color="000000" w:themeColor="text1"/>
              <w:bottom w:val="single" w:sz="4" w:space="0" w:color="auto"/>
              <w:right w:val="single" w:sz="4" w:space="0" w:color="auto"/>
            </w:tcBorders>
            <w:shd w:val="clear" w:color="auto" w:fill="FBE4D5" w:themeFill="accent2" w:themeFillTint="33"/>
          </w:tcPr>
          <w:p w14:paraId="30DA6504" w14:textId="3D61F6D9" w:rsidR="00DE09B2" w:rsidRPr="00DE09B2"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DE09B2">
              <w:rPr>
                <w:rFonts w:ascii="Calibri" w:hAnsi="Calibri" w:cs="Times New Roman"/>
                <w:b/>
                <w:bCs/>
                <w:color w:val="auto"/>
                <w:sz w:val="20"/>
                <w:szCs w:val="20"/>
                <w:lang w:val="en-AU"/>
              </w:rPr>
              <w:t>28 days</w:t>
            </w:r>
          </w:p>
        </w:tc>
        <w:tc>
          <w:tcPr>
            <w:tcW w:w="9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622604" w14:textId="5B5D1F27" w:rsidR="00DE09B2" w:rsidRPr="00DE09B2"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DE09B2">
              <w:rPr>
                <w:rFonts w:ascii="Calibri" w:hAnsi="Calibri" w:cs="Times New Roman"/>
                <w:b/>
                <w:bCs/>
                <w:color w:val="auto"/>
                <w:sz w:val="20"/>
                <w:szCs w:val="20"/>
                <w:lang w:val="en-AU"/>
              </w:rPr>
              <w:t>12 days</w:t>
            </w:r>
          </w:p>
        </w:tc>
        <w:tc>
          <w:tcPr>
            <w:tcW w:w="996"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1593FF1" w14:textId="6000954E" w:rsidR="00DE09B2" w:rsidRPr="00DE09B2"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DE09B2">
              <w:rPr>
                <w:rFonts w:ascii="Calibri" w:hAnsi="Calibri" w:cs="Times New Roman"/>
                <w:b/>
                <w:bCs/>
                <w:color w:val="auto"/>
                <w:sz w:val="20"/>
                <w:szCs w:val="20"/>
                <w:lang w:val="en-AU"/>
              </w:rPr>
              <w:t>12 days</w:t>
            </w:r>
          </w:p>
        </w:tc>
        <w:tc>
          <w:tcPr>
            <w:tcW w:w="1464" w:type="dxa"/>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7F6EE3F" w14:textId="35EAB5CB" w:rsidR="00DE09B2" w:rsidRPr="00DE09B2" w:rsidRDefault="00DE09B2" w:rsidP="00E43A6C">
            <w:pPr>
              <w:suppressAutoHyphens w:val="0"/>
              <w:autoSpaceDE/>
              <w:autoSpaceDN/>
              <w:adjustRightInd/>
              <w:spacing w:line="240" w:lineRule="auto"/>
              <w:jc w:val="left"/>
              <w:textAlignment w:val="auto"/>
              <w:rPr>
                <w:rFonts w:ascii="Calibri" w:hAnsi="Calibri" w:cs="Times New Roman"/>
                <w:b/>
                <w:bCs/>
                <w:color w:val="auto"/>
                <w:sz w:val="20"/>
                <w:szCs w:val="20"/>
                <w:lang w:val="en-AU"/>
              </w:rPr>
            </w:pPr>
            <w:r w:rsidRPr="00DE09B2">
              <w:rPr>
                <w:rFonts w:ascii="Calibri" w:hAnsi="Calibri" w:cs="Times New Roman"/>
                <w:b/>
                <w:bCs/>
                <w:color w:val="auto"/>
                <w:sz w:val="20"/>
                <w:szCs w:val="20"/>
                <w:lang w:val="en-AU"/>
              </w:rPr>
              <w:t>20 days</w:t>
            </w:r>
          </w:p>
        </w:tc>
      </w:tr>
    </w:tbl>
    <w:p w14:paraId="3099462E"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 </w:t>
      </w:r>
    </w:p>
    <w:p w14:paraId="03260E0F"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lastRenderedPageBreak/>
        <w:t xml:space="preserve">Consultations </w:t>
      </w:r>
    </w:p>
    <w:p w14:paraId="65F60387" w14:textId="6515D38D"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The mid-term review team will consult closely with key education partners in Tuvalu in their various roles as school system managers and Tuvalu Ministry of Education and Human Resources Development to reflect their unique delivery contexts and local expertise.</w:t>
      </w:r>
    </w:p>
    <w:p w14:paraId="29F24716" w14:textId="1161A476"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Review team will consult widely with stakeholders, including teachers, school leaders, support staff, education unions and nongovernment sector stakeholders, parents, youth and student bodies and other key stakeholder groups. Staff from the Australian High Commission in Tuvalu will work closely with the Review team to schedule meetings with the relevant stakeholders. </w:t>
      </w:r>
    </w:p>
    <w:p w14:paraId="4E9DD6D5"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Reports</w:t>
      </w:r>
    </w:p>
    <w:p w14:paraId="184779EE"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The Mid-term review team will provide the following reports to DFAT: </w:t>
      </w:r>
    </w:p>
    <w:p w14:paraId="65A4AEF8" w14:textId="392C131C" w:rsidR="00390D61" w:rsidRPr="00390D61" w:rsidRDefault="00390D61" w:rsidP="00390D61">
      <w:pPr>
        <w:pStyle w:val="ListParagraph"/>
        <w:numPr>
          <w:ilvl w:val="0"/>
          <w:numId w:val="83"/>
        </w:numPr>
        <w:tabs>
          <w:tab w:val="left" w:pos="4621"/>
        </w:tabs>
        <w:suppressAutoHyphens w:val="0"/>
        <w:autoSpaceDE/>
        <w:autoSpaceDN/>
        <w:adjustRightInd/>
        <w:spacing w:line="240" w:lineRule="auto"/>
        <w:jc w:val="left"/>
        <w:textAlignment w:val="auto"/>
        <w:rPr>
          <w:rFonts w:ascii="Calibri" w:hAnsi="Calibri" w:cs="Times New Roman"/>
          <w:color w:val="auto"/>
          <w:lang w:val="en-AU"/>
        </w:rPr>
      </w:pPr>
      <w:r w:rsidRPr="00390D61">
        <w:rPr>
          <w:rFonts w:ascii="Calibri" w:hAnsi="Calibri" w:cs="Times New Roman"/>
          <w:color w:val="auto"/>
          <w:lang w:val="en-AU"/>
        </w:rPr>
        <w:t xml:space="preserve">Summary Report of Desk Review findings </w:t>
      </w:r>
      <w:r>
        <w:t xml:space="preserve">– </w:t>
      </w:r>
      <w:r w:rsidRPr="00390D61">
        <w:rPr>
          <w:rFonts w:ascii="Calibri" w:hAnsi="Calibri" w:cs="Times New Roman"/>
          <w:color w:val="auto"/>
          <w:lang w:val="en-AU"/>
        </w:rPr>
        <w:t>22 January 2025</w:t>
      </w:r>
    </w:p>
    <w:p w14:paraId="79D94625" w14:textId="380D68B1" w:rsidR="00390D61" w:rsidRPr="00390D61" w:rsidRDefault="00390D61" w:rsidP="00390D61">
      <w:pPr>
        <w:pStyle w:val="ListParagraph"/>
        <w:numPr>
          <w:ilvl w:val="0"/>
          <w:numId w:val="83"/>
        </w:numPr>
        <w:tabs>
          <w:tab w:val="left" w:pos="4621"/>
        </w:tabs>
        <w:suppressAutoHyphens w:val="0"/>
        <w:autoSpaceDE/>
        <w:autoSpaceDN/>
        <w:adjustRightInd/>
        <w:spacing w:line="240" w:lineRule="auto"/>
        <w:jc w:val="left"/>
        <w:textAlignment w:val="auto"/>
        <w:rPr>
          <w:rFonts w:ascii="Calibri" w:hAnsi="Calibri" w:cs="Times New Roman"/>
          <w:color w:val="auto"/>
          <w:lang w:val="en-AU"/>
        </w:rPr>
      </w:pPr>
      <w:r w:rsidRPr="00390D61">
        <w:rPr>
          <w:rFonts w:ascii="Calibri" w:hAnsi="Calibri" w:cs="Times New Roman"/>
          <w:color w:val="auto"/>
          <w:lang w:val="en-AU"/>
        </w:rPr>
        <w:t>Draft Evaluation Plan (including consultation plans for the in-country visit)</w:t>
      </w:r>
      <w:r>
        <w:rPr>
          <w:rFonts w:ascii="Calibri" w:hAnsi="Calibri" w:cs="Times New Roman"/>
          <w:color w:val="auto"/>
          <w:lang w:val="en-AU"/>
        </w:rPr>
        <w:t xml:space="preserve"> </w:t>
      </w:r>
      <w:r>
        <w:t>–</w:t>
      </w:r>
      <w:r w:rsidR="00D80A5A">
        <w:t xml:space="preserve"> </w:t>
      </w:r>
      <w:r w:rsidRPr="00390D61">
        <w:rPr>
          <w:rFonts w:ascii="Calibri" w:hAnsi="Calibri" w:cs="Times New Roman"/>
          <w:color w:val="auto"/>
          <w:lang w:val="en-AU"/>
        </w:rPr>
        <w:t>23 January 2025</w:t>
      </w:r>
    </w:p>
    <w:p w14:paraId="1F64E26B" w14:textId="5CCC93BC" w:rsidR="00390D61" w:rsidRPr="00390D61" w:rsidRDefault="00390D61" w:rsidP="00390D61">
      <w:pPr>
        <w:pStyle w:val="ListParagraph"/>
        <w:numPr>
          <w:ilvl w:val="0"/>
          <w:numId w:val="83"/>
        </w:numPr>
        <w:tabs>
          <w:tab w:val="left" w:pos="4621"/>
        </w:tabs>
        <w:suppressAutoHyphens w:val="0"/>
        <w:autoSpaceDE/>
        <w:autoSpaceDN/>
        <w:adjustRightInd/>
        <w:spacing w:line="240" w:lineRule="auto"/>
        <w:jc w:val="left"/>
        <w:textAlignment w:val="auto"/>
        <w:rPr>
          <w:rFonts w:ascii="Calibri" w:hAnsi="Calibri" w:cs="Times New Roman"/>
          <w:color w:val="auto"/>
          <w:lang w:val="en-AU"/>
        </w:rPr>
      </w:pPr>
      <w:r w:rsidRPr="00390D61">
        <w:rPr>
          <w:rFonts w:ascii="Calibri" w:hAnsi="Calibri" w:cs="Times New Roman"/>
          <w:color w:val="auto"/>
          <w:lang w:val="en-AU"/>
        </w:rPr>
        <w:t>Aide Memoir and debrief with Funafuti Post (during in-country visit)</w:t>
      </w:r>
      <w:r w:rsidR="00D80A5A">
        <w:rPr>
          <w:rFonts w:ascii="Calibri" w:hAnsi="Calibri" w:cs="Times New Roman"/>
          <w:color w:val="auto"/>
          <w:lang w:val="en-AU"/>
        </w:rPr>
        <w:t xml:space="preserve"> </w:t>
      </w:r>
      <w:r w:rsidR="00D80A5A">
        <w:t xml:space="preserve">– </w:t>
      </w:r>
      <w:r w:rsidRPr="00390D61">
        <w:rPr>
          <w:rFonts w:ascii="Calibri" w:hAnsi="Calibri" w:cs="Times New Roman"/>
          <w:color w:val="auto"/>
          <w:lang w:val="en-AU"/>
        </w:rPr>
        <w:t>First week of February 2025 (dates TBC)</w:t>
      </w:r>
    </w:p>
    <w:p w14:paraId="7C4EE8C7" w14:textId="00302988" w:rsidR="00390D61" w:rsidRPr="00390D61" w:rsidRDefault="00390D61" w:rsidP="00390D61">
      <w:pPr>
        <w:pStyle w:val="ListParagraph"/>
        <w:numPr>
          <w:ilvl w:val="0"/>
          <w:numId w:val="83"/>
        </w:numPr>
        <w:tabs>
          <w:tab w:val="left" w:pos="4621"/>
        </w:tabs>
        <w:suppressAutoHyphens w:val="0"/>
        <w:autoSpaceDE/>
        <w:autoSpaceDN/>
        <w:adjustRightInd/>
        <w:spacing w:line="240" w:lineRule="auto"/>
        <w:jc w:val="left"/>
        <w:textAlignment w:val="auto"/>
        <w:rPr>
          <w:rFonts w:ascii="Calibri" w:hAnsi="Calibri" w:cs="Times New Roman"/>
          <w:color w:val="auto"/>
          <w:lang w:val="en-AU"/>
        </w:rPr>
      </w:pPr>
      <w:r w:rsidRPr="00390D61">
        <w:rPr>
          <w:rFonts w:ascii="Calibri" w:hAnsi="Calibri" w:cs="Times New Roman"/>
          <w:color w:val="auto"/>
          <w:lang w:val="en-AU"/>
        </w:rPr>
        <w:t>Draft MTR Report (including Addendum on the changes to be made to the TAPQE IDD)</w:t>
      </w:r>
      <w:r w:rsidR="00D80A5A">
        <w:rPr>
          <w:rFonts w:ascii="Calibri" w:hAnsi="Calibri" w:cs="Times New Roman"/>
          <w:color w:val="auto"/>
          <w:lang w:val="en-AU"/>
        </w:rPr>
        <w:t xml:space="preserve"> </w:t>
      </w:r>
      <w:r w:rsidR="00D80A5A">
        <w:t xml:space="preserve">– </w:t>
      </w:r>
      <w:r w:rsidRPr="00390D61">
        <w:rPr>
          <w:rFonts w:ascii="Calibri" w:hAnsi="Calibri" w:cs="Times New Roman"/>
          <w:color w:val="auto"/>
          <w:lang w:val="en-AU"/>
        </w:rPr>
        <w:t>22 February 2025</w:t>
      </w:r>
    </w:p>
    <w:p w14:paraId="7A450630" w14:textId="0E900D37" w:rsidR="00390D61" w:rsidRPr="00390D61" w:rsidRDefault="00390D61" w:rsidP="00390D61">
      <w:pPr>
        <w:pStyle w:val="ListParagraph"/>
        <w:numPr>
          <w:ilvl w:val="0"/>
          <w:numId w:val="83"/>
        </w:numPr>
        <w:tabs>
          <w:tab w:val="left" w:pos="4621"/>
        </w:tabs>
        <w:suppressAutoHyphens w:val="0"/>
        <w:autoSpaceDE/>
        <w:autoSpaceDN/>
        <w:adjustRightInd/>
        <w:spacing w:line="240" w:lineRule="auto"/>
        <w:jc w:val="left"/>
        <w:textAlignment w:val="auto"/>
        <w:rPr>
          <w:rFonts w:ascii="Calibri" w:hAnsi="Calibri" w:cs="Times New Roman"/>
          <w:color w:val="auto"/>
          <w:lang w:val="en-AU"/>
        </w:rPr>
      </w:pPr>
      <w:r w:rsidRPr="00390D61">
        <w:rPr>
          <w:rFonts w:ascii="Calibri" w:hAnsi="Calibri" w:cs="Times New Roman"/>
          <w:color w:val="auto"/>
          <w:lang w:val="en-AU"/>
        </w:rPr>
        <w:t>Final MTR Report (including the Addendum on the proposed changes to the TAPQE IDD as a separate attachment/ annex to the final report</w:t>
      </w:r>
      <w:r w:rsidR="00D80A5A">
        <w:rPr>
          <w:rFonts w:ascii="Calibri" w:hAnsi="Calibri" w:cs="Times New Roman"/>
          <w:color w:val="auto"/>
          <w:lang w:val="en-AU"/>
        </w:rPr>
        <w:t xml:space="preserve"> </w:t>
      </w:r>
      <w:r w:rsidR="00D80A5A">
        <w:t xml:space="preserve">– </w:t>
      </w:r>
      <w:r w:rsidRPr="00390D61">
        <w:rPr>
          <w:rFonts w:ascii="Calibri" w:hAnsi="Calibri" w:cs="Times New Roman"/>
          <w:color w:val="auto"/>
          <w:lang w:val="en-AU"/>
        </w:rPr>
        <w:t>17 March 2025</w:t>
      </w:r>
    </w:p>
    <w:p w14:paraId="17EDBA1E" w14:textId="77777777" w:rsidR="00E43A6C" w:rsidRPr="00E43A6C" w:rsidRDefault="00E43A6C" w:rsidP="003D37B6">
      <w:pPr>
        <w:suppressAutoHyphens w:val="0"/>
        <w:autoSpaceDE/>
        <w:autoSpaceDN/>
        <w:adjustRightInd/>
        <w:spacing w:before="240" w:after="160" w:line="257" w:lineRule="auto"/>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The mid-term review final report and management response will be published on the DFAT website (in accordance with DFAT’s Development Evaluation Policy) and must meet DFAT’s Design and Monitoring, Evaluation and Learning standards.</w:t>
      </w:r>
    </w:p>
    <w:p w14:paraId="1609BFBB" w14:textId="77777777" w:rsidR="00E43A6C" w:rsidRPr="00E43A6C" w:rsidRDefault="00E43A6C" w:rsidP="00E43A6C">
      <w:pPr>
        <w:suppressAutoHyphens w:val="0"/>
        <w:autoSpaceDE/>
        <w:autoSpaceDN/>
        <w:adjustRightInd/>
        <w:spacing w:after="160" w:line="256" w:lineRule="auto"/>
        <w:jc w:val="left"/>
        <w:textAlignment w:val="auto"/>
        <w:rPr>
          <w:rFonts w:ascii="Calibri" w:eastAsia="Calibri" w:hAnsi="Calibri" w:cs="Times New Roman"/>
          <w:b/>
          <w:bCs/>
          <w:color w:val="auto"/>
          <w:kern w:val="2"/>
          <w:lang w:val="en-AU"/>
          <w14:ligatures w14:val="standardContextual"/>
        </w:rPr>
      </w:pPr>
      <w:r w:rsidRPr="00E43A6C">
        <w:rPr>
          <w:rFonts w:ascii="Calibri" w:eastAsia="Calibri" w:hAnsi="Calibri" w:cs="Times New Roman"/>
          <w:b/>
          <w:bCs/>
          <w:color w:val="auto"/>
          <w:kern w:val="2"/>
          <w:lang w:val="en-AU"/>
          <w14:ligatures w14:val="standardContextual"/>
        </w:rPr>
        <w:t>Key Documents to inform the Mid-term Review</w:t>
      </w:r>
    </w:p>
    <w:p w14:paraId="0F0D3091"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TAPQE draft Investment Design Document and Annexures</w:t>
      </w:r>
    </w:p>
    <w:p w14:paraId="080CF708"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TAPQE Workplans and Annual Reports</w:t>
      </w:r>
    </w:p>
    <w:p w14:paraId="746DA4E7"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IMR Report for TAPQE (both DFAT and Managing Contractor’s feedback)</w:t>
      </w:r>
    </w:p>
    <w:p w14:paraId="2D5C1832"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TESP IV (current draft)</w:t>
      </w:r>
    </w:p>
    <w:p w14:paraId="41190DC1"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Tuvalu Partnership Compact </w:t>
      </w:r>
    </w:p>
    <w:p w14:paraId="79318BE9"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Tuvalu Education Sector Analysis</w:t>
      </w:r>
    </w:p>
    <w:p w14:paraId="7CD171F0"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 xml:space="preserve">Tuvalu Education – Enabling Factor Analysis </w:t>
      </w:r>
    </w:p>
    <w:p w14:paraId="0A0CED9D"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TuLEP Mid-Term Review Report</w:t>
      </w:r>
    </w:p>
    <w:p w14:paraId="2D046964"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Australia – Tuvalu Development Partnership Plan</w:t>
      </w:r>
    </w:p>
    <w:p w14:paraId="1D4BF480" w14:textId="77777777" w:rsidR="00E43A6C" w:rsidRPr="00E43A6C" w:rsidRDefault="00E43A6C" w:rsidP="00B32148">
      <w:pPr>
        <w:numPr>
          <w:ilvl w:val="0"/>
          <w:numId w:val="49"/>
        </w:numPr>
        <w:suppressAutoHyphens w:val="0"/>
        <w:autoSpaceDE/>
        <w:autoSpaceDN/>
        <w:adjustRightInd/>
        <w:spacing w:after="160" w:line="256" w:lineRule="auto"/>
        <w:contextualSpacing/>
        <w:jc w:val="left"/>
        <w:textAlignment w:val="auto"/>
        <w:rPr>
          <w:rFonts w:ascii="Calibri" w:eastAsia="Calibri" w:hAnsi="Calibri" w:cs="Times New Roman"/>
          <w:color w:val="auto"/>
          <w:kern w:val="2"/>
          <w:lang w:val="en-AU"/>
          <w14:ligatures w14:val="standardContextual"/>
        </w:rPr>
      </w:pPr>
      <w:r w:rsidRPr="00E43A6C">
        <w:rPr>
          <w:rFonts w:ascii="Calibri" w:eastAsia="Calibri" w:hAnsi="Calibri" w:cs="Times New Roman"/>
          <w:color w:val="auto"/>
          <w:kern w:val="2"/>
          <w:lang w:val="en-AU"/>
          <w14:ligatures w14:val="standardContextual"/>
        </w:rPr>
        <w:t>Falepili Treaty</w:t>
      </w:r>
    </w:p>
    <w:p w14:paraId="05EF9DCF"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sz w:val="24"/>
          <w:szCs w:val="24"/>
          <w:lang w:val="en-AU"/>
          <w14:ligatures w14:val="standardContextual"/>
        </w:rPr>
      </w:pPr>
      <w:r w:rsidRPr="00E43A6C">
        <w:rPr>
          <w:rFonts w:ascii="Aptos" w:eastAsia="Aptos" w:hAnsi="Aptos" w:cs="Times New Roman"/>
          <w:color w:val="auto"/>
          <w:sz w:val="24"/>
          <w:szCs w:val="24"/>
          <w:lang w:val="en-AU"/>
        </w:rPr>
        <w:br w:type="page"/>
      </w:r>
    </w:p>
    <w:p w14:paraId="5485B05E" w14:textId="77777777" w:rsidR="00E43A6C" w:rsidRPr="00E43A6C" w:rsidRDefault="00E43A6C" w:rsidP="00226301">
      <w:pPr>
        <w:rPr>
          <w:b/>
          <w:bCs/>
          <w:sz w:val="28"/>
          <w:szCs w:val="28"/>
          <w:lang w:val="en-AU"/>
        </w:rPr>
      </w:pPr>
      <w:bookmarkStart w:id="30" w:name="_Toc188559356"/>
      <w:r w:rsidRPr="00E43A6C">
        <w:rPr>
          <w:b/>
          <w:bCs/>
          <w:sz w:val="28"/>
          <w:szCs w:val="28"/>
          <w:lang w:val="en-AU"/>
        </w:rPr>
        <w:lastRenderedPageBreak/>
        <w:t>Annex 2 – Background documents (Initial set)</w:t>
      </w:r>
      <w:bookmarkEnd w:id="30"/>
    </w:p>
    <w:tbl>
      <w:tblPr>
        <w:tblStyle w:val="ListTable4-Accent51"/>
        <w:tblW w:w="0" w:type="auto"/>
        <w:tblInd w:w="0" w:type="dxa"/>
        <w:tblLook w:val="0420" w:firstRow="1" w:lastRow="0" w:firstColumn="0" w:lastColumn="0" w:noHBand="0" w:noVBand="1"/>
      </w:tblPr>
      <w:tblGrid>
        <w:gridCol w:w="4814"/>
        <w:gridCol w:w="4814"/>
      </w:tblGrid>
      <w:tr w:rsidR="00E43A6C" w:rsidRPr="00E43A6C" w14:paraId="3FD3CD24" w14:textId="77777777" w:rsidTr="00A1459D">
        <w:trPr>
          <w:cnfStyle w:val="100000000000" w:firstRow="1" w:lastRow="0" w:firstColumn="0" w:lastColumn="0" w:oddVBand="0" w:evenVBand="0" w:oddHBand="0" w:evenHBand="0" w:firstRowFirstColumn="0" w:firstRowLastColumn="0" w:lastRowFirstColumn="0" w:lastRowLastColumn="0"/>
          <w:tblHeader/>
        </w:trPr>
        <w:tc>
          <w:tcPr>
            <w:tcW w:w="4814" w:type="dxa"/>
            <w:tcBorders>
              <w:right w:val="nil"/>
            </w:tcBorders>
            <w:shd w:val="clear" w:color="auto" w:fill="156082"/>
            <w:hideMark/>
          </w:tcPr>
          <w:p w14:paraId="27CBD965"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FFFFFF"/>
                <w:lang w:val="en-AU"/>
              </w:rPr>
            </w:pPr>
            <w:r w:rsidRPr="00E43A6C">
              <w:rPr>
                <w:rFonts w:cs="Times New Roman"/>
                <w:color w:val="FFFFFF"/>
                <w:lang w:val="en-AU"/>
              </w:rPr>
              <w:t>Documents initially provided by AHC</w:t>
            </w:r>
          </w:p>
        </w:tc>
        <w:tc>
          <w:tcPr>
            <w:tcW w:w="4814" w:type="dxa"/>
            <w:tcBorders>
              <w:left w:val="nil"/>
            </w:tcBorders>
            <w:hideMark/>
          </w:tcPr>
          <w:p w14:paraId="525FC9F6"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FFFFFF"/>
                <w:lang w:val="en-AU"/>
              </w:rPr>
            </w:pPr>
            <w:r w:rsidRPr="00E43A6C">
              <w:rPr>
                <w:rFonts w:cs="Times New Roman"/>
                <w:color w:val="FFFFFF"/>
                <w:lang w:val="en-AU"/>
              </w:rPr>
              <w:t>Document name</w:t>
            </w:r>
          </w:p>
        </w:tc>
      </w:tr>
      <w:tr w:rsidR="00E43A6C" w:rsidRPr="00E43A6C" w14:paraId="05671E77" w14:textId="77777777" w:rsidTr="00D80A5A">
        <w:trPr>
          <w:cnfStyle w:val="000000100000" w:firstRow="0" w:lastRow="0" w:firstColumn="0" w:lastColumn="0" w:oddVBand="0" w:evenVBand="0" w:oddHBand="1" w:evenHBand="0" w:firstRowFirstColumn="0" w:firstRowLastColumn="0" w:lastRowFirstColumn="0" w:lastRowLastColumn="0"/>
        </w:trPr>
        <w:tc>
          <w:tcPr>
            <w:tcW w:w="4814" w:type="dxa"/>
            <w:tcBorders>
              <w:top w:val="single" w:sz="4" w:space="0" w:color="D86DCB"/>
              <w:left w:val="single" w:sz="4" w:space="0" w:color="D86DCB"/>
              <w:bottom w:val="single" w:sz="4" w:space="0" w:color="D86DCB"/>
              <w:right w:val="nil"/>
            </w:tcBorders>
            <w:shd w:val="clear" w:color="auto" w:fill="C1E4F5"/>
            <w:hideMark/>
          </w:tcPr>
          <w:p w14:paraId="3B71B1B3"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 xml:space="preserve">1. Tuvalu Education Sector Plan IV </w:t>
            </w:r>
          </w:p>
        </w:tc>
        <w:tc>
          <w:tcPr>
            <w:tcW w:w="4814" w:type="dxa"/>
            <w:tcBorders>
              <w:top w:val="single" w:sz="4" w:space="0" w:color="D86DCB"/>
              <w:left w:val="nil"/>
              <w:bottom w:val="single" w:sz="4" w:space="0" w:color="D86DCB"/>
              <w:right w:val="single" w:sz="4" w:space="0" w:color="D86DCB"/>
            </w:tcBorders>
            <w:shd w:val="clear" w:color="auto" w:fill="C1E4F5"/>
            <w:hideMark/>
          </w:tcPr>
          <w:p w14:paraId="13BAEEC8"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TESP IV for wider review</w:t>
            </w:r>
          </w:p>
        </w:tc>
      </w:tr>
      <w:tr w:rsidR="00E43A6C" w:rsidRPr="00E43A6C" w14:paraId="1C461C55" w14:textId="77777777" w:rsidTr="00D80A5A">
        <w:tc>
          <w:tcPr>
            <w:tcW w:w="4814" w:type="dxa"/>
            <w:tcBorders>
              <w:top w:val="single" w:sz="4" w:space="0" w:color="D86DCB"/>
              <w:left w:val="single" w:sz="4" w:space="0" w:color="D86DCB"/>
              <w:bottom w:val="single" w:sz="4" w:space="0" w:color="D86DCB"/>
              <w:right w:val="nil"/>
            </w:tcBorders>
            <w:hideMark/>
          </w:tcPr>
          <w:p w14:paraId="60086A5C"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2. TAPQE Investment design document</w:t>
            </w:r>
          </w:p>
        </w:tc>
        <w:tc>
          <w:tcPr>
            <w:tcW w:w="4814" w:type="dxa"/>
            <w:tcBorders>
              <w:top w:val="single" w:sz="4" w:space="0" w:color="D86DCB"/>
              <w:left w:val="nil"/>
              <w:bottom w:val="single" w:sz="4" w:space="0" w:color="D86DCB"/>
              <w:right w:val="single" w:sz="4" w:space="0" w:color="D86DCB"/>
            </w:tcBorders>
            <w:hideMark/>
          </w:tcPr>
          <w:p w14:paraId="3DE52EED"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TAPQE IDD working draft June 2022 - p13 updates</w:t>
            </w:r>
          </w:p>
        </w:tc>
      </w:tr>
      <w:tr w:rsidR="00E43A6C" w:rsidRPr="00E43A6C" w14:paraId="435235FF" w14:textId="77777777" w:rsidTr="00D80A5A">
        <w:trPr>
          <w:cnfStyle w:val="000000100000" w:firstRow="0" w:lastRow="0" w:firstColumn="0" w:lastColumn="0" w:oddVBand="0" w:evenVBand="0" w:oddHBand="1" w:evenHBand="0" w:firstRowFirstColumn="0" w:firstRowLastColumn="0" w:lastRowFirstColumn="0" w:lastRowLastColumn="0"/>
        </w:trPr>
        <w:tc>
          <w:tcPr>
            <w:tcW w:w="4814" w:type="dxa"/>
            <w:tcBorders>
              <w:top w:val="single" w:sz="4" w:space="0" w:color="D86DCB"/>
              <w:left w:val="single" w:sz="4" w:space="0" w:color="D86DCB"/>
              <w:bottom w:val="single" w:sz="4" w:space="0" w:color="D86DCB"/>
              <w:right w:val="nil"/>
            </w:tcBorders>
            <w:shd w:val="clear" w:color="auto" w:fill="C1E4F5"/>
            <w:hideMark/>
          </w:tcPr>
          <w:p w14:paraId="48B9A160"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3. Tuvalu Partnership Compact</w:t>
            </w:r>
          </w:p>
        </w:tc>
        <w:tc>
          <w:tcPr>
            <w:tcW w:w="4814" w:type="dxa"/>
            <w:tcBorders>
              <w:top w:val="single" w:sz="4" w:space="0" w:color="D86DCB"/>
              <w:left w:val="nil"/>
              <w:bottom w:val="single" w:sz="4" w:space="0" w:color="D86DCB"/>
              <w:right w:val="single" w:sz="4" w:space="0" w:color="D86DCB"/>
            </w:tcBorders>
            <w:shd w:val="clear" w:color="auto" w:fill="C1E4F5"/>
            <w:hideMark/>
          </w:tcPr>
          <w:p w14:paraId="1470B812"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20231120_Partnership Compact</w:t>
            </w:r>
          </w:p>
        </w:tc>
      </w:tr>
      <w:tr w:rsidR="00E43A6C" w:rsidRPr="00E43A6C" w14:paraId="53A20BFB" w14:textId="77777777" w:rsidTr="00D80A5A">
        <w:tc>
          <w:tcPr>
            <w:tcW w:w="4814" w:type="dxa"/>
            <w:tcBorders>
              <w:top w:val="single" w:sz="4" w:space="0" w:color="D86DCB"/>
              <w:left w:val="single" w:sz="4" w:space="0" w:color="D86DCB"/>
              <w:bottom w:val="single" w:sz="4" w:space="0" w:color="D86DCB"/>
              <w:right w:val="nil"/>
            </w:tcBorders>
            <w:hideMark/>
          </w:tcPr>
          <w:p w14:paraId="43EE5EF7"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 xml:space="preserve">4. Enabling Factor Assessment Tuvalu </w:t>
            </w:r>
          </w:p>
        </w:tc>
        <w:tc>
          <w:tcPr>
            <w:tcW w:w="4814" w:type="dxa"/>
            <w:tcBorders>
              <w:top w:val="single" w:sz="4" w:space="0" w:color="D86DCB"/>
              <w:left w:val="nil"/>
              <w:bottom w:val="single" w:sz="4" w:space="0" w:color="D86DCB"/>
              <w:right w:val="single" w:sz="4" w:space="0" w:color="D86DCB"/>
            </w:tcBorders>
            <w:hideMark/>
          </w:tcPr>
          <w:p w14:paraId="2ABDEFB7"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 xml:space="preserve">a) Enabling Factor Assessment Tuvalu </w:t>
            </w:r>
            <w:proofErr w:type="spellStart"/>
            <w:r w:rsidRPr="00E43A6C">
              <w:rPr>
                <w:rFonts w:cs="Times New Roman"/>
                <w:i/>
                <w:iCs/>
                <w:color w:val="auto"/>
                <w:lang w:val="en-AU"/>
              </w:rPr>
              <w:t>revised_clean</w:t>
            </w:r>
            <w:proofErr w:type="spellEnd"/>
            <w:r w:rsidRPr="00E43A6C">
              <w:rPr>
                <w:rFonts w:cs="Times New Roman"/>
                <w:i/>
                <w:iCs/>
                <w:color w:val="auto"/>
                <w:lang w:val="en-AU"/>
              </w:rPr>
              <w:t xml:space="preserve"> copy</w:t>
            </w:r>
          </w:p>
        </w:tc>
      </w:tr>
      <w:tr w:rsidR="00E43A6C" w:rsidRPr="00E43A6C" w14:paraId="07A6061D" w14:textId="77777777" w:rsidTr="00D80A5A">
        <w:trPr>
          <w:cnfStyle w:val="000000100000" w:firstRow="0" w:lastRow="0" w:firstColumn="0" w:lastColumn="0" w:oddVBand="0" w:evenVBand="0" w:oddHBand="1" w:evenHBand="0" w:firstRowFirstColumn="0" w:firstRowLastColumn="0" w:lastRowFirstColumn="0" w:lastRowLastColumn="0"/>
        </w:trPr>
        <w:tc>
          <w:tcPr>
            <w:tcW w:w="4814" w:type="dxa"/>
            <w:tcBorders>
              <w:top w:val="single" w:sz="4" w:space="0" w:color="D86DCB"/>
              <w:left w:val="single" w:sz="4" w:space="0" w:color="D86DCB"/>
              <w:bottom w:val="single" w:sz="4" w:space="0" w:color="D86DCB"/>
              <w:right w:val="nil"/>
            </w:tcBorders>
            <w:shd w:val="clear" w:color="auto" w:fill="C1E4F5"/>
            <w:hideMark/>
          </w:tcPr>
          <w:p w14:paraId="0AB2877C"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5. TAPQE Workplan 2023</w:t>
            </w:r>
          </w:p>
        </w:tc>
        <w:tc>
          <w:tcPr>
            <w:tcW w:w="4814" w:type="dxa"/>
            <w:tcBorders>
              <w:top w:val="single" w:sz="4" w:space="0" w:color="D86DCB"/>
              <w:left w:val="nil"/>
              <w:bottom w:val="single" w:sz="4" w:space="0" w:color="D86DCB"/>
              <w:right w:val="single" w:sz="4" w:space="0" w:color="D86DCB"/>
            </w:tcBorders>
            <w:shd w:val="clear" w:color="auto" w:fill="C1E4F5"/>
            <w:hideMark/>
          </w:tcPr>
          <w:p w14:paraId="7E0457B7"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 xml:space="preserve">a) </w:t>
            </w:r>
            <w:proofErr w:type="spellStart"/>
            <w:r w:rsidRPr="00E43A6C">
              <w:rPr>
                <w:rFonts w:cs="Times New Roman"/>
                <w:i/>
                <w:iCs/>
                <w:color w:val="auto"/>
                <w:lang w:val="en-AU"/>
              </w:rPr>
              <w:t>TAPQE_draft</w:t>
            </w:r>
            <w:proofErr w:type="spellEnd"/>
            <w:r w:rsidRPr="00E43A6C">
              <w:rPr>
                <w:rFonts w:cs="Times New Roman"/>
                <w:i/>
                <w:iCs/>
                <w:color w:val="auto"/>
                <w:lang w:val="en-AU"/>
              </w:rPr>
              <w:t xml:space="preserve"> AWP for consultation 20230919</w:t>
            </w:r>
          </w:p>
        </w:tc>
      </w:tr>
      <w:tr w:rsidR="00E43A6C" w:rsidRPr="00E43A6C" w14:paraId="52F3598A" w14:textId="77777777" w:rsidTr="00D80A5A">
        <w:tc>
          <w:tcPr>
            <w:tcW w:w="4814" w:type="dxa"/>
            <w:tcBorders>
              <w:top w:val="single" w:sz="4" w:space="0" w:color="D86DCB"/>
              <w:left w:val="single" w:sz="4" w:space="0" w:color="D86DCB"/>
              <w:bottom w:val="single" w:sz="4" w:space="0" w:color="D86DCB"/>
              <w:right w:val="nil"/>
            </w:tcBorders>
            <w:hideMark/>
          </w:tcPr>
          <w:p w14:paraId="0745391E"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 xml:space="preserve">6. TAPQE MERL Plan </w:t>
            </w:r>
          </w:p>
        </w:tc>
        <w:tc>
          <w:tcPr>
            <w:tcW w:w="4814" w:type="dxa"/>
            <w:tcBorders>
              <w:top w:val="single" w:sz="4" w:space="0" w:color="D86DCB"/>
              <w:left w:val="nil"/>
              <w:bottom w:val="single" w:sz="4" w:space="0" w:color="D86DCB"/>
              <w:right w:val="single" w:sz="4" w:space="0" w:color="D86DCB"/>
            </w:tcBorders>
            <w:hideMark/>
          </w:tcPr>
          <w:p w14:paraId="05ACD851"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TAPQE MERL Plan 20240701</w:t>
            </w:r>
          </w:p>
        </w:tc>
      </w:tr>
      <w:tr w:rsidR="00E43A6C" w:rsidRPr="00E43A6C" w14:paraId="3B4BBAE8" w14:textId="77777777" w:rsidTr="00D80A5A">
        <w:trPr>
          <w:cnfStyle w:val="000000100000" w:firstRow="0" w:lastRow="0" w:firstColumn="0" w:lastColumn="0" w:oddVBand="0" w:evenVBand="0" w:oddHBand="1" w:evenHBand="0" w:firstRowFirstColumn="0" w:firstRowLastColumn="0" w:lastRowFirstColumn="0" w:lastRowLastColumn="0"/>
        </w:trPr>
        <w:tc>
          <w:tcPr>
            <w:tcW w:w="4814" w:type="dxa"/>
            <w:tcBorders>
              <w:top w:val="single" w:sz="4" w:space="0" w:color="D86DCB"/>
              <w:left w:val="single" w:sz="4" w:space="0" w:color="D86DCB"/>
              <w:bottom w:val="single" w:sz="4" w:space="0" w:color="D86DCB"/>
              <w:right w:val="nil"/>
            </w:tcBorders>
            <w:shd w:val="clear" w:color="auto" w:fill="C1E4F5"/>
            <w:hideMark/>
          </w:tcPr>
          <w:p w14:paraId="5CBEF339"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7. TAPQE GEDSI Strategy</w:t>
            </w:r>
          </w:p>
        </w:tc>
        <w:tc>
          <w:tcPr>
            <w:tcW w:w="4814" w:type="dxa"/>
            <w:tcBorders>
              <w:top w:val="single" w:sz="4" w:space="0" w:color="D86DCB"/>
              <w:left w:val="nil"/>
              <w:bottom w:val="single" w:sz="4" w:space="0" w:color="D86DCB"/>
              <w:right w:val="single" w:sz="4" w:space="0" w:color="D86DCB"/>
            </w:tcBorders>
            <w:shd w:val="clear" w:color="auto" w:fill="C1E4F5"/>
            <w:hideMark/>
          </w:tcPr>
          <w:p w14:paraId="2485C7B9"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Attachment 3 TAPQE GEDSI Strategy 20230525.docx</w:t>
            </w:r>
          </w:p>
        </w:tc>
      </w:tr>
      <w:tr w:rsidR="00E43A6C" w:rsidRPr="00E43A6C" w14:paraId="4D3702BD" w14:textId="77777777" w:rsidTr="00D80A5A">
        <w:tc>
          <w:tcPr>
            <w:tcW w:w="4814" w:type="dxa"/>
            <w:tcBorders>
              <w:top w:val="single" w:sz="4" w:space="0" w:color="D86DCB"/>
              <w:left w:val="single" w:sz="4" w:space="0" w:color="D86DCB"/>
              <w:bottom w:val="single" w:sz="4" w:space="0" w:color="D86DCB"/>
              <w:right w:val="nil"/>
            </w:tcBorders>
            <w:hideMark/>
          </w:tcPr>
          <w:p w14:paraId="634E20AF"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8. TAPQE Annual Report 2023</w:t>
            </w:r>
          </w:p>
        </w:tc>
        <w:tc>
          <w:tcPr>
            <w:tcW w:w="4814" w:type="dxa"/>
            <w:tcBorders>
              <w:top w:val="single" w:sz="4" w:space="0" w:color="D86DCB"/>
              <w:left w:val="nil"/>
              <w:bottom w:val="single" w:sz="4" w:space="0" w:color="D86DCB"/>
              <w:right w:val="single" w:sz="4" w:space="0" w:color="D86DCB"/>
            </w:tcBorders>
            <w:hideMark/>
          </w:tcPr>
          <w:p w14:paraId="4748C193"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a) TAPQE Annual Report 2023_20240215</w:t>
            </w:r>
          </w:p>
        </w:tc>
      </w:tr>
      <w:tr w:rsidR="00E43A6C" w:rsidRPr="00E43A6C" w14:paraId="3BD74591" w14:textId="77777777" w:rsidTr="00D80A5A">
        <w:trPr>
          <w:cnfStyle w:val="000000100000" w:firstRow="0" w:lastRow="0" w:firstColumn="0" w:lastColumn="0" w:oddVBand="0" w:evenVBand="0" w:oddHBand="1" w:evenHBand="0" w:firstRowFirstColumn="0" w:firstRowLastColumn="0" w:lastRowFirstColumn="0" w:lastRowLastColumn="0"/>
        </w:trPr>
        <w:tc>
          <w:tcPr>
            <w:tcW w:w="4814" w:type="dxa"/>
            <w:tcBorders>
              <w:top w:val="single" w:sz="4" w:space="0" w:color="D86DCB"/>
              <w:left w:val="single" w:sz="4" w:space="0" w:color="D86DCB"/>
              <w:bottom w:val="single" w:sz="4" w:space="0" w:color="D86DCB"/>
              <w:right w:val="nil"/>
            </w:tcBorders>
            <w:shd w:val="clear" w:color="auto" w:fill="C1E4F5"/>
            <w:hideMark/>
          </w:tcPr>
          <w:p w14:paraId="5270DA6F"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color w:val="auto"/>
                <w:lang w:val="en-AU"/>
              </w:rPr>
              <w:t xml:space="preserve">9. TAPQE Steering Group – </w:t>
            </w:r>
            <w:proofErr w:type="spellStart"/>
            <w:r w:rsidRPr="00E43A6C">
              <w:rPr>
                <w:rFonts w:cs="Times New Roman"/>
                <w:color w:val="auto"/>
                <w:lang w:val="en-AU"/>
              </w:rPr>
              <w:t>ToRs</w:t>
            </w:r>
            <w:proofErr w:type="spellEnd"/>
            <w:r w:rsidRPr="00E43A6C">
              <w:rPr>
                <w:rFonts w:cs="Times New Roman"/>
                <w:color w:val="auto"/>
                <w:lang w:val="en-AU"/>
              </w:rPr>
              <w:t xml:space="preserve"> and Minutes of Meetings</w:t>
            </w:r>
          </w:p>
        </w:tc>
        <w:tc>
          <w:tcPr>
            <w:tcW w:w="4814" w:type="dxa"/>
            <w:tcBorders>
              <w:top w:val="single" w:sz="4" w:space="0" w:color="D86DCB"/>
              <w:left w:val="nil"/>
              <w:bottom w:val="single" w:sz="4" w:space="0" w:color="D86DCB"/>
              <w:right w:val="single" w:sz="4" w:space="0" w:color="D86DCB"/>
            </w:tcBorders>
            <w:shd w:val="clear" w:color="auto" w:fill="C1E4F5"/>
            <w:hideMark/>
          </w:tcPr>
          <w:p w14:paraId="4E78C2FE"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 xml:space="preserve">a) </w:t>
            </w:r>
            <w:proofErr w:type="spellStart"/>
            <w:r w:rsidRPr="00E43A6C">
              <w:rPr>
                <w:rFonts w:cs="Times New Roman"/>
                <w:i/>
                <w:iCs/>
                <w:color w:val="auto"/>
                <w:lang w:val="en-AU"/>
              </w:rPr>
              <w:t>TAPQE_TOR_Steering</w:t>
            </w:r>
            <w:proofErr w:type="spellEnd"/>
            <w:r w:rsidRPr="00E43A6C">
              <w:rPr>
                <w:rFonts w:cs="Times New Roman"/>
                <w:i/>
                <w:iCs/>
                <w:color w:val="auto"/>
                <w:lang w:val="en-AU"/>
              </w:rPr>
              <w:t xml:space="preserve"> Group_001_20221207</w:t>
            </w:r>
          </w:p>
          <w:p w14:paraId="09DD6EFB"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 xml:space="preserve">b) </w:t>
            </w:r>
            <w:proofErr w:type="spellStart"/>
            <w:r w:rsidRPr="00E43A6C">
              <w:rPr>
                <w:rFonts w:cs="Times New Roman"/>
                <w:i/>
                <w:iCs/>
                <w:color w:val="auto"/>
                <w:lang w:val="en-AU"/>
              </w:rPr>
              <w:t>TAPQE_Agenda_Steering</w:t>
            </w:r>
            <w:proofErr w:type="spellEnd"/>
            <w:r w:rsidRPr="00E43A6C">
              <w:rPr>
                <w:rFonts w:cs="Times New Roman"/>
                <w:i/>
                <w:iCs/>
                <w:color w:val="auto"/>
                <w:lang w:val="en-AU"/>
              </w:rPr>
              <w:t xml:space="preserve"> Group 002 September 2023</w:t>
            </w:r>
          </w:p>
          <w:p w14:paraId="0EF74B75"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c) TAPQE Steering Committee Meeting March 2024 (FINAL)</w:t>
            </w:r>
          </w:p>
          <w:p w14:paraId="40168ACA" w14:textId="77777777" w:rsidR="00E43A6C" w:rsidRPr="00E43A6C" w:rsidRDefault="00E43A6C" w:rsidP="00E43A6C">
            <w:pPr>
              <w:suppressAutoHyphens w:val="0"/>
              <w:autoSpaceDE/>
              <w:autoSpaceDN/>
              <w:adjustRightInd/>
              <w:spacing w:after="120" w:line="240" w:lineRule="auto"/>
              <w:jc w:val="left"/>
              <w:textAlignment w:val="auto"/>
              <w:rPr>
                <w:rFonts w:cs="Times New Roman"/>
                <w:color w:val="auto"/>
                <w:lang w:val="en-AU"/>
              </w:rPr>
            </w:pPr>
            <w:r w:rsidRPr="00E43A6C">
              <w:rPr>
                <w:rFonts w:cs="Times New Roman"/>
                <w:i/>
                <w:iCs/>
                <w:color w:val="auto"/>
                <w:lang w:val="en-AU"/>
              </w:rPr>
              <w:t>d) draft MINUTES TAPQE Steering Committee Meeting July 2024</w:t>
            </w:r>
          </w:p>
        </w:tc>
      </w:tr>
    </w:tbl>
    <w:p w14:paraId="4C94B1E1" w14:textId="77777777" w:rsidR="00E43A6C" w:rsidRPr="00E43A6C" w:rsidRDefault="00E43A6C" w:rsidP="00E43A6C">
      <w:pPr>
        <w:suppressAutoHyphens w:val="0"/>
        <w:autoSpaceDE/>
        <w:autoSpaceDN/>
        <w:adjustRightInd/>
        <w:jc w:val="left"/>
        <w:textAlignment w:val="auto"/>
        <w:rPr>
          <w:rFonts w:ascii="Aptos" w:eastAsia="Aptos" w:hAnsi="Aptos" w:cs="Times New Roman"/>
          <w:color w:val="auto"/>
          <w:sz w:val="24"/>
          <w:szCs w:val="24"/>
          <w:lang w:val="en-AU"/>
        </w:rPr>
        <w:sectPr w:rsidR="00E43A6C" w:rsidRPr="00E43A6C" w:rsidSect="00BD77DC">
          <w:pgSz w:w="11906" w:h="16838"/>
          <w:pgMar w:top="1134" w:right="1134" w:bottom="1134" w:left="1134" w:header="709" w:footer="709" w:gutter="0"/>
          <w:cols w:space="720"/>
        </w:sectPr>
      </w:pPr>
    </w:p>
    <w:p w14:paraId="7F78D548" w14:textId="77777777" w:rsidR="00E43A6C" w:rsidRPr="00E43A6C" w:rsidRDefault="00E43A6C" w:rsidP="00226301">
      <w:pPr>
        <w:rPr>
          <w:b/>
          <w:bCs/>
          <w:sz w:val="28"/>
          <w:szCs w:val="28"/>
          <w:lang w:val="en-AU"/>
        </w:rPr>
      </w:pPr>
      <w:bookmarkStart w:id="31" w:name="_Toc188559357"/>
      <w:r w:rsidRPr="00E43A6C">
        <w:rPr>
          <w:b/>
          <w:bCs/>
          <w:sz w:val="28"/>
          <w:szCs w:val="28"/>
          <w:lang w:val="en-AU"/>
        </w:rPr>
        <w:lastRenderedPageBreak/>
        <w:t xml:space="preserve">Annex 3 – TAPQE Mid-Term Review Key Questions </w:t>
      </w:r>
      <w:proofErr w:type="gramStart"/>
      <w:r w:rsidRPr="00E43A6C">
        <w:rPr>
          <w:b/>
          <w:bCs/>
          <w:sz w:val="28"/>
          <w:szCs w:val="28"/>
          <w:lang w:val="en-AU"/>
        </w:rPr>
        <w:t>x</w:t>
      </w:r>
      <w:proofErr w:type="gramEnd"/>
      <w:r w:rsidRPr="00E43A6C">
        <w:rPr>
          <w:b/>
          <w:bCs/>
          <w:sz w:val="28"/>
          <w:szCs w:val="28"/>
          <w:lang w:val="en-AU"/>
        </w:rPr>
        <w:t xml:space="preserve"> Sources of Data</w:t>
      </w:r>
      <w:bookmarkEnd w:id="31"/>
    </w:p>
    <w:tbl>
      <w:tblPr>
        <w:tblStyle w:val="GridTable4-Accent11"/>
        <w:tblW w:w="14560" w:type="dxa"/>
        <w:tblInd w:w="0" w:type="dxa"/>
        <w:tblLook w:val="04A0" w:firstRow="1" w:lastRow="0" w:firstColumn="1" w:lastColumn="0" w:noHBand="0" w:noVBand="1"/>
      </w:tblPr>
      <w:tblGrid>
        <w:gridCol w:w="2972"/>
        <w:gridCol w:w="4253"/>
        <w:gridCol w:w="3685"/>
        <w:gridCol w:w="3650"/>
      </w:tblGrid>
      <w:tr w:rsidR="00E43A6C" w:rsidRPr="00E43A6C" w14:paraId="49959BBA" w14:textId="77777777" w:rsidTr="000F48D9">
        <w:trPr>
          <w:cnfStyle w:val="100000000000" w:firstRow="1" w:lastRow="0" w:firstColumn="0" w:lastColumn="0" w:oddVBand="0" w:evenVBand="0" w:oddHBand="0" w:evenHBand="0" w:firstRowFirstColumn="0" w:firstRowLastColumn="0" w:lastRowFirstColumn="0" w:lastRowLastColumn="0"/>
          <w:cantSplit/>
          <w:tblHeader/>
        </w:trPr>
        <w:tc>
          <w:tcPr>
            <w:cnfStyle w:val="001000000000" w:firstRow="0" w:lastRow="0" w:firstColumn="1" w:lastColumn="0" w:oddVBand="0" w:evenVBand="0" w:oddHBand="0" w:evenHBand="0" w:firstRowFirstColumn="0" w:firstRowLastColumn="0" w:lastRowFirstColumn="0" w:lastRowLastColumn="0"/>
            <w:tcW w:w="2972" w:type="dxa"/>
          </w:tcPr>
          <w:p w14:paraId="755EEC06" w14:textId="5C409912" w:rsidR="00E43A6C" w:rsidRPr="00E43A6C" w:rsidRDefault="001263EA" w:rsidP="00E43A6C">
            <w:pPr>
              <w:suppressAutoHyphens w:val="0"/>
              <w:autoSpaceDE/>
              <w:autoSpaceDN/>
              <w:adjustRightInd/>
              <w:spacing w:line="240" w:lineRule="auto"/>
              <w:jc w:val="center"/>
              <w:textAlignment w:val="auto"/>
              <w:rPr>
                <w:rFonts w:cs="Times New Roman"/>
                <w:color w:val="FFFFFF"/>
                <w:sz w:val="20"/>
                <w:szCs w:val="20"/>
                <w:lang w:val="en-AU"/>
              </w:rPr>
            </w:pPr>
            <w:r w:rsidRPr="00E43A6C">
              <w:rPr>
                <w:rFonts w:cs="Times New Roman"/>
                <w:color w:val="FFFFFF"/>
                <w:sz w:val="20"/>
                <w:szCs w:val="20"/>
                <w:lang w:val="en-AU"/>
              </w:rPr>
              <w:t>Evaluation criteria</w:t>
            </w:r>
          </w:p>
        </w:tc>
        <w:tc>
          <w:tcPr>
            <w:tcW w:w="4253" w:type="dxa"/>
          </w:tcPr>
          <w:p w14:paraId="5591A048" w14:textId="4EC270D4" w:rsidR="00E43A6C" w:rsidRPr="00E43A6C" w:rsidRDefault="001263EA" w:rsidP="00E43A6C">
            <w:pPr>
              <w:suppressAutoHyphens w:val="0"/>
              <w:autoSpaceDE/>
              <w:autoSpaceDN/>
              <w:adjustRightInd/>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cs="Times New Roman"/>
                <w:color w:val="FFFFFF"/>
                <w:sz w:val="20"/>
                <w:szCs w:val="20"/>
                <w:lang w:val="en-AU"/>
              </w:rPr>
            </w:pPr>
            <w:r w:rsidRPr="00E43A6C">
              <w:rPr>
                <w:rFonts w:cs="Times New Roman"/>
                <w:color w:val="FFFFFF"/>
                <w:sz w:val="20"/>
                <w:szCs w:val="20"/>
                <w:lang w:val="en-AU"/>
              </w:rPr>
              <w:t>Evaluation questions</w:t>
            </w:r>
          </w:p>
        </w:tc>
        <w:tc>
          <w:tcPr>
            <w:tcW w:w="3685" w:type="dxa"/>
            <w:hideMark/>
          </w:tcPr>
          <w:p w14:paraId="4EBEDEF8" w14:textId="451DD5BF" w:rsidR="00E43A6C" w:rsidRPr="00E43A6C" w:rsidRDefault="001263EA" w:rsidP="00E43A6C">
            <w:pPr>
              <w:suppressAutoHyphens w:val="0"/>
              <w:autoSpaceDE/>
              <w:autoSpaceDN/>
              <w:adjustRightInd/>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cs="Times New Roman"/>
                <w:color w:val="FFFFFF"/>
                <w:sz w:val="20"/>
                <w:szCs w:val="20"/>
                <w:lang w:val="en-AU"/>
              </w:rPr>
            </w:pPr>
            <w:r w:rsidRPr="00E43A6C">
              <w:rPr>
                <w:rFonts w:cs="Times New Roman"/>
                <w:color w:val="FFFFFF"/>
                <w:sz w:val="20"/>
                <w:szCs w:val="20"/>
                <w:lang w:val="en-AU"/>
              </w:rPr>
              <w:t xml:space="preserve">Sources of data </w:t>
            </w:r>
            <w:r>
              <w:rPr>
                <w:rFonts w:cs="Times New Roman"/>
                <w:color w:val="FFFFFF"/>
                <w:sz w:val="20"/>
                <w:szCs w:val="20"/>
                <w:lang w:val="en-AU"/>
              </w:rPr>
              <w:t xml:space="preserve">A: </w:t>
            </w:r>
            <w:r w:rsidR="00E43A6C" w:rsidRPr="00E43A6C">
              <w:rPr>
                <w:rFonts w:cs="Times New Roman"/>
                <w:color w:val="FFFFFF"/>
                <w:sz w:val="20"/>
                <w:szCs w:val="20"/>
                <w:lang w:val="en-AU"/>
              </w:rPr>
              <w:t>Documents and data sets (in addition to initial background set)</w:t>
            </w:r>
          </w:p>
        </w:tc>
        <w:tc>
          <w:tcPr>
            <w:tcW w:w="3650" w:type="dxa"/>
            <w:hideMark/>
          </w:tcPr>
          <w:p w14:paraId="0B7CB0C1" w14:textId="7ED2FB6B" w:rsidR="00E43A6C" w:rsidRPr="00E43A6C" w:rsidRDefault="001263EA" w:rsidP="00E43A6C">
            <w:pPr>
              <w:suppressAutoHyphens w:val="0"/>
              <w:autoSpaceDE/>
              <w:autoSpaceDN/>
              <w:adjustRightInd/>
              <w:spacing w:line="240" w:lineRule="auto"/>
              <w:jc w:val="center"/>
              <w:textAlignment w:val="auto"/>
              <w:cnfStyle w:val="100000000000" w:firstRow="1" w:lastRow="0" w:firstColumn="0" w:lastColumn="0" w:oddVBand="0" w:evenVBand="0" w:oddHBand="0" w:evenHBand="0" w:firstRowFirstColumn="0" w:firstRowLastColumn="0" w:lastRowFirstColumn="0" w:lastRowLastColumn="0"/>
              <w:rPr>
                <w:rFonts w:cs="Times New Roman"/>
                <w:color w:val="FFFFFF"/>
                <w:sz w:val="20"/>
                <w:szCs w:val="20"/>
                <w:lang w:val="en-AU"/>
              </w:rPr>
            </w:pPr>
            <w:r w:rsidRPr="00E43A6C">
              <w:rPr>
                <w:rFonts w:cs="Times New Roman"/>
                <w:color w:val="FFFFFF"/>
                <w:sz w:val="20"/>
                <w:szCs w:val="20"/>
                <w:lang w:val="en-AU"/>
              </w:rPr>
              <w:t xml:space="preserve">Sources of data </w:t>
            </w:r>
            <w:r>
              <w:rPr>
                <w:rFonts w:cs="Times New Roman"/>
                <w:color w:val="FFFFFF"/>
                <w:sz w:val="20"/>
                <w:szCs w:val="20"/>
                <w:lang w:val="en-AU"/>
              </w:rPr>
              <w:t xml:space="preserve">B: </w:t>
            </w:r>
            <w:r w:rsidR="00E43A6C" w:rsidRPr="00E43A6C">
              <w:rPr>
                <w:rFonts w:cs="Times New Roman"/>
                <w:color w:val="FFFFFF"/>
                <w:sz w:val="20"/>
                <w:szCs w:val="20"/>
                <w:lang w:val="en-AU"/>
              </w:rPr>
              <w:t>Interviews (in-country or remotely)</w:t>
            </w:r>
          </w:p>
        </w:tc>
      </w:tr>
      <w:tr w:rsidR="00E43A6C" w:rsidRPr="00E43A6C" w14:paraId="4056767E"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hideMark/>
          </w:tcPr>
          <w:p w14:paraId="1769E72A"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647CC7B8" w14:textId="3EB70F73" w:rsidR="00E43A6C" w:rsidRPr="00E43A6C" w:rsidRDefault="008A117B" w:rsidP="008A117B">
            <w:pPr>
              <w:tabs>
                <w:tab w:val="left" w:pos="306"/>
              </w:tabs>
              <w:suppressAutoHyphens w:val="0"/>
              <w:autoSpaceDE/>
              <w:autoSpaceDN/>
              <w:adjustRightInd/>
              <w:spacing w:line="240" w:lineRule="auto"/>
              <w:ind w:left="306" w:hanging="306"/>
              <w:jc w:val="left"/>
              <w:textAlignment w:val="auto"/>
              <w:rPr>
                <w:rFonts w:cs="Times New Roman"/>
                <w:color w:val="auto"/>
                <w:sz w:val="20"/>
                <w:szCs w:val="20"/>
                <w:lang w:val="en-AU"/>
              </w:rPr>
            </w:pPr>
            <w:r w:rsidRPr="00E43A6C">
              <w:rPr>
                <w:rFonts w:cs="Times New Roman"/>
                <w:color w:val="auto"/>
                <w:sz w:val="20"/>
                <w:szCs w:val="20"/>
                <w:lang w:val="en-AU"/>
              </w:rPr>
              <w:t xml:space="preserve">1. </w:t>
            </w:r>
            <w:r>
              <w:rPr>
                <w:rFonts w:cs="Times New Roman"/>
                <w:color w:val="auto"/>
                <w:sz w:val="20"/>
                <w:szCs w:val="20"/>
                <w:lang w:val="en-AU"/>
              </w:rPr>
              <w:tab/>
            </w:r>
            <w:r w:rsidRPr="00E43A6C">
              <w:rPr>
                <w:rFonts w:cs="Times New Roman"/>
                <w:color w:val="auto"/>
                <w:sz w:val="20"/>
                <w:szCs w:val="20"/>
                <w:lang w:val="en-AU"/>
              </w:rPr>
              <w:t>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hideMark/>
          </w:tcPr>
          <w:p w14:paraId="2206C266"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Are the </w:t>
            </w:r>
            <w:r w:rsidRPr="00E43A6C">
              <w:rPr>
                <w:rFonts w:cs="Times New Roman"/>
                <w:b/>
                <w:bCs/>
                <w:color w:val="auto"/>
                <w:sz w:val="20"/>
                <w:szCs w:val="20"/>
                <w:lang w:val="en-AU"/>
              </w:rPr>
              <w:t>key assumptions underpinning the program logic and theory of change</w:t>
            </w:r>
            <w:r w:rsidRPr="00E43A6C">
              <w:rPr>
                <w:rFonts w:cs="Times New Roman"/>
                <w:color w:val="auto"/>
                <w:sz w:val="20"/>
                <w:szCs w:val="20"/>
                <w:lang w:val="en-AU"/>
              </w:rPr>
              <w:t xml:space="preserve"> still relevant? Do other factors need to be considered to reflect the current Tuvalu education context and Australia’s current International Development Policy?</w:t>
            </w:r>
          </w:p>
        </w:tc>
        <w:tc>
          <w:tcPr>
            <w:tcW w:w="3685" w:type="dxa"/>
            <w:tcBorders>
              <w:top w:val="single" w:sz="4" w:space="0" w:color="45B0E1"/>
              <w:left w:val="single" w:sz="4" w:space="0" w:color="45B0E1"/>
              <w:bottom w:val="single" w:sz="4" w:space="0" w:color="45B0E1"/>
              <w:right w:val="single" w:sz="4" w:space="0" w:color="45B0E1"/>
            </w:tcBorders>
            <w:hideMark/>
          </w:tcPr>
          <w:p w14:paraId="785C93C0"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(current) TESP IV documents</w:t>
            </w:r>
          </w:p>
          <w:p w14:paraId="129D1EA5"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TuLEP MTR Report</w:t>
            </w:r>
          </w:p>
          <w:p w14:paraId="30AD5704"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tc>
        <w:tc>
          <w:tcPr>
            <w:tcW w:w="3650" w:type="dxa"/>
            <w:tcBorders>
              <w:top w:val="single" w:sz="4" w:space="0" w:color="45B0E1"/>
              <w:left w:val="single" w:sz="4" w:space="0" w:color="45B0E1"/>
              <w:bottom w:val="single" w:sz="4" w:space="0" w:color="45B0E1"/>
              <w:right w:val="single" w:sz="4" w:space="0" w:color="45B0E1"/>
            </w:tcBorders>
            <w:hideMark/>
          </w:tcPr>
          <w:p w14:paraId="04EFFB57"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QTAG members</w:t>
            </w:r>
          </w:p>
          <w:p w14:paraId="0589E5A4"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163B7E6D"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MEHRD Strategic Adviser </w:t>
            </w:r>
          </w:p>
          <w:p w14:paraId="036DD7C5"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TuLEP Team</w:t>
            </w:r>
          </w:p>
          <w:p w14:paraId="27FB4E93"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UNICEF team</w:t>
            </w:r>
          </w:p>
          <w:p w14:paraId="6F02251B"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tc>
      </w:tr>
      <w:tr w:rsidR="00E43A6C" w:rsidRPr="00E43A6C" w14:paraId="0A2B5601"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tcPr>
          <w:p w14:paraId="1E1C312C"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500C9903" w14:textId="3A972ECA"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shd w:val="clear" w:color="auto" w:fill="C1E4F5"/>
            <w:hideMark/>
          </w:tcPr>
          <w:p w14:paraId="0E56EEBF"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To what extent </w:t>
            </w:r>
            <w:r w:rsidRPr="00E43A6C">
              <w:rPr>
                <w:rFonts w:cs="Times New Roman"/>
                <w:b/>
                <w:bCs/>
                <w:color w:val="auto"/>
                <w:sz w:val="20"/>
                <w:szCs w:val="20"/>
                <w:lang w:val="en-AU"/>
              </w:rPr>
              <w:t>does the Program align</w:t>
            </w:r>
            <w:r w:rsidRPr="00E43A6C">
              <w:rPr>
                <w:rFonts w:cs="Times New Roman"/>
                <w:color w:val="auto"/>
                <w:sz w:val="20"/>
                <w:szCs w:val="20"/>
                <w:lang w:val="en-AU"/>
              </w:rPr>
              <w:t xml:space="preserve"> with TESP IV priorities, MEHRD priorities and with other partner programs? </w:t>
            </w:r>
          </w:p>
        </w:tc>
        <w:tc>
          <w:tcPr>
            <w:tcW w:w="3685" w:type="dxa"/>
            <w:tcBorders>
              <w:top w:val="single" w:sz="4" w:space="0" w:color="45B0E1"/>
              <w:left w:val="single" w:sz="4" w:space="0" w:color="45B0E1"/>
              <w:bottom w:val="single" w:sz="4" w:space="0" w:color="45B0E1"/>
              <w:right w:val="single" w:sz="4" w:space="0" w:color="45B0E1"/>
            </w:tcBorders>
            <w:shd w:val="clear" w:color="auto" w:fill="C1E4F5"/>
            <w:hideMark/>
          </w:tcPr>
          <w:p w14:paraId="3811C30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1C73620C"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118527ED"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3C59601A"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Strategic Adviser</w:t>
            </w:r>
          </w:p>
          <w:p w14:paraId="4BC89757"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6962D2E6"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TuLEP Team</w:t>
            </w:r>
          </w:p>
          <w:p w14:paraId="0F41A9C9"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UNICEF team</w:t>
            </w:r>
          </w:p>
          <w:p w14:paraId="651B2A88"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EQAP (SPC) personnel</w:t>
            </w:r>
          </w:p>
          <w:p w14:paraId="5E3B8B2E"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PacREF personnel</w:t>
            </w:r>
          </w:p>
          <w:p w14:paraId="2D575381"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Church school authorities</w:t>
            </w:r>
          </w:p>
        </w:tc>
      </w:tr>
      <w:tr w:rsidR="00E43A6C" w:rsidRPr="00E43A6C" w14:paraId="5670B1B0"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2AA0125C"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3B8F2B8C" w14:textId="59ED2F0F"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hideMark/>
          </w:tcPr>
          <w:p w14:paraId="7E8662C3"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How well is the Program aligned with the </w:t>
            </w:r>
            <w:r w:rsidRPr="00E43A6C">
              <w:rPr>
                <w:rFonts w:cs="Times New Roman"/>
                <w:b/>
                <w:bCs/>
                <w:color w:val="auto"/>
                <w:sz w:val="20"/>
                <w:szCs w:val="20"/>
                <w:lang w:val="en-AU"/>
              </w:rPr>
              <w:t>needs of the target beneficiaries</w:t>
            </w:r>
            <w:r w:rsidRPr="00E43A6C">
              <w:rPr>
                <w:rFonts w:cs="Times New Roman"/>
                <w:color w:val="auto"/>
                <w:sz w:val="20"/>
                <w:szCs w:val="20"/>
                <w:lang w:val="en-AU"/>
              </w:rPr>
              <w:t>?</w:t>
            </w:r>
          </w:p>
        </w:tc>
        <w:tc>
          <w:tcPr>
            <w:tcW w:w="3685" w:type="dxa"/>
            <w:tcBorders>
              <w:top w:val="single" w:sz="4" w:space="0" w:color="45B0E1"/>
              <w:left w:val="single" w:sz="4" w:space="0" w:color="45B0E1"/>
              <w:bottom w:val="single" w:sz="4" w:space="0" w:color="45B0E1"/>
              <w:right w:val="single" w:sz="4" w:space="0" w:color="45B0E1"/>
            </w:tcBorders>
            <w:hideMark/>
          </w:tcPr>
          <w:p w14:paraId="0487C8E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68341020"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tc>
        <w:tc>
          <w:tcPr>
            <w:tcW w:w="3650" w:type="dxa"/>
            <w:tcBorders>
              <w:top w:val="single" w:sz="4" w:space="0" w:color="45B0E1"/>
              <w:left w:val="single" w:sz="4" w:space="0" w:color="45B0E1"/>
              <w:bottom w:val="single" w:sz="4" w:space="0" w:color="45B0E1"/>
              <w:right w:val="single" w:sz="4" w:space="0" w:color="45B0E1"/>
            </w:tcBorders>
            <w:hideMark/>
          </w:tcPr>
          <w:p w14:paraId="305B8846"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Schools (principal + teachers + parents)</w:t>
            </w:r>
          </w:p>
          <w:p w14:paraId="4287A771"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p w14:paraId="692F74DD"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5CA321D1"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TuLEP Team</w:t>
            </w:r>
          </w:p>
          <w:p w14:paraId="79553F77"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UNICEF team</w:t>
            </w:r>
          </w:p>
        </w:tc>
      </w:tr>
      <w:tr w:rsidR="00E43A6C" w:rsidRPr="00E43A6C" w14:paraId="0D2C90CC"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tcPr>
          <w:p w14:paraId="7A6A4C49"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3C5D97B6" w14:textId="5AFD9603"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shd w:val="clear" w:color="auto" w:fill="C1E4F5"/>
            <w:hideMark/>
          </w:tcPr>
          <w:p w14:paraId="6D91F4BC"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To what extent are </w:t>
            </w:r>
            <w:r w:rsidRPr="00E43A6C">
              <w:rPr>
                <w:rFonts w:cs="Times New Roman"/>
                <w:b/>
                <w:bCs/>
                <w:color w:val="auto"/>
                <w:sz w:val="20"/>
                <w:szCs w:val="20"/>
                <w:lang w:val="en-AU"/>
              </w:rPr>
              <w:t>localisation aspirations</w:t>
            </w:r>
            <w:r w:rsidRPr="00E43A6C">
              <w:rPr>
                <w:rFonts w:cs="Times New Roman"/>
                <w:color w:val="auto"/>
                <w:sz w:val="20"/>
                <w:szCs w:val="20"/>
                <w:lang w:val="en-AU"/>
              </w:rPr>
              <w:t xml:space="preserve"> being realised?</w:t>
            </w:r>
          </w:p>
        </w:tc>
        <w:tc>
          <w:tcPr>
            <w:tcW w:w="3685" w:type="dxa"/>
            <w:tcBorders>
              <w:top w:val="single" w:sz="4" w:space="0" w:color="45B0E1"/>
              <w:left w:val="single" w:sz="4" w:space="0" w:color="45B0E1"/>
              <w:bottom w:val="single" w:sz="4" w:space="0" w:color="45B0E1"/>
              <w:right w:val="single" w:sz="4" w:space="0" w:color="45B0E1"/>
            </w:tcBorders>
            <w:shd w:val="clear" w:color="auto" w:fill="C1E4F5"/>
            <w:hideMark/>
          </w:tcPr>
          <w:p w14:paraId="1366C56A"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68B0236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484A696D"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Tetra Tech’s Localisation Strategy</w:t>
            </w:r>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69BB59FB"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5377D4CA"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Strategic Adviser</w:t>
            </w:r>
          </w:p>
          <w:p w14:paraId="372B24B9"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tc>
      </w:tr>
      <w:tr w:rsidR="00E43A6C" w:rsidRPr="00E43A6C" w14:paraId="289BBB9F"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2B0779B7"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lastRenderedPageBreak/>
              <w:t>Relevance</w:t>
            </w:r>
          </w:p>
          <w:p w14:paraId="01BB8F72" w14:textId="58D53121"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hideMark/>
          </w:tcPr>
          <w:p w14:paraId="137AB7C6"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How likely is it that Program benefits can be </w:t>
            </w:r>
            <w:r w:rsidRPr="00E43A6C">
              <w:rPr>
                <w:rFonts w:cs="Times New Roman"/>
                <w:b/>
                <w:bCs/>
                <w:color w:val="auto"/>
                <w:sz w:val="20"/>
                <w:szCs w:val="20"/>
                <w:lang w:val="en-AU"/>
              </w:rPr>
              <w:t>sustained</w:t>
            </w:r>
            <w:r w:rsidRPr="00E43A6C">
              <w:rPr>
                <w:rFonts w:cs="Times New Roman"/>
                <w:color w:val="auto"/>
                <w:sz w:val="20"/>
                <w:szCs w:val="20"/>
                <w:lang w:val="en-AU"/>
              </w:rPr>
              <w:t xml:space="preserve">?  </w:t>
            </w:r>
          </w:p>
        </w:tc>
        <w:tc>
          <w:tcPr>
            <w:tcW w:w="3685" w:type="dxa"/>
            <w:tcBorders>
              <w:top w:val="single" w:sz="4" w:space="0" w:color="45B0E1"/>
              <w:left w:val="single" w:sz="4" w:space="0" w:color="45B0E1"/>
              <w:bottom w:val="single" w:sz="4" w:space="0" w:color="45B0E1"/>
              <w:right w:val="single" w:sz="4" w:space="0" w:color="45B0E1"/>
            </w:tcBorders>
            <w:hideMark/>
          </w:tcPr>
          <w:p w14:paraId="65E8D29D"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TAPQE Sustainability plan </w:t>
            </w:r>
          </w:p>
          <w:p w14:paraId="2FE4BDE8"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tc>
        <w:tc>
          <w:tcPr>
            <w:tcW w:w="3650" w:type="dxa"/>
            <w:tcBorders>
              <w:top w:val="single" w:sz="4" w:space="0" w:color="45B0E1"/>
              <w:left w:val="single" w:sz="4" w:space="0" w:color="45B0E1"/>
              <w:bottom w:val="single" w:sz="4" w:space="0" w:color="45B0E1"/>
              <w:right w:val="single" w:sz="4" w:space="0" w:color="45B0E1"/>
            </w:tcBorders>
            <w:hideMark/>
          </w:tcPr>
          <w:p w14:paraId="75564432"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098326FB"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Strategic Adviser</w:t>
            </w:r>
          </w:p>
          <w:p w14:paraId="077B258E"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1A5C7F2C"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TuLEP Team</w:t>
            </w:r>
          </w:p>
          <w:p w14:paraId="69877281"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UNICEF team</w:t>
            </w:r>
          </w:p>
          <w:p w14:paraId="0C40AF8F"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AHC personnel</w:t>
            </w:r>
          </w:p>
        </w:tc>
      </w:tr>
      <w:tr w:rsidR="00E43A6C" w:rsidRPr="00E43A6C" w14:paraId="13654D56"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tcPr>
          <w:p w14:paraId="23556D23"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Relevance</w:t>
            </w:r>
          </w:p>
          <w:p w14:paraId="79797EDA" w14:textId="1F48A498"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1. To what extent is the TAPQE Program engaged in appropriate interventions and activities within the context of the Tuvaluan education sector?</w:t>
            </w:r>
          </w:p>
        </w:tc>
        <w:tc>
          <w:tcPr>
            <w:tcW w:w="4253" w:type="dxa"/>
            <w:tcBorders>
              <w:top w:val="single" w:sz="4" w:space="0" w:color="45B0E1"/>
              <w:left w:val="single" w:sz="4" w:space="0" w:color="45B0E1"/>
              <w:bottom w:val="single" w:sz="4" w:space="0" w:color="45B0E1"/>
              <w:right w:val="single" w:sz="4" w:space="0" w:color="45B0E1"/>
            </w:tcBorders>
            <w:shd w:val="clear" w:color="auto" w:fill="C1E4F5"/>
            <w:hideMark/>
          </w:tcPr>
          <w:p w14:paraId="450464F6" w14:textId="77777777" w:rsidR="00E43A6C" w:rsidRPr="00E43A6C" w:rsidRDefault="00E43A6C" w:rsidP="00B32148">
            <w:pPr>
              <w:numPr>
                <w:ilvl w:val="0"/>
                <w:numId w:val="50"/>
              </w:numPr>
              <w:suppressAutoHyphens w:val="0"/>
              <w:autoSpaceDE/>
              <w:autoSpaceDN/>
              <w:adjustRightInd/>
              <w:spacing w:after="160"/>
              <w:ind w:left="227" w:hanging="227"/>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What opportunities are there for the </w:t>
            </w:r>
            <w:r w:rsidRPr="00E43A6C">
              <w:rPr>
                <w:rFonts w:cs="Times New Roman"/>
                <w:b/>
                <w:bCs/>
                <w:color w:val="auto"/>
                <w:sz w:val="20"/>
                <w:szCs w:val="20"/>
                <w:lang w:val="en-AU"/>
              </w:rPr>
              <w:t>mobility pathways</w:t>
            </w:r>
            <w:r w:rsidRPr="00E43A6C">
              <w:rPr>
                <w:rFonts w:cs="Times New Roman"/>
                <w:color w:val="auto"/>
                <w:sz w:val="20"/>
                <w:szCs w:val="20"/>
                <w:lang w:val="en-AU"/>
              </w:rPr>
              <w:t xml:space="preserve"> provided through the Falepili Treaty to contribute to enhancing the Tuvalu education sector and teaching workforce? What role might the Program undertake?</w:t>
            </w:r>
          </w:p>
        </w:tc>
        <w:tc>
          <w:tcPr>
            <w:tcW w:w="3685" w:type="dxa"/>
            <w:tcBorders>
              <w:top w:val="single" w:sz="4" w:space="0" w:color="45B0E1"/>
              <w:left w:val="single" w:sz="4" w:space="0" w:color="45B0E1"/>
              <w:bottom w:val="single" w:sz="4" w:space="0" w:color="45B0E1"/>
              <w:right w:val="single" w:sz="4" w:space="0" w:color="45B0E1"/>
            </w:tcBorders>
            <w:shd w:val="clear" w:color="auto" w:fill="C1E4F5"/>
          </w:tcPr>
          <w:p w14:paraId="54A1FD45" w14:textId="400D416A" w:rsidR="00E43A6C" w:rsidRPr="00E43A6C" w:rsidRDefault="00E4501B" w:rsidP="00826B87">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proofErr w:type="gramStart"/>
            <w:r>
              <w:rPr>
                <w:rFonts w:cs="Times New Roman"/>
                <w:color w:val="auto"/>
                <w:sz w:val="20"/>
                <w:szCs w:val="20"/>
                <w:lang w:val="en-AU"/>
              </w:rPr>
              <w:t>None available</w:t>
            </w:r>
            <w:proofErr w:type="gramEnd"/>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657E19FA"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AHC personnel</w:t>
            </w:r>
          </w:p>
          <w:p w14:paraId="31B78AD3"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695595EB" w14:textId="77777777" w:rsidR="00E43A6C" w:rsidRPr="00E43A6C" w:rsidRDefault="00E43A6C" w:rsidP="00B32148">
            <w:pPr>
              <w:numPr>
                <w:ilvl w:val="0"/>
                <w:numId w:val="51"/>
              </w:numPr>
              <w:suppressAutoHyphens w:val="0"/>
              <w:autoSpaceDE/>
              <w:autoSpaceDN/>
              <w:adjustRightInd/>
              <w:spacing w:after="160"/>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DFAT mobility personnel</w:t>
            </w:r>
          </w:p>
        </w:tc>
      </w:tr>
      <w:tr w:rsidR="00E43A6C" w:rsidRPr="00E43A6C" w14:paraId="1F328D42"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auto"/>
            <w:hideMark/>
          </w:tcPr>
          <w:p w14:paraId="089561A7"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Effectiveness</w:t>
            </w:r>
          </w:p>
          <w:p w14:paraId="3A3693B1" w14:textId="65CFF99D"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4253" w:type="dxa"/>
            <w:tcBorders>
              <w:top w:val="single" w:sz="4" w:space="0" w:color="45B0E1"/>
              <w:left w:val="single" w:sz="4" w:space="0" w:color="45B0E1"/>
              <w:bottom w:val="single" w:sz="4" w:space="0" w:color="45B0E1"/>
              <w:right w:val="single" w:sz="4" w:space="0" w:color="45B0E1"/>
            </w:tcBorders>
            <w:shd w:val="clear" w:color="auto" w:fill="auto"/>
          </w:tcPr>
          <w:p w14:paraId="5ACCD00E"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 xml:space="preserve">To what extent have program activities </w:t>
            </w:r>
            <w:r w:rsidRPr="00E43A6C">
              <w:rPr>
                <w:rFonts w:cs="Times New Roman"/>
                <w:b/>
                <w:bCs/>
                <w:color w:val="auto"/>
                <w:sz w:val="20"/>
                <w:szCs w:val="20"/>
                <w:lang w:val="en-AU"/>
              </w:rPr>
              <w:t>improved numeracy and literacy outcomes</w:t>
            </w:r>
            <w:r w:rsidRPr="00E43A6C">
              <w:rPr>
                <w:rFonts w:cs="Times New Roman"/>
                <w:color w:val="auto"/>
                <w:sz w:val="20"/>
                <w:szCs w:val="20"/>
                <w:lang w:val="en-AU"/>
              </w:rPr>
              <w:t xml:space="preserve"> for all learners?</w:t>
            </w:r>
          </w:p>
          <w:p w14:paraId="7E56925B" w14:textId="77777777" w:rsidR="00E43A6C" w:rsidRPr="00E43A6C" w:rsidRDefault="00E43A6C" w:rsidP="00E43A6C">
            <w:pPr>
              <w:suppressAutoHyphens w:val="0"/>
              <w:autoSpaceDE/>
              <w:autoSpaceDN/>
              <w:adjustRightInd/>
              <w:spacing w:line="240" w:lineRule="auto"/>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p>
        </w:tc>
        <w:tc>
          <w:tcPr>
            <w:tcW w:w="3685" w:type="dxa"/>
            <w:tcBorders>
              <w:top w:val="single" w:sz="4" w:space="0" w:color="45B0E1"/>
              <w:left w:val="single" w:sz="4" w:space="0" w:color="45B0E1"/>
              <w:bottom w:val="single" w:sz="4" w:space="0" w:color="45B0E1"/>
              <w:right w:val="single" w:sz="4" w:space="0" w:color="45B0E1"/>
            </w:tcBorders>
            <w:shd w:val="clear" w:color="auto" w:fill="auto"/>
            <w:hideMark/>
          </w:tcPr>
          <w:p w14:paraId="5A39B52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72E6876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10E67C0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notes</w:t>
            </w:r>
          </w:p>
          <w:p w14:paraId="752FDB59"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p w14:paraId="47FECCE2"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Rubric data and analysis</w:t>
            </w:r>
          </w:p>
          <w:p w14:paraId="1506D52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Tracer studies</w:t>
            </w:r>
          </w:p>
          <w:p w14:paraId="422B9427"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Steering Group Minutes </w:t>
            </w:r>
          </w:p>
        </w:tc>
        <w:tc>
          <w:tcPr>
            <w:tcW w:w="3650" w:type="dxa"/>
            <w:tcBorders>
              <w:top w:val="single" w:sz="4" w:space="0" w:color="45B0E1"/>
              <w:left w:val="single" w:sz="4" w:space="0" w:color="45B0E1"/>
              <w:bottom w:val="single" w:sz="4" w:space="0" w:color="45B0E1"/>
              <w:right w:val="single" w:sz="4" w:space="0" w:color="45B0E1"/>
            </w:tcBorders>
            <w:shd w:val="clear" w:color="auto" w:fill="auto"/>
            <w:hideMark/>
          </w:tcPr>
          <w:p w14:paraId="1CDF8059"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Primary and secondary schools (principal + teachers + parents)</w:t>
            </w:r>
          </w:p>
          <w:p w14:paraId="454BAA8D"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w:t>
            </w:r>
          </w:p>
          <w:p w14:paraId="02DAC35C"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1D8555A0"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tc>
      </w:tr>
      <w:tr w:rsidR="00E43A6C" w:rsidRPr="00E43A6C" w14:paraId="0EFCFE70"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33E3144B"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Effectiveness</w:t>
            </w:r>
          </w:p>
          <w:p w14:paraId="7161D4F2" w14:textId="298E548F"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4253" w:type="dxa"/>
            <w:tcBorders>
              <w:top w:val="single" w:sz="4" w:space="0" w:color="45B0E1"/>
              <w:left w:val="single" w:sz="4" w:space="0" w:color="45B0E1"/>
              <w:bottom w:val="single" w:sz="4" w:space="0" w:color="45B0E1"/>
              <w:right w:val="single" w:sz="4" w:space="0" w:color="45B0E1"/>
            </w:tcBorders>
            <w:hideMark/>
          </w:tcPr>
          <w:p w14:paraId="51333C0D"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 xml:space="preserve">To what extent is the </w:t>
            </w:r>
            <w:r w:rsidRPr="00E43A6C">
              <w:rPr>
                <w:rFonts w:cs="Times New Roman"/>
                <w:b/>
                <w:bCs/>
                <w:color w:val="auto"/>
                <w:sz w:val="20"/>
                <w:szCs w:val="20"/>
                <w:lang w:val="en-AU"/>
              </w:rPr>
              <w:t>relevance and quality of secondary school teaching for pathways</w:t>
            </w:r>
            <w:r w:rsidRPr="00E43A6C">
              <w:rPr>
                <w:rFonts w:cs="Times New Roman"/>
                <w:color w:val="auto"/>
                <w:sz w:val="20"/>
                <w:szCs w:val="20"/>
                <w:lang w:val="en-AU"/>
              </w:rPr>
              <w:t xml:space="preserve"> to employment and further education opportunities being improved for all students?</w:t>
            </w:r>
          </w:p>
        </w:tc>
        <w:tc>
          <w:tcPr>
            <w:tcW w:w="3685" w:type="dxa"/>
            <w:tcBorders>
              <w:top w:val="single" w:sz="4" w:space="0" w:color="45B0E1"/>
              <w:left w:val="single" w:sz="4" w:space="0" w:color="45B0E1"/>
              <w:bottom w:val="single" w:sz="4" w:space="0" w:color="45B0E1"/>
              <w:right w:val="single" w:sz="4" w:space="0" w:color="45B0E1"/>
            </w:tcBorders>
            <w:hideMark/>
          </w:tcPr>
          <w:p w14:paraId="3593AD8B"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7D7579C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1ECD775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notes</w:t>
            </w:r>
          </w:p>
          <w:p w14:paraId="4B676F4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p w14:paraId="5A243B7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Tracer studies</w:t>
            </w:r>
          </w:p>
          <w:p w14:paraId="3B098A0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tc>
        <w:tc>
          <w:tcPr>
            <w:tcW w:w="3650" w:type="dxa"/>
            <w:tcBorders>
              <w:top w:val="single" w:sz="4" w:space="0" w:color="45B0E1"/>
              <w:left w:val="single" w:sz="4" w:space="0" w:color="45B0E1"/>
              <w:bottom w:val="single" w:sz="4" w:space="0" w:color="45B0E1"/>
              <w:right w:val="single" w:sz="4" w:space="0" w:color="45B0E1"/>
            </w:tcBorders>
            <w:hideMark/>
          </w:tcPr>
          <w:p w14:paraId="780069C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Secondary schools (principal + teachers + parents)</w:t>
            </w:r>
          </w:p>
          <w:p w14:paraId="42E61B0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w:t>
            </w:r>
          </w:p>
          <w:p w14:paraId="10A8D15D"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3774982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tc>
      </w:tr>
      <w:tr w:rsidR="00E43A6C" w:rsidRPr="00E43A6C" w14:paraId="0710613F"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auto"/>
          </w:tcPr>
          <w:p w14:paraId="33C3FDC8"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lastRenderedPageBreak/>
              <w:t>Effectiveness</w:t>
            </w:r>
          </w:p>
          <w:p w14:paraId="1AB9B700" w14:textId="00EBBDBF"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4253" w:type="dxa"/>
            <w:tcBorders>
              <w:top w:val="single" w:sz="4" w:space="0" w:color="45B0E1"/>
              <w:left w:val="single" w:sz="4" w:space="0" w:color="45B0E1"/>
              <w:bottom w:val="single" w:sz="4" w:space="0" w:color="45B0E1"/>
              <w:right w:val="single" w:sz="4" w:space="0" w:color="45B0E1"/>
            </w:tcBorders>
            <w:shd w:val="clear" w:color="auto" w:fill="auto"/>
            <w:hideMark/>
          </w:tcPr>
          <w:p w14:paraId="61AE4A33"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w:t>
            </w:r>
            <w:r w:rsidRPr="00E43A6C">
              <w:rPr>
                <w:rFonts w:cs="Times New Roman"/>
                <w:color w:val="auto"/>
                <w:sz w:val="20"/>
                <w:szCs w:val="20"/>
                <w:lang w:val="en-AU"/>
              </w:rPr>
              <w:tab/>
              <w:t xml:space="preserve">To what extent has the program </w:t>
            </w:r>
            <w:r w:rsidRPr="00E43A6C">
              <w:rPr>
                <w:rFonts w:cs="Times New Roman"/>
                <w:b/>
                <w:bCs/>
                <w:color w:val="auto"/>
                <w:sz w:val="20"/>
                <w:szCs w:val="20"/>
                <w:lang w:val="en-AU"/>
              </w:rPr>
              <w:t>strengthened MEHRD personnel and systems</w:t>
            </w:r>
            <w:r w:rsidRPr="00E43A6C">
              <w:rPr>
                <w:rFonts w:cs="Times New Roman"/>
                <w:color w:val="auto"/>
                <w:sz w:val="20"/>
                <w:szCs w:val="20"/>
                <w:lang w:val="en-AU"/>
              </w:rPr>
              <w:t xml:space="preserve"> so that service delivery is more inclusive, evidence-based and efficient? </w:t>
            </w:r>
          </w:p>
        </w:tc>
        <w:tc>
          <w:tcPr>
            <w:tcW w:w="3685" w:type="dxa"/>
            <w:tcBorders>
              <w:top w:val="single" w:sz="4" w:space="0" w:color="45B0E1"/>
              <w:left w:val="single" w:sz="4" w:space="0" w:color="45B0E1"/>
              <w:bottom w:val="single" w:sz="4" w:space="0" w:color="45B0E1"/>
              <w:right w:val="single" w:sz="4" w:space="0" w:color="45B0E1"/>
            </w:tcBorders>
            <w:shd w:val="clear" w:color="auto" w:fill="auto"/>
            <w:hideMark/>
          </w:tcPr>
          <w:p w14:paraId="7661602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10B22836"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1DBD5F1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notes</w:t>
            </w:r>
          </w:p>
          <w:p w14:paraId="04F57CB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p w14:paraId="58BDB139"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tc>
        <w:tc>
          <w:tcPr>
            <w:tcW w:w="3650" w:type="dxa"/>
            <w:tcBorders>
              <w:top w:val="single" w:sz="4" w:space="0" w:color="45B0E1"/>
              <w:left w:val="single" w:sz="4" w:space="0" w:color="45B0E1"/>
              <w:bottom w:val="single" w:sz="4" w:space="0" w:color="45B0E1"/>
              <w:right w:val="single" w:sz="4" w:space="0" w:color="45B0E1"/>
            </w:tcBorders>
            <w:shd w:val="clear" w:color="auto" w:fill="auto"/>
            <w:hideMark/>
          </w:tcPr>
          <w:p w14:paraId="0044BB8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Primary and secondary schools (principal + teachers + parents)</w:t>
            </w:r>
          </w:p>
          <w:p w14:paraId="67DA685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Senior Officers</w:t>
            </w:r>
          </w:p>
          <w:p w14:paraId="40E1534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w:t>
            </w:r>
          </w:p>
          <w:p w14:paraId="1F43CCB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tc>
      </w:tr>
      <w:tr w:rsidR="00E43A6C" w:rsidRPr="00E43A6C" w14:paraId="163BE614"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4AA328F4"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Effectiveness</w:t>
            </w:r>
          </w:p>
          <w:p w14:paraId="1A6F512E" w14:textId="7066E8E3"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4253" w:type="dxa"/>
            <w:tcBorders>
              <w:top w:val="single" w:sz="4" w:space="0" w:color="45B0E1"/>
              <w:left w:val="single" w:sz="4" w:space="0" w:color="45B0E1"/>
              <w:bottom w:val="single" w:sz="4" w:space="0" w:color="45B0E1"/>
              <w:right w:val="single" w:sz="4" w:space="0" w:color="45B0E1"/>
            </w:tcBorders>
            <w:hideMark/>
          </w:tcPr>
          <w:p w14:paraId="3B8A1A64"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d.</w:t>
            </w:r>
            <w:r w:rsidRPr="00E43A6C">
              <w:rPr>
                <w:rFonts w:cs="Times New Roman"/>
                <w:color w:val="auto"/>
                <w:sz w:val="20"/>
                <w:szCs w:val="20"/>
                <w:lang w:val="en-AU"/>
              </w:rPr>
              <w:tab/>
              <w:t xml:space="preserve">To what extent have the Program’s </w:t>
            </w:r>
            <w:r w:rsidRPr="00E43A6C">
              <w:rPr>
                <w:rFonts w:cs="Times New Roman"/>
                <w:b/>
                <w:bCs/>
                <w:color w:val="auto"/>
                <w:sz w:val="20"/>
                <w:szCs w:val="20"/>
                <w:lang w:val="en-AU"/>
              </w:rPr>
              <w:t xml:space="preserve">GEDSI </w:t>
            </w:r>
            <w:r w:rsidRPr="00E43A6C">
              <w:rPr>
                <w:rFonts w:cs="Times New Roman"/>
                <w:color w:val="auto"/>
                <w:sz w:val="20"/>
                <w:szCs w:val="20"/>
                <w:lang w:val="en-AU"/>
              </w:rPr>
              <w:t xml:space="preserve">activities been effective? </w:t>
            </w:r>
          </w:p>
        </w:tc>
        <w:tc>
          <w:tcPr>
            <w:tcW w:w="3685" w:type="dxa"/>
            <w:tcBorders>
              <w:top w:val="single" w:sz="4" w:space="0" w:color="45B0E1"/>
              <w:left w:val="single" w:sz="4" w:space="0" w:color="45B0E1"/>
              <w:bottom w:val="single" w:sz="4" w:space="0" w:color="45B0E1"/>
              <w:right w:val="single" w:sz="4" w:space="0" w:color="45B0E1"/>
            </w:tcBorders>
            <w:hideMark/>
          </w:tcPr>
          <w:p w14:paraId="3C234F8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31AE1E9F"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7FD97EEB"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notes</w:t>
            </w:r>
          </w:p>
          <w:p w14:paraId="55E6F04F"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p w14:paraId="179DF91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tc>
        <w:tc>
          <w:tcPr>
            <w:tcW w:w="3650" w:type="dxa"/>
            <w:tcBorders>
              <w:top w:val="single" w:sz="4" w:space="0" w:color="45B0E1"/>
              <w:left w:val="single" w:sz="4" w:space="0" w:color="45B0E1"/>
              <w:bottom w:val="single" w:sz="4" w:space="0" w:color="45B0E1"/>
              <w:right w:val="single" w:sz="4" w:space="0" w:color="45B0E1"/>
            </w:tcBorders>
            <w:hideMark/>
          </w:tcPr>
          <w:p w14:paraId="226AB56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Primary and secondary schools (principal + teachers + parents)</w:t>
            </w:r>
          </w:p>
          <w:p w14:paraId="72BD675C"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MEHRD Education officers, including GEDSI </w:t>
            </w:r>
          </w:p>
          <w:p w14:paraId="673330CD"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31E4166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tc>
      </w:tr>
      <w:tr w:rsidR="00E43A6C" w:rsidRPr="00E43A6C" w14:paraId="6E57A904"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auto"/>
          </w:tcPr>
          <w:p w14:paraId="18489655"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Effectiveness</w:t>
            </w:r>
          </w:p>
          <w:p w14:paraId="12F64863" w14:textId="33BBFC71"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 xml:space="preserve">2. To what extent is the TAPQE Program on track to achieve its three </w:t>
            </w:r>
            <w:proofErr w:type="gramStart"/>
            <w:r w:rsidRPr="00E43A6C">
              <w:rPr>
                <w:rFonts w:cs="Times New Roman"/>
                <w:color w:val="auto"/>
                <w:sz w:val="20"/>
                <w:szCs w:val="20"/>
                <w:lang w:val="en-AU"/>
              </w:rPr>
              <w:t>end</w:t>
            </w:r>
            <w:proofErr w:type="gramEnd"/>
            <w:r w:rsidRPr="00E43A6C">
              <w:rPr>
                <w:rFonts w:cs="Times New Roman"/>
                <w:color w:val="auto"/>
                <w:sz w:val="20"/>
                <w:szCs w:val="20"/>
                <w:lang w:val="en-AU"/>
              </w:rPr>
              <w:t xml:space="preserve"> of program outcomes?</w:t>
            </w:r>
          </w:p>
        </w:tc>
        <w:tc>
          <w:tcPr>
            <w:tcW w:w="4253" w:type="dxa"/>
            <w:tcBorders>
              <w:top w:val="single" w:sz="4" w:space="0" w:color="45B0E1"/>
              <w:left w:val="single" w:sz="4" w:space="0" w:color="45B0E1"/>
              <w:bottom w:val="single" w:sz="4" w:space="0" w:color="45B0E1"/>
              <w:right w:val="single" w:sz="4" w:space="0" w:color="45B0E1"/>
            </w:tcBorders>
            <w:shd w:val="clear" w:color="auto" w:fill="auto"/>
            <w:hideMark/>
          </w:tcPr>
          <w:p w14:paraId="0D43BD82"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e.</w:t>
            </w:r>
            <w:r w:rsidRPr="00E43A6C">
              <w:rPr>
                <w:rFonts w:cs="Times New Roman"/>
                <w:color w:val="auto"/>
                <w:sz w:val="20"/>
                <w:szCs w:val="20"/>
                <w:lang w:val="en-AU"/>
              </w:rPr>
              <w:tab/>
              <w:t xml:space="preserve">To what extent have the Program’s </w:t>
            </w:r>
            <w:r w:rsidRPr="00E43A6C">
              <w:rPr>
                <w:rFonts w:cs="Times New Roman"/>
                <w:b/>
                <w:bCs/>
                <w:color w:val="auto"/>
                <w:sz w:val="20"/>
                <w:szCs w:val="20"/>
                <w:lang w:val="en-AU"/>
              </w:rPr>
              <w:t>climate change</w:t>
            </w:r>
            <w:r w:rsidRPr="00E43A6C">
              <w:rPr>
                <w:rFonts w:cs="Times New Roman"/>
                <w:color w:val="auto"/>
                <w:sz w:val="20"/>
                <w:szCs w:val="20"/>
                <w:lang w:val="en-AU"/>
              </w:rPr>
              <w:t xml:space="preserve"> activities been effective?</w:t>
            </w:r>
          </w:p>
        </w:tc>
        <w:tc>
          <w:tcPr>
            <w:tcW w:w="3685" w:type="dxa"/>
            <w:tcBorders>
              <w:top w:val="single" w:sz="4" w:space="0" w:color="45B0E1"/>
              <w:left w:val="single" w:sz="4" w:space="0" w:color="45B0E1"/>
              <w:bottom w:val="single" w:sz="4" w:space="0" w:color="45B0E1"/>
              <w:right w:val="single" w:sz="4" w:space="0" w:color="45B0E1"/>
            </w:tcBorders>
            <w:shd w:val="clear" w:color="auto" w:fill="auto"/>
            <w:hideMark/>
          </w:tcPr>
          <w:p w14:paraId="7AC9D8E6"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2C92E3FF"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2024 Annual Report (Draft)</w:t>
            </w:r>
          </w:p>
          <w:p w14:paraId="1A416B9B"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notes</w:t>
            </w:r>
          </w:p>
          <w:p w14:paraId="5AC9D51A"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p w14:paraId="0C011E57"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tc>
        <w:tc>
          <w:tcPr>
            <w:tcW w:w="3650" w:type="dxa"/>
            <w:tcBorders>
              <w:top w:val="single" w:sz="4" w:space="0" w:color="45B0E1"/>
              <w:left w:val="single" w:sz="4" w:space="0" w:color="45B0E1"/>
              <w:bottom w:val="single" w:sz="4" w:space="0" w:color="45B0E1"/>
              <w:right w:val="single" w:sz="4" w:space="0" w:color="45B0E1"/>
            </w:tcBorders>
            <w:shd w:val="clear" w:color="auto" w:fill="auto"/>
            <w:hideMark/>
          </w:tcPr>
          <w:p w14:paraId="21F5A58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Primary and secondary schools (principal + teachers + parents)</w:t>
            </w:r>
          </w:p>
          <w:p w14:paraId="67DD0A08"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 including Climate Change</w:t>
            </w:r>
          </w:p>
          <w:p w14:paraId="25D6BFC2"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3A8729B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tc>
      </w:tr>
      <w:tr w:rsidR="00E43A6C" w:rsidRPr="00E43A6C" w14:paraId="28D0F8D4"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hideMark/>
          </w:tcPr>
          <w:p w14:paraId="33FBFB5C" w14:textId="77777777" w:rsidR="00E43A6C" w:rsidRPr="00E43A6C" w:rsidRDefault="00E43A6C" w:rsidP="00E43A6C">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Efficiency</w:t>
            </w:r>
          </w:p>
          <w:p w14:paraId="64E6CA77" w14:textId="77777777" w:rsidR="00E43A6C" w:rsidRPr="00E43A6C" w:rsidRDefault="00E43A6C"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3. To what extent is the TAPQE Program using resources efficiently to achieve its End of Program Outcomes?</w:t>
            </w:r>
          </w:p>
        </w:tc>
        <w:tc>
          <w:tcPr>
            <w:tcW w:w="4253" w:type="dxa"/>
            <w:tcBorders>
              <w:top w:val="single" w:sz="4" w:space="0" w:color="45B0E1"/>
              <w:left w:val="single" w:sz="4" w:space="0" w:color="45B0E1"/>
              <w:bottom w:val="single" w:sz="4" w:space="0" w:color="45B0E1"/>
              <w:right w:val="single" w:sz="4" w:space="0" w:color="45B0E1"/>
            </w:tcBorders>
            <w:shd w:val="clear" w:color="auto" w:fill="C1E4F5"/>
          </w:tcPr>
          <w:p w14:paraId="04F23377"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 xml:space="preserve">How does the Program plan for and monitor the </w:t>
            </w:r>
            <w:r w:rsidRPr="00E43A6C">
              <w:rPr>
                <w:rFonts w:cs="Times New Roman"/>
                <w:b/>
                <w:bCs/>
                <w:color w:val="auto"/>
                <w:sz w:val="20"/>
                <w:szCs w:val="20"/>
                <w:lang w:val="en-AU"/>
              </w:rPr>
              <w:t>economic and timely delivery</w:t>
            </w:r>
            <w:r w:rsidRPr="00E43A6C">
              <w:rPr>
                <w:rFonts w:cs="Times New Roman"/>
                <w:color w:val="auto"/>
                <w:sz w:val="20"/>
                <w:szCs w:val="20"/>
                <w:lang w:val="en-AU"/>
              </w:rPr>
              <w:t xml:space="preserve"> of program activities? </w:t>
            </w:r>
          </w:p>
          <w:p w14:paraId="5AAD15D9"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p>
        </w:tc>
        <w:tc>
          <w:tcPr>
            <w:tcW w:w="3685" w:type="dxa"/>
            <w:tcBorders>
              <w:top w:val="single" w:sz="4" w:space="0" w:color="45B0E1"/>
              <w:left w:val="single" w:sz="4" w:space="0" w:color="45B0E1"/>
              <w:bottom w:val="single" w:sz="4" w:space="0" w:color="45B0E1"/>
              <w:right w:val="single" w:sz="4" w:space="0" w:color="45B0E1"/>
            </w:tcBorders>
            <w:shd w:val="clear" w:color="auto" w:fill="C1E4F5"/>
          </w:tcPr>
          <w:p w14:paraId="3D2C19D2"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5FE76E0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records</w:t>
            </w:r>
          </w:p>
          <w:p w14:paraId="4C74A2C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Budget and Expenditure Analysis</w:t>
            </w:r>
          </w:p>
          <w:p w14:paraId="3194F0BA"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p w14:paraId="39E3D9E6" w14:textId="77777777" w:rsidR="00E43A6C" w:rsidRPr="00E43A6C" w:rsidRDefault="00E43A6C" w:rsidP="00E43A6C">
            <w:pPr>
              <w:suppressAutoHyphens w:val="0"/>
              <w:autoSpaceDE/>
              <w:autoSpaceDN/>
              <w:adjustRightInd/>
              <w:spacing w:line="240" w:lineRule="auto"/>
              <w:ind w:left="389" w:hanging="283"/>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752B2D9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AHC </w:t>
            </w:r>
          </w:p>
          <w:p w14:paraId="1480B5F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Tetra Tech MEL Team</w:t>
            </w:r>
          </w:p>
        </w:tc>
      </w:tr>
      <w:tr w:rsidR="00E43A6C" w:rsidRPr="00E43A6C" w14:paraId="454E80F0"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7B12A9A3"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lastRenderedPageBreak/>
              <w:t>Efficiency</w:t>
            </w:r>
          </w:p>
          <w:p w14:paraId="73E6B6C7" w14:textId="1602DF28"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3. To what extent is the TAPQE Program using resources efficiently to achieve its End of Program Outcomes?</w:t>
            </w:r>
          </w:p>
        </w:tc>
        <w:tc>
          <w:tcPr>
            <w:tcW w:w="4253" w:type="dxa"/>
            <w:tcBorders>
              <w:top w:val="single" w:sz="4" w:space="0" w:color="45B0E1"/>
              <w:left w:val="single" w:sz="4" w:space="0" w:color="45B0E1"/>
              <w:bottom w:val="single" w:sz="4" w:space="0" w:color="45B0E1"/>
              <w:right w:val="single" w:sz="4" w:space="0" w:color="45B0E1"/>
            </w:tcBorders>
            <w:hideMark/>
          </w:tcPr>
          <w:p w14:paraId="74FEE15B"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 xml:space="preserve">How does the Program </w:t>
            </w:r>
            <w:r w:rsidRPr="00E43A6C">
              <w:rPr>
                <w:rFonts w:cs="Times New Roman"/>
                <w:b/>
                <w:bCs/>
                <w:color w:val="auto"/>
                <w:sz w:val="20"/>
                <w:szCs w:val="20"/>
                <w:lang w:val="en-AU"/>
              </w:rPr>
              <w:t>reflect on</w:t>
            </w:r>
            <w:r w:rsidRPr="00E43A6C">
              <w:rPr>
                <w:rFonts w:cs="Times New Roman"/>
                <w:color w:val="auto"/>
                <w:sz w:val="20"/>
                <w:szCs w:val="20"/>
                <w:lang w:val="en-AU"/>
              </w:rPr>
              <w:t xml:space="preserve"> and, where appropriate, </w:t>
            </w:r>
            <w:r w:rsidRPr="00E43A6C">
              <w:rPr>
                <w:rFonts w:cs="Times New Roman"/>
                <w:b/>
                <w:bCs/>
                <w:color w:val="auto"/>
                <w:sz w:val="20"/>
                <w:szCs w:val="20"/>
                <w:lang w:val="en-AU"/>
              </w:rPr>
              <w:t>adjust</w:t>
            </w:r>
            <w:r w:rsidRPr="00E43A6C">
              <w:rPr>
                <w:rFonts w:cs="Times New Roman"/>
                <w:color w:val="auto"/>
                <w:sz w:val="20"/>
                <w:szCs w:val="20"/>
                <w:lang w:val="en-AU"/>
              </w:rPr>
              <w:t xml:space="preserve"> its structure and / or activities to improve the likelihood of achieving its </w:t>
            </w:r>
            <w:r w:rsidRPr="00E43A6C">
              <w:rPr>
                <w:rFonts w:cs="Times New Roman"/>
                <w:b/>
                <w:bCs/>
                <w:color w:val="auto"/>
                <w:sz w:val="20"/>
                <w:szCs w:val="20"/>
                <w:lang w:val="en-AU"/>
              </w:rPr>
              <w:t>End of Program Outcomes</w:t>
            </w:r>
            <w:r w:rsidRPr="00E43A6C">
              <w:rPr>
                <w:rFonts w:cs="Times New Roman"/>
                <w:color w:val="auto"/>
                <w:sz w:val="20"/>
                <w:szCs w:val="20"/>
                <w:lang w:val="en-AU"/>
              </w:rPr>
              <w:t>?</w:t>
            </w:r>
          </w:p>
        </w:tc>
        <w:tc>
          <w:tcPr>
            <w:tcW w:w="3685" w:type="dxa"/>
            <w:tcBorders>
              <w:top w:val="single" w:sz="4" w:space="0" w:color="45B0E1"/>
              <w:left w:val="single" w:sz="4" w:space="0" w:color="45B0E1"/>
              <w:bottom w:val="single" w:sz="4" w:space="0" w:color="45B0E1"/>
              <w:right w:val="single" w:sz="4" w:space="0" w:color="45B0E1"/>
            </w:tcBorders>
          </w:tcPr>
          <w:p w14:paraId="7118640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4FC1759F"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records</w:t>
            </w:r>
          </w:p>
          <w:p w14:paraId="4BCA26F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Steering Group Minutes</w:t>
            </w:r>
          </w:p>
          <w:p w14:paraId="254568CF" w14:textId="77777777" w:rsidR="00E43A6C" w:rsidRPr="00E43A6C" w:rsidRDefault="00E43A6C" w:rsidP="00E43A6C">
            <w:pPr>
              <w:suppressAutoHyphens w:val="0"/>
              <w:autoSpaceDE/>
              <w:autoSpaceDN/>
              <w:adjustRightInd/>
              <w:spacing w:line="240" w:lineRule="auto"/>
              <w:ind w:left="389" w:hanging="283"/>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p>
        </w:tc>
        <w:tc>
          <w:tcPr>
            <w:tcW w:w="3650" w:type="dxa"/>
            <w:tcBorders>
              <w:top w:val="single" w:sz="4" w:space="0" w:color="45B0E1"/>
              <w:left w:val="single" w:sz="4" w:space="0" w:color="45B0E1"/>
              <w:bottom w:val="single" w:sz="4" w:space="0" w:color="45B0E1"/>
              <w:right w:val="single" w:sz="4" w:space="0" w:color="45B0E1"/>
            </w:tcBorders>
            <w:hideMark/>
          </w:tcPr>
          <w:p w14:paraId="72D2A4F0"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MEHRD Education officers </w:t>
            </w:r>
          </w:p>
          <w:p w14:paraId="160E7FE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tc>
      </w:tr>
      <w:tr w:rsidR="00E43A6C" w:rsidRPr="00E43A6C" w14:paraId="6D0A9E57"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tcPr>
          <w:p w14:paraId="5AF7DB43" w14:textId="77777777" w:rsidR="008A117B"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Efficiency</w:t>
            </w:r>
          </w:p>
          <w:p w14:paraId="6FB548DB" w14:textId="71A37F2A" w:rsidR="00E43A6C" w:rsidRPr="00E43A6C" w:rsidRDefault="008A117B" w:rsidP="008A117B">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3. To what extent is the TAPQE Program using resources efficiently to achieve its End of Program Outcomes?</w:t>
            </w:r>
          </w:p>
        </w:tc>
        <w:tc>
          <w:tcPr>
            <w:tcW w:w="4253" w:type="dxa"/>
            <w:tcBorders>
              <w:top w:val="single" w:sz="4" w:space="0" w:color="45B0E1"/>
              <w:left w:val="single" w:sz="4" w:space="0" w:color="45B0E1"/>
              <w:bottom w:val="single" w:sz="4" w:space="0" w:color="45B0E1"/>
              <w:right w:val="single" w:sz="4" w:space="0" w:color="45B0E1"/>
            </w:tcBorders>
            <w:shd w:val="clear" w:color="auto" w:fill="C1E4F5"/>
            <w:hideMark/>
          </w:tcPr>
          <w:p w14:paraId="18B8F950"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w:t>
            </w:r>
            <w:r w:rsidRPr="00E43A6C">
              <w:rPr>
                <w:rFonts w:cs="Times New Roman"/>
                <w:color w:val="auto"/>
                <w:sz w:val="20"/>
                <w:szCs w:val="20"/>
                <w:lang w:val="en-AU"/>
              </w:rPr>
              <w:tab/>
              <w:t xml:space="preserve">How does the Program </w:t>
            </w:r>
            <w:r w:rsidRPr="00E43A6C">
              <w:rPr>
                <w:rFonts w:cs="Times New Roman"/>
                <w:b/>
                <w:bCs/>
                <w:color w:val="auto"/>
                <w:sz w:val="20"/>
                <w:szCs w:val="20"/>
                <w:lang w:val="en-AU"/>
              </w:rPr>
              <w:t>reflect</w:t>
            </w:r>
            <w:r w:rsidRPr="00E43A6C">
              <w:rPr>
                <w:rFonts w:cs="Times New Roman"/>
                <w:color w:val="auto"/>
                <w:sz w:val="20"/>
                <w:szCs w:val="20"/>
                <w:lang w:val="en-AU"/>
              </w:rPr>
              <w:t xml:space="preserve"> on and, where appropriate, </w:t>
            </w:r>
            <w:r w:rsidRPr="00E43A6C">
              <w:rPr>
                <w:rFonts w:cs="Times New Roman"/>
                <w:b/>
                <w:bCs/>
                <w:color w:val="auto"/>
                <w:sz w:val="20"/>
                <w:szCs w:val="20"/>
                <w:lang w:val="en-AU"/>
              </w:rPr>
              <w:t>adjus</w:t>
            </w:r>
            <w:r w:rsidRPr="00E43A6C">
              <w:rPr>
                <w:rFonts w:cs="Times New Roman"/>
                <w:color w:val="auto"/>
                <w:sz w:val="20"/>
                <w:szCs w:val="20"/>
                <w:lang w:val="en-AU"/>
              </w:rPr>
              <w:t xml:space="preserve">t its structure and / or activities to </w:t>
            </w:r>
            <w:r w:rsidRPr="00E43A6C">
              <w:rPr>
                <w:rFonts w:cs="Times New Roman"/>
                <w:b/>
                <w:bCs/>
                <w:color w:val="auto"/>
                <w:sz w:val="20"/>
                <w:szCs w:val="20"/>
                <w:lang w:val="en-AU"/>
              </w:rPr>
              <w:t>improve GEDSI and climate change activities</w:t>
            </w:r>
            <w:r w:rsidRPr="00E43A6C">
              <w:rPr>
                <w:rFonts w:cs="Times New Roman"/>
                <w:color w:val="auto"/>
                <w:sz w:val="20"/>
                <w:szCs w:val="20"/>
                <w:lang w:val="en-AU"/>
              </w:rPr>
              <w:t>, outputs and outcomes?</w:t>
            </w:r>
          </w:p>
        </w:tc>
        <w:tc>
          <w:tcPr>
            <w:tcW w:w="3685" w:type="dxa"/>
            <w:tcBorders>
              <w:top w:val="single" w:sz="4" w:space="0" w:color="45B0E1"/>
              <w:left w:val="single" w:sz="4" w:space="0" w:color="45B0E1"/>
              <w:bottom w:val="single" w:sz="4" w:space="0" w:color="45B0E1"/>
              <w:right w:val="single" w:sz="4" w:space="0" w:color="45B0E1"/>
            </w:tcBorders>
            <w:shd w:val="clear" w:color="auto" w:fill="C1E4F5"/>
          </w:tcPr>
          <w:p w14:paraId="0B41405E"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614F028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records</w:t>
            </w:r>
          </w:p>
          <w:p w14:paraId="2F1FFD16" w14:textId="77777777" w:rsidR="00E43A6C" w:rsidRPr="00E43A6C" w:rsidRDefault="00E43A6C" w:rsidP="00E43A6C">
            <w:pPr>
              <w:suppressAutoHyphens w:val="0"/>
              <w:autoSpaceDE/>
              <w:autoSpaceDN/>
              <w:adjustRightInd/>
              <w:spacing w:line="240" w:lineRule="auto"/>
              <w:ind w:left="389" w:hanging="283"/>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793CEFE2"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 (GEDSI + Climate Change)</w:t>
            </w:r>
          </w:p>
          <w:p w14:paraId="31CBA877"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representatives</w:t>
            </w:r>
          </w:p>
        </w:tc>
      </w:tr>
      <w:tr w:rsidR="00E43A6C" w:rsidRPr="00E43A6C" w14:paraId="77C0DD75"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auto"/>
            <w:hideMark/>
          </w:tcPr>
          <w:p w14:paraId="4B6969E3" w14:textId="77777777" w:rsidR="00E43A6C" w:rsidRPr="00E43A6C" w:rsidRDefault="00E43A6C" w:rsidP="00E43A6C">
            <w:pPr>
              <w:suppressAutoHyphens w:val="0"/>
              <w:autoSpaceDE/>
              <w:autoSpaceDN/>
              <w:adjustRightInd/>
              <w:spacing w:line="240" w:lineRule="auto"/>
              <w:jc w:val="left"/>
              <w:textAlignment w:val="auto"/>
              <w:rPr>
                <w:rFonts w:cs="Times New Roman"/>
                <w:color w:val="auto"/>
                <w:sz w:val="20"/>
                <w:szCs w:val="20"/>
                <w:lang w:val="en-AU"/>
              </w:rPr>
            </w:pPr>
            <w:r w:rsidRPr="00E43A6C">
              <w:rPr>
                <w:rFonts w:cs="Times New Roman"/>
                <w:color w:val="auto"/>
                <w:sz w:val="20"/>
                <w:szCs w:val="20"/>
                <w:lang w:val="en-AU"/>
              </w:rPr>
              <w:t>Gender Equality and Social Inclusion (GEDSI) and Climate Change</w:t>
            </w:r>
          </w:p>
          <w:p w14:paraId="26101417" w14:textId="77777777" w:rsidR="00E43A6C" w:rsidRPr="00E43A6C" w:rsidRDefault="00E43A6C" w:rsidP="00E43A6C">
            <w:pPr>
              <w:suppressAutoHyphens w:val="0"/>
              <w:autoSpaceDE/>
              <w:autoSpaceDN/>
              <w:adjustRightInd/>
              <w:spacing w:line="240" w:lineRule="auto"/>
              <w:jc w:val="left"/>
              <w:textAlignment w:val="auto"/>
              <w:rPr>
                <w:rFonts w:cs="Times New Roman"/>
                <w:color w:val="auto"/>
                <w:sz w:val="20"/>
                <w:szCs w:val="20"/>
                <w:lang w:val="en-AU"/>
              </w:rPr>
            </w:pPr>
            <w:r w:rsidRPr="00E43A6C">
              <w:rPr>
                <w:rFonts w:cs="Times New Roman"/>
                <w:color w:val="auto"/>
                <w:sz w:val="20"/>
                <w:szCs w:val="20"/>
                <w:lang w:val="en-AU"/>
              </w:rPr>
              <w:t>4. To what extent are the TAPQE Program’s GEDSI and Climate Change ambitions, approaches and achievements adequate against program logic and design, and current DFAT policies?</w:t>
            </w:r>
          </w:p>
        </w:tc>
        <w:tc>
          <w:tcPr>
            <w:tcW w:w="4253" w:type="dxa"/>
            <w:tcBorders>
              <w:top w:val="single" w:sz="4" w:space="0" w:color="45B0E1"/>
              <w:left w:val="single" w:sz="4" w:space="0" w:color="45B0E1"/>
              <w:bottom w:val="single" w:sz="4" w:space="0" w:color="45B0E1"/>
              <w:right w:val="single" w:sz="4" w:space="0" w:color="45B0E1"/>
            </w:tcBorders>
            <w:shd w:val="clear" w:color="auto" w:fill="auto"/>
            <w:hideMark/>
          </w:tcPr>
          <w:p w14:paraId="51DF7C0A"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Also see 2 </w:t>
            </w:r>
            <w:proofErr w:type="spellStart"/>
            <w:r w:rsidRPr="00E43A6C">
              <w:rPr>
                <w:rFonts w:cs="Times New Roman"/>
                <w:color w:val="auto"/>
                <w:sz w:val="20"/>
                <w:szCs w:val="20"/>
                <w:lang w:val="en-AU"/>
              </w:rPr>
              <w:t>d&amp;e</w:t>
            </w:r>
            <w:proofErr w:type="spellEnd"/>
            <w:r w:rsidRPr="00E43A6C">
              <w:rPr>
                <w:rFonts w:cs="Times New Roman"/>
                <w:color w:val="auto"/>
                <w:sz w:val="20"/>
                <w:szCs w:val="20"/>
                <w:lang w:val="en-AU"/>
              </w:rPr>
              <w:t xml:space="preserve"> and 3 c.</w:t>
            </w:r>
          </w:p>
        </w:tc>
        <w:tc>
          <w:tcPr>
            <w:tcW w:w="3685" w:type="dxa"/>
            <w:tcBorders>
              <w:top w:val="single" w:sz="4" w:space="0" w:color="45B0E1"/>
              <w:left w:val="single" w:sz="4" w:space="0" w:color="45B0E1"/>
              <w:bottom w:val="single" w:sz="4" w:space="0" w:color="45B0E1"/>
              <w:right w:val="single" w:sz="4" w:space="0" w:color="45B0E1"/>
            </w:tcBorders>
            <w:shd w:val="clear" w:color="auto" w:fill="auto"/>
          </w:tcPr>
          <w:p w14:paraId="05A662A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AWP – 2024, 2025 (Draft)</w:t>
            </w:r>
          </w:p>
          <w:p w14:paraId="5B22698B" w14:textId="77777777" w:rsidR="00E43A6C" w:rsidRPr="00E43A6C" w:rsidRDefault="00E43A6C" w:rsidP="00CD380C">
            <w:pPr>
              <w:suppressAutoHyphens w:val="0"/>
              <w:autoSpaceDE/>
              <w:autoSpaceDN/>
              <w:adjustRightInd/>
              <w:spacing w:after="160" w:line="256" w:lineRule="auto"/>
              <w:ind w:left="389"/>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p>
        </w:tc>
        <w:tc>
          <w:tcPr>
            <w:tcW w:w="3650" w:type="dxa"/>
            <w:tcBorders>
              <w:top w:val="single" w:sz="4" w:space="0" w:color="45B0E1"/>
              <w:left w:val="single" w:sz="4" w:space="0" w:color="45B0E1"/>
              <w:bottom w:val="single" w:sz="4" w:space="0" w:color="45B0E1"/>
              <w:right w:val="single" w:sz="4" w:space="0" w:color="45B0E1"/>
            </w:tcBorders>
            <w:shd w:val="clear" w:color="auto" w:fill="auto"/>
            <w:hideMark/>
          </w:tcPr>
          <w:p w14:paraId="5237D608"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Education officers (GEDSI + Climate Change)</w:t>
            </w:r>
          </w:p>
          <w:p w14:paraId="431AD742"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Civil Society representatives </w:t>
            </w:r>
          </w:p>
        </w:tc>
      </w:tr>
      <w:tr w:rsidR="00E43A6C" w:rsidRPr="00E43A6C" w14:paraId="45F77271" w14:textId="77777777" w:rsidTr="000F48D9">
        <w:trPr>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shd w:val="clear" w:color="auto" w:fill="C1E4F5"/>
            <w:hideMark/>
          </w:tcPr>
          <w:p w14:paraId="3CFCD394" w14:textId="77777777" w:rsidR="00E43A6C" w:rsidRPr="00E43A6C" w:rsidRDefault="00E43A6C" w:rsidP="00E43A6C">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Monitoring and evaluation</w:t>
            </w:r>
          </w:p>
          <w:p w14:paraId="4A4DBB31" w14:textId="77777777" w:rsidR="00E43A6C" w:rsidRPr="00E43A6C" w:rsidRDefault="00E43A6C" w:rsidP="000F48D9">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5. To what extent are the MEL arrangements fit for purpose?</w:t>
            </w:r>
          </w:p>
        </w:tc>
        <w:tc>
          <w:tcPr>
            <w:tcW w:w="4253" w:type="dxa"/>
            <w:tcBorders>
              <w:top w:val="single" w:sz="4" w:space="0" w:color="45B0E1"/>
              <w:left w:val="single" w:sz="4" w:space="0" w:color="45B0E1"/>
              <w:bottom w:val="single" w:sz="4" w:space="0" w:color="45B0E1"/>
              <w:right w:val="single" w:sz="4" w:space="0" w:color="45B0E1"/>
            </w:tcBorders>
            <w:shd w:val="clear" w:color="auto" w:fill="C1E4F5"/>
          </w:tcPr>
          <w:p w14:paraId="23132C41"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a.</w:t>
            </w:r>
            <w:r w:rsidRPr="00E43A6C">
              <w:rPr>
                <w:rFonts w:cs="Times New Roman"/>
                <w:color w:val="auto"/>
                <w:sz w:val="20"/>
                <w:szCs w:val="20"/>
                <w:lang w:val="en-AU"/>
              </w:rPr>
              <w:tab/>
              <w:t xml:space="preserve">To what extent is the </w:t>
            </w:r>
            <w:r w:rsidRPr="00E43A6C">
              <w:rPr>
                <w:rFonts w:cs="Times New Roman"/>
                <w:b/>
                <w:bCs/>
                <w:color w:val="auto"/>
                <w:sz w:val="20"/>
                <w:szCs w:val="20"/>
                <w:lang w:val="en-AU"/>
              </w:rPr>
              <w:t>TAPQE MEL Plan and Framework appropriate</w:t>
            </w:r>
            <w:r w:rsidRPr="00E43A6C">
              <w:rPr>
                <w:rFonts w:cs="Times New Roman"/>
                <w:color w:val="auto"/>
                <w:sz w:val="20"/>
                <w:szCs w:val="20"/>
                <w:lang w:val="en-AU"/>
              </w:rPr>
              <w:t xml:space="preserve"> to monitor progress on the achievement of the Program’s intermediate and end of program outcomes?</w:t>
            </w:r>
          </w:p>
          <w:p w14:paraId="31959135" w14:textId="77777777" w:rsidR="00E43A6C" w:rsidRPr="00E43A6C" w:rsidRDefault="00E43A6C" w:rsidP="00E43A6C">
            <w:pPr>
              <w:suppressAutoHyphens w:val="0"/>
              <w:autoSpaceDE/>
              <w:autoSpaceDN/>
              <w:adjustRightInd/>
              <w:spacing w:line="240" w:lineRule="auto"/>
              <w:ind w:left="227" w:hanging="227"/>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p>
        </w:tc>
        <w:tc>
          <w:tcPr>
            <w:tcW w:w="3685" w:type="dxa"/>
            <w:tcBorders>
              <w:top w:val="single" w:sz="4" w:space="0" w:color="45B0E1"/>
              <w:left w:val="single" w:sz="4" w:space="0" w:color="45B0E1"/>
              <w:bottom w:val="single" w:sz="4" w:space="0" w:color="45B0E1"/>
              <w:right w:val="single" w:sz="4" w:space="0" w:color="45B0E1"/>
            </w:tcBorders>
            <w:shd w:val="clear" w:color="auto" w:fill="C1E4F5"/>
            <w:hideMark/>
          </w:tcPr>
          <w:p w14:paraId="51F05EB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 xml:space="preserve">(current) TAPQE MERL Framework and Plan </w:t>
            </w:r>
          </w:p>
          <w:p w14:paraId="0D6D8E3C"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TEMIS data set</w:t>
            </w:r>
          </w:p>
          <w:p w14:paraId="3EF656C8"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0B6C1F56"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tc>
        <w:tc>
          <w:tcPr>
            <w:tcW w:w="3650" w:type="dxa"/>
            <w:tcBorders>
              <w:top w:val="single" w:sz="4" w:space="0" w:color="45B0E1"/>
              <w:left w:val="single" w:sz="4" w:space="0" w:color="45B0E1"/>
              <w:bottom w:val="single" w:sz="4" w:space="0" w:color="45B0E1"/>
              <w:right w:val="single" w:sz="4" w:space="0" w:color="45B0E1"/>
            </w:tcBorders>
            <w:shd w:val="clear" w:color="auto" w:fill="C1E4F5"/>
            <w:hideMark/>
          </w:tcPr>
          <w:p w14:paraId="4DFAD03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AHC Personnel</w:t>
            </w:r>
          </w:p>
          <w:p w14:paraId="2A1229F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DFAT Canberra (?)</w:t>
            </w:r>
          </w:p>
          <w:p w14:paraId="15DFCE3B"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000000" w:firstRow="0" w:lastRow="0" w:firstColumn="0" w:lastColumn="0" w:oddVBand="0" w:evenVBand="0" w:oddHBand="0"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Tetra Tech MEL Team</w:t>
            </w:r>
          </w:p>
        </w:tc>
      </w:tr>
      <w:tr w:rsidR="00E43A6C" w:rsidRPr="00E43A6C" w14:paraId="73FE6E93" w14:textId="77777777" w:rsidTr="000F48D9">
        <w:trPr>
          <w:cnfStyle w:val="000000100000" w:firstRow="0" w:lastRow="0" w:firstColumn="0" w:lastColumn="0" w:oddVBand="0" w:evenVBand="0" w:oddHBand="1" w:evenHBand="0" w:firstRowFirstColumn="0" w:firstRowLastColumn="0" w:lastRowFirstColumn="0" w:lastRowLastColumn="0"/>
          <w:cantSplit/>
        </w:trPr>
        <w:tc>
          <w:tcPr>
            <w:cnfStyle w:val="001000000000" w:firstRow="0" w:lastRow="0" w:firstColumn="1" w:lastColumn="0" w:oddVBand="0" w:evenVBand="0" w:oddHBand="0" w:evenHBand="0" w:firstRowFirstColumn="0" w:firstRowLastColumn="0" w:lastRowFirstColumn="0" w:lastRowLastColumn="0"/>
            <w:tcW w:w="2972" w:type="dxa"/>
            <w:tcBorders>
              <w:top w:val="single" w:sz="4" w:space="0" w:color="45B0E1"/>
              <w:left w:val="single" w:sz="4" w:space="0" w:color="45B0E1"/>
              <w:bottom w:val="single" w:sz="4" w:space="0" w:color="45B0E1"/>
              <w:right w:val="single" w:sz="4" w:space="0" w:color="45B0E1"/>
            </w:tcBorders>
          </w:tcPr>
          <w:p w14:paraId="73DAFD92" w14:textId="77777777" w:rsidR="000F48D9" w:rsidRPr="00E43A6C" w:rsidRDefault="000F48D9" w:rsidP="000F48D9">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Monitoring and evaluation</w:t>
            </w:r>
          </w:p>
          <w:p w14:paraId="40EE3E0E" w14:textId="333EB99C" w:rsidR="00E43A6C" w:rsidRPr="00E43A6C" w:rsidRDefault="000F48D9" w:rsidP="000F48D9">
            <w:pPr>
              <w:suppressAutoHyphens w:val="0"/>
              <w:autoSpaceDE/>
              <w:autoSpaceDN/>
              <w:adjustRightInd/>
              <w:spacing w:line="240" w:lineRule="auto"/>
              <w:ind w:left="227" w:hanging="227"/>
              <w:jc w:val="left"/>
              <w:textAlignment w:val="auto"/>
              <w:rPr>
                <w:rFonts w:cs="Times New Roman"/>
                <w:color w:val="auto"/>
                <w:sz w:val="20"/>
                <w:szCs w:val="20"/>
                <w:lang w:val="en-AU"/>
              </w:rPr>
            </w:pPr>
            <w:r w:rsidRPr="00E43A6C">
              <w:rPr>
                <w:rFonts w:cs="Times New Roman"/>
                <w:color w:val="auto"/>
                <w:sz w:val="20"/>
                <w:szCs w:val="20"/>
                <w:lang w:val="en-AU"/>
              </w:rPr>
              <w:t>5. To what extent are the MEL arrangements fit for purpose?</w:t>
            </w:r>
          </w:p>
        </w:tc>
        <w:tc>
          <w:tcPr>
            <w:tcW w:w="4253" w:type="dxa"/>
            <w:tcBorders>
              <w:top w:val="single" w:sz="4" w:space="0" w:color="45B0E1"/>
              <w:left w:val="single" w:sz="4" w:space="0" w:color="45B0E1"/>
              <w:bottom w:val="single" w:sz="4" w:space="0" w:color="45B0E1"/>
              <w:right w:val="single" w:sz="4" w:space="0" w:color="45B0E1"/>
            </w:tcBorders>
            <w:hideMark/>
          </w:tcPr>
          <w:p w14:paraId="0ECF733C" w14:textId="77777777" w:rsidR="00E43A6C" w:rsidRPr="00E43A6C" w:rsidRDefault="00E43A6C" w:rsidP="00E43A6C">
            <w:pPr>
              <w:suppressAutoHyphens w:val="0"/>
              <w:autoSpaceDE/>
              <w:autoSpaceDN/>
              <w:adjustRightInd/>
              <w:spacing w:line="240" w:lineRule="auto"/>
              <w:ind w:left="227" w:hanging="227"/>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b.</w:t>
            </w:r>
            <w:r w:rsidRPr="00E43A6C">
              <w:rPr>
                <w:rFonts w:cs="Times New Roman"/>
                <w:color w:val="auto"/>
                <w:sz w:val="20"/>
                <w:szCs w:val="20"/>
                <w:lang w:val="en-AU"/>
              </w:rPr>
              <w:tab/>
              <w:t xml:space="preserve">To what extent is the </w:t>
            </w:r>
            <w:r w:rsidRPr="00E43A6C">
              <w:rPr>
                <w:rFonts w:cs="Times New Roman"/>
                <w:b/>
                <w:bCs/>
                <w:color w:val="auto"/>
                <w:sz w:val="20"/>
                <w:szCs w:val="20"/>
                <w:lang w:val="en-AU"/>
              </w:rPr>
              <w:t>MEL system producing appropriate information products</w:t>
            </w:r>
            <w:r w:rsidRPr="00E43A6C">
              <w:rPr>
                <w:rFonts w:cs="Times New Roman"/>
                <w:color w:val="auto"/>
                <w:sz w:val="20"/>
                <w:szCs w:val="20"/>
                <w:lang w:val="en-AU"/>
              </w:rPr>
              <w:t>, including performance information that meets user information needs?</w:t>
            </w:r>
          </w:p>
        </w:tc>
        <w:tc>
          <w:tcPr>
            <w:tcW w:w="3685" w:type="dxa"/>
            <w:tcBorders>
              <w:top w:val="single" w:sz="4" w:space="0" w:color="45B0E1"/>
              <w:left w:val="single" w:sz="4" w:space="0" w:color="45B0E1"/>
              <w:bottom w:val="single" w:sz="4" w:space="0" w:color="45B0E1"/>
              <w:right w:val="single" w:sz="4" w:space="0" w:color="45B0E1"/>
            </w:tcBorders>
            <w:hideMark/>
          </w:tcPr>
          <w:p w14:paraId="47847799"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Progress Reports</w:t>
            </w:r>
          </w:p>
          <w:p w14:paraId="3FED0844"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Pause, Reflect and Plan records</w:t>
            </w:r>
          </w:p>
          <w:p w14:paraId="0362F0D3"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Performance Stories / Stories of Change</w:t>
            </w:r>
          </w:p>
        </w:tc>
        <w:tc>
          <w:tcPr>
            <w:tcW w:w="3650" w:type="dxa"/>
            <w:tcBorders>
              <w:top w:val="single" w:sz="4" w:space="0" w:color="45B0E1"/>
              <w:left w:val="single" w:sz="4" w:space="0" w:color="45B0E1"/>
              <w:bottom w:val="single" w:sz="4" w:space="0" w:color="45B0E1"/>
              <w:right w:val="single" w:sz="4" w:space="0" w:color="45B0E1"/>
            </w:tcBorders>
          </w:tcPr>
          <w:p w14:paraId="05BD7325"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AHC Personnel</w:t>
            </w:r>
          </w:p>
          <w:p w14:paraId="4FF71786"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MEHRD personnel</w:t>
            </w:r>
          </w:p>
          <w:p w14:paraId="554E5BA6"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Civil Society Groups</w:t>
            </w:r>
          </w:p>
          <w:p w14:paraId="3A1EE5B1"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TAPQE MEL Team</w:t>
            </w:r>
          </w:p>
          <w:p w14:paraId="4E5E90D7" w14:textId="77777777" w:rsidR="00E43A6C" w:rsidRPr="00E43A6C" w:rsidRDefault="00E43A6C" w:rsidP="00B32148">
            <w:pPr>
              <w:numPr>
                <w:ilvl w:val="0"/>
                <w:numId w:val="51"/>
              </w:numPr>
              <w:suppressAutoHyphens w:val="0"/>
              <w:autoSpaceDE/>
              <w:autoSpaceDN/>
              <w:adjustRightInd/>
              <w:spacing w:after="160" w:line="256" w:lineRule="auto"/>
              <w:ind w:left="389" w:hanging="283"/>
              <w:contextualSpacing/>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r w:rsidRPr="00E43A6C">
              <w:rPr>
                <w:rFonts w:cs="Times New Roman"/>
                <w:color w:val="auto"/>
                <w:sz w:val="20"/>
                <w:szCs w:val="20"/>
                <w:lang w:val="en-AU"/>
              </w:rPr>
              <w:t>Tuvalu Education Partners Group</w:t>
            </w:r>
          </w:p>
          <w:p w14:paraId="1CE76445" w14:textId="77777777" w:rsidR="00E43A6C" w:rsidRPr="00E43A6C" w:rsidRDefault="00E43A6C" w:rsidP="00E43A6C">
            <w:pPr>
              <w:suppressAutoHyphens w:val="0"/>
              <w:autoSpaceDE/>
              <w:autoSpaceDN/>
              <w:adjustRightInd/>
              <w:spacing w:line="240" w:lineRule="auto"/>
              <w:ind w:left="389" w:hanging="283"/>
              <w:jc w:val="left"/>
              <w:textAlignment w:val="auto"/>
              <w:cnfStyle w:val="000000100000" w:firstRow="0" w:lastRow="0" w:firstColumn="0" w:lastColumn="0" w:oddVBand="0" w:evenVBand="0" w:oddHBand="1" w:evenHBand="0" w:firstRowFirstColumn="0" w:firstRowLastColumn="0" w:lastRowFirstColumn="0" w:lastRowLastColumn="0"/>
              <w:rPr>
                <w:rFonts w:cs="Times New Roman"/>
                <w:color w:val="auto"/>
                <w:sz w:val="20"/>
                <w:szCs w:val="20"/>
                <w:lang w:val="en-AU"/>
              </w:rPr>
            </w:pPr>
          </w:p>
        </w:tc>
      </w:tr>
    </w:tbl>
    <w:p w14:paraId="02E4F07F" w14:textId="77777777" w:rsidR="00E43A6C" w:rsidRPr="00E43A6C" w:rsidRDefault="00E43A6C" w:rsidP="00E43A6C">
      <w:pPr>
        <w:suppressAutoHyphens w:val="0"/>
        <w:autoSpaceDE/>
        <w:autoSpaceDN/>
        <w:adjustRightInd/>
        <w:spacing w:after="160"/>
        <w:jc w:val="left"/>
        <w:textAlignment w:val="auto"/>
        <w:rPr>
          <w:rFonts w:ascii="Aptos" w:eastAsia="Aptos" w:hAnsi="Aptos" w:cs="Times New Roman"/>
          <w:color w:val="auto"/>
          <w:kern w:val="2"/>
          <w:lang w:val="en-AU"/>
          <w14:ligatures w14:val="standardContextual"/>
        </w:rPr>
      </w:pPr>
    </w:p>
    <w:p w14:paraId="284EC55E" w14:textId="77777777" w:rsidR="00D306CA" w:rsidRDefault="00D306CA" w:rsidP="00D306CA">
      <w:pPr>
        <w:pStyle w:val="Heading2"/>
        <w:sectPr w:rsidR="00D306CA" w:rsidSect="00CD380C">
          <w:pgSz w:w="16840" w:h="11900" w:orient="landscape" w:code="9"/>
          <w:pgMar w:top="1134" w:right="1134" w:bottom="1134" w:left="1134" w:header="709" w:footer="709" w:gutter="0"/>
          <w:cols w:space="708"/>
          <w:docGrid w:linePitch="360"/>
        </w:sectPr>
      </w:pPr>
    </w:p>
    <w:p w14:paraId="65B5774A" w14:textId="48294558" w:rsidR="00F428FF" w:rsidRPr="00CF2603" w:rsidRDefault="00F428FF" w:rsidP="00CF2603">
      <w:pPr>
        <w:pStyle w:val="Heading2"/>
      </w:pPr>
      <w:bookmarkStart w:id="32" w:name="_Toc209431959"/>
      <w:r w:rsidRPr="00CF2603">
        <w:lastRenderedPageBreak/>
        <w:t xml:space="preserve">Annex </w:t>
      </w:r>
      <w:r w:rsidR="00D306CA">
        <w:t>3</w:t>
      </w:r>
      <w:r w:rsidRPr="00CF2603">
        <w:t>: Documents Reviewed</w:t>
      </w:r>
      <w:bookmarkEnd w:id="32"/>
    </w:p>
    <w:p w14:paraId="32B5CD72" w14:textId="77777777" w:rsidR="007A431F" w:rsidRDefault="007A431F" w:rsidP="007A431F"/>
    <w:tbl>
      <w:tblPr>
        <w:tblStyle w:val="ListTable4-Accent52"/>
        <w:tblW w:w="0" w:type="auto"/>
        <w:tblLook w:val="0420" w:firstRow="1" w:lastRow="0" w:firstColumn="0" w:lastColumn="0" w:noHBand="0" w:noVBand="1"/>
      </w:tblPr>
      <w:tblGrid>
        <w:gridCol w:w="3961"/>
        <w:gridCol w:w="5661"/>
      </w:tblGrid>
      <w:tr w:rsidR="007A431F" w:rsidRPr="007A431F" w14:paraId="6C8AAD14" w14:textId="77777777" w:rsidTr="00D9362D">
        <w:trPr>
          <w:cnfStyle w:val="100000000000" w:firstRow="1" w:lastRow="0" w:firstColumn="0" w:lastColumn="0" w:oddVBand="0" w:evenVBand="0" w:oddHBand="0" w:evenHBand="0" w:firstRowFirstColumn="0" w:firstRowLastColumn="0" w:lastRowFirstColumn="0" w:lastRowLastColumn="0"/>
          <w:tblHeader/>
        </w:trPr>
        <w:tc>
          <w:tcPr>
            <w:tcW w:w="3961" w:type="dxa"/>
            <w:shd w:val="clear" w:color="auto" w:fill="156082"/>
            <w:hideMark/>
          </w:tcPr>
          <w:p w14:paraId="489ABA30" w14:textId="77777777" w:rsidR="007A431F" w:rsidRPr="007A431F" w:rsidRDefault="007A431F" w:rsidP="007A431F">
            <w:pPr>
              <w:suppressAutoHyphens w:val="0"/>
              <w:autoSpaceDE/>
              <w:autoSpaceDN/>
              <w:adjustRightInd/>
              <w:spacing w:after="120" w:line="240" w:lineRule="auto"/>
              <w:jc w:val="center"/>
              <w:textAlignment w:val="auto"/>
              <w:rPr>
                <w:rFonts w:ascii="Aptos" w:eastAsia="Aptos" w:hAnsi="Aptos" w:cs="Times New Roman"/>
                <w:color w:val="FFFFFF"/>
                <w:lang w:val="en-AU"/>
              </w:rPr>
            </w:pPr>
            <w:r w:rsidRPr="007A431F">
              <w:rPr>
                <w:rFonts w:ascii="Aptos" w:eastAsia="Aptos" w:hAnsi="Aptos" w:cs="Times New Roman"/>
                <w:color w:val="FFFFFF"/>
                <w:lang w:val="en-AU"/>
              </w:rPr>
              <w:t>Document groups</w:t>
            </w:r>
          </w:p>
        </w:tc>
        <w:tc>
          <w:tcPr>
            <w:tcW w:w="5661" w:type="dxa"/>
            <w:hideMark/>
          </w:tcPr>
          <w:p w14:paraId="72E594CF" w14:textId="77777777" w:rsidR="007A431F" w:rsidRPr="007A431F" w:rsidRDefault="007A431F" w:rsidP="007A431F">
            <w:pPr>
              <w:suppressAutoHyphens w:val="0"/>
              <w:autoSpaceDE/>
              <w:autoSpaceDN/>
              <w:adjustRightInd/>
              <w:spacing w:after="120" w:line="240" w:lineRule="auto"/>
              <w:jc w:val="center"/>
              <w:textAlignment w:val="auto"/>
              <w:rPr>
                <w:rFonts w:ascii="Aptos" w:eastAsia="Aptos" w:hAnsi="Aptos" w:cs="Times New Roman"/>
                <w:color w:val="auto"/>
                <w:lang w:val="en-AU"/>
              </w:rPr>
            </w:pPr>
            <w:r w:rsidRPr="007A431F">
              <w:rPr>
                <w:rFonts w:ascii="Aptos" w:eastAsia="Aptos" w:hAnsi="Aptos" w:cs="Times New Roman"/>
                <w:color w:val="FFFFFF"/>
                <w:lang w:val="en-AU"/>
              </w:rPr>
              <w:t>Document name</w:t>
            </w:r>
          </w:p>
        </w:tc>
      </w:tr>
      <w:tr w:rsidR="007A431F" w:rsidRPr="007A431F" w14:paraId="45BB7FBA"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hideMark/>
          </w:tcPr>
          <w:p w14:paraId="1F1EB70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 xml:space="preserve">1. Tuvalu Education Sector Plan IV </w:t>
            </w:r>
          </w:p>
        </w:tc>
        <w:tc>
          <w:tcPr>
            <w:tcW w:w="5661" w:type="dxa"/>
            <w:shd w:val="clear" w:color="auto" w:fill="C1E4F5"/>
            <w:hideMark/>
          </w:tcPr>
          <w:p w14:paraId="78613F04"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a) TESP IV for wider review</w:t>
            </w:r>
          </w:p>
        </w:tc>
      </w:tr>
      <w:tr w:rsidR="007A431F" w:rsidRPr="007A431F" w14:paraId="160D5393" w14:textId="77777777" w:rsidTr="00D9362D">
        <w:tc>
          <w:tcPr>
            <w:tcW w:w="3961" w:type="dxa"/>
            <w:hideMark/>
          </w:tcPr>
          <w:p w14:paraId="451FE567"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2. TAPQE Investment design document</w:t>
            </w:r>
          </w:p>
        </w:tc>
        <w:tc>
          <w:tcPr>
            <w:tcW w:w="5661" w:type="dxa"/>
            <w:hideMark/>
          </w:tcPr>
          <w:p w14:paraId="73B06A4B"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TAPQE IDD working draft June 2022 - p13 updates</w:t>
            </w:r>
          </w:p>
          <w:p w14:paraId="51EAC332"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b) IDD Attachment 4 TAPQE Communication Plan August 2023</w:t>
            </w:r>
          </w:p>
          <w:p w14:paraId="364F2A0F"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c) Annex 10 Risk and Safeguards Tool</w:t>
            </w:r>
          </w:p>
        </w:tc>
      </w:tr>
      <w:tr w:rsidR="007A431F" w:rsidRPr="007A431F" w14:paraId="160B8F2A"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hideMark/>
          </w:tcPr>
          <w:p w14:paraId="184BE4E1"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3. Tuvalu Partnership Compact</w:t>
            </w:r>
          </w:p>
        </w:tc>
        <w:tc>
          <w:tcPr>
            <w:tcW w:w="5661" w:type="dxa"/>
            <w:shd w:val="clear" w:color="auto" w:fill="C1E4F5"/>
            <w:hideMark/>
          </w:tcPr>
          <w:p w14:paraId="3298413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a) 20231120_Partnership Compact</w:t>
            </w:r>
          </w:p>
        </w:tc>
      </w:tr>
      <w:tr w:rsidR="007A431F" w:rsidRPr="007A431F" w14:paraId="0D65C291" w14:textId="77777777" w:rsidTr="00D9362D">
        <w:tc>
          <w:tcPr>
            <w:tcW w:w="3961" w:type="dxa"/>
            <w:hideMark/>
          </w:tcPr>
          <w:p w14:paraId="547FF51B"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 xml:space="preserve">4. Enabling Factor Assessment Tuvalu </w:t>
            </w:r>
          </w:p>
        </w:tc>
        <w:tc>
          <w:tcPr>
            <w:tcW w:w="5661" w:type="dxa"/>
            <w:hideMark/>
          </w:tcPr>
          <w:p w14:paraId="4BEAE526"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 xml:space="preserve">a) Enabling Factor Assessment Tuvalu </w:t>
            </w:r>
            <w:proofErr w:type="spellStart"/>
            <w:r w:rsidRPr="007A431F">
              <w:rPr>
                <w:rFonts w:ascii="Aptos" w:eastAsia="Aptos" w:hAnsi="Aptos" w:cs="Times New Roman"/>
                <w:i/>
                <w:iCs/>
                <w:color w:val="auto"/>
                <w:lang w:val="en-AU"/>
              </w:rPr>
              <w:t>revised_clean</w:t>
            </w:r>
            <w:proofErr w:type="spellEnd"/>
            <w:r w:rsidRPr="007A431F">
              <w:rPr>
                <w:rFonts w:ascii="Aptos" w:eastAsia="Aptos" w:hAnsi="Aptos" w:cs="Times New Roman"/>
                <w:i/>
                <w:iCs/>
                <w:color w:val="auto"/>
                <w:lang w:val="en-AU"/>
              </w:rPr>
              <w:t xml:space="preserve"> copy</w:t>
            </w:r>
          </w:p>
        </w:tc>
      </w:tr>
      <w:tr w:rsidR="007A431F" w:rsidRPr="007A431F" w14:paraId="6FCC4B3C"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hideMark/>
          </w:tcPr>
          <w:p w14:paraId="13E5ED66" w14:textId="69EF0D58"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5. TAPQE Workplans</w:t>
            </w:r>
            <w:r w:rsidRPr="007A431F">
              <w:rPr>
                <w:rFonts w:ascii="Aptos" w:eastAsia="Aptos" w:hAnsi="Aptos" w:cs="Times New Roman"/>
                <w:strike/>
                <w:color w:val="auto"/>
                <w:lang w:val="en-AU"/>
              </w:rPr>
              <w:t xml:space="preserve"> 2023</w:t>
            </w:r>
          </w:p>
        </w:tc>
        <w:tc>
          <w:tcPr>
            <w:tcW w:w="5661" w:type="dxa"/>
            <w:shd w:val="clear" w:color="auto" w:fill="C1E4F5"/>
            <w:hideMark/>
          </w:tcPr>
          <w:p w14:paraId="76D128C9"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a) </w:t>
            </w:r>
            <w:proofErr w:type="spellStart"/>
            <w:r w:rsidRPr="007A431F">
              <w:rPr>
                <w:rFonts w:ascii="Aptos" w:eastAsia="Aptos" w:hAnsi="Aptos" w:cs="Times New Roman"/>
                <w:i/>
                <w:iCs/>
                <w:color w:val="auto"/>
                <w:lang w:val="en-AU"/>
              </w:rPr>
              <w:t>TAPQE_draft</w:t>
            </w:r>
            <w:proofErr w:type="spellEnd"/>
            <w:r w:rsidRPr="007A431F">
              <w:rPr>
                <w:rFonts w:ascii="Aptos" w:eastAsia="Aptos" w:hAnsi="Aptos" w:cs="Times New Roman"/>
                <w:i/>
                <w:iCs/>
                <w:color w:val="auto"/>
                <w:lang w:val="en-AU"/>
              </w:rPr>
              <w:t xml:space="preserve"> AWP for consultation 20230919</w:t>
            </w:r>
            <w:r w:rsidRPr="007A431F">
              <w:rPr>
                <w:rFonts w:ascii="Aptos" w:eastAsia="Aptos" w:hAnsi="Aptos" w:cs="Times New Roman"/>
                <w:i/>
                <w:iCs/>
                <w:color w:val="auto"/>
                <w:lang w:val="en-AU"/>
              </w:rPr>
              <w:br/>
              <w:t xml:space="preserve">b) </w:t>
            </w:r>
            <w:proofErr w:type="spellStart"/>
            <w:r w:rsidRPr="007A431F">
              <w:rPr>
                <w:rFonts w:ascii="Aptos" w:eastAsia="Aptos" w:hAnsi="Aptos" w:cs="Times New Roman"/>
                <w:i/>
                <w:iCs/>
                <w:color w:val="auto"/>
                <w:lang w:val="en-AU"/>
              </w:rPr>
              <w:t>TAPQE_Annual</w:t>
            </w:r>
            <w:proofErr w:type="spellEnd"/>
            <w:r w:rsidRPr="007A431F">
              <w:rPr>
                <w:rFonts w:ascii="Aptos" w:eastAsia="Aptos" w:hAnsi="Aptos" w:cs="Times New Roman"/>
                <w:i/>
                <w:iCs/>
                <w:color w:val="auto"/>
                <w:lang w:val="en-AU"/>
              </w:rPr>
              <w:t xml:space="preserve"> Workplan 2024_FINAL 20240312</w:t>
            </w:r>
          </w:p>
          <w:p w14:paraId="511692D7"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c) </w:t>
            </w:r>
            <w:proofErr w:type="spellStart"/>
            <w:r w:rsidRPr="007A431F">
              <w:rPr>
                <w:rFonts w:ascii="Aptos" w:eastAsia="Aptos" w:hAnsi="Aptos" w:cs="Times New Roman"/>
                <w:i/>
                <w:iCs/>
                <w:color w:val="auto"/>
                <w:lang w:val="en-AU"/>
              </w:rPr>
              <w:t>TAPQE_Master-InceptionPlan</w:t>
            </w:r>
            <w:proofErr w:type="spellEnd"/>
            <w:r w:rsidRPr="007A431F">
              <w:rPr>
                <w:rFonts w:ascii="Aptos" w:eastAsia="Aptos" w:hAnsi="Aptos" w:cs="Times New Roman"/>
                <w:i/>
                <w:iCs/>
                <w:color w:val="auto"/>
                <w:lang w:val="en-AU"/>
              </w:rPr>
              <w:t xml:space="preserve"> revised with Risk Summary</w:t>
            </w:r>
          </w:p>
          <w:p w14:paraId="6A0C2AA1"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d) TAPQE AWP Forward planning Jan-June 2025</w:t>
            </w:r>
          </w:p>
        </w:tc>
      </w:tr>
      <w:tr w:rsidR="007A431F" w:rsidRPr="007A431F" w14:paraId="3C252F99" w14:textId="77777777" w:rsidTr="00D9362D">
        <w:tc>
          <w:tcPr>
            <w:tcW w:w="3961" w:type="dxa"/>
            <w:hideMark/>
          </w:tcPr>
          <w:p w14:paraId="0B6F3A75"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 xml:space="preserve">6. TAPQE MERL Plan </w:t>
            </w:r>
          </w:p>
        </w:tc>
        <w:tc>
          <w:tcPr>
            <w:tcW w:w="5661" w:type="dxa"/>
            <w:hideMark/>
          </w:tcPr>
          <w:p w14:paraId="45223F25"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TAPQE MERL Plan 20240701</w:t>
            </w:r>
          </w:p>
          <w:p w14:paraId="4DDD4176"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b) TAPQE_MERL Framework_20230628</w:t>
            </w:r>
          </w:p>
        </w:tc>
      </w:tr>
      <w:tr w:rsidR="007A431F" w:rsidRPr="007A431F" w14:paraId="4BE4BAFA"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hideMark/>
          </w:tcPr>
          <w:p w14:paraId="799FD15A"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7. TAPQE GEDSI Strategy</w:t>
            </w:r>
          </w:p>
        </w:tc>
        <w:tc>
          <w:tcPr>
            <w:tcW w:w="5661" w:type="dxa"/>
            <w:shd w:val="clear" w:color="auto" w:fill="C1E4F5"/>
            <w:hideMark/>
          </w:tcPr>
          <w:p w14:paraId="032F628F"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a) TAPQE GEDSI Strategy 20230525.docx</w:t>
            </w:r>
          </w:p>
        </w:tc>
      </w:tr>
      <w:tr w:rsidR="007A431F" w:rsidRPr="007A431F" w14:paraId="462CADE4" w14:textId="77777777" w:rsidTr="00D9362D">
        <w:tc>
          <w:tcPr>
            <w:tcW w:w="3961" w:type="dxa"/>
            <w:hideMark/>
          </w:tcPr>
          <w:p w14:paraId="20E5D70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8. TAPQE Annual Report 2023</w:t>
            </w:r>
          </w:p>
        </w:tc>
        <w:tc>
          <w:tcPr>
            <w:tcW w:w="5661" w:type="dxa"/>
            <w:hideMark/>
          </w:tcPr>
          <w:p w14:paraId="2C77CA1E"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TAPQE Annual Report 2023_20240215</w:t>
            </w:r>
          </w:p>
          <w:p w14:paraId="0A91A3D0"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b) Draft </w:t>
            </w:r>
            <w:proofErr w:type="spellStart"/>
            <w:r w:rsidRPr="007A431F">
              <w:rPr>
                <w:rFonts w:ascii="Aptos" w:eastAsia="Aptos" w:hAnsi="Aptos" w:cs="Times New Roman"/>
                <w:i/>
                <w:iCs/>
                <w:color w:val="auto"/>
                <w:lang w:val="en-AU"/>
              </w:rPr>
              <w:t>TAPQE_REP_Annual</w:t>
            </w:r>
            <w:proofErr w:type="spellEnd"/>
            <w:r w:rsidRPr="007A431F">
              <w:rPr>
                <w:rFonts w:ascii="Aptos" w:eastAsia="Aptos" w:hAnsi="Aptos" w:cs="Times New Roman"/>
                <w:i/>
                <w:iCs/>
                <w:color w:val="auto"/>
                <w:lang w:val="en-AU"/>
              </w:rPr>
              <w:t xml:space="preserve"> Report 2024</w:t>
            </w:r>
          </w:p>
          <w:p w14:paraId="10461DE9"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en-AU"/>
              </w:rPr>
            </w:pPr>
            <w:r w:rsidRPr="007A431F">
              <w:rPr>
                <w:rFonts w:ascii="Aptos" w:eastAsia="Aptos" w:hAnsi="Aptos" w:cs="Times New Roman"/>
                <w:color w:val="auto"/>
                <w:lang w:val="en-AU"/>
              </w:rPr>
              <w:t>Annex 1 TAPQE Evidence Table</w:t>
            </w:r>
          </w:p>
          <w:p w14:paraId="6CF621B9"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en-AU"/>
              </w:rPr>
            </w:pPr>
            <w:r w:rsidRPr="007A431F">
              <w:rPr>
                <w:rFonts w:ascii="Aptos" w:eastAsia="Aptos" w:hAnsi="Aptos" w:cs="Times New Roman"/>
                <w:color w:val="auto"/>
                <w:lang w:val="en-AU"/>
              </w:rPr>
              <w:t>Annex 2 Theory of Change</w:t>
            </w:r>
          </w:p>
          <w:p w14:paraId="3978AB3F"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sv-SE"/>
              </w:rPr>
            </w:pPr>
            <w:r w:rsidRPr="007A431F">
              <w:rPr>
                <w:rFonts w:ascii="Aptos" w:eastAsia="Aptos" w:hAnsi="Aptos" w:cs="Times New Roman"/>
                <w:color w:val="auto"/>
                <w:lang w:val="sv-SE"/>
              </w:rPr>
              <w:t>Annex 3 Risk Register</w:t>
            </w:r>
          </w:p>
          <w:p w14:paraId="654E5F3C"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sv-SE"/>
              </w:rPr>
            </w:pPr>
            <w:r w:rsidRPr="007A431F">
              <w:rPr>
                <w:rFonts w:ascii="Aptos" w:eastAsia="Aptos" w:hAnsi="Aptos" w:cs="Times New Roman"/>
                <w:color w:val="auto"/>
                <w:lang w:val="sv-SE"/>
              </w:rPr>
              <w:t>Annex 4 TAPQE GEDSI Strategy</w:t>
            </w:r>
          </w:p>
          <w:p w14:paraId="0AA8685A"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en-AU"/>
              </w:rPr>
            </w:pPr>
            <w:r w:rsidRPr="007A431F">
              <w:rPr>
                <w:rFonts w:ascii="Aptos" w:eastAsia="Aptos" w:hAnsi="Aptos" w:cs="Times New Roman"/>
                <w:color w:val="auto"/>
                <w:lang w:val="en-AU"/>
              </w:rPr>
              <w:t>Annex 5 Performance Stories</w:t>
            </w:r>
          </w:p>
          <w:p w14:paraId="79B7F938"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en-AU"/>
              </w:rPr>
            </w:pPr>
            <w:r w:rsidRPr="007A431F">
              <w:rPr>
                <w:rFonts w:ascii="Aptos" w:eastAsia="Aptos" w:hAnsi="Aptos" w:cs="Times New Roman"/>
                <w:color w:val="auto"/>
                <w:lang w:val="en-AU"/>
              </w:rPr>
              <w:t>Annex 6 Progress Against End of Program Outcomes</w:t>
            </w:r>
          </w:p>
          <w:p w14:paraId="21E0BFD9" w14:textId="77777777" w:rsidR="007A431F" w:rsidRPr="007A431F" w:rsidRDefault="007A431F" w:rsidP="007A431F">
            <w:pPr>
              <w:suppressAutoHyphens w:val="0"/>
              <w:autoSpaceDE/>
              <w:autoSpaceDN/>
              <w:adjustRightInd/>
              <w:spacing w:line="240" w:lineRule="auto"/>
              <w:ind w:left="315"/>
              <w:jc w:val="left"/>
              <w:textAlignment w:val="auto"/>
              <w:rPr>
                <w:rFonts w:ascii="Aptos" w:eastAsia="Aptos" w:hAnsi="Aptos" w:cs="Times New Roman"/>
                <w:color w:val="auto"/>
                <w:lang w:val="en-AU"/>
              </w:rPr>
            </w:pPr>
          </w:p>
        </w:tc>
      </w:tr>
      <w:tr w:rsidR="007A431F" w:rsidRPr="007A431F" w14:paraId="728D4AF3"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hideMark/>
          </w:tcPr>
          <w:p w14:paraId="3B17D74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 xml:space="preserve">9. TAPQE Steering Group – </w:t>
            </w:r>
            <w:proofErr w:type="spellStart"/>
            <w:r w:rsidRPr="007A431F">
              <w:rPr>
                <w:rFonts w:ascii="Aptos" w:eastAsia="Aptos" w:hAnsi="Aptos" w:cs="Times New Roman"/>
                <w:color w:val="auto"/>
                <w:lang w:val="en-AU"/>
              </w:rPr>
              <w:t>ToRs</w:t>
            </w:r>
            <w:proofErr w:type="spellEnd"/>
            <w:r w:rsidRPr="007A431F">
              <w:rPr>
                <w:rFonts w:ascii="Aptos" w:eastAsia="Aptos" w:hAnsi="Aptos" w:cs="Times New Roman"/>
                <w:color w:val="auto"/>
                <w:lang w:val="en-AU"/>
              </w:rPr>
              <w:t xml:space="preserve"> and Minutes of Meetings</w:t>
            </w:r>
          </w:p>
        </w:tc>
        <w:tc>
          <w:tcPr>
            <w:tcW w:w="5661" w:type="dxa"/>
            <w:shd w:val="clear" w:color="auto" w:fill="C1E4F5"/>
            <w:hideMark/>
          </w:tcPr>
          <w:p w14:paraId="1CAB65CA"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i/>
                <w:iCs/>
                <w:color w:val="auto"/>
                <w:lang w:val="en-AU"/>
              </w:rPr>
              <w:t xml:space="preserve">a) </w:t>
            </w:r>
            <w:proofErr w:type="spellStart"/>
            <w:r w:rsidRPr="007A431F">
              <w:rPr>
                <w:rFonts w:ascii="Aptos" w:eastAsia="Aptos" w:hAnsi="Aptos" w:cs="Times New Roman"/>
                <w:i/>
                <w:iCs/>
                <w:color w:val="auto"/>
                <w:lang w:val="en-AU"/>
              </w:rPr>
              <w:t>TAPQE_TOR_Steering</w:t>
            </w:r>
            <w:proofErr w:type="spellEnd"/>
            <w:r w:rsidRPr="007A431F">
              <w:rPr>
                <w:rFonts w:ascii="Aptos" w:eastAsia="Aptos" w:hAnsi="Aptos" w:cs="Times New Roman"/>
                <w:i/>
                <w:iCs/>
                <w:color w:val="auto"/>
                <w:lang w:val="en-AU"/>
              </w:rPr>
              <w:t xml:space="preserve"> Group_001_20221207</w:t>
            </w:r>
          </w:p>
          <w:p w14:paraId="766CAE6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b) 1 </w:t>
            </w:r>
            <w:proofErr w:type="spellStart"/>
            <w:r w:rsidRPr="007A431F">
              <w:rPr>
                <w:rFonts w:ascii="Aptos" w:eastAsia="Aptos" w:hAnsi="Aptos" w:cs="Times New Roman"/>
                <w:i/>
                <w:iCs/>
                <w:color w:val="auto"/>
                <w:lang w:val="en-AU"/>
              </w:rPr>
              <w:t>TAPQE_Agenda_Steering</w:t>
            </w:r>
            <w:proofErr w:type="spellEnd"/>
            <w:r w:rsidRPr="007A431F">
              <w:rPr>
                <w:rFonts w:ascii="Aptos" w:eastAsia="Aptos" w:hAnsi="Aptos" w:cs="Times New Roman"/>
                <w:i/>
                <w:iCs/>
                <w:color w:val="auto"/>
                <w:lang w:val="en-AU"/>
              </w:rPr>
              <w:t xml:space="preserve"> Group_001_May 2023</w:t>
            </w:r>
          </w:p>
          <w:p w14:paraId="426C86B4"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b) 2 </w:t>
            </w:r>
            <w:proofErr w:type="spellStart"/>
            <w:r w:rsidRPr="007A431F">
              <w:rPr>
                <w:rFonts w:ascii="Aptos" w:eastAsia="Aptos" w:hAnsi="Aptos" w:cs="Times New Roman"/>
                <w:i/>
                <w:iCs/>
                <w:color w:val="auto"/>
                <w:lang w:val="en-AU"/>
              </w:rPr>
              <w:t>TAPQE_Minutes_Steering</w:t>
            </w:r>
            <w:proofErr w:type="spellEnd"/>
            <w:r w:rsidRPr="007A431F">
              <w:rPr>
                <w:rFonts w:ascii="Aptos" w:eastAsia="Aptos" w:hAnsi="Aptos" w:cs="Times New Roman"/>
                <w:i/>
                <w:iCs/>
                <w:color w:val="auto"/>
                <w:lang w:val="en-AU"/>
              </w:rPr>
              <w:t xml:space="preserve"> Committee Meeting_001_20230503</w:t>
            </w:r>
          </w:p>
          <w:p w14:paraId="58789203"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b) 3 Short Term Advisors May (004)</w:t>
            </w:r>
          </w:p>
          <w:p w14:paraId="24866923"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c) 1 </w:t>
            </w:r>
            <w:proofErr w:type="spellStart"/>
            <w:r w:rsidRPr="007A431F">
              <w:rPr>
                <w:rFonts w:ascii="Aptos" w:eastAsia="Aptos" w:hAnsi="Aptos" w:cs="Times New Roman"/>
                <w:i/>
                <w:iCs/>
                <w:color w:val="auto"/>
                <w:lang w:val="en-AU"/>
              </w:rPr>
              <w:t>TAPQE_Agenda_Steering</w:t>
            </w:r>
            <w:proofErr w:type="spellEnd"/>
            <w:r w:rsidRPr="007A431F">
              <w:rPr>
                <w:rFonts w:ascii="Aptos" w:eastAsia="Aptos" w:hAnsi="Aptos" w:cs="Times New Roman"/>
                <w:i/>
                <w:iCs/>
                <w:color w:val="auto"/>
                <w:lang w:val="en-AU"/>
              </w:rPr>
              <w:t xml:space="preserve"> Group 002 September 2023</w:t>
            </w:r>
          </w:p>
          <w:p w14:paraId="537C3AB5"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c) 2 Sep 23 SC Attachment 4_Recruitment Approach</w:t>
            </w:r>
          </w:p>
          <w:p w14:paraId="5FE5072C"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c) 3 Sep 23 SC Attachment 5 Recruitment Approach1</w:t>
            </w:r>
          </w:p>
          <w:p w14:paraId="7050FF85"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c) 4 Sep 23 SC Attachment 7 Strategic </w:t>
            </w:r>
            <w:proofErr w:type="spellStart"/>
            <w:r w:rsidRPr="007A431F">
              <w:rPr>
                <w:rFonts w:ascii="Aptos" w:eastAsia="Aptos" w:hAnsi="Aptos" w:cs="Times New Roman"/>
                <w:i/>
                <w:iCs/>
                <w:color w:val="auto"/>
                <w:lang w:val="en-AU"/>
              </w:rPr>
              <w:t>reviews_MC</w:t>
            </w:r>
            <w:proofErr w:type="spellEnd"/>
            <w:r w:rsidRPr="007A431F">
              <w:rPr>
                <w:rFonts w:ascii="Aptos" w:eastAsia="Aptos" w:hAnsi="Aptos" w:cs="Times New Roman"/>
                <w:i/>
                <w:iCs/>
                <w:color w:val="auto"/>
                <w:lang w:val="en-AU"/>
              </w:rPr>
              <w:t xml:space="preserve"> revised November 2023</w:t>
            </w:r>
          </w:p>
          <w:p w14:paraId="6E6777AA"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c) 5 </w:t>
            </w:r>
            <w:proofErr w:type="spellStart"/>
            <w:r w:rsidRPr="007A431F">
              <w:rPr>
                <w:rFonts w:ascii="Aptos" w:eastAsia="Aptos" w:hAnsi="Aptos" w:cs="Times New Roman"/>
                <w:i/>
                <w:iCs/>
                <w:color w:val="auto"/>
                <w:lang w:val="en-AU"/>
              </w:rPr>
              <w:t>TAPQE_Minutes_Steering</w:t>
            </w:r>
            <w:proofErr w:type="spellEnd"/>
            <w:r w:rsidRPr="007A431F">
              <w:rPr>
                <w:rFonts w:ascii="Aptos" w:eastAsia="Aptos" w:hAnsi="Aptos" w:cs="Times New Roman"/>
                <w:i/>
                <w:iCs/>
                <w:color w:val="auto"/>
                <w:lang w:val="en-AU"/>
              </w:rPr>
              <w:t xml:space="preserve"> Committee Meeting_20230920</w:t>
            </w:r>
          </w:p>
          <w:p w14:paraId="1266B9C2"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d) TAPQE Steering Committee Meeting March 2024 (FINAL)</w:t>
            </w:r>
          </w:p>
          <w:p w14:paraId="09F10AD7"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d) 2 Mar 24 SC Attachment 5_MEYS_ICT Review_Status_20240327</w:t>
            </w:r>
          </w:p>
          <w:p w14:paraId="7F3998E4"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lastRenderedPageBreak/>
              <w:t xml:space="preserve">d) 3 </w:t>
            </w:r>
            <w:proofErr w:type="spellStart"/>
            <w:r w:rsidRPr="007A431F">
              <w:rPr>
                <w:rFonts w:ascii="Aptos" w:eastAsia="Aptos" w:hAnsi="Aptos" w:cs="Times New Roman"/>
                <w:color w:val="auto"/>
                <w:lang w:val="en-AU"/>
              </w:rPr>
              <w:t>TAPQE_Minutes_Steering</w:t>
            </w:r>
            <w:proofErr w:type="spellEnd"/>
            <w:r w:rsidRPr="007A431F">
              <w:rPr>
                <w:rFonts w:ascii="Aptos" w:eastAsia="Aptos" w:hAnsi="Aptos" w:cs="Times New Roman"/>
                <w:color w:val="auto"/>
                <w:lang w:val="en-AU"/>
              </w:rPr>
              <w:t xml:space="preserve"> Committee Meeting_20240304</w:t>
            </w:r>
          </w:p>
          <w:p w14:paraId="5FAB6B45"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e) 1 </w:t>
            </w:r>
            <w:proofErr w:type="spellStart"/>
            <w:r w:rsidRPr="007A431F">
              <w:rPr>
                <w:rFonts w:ascii="Aptos" w:eastAsia="Aptos" w:hAnsi="Aptos" w:cs="Times New Roman"/>
                <w:i/>
                <w:iCs/>
                <w:color w:val="auto"/>
                <w:lang w:val="en-AU"/>
              </w:rPr>
              <w:t>TAPQE_Agenda_Steering</w:t>
            </w:r>
            <w:proofErr w:type="spellEnd"/>
            <w:r w:rsidRPr="007A431F">
              <w:rPr>
                <w:rFonts w:ascii="Aptos" w:eastAsia="Aptos" w:hAnsi="Aptos" w:cs="Times New Roman"/>
                <w:i/>
                <w:iCs/>
                <w:color w:val="auto"/>
                <w:lang w:val="en-AU"/>
              </w:rPr>
              <w:t xml:space="preserve"> Group 004 July 2024</w:t>
            </w:r>
          </w:p>
          <w:p w14:paraId="4E3F2D6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e) 2 Jul 24 SC Attachment 7_Recruitment</w:t>
            </w:r>
          </w:p>
          <w:p w14:paraId="68BE95FF"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e) 3 </w:t>
            </w:r>
            <w:proofErr w:type="spellStart"/>
            <w:r w:rsidRPr="007A431F">
              <w:rPr>
                <w:rFonts w:ascii="Aptos" w:eastAsia="Aptos" w:hAnsi="Aptos" w:cs="Times New Roman"/>
                <w:i/>
                <w:iCs/>
                <w:color w:val="auto"/>
                <w:lang w:val="en-AU"/>
              </w:rPr>
              <w:t>TAPQE_Minutes_Steering</w:t>
            </w:r>
            <w:proofErr w:type="spellEnd"/>
            <w:r w:rsidRPr="007A431F">
              <w:rPr>
                <w:rFonts w:ascii="Aptos" w:eastAsia="Aptos" w:hAnsi="Aptos" w:cs="Times New Roman"/>
                <w:i/>
                <w:iCs/>
                <w:color w:val="auto"/>
                <w:lang w:val="en-AU"/>
              </w:rPr>
              <w:t xml:space="preserve"> Committee Meeting_20240710</w:t>
            </w:r>
          </w:p>
        </w:tc>
      </w:tr>
      <w:tr w:rsidR="007A431F" w:rsidRPr="007A431F" w14:paraId="4284C7AA" w14:textId="77777777" w:rsidTr="00D9362D">
        <w:tc>
          <w:tcPr>
            <w:tcW w:w="3961" w:type="dxa"/>
            <w:shd w:val="clear" w:color="auto" w:fill="FFFFFF"/>
          </w:tcPr>
          <w:p w14:paraId="31813B06"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lastRenderedPageBreak/>
              <w:t>10. Partner Performance Assessment</w:t>
            </w:r>
          </w:p>
        </w:tc>
        <w:tc>
          <w:tcPr>
            <w:tcW w:w="5661" w:type="dxa"/>
            <w:shd w:val="clear" w:color="auto" w:fill="FFFFFF"/>
          </w:tcPr>
          <w:p w14:paraId="45C21AA3"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a) AHC </w:t>
            </w:r>
            <w:proofErr w:type="spellStart"/>
            <w:r w:rsidRPr="007A431F">
              <w:rPr>
                <w:rFonts w:ascii="Aptos" w:eastAsia="Aptos" w:hAnsi="Aptos" w:cs="Times New Roman"/>
                <w:i/>
                <w:iCs/>
                <w:color w:val="auto"/>
                <w:lang w:val="en-AU"/>
              </w:rPr>
              <w:t>Tuvalu_TAPQE</w:t>
            </w:r>
            <w:proofErr w:type="spellEnd"/>
            <w:r w:rsidRPr="007A431F">
              <w:rPr>
                <w:rFonts w:ascii="Aptos" w:eastAsia="Aptos" w:hAnsi="Aptos" w:cs="Times New Roman"/>
                <w:i/>
                <w:iCs/>
                <w:color w:val="auto"/>
                <w:lang w:val="en-AU"/>
              </w:rPr>
              <w:t xml:space="preserve"> PPA-updated 1 May 2024</w:t>
            </w:r>
          </w:p>
        </w:tc>
      </w:tr>
      <w:tr w:rsidR="007A431F" w:rsidRPr="007A431F" w14:paraId="35DF658F"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tcPr>
          <w:p w14:paraId="7AECA689"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11. Pause, reflect and plan</w:t>
            </w:r>
          </w:p>
        </w:tc>
        <w:tc>
          <w:tcPr>
            <w:tcW w:w="5661" w:type="dxa"/>
            <w:shd w:val="clear" w:color="auto" w:fill="C1E4F5"/>
          </w:tcPr>
          <w:p w14:paraId="63BDD78B"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Documents for PRP workshops:</w:t>
            </w:r>
          </w:p>
          <w:p w14:paraId="0502E06B" w14:textId="77777777" w:rsidR="007A431F" w:rsidRPr="007A431F" w:rsidRDefault="007A431F" w:rsidP="00B32148">
            <w:pPr>
              <w:numPr>
                <w:ilvl w:val="0"/>
                <w:numId w:val="52"/>
              </w:numPr>
              <w:suppressAutoHyphens w:val="0"/>
              <w:autoSpaceDE/>
              <w:autoSpaceDN/>
              <w:adjustRightInd/>
              <w:spacing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May 2023</w:t>
            </w:r>
          </w:p>
          <w:p w14:paraId="5A681215" w14:textId="77777777" w:rsidR="007A431F" w:rsidRPr="007A431F" w:rsidRDefault="007A431F" w:rsidP="00B32148">
            <w:pPr>
              <w:numPr>
                <w:ilvl w:val="0"/>
                <w:numId w:val="52"/>
              </w:numPr>
              <w:suppressAutoHyphens w:val="0"/>
              <w:autoSpaceDE/>
              <w:autoSpaceDN/>
              <w:adjustRightInd/>
              <w:spacing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September 2023</w:t>
            </w:r>
          </w:p>
          <w:p w14:paraId="658A85B8" w14:textId="77777777" w:rsidR="007A431F" w:rsidRPr="007A431F" w:rsidRDefault="007A431F" w:rsidP="00B32148">
            <w:pPr>
              <w:numPr>
                <w:ilvl w:val="0"/>
                <w:numId w:val="52"/>
              </w:numPr>
              <w:suppressAutoHyphens w:val="0"/>
              <w:autoSpaceDE/>
              <w:autoSpaceDN/>
              <w:adjustRightInd/>
              <w:spacing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May 2024</w:t>
            </w:r>
          </w:p>
          <w:p w14:paraId="0E38D8BC" w14:textId="77777777" w:rsidR="007A431F" w:rsidRPr="007A431F" w:rsidRDefault="007A431F" w:rsidP="00B32148">
            <w:pPr>
              <w:numPr>
                <w:ilvl w:val="0"/>
                <w:numId w:val="52"/>
              </w:numPr>
              <w:suppressAutoHyphens w:val="0"/>
              <w:autoSpaceDE/>
              <w:autoSpaceDN/>
              <w:adjustRightInd/>
              <w:spacing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February 2025</w:t>
            </w:r>
          </w:p>
        </w:tc>
      </w:tr>
      <w:tr w:rsidR="007A431F" w:rsidRPr="007A431F" w14:paraId="3EBB9701" w14:textId="77777777" w:rsidTr="00D9362D">
        <w:tc>
          <w:tcPr>
            <w:tcW w:w="3961" w:type="dxa"/>
            <w:shd w:val="clear" w:color="auto" w:fill="FFFFFF"/>
          </w:tcPr>
          <w:p w14:paraId="564800CE"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12. Progress reports</w:t>
            </w:r>
          </w:p>
        </w:tc>
        <w:tc>
          <w:tcPr>
            <w:tcW w:w="5661" w:type="dxa"/>
            <w:shd w:val="clear" w:color="auto" w:fill="FFFFFF"/>
          </w:tcPr>
          <w:p w14:paraId="2353C138"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a) </w:t>
            </w:r>
            <w:proofErr w:type="spellStart"/>
            <w:r w:rsidRPr="007A431F">
              <w:rPr>
                <w:rFonts w:ascii="Aptos" w:eastAsia="Aptos" w:hAnsi="Aptos" w:cs="Times New Roman"/>
                <w:i/>
                <w:iCs/>
                <w:color w:val="auto"/>
                <w:lang w:val="en-AU"/>
              </w:rPr>
              <w:t>TAPQE_TMP_quarterly</w:t>
            </w:r>
            <w:proofErr w:type="spellEnd"/>
            <w:r w:rsidRPr="007A431F">
              <w:rPr>
                <w:rFonts w:ascii="Aptos" w:eastAsia="Aptos" w:hAnsi="Aptos" w:cs="Times New Roman"/>
                <w:i/>
                <w:iCs/>
                <w:color w:val="auto"/>
                <w:lang w:val="en-AU"/>
              </w:rPr>
              <w:t xml:space="preserve"> progress report July 2023</w:t>
            </w:r>
          </w:p>
          <w:p w14:paraId="5F2847C6"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b) </w:t>
            </w:r>
            <w:proofErr w:type="spellStart"/>
            <w:r w:rsidRPr="007A431F">
              <w:rPr>
                <w:rFonts w:ascii="Aptos" w:eastAsia="Aptos" w:hAnsi="Aptos" w:cs="Times New Roman"/>
                <w:i/>
                <w:iCs/>
                <w:color w:val="auto"/>
                <w:lang w:val="en-AU"/>
              </w:rPr>
              <w:t>TAPQE_Quarterly</w:t>
            </w:r>
            <w:proofErr w:type="spellEnd"/>
            <w:r w:rsidRPr="007A431F">
              <w:rPr>
                <w:rFonts w:ascii="Aptos" w:eastAsia="Aptos" w:hAnsi="Aptos" w:cs="Times New Roman"/>
                <w:i/>
                <w:iCs/>
                <w:color w:val="auto"/>
                <w:lang w:val="en-AU"/>
              </w:rPr>
              <w:t xml:space="preserve"> Progress Report_20230901</w:t>
            </w:r>
          </w:p>
          <w:p w14:paraId="27566D3E"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c) </w:t>
            </w:r>
            <w:proofErr w:type="spellStart"/>
            <w:r w:rsidRPr="007A431F">
              <w:rPr>
                <w:rFonts w:ascii="Aptos" w:eastAsia="Aptos" w:hAnsi="Aptos" w:cs="Times New Roman"/>
                <w:i/>
                <w:iCs/>
                <w:color w:val="auto"/>
                <w:lang w:val="en-AU"/>
              </w:rPr>
              <w:t>TAPQE_Quarterly</w:t>
            </w:r>
            <w:proofErr w:type="spellEnd"/>
            <w:r w:rsidRPr="007A431F">
              <w:rPr>
                <w:rFonts w:ascii="Aptos" w:eastAsia="Aptos" w:hAnsi="Aptos" w:cs="Times New Roman"/>
                <w:i/>
                <w:iCs/>
                <w:color w:val="auto"/>
                <w:lang w:val="en-AU"/>
              </w:rPr>
              <w:t xml:space="preserve"> Progress Report_20240227</w:t>
            </w:r>
          </w:p>
          <w:p w14:paraId="39A9B618" w14:textId="77777777" w:rsidR="007A431F" w:rsidRPr="007A431F" w:rsidRDefault="007A431F" w:rsidP="007A431F">
            <w:pPr>
              <w:suppressAutoHyphens w:val="0"/>
              <w:autoSpaceDE/>
              <w:autoSpaceDN/>
              <w:adjustRightInd/>
              <w:spacing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b) Summary Activities TAPQE Inception Phase 24 May</w:t>
            </w:r>
          </w:p>
        </w:tc>
      </w:tr>
      <w:tr w:rsidR="007A431F" w:rsidRPr="007A431F" w14:paraId="0E46B7D6"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tcPr>
          <w:p w14:paraId="3D9CC480"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13. TAPQE Team</w:t>
            </w:r>
          </w:p>
        </w:tc>
        <w:tc>
          <w:tcPr>
            <w:tcW w:w="5661" w:type="dxa"/>
            <w:shd w:val="clear" w:color="auto" w:fill="C1E4F5"/>
          </w:tcPr>
          <w:p w14:paraId="422B32C0"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TAPQE Org Chart</w:t>
            </w:r>
          </w:p>
        </w:tc>
      </w:tr>
      <w:tr w:rsidR="007A431F" w:rsidRPr="007A431F" w14:paraId="18DBE37F" w14:textId="77777777" w:rsidTr="00D9362D">
        <w:tc>
          <w:tcPr>
            <w:tcW w:w="3961" w:type="dxa"/>
            <w:shd w:val="clear" w:color="auto" w:fill="FFFFFF"/>
          </w:tcPr>
          <w:p w14:paraId="4A07362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14. Tuvalu Learning Project (TuLEP)</w:t>
            </w:r>
          </w:p>
        </w:tc>
        <w:tc>
          <w:tcPr>
            <w:tcW w:w="5661" w:type="dxa"/>
            <w:shd w:val="clear" w:color="auto" w:fill="FFFFFF"/>
          </w:tcPr>
          <w:p w14:paraId="11B64759"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Tuvalu-Learning-Project</w:t>
            </w:r>
          </w:p>
        </w:tc>
      </w:tr>
      <w:tr w:rsidR="007A431F" w:rsidRPr="007A431F" w14:paraId="31C48363"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tcPr>
          <w:p w14:paraId="46B34186"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15. TAPQE Communication</w:t>
            </w:r>
          </w:p>
        </w:tc>
        <w:tc>
          <w:tcPr>
            <w:tcW w:w="5661" w:type="dxa"/>
            <w:shd w:val="clear" w:color="auto" w:fill="C1E4F5"/>
          </w:tcPr>
          <w:p w14:paraId="65E588F8"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a) TAPQE Communication Plan August 2023 FINAL August 2023</w:t>
            </w:r>
          </w:p>
        </w:tc>
      </w:tr>
      <w:tr w:rsidR="007A431F" w:rsidRPr="007A431F" w14:paraId="75A11EBB" w14:textId="77777777" w:rsidTr="00D9362D">
        <w:tc>
          <w:tcPr>
            <w:tcW w:w="3961" w:type="dxa"/>
            <w:shd w:val="clear" w:color="auto" w:fill="FFFFFF"/>
          </w:tcPr>
          <w:p w14:paraId="5AF13904"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15. TAPQE Annual Budgets (and Actuals)</w:t>
            </w:r>
          </w:p>
        </w:tc>
        <w:tc>
          <w:tcPr>
            <w:tcW w:w="5661" w:type="dxa"/>
            <w:shd w:val="clear" w:color="auto" w:fill="FFFFFF"/>
          </w:tcPr>
          <w:p w14:paraId="7325364D"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 xml:space="preserve">a) </w:t>
            </w:r>
            <w:proofErr w:type="spellStart"/>
            <w:r w:rsidRPr="007A431F">
              <w:rPr>
                <w:rFonts w:ascii="Aptos" w:eastAsia="Aptos" w:hAnsi="Aptos" w:cs="Times New Roman"/>
                <w:i/>
                <w:iCs/>
                <w:color w:val="auto"/>
                <w:lang w:val="en-AU"/>
              </w:rPr>
              <w:t>TAPQE_Spend</w:t>
            </w:r>
            <w:proofErr w:type="spellEnd"/>
            <w:r w:rsidRPr="007A431F">
              <w:rPr>
                <w:rFonts w:ascii="Aptos" w:eastAsia="Aptos" w:hAnsi="Aptos" w:cs="Times New Roman"/>
                <w:i/>
                <w:iCs/>
                <w:color w:val="auto"/>
                <w:lang w:val="en-AU"/>
              </w:rPr>
              <w:t xml:space="preserve"> to Date Summary_20250117</w:t>
            </w:r>
          </w:p>
        </w:tc>
      </w:tr>
      <w:tr w:rsidR="007A431F" w:rsidRPr="007A431F" w14:paraId="0F660B76" w14:textId="77777777" w:rsidTr="00D9362D">
        <w:trPr>
          <w:cnfStyle w:val="000000100000" w:firstRow="0" w:lastRow="0" w:firstColumn="0" w:lastColumn="0" w:oddVBand="0" w:evenVBand="0" w:oddHBand="1" w:evenHBand="0" w:firstRowFirstColumn="0" w:firstRowLastColumn="0" w:lastRowFirstColumn="0" w:lastRowLastColumn="0"/>
        </w:trPr>
        <w:tc>
          <w:tcPr>
            <w:tcW w:w="3961" w:type="dxa"/>
            <w:shd w:val="clear" w:color="auto" w:fill="C1E4F5"/>
          </w:tcPr>
          <w:p w14:paraId="4124E864" w14:textId="77777777" w:rsidR="007A431F" w:rsidRPr="007A431F" w:rsidRDefault="007A431F" w:rsidP="007A431F">
            <w:pPr>
              <w:suppressAutoHyphens w:val="0"/>
              <w:autoSpaceDE/>
              <w:autoSpaceDN/>
              <w:adjustRightInd/>
              <w:spacing w:after="120" w:line="240" w:lineRule="auto"/>
              <w:jc w:val="left"/>
              <w:textAlignment w:val="auto"/>
              <w:rPr>
                <w:rFonts w:ascii="Aptos" w:eastAsia="Aptos" w:hAnsi="Aptos" w:cs="Times New Roman"/>
                <w:color w:val="auto"/>
                <w:lang w:val="en-AU"/>
              </w:rPr>
            </w:pPr>
            <w:r w:rsidRPr="007A431F">
              <w:rPr>
                <w:rFonts w:ascii="Aptos" w:eastAsia="Aptos" w:hAnsi="Aptos" w:cs="Times New Roman"/>
                <w:color w:val="auto"/>
                <w:lang w:val="en-AU"/>
              </w:rPr>
              <w:t>16. Additional documents</w:t>
            </w:r>
          </w:p>
        </w:tc>
        <w:tc>
          <w:tcPr>
            <w:tcW w:w="5661" w:type="dxa"/>
            <w:shd w:val="clear" w:color="auto" w:fill="C1E4F5"/>
          </w:tcPr>
          <w:p w14:paraId="3FF412EE" w14:textId="77777777" w:rsidR="007A431F" w:rsidRPr="007A431F" w:rsidRDefault="007A431F" w:rsidP="00B32148">
            <w:pPr>
              <w:numPr>
                <w:ilvl w:val="0"/>
                <w:numId w:val="53"/>
              </w:numPr>
              <w:suppressAutoHyphens w:val="0"/>
              <w:autoSpaceDE/>
              <w:autoSpaceDN/>
              <w:adjustRightInd/>
              <w:spacing w:after="120"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DTL-Key Takeaways on Day 1 PRP May 2024</w:t>
            </w:r>
          </w:p>
          <w:p w14:paraId="1186FCB2" w14:textId="77777777" w:rsidR="007A431F" w:rsidRPr="007A431F" w:rsidRDefault="007A431F" w:rsidP="00B32148">
            <w:pPr>
              <w:numPr>
                <w:ilvl w:val="0"/>
                <w:numId w:val="53"/>
              </w:numPr>
              <w:suppressAutoHyphens w:val="0"/>
              <w:autoSpaceDE/>
              <w:autoSpaceDN/>
              <w:adjustRightInd/>
              <w:spacing w:after="120"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TAPQE Implementation Tracker July-December 2025</w:t>
            </w:r>
          </w:p>
          <w:p w14:paraId="0298F00A" w14:textId="77777777" w:rsidR="007A431F" w:rsidRPr="007A431F" w:rsidRDefault="007A431F" w:rsidP="00B32148">
            <w:pPr>
              <w:numPr>
                <w:ilvl w:val="0"/>
                <w:numId w:val="53"/>
              </w:numPr>
              <w:suppressAutoHyphens w:val="0"/>
              <w:autoSpaceDE/>
              <w:autoSpaceDN/>
              <w:adjustRightInd/>
              <w:spacing w:after="120" w:line="240" w:lineRule="auto"/>
              <w:contextualSpacing/>
              <w:jc w:val="left"/>
              <w:textAlignment w:val="auto"/>
              <w:rPr>
                <w:rFonts w:ascii="Aptos" w:eastAsia="Aptos" w:hAnsi="Aptos" w:cs="Times New Roman"/>
                <w:i/>
                <w:iCs/>
                <w:color w:val="auto"/>
                <w:lang w:val="en-AU"/>
              </w:rPr>
            </w:pPr>
            <w:r w:rsidRPr="007A431F">
              <w:rPr>
                <w:rFonts w:ascii="Aptos" w:eastAsia="Aptos" w:hAnsi="Aptos" w:cs="Times New Roman"/>
                <w:i/>
                <w:iCs/>
                <w:color w:val="auto"/>
                <w:lang w:val="en-AU"/>
              </w:rPr>
              <w:t>TAPQE PRP May 2024 transcript Summary Day 1</w:t>
            </w:r>
          </w:p>
          <w:p w14:paraId="403D6C06" w14:textId="77777777" w:rsidR="007A431F" w:rsidRPr="007A431F" w:rsidRDefault="007A431F" w:rsidP="00B32148">
            <w:pPr>
              <w:numPr>
                <w:ilvl w:val="0"/>
                <w:numId w:val="53"/>
              </w:numPr>
              <w:suppressAutoHyphens w:val="0"/>
              <w:autoSpaceDE/>
              <w:autoSpaceDN/>
              <w:adjustRightInd/>
              <w:spacing w:after="120" w:line="240" w:lineRule="auto"/>
              <w:contextualSpacing/>
              <w:jc w:val="left"/>
              <w:textAlignment w:val="auto"/>
              <w:rPr>
                <w:rFonts w:ascii="Aptos" w:eastAsia="Aptos" w:hAnsi="Aptos" w:cs="Times New Roman"/>
                <w:i/>
                <w:iCs/>
                <w:color w:val="auto"/>
                <w:lang w:val="en-AU"/>
              </w:rPr>
            </w:pPr>
            <w:proofErr w:type="spellStart"/>
            <w:r w:rsidRPr="007A431F">
              <w:rPr>
                <w:rFonts w:ascii="Aptos" w:eastAsia="Aptos" w:hAnsi="Aptos" w:cs="Times New Roman"/>
                <w:i/>
                <w:iCs/>
                <w:color w:val="auto"/>
                <w:lang w:val="en-AU"/>
              </w:rPr>
              <w:t>TAPQE_Agenda_Steering</w:t>
            </w:r>
            <w:proofErr w:type="spellEnd"/>
            <w:r w:rsidRPr="007A431F">
              <w:rPr>
                <w:rFonts w:ascii="Aptos" w:eastAsia="Aptos" w:hAnsi="Aptos" w:cs="Times New Roman"/>
                <w:i/>
                <w:iCs/>
                <w:color w:val="auto"/>
                <w:lang w:val="en-AU"/>
              </w:rPr>
              <w:t xml:space="preserve"> Group MERL and ToC</w:t>
            </w:r>
          </w:p>
        </w:tc>
      </w:tr>
    </w:tbl>
    <w:p w14:paraId="58D259D9" w14:textId="77777777" w:rsidR="007A431F" w:rsidRPr="007A431F" w:rsidRDefault="007A431F" w:rsidP="007A431F">
      <w:pPr>
        <w:suppressAutoHyphens w:val="0"/>
        <w:autoSpaceDE/>
        <w:autoSpaceDN/>
        <w:adjustRightInd/>
        <w:spacing w:after="160" w:line="278" w:lineRule="auto"/>
        <w:jc w:val="left"/>
        <w:textAlignment w:val="auto"/>
        <w:rPr>
          <w:rFonts w:ascii="Aptos" w:eastAsia="Aptos" w:hAnsi="Aptos" w:cs="Times New Roman"/>
          <w:color w:val="auto"/>
          <w:kern w:val="2"/>
          <w:sz w:val="24"/>
          <w:szCs w:val="24"/>
          <w:lang w:val="en-AU"/>
          <w14:ligatures w14:val="standardContextual"/>
        </w:rPr>
      </w:pPr>
    </w:p>
    <w:p w14:paraId="73907648" w14:textId="77777777" w:rsidR="007A431F" w:rsidRPr="007A431F" w:rsidRDefault="007A431F" w:rsidP="007A431F">
      <w:pPr>
        <w:rPr>
          <w:lang w:val="en-AU"/>
        </w:rPr>
      </w:pPr>
    </w:p>
    <w:p w14:paraId="4B2E64E2" w14:textId="77777777" w:rsidR="007A431F" w:rsidRPr="007A431F" w:rsidRDefault="007A431F" w:rsidP="007A431F">
      <w:pPr>
        <w:sectPr w:rsidR="007A431F" w:rsidRPr="007A431F" w:rsidSect="00AE0C58">
          <w:pgSz w:w="11900" w:h="16840" w:code="9"/>
          <w:pgMar w:top="1134" w:right="1134" w:bottom="1134" w:left="1134" w:header="709" w:footer="709" w:gutter="0"/>
          <w:cols w:space="708"/>
          <w:docGrid w:linePitch="360"/>
        </w:sectPr>
      </w:pPr>
    </w:p>
    <w:p w14:paraId="6314958B" w14:textId="66BBFEA1" w:rsidR="00F428FF" w:rsidRDefault="0068356C" w:rsidP="00CF2603">
      <w:pPr>
        <w:pStyle w:val="Heading2"/>
      </w:pPr>
      <w:bookmarkStart w:id="33" w:name="_Toc209431960"/>
      <w:r w:rsidRPr="00CF2603">
        <w:lastRenderedPageBreak/>
        <w:t xml:space="preserve">Annex </w:t>
      </w:r>
      <w:r w:rsidR="0014194B">
        <w:t>4</w:t>
      </w:r>
      <w:r w:rsidRPr="00CF2603">
        <w:t xml:space="preserve">: </w:t>
      </w:r>
      <w:r w:rsidR="00F428FF" w:rsidRPr="00CF2603">
        <w:t xml:space="preserve">List </w:t>
      </w:r>
      <w:r w:rsidR="00232ADB" w:rsidRPr="00CF2603">
        <w:t>of Review Participants</w:t>
      </w:r>
      <w:bookmarkEnd w:id="33"/>
    </w:p>
    <w:p w14:paraId="020E4C77" w14:textId="77777777" w:rsidR="00A64D27" w:rsidRPr="00123714" w:rsidRDefault="00A64D27" w:rsidP="00A64D27">
      <w:pPr>
        <w:jc w:val="center"/>
        <w:rPr>
          <w:rFonts w:ascii="Aptos" w:hAnsi="Aptos"/>
          <w:b/>
          <w:bCs/>
        </w:rPr>
      </w:pPr>
      <w:r w:rsidRPr="00123714">
        <w:rPr>
          <w:rFonts w:ascii="Aptos" w:hAnsi="Aptos"/>
          <w:b/>
          <w:bCs/>
        </w:rPr>
        <w:t>Mid-Term Review: Tuvalu Australia Partnerships for Quality Education Program (TAPQE)</w:t>
      </w:r>
    </w:p>
    <w:p w14:paraId="79982B39" w14:textId="77777777" w:rsidR="00A64D27" w:rsidRPr="00123714" w:rsidRDefault="00A64D27" w:rsidP="003D37B6">
      <w:pPr>
        <w:spacing w:after="360"/>
        <w:jc w:val="center"/>
        <w:rPr>
          <w:rFonts w:ascii="Aptos" w:hAnsi="Aptos"/>
          <w:b/>
          <w:bCs/>
        </w:rPr>
      </w:pPr>
      <w:r w:rsidRPr="00123714">
        <w:rPr>
          <w:rFonts w:ascii="Aptos" w:hAnsi="Aptos"/>
          <w:b/>
          <w:bCs/>
        </w:rPr>
        <w:t>In-Country Meetings in Tuvalu (27-31 January 2025)</w:t>
      </w:r>
    </w:p>
    <w:tbl>
      <w:tblPr>
        <w:tblStyle w:val="TableGrid"/>
        <w:tblW w:w="9640" w:type="dxa"/>
        <w:tblInd w:w="-289" w:type="dxa"/>
        <w:tblLook w:val="04A0" w:firstRow="1" w:lastRow="0" w:firstColumn="1" w:lastColumn="0" w:noHBand="0" w:noVBand="1"/>
      </w:tblPr>
      <w:tblGrid>
        <w:gridCol w:w="2638"/>
        <w:gridCol w:w="4450"/>
        <w:gridCol w:w="2552"/>
      </w:tblGrid>
      <w:tr w:rsidR="00A64D27" w:rsidRPr="00640567" w14:paraId="2175C7C2" w14:textId="77777777" w:rsidTr="00E87641">
        <w:tc>
          <w:tcPr>
            <w:tcW w:w="2638" w:type="dxa"/>
            <w:tcBorders>
              <w:bottom w:val="single" w:sz="4" w:space="0" w:color="000000" w:themeColor="text1"/>
            </w:tcBorders>
            <w:shd w:val="clear" w:color="auto" w:fill="DEEAF6" w:themeFill="accent5" w:themeFillTint="33"/>
          </w:tcPr>
          <w:p w14:paraId="075C137B" w14:textId="77777777" w:rsidR="00A64D27" w:rsidRPr="00E87641" w:rsidRDefault="00A64D27" w:rsidP="001319EC">
            <w:pPr>
              <w:rPr>
                <w:rFonts w:ascii="Aptos" w:hAnsi="Aptos"/>
                <w:b/>
                <w:bCs/>
                <w:color w:val="000000" w:themeColor="text1"/>
                <w:sz w:val="20"/>
                <w:szCs w:val="20"/>
              </w:rPr>
            </w:pPr>
            <w:r w:rsidRPr="00E87641">
              <w:rPr>
                <w:rFonts w:ascii="Aptos" w:hAnsi="Aptos"/>
                <w:b/>
                <w:bCs/>
                <w:color w:val="000000" w:themeColor="text1"/>
                <w:sz w:val="20"/>
                <w:szCs w:val="20"/>
              </w:rPr>
              <w:t xml:space="preserve">Monday 27 January  </w:t>
            </w:r>
          </w:p>
        </w:tc>
        <w:tc>
          <w:tcPr>
            <w:tcW w:w="4450" w:type="dxa"/>
            <w:shd w:val="clear" w:color="auto" w:fill="FFFFFF" w:themeFill="background1"/>
          </w:tcPr>
          <w:p w14:paraId="72641512" w14:textId="07966B4A" w:rsidR="00A64D27" w:rsidRPr="00640567" w:rsidRDefault="00165A4E" w:rsidP="001319EC">
            <w:pPr>
              <w:rPr>
                <w:rFonts w:ascii="Aptos" w:hAnsi="Aptos"/>
                <w:color w:val="auto"/>
                <w:sz w:val="20"/>
                <w:szCs w:val="20"/>
              </w:rPr>
            </w:pPr>
            <w:r>
              <w:rPr>
                <w:rFonts w:ascii="Aptos" w:hAnsi="Aptos"/>
                <w:color w:val="auto"/>
                <w:sz w:val="20"/>
                <w:szCs w:val="20"/>
              </w:rPr>
              <w:t>MTR team</w:t>
            </w:r>
            <w:r w:rsidR="00A64D27" w:rsidRPr="00640567">
              <w:rPr>
                <w:rFonts w:ascii="Aptos" w:hAnsi="Aptos"/>
                <w:color w:val="auto"/>
                <w:sz w:val="20"/>
                <w:szCs w:val="20"/>
              </w:rPr>
              <w:t xml:space="preserve"> briefing with AHC</w:t>
            </w:r>
          </w:p>
        </w:tc>
        <w:tc>
          <w:tcPr>
            <w:tcW w:w="2552" w:type="dxa"/>
            <w:shd w:val="clear" w:color="auto" w:fill="FFFFFF" w:themeFill="background1"/>
          </w:tcPr>
          <w:p w14:paraId="04894702" w14:textId="77777777" w:rsidR="00A64D27" w:rsidRPr="00640567" w:rsidRDefault="00A64D27" w:rsidP="001319EC">
            <w:pPr>
              <w:rPr>
                <w:rFonts w:ascii="Aptos" w:hAnsi="Aptos"/>
                <w:color w:val="auto"/>
                <w:sz w:val="20"/>
                <w:szCs w:val="20"/>
              </w:rPr>
            </w:pPr>
            <w:r w:rsidRPr="00640567">
              <w:rPr>
                <w:rFonts w:ascii="Aptos" w:hAnsi="Aptos"/>
                <w:color w:val="auto"/>
                <w:sz w:val="20"/>
                <w:szCs w:val="20"/>
              </w:rPr>
              <w:t>In-person</w:t>
            </w:r>
          </w:p>
        </w:tc>
      </w:tr>
      <w:tr w:rsidR="00A50B0E" w:rsidRPr="00640567" w14:paraId="05DA6D2E"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3E7D2183" w14:textId="79310880" w:rsidR="00A50B0E" w:rsidRPr="00E87641" w:rsidRDefault="00A50B0E" w:rsidP="00A50B0E">
            <w:pPr>
              <w:rPr>
                <w:rFonts w:ascii="Aptos" w:hAnsi="Aptos"/>
                <w:color w:val="000000" w:themeColor="text1"/>
                <w:sz w:val="20"/>
                <w:szCs w:val="20"/>
              </w:rPr>
            </w:pPr>
            <w:r w:rsidRPr="00E87641">
              <w:rPr>
                <w:rFonts w:ascii="Aptos" w:hAnsi="Aptos"/>
                <w:b/>
                <w:bCs/>
                <w:color w:val="000000" w:themeColor="text1"/>
                <w:sz w:val="20"/>
                <w:szCs w:val="20"/>
              </w:rPr>
              <w:t xml:space="preserve">Monday 27 January  </w:t>
            </w:r>
          </w:p>
        </w:tc>
        <w:tc>
          <w:tcPr>
            <w:tcW w:w="4450" w:type="dxa"/>
            <w:shd w:val="clear" w:color="auto" w:fill="FFFFFF" w:themeFill="background1"/>
          </w:tcPr>
          <w:p w14:paraId="617B75BB"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Ms Leilani Saitala, Deputy Secretary MEHRD</w:t>
            </w:r>
          </w:p>
        </w:tc>
        <w:tc>
          <w:tcPr>
            <w:tcW w:w="2552" w:type="dxa"/>
            <w:shd w:val="clear" w:color="auto" w:fill="FFFFFF" w:themeFill="background1"/>
          </w:tcPr>
          <w:p w14:paraId="58606A4A"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6CF6256D"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279B3E73" w14:textId="1C006867" w:rsidR="00A50B0E" w:rsidRPr="00E87641" w:rsidRDefault="00A50B0E" w:rsidP="00A50B0E">
            <w:pPr>
              <w:rPr>
                <w:rFonts w:ascii="Aptos" w:hAnsi="Aptos"/>
                <w:color w:val="000000" w:themeColor="text1"/>
                <w:sz w:val="20"/>
                <w:szCs w:val="20"/>
              </w:rPr>
            </w:pPr>
            <w:r w:rsidRPr="00E87641">
              <w:rPr>
                <w:rFonts w:ascii="Aptos" w:hAnsi="Aptos"/>
                <w:b/>
                <w:bCs/>
                <w:color w:val="000000" w:themeColor="text1"/>
                <w:sz w:val="20"/>
                <w:szCs w:val="20"/>
              </w:rPr>
              <w:t xml:space="preserve">Monday 27 January  </w:t>
            </w:r>
          </w:p>
        </w:tc>
        <w:tc>
          <w:tcPr>
            <w:tcW w:w="4450" w:type="dxa"/>
            <w:shd w:val="clear" w:color="auto" w:fill="FFFFFF" w:themeFill="background1"/>
          </w:tcPr>
          <w:p w14:paraId="09B79939"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TAPQE and AHC staff</w:t>
            </w:r>
          </w:p>
        </w:tc>
        <w:tc>
          <w:tcPr>
            <w:tcW w:w="2552" w:type="dxa"/>
            <w:shd w:val="clear" w:color="auto" w:fill="FFFFFF" w:themeFill="background1"/>
          </w:tcPr>
          <w:p w14:paraId="637DD235"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Informal lunch meeting</w:t>
            </w:r>
          </w:p>
        </w:tc>
      </w:tr>
      <w:tr w:rsidR="00A50B0E" w:rsidRPr="00640567" w14:paraId="2BAF95BC"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3A06AF33" w14:textId="64AF55F2" w:rsidR="00A50B0E" w:rsidRPr="00E87641" w:rsidRDefault="00A50B0E" w:rsidP="00A50B0E">
            <w:pPr>
              <w:rPr>
                <w:rFonts w:ascii="Aptos" w:hAnsi="Aptos"/>
                <w:color w:val="000000" w:themeColor="text1"/>
                <w:sz w:val="20"/>
                <w:szCs w:val="20"/>
              </w:rPr>
            </w:pPr>
            <w:r w:rsidRPr="00E87641">
              <w:rPr>
                <w:rFonts w:ascii="Aptos" w:hAnsi="Aptos"/>
                <w:b/>
                <w:bCs/>
                <w:color w:val="000000" w:themeColor="text1"/>
                <w:sz w:val="20"/>
                <w:szCs w:val="20"/>
              </w:rPr>
              <w:t xml:space="preserve">Monday 27 January  </w:t>
            </w:r>
          </w:p>
        </w:tc>
        <w:tc>
          <w:tcPr>
            <w:tcW w:w="4450" w:type="dxa"/>
            <w:shd w:val="clear" w:color="auto" w:fill="D9D9D9" w:themeFill="background1" w:themeFillShade="D9"/>
          </w:tcPr>
          <w:p w14:paraId="2D7C00E2" w14:textId="309EBC2B" w:rsidR="00A50B0E" w:rsidRPr="00640567" w:rsidRDefault="00A50B0E" w:rsidP="00A50B0E">
            <w:pPr>
              <w:rPr>
                <w:rFonts w:ascii="Aptos" w:hAnsi="Aptos"/>
                <w:color w:val="auto"/>
                <w:sz w:val="20"/>
                <w:szCs w:val="20"/>
              </w:rPr>
            </w:pPr>
            <w:r w:rsidRPr="00640567">
              <w:rPr>
                <w:rFonts w:ascii="Aptos" w:hAnsi="Aptos"/>
                <w:color w:val="auto"/>
                <w:sz w:val="20"/>
                <w:szCs w:val="20"/>
              </w:rPr>
              <w:t>Director of Education, Mr Fineaso Tehulu</w:t>
            </w:r>
          </w:p>
        </w:tc>
        <w:tc>
          <w:tcPr>
            <w:tcW w:w="2552" w:type="dxa"/>
            <w:shd w:val="clear" w:color="auto" w:fill="D9D9D9" w:themeFill="background1" w:themeFillShade="D9"/>
          </w:tcPr>
          <w:p w14:paraId="093AB147"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1A010109"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0A1015D5" w14:textId="41B16675" w:rsidR="00A50B0E" w:rsidRPr="00E87641" w:rsidRDefault="00A50B0E" w:rsidP="00A50B0E">
            <w:pPr>
              <w:rPr>
                <w:rFonts w:ascii="Aptos" w:hAnsi="Aptos"/>
                <w:color w:val="000000" w:themeColor="text1"/>
                <w:sz w:val="20"/>
                <w:szCs w:val="20"/>
              </w:rPr>
            </w:pPr>
            <w:r w:rsidRPr="00E87641">
              <w:rPr>
                <w:rFonts w:ascii="Aptos" w:hAnsi="Aptos"/>
                <w:b/>
                <w:bCs/>
                <w:color w:val="000000" w:themeColor="text1"/>
                <w:sz w:val="20"/>
                <w:szCs w:val="20"/>
              </w:rPr>
              <w:t xml:space="preserve">Monday 27 January  </w:t>
            </w:r>
          </w:p>
        </w:tc>
        <w:tc>
          <w:tcPr>
            <w:tcW w:w="4450" w:type="dxa"/>
            <w:shd w:val="clear" w:color="auto" w:fill="FFFFFF" w:themeFill="background1"/>
          </w:tcPr>
          <w:p w14:paraId="26223943"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 xml:space="preserve">Nauti Primary School teachers </w:t>
            </w:r>
          </w:p>
          <w:p w14:paraId="09FB919D"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Site visit to Afioga Inclusive Education Centre</w:t>
            </w:r>
          </w:p>
        </w:tc>
        <w:tc>
          <w:tcPr>
            <w:tcW w:w="2552" w:type="dxa"/>
            <w:shd w:val="clear" w:color="auto" w:fill="FFFFFF" w:themeFill="background1"/>
          </w:tcPr>
          <w:p w14:paraId="130DF873"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27AC96D1"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70A8E6FB" w14:textId="3F225794"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Tuesday 28 January </w:t>
            </w:r>
          </w:p>
        </w:tc>
        <w:tc>
          <w:tcPr>
            <w:tcW w:w="4450" w:type="dxa"/>
            <w:shd w:val="clear" w:color="auto" w:fill="D9D9D9" w:themeFill="background1" w:themeFillShade="D9"/>
          </w:tcPr>
          <w:p w14:paraId="1AB2270B"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Senior Education Officers (Literacy &amp; Numeracy)</w:t>
            </w:r>
          </w:p>
        </w:tc>
        <w:tc>
          <w:tcPr>
            <w:tcW w:w="2552" w:type="dxa"/>
            <w:shd w:val="clear" w:color="auto" w:fill="D9D9D9" w:themeFill="background1" w:themeFillShade="D9"/>
          </w:tcPr>
          <w:p w14:paraId="3F908E36"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5E9B6EDC"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2322AAAB" w14:textId="24E5F595" w:rsidR="00A50B0E" w:rsidRPr="00E87641" w:rsidRDefault="00A50B0E" w:rsidP="00A50B0E">
            <w:pPr>
              <w:rPr>
                <w:rFonts w:ascii="Aptos" w:hAnsi="Aptos"/>
                <w:color w:val="000000" w:themeColor="text1"/>
                <w:sz w:val="20"/>
                <w:szCs w:val="20"/>
              </w:rPr>
            </w:pPr>
            <w:r w:rsidRPr="00E87641">
              <w:rPr>
                <w:rFonts w:ascii="Aptos" w:hAnsi="Aptos"/>
                <w:b/>
                <w:bCs/>
                <w:color w:val="000000" w:themeColor="text1"/>
                <w:sz w:val="20"/>
                <w:szCs w:val="20"/>
              </w:rPr>
              <w:t xml:space="preserve">Tuesday 28 January </w:t>
            </w:r>
          </w:p>
        </w:tc>
        <w:tc>
          <w:tcPr>
            <w:tcW w:w="4450" w:type="dxa"/>
            <w:shd w:val="clear" w:color="auto" w:fill="D9D9D9" w:themeFill="background1" w:themeFillShade="D9"/>
          </w:tcPr>
          <w:p w14:paraId="03FA1454"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Senior Education Officers (IT &amp; Primary)</w:t>
            </w:r>
          </w:p>
        </w:tc>
        <w:tc>
          <w:tcPr>
            <w:tcW w:w="2552" w:type="dxa"/>
            <w:shd w:val="clear" w:color="auto" w:fill="D9D9D9" w:themeFill="background1" w:themeFillShade="D9"/>
          </w:tcPr>
          <w:p w14:paraId="2BEA8274"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38E7B190"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0BF8DC25" w14:textId="4874BC31"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Tuesday 28 January </w:t>
            </w:r>
          </w:p>
        </w:tc>
        <w:tc>
          <w:tcPr>
            <w:tcW w:w="4450" w:type="dxa"/>
            <w:shd w:val="clear" w:color="auto" w:fill="D9D9D9" w:themeFill="background1" w:themeFillShade="D9"/>
          </w:tcPr>
          <w:p w14:paraId="65223255"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UNICEF – GPE Grants to Tuvalu</w:t>
            </w:r>
          </w:p>
        </w:tc>
        <w:tc>
          <w:tcPr>
            <w:tcW w:w="2552" w:type="dxa"/>
            <w:shd w:val="clear" w:color="auto" w:fill="D9D9D9" w:themeFill="background1" w:themeFillShade="D9"/>
          </w:tcPr>
          <w:p w14:paraId="6BF1DE3D"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7825787C"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2B93AE44" w14:textId="6DA0C5E6"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Tuesday 28 January </w:t>
            </w:r>
          </w:p>
        </w:tc>
        <w:tc>
          <w:tcPr>
            <w:tcW w:w="4450" w:type="dxa"/>
            <w:shd w:val="clear" w:color="auto" w:fill="D9D9D9" w:themeFill="background1" w:themeFillShade="D9"/>
          </w:tcPr>
          <w:p w14:paraId="5B912F15"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MEHRD Strategic Education Adviser, Ms Morgana Chantagit</w:t>
            </w:r>
          </w:p>
        </w:tc>
        <w:tc>
          <w:tcPr>
            <w:tcW w:w="2552" w:type="dxa"/>
            <w:shd w:val="clear" w:color="auto" w:fill="D9D9D9" w:themeFill="background1" w:themeFillShade="D9"/>
          </w:tcPr>
          <w:p w14:paraId="6BC8244C"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560DCBB9"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508C1712" w14:textId="3A19BE1B"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Tuesday 28 January </w:t>
            </w:r>
          </w:p>
        </w:tc>
        <w:tc>
          <w:tcPr>
            <w:tcW w:w="4450" w:type="dxa"/>
            <w:shd w:val="clear" w:color="auto" w:fill="FFFFFF" w:themeFill="background1"/>
          </w:tcPr>
          <w:p w14:paraId="295DE847"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 xml:space="preserve">TVSD Teachers, Nauti Primary School </w:t>
            </w:r>
          </w:p>
        </w:tc>
        <w:tc>
          <w:tcPr>
            <w:tcW w:w="2552" w:type="dxa"/>
            <w:shd w:val="clear" w:color="auto" w:fill="FFFFFF" w:themeFill="background1"/>
          </w:tcPr>
          <w:p w14:paraId="12A4C45C"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485B7292" w14:textId="77777777" w:rsidTr="00923ED3">
        <w:tc>
          <w:tcPr>
            <w:tcW w:w="2638" w:type="dxa"/>
            <w:tcBorders>
              <w:top w:val="single" w:sz="4" w:space="0" w:color="000000" w:themeColor="text1"/>
              <w:bottom w:val="single" w:sz="4" w:space="0" w:color="000000" w:themeColor="text1"/>
            </w:tcBorders>
            <w:shd w:val="clear" w:color="auto" w:fill="FFFFFF" w:themeFill="background1"/>
          </w:tcPr>
          <w:p w14:paraId="6A4D4AED" w14:textId="13EF61C1" w:rsidR="00A50B0E" w:rsidRPr="00E87641" w:rsidRDefault="00A50B0E" w:rsidP="00923ED3">
            <w:pPr>
              <w:rPr>
                <w:rFonts w:ascii="Aptos" w:hAnsi="Aptos"/>
                <w:b/>
                <w:bCs/>
                <w:color w:val="000000" w:themeColor="text1"/>
                <w:sz w:val="20"/>
                <w:szCs w:val="20"/>
              </w:rPr>
            </w:pPr>
            <w:r w:rsidRPr="00E87641">
              <w:rPr>
                <w:rFonts w:ascii="Aptos" w:hAnsi="Aptos"/>
                <w:b/>
                <w:bCs/>
                <w:color w:val="000000" w:themeColor="text1"/>
                <w:sz w:val="20"/>
                <w:szCs w:val="20"/>
              </w:rPr>
              <w:t>Tuesday 28 January</w:t>
            </w:r>
          </w:p>
        </w:tc>
        <w:tc>
          <w:tcPr>
            <w:tcW w:w="4450" w:type="dxa"/>
            <w:shd w:val="clear" w:color="auto" w:fill="FFFFFF" w:themeFill="background1"/>
          </w:tcPr>
          <w:p w14:paraId="32405451"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Literacy &amp; Numeracy teachers, Nauti Primary School</w:t>
            </w:r>
          </w:p>
        </w:tc>
        <w:tc>
          <w:tcPr>
            <w:tcW w:w="2552" w:type="dxa"/>
            <w:shd w:val="clear" w:color="auto" w:fill="FFFFFF" w:themeFill="background1"/>
          </w:tcPr>
          <w:p w14:paraId="68EF88AE"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05CB5092" w14:textId="77777777" w:rsidTr="00E87641">
        <w:tc>
          <w:tcPr>
            <w:tcW w:w="2638" w:type="dxa"/>
            <w:tcBorders>
              <w:bottom w:val="single" w:sz="4" w:space="0" w:color="000000" w:themeColor="text1"/>
            </w:tcBorders>
            <w:shd w:val="clear" w:color="auto" w:fill="DEEAF6" w:themeFill="accent5" w:themeFillTint="33"/>
          </w:tcPr>
          <w:p w14:paraId="77473270" w14:textId="77777777"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Wednesday 29 January </w:t>
            </w:r>
          </w:p>
        </w:tc>
        <w:tc>
          <w:tcPr>
            <w:tcW w:w="4450" w:type="dxa"/>
            <w:shd w:val="clear" w:color="auto" w:fill="D9D9D9" w:themeFill="background1" w:themeFillShade="D9"/>
          </w:tcPr>
          <w:p w14:paraId="0166E602"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TuLEP team (World Bank)</w:t>
            </w:r>
          </w:p>
        </w:tc>
        <w:tc>
          <w:tcPr>
            <w:tcW w:w="2552" w:type="dxa"/>
            <w:shd w:val="clear" w:color="auto" w:fill="D9D9D9" w:themeFill="background1" w:themeFillShade="D9"/>
          </w:tcPr>
          <w:p w14:paraId="63927CD1"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63BF17DF"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63DEAC88" w14:textId="66D6E540"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Wednesday 29 January</w:t>
            </w:r>
          </w:p>
        </w:tc>
        <w:tc>
          <w:tcPr>
            <w:tcW w:w="4450" w:type="dxa"/>
            <w:shd w:val="clear" w:color="auto" w:fill="D9D9D9" w:themeFill="background1" w:themeFillShade="D9"/>
          </w:tcPr>
          <w:p w14:paraId="708DBFC9"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EQAP (SPC)</w:t>
            </w:r>
          </w:p>
        </w:tc>
        <w:tc>
          <w:tcPr>
            <w:tcW w:w="2552" w:type="dxa"/>
            <w:shd w:val="clear" w:color="auto" w:fill="D9D9D9" w:themeFill="background1" w:themeFillShade="D9"/>
          </w:tcPr>
          <w:p w14:paraId="09036ED2"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0585AF03"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3503BEF2" w14:textId="5D25B81E"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Wednesday 29 January</w:t>
            </w:r>
          </w:p>
        </w:tc>
        <w:tc>
          <w:tcPr>
            <w:tcW w:w="4450" w:type="dxa"/>
            <w:shd w:val="clear" w:color="auto" w:fill="D9D9D9" w:themeFill="background1" w:themeFillShade="D9"/>
          </w:tcPr>
          <w:p w14:paraId="6BC12A32"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PacREF (regional education support to Tuvalu)</w:t>
            </w:r>
          </w:p>
        </w:tc>
        <w:tc>
          <w:tcPr>
            <w:tcW w:w="2552" w:type="dxa"/>
            <w:shd w:val="clear" w:color="auto" w:fill="D9D9D9" w:themeFill="background1" w:themeFillShade="D9"/>
          </w:tcPr>
          <w:p w14:paraId="6C7CA9A9"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Virtual</w:t>
            </w:r>
          </w:p>
        </w:tc>
      </w:tr>
      <w:tr w:rsidR="00A50B0E" w:rsidRPr="00640567" w14:paraId="5A4BF365"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7497A7E1" w14:textId="0B153802"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Wednesday 29 January</w:t>
            </w:r>
          </w:p>
        </w:tc>
        <w:tc>
          <w:tcPr>
            <w:tcW w:w="4450" w:type="dxa"/>
            <w:shd w:val="clear" w:color="auto" w:fill="FFFFFF" w:themeFill="background1"/>
          </w:tcPr>
          <w:p w14:paraId="79105FDE"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Teachers from Funafuti SDA Primary School</w:t>
            </w:r>
          </w:p>
        </w:tc>
        <w:tc>
          <w:tcPr>
            <w:tcW w:w="2552" w:type="dxa"/>
            <w:shd w:val="clear" w:color="auto" w:fill="FFFFFF" w:themeFill="background1"/>
          </w:tcPr>
          <w:p w14:paraId="043AAEAE"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232018A2" w14:textId="77777777" w:rsidTr="00E87641">
        <w:tc>
          <w:tcPr>
            <w:tcW w:w="2638" w:type="dxa"/>
            <w:tcBorders>
              <w:top w:val="single" w:sz="4" w:space="0" w:color="000000" w:themeColor="text1"/>
            </w:tcBorders>
            <w:shd w:val="clear" w:color="auto" w:fill="DEEAF6" w:themeFill="accent5" w:themeFillTint="33"/>
          </w:tcPr>
          <w:p w14:paraId="2EC54DA6" w14:textId="481267CA"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Wednesday 29 January</w:t>
            </w:r>
          </w:p>
        </w:tc>
        <w:tc>
          <w:tcPr>
            <w:tcW w:w="4450" w:type="dxa"/>
            <w:shd w:val="clear" w:color="auto" w:fill="FFFFFF" w:themeFill="background1"/>
          </w:tcPr>
          <w:p w14:paraId="6240989E"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Teachers at Fetuvalu Secondary School</w:t>
            </w:r>
          </w:p>
        </w:tc>
        <w:tc>
          <w:tcPr>
            <w:tcW w:w="2552" w:type="dxa"/>
            <w:shd w:val="clear" w:color="auto" w:fill="FFFFFF" w:themeFill="background1"/>
          </w:tcPr>
          <w:p w14:paraId="632BD1E5"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3139E02F" w14:textId="77777777" w:rsidTr="00923ED3">
        <w:tc>
          <w:tcPr>
            <w:tcW w:w="2638" w:type="dxa"/>
            <w:tcBorders>
              <w:bottom w:val="single" w:sz="4" w:space="0" w:color="000000" w:themeColor="text1"/>
            </w:tcBorders>
            <w:shd w:val="clear" w:color="auto" w:fill="FFFFFF" w:themeFill="background1"/>
          </w:tcPr>
          <w:p w14:paraId="215DBB8C" w14:textId="77777777"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Thursday 30 January </w:t>
            </w:r>
          </w:p>
        </w:tc>
        <w:tc>
          <w:tcPr>
            <w:tcW w:w="4450" w:type="dxa"/>
            <w:shd w:val="clear" w:color="auto" w:fill="FFFFFF" w:themeFill="background1"/>
          </w:tcPr>
          <w:p w14:paraId="23F0A248"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TAPQE Team</w:t>
            </w:r>
          </w:p>
        </w:tc>
        <w:tc>
          <w:tcPr>
            <w:tcW w:w="2552" w:type="dxa"/>
            <w:shd w:val="clear" w:color="auto" w:fill="FFFFFF" w:themeFill="background1"/>
          </w:tcPr>
          <w:p w14:paraId="618E7560"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2F2FCFD7" w14:textId="77777777" w:rsidTr="00E87641">
        <w:tc>
          <w:tcPr>
            <w:tcW w:w="2638" w:type="dxa"/>
            <w:tcBorders>
              <w:bottom w:val="single" w:sz="4" w:space="0" w:color="000000" w:themeColor="text1"/>
            </w:tcBorders>
            <w:shd w:val="clear" w:color="auto" w:fill="DEEAF6" w:themeFill="accent5" w:themeFillTint="33"/>
          </w:tcPr>
          <w:p w14:paraId="145A2BAA" w14:textId="77777777" w:rsidR="00A50B0E" w:rsidRPr="00E87641" w:rsidRDefault="00A50B0E" w:rsidP="00A50B0E">
            <w:pPr>
              <w:rPr>
                <w:rFonts w:ascii="Aptos" w:hAnsi="Aptos"/>
                <w:b/>
                <w:bCs/>
                <w:color w:val="000000" w:themeColor="text1"/>
                <w:sz w:val="20"/>
                <w:szCs w:val="20"/>
              </w:rPr>
            </w:pPr>
            <w:r w:rsidRPr="00E87641">
              <w:rPr>
                <w:rFonts w:ascii="Aptos" w:hAnsi="Aptos"/>
                <w:b/>
                <w:bCs/>
                <w:color w:val="000000" w:themeColor="text1"/>
                <w:sz w:val="20"/>
                <w:szCs w:val="20"/>
              </w:rPr>
              <w:t xml:space="preserve">Friday 31 January </w:t>
            </w:r>
          </w:p>
        </w:tc>
        <w:tc>
          <w:tcPr>
            <w:tcW w:w="4450" w:type="dxa"/>
            <w:shd w:val="clear" w:color="auto" w:fill="FFFFFF" w:themeFill="background1"/>
          </w:tcPr>
          <w:p w14:paraId="6249E243"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Inclusive Education Working Group</w:t>
            </w:r>
          </w:p>
        </w:tc>
        <w:tc>
          <w:tcPr>
            <w:tcW w:w="2552" w:type="dxa"/>
            <w:shd w:val="clear" w:color="auto" w:fill="FFFFFF" w:themeFill="background1"/>
          </w:tcPr>
          <w:p w14:paraId="477A0572"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7FF96783" w14:textId="77777777" w:rsidTr="00E87641">
        <w:tc>
          <w:tcPr>
            <w:tcW w:w="2638" w:type="dxa"/>
            <w:tcBorders>
              <w:top w:val="single" w:sz="4" w:space="0" w:color="000000" w:themeColor="text1"/>
              <w:bottom w:val="single" w:sz="4" w:space="0" w:color="000000" w:themeColor="text1"/>
            </w:tcBorders>
            <w:shd w:val="clear" w:color="auto" w:fill="DEEAF6" w:themeFill="accent5" w:themeFillTint="33"/>
          </w:tcPr>
          <w:p w14:paraId="58453462" w14:textId="644EBECA"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Friday 31 January</w:t>
            </w:r>
          </w:p>
        </w:tc>
        <w:tc>
          <w:tcPr>
            <w:tcW w:w="4450" w:type="dxa"/>
            <w:shd w:val="clear" w:color="auto" w:fill="FFFFFF" w:themeFill="background1"/>
          </w:tcPr>
          <w:p w14:paraId="71F7862A"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Fusi’Alofa school</w:t>
            </w:r>
          </w:p>
        </w:tc>
        <w:tc>
          <w:tcPr>
            <w:tcW w:w="2552" w:type="dxa"/>
            <w:shd w:val="clear" w:color="auto" w:fill="FFFFFF" w:themeFill="background1"/>
          </w:tcPr>
          <w:p w14:paraId="3FE2EF0C"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r w:rsidR="00A50B0E" w:rsidRPr="00640567" w14:paraId="42EA0F08" w14:textId="77777777" w:rsidTr="00E87641">
        <w:tc>
          <w:tcPr>
            <w:tcW w:w="2638" w:type="dxa"/>
            <w:tcBorders>
              <w:top w:val="single" w:sz="4" w:space="0" w:color="000000" w:themeColor="text1"/>
            </w:tcBorders>
            <w:shd w:val="clear" w:color="auto" w:fill="DEEAF6" w:themeFill="accent5" w:themeFillTint="33"/>
          </w:tcPr>
          <w:p w14:paraId="1E0509B9" w14:textId="3BFA39E7" w:rsidR="00A50B0E" w:rsidRPr="00E87641" w:rsidRDefault="00923ED3" w:rsidP="00A50B0E">
            <w:pPr>
              <w:rPr>
                <w:rFonts w:ascii="Aptos" w:hAnsi="Aptos"/>
                <w:color w:val="000000" w:themeColor="text1"/>
                <w:sz w:val="20"/>
                <w:szCs w:val="20"/>
              </w:rPr>
            </w:pPr>
            <w:r w:rsidRPr="00E87641">
              <w:rPr>
                <w:rFonts w:ascii="Aptos" w:hAnsi="Aptos"/>
                <w:b/>
                <w:bCs/>
                <w:color w:val="000000" w:themeColor="text1"/>
                <w:sz w:val="20"/>
                <w:szCs w:val="20"/>
              </w:rPr>
              <w:t>Friday 31 January</w:t>
            </w:r>
          </w:p>
        </w:tc>
        <w:tc>
          <w:tcPr>
            <w:tcW w:w="4450" w:type="dxa"/>
            <w:shd w:val="clear" w:color="auto" w:fill="FFFFFF" w:themeFill="background1"/>
          </w:tcPr>
          <w:p w14:paraId="4252BEDF"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Representatives from Department of Gender Affairs, Tuvalu Women for Change Association, Tuvalu National Council of Women and Tuvalu Teachers Association</w:t>
            </w:r>
          </w:p>
        </w:tc>
        <w:tc>
          <w:tcPr>
            <w:tcW w:w="2552" w:type="dxa"/>
            <w:shd w:val="clear" w:color="auto" w:fill="FFFFFF" w:themeFill="background1"/>
          </w:tcPr>
          <w:p w14:paraId="7B71417B" w14:textId="77777777" w:rsidR="00A50B0E" w:rsidRPr="00640567" w:rsidRDefault="00A50B0E" w:rsidP="00A50B0E">
            <w:pPr>
              <w:rPr>
                <w:rFonts w:ascii="Aptos" w:hAnsi="Aptos"/>
                <w:color w:val="auto"/>
                <w:sz w:val="20"/>
                <w:szCs w:val="20"/>
              </w:rPr>
            </w:pPr>
            <w:r w:rsidRPr="00640567">
              <w:rPr>
                <w:rFonts w:ascii="Aptos" w:hAnsi="Aptos"/>
                <w:color w:val="auto"/>
                <w:sz w:val="20"/>
                <w:szCs w:val="20"/>
              </w:rPr>
              <w:t>In-person</w:t>
            </w:r>
          </w:p>
        </w:tc>
      </w:tr>
    </w:tbl>
    <w:p w14:paraId="0E40898D" w14:textId="5E8D2EAE" w:rsidR="00A64D27" w:rsidRPr="00A64D27" w:rsidRDefault="00A64D27" w:rsidP="003D37B6"/>
    <w:sectPr w:rsidR="00A64D27" w:rsidRPr="00A64D27" w:rsidSect="00AE0C58">
      <w:pgSz w:w="11900" w:h="16840" w:code="9"/>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0ED197" w14:textId="77777777" w:rsidR="00267A4D" w:rsidRDefault="00267A4D" w:rsidP="001668EE">
      <w:r>
        <w:separator/>
      </w:r>
    </w:p>
    <w:p w14:paraId="448B5856" w14:textId="77777777" w:rsidR="00267A4D" w:rsidRDefault="00267A4D" w:rsidP="001668EE"/>
    <w:p w14:paraId="30C8A3D9" w14:textId="77777777" w:rsidR="00267A4D" w:rsidRDefault="00267A4D" w:rsidP="001668EE"/>
  </w:endnote>
  <w:endnote w:type="continuationSeparator" w:id="0">
    <w:p w14:paraId="41831883" w14:textId="77777777" w:rsidR="00267A4D" w:rsidRDefault="00267A4D" w:rsidP="001668EE">
      <w:r>
        <w:continuationSeparator/>
      </w:r>
    </w:p>
    <w:p w14:paraId="5D501E5F" w14:textId="77777777" w:rsidR="00267A4D" w:rsidRDefault="00267A4D" w:rsidP="001668EE"/>
    <w:p w14:paraId="65AA18F9" w14:textId="77777777" w:rsidR="00267A4D" w:rsidRDefault="00267A4D" w:rsidP="001668EE"/>
  </w:endnote>
  <w:endnote w:type="continuationNotice" w:id="1">
    <w:p w14:paraId="3DD223C6" w14:textId="77777777" w:rsidR="00267A4D" w:rsidRDefault="00267A4D" w:rsidP="001668EE"/>
    <w:p w14:paraId="41B326D1" w14:textId="77777777" w:rsidR="00267A4D" w:rsidRDefault="00267A4D" w:rsidP="001668EE"/>
    <w:p w14:paraId="10E4E922" w14:textId="77777777" w:rsidR="00267A4D" w:rsidRDefault="00267A4D" w:rsidP="001668E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 w:name="Times New Roman (Body CS)">
    <w:altName w:val="Times New Roman"/>
    <w:panose1 w:val="00000000000000000000"/>
    <w:charset w:val="00"/>
    <w:family w:val="roman"/>
    <w:notTrueType/>
    <w:pitch w:val="default"/>
  </w:font>
  <w:font w:name="Oswald Medium">
    <w:charset w:val="00"/>
    <w:family w:val="auto"/>
    <w:pitch w:val="variable"/>
    <w:sig w:usb0="2000020F" w:usb1="00000000" w:usb2="00000000" w:usb3="00000000" w:csb0="00000197" w:csb1="00000000"/>
  </w:font>
  <w:font w:name="Oswald Light">
    <w:charset w:val="00"/>
    <w:family w:val="auto"/>
    <w:pitch w:val="variable"/>
    <w:sig w:usb0="2000020F" w:usb1="00000000" w:usb2="00000000" w:usb3="00000000" w:csb0="00000197" w:csb1="00000000"/>
  </w:font>
  <w:font w:name="Minion Pro">
    <w:panose1 w:val="00000000000000000000"/>
    <w:charset w:val="00"/>
    <w:family w:val="roman"/>
    <w:notTrueType/>
    <w:pitch w:val="variable"/>
    <w:sig w:usb0="60000287" w:usb1="00000001" w:usb2="00000000" w:usb3="00000000" w:csb0="0000019F" w:csb1="00000000"/>
  </w:font>
  <w:font w:name="Roboto Light">
    <w:charset w:val="00"/>
    <w:family w:val="auto"/>
    <w:pitch w:val="variable"/>
    <w:sig w:usb0="E0000AFF" w:usb1="5000217F" w:usb2="00000021" w:usb3="00000000" w:csb0="000001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944073861"/>
      <w:docPartObj>
        <w:docPartGallery w:val="Page Numbers (Bottom of Page)"/>
        <w:docPartUnique/>
      </w:docPartObj>
    </w:sdtPr>
    <w:sdtEndPr>
      <w:rPr>
        <w:rStyle w:val="PageNumber"/>
      </w:rPr>
    </w:sdtEndPr>
    <w:sdtContent>
      <w:p w14:paraId="1A7B0D39" w14:textId="77777777" w:rsidR="00984E01" w:rsidRDefault="00984E01" w:rsidP="00C74F80">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7DB700B2" w14:textId="77777777" w:rsidR="00984E01" w:rsidRDefault="00984E01" w:rsidP="003214E5">
    <w:pPr>
      <w:pStyle w:val="Footer"/>
      <w:ind w:right="360"/>
      <w:rPr>
        <w:rStyle w:val="PageNumber"/>
      </w:rPr>
    </w:pPr>
  </w:p>
  <w:sdt>
    <w:sdtPr>
      <w:rPr>
        <w:rStyle w:val="PageNumber"/>
      </w:rPr>
      <w:id w:val="-2005884564"/>
      <w:docPartObj>
        <w:docPartGallery w:val="Page Numbers (Bottom of Page)"/>
        <w:docPartUnique/>
      </w:docPartObj>
    </w:sdtPr>
    <w:sdtEndPr>
      <w:rPr>
        <w:rStyle w:val="PageNumber"/>
      </w:rPr>
    </w:sdtEndPr>
    <w:sdtContent>
      <w:p w14:paraId="70A2A752" w14:textId="77777777" w:rsidR="00984E01" w:rsidRDefault="00984E01" w:rsidP="001668EE">
        <w:pPr>
          <w:pStyle w:val="Footer"/>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AF9DBF8" w14:textId="77777777" w:rsidR="00984E01" w:rsidRDefault="00984E01" w:rsidP="001668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51627915"/>
      <w:docPartObj>
        <w:docPartGallery w:val="Page Numbers (Bottom of Page)"/>
        <w:docPartUnique/>
      </w:docPartObj>
    </w:sdtPr>
    <w:sdtEndPr>
      <w:rPr>
        <w:rStyle w:val="PageNumber"/>
      </w:rPr>
    </w:sdtEndPr>
    <w:sdtContent>
      <w:p w14:paraId="7485072B" w14:textId="0BC21149" w:rsidR="00C74F80" w:rsidRDefault="00C74F80" w:rsidP="000320F5">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7E9A215" w14:textId="49134685" w:rsidR="002E027A" w:rsidRPr="002C71F3" w:rsidRDefault="00E467A1" w:rsidP="00C74F80">
    <w:pPr>
      <w:jc w:val="center"/>
    </w:pPr>
    <w:r>
      <w:rPr>
        <w:rStyle w:val="Heading"/>
        <w:rFonts w:asciiTheme="majorHAnsi" w:hAnsiTheme="majorHAnsi" w:cstheme="majorHAnsi"/>
        <w:color w:val="767171" w:themeColor="background2" w:themeShade="80"/>
        <w:sz w:val="21"/>
        <w:szCs w:val="21"/>
      </w:rPr>
      <w:t xml:space="preserve">TAPQE Mid-Term Review </w:t>
    </w:r>
    <w:r w:rsidR="00B176AC">
      <w:rPr>
        <w:rStyle w:val="Heading"/>
        <w:rFonts w:asciiTheme="majorHAnsi" w:hAnsiTheme="majorHAnsi" w:cstheme="majorHAnsi"/>
        <w:color w:val="767171" w:themeColor="background2" w:themeShade="80"/>
        <w:sz w:val="21"/>
        <w:szCs w:val="21"/>
      </w:rPr>
      <w:t>Report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BA5DC" w14:textId="77777777" w:rsidR="00267A4D" w:rsidRDefault="00267A4D" w:rsidP="001668EE">
      <w:r>
        <w:separator/>
      </w:r>
    </w:p>
    <w:p w14:paraId="3C769F18" w14:textId="77777777" w:rsidR="00267A4D" w:rsidRDefault="00267A4D" w:rsidP="001668EE"/>
    <w:p w14:paraId="2DC24212" w14:textId="77777777" w:rsidR="00267A4D" w:rsidRDefault="00267A4D" w:rsidP="001668EE"/>
  </w:footnote>
  <w:footnote w:type="continuationSeparator" w:id="0">
    <w:p w14:paraId="557B40E4" w14:textId="77777777" w:rsidR="00267A4D" w:rsidRDefault="00267A4D" w:rsidP="001668EE">
      <w:r>
        <w:continuationSeparator/>
      </w:r>
    </w:p>
    <w:p w14:paraId="74755141" w14:textId="77777777" w:rsidR="00267A4D" w:rsidRDefault="00267A4D" w:rsidP="001668EE"/>
    <w:p w14:paraId="53BB1011" w14:textId="77777777" w:rsidR="00267A4D" w:rsidRDefault="00267A4D" w:rsidP="001668EE"/>
  </w:footnote>
  <w:footnote w:type="continuationNotice" w:id="1">
    <w:p w14:paraId="01288CC0" w14:textId="77777777" w:rsidR="00267A4D" w:rsidRDefault="00267A4D" w:rsidP="001668EE"/>
    <w:p w14:paraId="0BAC5514" w14:textId="77777777" w:rsidR="00267A4D" w:rsidRDefault="00267A4D" w:rsidP="001668EE"/>
    <w:p w14:paraId="6D48A400" w14:textId="77777777" w:rsidR="00267A4D" w:rsidRDefault="00267A4D" w:rsidP="001668EE"/>
  </w:footnote>
  <w:footnote w:id="2">
    <w:p w14:paraId="4F36A863" w14:textId="4834C6AF" w:rsidR="00995B0E" w:rsidRPr="00995B0E" w:rsidRDefault="00995B0E">
      <w:pPr>
        <w:pStyle w:val="FootnoteText"/>
      </w:pPr>
      <w:r>
        <w:rPr>
          <w:rStyle w:val="FootnoteReference"/>
        </w:rPr>
        <w:footnoteRef/>
      </w:r>
      <w:r>
        <w:t xml:space="preserve"> </w:t>
      </w:r>
      <w:r w:rsidR="00667F86">
        <w:t xml:space="preserve">While the ASET Program was not the subject of this review the MTR team </w:t>
      </w:r>
      <w:r w:rsidR="005F0B4C">
        <w:t xml:space="preserve">heard very positive feedback about the benefits </w:t>
      </w:r>
      <w:r w:rsidR="00D53067">
        <w:t>of that Program and reflections on why activities that worked well for ASET were not a feature of the new (TAPQE) program.</w:t>
      </w:r>
    </w:p>
  </w:footnote>
  <w:footnote w:id="3">
    <w:p w14:paraId="34334056" w14:textId="6CD3DC88" w:rsidR="00AC3C38" w:rsidRDefault="006404AE">
      <w:pPr>
        <w:pStyle w:val="FootnoteText"/>
        <w:rPr>
          <w:lang w:val="en-AU"/>
        </w:rPr>
      </w:pPr>
      <w:r>
        <w:rPr>
          <w:rStyle w:val="FootnoteReference"/>
        </w:rPr>
        <w:footnoteRef/>
      </w:r>
      <w:r>
        <w:t xml:space="preserve"> </w:t>
      </w:r>
      <w:r w:rsidR="00E50CD1">
        <w:t xml:space="preserve">The </w:t>
      </w:r>
      <w:r w:rsidR="00593987" w:rsidRPr="00593987">
        <w:rPr>
          <w:i/>
          <w:iCs/>
        </w:rPr>
        <w:t xml:space="preserve">2024 (draft) TAPQE </w:t>
      </w:r>
      <w:r w:rsidR="00E50CD1" w:rsidRPr="00593987">
        <w:rPr>
          <w:i/>
          <w:iCs/>
        </w:rPr>
        <w:t>Annual Report</w:t>
      </w:r>
      <w:r w:rsidR="00E50CD1">
        <w:t xml:space="preserve"> </w:t>
      </w:r>
      <w:r w:rsidR="00751C62">
        <w:t xml:space="preserve">(p.25) </w:t>
      </w:r>
      <w:r w:rsidR="00E50CD1">
        <w:t xml:space="preserve">notes that </w:t>
      </w:r>
      <w:r w:rsidR="00751C62">
        <w:t>“</w:t>
      </w:r>
      <w:r w:rsidR="00084752" w:rsidRPr="00084752">
        <w:t>Key reference documents, Investment Design Document (IDD) and Tuvalu Education Strategic Plan (TESP IV) remain unfinalised. Both these documents are central to the implementation of TAPQE and program activities and while they remain incomplete pose a risk to the effectiveness of the program.</w:t>
      </w:r>
      <w:r w:rsidR="00084752">
        <w:t xml:space="preserve">” </w:t>
      </w:r>
      <w:r w:rsidR="00451498">
        <w:t>DFAT’s International Development Performance and Delivery Framework (p.</w:t>
      </w:r>
      <w:r w:rsidR="007320C4">
        <w:t xml:space="preserve">8) notes that </w:t>
      </w:r>
      <w:r w:rsidR="00715BD5">
        <w:t>“</w:t>
      </w:r>
      <w:r w:rsidR="00715BD5" w:rsidRPr="00715BD5">
        <w:rPr>
          <w:lang w:val="en-AU"/>
        </w:rPr>
        <w:t>Investment designs translate strategic intent to impact on the ground. Designs set out the logic between the desired outcomes (intermediate and end of program outcomes), indicative activities and implementation arrangements.</w:t>
      </w:r>
      <w:r w:rsidR="00715BD5">
        <w:rPr>
          <w:lang w:val="en-AU"/>
        </w:rPr>
        <w:t>”</w:t>
      </w:r>
      <w:r w:rsidR="007320C4">
        <w:rPr>
          <w:lang w:val="en-AU"/>
        </w:rPr>
        <w:t xml:space="preserve"> </w:t>
      </w:r>
      <w:r w:rsidR="00C365C2">
        <w:rPr>
          <w:lang w:val="en-AU"/>
        </w:rPr>
        <w:t xml:space="preserve">For TAPQE a design – implement approach was </w:t>
      </w:r>
      <w:r w:rsidR="00CC0888">
        <w:rPr>
          <w:lang w:val="en-AU"/>
        </w:rPr>
        <w:t>applied</w:t>
      </w:r>
      <w:r w:rsidR="00554F9E">
        <w:rPr>
          <w:lang w:val="en-AU"/>
        </w:rPr>
        <w:t>.</w:t>
      </w:r>
      <w:r w:rsidR="00A31695">
        <w:rPr>
          <w:lang w:val="en-AU"/>
        </w:rPr>
        <w:t xml:space="preserve"> </w:t>
      </w:r>
      <w:r w:rsidR="0064754C" w:rsidRPr="0064754C">
        <w:rPr>
          <w:lang w:val="en-AU"/>
        </w:rPr>
        <w:t xml:space="preserve">The services order </w:t>
      </w:r>
      <w:r w:rsidR="00920DD5" w:rsidRPr="0064754C">
        <w:rPr>
          <w:lang w:val="en-AU"/>
        </w:rPr>
        <w:t>says,</w:t>
      </w:r>
      <w:r w:rsidR="0064754C" w:rsidRPr="0064754C">
        <w:rPr>
          <w:lang w:val="en-AU"/>
        </w:rPr>
        <w:t xml:space="preserve"> </w:t>
      </w:r>
      <w:r w:rsidR="00AC3C38">
        <w:rPr>
          <w:lang w:val="en-AU"/>
        </w:rPr>
        <w:t>“</w:t>
      </w:r>
      <w:r w:rsidR="0064754C" w:rsidRPr="0064754C">
        <w:rPr>
          <w:lang w:val="en-AU"/>
        </w:rPr>
        <w:t>within 1 month of TAPQE Commencement, the contractor must consult with DFAT and MEYS to review and update if required the IDD</w:t>
      </w:r>
      <w:r w:rsidR="00AC3C38">
        <w:rPr>
          <w:lang w:val="en-AU"/>
        </w:rPr>
        <w:t xml:space="preserve">”. </w:t>
      </w:r>
    </w:p>
    <w:p w14:paraId="13F8C11D" w14:textId="3FA660BF" w:rsidR="006404AE" w:rsidRPr="00751C62" w:rsidRDefault="00A31695">
      <w:pPr>
        <w:pStyle w:val="FootnoteText"/>
      </w:pPr>
      <w:r>
        <w:rPr>
          <w:lang w:val="en-AU"/>
        </w:rPr>
        <w:t xml:space="preserve">While the lack of ‘approval’ of the IDD was raised with the MTR team during the review the </w:t>
      </w:r>
      <w:r w:rsidR="00E1334D">
        <w:rPr>
          <w:lang w:val="en-AU"/>
        </w:rPr>
        <w:t xml:space="preserve">risk to </w:t>
      </w:r>
      <w:r w:rsidR="006D339B">
        <w:rPr>
          <w:lang w:val="en-AU"/>
        </w:rPr>
        <w:t>P</w:t>
      </w:r>
      <w:r w:rsidR="00E1334D">
        <w:rPr>
          <w:lang w:val="en-AU"/>
        </w:rPr>
        <w:t xml:space="preserve">rogram effectiveness was </w:t>
      </w:r>
      <w:r w:rsidR="0006571B">
        <w:rPr>
          <w:lang w:val="en-AU"/>
        </w:rPr>
        <w:t xml:space="preserve">not apparent. </w:t>
      </w:r>
      <w:r w:rsidR="000E0DDE">
        <w:rPr>
          <w:lang w:val="en-AU"/>
        </w:rPr>
        <w:t xml:space="preserve">However, </w:t>
      </w:r>
      <w:r w:rsidR="0006571B">
        <w:rPr>
          <w:lang w:val="en-AU"/>
        </w:rPr>
        <w:t>the significan</w:t>
      </w:r>
      <w:r w:rsidR="00A3276C">
        <w:rPr>
          <w:lang w:val="en-AU"/>
        </w:rPr>
        <w:t>ce of TESP IV for the TAPQE program is acknowledge</w:t>
      </w:r>
      <w:r w:rsidR="00B14365">
        <w:rPr>
          <w:lang w:val="en-AU"/>
        </w:rPr>
        <w:t>d</w:t>
      </w:r>
      <w:r w:rsidR="00A3276C">
        <w:rPr>
          <w:lang w:val="en-AU"/>
        </w:rPr>
        <w:t xml:space="preserve"> and is considered </w:t>
      </w:r>
      <w:r w:rsidR="00C34F53">
        <w:rPr>
          <w:lang w:val="en-AU"/>
        </w:rPr>
        <w:t>in this review</w:t>
      </w:r>
      <w:r w:rsidR="00D53067">
        <w:rPr>
          <w:lang w:val="en-AU"/>
        </w:rPr>
        <w:t xml:space="preserve">. </w:t>
      </w:r>
    </w:p>
  </w:footnote>
  <w:footnote w:id="4">
    <w:p w14:paraId="03BBBAE6" w14:textId="5C803F9B" w:rsidR="00225000" w:rsidRPr="00225000" w:rsidRDefault="00225000">
      <w:pPr>
        <w:pStyle w:val="FootnoteText"/>
      </w:pPr>
      <w:r>
        <w:rPr>
          <w:rStyle w:val="FootnoteReference"/>
        </w:rPr>
        <w:footnoteRef/>
      </w:r>
      <w:r>
        <w:t xml:space="preserve"> </w:t>
      </w:r>
      <w:r w:rsidR="00DB3090">
        <w:t xml:space="preserve">The MTR team </w:t>
      </w:r>
      <w:r w:rsidR="00D46865">
        <w:t xml:space="preserve">found </w:t>
      </w:r>
      <w:r w:rsidR="00DB3090">
        <w:t xml:space="preserve">that </w:t>
      </w:r>
      <w:r w:rsidR="00907CE9">
        <w:t xml:space="preserve">the AHC Tuvalu team is </w:t>
      </w:r>
      <w:r w:rsidR="009C6C44">
        <w:t>small</w:t>
      </w:r>
      <w:r w:rsidR="001D2952">
        <w:t xml:space="preserve"> with a significant scope of responsibility, which is increasing under </w:t>
      </w:r>
      <w:r w:rsidR="00B75C32">
        <w:t>the Falepili Union</w:t>
      </w:r>
      <w:r w:rsidR="00DE6C34">
        <w:t xml:space="preserve">. </w:t>
      </w:r>
      <w:r w:rsidR="0005178B">
        <w:t xml:space="preserve">Recommendations in this report assume that </w:t>
      </w:r>
      <w:r w:rsidR="0029571E">
        <w:t>there is capacity</w:t>
      </w:r>
      <w:r w:rsidR="00DB32F2">
        <w:t xml:space="preserve"> for the AHC team</w:t>
      </w:r>
      <w:r w:rsidR="0029571E">
        <w:t xml:space="preserve"> to exert sophisticated and granular supervision of the </w:t>
      </w:r>
      <w:r w:rsidR="005206E5">
        <w:t xml:space="preserve">education program. </w:t>
      </w:r>
      <w:r w:rsidR="00DB32F2">
        <w:t xml:space="preserve">Options to strengthen the current team, in the absence of </w:t>
      </w:r>
      <w:r w:rsidR="00E340C8">
        <w:t xml:space="preserve">additional </w:t>
      </w:r>
      <w:r w:rsidR="00DB32F2">
        <w:t>in-country personnel</w:t>
      </w:r>
      <w:r w:rsidR="00545257">
        <w:t xml:space="preserve">, include stronger ties with DFAT Australia staff and/or provision of an </w:t>
      </w:r>
      <w:r w:rsidR="00EB1BEF">
        <w:t xml:space="preserve">ongoing independent </w:t>
      </w:r>
      <w:r w:rsidR="003173DD">
        <w:t xml:space="preserve">expert </w:t>
      </w:r>
      <w:r w:rsidR="00EB1BEF">
        <w:t>advisory</w:t>
      </w:r>
      <w:r w:rsidR="003173DD">
        <w:t xml:space="preserve"> resource.</w:t>
      </w:r>
      <w:r w:rsidR="00DB32F2">
        <w:t xml:space="preserve"> </w:t>
      </w:r>
    </w:p>
  </w:footnote>
  <w:footnote w:id="5">
    <w:p w14:paraId="79252316" w14:textId="77777777" w:rsidR="00D37839" w:rsidRPr="009B43F1" w:rsidRDefault="00D37839" w:rsidP="00D37839">
      <w:pPr>
        <w:pStyle w:val="FootnoteText"/>
      </w:pPr>
      <w:r>
        <w:rPr>
          <w:rStyle w:val="FootnoteReference"/>
        </w:rPr>
        <w:footnoteRef/>
      </w:r>
      <w:r>
        <w:t xml:space="preserve"> The TAPQE 2024 Annual Workplan is ‘</w:t>
      </w:r>
      <w:r w:rsidRPr="001130C8">
        <w:rPr>
          <w:lang w:val="en-AU"/>
        </w:rPr>
        <w:t xml:space="preserve">the product of collaborative planning and in-depth consultations with </w:t>
      </w:r>
      <w:r>
        <w:rPr>
          <w:lang w:val="en-AU"/>
        </w:rPr>
        <w:t>MEHRD</w:t>
      </w:r>
      <w:r w:rsidRPr="001130C8">
        <w:rPr>
          <w:lang w:val="en-AU"/>
        </w:rPr>
        <w:t xml:space="preserve"> Department of Education units and leadership and Ministry Development Partners (DPs) including the World Bank (WB), Education Quality and Assessment Program (EQAP), Global Partnerships for Education (GPE) and UNICEF (</w:t>
      </w:r>
      <w:r w:rsidRPr="0027569F">
        <w:t>United Nations International Children's Emergency Fund</w:t>
      </w:r>
      <w:r w:rsidRPr="001130C8">
        <w:rPr>
          <w:lang w:val="en-AU"/>
        </w:rPr>
        <w:t>)</w:t>
      </w:r>
      <w:r>
        <w:rPr>
          <w:lang w:val="en-AU"/>
        </w:rPr>
        <w:t xml:space="preserve"> “(p.1)</w:t>
      </w:r>
      <w:r w:rsidRPr="001130C8">
        <w:rPr>
          <w:lang w:val="en-AU"/>
        </w:rPr>
        <w:t>.</w:t>
      </w:r>
    </w:p>
  </w:footnote>
  <w:footnote w:id="6">
    <w:p w14:paraId="20BFEE84" w14:textId="77777777" w:rsidR="00D37839" w:rsidRPr="00542B9A" w:rsidRDefault="00D37839" w:rsidP="00D37839">
      <w:pPr>
        <w:pStyle w:val="FootnoteText"/>
        <w:rPr>
          <w:lang w:val="en-AU"/>
        </w:rPr>
      </w:pPr>
      <w:r>
        <w:rPr>
          <w:rStyle w:val="FootnoteReference"/>
        </w:rPr>
        <w:footnoteRef/>
      </w:r>
      <w:r>
        <w:t xml:space="preserve"> </w:t>
      </w:r>
      <w:r>
        <w:rPr>
          <w:lang w:val="en-AU"/>
        </w:rPr>
        <w:t>“</w:t>
      </w:r>
      <w:r w:rsidRPr="00957A06">
        <w:rPr>
          <w:lang w:val="en-AU"/>
        </w:rPr>
        <w:t>TAPQE indicative intermediate outcomes remain until MEHRD’s TESP IV and associated results framework are developed. A process of program logic alignment will occur once TESP IV is available</w:t>
      </w:r>
      <w:r>
        <w:rPr>
          <w:lang w:val="en-AU"/>
        </w:rPr>
        <w:t>” (p.4).</w:t>
      </w:r>
    </w:p>
  </w:footnote>
  <w:footnote w:id="7">
    <w:p w14:paraId="3143109B" w14:textId="6E3ED07E" w:rsidR="00AD79C6" w:rsidRPr="00542B9A" w:rsidRDefault="00AD79C6">
      <w:pPr>
        <w:pStyle w:val="FootnoteText"/>
        <w:rPr>
          <w:lang w:val="en-AU"/>
        </w:rPr>
      </w:pPr>
      <w:r>
        <w:rPr>
          <w:rStyle w:val="FootnoteReference"/>
        </w:rPr>
        <w:footnoteRef/>
      </w:r>
      <w:r>
        <w:t xml:space="preserve"> The Compact </w:t>
      </w:r>
      <w:r>
        <w:rPr>
          <w:lang w:val="en-AU"/>
        </w:rPr>
        <w:t xml:space="preserve">‘defines the </w:t>
      </w:r>
      <w:r w:rsidRPr="004538DA">
        <w:rPr>
          <w:lang w:val="en-AU"/>
        </w:rPr>
        <w:t>Priority Reform for system transformation in Tuvalu during the period of 2024-2028, in order to ensure equitable access to quality education for learners of all ages</w:t>
      </w:r>
      <w:r>
        <w:rPr>
          <w:lang w:val="en-AU"/>
        </w:rPr>
        <w:t>’ (p.1) which takes account of ‘</w:t>
      </w:r>
      <w:r w:rsidRPr="00D46BCB">
        <w:rPr>
          <w:lang w:val="en-AU"/>
        </w:rPr>
        <w:t xml:space="preserve">key needs identified through a number of consultative and development activities within </w:t>
      </w:r>
      <w:r>
        <w:rPr>
          <w:lang w:val="en-AU"/>
        </w:rPr>
        <w:t>MEHRD</w:t>
      </w:r>
      <w:r w:rsidRPr="00D46BCB">
        <w:rPr>
          <w:lang w:val="en-AU"/>
        </w:rPr>
        <w:t xml:space="preserve"> and with stakeholders and partners</w:t>
      </w:r>
      <w:r>
        <w:rPr>
          <w:lang w:val="en-AU"/>
        </w:rPr>
        <w:t>’ (p.1) and which sets out a set of interventions which ‘</w:t>
      </w:r>
      <w:r w:rsidRPr="00034176">
        <w:rPr>
          <w:lang w:val="en-AU"/>
        </w:rPr>
        <w:t>reflect a package of policy shifts in education that will require mobilization of Government, Development Partners, teachers, parents, students, and school communities</w:t>
      </w:r>
      <w:r>
        <w:rPr>
          <w:lang w:val="en-AU"/>
        </w:rPr>
        <w:t>’ (p.2).</w:t>
      </w:r>
    </w:p>
  </w:footnote>
  <w:footnote w:id="8">
    <w:p w14:paraId="594AFCAF" w14:textId="4A652BFF" w:rsidR="00C54FE3" w:rsidRPr="00C54FE3" w:rsidRDefault="00C54FE3">
      <w:pPr>
        <w:pStyle w:val="FootnoteText"/>
      </w:pPr>
      <w:r>
        <w:rPr>
          <w:rStyle w:val="FootnoteReference"/>
        </w:rPr>
        <w:footnoteRef/>
      </w:r>
      <w:r>
        <w:t xml:space="preserve"> </w:t>
      </w:r>
      <w:r w:rsidR="00DD4B09">
        <w:t>In the first two years of the Program the DFA option has not been actioned.</w:t>
      </w:r>
    </w:p>
  </w:footnote>
  <w:footnote w:id="9">
    <w:p w14:paraId="6709773C" w14:textId="6CDA65D0" w:rsidR="0050619F" w:rsidRPr="00542B9A" w:rsidRDefault="0050619F">
      <w:pPr>
        <w:pStyle w:val="FootnoteText"/>
        <w:rPr>
          <w:lang w:val="en-AU"/>
        </w:rPr>
      </w:pPr>
      <w:r>
        <w:rPr>
          <w:rStyle w:val="FootnoteReference"/>
        </w:rPr>
        <w:footnoteRef/>
      </w:r>
      <w:r>
        <w:t xml:space="preserve"> ‘</w:t>
      </w:r>
      <w:r w:rsidRPr="0069506B">
        <w:rPr>
          <w:i/>
          <w:iCs/>
        </w:rPr>
        <w:t>To respond to this risk, the program design incorporates both flexible technical advisory support in the development of policies, systems and activities, as well as capacity supplementation and development activities for MEYS. The DFA will enable MEYS to recruit additional local staff that can over time be absorbed into routine Ministry operational expenditure. Strong program coordination skills in TSU, as well as careful monitoring of program progress and performance will help inform discussions about implementation challenges and allow the identification of remedial actions</w:t>
      </w:r>
      <w:r w:rsidRPr="00D81267">
        <w:t>.</w:t>
      </w:r>
      <w:r>
        <w:t>’ (p.29).</w:t>
      </w:r>
    </w:p>
  </w:footnote>
  <w:footnote w:id="10">
    <w:p w14:paraId="58A061EB" w14:textId="20048533" w:rsidR="00FA3A20" w:rsidRPr="00542B9A" w:rsidRDefault="00FA3A20">
      <w:pPr>
        <w:pStyle w:val="FootnoteText"/>
        <w:rPr>
          <w:lang w:val="en-AU"/>
        </w:rPr>
      </w:pPr>
      <w:r>
        <w:rPr>
          <w:rStyle w:val="FootnoteReference"/>
        </w:rPr>
        <w:footnoteRef/>
      </w:r>
      <w:r>
        <w:t xml:space="preserve"> </w:t>
      </w:r>
      <w:r w:rsidRPr="009D19DE">
        <w:t>Ensuring ‘</w:t>
      </w:r>
      <w:r w:rsidRPr="009D19DE">
        <w:rPr>
          <w:lang w:val="en-AU"/>
        </w:rPr>
        <w:t>that both MEHRD and TAPQE planning and co-dependencies can be aligned,</w:t>
      </w:r>
      <w:r w:rsidRPr="0069506B">
        <w:rPr>
          <w:lang w:val="en-AU"/>
        </w:rPr>
        <w:t xml:space="preserve"> in particular the finalisation by </w:t>
      </w:r>
      <w:r>
        <w:rPr>
          <w:lang w:val="en-AU"/>
        </w:rPr>
        <w:t>MEHRD</w:t>
      </w:r>
      <w:r w:rsidRPr="0069506B">
        <w:rPr>
          <w:lang w:val="en-AU"/>
        </w:rPr>
        <w:t xml:space="preserve"> of the Tuvalu Education Sector Strategic Plan IV (TESP), the National Curriculum Roadmap by </w:t>
      </w:r>
      <w:r>
        <w:rPr>
          <w:lang w:val="en-AU"/>
        </w:rPr>
        <w:t>MEHRD</w:t>
      </w:r>
      <w:r w:rsidRPr="0069506B">
        <w:rPr>
          <w:lang w:val="en-AU"/>
        </w:rPr>
        <w:t>, and the Global Partnership for Education (GPE) Compact</w:t>
      </w:r>
      <w:r>
        <w:rPr>
          <w:lang w:val="en-AU"/>
        </w:rPr>
        <w:t xml:space="preserve">’ </w:t>
      </w:r>
      <w:r w:rsidRPr="0069506B">
        <w:rPr>
          <w:lang w:val="en-AU"/>
        </w:rPr>
        <w:t>(p.1)</w:t>
      </w:r>
    </w:p>
  </w:footnote>
  <w:footnote w:id="11">
    <w:p w14:paraId="6793DB2D" w14:textId="6CC7DA96" w:rsidR="00FA3A20" w:rsidRPr="00542B9A" w:rsidRDefault="00FA3A20">
      <w:pPr>
        <w:pStyle w:val="FootnoteText"/>
        <w:rPr>
          <w:lang w:val="en-AU"/>
        </w:rPr>
      </w:pPr>
      <w:r>
        <w:rPr>
          <w:rStyle w:val="FootnoteReference"/>
        </w:rPr>
        <w:footnoteRef/>
      </w:r>
      <w:r>
        <w:t xml:space="preserve"> </w:t>
      </w:r>
      <w:r>
        <w:rPr>
          <w:lang w:val="en-AU"/>
        </w:rPr>
        <w:t>‘</w:t>
      </w:r>
      <w:r w:rsidRPr="008C5838">
        <w:rPr>
          <w:lang w:val="en-AU"/>
        </w:rPr>
        <w:t xml:space="preserve">The strategic intent is </w:t>
      </w:r>
      <w:r w:rsidRPr="009D19DE">
        <w:rPr>
          <w:lang w:val="en-AU"/>
        </w:rPr>
        <w:t>for TAPQE’s MERL to shift towards a unified MERL Framework</w:t>
      </w:r>
      <w:r w:rsidRPr="008C5838">
        <w:rPr>
          <w:lang w:val="en-AU"/>
        </w:rPr>
        <w:t xml:space="preserve"> as MEHRD progresses with the planning and development of the proposed Tuvalu Education Strategic Plan (TESP IV) later this year</w:t>
      </w:r>
      <w:r>
        <w:rPr>
          <w:lang w:val="en-AU"/>
        </w:rPr>
        <w:t>’ (p.4). Further</w:t>
      </w:r>
      <w:r w:rsidR="005563DB">
        <w:rPr>
          <w:lang w:val="en-AU"/>
        </w:rPr>
        <w:t>,</w:t>
      </w:r>
      <w:r>
        <w:rPr>
          <w:lang w:val="en-AU"/>
        </w:rPr>
        <w:t xml:space="preserve"> the Framework (p.12) notes that ‘</w:t>
      </w:r>
      <w:r w:rsidRPr="002B4E43">
        <w:rPr>
          <w:lang w:val="en-AU"/>
        </w:rPr>
        <w:t>The draft TESP IV is likely to be presented for review by MEHRD in July 2024 – this will provide an opportunity to commence supporting MEHRD with development of a TESP MERL Framework and Plan</w:t>
      </w:r>
      <w:r>
        <w:rPr>
          <w:lang w:val="en-AU"/>
        </w:rPr>
        <w:t>’.</w:t>
      </w:r>
    </w:p>
  </w:footnote>
  <w:footnote w:id="12">
    <w:p w14:paraId="611F866C" w14:textId="77777777" w:rsidR="00D37839" w:rsidRPr="00430E97" w:rsidRDefault="00D37839" w:rsidP="00D37839">
      <w:pPr>
        <w:pStyle w:val="FootnoteText"/>
      </w:pPr>
      <w:r>
        <w:rPr>
          <w:rStyle w:val="FootnoteReference"/>
        </w:rPr>
        <w:footnoteRef/>
      </w:r>
      <w:r>
        <w:t xml:space="preserve"> TAPQE Evidence Table</w:t>
      </w:r>
    </w:p>
  </w:footnote>
  <w:footnote w:id="13">
    <w:p w14:paraId="1174B880" w14:textId="77777777" w:rsidR="00D37839" w:rsidRPr="003E5829" w:rsidRDefault="00D37839" w:rsidP="00D37839">
      <w:pPr>
        <w:pStyle w:val="FootnoteText"/>
        <w:rPr>
          <w:lang w:val="en-AU"/>
        </w:rPr>
      </w:pPr>
      <w:r>
        <w:rPr>
          <w:rStyle w:val="FootnoteReference"/>
        </w:rPr>
        <w:footnoteRef/>
      </w:r>
      <w:r>
        <w:t xml:space="preserve"> </w:t>
      </w:r>
      <w:r>
        <w:rPr>
          <w:lang w:val="en-AU"/>
        </w:rPr>
        <w:t>The Program argues that the lack of baseline and systematic data collection is, in part, the result of lack of resolution of the IDD TESP IV, and lack of progress towards development and implementation of the TESP IV MERL which would provide a source of data for the TAPQE program. This might be alleviated once TEMIS data can be shared.</w:t>
      </w:r>
    </w:p>
  </w:footnote>
  <w:footnote w:id="14">
    <w:p w14:paraId="4A3E5330" w14:textId="210982DB" w:rsidR="002F106A" w:rsidRPr="002F106A" w:rsidRDefault="002F106A" w:rsidP="0071338E">
      <w:pPr>
        <w:pStyle w:val="FootnoteText"/>
      </w:pPr>
      <w:r>
        <w:rPr>
          <w:rStyle w:val="FootnoteReference"/>
        </w:rPr>
        <w:footnoteRef/>
      </w:r>
      <w:r>
        <w:t xml:space="preserve"> </w:t>
      </w:r>
      <w:r w:rsidRPr="005E77D5">
        <w:rPr>
          <w:i/>
          <w:iCs/>
          <w:color w:val="auto"/>
          <w:lang w:val="en-AU"/>
        </w:rPr>
        <w:t>TVET Ataeao Manuia (TVET Futures)</w:t>
      </w:r>
      <w:r w:rsidRPr="00CC3A06">
        <w:rPr>
          <w:b/>
          <w:bCs/>
          <w:color w:val="auto"/>
          <w:lang w:val="en-AU"/>
        </w:rPr>
        <w:t xml:space="preserve"> </w:t>
      </w:r>
      <w:r w:rsidRPr="005E77D5">
        <w:rPr>
          <w:color w:val="auto"/>
          <w:lang w:val="en-AU"/>
        </w:rPr>
        <w:t xml:space="preserve">was </w:t>
      </w:r>
      <w:r w:rsidR="000967D6">
        <w:rPr>
          <w:color w:val="auto"/>
          <w:lang w:val="en-AU"/>
        </w:rPr>
        <w:t xml:space="preserve">prepared for </w:t>
      </w:r>
      <w:r w:rsidR="000967D6" w:rsidRPr="000967D6">
        <w:rPr>
          <w:color w:val="auto"/>
          <w:lang w:val="en-AU"/>
        </w:rPr>
        <w:t xml:space="preserve">the Tuvalu Education Department by a </w:t>
      </w:r>
      <w:r w:rsidR="000967D6">
        <w:rPr>
          <w:color w:val="auto"/>
          <w:lang w:val="en-AU"/>
        </w:rPr>
        <w:t xml:space="preserve">TAPQE </w:t>
      </w:r>
      <w:r w:rsidR="000967D6" w:rsidRPr="000967D6">
        <w:rPr>
          <w:color w:val="auto"/>
          <w:lang w:val="en-AU"/>
        </w:rPr>
        <w:t xml:space="preserve">Technical Adviser </w:t>
      </w:r>
      <w:r w:rsidR="00157C01">
        <w:rPr>
          <w:color w:val="auto"/>
          <w:lang w:val="en-AU"/>
        </w:rPr>
        <w:t>and was submitted</w:t>
      </w:r>
      <w:r>
        <w:rPr>
          <w:color w:val="auto"/>
        </w:rPr>
        <w:t xml:space="preserve"> to the Ministry in June 2024</w:t>
      </w:r>
      <w:r w:rsidR="00157C01">
        <w:rPr>
          <w:color w:val="auto"/>
        </w:rPr>
        <w:t xml:space="preserve">. </w:t>
      </w:r>
      <w:r w:rsidR="0071338E">
        <w:rPr>
          <w:color w:val="auto"/>
        </w:rPr>
        <w:t xml:space="preserve">It </w:t>
      </w:r>
      <w:r w:rsidR="0071338E" w:rsidRPr="0071338E">
        <w:rPr>
          <w:color w:val="auto"/>
          <w:lang w:val="en-AU"/>
        </w:rPr>
        <w:t xml:space="preserve">provides </w:t>
      </w:r>
      <w:r w:rsidR="0071338E">
        <w:rPr>
          <w:color w:val="auto"/>
          <w:lang w:val="en-AU"/>
        </w:rPr>
        <w:t xml:space="preserve">discussion on </w:t>
      </w:r>
      <w:r w:rsidR="00772BBD">
        <w:rPr>
          <w:color w:val="auto"/>
          <w:lang w:val="en-AU"/>
        </w:rPr>
        <w:t xml:space="preserve">possible new </w:t>
      </w:r>
      <w:r w:rsidR="0071338E" w:rsidRPr="0071338E">
        <w:rPr>
          <w:color w:val="auto"/>
          <w:lang w:val="en-AU"/>
        </w:rPr>
        <w:t>approach</w:t>
      </w:r>
      <w:r w:rsidR="00772BBD">
        <w:rPr>
          <w:color w:val="auto"/>
          <w:lang w:val="en-AU"/>
        </w:rPr>
        <w:t>es</w:t>
      </w:r>
      <w:r w:rsidR="0071338E" w:rsidRPr="0071338E">
        <w:rPr>
          <w:color w:val="auto"/>
          <w:lang w:val="en-AU"/>
        </w:rPr>
        <w:t xml:space="preserve"> for technical education and training, and a plan for moving forward. </w:t>
      </w:r>
      <w:r w:rsidR="00772BBD">
        <w:rPr>
          <w:color w:val="auto"/>
          <w:lang w:val="en-AU"/>
        </w:rPr>
        <w:t>It</w:t>
      </w:r>
      <w:r w:rsidR="0071338E" w:rsidRPr="0071338E">
        <w:rPr>
          <w:color w:val="auto"/>
          <w:lang w:val="en-AU"/>
        </w:rPr>
        <w:t xml:space="preserve"> also </w:t>
      </w:r>
      <w:r w:rsidR="00772BBD">
        <w:rPr>
          <w:color w:val="auto"/>
          <w:lang w:val="en-AU"/>
        </w:rPr>
        <w:t xml:space="preserve">provides discussion on </w:t>
      </w:r>
      <w:r w:rsidR="0071338E" w:rsidRPr="0071338E">
        <w:rPr>
          <w:color w:val="auto"/>
          <w:lang w:val="en-AU"/>
        </w:rPr>
        <w:t xml:space="preserve">opportunities that may </w:t>
      </w:r>
      <w:r w:rsidR="004E1931">
        <w:rPr>
          <w:color w:val="auto"/>
          <w:lang w:val="en-AU"/>
        </w:rPr>
        <w:t>arise from a</w:t>
      </w:r>
      <w:r w:rsidR="0071338E" w:rsidRPr="0071338E">
        <w:rPr>
          <w:color w:val="auto"/>
          <w:lang w:val="en-AU"/>
        </w:rPr>
        <w:t xml:space="preserve"> regulated and monitored vocational training system</w:t>
      </w:r>
      <w:r w:rsidR="004E1931">
        <w:rPr>
          <w:color w:val="auto"/>
          <w:lang w:val="en-AU"/>
        </w:rPr>
        <w:t>.</w:t>
      </w:r>
    </w:p>
  </w:footnote>
  <w:footnote w:id="15">
    <w:p w14:paraId="1DA95443" w14:textId="3002BFDC" w:rsidR="00D6077C" w:rsidRPr="00D6077C" w:rsidRDefault="00D6077C">
      <w:pPr>
        <w:pStyle w:val="FootnoteText"/>
      </w:pPr>
      <w:r w:rsidRPr="0044173D">
        <w:rPr>
          <w:rStyle w:val="FootnoteReference"/>
        </w:rPr>
        <w:footnoteRef/>
      </w:r>
      <w:r w:rsidRPr="0044173D">
        <w:t xml:space="preserve"> </w:t>
      </w:r>
      <w:r w:rsidR="0027104D" w:rsidRPr="0044173D">
        <w:t xml:space="preserve">The TAPQE </w:t>
      </w:r>
      <w:r w:rsidR="008437F3" w:rsidRPr="0044173D">
        <w:t xml:space="preserve">Program indicates its intention for </w:t>
      </w:r>
      <w:r w:rsidR="00BE35B3" w:rsidRPr="0044173D">
        <w:t>quarterly Ste</w:t>
      </w:r>
      <w:r w:rsidR="0044173D" w:rsidRPr="0044173D">
        <w:t xml:space="preserve">ering Group meetings in the </w:t>
      </w:r>
      <w:r w:rsidR="0044173D" w:rsidRPr="0044173D">
        <w:rPr>
          <w:i/>
          <w:iCs/>
        </w:rPr>
        <w:t>2024 (draft) TAPQE Annual Report</w:t>
      </w:r>
      <w:r w:rsidR="0044173D" w:rsidRPr="0044173D">
        <w:t xml:space="preserve"> (p.28)</w:t>
      </w:r>
      <w:r w:rsidR="0044173D">
        <w:t>.</w:t>
      </w:r>
    </w:p>
  </w:footnote>
  <w:footnote w:id="16">
    <w:p w14:paraId="2A393C1D" w14:textId="40F005E5" w:rsidR="00E13602" w:rsidRDefault="00E13602" w:rsidP="00E13602">
      <w:r>
        <w:rPr>
          <w:rStyle w:val="FootnoteReference"/>
        </w:rPr>
        <w:footnoteRef/>
      </w:r>
      <w:r>
        <w:t xml:space="preserve"> The TAPQE MERL Framework proposes (p.10) that ‘</w:t>
      </w:r>
      <w:r w:rsidRPr="0069506B">
        <w:rPr>
          <w:i/>
          <w:iCs/>
        </w:rPr>
        <w:t>Developmental evaluation is a collaborative approach that requires regular feedback loops and program reflection and learning. … particularly important to continuously reflect, learn and adjust or respond to the changing environment or circumstances, based on sound evidence. The approach specifically supports program innovation and adaptation through systems thinking and complexity to understanding how change happens (rather than focusing just on what happened). Our approaches will constantly return to and test the program’s Theory of Change and use data to inform ongoing direction and emphasis of program implementation</w:t>
      </w:r>
      <w:r>
        <w:rPr>
          <w:i/>
          <w:iCs/>
        </w:rPr>
        <w:t>’</w:t>
      </w:r>
      <w:r>
        <w:t>.</w:t>
      </w:r>
      <w:r w:rsidRPr="000011D1">
        <w:t xml:space="preserve"> </w:t>
      </w:r>
    </w:p>
    <w:p w14:paraId="364EEBF5" w14:textId="70C3F8C0" w:rsidR="00E13602" w:rsidRPr="00E13602" w:rsidRDefault="00E13602">
      <w:pPr>
        <w:pStyle w:val="FootnoteText"/>
      </w:pPr>
    </w:p>
  </w:footnote>
  <w:footnote w:id="17">
    <w:p w14:paraId="7B0C5596" w14:textId="5354416D" w:rsidR="007A3939" w:rsidRPr="00A9645C" w:rsidRDefault="007A3939">
      <w:pPr>
        <w:pStyle w:val="FootnoteText"/>
        <w:rPr>
          <w:lang w:val="en-AU"/>
        </w:rPr>
      </w:pPr>
      <w:r>
        <w:rPr>
          <w:rStyle w:val="FootnoteReference"/>
        </w:rPr>
        <w:footnoteRef/>
      </w:r>
      <w:r>
        <w:t xml:space="preserve"> </w:t>
      </w:r>
      <w:r w:rsidR="00D3777C">
        <w:t>Additional sub-question</w:t>
      </w:r>
      <w:r w:rsidR="00022B62">
        <w:t>s</w:t>
      </w:r>
      <w:r w:rsidR="00D3777C">
        <w:t xml:space="preserve"> were added during</w:t>
      </w:r>
      <w:r w:rsidR="00022B62">
        <w:t xml:space="preserve"> the</w:t>
      </w:r>
      <w:r w:rsidR="00D3777C">
        <w:t xml:space="preserve"> in-country </w:t>
      </w:r>
      <w:r w:rsidR="00022B62">
        <w:t xml:space="preserve">MTR activity to assist with the </w:t>
      </w:r>
      <w:r w:rsidR="00D360F6">
        <w:t>review and reporting process.</w:t>
      </w:r>
      <w:r w:rsidR="00D3777C">
        <w:t xml:space="preserve">  </w:t>
      </w:r>
    </w:p>
  </w:footnote>
  <w:footnote w:id="18">
    <w:p w14:paraId="0219F0C9" w14:textId="7E386CAA" w:rsidR="00B67F08" w:rsidRPr="00A9645C" w:rsidRDefault="00B67F08">
      <w:pPr>
        <w:pStyle w:val="FootnoteText"/>
        <w:rPr>
          <w:lang w:val="en-AU"/>
        </w:rPr>
      </w:pPr>
      <w:r>
        <w:rPr>
          <w:rStyle w:val="FootnoteReference"/>
        </w:rPr>
        <w:footnoteRef/>
      </w:r>
      <w:r>
        <w:t xml:space="preserve"> </w:t>
      </w:r>
      <w:r w:rsidRPr="00A9645C">
        <w:rPr>
          <w:i/>
          <w:iCs/>
        </w:rPr>
        <w:t>2024 (draft) TAPQE Annual Report</w:t>
      </w:r>
      <w:r>
        <w:rPr>
          <w:i/>
          <w:iCs/>
        </w:rPr>
        <w:t xml:space="preserve"> </w:t>
      </w:r>
      <w:r w:rsidRPr="00A9645C">
        <w:t>p.iv</w:t>
      </w:r>
    </w:p>
  </w:footnote>
  <w:footnote w:id="19">
    <w:p w14:paraId="249ED499" w14:textId="7149BF9B" w:rsidR="00AA7D00" w:rsidRPr="00A9645C" w:rsidRDefault="00AA7D00">
      <w:pPr>
        <w:pStyle w:val="FootnoteText"/>
        <w:rPr>
          <w:lang w:val="en-AU"/>
        </w:rPr>
      </w:pPr>
      <w:r>
        <w:rPr>
          <w:rStyle w:val="FootnoteReference"/>
        </w:rPr>
        <w:footnoteRef/>
      </w:r>
      <w:r>
        <w:t xml:space="preserve"> </w:t>
      </w:r>
      <w:r w:rsidRPr="008E665A">
        <w:rPr>
          <w:i/>
          <w:iCs/>
        </w:rPr>
        <w:t>2024 (draft) TAPQE Annual Report</w:t>
      </w:r>
      <w:r>
        <w:rPr>
          <w:i/>
          <w:iCs/>
        </w:rPr>
        <w:t xml:space="preserve"> </w:t>
      </w:r>
      <w:r w:rsidRPr="008E665A">
        <w:t>p.</w:t>
      </w:r>
      <w:r>
        <w:t>10</w:t>
      </w:r>
    </w:p>
  </w:footnote>
  <w:footnote w:id="20">
    <w:p w14:paraId="13F811E6" w14:textId="77777777" w:rsidR="00274FFC" w:rsidRPr="0061423D" w:rsidRDefault="00274FFC" w:rsidP="00274FFC">
      <w:pPr>
        <w:pStyle w:val="FootnoteText"/>
        <w:rPr>
          <w:sz w:val="16"/>
          <w:szCs w:val="16"/>
        </w:rPr>
      </w:pPr>
      <w:r w:rsidRPr="0061423D">
        <w:rPr>
          <w:rStyle w:val="FootnoteReference"/>
          <w:sz w:val="16"/>
          <w:szCs w:val="16"/>
        </w:rPr>
        <w:footnoteRef/>
      </w:r>
      <w:r w:rsidRPr="0061423D">
        <w:rPr>
          <w:sz w:val="16"/>
          <w:szCs w:val="16"/>
        </w:rPr>
        <w:t xml:space="preserve"> Lowy Institute Pacific Aid Map</w:t>
      </w:r>
    </w:p>
  </w:footnote>
  <w:footnote w:id="21">
    <w:p w14:paraId="2ED35B1B" w14:textId="77777777" w:rsidR="00274FFC" w:rsidRPr="0061423D" w:rsidRDefault="00274FFC" w:rsidP="00274FFC">
      <w:pPr>
        <w:pStyle w:val="FootnoteText"/>
        <w:rPr>
          <w:sz w:val="16"/>
          <w:szCs w:val="16"/>
        </w:rPr>
      </w:pPr>
      <w:r w:rsidRPr="0061423D">
        <w:rPr>
          <w:rStyle w:val="FootnoteReference"/>
          <w:sz w:val="16"/>
          <w:szCs w:val="16"/>
        </w:rPr>
        <w:footnoteRef/>
      </w:r>
      <w:r w:rsidRPr="0061423D">
        <w:rPr>
          <w:sz w:val="16"/>
          <w:szCs w:val="16"/>
        </w:rPr>
        <w:t xml:space="preserve"> </w:t>
      </w:r>
      <w:hyperlink r:id="rId1" w:history="1">
        <w:r w:rsidRPr="0061423D">
          <w:rPr>
            <w:rStyle w:val="Hyperlink"/>
            <w:sz w:val="16"/>
            <w:szCs w:val="16"/>
          </w:rPr>
          <w:t>Print version Final_LP_18-12-20.pdf</w:t>
        </w:r>
      </w:hyperlink>
      <w:r w:rsidRPr="0061423D">
        <w:rPr>
          <w:sz w:val="16"/>
          <w:szCs w:val="16"/>
        </w:rPr>
        <w:t xml:space="preserve"> </w:t>
      </w:r>
    </w:p>
  </w:footnote>
  <w:footnote w:id="22">
    <w:p w14:paraId="7D5AD746" w14:textId="77777777" w:rsidR="00274FFC" w:rsidRPr="00830FCE" w:rsidRDefault="00274FFC" w:rsidP="00274FFC">
      <w:pPr>
        <w:pStyle w:val="FootnoteText"/>
        <w:rPr>
          <w:sz w:val="16"/>
          <w:szCs w:val="16"/>
        </w:rPr>
      </w:pPr>
      <w:r w:rsidRPr="00830FCE">
        <w:rPr>
          <w:rStyle w:val="FootnoteReference"/>
          <w:sz w:val="16"/>
          <w:szCs w:val="16"/>
        </w:rPr>
        <w:footnoteRef/>
      </w:r>
      <w:r w:rsidRPr="00830FCE">
        <w:rPr>
          <w:sz w:val="16"/>
          <w:szCs w:val="16"/>
        </w:rPr>
        <w:t xml:space="preserve"> Breakdown of 70 early childhood education teachers, 86 primary teachers and 58 secondary permanent teachers. This does not include temporary staff that are filling or relieving positions. </w:t>
      </w:r>
    </w:p>
  </w:footnote>
  <w:footnote w:id="23">
    <w:p w14:paraId="210188AD" w14:textId="77777777" w:rsidR="00274FFC" w:rsidRPr="00830FCE" w:rsidRDefault="00274FFC" w:rsidP="00274FFC">
      <w:pPr>
        <w:pStyle w:val="FootnoteText"/>
        <w:rPr>
          <w:sz w:val="16"/>
          <w:szCs w:val="16"/>
        </w:rPr>
      </w:pPr>
      <w:r w:rsidRPr="00830FCE">
        <w:rPr>
          <w:rStyle w:val="FootnoteReference"/>
          <w:sz w:val="16"/>
          <w:szCs w:val="16"/>
        </w:rPr>
        <w:footnoteRef/>
      </w:r>
      <w:r w:rsidRPr="00830FCE">
        <w:rPr>
          <w:sz w:val="16"/>
          <w:szCs w:val="16"/>
        </w:rPr>
        <w:t xml:space="preserve"> References drawn from draft MEHRD Education Workforce Development Framework report developed by the Tuvalu Australia Partnership for Quality Education (TAPQE Program).</w:t>
      </w:r>
    </w:p>
  </w:footnote>
  <w:footnote w:id="24">
    <w:p w14:paraId="52E50C38" w14:textId="77777777" w:rsidR="00274FFC" w:rsidRDefault="00274FFC" w:rsidP="00274FFC">
      <w:pPr>
        <w:pStyle w:val="FootnoteText"/>
      </w:pPr>
      <w:r w:rsidRPr="00830FCE">
        <w:rPr>
          <w:rStyle w:val="FootnoteReference"/>
          <w:sz w:val="16"/>
          <w:szCs w:val="16"/>
        </w:rPr>
        <w:footnoteRef/>
      </w:r>
      <w:r w:rsidRPr="00830FCE">
        <w:rPr>
          <w:sz w:val="16"/>
          <w:szCs w:val="16"/>
        </w:rPr>
        <w:t xml:space="preserve"> Education in Tuvalu: Global Partnership for Education</w:t>
      </w:r>
    </w:p>
  </w:footnote>
  <w:footnote w:id="25">
    <w:p w14:paraId="3812A31A" w14:textId="77777777" w:rsidR="00274FFC" w:rsidRPr="00830FCE" w:rsidRDefault="00274FFC" w:rsidP="00274FFC">
      <w:pPr>
        <w:pStyle w:val="FootnoteText"/>
        <w:rPr>
          <w:sz w:val="16"/>
          <w:szCs w:val="16"/>
        </w:rPr>
      </w:pPr>
      <w:r w:rsidRPr="00830FCE">
        <w:rPr>
          <w:rStyle w:val="FootnoteReference"/>
          <w:sz w:val="16"/>
          <w:szCs w:val="16"/>
        </w:rPr>
        <w:footnoteRef/>
      </w:r>
      <w:r w:rsidRPr="00830FCE">
        <w:rPr>
          <w:sz w:val="16"/>
          <w:szCs w:val="16"/>
        </w:rPr>
        <w:t xml:space="preserve"> TAPQE is implemented through Tetra Tech International Development Pty. Ltd. </w:t>
      </w:r>
    </w:p>
  </w:footnote>
  <w:footnote w:id="26">
    <w:p w14:paraId="3E07DF5B" w14:textId="77777777" w:rsidR="00274FFC" w:rsidRPr="00830FCE" w:rsidRDefault="00274FFC" w:rsidP="00274FFC">
      <w:pPr>
        <w:pStyle w:val="pf0"/>
        <w:rPr>
          <w:rFonts w:ascii="Arial" w:hAnsi="Arial" w:cs="Arial"/>
          <w:sz w:val="16"/>
          <w:szCs w:val="16"/>
        </w:rPr>
      </w:pPr>
      <w:r w:rsidRPr="00830FCE">
        <w:rPr>
          <w:rStyle w:val="FootnoteReference"/>
          <w:sz w:val="16"/>
          <w:szCs w:val="16"/>
        </w:rPr>
        <w:footnoteRef/>
      </w:r>
      <w:r w:rsidRPr="00830FCE">
        <w:rPr>
          <w:sz w:val="16"/>
          <w:szCs w:val="16"/>
        </w:rPr>
        <w:t xml:space="preserve"> </w:t>
      </w:r>
      <w:r w:rsidRPr="00830FCE">
        <w:rPr>
          <w:rStyle w:val="cf01"/>
          <w:sz w:val="16"/>
          <w:szCs w:val="16"/>
        </w:rPr>
        <w:t xml:space="preserve">Drawn from the TAPQE Service Order 77889/2. Clause 2.5 of the SO notes that </w:t>
      </w:r>
      <w:r w:rsidRPr="00830FCE">
        <w:rPr>
          <w:rStyle w:val="cf11"/>
          <w:sz w:val="16"/>
          <w:szCs w:val="16"/>
        </w:rPr>
        <w:t>‘EOPOs cannot be changed unless approved by the Steering Group and DFAT policy delegates (jointly between Canberra and Post). Revisions below the EOPO level can be updated if agreed by the Steering Group’.</w:t>
      </w:r>
    </w:p>
    <w:p w14:paraId="4F1087C4" w14:textId="77777777" w:rsidR="00274FFC" w:rsidRDefault="00274FFC" w:rsidP="00274FFC">
      <w:pPr>
        <w:pStyle w:val="FootnoteText"/>
      </w:pPr>
    </w:p>
  </w:footnote>
  <w:footnote w:id="27">
    <w:p w14:paraId="065DB7B7" w14:textId="77777777" w:rsidR="00E43A6C" w:rsidRDefault="00E43A6C" w:rsidP="00E43A6C">
      <w:pPr>
        <w:pStyle w:val="FootnoteText"/>
        <w:rPr>
          <w:sz w:val="16"/>
          <w:szCs w:val="16"/>
        </w:rPr>
      </w:pPr>
      <w:r>
        <w:rPr>
          <w:rStyle w:val="FootnoteReference"/>
          <w:sz w:val="16"/>
          <w:szCs w:val="16"/>
        </w:rPr>
        <w:footnoteRef/>
      </w:r>
      <w:r>
        <w:rPr>
          <w:sz w:val="16"/>
          <w:szCs w:val="16"/>
        </w:rPr>
        <w:t xml:space="preserve"> Lowy Institute Pacific Aid Map</w:t>
      </w:r>
    </w:p>
  </w:footnote>
  <w:footnote w:id="28">
    <w:p w14:paraId="545D8B25" w14:textId="77777777" w:rsidR="00E43A6C" w:rsidRDefault="00E43A6C" w:rsidP="00E43A6C">
      <w:pPr>
        <w:pStyle w:val="FootnoteText"/>
        <w:rPr>
          <w:sz w:val="16"/>
          <w:szCs w:val="16"/>
        </w:rPr>
      </w:pPr>
      <w:r>
        <w:rPr>
          <w:rStyle w:val="FootnoteReference"/>
          <w:sz w:val="16"/>
          <w:szCs w:val="16"/>
        </w:rPr>
        <w:footnoteRef/>
      </w:r>
      <w:r>
        <w:rPr>
          <w:sz w:val="16"/>
          <w:szCs w:val="16"/>
        </w:rPr>
        <w:t xml:space="preserve"> </w:t>
      </w:r>
      <w:hyperlink r:id="rId2" w:history="1">
        <w:r>
          <w:rPr>
            <w:rStyle w:val="Hyperlink"/>
            <w:sz w:val="16"/>
            <w:szCs w:val="16"/>
          </w:rPr>
          <w:t>Print version Final_LP_18-12-20.pdf</w:t>
        </w:r>
      </w:hyperlink>
      <w:r>
        <w:rPr>
          <w:sz w:val="16"/>
          <w:szCs w:val="16"/>
        </w:rPr>
        <w:t xml:space="preserve"> </w:t>
      </w:r>
    </w:p>
  </w:footnote>
  <w:footnote w:id="29">
    <w:p w14:paraId="23AFF5F7" w14:textId="77777777" w:rsidR="00E43A6C" w:rsidRDefault="00E43A6C" w:rsidP="00E43A6C">
      <w:pPr>
        <w:pStyle w:val="FootnoteText"/>
        <w:rPr>
          <w:sz w:val="16"/>
          <w:szCs w:val="16"/>
        </w:rPr>
      </w:pPr>
      <w:r>
        <w:rPr>
          <w:rStyle w:val="FootnoteReference"/>
          <w:sz w:val="16"/>
          <w:szCs w:val="16"/>
        </w:rPr>
        <w:footnoteRef/>
      </w:r>
      <w:r>
        <w:rPr>
          <w:sz w:val="16"/>
          <w:szCs w:val="16"/>
        </w:rPr>
        <w:t xml:space="preserve"> Breakdown of 70 early childhood education teachers, 86 primary teachers and 58 secondary permanent teachers. This does not include temporary staff that are filling or relieving positions. </w:t>
      </w:r>
    </w:p>
  </w:footnote>
  <w:footnote w:id="30">
    <w:p w14:paraId="307BD14F" w14:textId="77777777" w:rsidR="00E43A6C" w:rsidRDefault="00E43A6C" w:rsidP="00E43A6C">
      <w:pPr>
        <w:pStyle w:val="FootnoteText"/>
        <w:rPr>
          <w:sz w:val="16"/>
          <w:szCs w:val="16"/>
        </w:rPr>
      </w:pPr>
      <w:r>
        <w:rPr>
          <w:rStyle w:val="FootnoteReference"/>
          <w:sz w:val="16"/>
          <w:szCs w:val="16"/>
        </w:rPr>
        <w:footnoteRef/>
      </w:r>
      <w:r>
        <w:rPr>
          <w:sz w:val="16"/>
          <w:szCs w:val="16"/>
        </w:rPr>
        <w:t xml:space="preserve"> References drawn from draft MEHRD Education Workforce Development Framework report developed by the Tuvalu Australia Partnership for Quality Education (TAPQE Program).</w:t>
      </w:r>
    </w:p>
  </w:footnote>
  <w:footnote w:id="31">
    <w:p w14:paraId="19198F9B" w14:textId="77777777" w:rsidR="00E43A6C" w:rsidRDefault="00E43A6C" w:rsidP="00E43A6C">
      <w:pPr>
        <w:pStyle w:val="FootnoteText"/>
      </w:pPr>
      <w:r>
        <w:rPr>
          <w:rStyle w:val="FootnoteReference"/>
          <w:sz w:val="16"/>
          <w:szCs w:val="16"/>
        </w:rPr>
        <w:footnoteRef/>
      </w:r>
      <w:r>
        <w:rPr>
          <w:sz w:val="16"/>
          <w:szCs w:val="16"/>
        </w:rPr>
        <w:t xml:space="preserve"> Education in Tuvalu: Global Partnership for Education</w:t>
      </w:r>
    </w:p>
  </w:footnote>
  <w:footnote w:id="32">
    <w:p w14:paraId="04A6E0DD" w14:textId="77777777" w:rsidR="00E43A6C" w:rsidRDefault="00E43A6C" w:rsidP="00E43A6C">
      <w:pPr>
        <w:pStyle w:val="FootnoteText"/>
        <w:rPr>
          <w:sz w:val="16"/>
          <w:szCs w:val="16"/>
        </w:rPr>
      </w:pPr>
      <w:r>
        <w:rPr>
          <w:rStyle w:val="FootnoteReference"/>
          <w:sz w:val="16"/>
          <w:szCs w:val="16"/>
        </w:rPr>
        <w:footnoteRef/>
      </w:r>
      <w:r>
        <w:rPr>
          <w:sz w:val="16"/>
          <w:szCs w:val="16"/>
        </w:rPr>
        <w:t xml:space="preserve"> TAPQE is implemented through Tetra Tech International Development Pty. Ltd. </w:t>
      </w:r>
    </w:p>
  </w:footnote>
  <w:footnote w:id="33">
    <w:p w14:paraId="110D3091" w14:textId="77777777" w:rsidR="00E43A6C" w:rsidRDefault="00E43A6C" w:rsidP="00E43A6C">
      <w:pPr>
        <w:pStyle w:val="pf0"/>
        <w:rPr>
          <w:rFonts w:ascii="Arial" w:hAnsi="Arial" w:cs="Arial"/>
          <w:sz w:val="16"/>
          <w:szCs w:val="16"/>
        </w:rPr>
      </w:pPr>
      <w:r>
        <w:rPr>
          <w:rStyle w:val="FootnoteReference"/>
          <w:sz w:val="16"/>
          <w:szCs w:val="16"/>
        </w:rPr>
        <w:footnoteRef/>
      </w:r>
      <w:r>
        <w:rPr>
          <w:sz w:val="16"/>
          <w:szCs w:val="16"/>
        </w:rPr>
        <w:t xml:space="preserve"> </w:t>
      </w:r>
      <w:r>
        <w:rPr>
          <w:rStyle w:val="cf01"/>
          <w:sz w:val="16"/>
          <w:szCs w:val="16"/>
        </w:rPr>
        <w:t xml:space="preserve">Drawn from the TAPQE Service Order 77889/2. Clause 2.5 of the SO notes that </w:t>
      </w:r>
      <w:r>
        <w:rPr>
          <w:rStyle w:val="cf11"/>
          <w:sz w:val="16"/>
          <w:szCs w:val="16"/>
        </w:rPr>
        <w:t>‘EOPOs cannot be changed unless approved by the Steering Group and DFAT policy delegates (jointly between Canberra and Post). Revisions below the EOPO level can be updated if agreed by the Steering Group’.</w:t>
      </w:r>
    </w:p>
    <w:p w14:paraId="420CD995" w14:textId="77777777" w:rsidR="00E43A6C" w:rsidRDefault="00E43A6C" w:rsidP="00E43A6C">
      <w:pPr>
        <w:pStyle w:val="FootnoteText"/>
        <w:rPr>
          <w:rFonts w:ascii="Aptos" w:hAnsi="Aptos" w:cs="Times New Roman"/>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315528" w14:textId="0C6DADBB" w:rsidR="001C0238" w:rsidRDefault="001C0238" w:rsidP="001668EE">
    <w:pPr>
      <w:pStyle w:val="Header"/>
    </w:pPr>
    <w:r>
      <w:rPr>
        <w:noProof/>
      </w:rPr>
      <w:drawing>
        <wp:anchor distT="0" distB="0" distL="114300" distR="114300" simplePos="0" relativeHeight="251659264" behindDoc="0" locked="0" layoutInCell="1" allowOverlap="1" wp14:anchorId="544429E7" wp14:editId="4CAFA811">
          <wp:simplePos x="0" y="0"/>
          <wp:positionH relativeFrom="column">
            <wp:posOffset>5692112</wp:posOffset>
          </wp:positionH>
          <wp:positionV relativeFrom="paragraph">
            <wp:posOffset>-53671</wp:posOffset>
          </wp:positionV>
          <wp:extent cx="346841" cy="346841"/>
          <wp:effectExtent l="0" t="0" r="0" b="0"/>
          <wp:wrapSquare wrapText="bothSides"/>
          <wp:docPr id="864465759" name="Picture 86446575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65759" name="Picture 8644657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8240" behindDoc="0" locked="0" layoutInCell="1" allowOverlap="1" wp14:anchorId="544429E7" wp14:editId="7651DA66">
          <wp:simplePos x="0" y="0"/>
          <wp:positionH relativeFrom="column">
            <wp:posOffset>5692112</wp:posOffset>
          </wp:positionH>
          <wp:positionV relativeFrom="paragraph">
            <wp:posOffset>-53671</wp:posOffset>
          </wp:positionV>
          <wp:extent cx="346841" cy="346841"/>
          <wp:effectExtent l="0" t="0" r="0" b="0"/>
          <wp:wrapSquare wrapText="bothSides"/>
          <wp:docPr id="372998753" name="Picture 3729987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98753" name="Picture 37299875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55168" behindDoc="0" locked="0" layoutInCell="1" allowOverlap="1" wp14:anchorId="544429E7" wp14:editId="1DF9CC4D">
          <wp:simplePos x="0" y="0"/>
          <wp:positionH relativeFrom="column">
            <wp:posOffset>5692112</wp:posOffset>
          </wp:positionH>
          <wp:positionV relativeFrom="paragraph">
            <wp:posOffset>-53671</wp:posOffset>
          </wp:positionV>
          <wp:extent cx="346841" cy="346841"/>
          <wp:effectExtent l="0" t="0" r="0" b="0"/>
          <wp:wrapSquare wrapText="bothSides"/>
          <wp:docPr id="584956424" name="Picture 58495642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56424" name="Picture 5849564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59C5B7" w14:textId="77777777" w:rsidR="0068140D" w:rsidRDefault="0068140D" w:rsidP="001668EE">
    <w:pPr>
      <w:pStyle w:val="Header"/>
    </w:pPr>
    <w:r>
      <w:rPr>
        <w:noProof/>
      </w:rPr>
      <w:drawing>
        <wp:anchor distT="0" distB="0" distL="114300" distR="114300" simplePos="0" relativeHeight="251663360" behindDoc="0" locked="0" layoutInCell="1" allowOverlap="1" wp14:anchorId="0D02CC15" wp14:editId="3F5C09DC">
          <wp:simplePos x="0" y="0"/>
          <wp:positionH relativeFrom="column">
            <wp:posOffset>5692112</wp:posOffset>
          </wp:positionH>
          <wp:positionV relativeFrom="paragraph">
            <wp:posOffset>-53671</wp:posOffset>
          </wp:positionV>
          <wp:extent cx="346841" cy="346841"/>
          <wp:effectExtent l="0" t="0" r="0" b="0"/>
          <wp:wrapSquare wrapText="bothSides"/>
          <wp:docPr id="384607969" name="Picture 38460796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4465759" name="Picture 864465759">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2336" behindDoc="0" locked="0" layoutInCell="1" allowOverlap="1" wp14:anchorId="48F31AA8" wp14:editId="315281CA">
          <wp:simplePos x="0" y="0"/>
          <wp:positionH relativeFrom="column">
            <wp:posOffset>5692112</wp:posOffset>
          </wp:positionH>
          <wp:positionV relativeFrom="paragraph">
            <wp:posOffset>-53671</wp:posOffset>
          </wp:positionV>
          <wp:extent cx="346841" cy="346841"/>
          <wp:effectExtent l="0" t="0" r="0" b="0"/>
          <wp:wrapSquare wrapText="bothSides"/>
          <wp:docPr id="905259714" name="Picture 90525971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2998753" name="Picture 372998753">
                    <a:extLst>
                      <a:ext uri="{C183D7F6-B498-43B3-948B-1728B52AA6E4}">
                        <adec:decorative xmlns:adec="http://schemas.microsoft.com/office/drawing/2017/decorative" val="1"/>
                      </a:ext>
                    </a:extLst>
                  </pic:cNvPr>
                  <pic:cNvPicPr/>
                </pic:nvPicPr>
                <pic:blipFill>
                  <a:blip r:embed="rId2">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1312" behindDoc="0" locked="0" layoutInCell="1" allowOverlap="1" wp14:anchorId="4549E54B" wp14:editId="3EEE4FF4">
          <wp:simplePos x="0" y="0"/>
          <wp:positionH relativeFrom="column">
            <wp:posOffset>5692112</wp:posOffset>
          </wp:positionH>
          <wp:positionV relativeFrom="paragraph">
            <wp:posOffset>-53671</wp:posOffset>
          </wp:positionV>
          <wp:extent cx="346841" cy="346841"/>
          <wp:effectExtent l="0" t="0" r="0" b="0"/>
          <wp:wrapSquare wrapText="bothSides"/>
          <wp:docPr id="1971152053" name="Picture 197115205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4956424" name="Picture 58495642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346841" cy="34684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0B8216" w14:textId="7A1D680F" w:rsidR="008F6282" w:rsidRDefault="008F6282" w:rsidP="001668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91" type="#_x0000_t75" style="width:19.5pt;height:19.5pt;visibility:visible;mso-wrap-style:square" o:bullet="t">
        <v:imagedata r:id="rId1" o:title=""/>
      </v:shape>
    </w:pict>
  </w:numPicBullet>
  <w:abstractNum w:abstractNumId="0" w15:restartNumberingAfterBreak="0">
    <w:nsid w:val="00125EAD"/>
    <w:multiLevelType w:val="hybridMultilevel"/>
    <w:tmpl w:val="C6401888"/>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02B132D"/>
    <w:multiLevelType w:val="hybridMultilevel"/>
    <w:tmpl w:val="CD2A62E6"/>
    <w:lvl w:ilvl="0" w:tplc="B2920CA0">
      <w:start w:val="1"/>
      <w:numFmt w:val="bullet"/>
      <w:pStyle w:val="ListParagraph"/>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03B0F1B"/>
    <w:multiLevelType w:val="hybridMultilevel"/>
    <w:tmpl w:val="712280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4D5E42"/>
    <w:multiLevelType w:val="hybridMultilevel"/>
    <w:tmpl w:val="69045E72"/>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552D3B"/>
    <w:multiLevelType w:val="hybridMultilevel"/>
    <w:tmpl w:val="C6565048"/>
    <w:lvl w:ilvl="0" w:tplc="FFFFFFFF">
      <w:start w:val="1"/>
      <w:numFmt w:val="bullet"/>
      <w:lvlText w:val=""/>
      <w:lvlJc w:val="left"/>
      <w:pPr>
        <w:ind w:left="720" w:hanging="360"/>
      </w:pPr>
      <w:rPr>
        <w:rFonts w:ascii="Symbol" w:hAnsi="Symbol" w:hint="default"/>
      </w:rPr>
    </w:lvl>
    <w:lvl w:ilvl="1" w:tplc="0C090001">
      <w:start w:val="1"/>
      <w:numFmt w:val="bullet"/>
      <w:lvlText w:val=""/>
      <w:lvlJc w:val="left"/>
      <w:pPr>
        <w:ind w:left="72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08A55199"/>
    <w:multiLevelType w:val="hybridMultilevel"/>
    <w:tmpl w:val="CD32B33E"/>
    <w:lvl w:ilvl="0" w:tplc="0C090001">
      <w:start w:val="1"/>
      <w:numFmt w:val="bullet"/>
      <w:lvlText w:val=""/>
      <w:lvlJc w:val="left"/>
      <w:pPr>
        <w:ind w:left="765" w:hanging="360"/>
      </w:pPr>
      <w:rPr>
        <w:rFonts w:ascii="Symbol" w:hAnsi="Symbol" w:hint="default"/>
      </w:rPr>
    </w:lvl>
    <w:lvl w:ilvl="1" w:tplc="0C090003">
      <w:start w:val="1"/>
      <w:numFmt w:val="bullet"/>
      <w:lvlText w:val="o"/>
      <w:lvlJc w:val="left"/>
      <w:pPr>
        <w:ind w:left="1485" w:hanging="360"/>
      </w:pPr>
      <w:rPr>
        <w:rFonts w:ascii="Courier New" w:hAnsi="Courier New" w:cs="Courier New" w:hint="default"/>
      </w:rPr>
    </w:lvl>
    <w:lvl w:ilvl="2" w:tplc="0C090005" w:tentative="1">
      <w:start w:val="1"/>
      <w:numFmt w:val="bullet"/>
      <w:lvlText w:val=""/>
      <w:lvlJc w:val="left"/>
      <w:pPr>
        <w:ind w:left="2205" w:hanging="360"/>
      </w:pPr>
      <w:rPr>
        <w:rFonts w:ascii="Wingdings" w:hAnsi="Wingdings" w:hint="default"/>
      </w:rPr>
    </w:lvl>
    <w:lvl w:ilvl="3" w:tplc="0C090001" w:tentative="1">
      <w:start w:val="1"/>
      <w:numFmt w:val="bullet"/>
      <w:lvlText w:val=""/>
      <w:lvlJc w:val="left"/>
      <w:pPr>
        <w:ind w:left="2925" w:hanging="360"/>
      </w:pPr>
      <w:rPr>
        <w:rFonts w:ascii="Symbol" w:hAnsi="Symbol" w:hint="default"/>
      </w:rPr>
    </w:lvl>
    <w:lvl w:ilvl="4" w:tplc="0C090003" w:tentative="1">
      <w:start w:val="1"/>
      <w:numFmt w:val="bullet"/>
      <w:lvlText w:val="o"/>
      <w:lvlJc w:val="left"/>
      <w:pPr>
        <w:ind w:left="3645" w:hanging="360"/>
      </w:pPr>
      <w:rPr>
        <w:rFonts w:ascii="Courier New" w:hAnsi="Courier New" w:cs="Courier New" w:hint="default"/>
      </w:rPr>
    </w:lvl>
    <w:lvl w:ilvl="5" w:tplc="0C090005" w:tentative="1">
      <w:start w:val="1"/>
      <w:numFmt w:val="bullet"/>
      <w:lvlText w:val=""/>
      <w:lvlJc w:val="left"/>
      <w:pPr>
        <w:ind w:left="4365" w:hanging="360"/>
      </w:pPr>
      <w:rPr>
        <w:rFonts w:ascii="Wingdings" w:hAnsi="Wingdings" w:hint="default"/>
      </w:rPr>
    </w:lvl>
    <w:lvl w:ilvl="6" w:tplc="0C090001" w:tentative="1">
      <w:start w:val="1"/>
      <w:numFmt w:val="bullet"/>
      <w:lvlText w:val=""/>
      <w:lvlJc w:val="left"/>
      <w:pPr>
        <w:ind w:left="5085" w:hanging="360"/>
      </w:pPr>
      <w:rPr>
        <w:rFonts w:ascii="Symbol" w:hAnsi="Symbol" w:hint="default"/>
      </w:rPr>
    </w:lvl>
    <w:lvl w:ilvl="7" w:tplc="0C090003" w:tentative="1">
      <w:start w:val="1"/>
      <w:numFmt w:val="bullet"/>
      <w:lvlText w:val="o"/>
      <w:lvlJc w:val="left"/>
      <w:pPr>
        <w:ind w:left="5805" w:hanging="360"/>
      </w:pPr>
      <w:rPr>
        <w:rFonts w:ascii="Courier New" w:hAnsi="Courier New" w:cs="Courier New" w:hint="default"/>
      </w:rPr>
    </w:lvl>
    <w:lvl w:ilvl="8" w:tplc="0C090005" w:tentative="1">
      <w:start w:val="1"/>
      <w:numFmt w:val="bullet"/>
      <w:lvlText w:val=""/>
      <w:lvlJc w:val="left"/>
      <w:pPr>
        <w:ind w:left="6525" w:hanging="360"/>
      </w:pPr>
      <w:rPr>
        <w:rFonts w:ascii="Wingdings" w:hAnsi="Wingdings" w:hint="default"/>
      </w:rPr>
    </w:lvl>
  </w:abstractNum>
  <w:abstractNum w:abstractNumId="6" w15:restartNumberingAfterBreak="0">
    <w:nsid w:val="09441524"/>
    <w:multiLevelType w:val="hybridMultilevel"/>
    <w:tmpl w:val="6B1C9CE0"/>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7" w15:restartNumberingAfterBreak="0">
    <w:nsid w:val="09FB1AF0"/>
    <w:multiLevelType w:val="hybridMultilevel"/>
    <w:tmpl w:val="4A761660"/>
    <w:lvl w:ilvl="0" w:tplc="0C090001">
      <w:start w:val="1"/>
      <w:numFmt w:val="bullet"/>
      <w:lvlText w:val=""/>
      <w:lvlJc w:val="left"/>
      <w:pPr>
        <w:ind w:left="774" w:hanging="360"/>
      </w:pPr>
      <w:rPr>
        <w:rFonts w:ascii="Symbol" w:hAnsi="Symbol" w:hint="default"/>
      </w:rPr>
    </w:lvl>
    <w:lvl w:ilvl="1" w:tplc="0C090003" w:tentative="1">
      <w:start w:val="1"/>
      <w:numFmt w:val="bullet"/>
      <w:lvlText w:val="o"/>
      <w:lvlJc w:val="left"/>
      <w:pPr>
        <w:ind w:left="1494" w:hanging="360"/>
      </w:pPr>
      <w:rPr>
        <w:rFonts w:ascii="Courier New" w:hAnsi="Courier New" w:cs="Courier New" w:hint="default"/>
      </w:rPr>
    </w:lvl>
    <w:lvl w:ilvl="2" w:tplc="0C090005" w:tentative="1">
      <w:start w:val="1"/>
      <w:numFmt w:val="bullet"/>
      <w:lvlText w:val=""/>
      <w:lvlJc w:val="left"/>
      <w:pPr>
        <w:ind w:left="2214" w:hanging="360"/>
      </w:pPr>
      <w:rPr>
        <w:rFonts w:ascii="Wingdings" w:hAnsi="Wingdings" w:hint="default"/>
      </w:rPr>
    </w:lvl>
    <w:lvl w:ilvl="3" w:tplc="0C090001" w:tentative="1">
      <w:start w:val="1"/>
      <w:numFmt w:val="bullet"/>
      <w:lvlText w:val=""/>
      <w:lvlJc w:val="left"/>
      <w:pPr>
        <w:ind w:left="2934" w:hanging="360"/>
      </w:pPr>
      <w:rPr>
        <w:rFonts w:ascii="Symbol" w:hAnsi="Symbol" w:hint="default"/>
      </w:rPr>
    </w:lvl>
    <w:lvl w:ilvl="4" w:tplc="0C090003" w:tentative="1">
      <w:start w:val="1"/>
      <w:numFmt w:val="bullet"/>
      <w:lvlText w:val="o"/>
      <w:lvlJc w:val="left"/>
      <w:pPr>
        <w:ind w:left="3654" w:hanging="360"/>
      </w:pPr>
      <w:rPr>
        <w:rFonts w:ascii="Courier New" w:hAnsi="Courier New" w:cs="Courier New" w:hint="default"/>
      </w:rPr>
    </w:lvl>
    <w:lvl w:ilvl="5" w:tplc="0C090005" w:tentative="1">
      <w:start w:val="1"/>
      <w:numFmt w:val="bullet"/>
      <w:lvlText w:val=""/>
      <w:lvlJc w:val="left"/>
      <w:pPr>
        <w:ind w:left="4374" w:hanging="360"/>
      </w:pPr>
      <w:rPr>
        <w:rFonts w:ascii="Wingdings" w:hAnsi="Wingdings" w:hint="default"/>
      </w:rPr>
    </w:lvl>
    <w:lvl w:ilvl="6" w:tplc="0C090001" w:tentative="1">
      <w:start w:val="1"/>
      <w:numFmt w:val="bullet"/>
      <w:lvlText w:val=""/>
      <w:lvlJc w:val="left"/>
      <w:pPr>
        <w:ind w:left="5094" w:hanging="360"/>
      </w:pPr>
      <w:rPr>
        <w:rFonts w:ascii="Symbol" w:hAnsi="Symbol" w:hint="default"/>
      </w:rPr>
    </w:lvl>
    <w:lvl w:ilvl="7" w:tplc="0C090003" w:tentative="1">
      <w:start w:val="1"/>
      <w:numFmt w:val="bullet"/>
      <w:lvlText w:val="o"/>
      <w:lvlJc w:val="left"/>
      <w:pPr>
        <w:ind w:left="5814" w:hanging="360"/>
      </w:pPr>
      <w:rPr>
        <w:rFonts w:ascii="Courier New" w:hAnsi="Courier New" w:cs="Courier New" w:hint="default"/>
      </w:rPr>
    </w:lvl>
    <w:lvl w:ilvl="8" w:tplc="0C090005" w:tentative="1">
      <w:start w:val="1"/>
      <w:numFmt w:val="bullet"/>
      <w:lvlText w:val=""/>
      <w:lvlJc w:val="left"/>
      <w:pPr>
        <w:ind w:left="6534" w:hanging="360"/>
      </w:pPr>
      <w:rPr>
        <w:rFonts w:ascii="Wingdings" w:hAnsi="Wingdings" w:hint="default"/>
      </w:rPr>
    </w:lvl>
  </w:abstractNum>
  <w:abstractNum w:abstractNumId="8" w15:restartNumberingAfterBreak="0">
    <w:nsid w:val="0B206F17"/>
    <w:multiLevelType w:val="hybridMultilevel"/>
    <w:tmpl w:val="403A41DC"/>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0B7C3809"/>
    <w:multiLevelType w:val="hybridMultilevel"/>
    <w:tmpl w:val="BECC0E52"/>
    <w:lvl w:ilvl="0" w:tplc="0C090017">
      <w:start w:val="1"/>
      <w:numFmt w:val="lowerLetter"/>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DA21F69"/>
    <w:multiLevelType w:val="hybridMultilevel"/>
    <w:tmpl w:val="69045E72"/>
    <w:lvl w:ilvl="0" w:tplc="08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0EE16DB2"/>
    <w:multiLevelType w:val="hybridMultilevel"/>
    <w:tmpl w:val="0D14F30A"/>
    <w:lvl w:ilvl="0" w:tplc="0C09000B">
      <w:start w:val="1"/>
      <w:numFmt w:val="bullet"/>
      <w:lvlText w:val=""/>
      <w:lvlJc w:val="left"/>
      <w:pPr>
        <w:ind w:left="771" w:hanging="360"/>
      </w:pPr>
      <w:rPr>
        <w:rFonts w:ascii="Wingdings" w:hAnsi="Wingdings" w:hint="default"/>
      </w:rPr>
    </w:lvl>
    <w:lvl w:ilvl="1" w:tplc="0C090003" w:tentative="1">
      <w:start w:val="1"/>
      <w:numFmt w:val="bullet"/>
      <w:lvlText w:val="o"/>
      <w:lvlJc w:val="left"/>
      <w:pPr>
        <w:ind w:left="1491" w:hanging="360"/>
      </w:pPr>
      <w:rPr>
        <w:rFonts w:ascii="Courier New" w:hAnsi="Courier New" w:cs="Courier New" w:hint="default"/>
      </w:rPr>
    </w:lvl>
    <w:lvl w:ilvl="2" w:tplc="0C090005" w:tentative="1">
      <w:start w:val="1"/>
      <w:numFmt w:val="bullet"/>
      <w:lvlText w:val=""/>
      <w:lvlJc w:val="left"/>
      <w:pPr>
        <w:ind w:left="2211" w:hanging="360"/>
      </w:pPr>
      <w:rPr>
        <w:rFonts w:ascii="Wingdings" w:hAnsi="Wingdings" w:hint="default"/>
      </w:rPr>
    </w:lvl>
    <w:lvl w:ilvl="3" w:tplc="0C090001" w:tentative="1">
      <w:start w:val="1"/>
      <w:numFmt w:val="bullet"/>
      <w:lvlText w:val=""/>
      <w:lvlJc w:val="left"/>
      <w:pPr>
        <w:ind w:left="2931" w:hanging="360"/>
      </w:pPr>
      <w:rPr>
        <w:rFonts w:ascii="Symbol" w:hAnsi="Symbol" w:hint="default"/>
      </w:rPr>
    </w:lvl>
    <w:lvl w:ilvl="4" w:tplc="0C090003" w:tentative="1">
      <w:start w:val="1"/>
      <w:numFmt w:val="bullet"/>
      <w:lvlText w:val="o"/>
      <w:lvlJc w:val="left"/>
      <w:pPr>
        <w:ind w:left="3651" w:hanging="360"/>
      </w:pPr>
      <w:rPr>
        <w:rFonts w:ascii="Courier New" w:hAnsi="Courier New" w:cs="Courier New" w:hint="default"/>
      </w:rPr>
    </w:lvl>
    <w:lvl w:ilvl="5" w:tplc="0C090005" w:tentative="1">
      <w:start w:val="1"/>
      <w:numFmt w:val="bullet"/>
      <w:lvlText w:val=""/>
      <w:lvlJc w:val="left"/>
      <w:pPr>
        <w:ind w:left="4371" w:hanging="360"/>
      </w:pPr>
      <w:rPr>
        <w:rFonts w:ascii="Wingdings" w:hAnsi="Wingdings" w:hint="default"/>
      </w:rPr>
    </w:lvl>
    <w:lvl w:ilvl="6" w:tplc="0C090001" w:tentative="1">
      <w:start w:val="1"/>
      <w:numFmt w:val="bullet"/>
      <w:lvlText w:val=""/>
      <w:lvlJc w:val="left"/>
      <w:pPr>
        <w:ind w:left="5091" w:hanging="360"/>
      </w:pPr>
      <w:rPr>
        <w:rFonts w:ascii="Symbol" w:hAnsi="Symbol" w:hint="default"/>
      </w:rPr>
    </w:lvl>
    <w:lvl w:ilvl="7" w:tplc="0C090003" w:tentative="1">
      <w:start w:val="1"/>
      <w:numFmt w:val="bullet"/>
      <w:lvlText w:val="o"/>
      <w:lvlJc w:val="left"/>
      <w:pPr>
        <w:ind w:left="5811" w:hanging="360"/>
      </w:pPr>
      <w:rPr>
        <w:rFonts w:ascii="Courier New" w:hAnsi="Courier New" w:cs="Courier New" w:hint="default"/>
      </w:rPr>
    </w:lvl>
    <w:lvl w:ilvl="8" w:tplc="0C090005" w:tentative="1">
      <w:start w:val="1"/>
      <w:numFmt w:val="bullet"/>
      <w:lvlText w:val=""/>
      <w:lvlJc w:val="left"/>
      <w:pPr>
        <w:ind w:left="6531" w:hanging="360"/>
      </w:pPr>
      <w:rPr>
        <w:rFonts w:ascii="Wingdings" w:hAnsi="Wingdings" w:hint="default"/>
      </w:rPr>
    </w:lvl>
  </w:abstractNum>
  <w:abstractNum w:abstractNumId="12" w15:restartNumberingAfterBreak="0">
    <w:nsid w:val="16CC53EE"/>
    <w:multiLevelType w:val="hybridMultilevel"/>
    <w:tmpl w:val="86420D48"/>
    <w:lvl w:ilvl="0" w:tplc="0C090001">
      <w:start w:val="1"/>
      <w:numFmt w:val="bullet"/>
      <w:lvlText w:val=""/>
      <w:lvlJc w:val="left"/>
      <w:pPr>
        <w:ind w:left="1800" w:hanging="360"/>
      </w:pPr>
      <w:rPr>
        <w:rFonts w:ascii="Symbol" w:hAnsi="Symbol" w:hint="default"/>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3240" w:hanging="360"/>
      </w:pPr>
      <w:rPr>
        <w:rFonts w:ascii="Wingdings" w:hAnsi="Wingdings" w:hint="default"/>
      </w:rPr>
    </w:lvl>
    <w:lvl w:ilvl="3" w:tplc="0C090001" w:tentative="1">
      <w:start w:val="1"/>
      <w:numFmt w:val="bullet"/>
      <w:lvlText w:val=""/>
      <w:lvlJc w:val="left"/>
      <w:pPr>
        <w:ind w:left="3960" w:hanging="360"/>
      </w:pPr>
      <w:rPr>
        <w:rFonts w:ascii="Symbol" w:hAnsi="Symbol" w:hint="default"/>
      </w:rPr>
    </w:lvl>
    <w:lvl w:ilvl="4" w:tplc="0C090003" w:tentative="1">
      <w:start w:val="1"/>
      <w:numFmt w:val="bullet"/>
      <w:lvlText w:val="o"/>
      <w:lvlJc w:val="left"/>
      <w:pPr>
        <w:ind w:left="4680" w:hanging="360"/>
      </w:pPr>
      <w:rPr>
        <w:rFonts w:ascii="Courier New" w:hAnsi="Courier New" w:cs="Courier New" w:hint="default"/>
      </w:rPr>
    </w:lvl>
    <w:lvl w:ilvl="5" w:tplc="0C090005" w:tentative="1">
      <w:start w:val="1"/>
      <w:numFmt w:val="bullet"/>
      <w:lvlText w:val=""/>
      <w:lvlJc w:val="left"/>
      <w:pPr>
        <w:ind w:left="5400" w:hanging="360"/>
      </w:pPr>
      <w:rPr>
        <w:rFonts w:ascii="Wingdings" w:hAnsi="Wingdings" w:hint="default"/>
      </w:rPr>
    </w:lvl>
    <w:lvl w:ilvl="6" w:tplc="0C090001" w:tentative="1">
      <w:start w:val="1"/>
      <w:numFmt w:val="bullet"/>
      <w:lvlText w:val=""/>
      <w:lvlJc w:val="left"/>
      <w:pPr>
        <w:ind w:left="6120" w:hanging="360"/>
      </w:pPr>
      <w:rPr>
        <w:rFonts w:ascii="Symbol" w:hAnsi="Symbol" w:hint="default"/>
      </w:rPr>
    </w:lvl>
    <w:lvl w:ilvl="7" w:tplc="0C090003" w:tentative="1">
      <w:start w:val="1"/>
      <w:numFmt w:val="bullet"/>
      <w:lvlText w:val="o"/>
      <w:lvlJc w:val="left"/>
      <w:pPr>
        <w:ind w:left="6840" w:hanging="360"/>
      </w:pPr>
      <w:rPr>
        <w:rFonts w:ascii="Courier New" w:hAnsi="Courier New" w:cs="Courier New" w:hint="default"/>
      </w:rPr>
    </w:lvl>
    <w:lvl w:ilvl="8" w:tplc="0C090005" w:tentative="1">
      <w:start w:val="1"/>
      <w:numFmt w:val="bullet"/>
      <w:lvlText w:val=""/>
      <w:lvlJc w:val="left"/>
      <w:pPr>
        <w:ind w:left="7560" w:hanging="360"/>
      </w:pPr>
      <w:rPr>
        <w:rFonts w:ascii="Wingdings" w:hAnsi="Wingdings" w:hint="default"/>
      </w:rPr>
    </w:lvl>
  </w:abstractNum>
  <w:abstractNum w:abstractNumId="13" w15:restartNumberingAfterBreak="0">
    <w:nsid w:val="1AEB5122"/>
    <w:multiLevelType w:val="hybridMultilevel"/>
    <w:tmpl w:val="431045A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C522DC1"/>
    <w:multiLevelType w:val="hybridMultilevel"/>
    <w:tmpl w:val="E35490F4"/>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1E75282F"/>
    <w:multiLevelType w:val="hybridMultilevel"/>
    <w:tmpl w:val="A1442AFA"/>
    <w:lvl w:ilvl="0" w:tplc="596A9FE2">
      <w:start w:val="1"/>
      <w:numFmt w:val="lowerRoman"/>
      <w:lvlText w:val="%1)"/>
      <w:lvlJc w:val="left"/>
      <w:pPr>
        <w:ind w:left="1440" w:hanging="360"/>
      </w:pPr>
      <w:rPr>
        <w:rFonts w:hint="default"/>
      </w:rPr>
    </w:lvl>
    <w:lvl w:ilvl="1" w:tplc="FFFFFFFF" w:tentative="1">
      <w:start w:val="1"/>
      <w:numFmt w:val="bullet"/>
      <w:lvlText w:val="o"/>
      <w:lvlJc w:val="left"/>
      <w:pPr>
        <w:ind w:left="2160" w:hanging="360"/>
      </w:pPr>
      <w:rPr>
        <w:rFonts w:ascii="Courier New" w:hAnsi="Courier New" w:cs="Courier New" w:hint="default"/>
      </w:rPr>
    </w:lvl>
    <w:lvl w:ilvl="2" w:tplc="FFFFFFFF" w:tentative="1">
      <w:start w:val="1"/>
      <w:numFmt w:val="bullet"/>
      <w:lvlText w:val=""/>
      <w:lvlJc w:val="left"/>
      <w:pPr>
        <w:ind w:left="2880" w:hanging="360"/>
      </w:pPr>
      <w:rPr>
        <w:rFonts w:ascii="Wingdings" w:hAnsi="Wingdings" w:hint="default"/>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6" w15:restartNumberingAfterBreak="0">
    <w:nsid w:val="1EA42D05"/>
    <w:multiLevelType w:val="hybridMultilevel"/>
    <w:tmpl w:val="CEFC29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1FE7185F"/>
    <w:multiLevelType w:val="hybridMultilevel"/>
    <w:tmpl w:val="D214077A"/>
    <w:lvl w:ilvl="0" w:tplc="0C090001">
      <w:start w:val="1"/>
      <w:numFmt w:val="bullet"/>
      <w:lvlText w:val=""/>
      <w:lvlJc w:val="left"/>
      <w:pPr>
        <w:ind w:left="720" w:hanging="360"/>
      </w:pPr>
      <w:rPr>
        <w:rFonts w:ascii="Symbol" w:hAnsi="Symbol" w:hint="default"/>
      </w:rPr>
    </w:lvl>
    <w:lvl w:ilvl="1" w:tplc="459CE87A">
      <w:start w:val="33"/>
      <w:numFmt w:val="bullet"/>
      <w:lvlText w:val="•"/>
      <w:lvlJc w:val="left"/>
      <w:pPr>
        <w:ind w:left="1800" w:hanging="720"/>
      </w:pPr>
      <w:rPr>
        <w:rFonts w:ascii="Calibri" w:eastAsiaTheme="minorHAns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215F6970"/>
    <w:multiLevelType w:val="hybridMultilevel"/>
    <w:tmpl w:val="82B4D0CE"/>
    <w:lvl w:ilvl="0" w:tplc="0C090001">
      <w:start w:val="1"/>
      <w:numFmt w:val="bullet"/>
      <w:lvlText w:val=""/>
      <w:lvlJc w:val="left"/>
      <w:pPr>
        <w:ind w:left="833" w:hanging="360"/>
      </w:pPr>
      <w:rPr>
        <w:rFonts w:ascii="Symbol" w:hAnsi="Symbol" w:hint="default"/>
      </w:rPr>
    </w:lvl>
    <w:lvl w:ilvl="1" w:tplc="0C090003" w:tentative="1">
      <w:start w:val="1"/>
      <w:numFmt w:val="bullet"/>
      <w:lvlText w:val="o"/>
      <w:lvlJc w:val="left"/>
      <w:pPr>
        <w:ind w:left="1553" w:hanging="360"/>
      </w:pPr>
      <w:rPr>
        <w:rFonts w:ascii="Courier New" w:hAnsi="Courier New" w:cs="Courier New" w:hint="default"/>
      </w:rPr>
    </w:lvl>
    <w:lvl w:ilvl="2" w:tplc="0C090005" w:tentative="1">
      <w:start w:val="1"/>
      <w:numFmt w:val="bullet"/>
      <w:lvlText w:val=""/>
      <w:lvlJc w:val="left"/>
      <w:pPr>
        <w:ind w:left="2273" w:hanging="360"/>
      </w:pPr>
      <w:rPr>
        <w:rFonts w:ascii="Wingdings" w:hAnsi="Wingdings" w:hint="default"/>
      </w:rPr>
    </w:lvl>
    <w:lvl w:ilvl="3" w:tplc="0C090001" w:tentative="1">
      <w:start w:val="1"/>
      <w:numFmt w:val="bullet"/>
      <w:lvlText w:val=""/>
      <w:lvlJc w:val="left"/>
      <w:pPr>
        <w:ind w:left="2993" w:hanging="360"/>
      </w:pPr>
      <w:rPr>
        <w:rFonts w:ascii="Symbol" w:hAnsi="Symbol" w:hint="default"/>
      </w:rPr>
    </w:lvl>
    <w:lvl w:ilvl="4" w:tplc="0C090003" w:tentative="1">
      <w:start w:val="1"/>
      <w:numFmt w:val="bullet"/>
      <w:lvlText w:val="o"/>
      <w:lvlJc w:val="left"/>
      <w:pPr>
        <w:ind w:left="3713" w:hanging="360"/>
      </w:pPr>
      <w:rPr>
        <w:rFonts w:ascii="Courier New" w:hAnsi="Courier New" w:cs="Courier New" w:hint="default"/>
      </w:rPr>
    </w:lvl>
    <w:lvl w:ilvl="5" w:tplc="0C090005" w:tentative="1">
      <w:start w:val="1"/>
      <w:numFmt w:val="bullet"/>
      <w:lvlText w:val=""/>
      <w:lvlJc w:val="left"/>
      <w:pPr>
        <w:ind w:left="4433" w:hanging="360"/>
      </w:pPr>
      <w:rPr>
        <w:rFonts w:ascii="Wingdings" w:hAnsi="Wingdings" w:hint="default"/>
      </w:rPr>
    </w:lvl>
    <w:lvl w:ilvl="6" w:tplc="0C090001" w:tentative="1">
      <w:start w:val="1"/>
      <w:numFmt w:val="bullet"/>
      <w:lvlText w:val=""/>
      <w:lvlJc w:val="left"/>
      <w:pPr>
        <w:ind w:left="5153" w:hanging="360"/>
      </w:pPr>
      <w:rPr>
        <w:rFonts w:ascii="Symbol" w:hAnsi="Symbol" w:hint="default"/>
      </w:rPr>
    </w:lvl>
    <w:lvl w:ilvl="7" w:tplc="0C090003" w:tentative="1">
      <w:start w:val="1"/>
      <w:numFmt w:val="bullet"/>
      <w:lvlText w:val="o"/>
      <w:lvlJc w:val="left"/>
      <w:pPr>
        <w:ind w:left="5873" w:hanging="360"/>
      </w:pPr>
      <w:rPr>
        <w:rFonts w:ascii="Courier New" w:hAnsi="Courier New" w:cs="Courier New" w:hint="default"/>
      </w:rPr>
    </w:lvl>
    <w:lvl w:ilvl="8" w:tplc="0C090005" w:tentative="1">
      <w:start w:val="1"/>
      <w:numFmt w:val="bullet"/>
      <w:lvlText w:val=""/>
      <w:lvlJc w:val="left"/>
      <w:pPr>
        <w:ind w:left="6593" w:hanging="360"/>
      </w:pPr>
      <w:rPr>
        <w:rFonts w:ascii="Wingdings" w:hAnsi="Wingdings" w:hint="default"/>
      </w:rPr>
    </w:lvl>
  </w:abstractNum>
  <w:abstractNum w:abstractNumId="19" w15:restartNumberingAfterBreak="0">
    <w:nsid w:val="229A3812"/>
    <w:multiLevelType w:val="multilevel"/>
    <w:tmpl w:val="AA10B8E6"/>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23800C0A"/>
    <w:multiLevelType w:val="hybridMultilevel"/>
    <w:tmpl w:val="D36A4904"/>
    <w:lvl w:ilvl="0" w:tplc="FFFFFFFF">
      <w:start w:val="1"/>
      <w:numFmt w:val="lowerLetter"/>
      <w:lvlText w:val="%1."/>
      <w:lvlJc w:val="left"/>
      <w:pPr>
        <w:ind w:left="3904" w:hanging="360"/>
      </w:pPr>
    </w:lvl>
    <w:lvl w:ilvl="1" w:tplc="FFFFFFFF">
      <w:start w:val="1"/>
      <w:numFmt w:val="lowerLetter"/>
      <w:lvlText w:val="%2."/>
      <w:lvlJc w:val="left"/>
      <w:pPr>
        <w:ind w:left="1746" w:hanging="360"/>
      </w:pPr>
    </w:lvl>
    <w:lvl w:ilvl="2" w:tplc="FFFFFFFF">
      <w:start w:val="1"/>
      <w:numFmt w:val="lowerRoman"/>
      <w:lvlText w:val="%3."/>
      <w:lvlJc w:val="right"/>
      <w:pPr>
        <w:ind w:left="2466" w:hanging="180"/>
      </w:pPr>
    </w:lvl>
    <w:lvl w:ilvl="3" w:tplc="FFFFFFFF">
      <w:start w:val="1"/>
      <w:numFmt w:val="decimal"/>
      <w:lvlText w:val="%4."/>
      <w:lvlJc w:val="left"/>
      <w:pPr>
        <w:ind w:left="3186" w:hanging="360"/>
      </w:pPr>
    </w:lvl>
    <w:lvl w:ilvl="4" w:tplc="FFFFFFFF">
      <w:start w:val="1"/>
      <w:numFmt w:val="lowerLetter"/>
      <w:lvlText w:val="%5."/>
      <w:lvlJc w:val="left"/>
      <w:pPr>
        <w:ind w:left="3906" w:hanging="360"/>
      </w:pPr>
    </w:lvl>
    <w:lvl w:ilvl="5" w:tplc="FFFFFFFF">
      <w:start w:val="1"/>
      <w:numFmt w:val="lowerRoman"/>
      <w:lvlText w:val="%6."/>
      <w:lvlJc w:val="right"/>
      <w:pPr>
        <w:ind w:left="4626" w:hanging="180"/>
      </w:pPr>
    </w:lvl>
    <w:lvl w:ilvl="6" w:tplc="FFFFFFFF">
      <w:start w:val="1"/>
      <w:numFmt w:val="decimal"/>
      <w:lvlText w:val="%7."/>
      <w:lvlJc w:val="left"/>
      <w:pPr>
        <w:ind w:left="5346" w:hanging="360"/>
      </w:pPr>
    </w:lvl>
    <w:lvl w:ilvl="7" w:tplc="FFFFFFFF">
      <w:start w:val="1"/>
      <w:numFmt w:val="lowerLetter"/>
      <w:lvlText w:val="%8."/>
      <w:lvlJc w:val="left"/>
      <w:pPr>
        <w:ind w:left="6066" w:hanging="360"/>
      </w:pPr>
    </w:lvl>
    <w:lvl w:ilvl="8" w:tplc="FFFFFFFF">
      <w:start w:val="1"/>
      <w:numFmt w:val="lowerRoman"/>
      <w:lvlText w:val="%9."/>
      <w:lvlJc w:val="right"/>
      <w:pPr>
        <w:ind w:left="6786" w:hanging="180"/>
      </w:pPr>
    </w:lvl>
  </w:abstractNum>
  <w:abstractNum w:abstractNumId="21" w15:restartNumberingAfterBreak="0">
    <w:nsid w:val="23C57F0E"/>
    <w:multiLevelType w:val="hybridMultilevel"/>
    <w:tmpl w:val="21EA5FF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23EF3E26"/>
    <w:multiLevelType w:val="hybridMultilevel"/>
    <w:tmpl w:val="3F8E7834"/>
    <w:lvl w:ilvl="0" w:tplc="F2D21C6E">
      <w:start w:val="1"/>
      <w:numFmt w:val="bullet"/>
      <w:pStyle w:val="ListBullet"/>
      <w:lvlText w:val=""/>
      <w:lvlPicBulletId w:val="0"/>
      <w:lvlJc w:val="left"/>
      <w:pPr>
        <w:ind w:left="720" w:hanging="360"/>
      </w:pPr>
      <w:rPr>
        <w:rFonts w:ascii="Symbol" w:hAnsi="Symbol" w:hint="default"/>
        <w:color w:val="auto"/>
        <w:sz w:val="20"/>
      </w:rPr>
    </w:lvl>
    <w:lvl w:ilvl="1" w:tplc="FFFFFFFF">
      <w:start w:val="1"/>
      <w:numFmt w:val="bullet"/>
      <w:lvlText w:val="-"/>
      <w:lvlJc w:val="left"/>
      <w:pPr>
        <w:ind w:left="1440" w:hanging="360"/>
      </w:pPr>
      <w:rPr>
        <w:rFonts w:ascii="Arial" w:eastAsiaTheme="minorHAnsi" w:hAnsi="Arial" w:cs="Arial" w:hint="default"/>
        <w:color w:val="auto"/>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3" w15:restartNumberingAfterBreak="0">
    <w:nsid w:val="26513093"/>
    <w:multiLevelType w:val="hybridMultilevel"/>
    <w:tmpl w:val="E85228AA"/>
    <w:lvl w:ilvl="0" w:tplc="FFFFFFFF">
      <w:start w:val="1"/>
      <w:numFmt w:val="lowerLetter"/>
      <w:lvlText w:val="%1."/>
      <w:lvlJc w:val="left"/>
      <w:pPr>
        <w:ind w:left="720" w:hanging="360"/>
      </w:pPr>
    </w:lvl>
    <w:lvl w:ilvl="1" w:tplc="0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6C75419"/>
    <w:multiLevelType w:val="hybridMultilevel"/>
    <w:tmpl w:val="2D2EA8C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26E564CD"/>
    <w:multiLevelType w:val="hybridMultilevel"/>
    <w:tmpl w:val="D36A4904"/>
    <w:lvl w:ilvl="0" w:tplc="0C090019">
      <w:start w:val="1"/>
      <w:numFmt w:val="lowerLetter"/>
      <w:lvlText w:val="%1."/>
      <w:lvlJc w:val="left"/>
      <w:pPr>
        <w:ind w:left="1026" w:hanging="360"/>
      </w:pPr>
    </w:lvl>
    <w:lvl w:ilvl="1" w:tplc="0C090019" w:tentative="1">
      <w:start w:val="1"/>
      <w:numFmt w:val="lowerLetter"/>
      <w:lvlText w:val="%2."/>
      <w:lvlJc w:val="left"/>
      <w:pPr>
        <w:ind w:left="1746" w:hanging="360"/>
      </w:pPr>
    </w:lvl>
    <w:lvl w:ilvl="2" w:tplc="0C09001B" w:tentative="1">
      <w:start w:val="1"/>
      <w:numFmt w:val="lowerRoman"/>
      <w:lvlText w:val="%3."/>
      <w:lvlJc w:val="right"/>
      <w:pPr>
        <w:ind w:left="2466" w:hanging="180"/>
      </w:pPr>
    </w:lvl>
    <w:lvl w:ilvl="3" w:tplc="0C09000F" w:tentative="1">
      <w:start w:val="1"/>
      <w:numFmt w:val="decimal"/>
      <w:lvlText w:val="%4."/>
      <w:lvlJc w:val="left"/>
      <w:pPr>
        <w:ind w:left="3186" w:hanging="360"/>
      </w:pPr>
    </w:lvl>
    <w:lvl w:ilvl="4" w:tplc="0C090019" w:tentative="1">
      <w:start w:val="1"/>
      <w:numFmt w:val="lowerLetter"/>
      <w:lvlText w:val="%5."/>
      <w:lvlJc w:val="left"/>
      <w:pPr>
        <w:ind w:left="3906" w:hanging="360"/>
      </w:pPr>
    </w:lvl>
    <w:lvl w:ilvl="5" w:tplc="0C09001B" w:tentative="1">
      <w:start w:val="1"/>
      <w:numFmt w:val="lowerRoman"/>
      <w:lvlText w:val="%6."/>
      <w:lvlJc w:val="right"/>
      <w:pPr>
        <w:ind w:left="4626" w:hanging="180"/>
      </w:pPr>
    </w:lvl>
    <w:lvl w:ilvl="6" w:tplc="0C09000F" w:tentative="1">
      <w:start w:val="1"/>
      <w:numFmt w:val="decimal"/>
      <w:lvlText w:val="%7."/>
      <w:lvlJc w:val="left"/>
      <w:pPr>
        <w:ind w:left="5346" w:hanging="360"/>
      </w:pPr>
    </w:lvl>
    <w:lvl w:ilvl="7" w:tplc="0C090019" w:tentative="1">
      <w:start w:val="1"/>
      <w:numFmt w:val="lowerLetter"/>
      <w:lvlText w:val="%8."/>
      <w:lvlJc w:val="left"/>
      <w:pPr>
        <w:ind w:left="6066" w:hanging="360"/>
      </w:pPr>
    </w:lvl>
    <w:lvl w:ilvl="8" w:tplc="0C09001B" w:tentative="1">
      <w:start w:val="1"/>
      <w:numFmt w:val="lowerRoman"/>
      <w:lvlText w:val="%9."/>
      <w:lvlJc w:val="right"/>
      <w:pPr>
        <w:ind w:left="6786" w:hanging="180"/>
      </w:pPr>
    </w:lvl>
  </w:abstractNum>
  <w:abstractNum w:abstractNumId="26" w15:restartNumberingAfterBreak="0">
    <w:nsid w:val="2C475552"/>
    <w:multiLevelType w:val="hybridMultilevel"/>
    <w:tmpl w:val="47CCCDE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2D195A94"/>
    <w:multiLevelType w:val="hybridMultilevel"/>
    <w:tmpl w:val="3C5C18D0"/>
    <w:lvl w:ilvl="0" w:tplc="84A09074">
      <w:start w:val="1"/>
      <w:numFmt w:val="decimal"/>
      <w:lvlText w:val="%1)"/>
      <w:lvlJc w:val="left"/>
      <w:pPr>
        <w:ind w:left="1080" w:hanging="72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8" w15:restartNumberingAfterBreak="0">
    <w:nsid w:val="2DEC015F"/>
    <w:multiLevelType w:val="hybridMultilevel"/>
    <w:tmpl w:val="3F748F4E"/>
    <w:lvl w:ilvl="0" w:tplc="FFFFFFFF">
      <w:start w:val="1"/>
      <w:numFmt w:val="decimal"/>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E441338"/>
    <w:multiLevelType w:val="hybridMultilevel"/>
    <w:tmpl w:val="E6B2C3F8"/>
    <w:lvl w:ilvl="0" w:tplc="0C090011">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0" w15:restartNumberingAfterBreak="0">
    <w:nsid w:val="311A7EB4"/>
    <w:multiLevelType w:val="hybridMultilevel"/>
    <w:tmpl w:val="08C256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312171DF"/>
    <w:multiLevelType w:val="hybridMultilevel"/>
    <w:tmpl w:val="B7BAFC74"/>
    <w:lvl w:ilvl="0" w:tplc="A7528902">
      <w:start w:val="2"/>
      <w:numFmt w:val="bullet"/>
      <w:lvlText w:val="•"/>
      <w:lvlJc w:val="left"/>
      <w:pPr>
        <w:ind w:left="1080" w:hanging="720"/>
      </w:pPr>
      <w:rPr>
        <w:rFonts w:ascii="Aptos" w:eastAsia="Aptos" w:hAnsi="Aptos" w:cs="Times New Roman"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2" w15:restartNumberingAfterBreak="0">
    <w:nsid w:val="316E1129"/>
    <w:multiLevelType w:val="hybridMultilevel"/>
    <w:tmpl w:val="07FCB37C"/>
    <w:lvl w:ilvl="0" w:tplc="596A9FE2">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3322677F"/>
    <w:multiLevelType w:val="hybridMultilevel"/>
    <w:tmpl w:val="8DA0A69E"/>
    <w:lvl w:ilvl="0" w:tplc="08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33BF6B68"/>
    <w:multiLevelType w:val="hybridMultilevel"/>
    <w:tmpl w:val="8DA0A69E"/>
    <w:lvl w:ilvl="0" w:tplc="FFFFFFFF">
      <w:start w:val="1"/>
      <w:numFmt w:val="lowerLetter"/>
      <w:lvlText w:val="%1."/>
      <w:lvlJc w:val="lef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3691112B"/>
    <w:multiLevelType w:val="hybridMultilevel"/>
    <w:tmpl w:val="FBAECED6"/>
    <w:lvl w:ilvl="0" w:tplc="0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DCE3CEC"/>
    <w:multiLevelType w:val="hybridMultilevel"/>
    <w:tmpl w:val="9E8ABB14"/>
    <w:lvl w:ilvl="0" w:tplc="982A0978">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7" w15:restartNumberingAfterBreak="0">
    <w:nsid w:val="3FA25EED"/>
    <w:multiLevelType w:val="hybridMultilevel"/>
    <w:tmpl w:val="C7C2D8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3F97C93"/>
    <w:multiLevelType w:val="hybridMultilevel"/>
    <w:tmpl w:val="79CC29C4"/>
    <w:lvl w:ilvl="0" w:tplc="0C090011">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15:restartNumberingAfterBreak="0">
    <w:nsid w:val="491329A8"/>
    <w:multiLevelType w:val="hybridMultilevel"/>
    <w:tmpl w:val="6F962B0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4B1653A1"/>
    <w:multiLevelType w:val="hybridMultilevel"/>
    <w:tmpl w:val="166EBCE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1" w15:restartNumberingAfterBreak="0">
    <w:nsid w:val="4BC51210"/>
    <w:multiLevelType w:val="hybridMultilevel"/>
    <w:tmpl w:val="55A647AC"/>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15:restartNumberingAfterBreak="0">
    <w:nsid w:val="4D766B02"/>
    <w:multiLevelType w:val="hybridMultilevel"/>
    <w:tmpl w:val="F01E3226"/>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15:restartNumberingAfterBreak="0">
    <w:nsid w:val="4F8D0F12"/>
    <w:multiLevelType w:val="hybridMultilevel"/>
    <w:tmpl w:val="CA606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567C10CB"/>
    <w:multiLevelType w:val="hybridMultilevel"/>
    <w:tmpl w:val="022CA84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5" w15:restartNumberingAfterBreak="0">
    <w:nsid w:val="59740B4D"/>
    <w:multiLevelType w:val="hybridMultilevel"/>
    <w:tmpl w:val="6750E9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5B6B5668"/>
    <w:multiLevelType w:val="hybridMultilevel"/>
    <w:tmpl w:val="5CF22D9A"/>
    <w:lvl w:ilvl="0" w:tplc="0C090019">
      <w:start w:val="1"/>
      <w:numFmt w:val="lowerLetter"/>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7" w15:restartNumberingAfterBreak="0">
    <w:nsid w:val="5D6A69E1"/>
    <w:multiLevelType w:val="hybridMultilevel"/>
    <w:tmpl w:val="4AEA4E34"/>
    <w:lvl w:ilvl="0" w:tplc="BE32331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8" w15:restartNumberingAfterBreak="0">
    <w:nsid w:val="5DF12A27"/>
    <w:multiLevelType w:val="hybridMultilevel"/>
    <w:tmpl w:val="B1CED1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9" w15:restartNumberingAfterBreak="0">
    <w:nsid w:val="5E0E01A9"/>
    <w:multiLevelType w:val="hybridMultilevel"/>
    <w:tmpl w:val="30B2A31E"/>
    <w:lvl w:ilvl="0" w:tplc="7A1024DE">
      <w:start w:val="1"/>
      <w:numFmt w:val="bullet"/>
      <w:pStyle w:val="Bullet"/>
      <w:lvlText w:val=""/>
      <w:lvlJc w:val="left"/>
      <w:pPr>
        <w:ind w:left="717" w:hanging="360"/>
      </w:pPr>
      <w:rPr>
        <w:rFonts w:ascii="Wingdings" w:hAnsi="Wingdings" w:hint="default"/>
        <w:b w:val="0"/>
        <w:bCs w:val="0"/>
        <w:i w:val="0"/>
        <w:iCs w:val="0"/>
        <w:caps w:val="0"/>
        <w:smallCaps w:val="0"/>
        <w:strike w:val="0"/>
        <w:dstrike w:val="0"/>
        <w:outline w:val="0"/>
        <w:shadow w:val="0"/>
        <w:emboss w:val="0"/>
        <w:imprint w:val="0"/>
        <w:noProof w:val="0"/>
        <w:vanish w:val="0"/>
        <w:spacing w:val="0"/>
        <w:kern w:val="0"/>
        <w:position w:val="0"/>
        <w:sz w:val="18"/>
        <w:szCs w:val="1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0" w15:restartNumberingAfterBreak="0">
    <w:nsid w:val="5ECA2E8B"/>
    <w:multiLevelType w:val="hybridMultilevel"/>
    <w:tmpl w:val="8A66F13A"/>
    <w:lvl w:ilvl="0" w:tplc="0C090003">
      <w:start w:val="1"/>
      <w:numFmt w:val="bullet"/>
      <w:lvlText w:val="o"/>
      <w:lvlJc w:val="left"/>
      <w:pPr>
        <w:ind w:left="720" w:hanging="360"/>
      </w:pPr>
      <w:rPr>
        <w:rFonts w:ascii="Courier New" w:hAnsi="Courier New" w:cs="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1" w15:restartNumberingAfterBreak="0">
    <w:nsid w:val="60072ED2"/>
    <w:multiLevelType w:val="hybridMultilevel"/>
    <w:tmpl w:val="C8F877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2" w15:restartNumberingAfterBreak="0">
    <w:nsid w:val="63C53FA2"/>
    <w:multiLevelType w:val="hybridMultilevel"/>
    <w:tmpl w:val="BB5AFA2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3" w15:restartNumberingAfterBreak="0">
    <w:nsid w:val="64B5317C"/>
    <w:multiLevelType w:val="hybridMultilevel"/>
    <w:tmpl w:val="A47CAEC6"/>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01">
      <w:start w:val="1"/>
      <w:numFmt w:val="bullet"/>
      <w:lvlText w:val=""/>
      <w:lvlJc w:val="left"/>
      <w:pPr>
        <w:ind w:left="720" w:hanging="360"/>
      </w:pPr>
      <w:rPr>
        <w:rFonts w:ascii="Symbol" w:hAnsi="Symbol" w:hint="default"/>
      </w:rPr>
    </w:lvl>
    <w:lvl w:ilvl="3" w:tplc="0C09000F">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4" w15:restartNumberingAfterBreak="0">
    <w:nsid w:val="650006E0"/>
    <w:multiLevelType w:val="hybridMultilevel"/>
    <w:tmpl w:val="6D363FAE"/>
    <w:lvl w:ilvl="0" w:tplc="0C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5" w15:restartNumberingAfterBreak="0">
    <w:nsid w:val="65B353B6"/>
    <w:multiLevelType w:val="hybridMultilevel"/>
    <w:tmpl w:val="5F0831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6" w15:restartNumberingAfterBreak="0">
    <w:nsid w:val="696524A6"/>
    <w:multiLevelType w:val="hybridMultilevel"/>
    <w:tmpl w:val="580883F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7" w15:restartNumberingAfterBreak="0">
    <w:nsid w:val="6F99224B"/>
    <w:multiLevelType w:val="hybridMultilevel"/>
    <w:tmpl w:val="3F748F4E"/>
    <w:lvl w:ilvl="0" w:tplc="790EAFC2">
      <w:start w:val="1"/>
      <w:numFmt w:val="decimal"/>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15:restartNumberingAfterBreak="0">
    <w:nsid w:val="72E34AF4"/>
    <w:multiLevelType w:val="hybridMultilevel"/>
    <w:tmpl w:val="66A05E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9" w15:restartNumberingAfterBreak="0">
    <w:nsid w:val="77007D0B"/>
    <w:multiLevelType w:val="hybridMultilevel"/>
    <w:tmpl w:val="37EEFC10"/>
    <w:lvl w:ilvl="0" w:tplc="08090001">
      <w:start w:val="1"/>
      <w:numFmt w:val="bullet"/>
      <w:lvlText w:val=""/>
      <w:lvlJc w:val="left"/>
      <w:pPr>
        <w:ind w:left="720" w:hanging="360"/>
      </w:pPr>
      <w:rPr>
        <w:rFonts w:ascii="Symbol" w:hAnsi="Symbol" w:hint="default"/>
      </w:rPr>
    </w:lvl>
    <w:lvl w:ilvl="1" w:tplc="99C48CF8">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77E60BEA"/>
    <w:multiLevelType w:val="hybridMultilevel"/>
    <w:tmpl w:val="8EEA3918"/>
    <w:lvl w:ilvl="0" w:tplc="0C09000B">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1" w15:restartNumberingAfterBreak="0">
    <w:nsid w:val="780D6D1E"/>
    <w:multiLevelType w:val="hybridMultilevel"/>
    <w:tmpl w:val="4AEA4E34"/>
    <w:lvl w:ilvl="0" w:tplc="FFFFFFFF">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79AD41E4"/>
    <w:multiLevelType w:val="hybridMultilevel"/>
    <w:tmpl w:val="6472DBC2"/>
    <w:lvl w:ilvl="0" w:tplc="A0CEA658">
      <w:start w:val="1"/>
      <w:numFmt w:val="lowerLetter"/>
      <w:lvlText w:val="%1)"/>
      <w:lvlJc w:val="left"/>
      <w:pPr>
        <w:ind w:left="1845" w:hanging="360"/>
      </w:pPr>
      <w:rPr>
        <w:rFonts w:hint="default"/>
        <w:i/>
      </w:rPr>
    </w:lvl>
    <w:lvl w:ilvl="1" w:tplc="0C090019" w:tentative="1">
      <w:start w:val="1"/>
      <w:numFmt w:val="lowerLetter"/>
      <w:lvlText w:val="%2."/>
      <w:lvlJc w:val="left"/>
      <w:pPr>
        <w:ind w:left="2565" w:hanging="360"/>
      </w:pPr>
    </w:lvl>
    <w:lvl w:ilvl="2" w:tplc="0C09001B" w:tentative="1">
      <w:start w:val="1"/>
      <w:numFmt w:val="lowerRoman"/>
      <w:lvlText w:val="%3."/>
      <w:lvlJc w:val="right"/>
      <w:pPr>
        <w:ind w:left="3285" w:hanging="180"/>
      </w:pPr>
    </w:lvl>
    <w:lvl w:ilvl="3" w:tplc="0C09000F" w:tentative="1">
      <w:start w:val="1"/>
      <w:numFmt w:val="decimal"/>
      <w:lvlText w:val="%4."/>
      <w:lvlJc w:val="left"/>
      <w:pPr>
        <w:ind w:left="4005" w:hanging="360"/>
      </w:pPr>
    </w:lvl>
    <w:lvl w:ilvl="4" w:tplc="0C090019" w:tentative="1">
      <w:start w:val="1"/>
      <w:numFmt w:val="lowerLetter"/>
      <w:lvlText w:val="%5."/>
      <w:lvlJc w:val="left"/>
      <w:pPr>
        <w:ind w:left="4725" w:hanging="360"/>
      </w:pPr>
    </w:lvl>
    <w:lvl w:ilvl="5" w:tplc="0C09001B" w:tentative="1">
      <w:start w:val="1"/>
      <w:numFmt w:val="lowerRoman"/>
      <w:lvlText w:val="%6."/>
      <w:lvlJc w:val="right"/>
      <w:pPr>
        <w:ind w:left="5445" w:hanging="180"/>
      </w:pPr>
    </w:lvl>
    <w:lvl w:ilvl="6" w:tplc="0C09000F" w:tentative="1">
      <w:start w:val="1"/>
      <w:numFmt w:val="decimal"/>
      <w:lvlText w:val="%7."/>
      <w:lvlJc w:val="left"/>
      <w:pPr>
        <w:ind w:left="6165" w:hanging="360"/>
      </w:pPr>
    </w:lvl>
    <w:lvl w:ilvl="7" w:tplc="0C090019" w:tentative="1">
      <w:start w:val="1"/>
      <w:numFmt w:val="lowerLetter"/>
      <w:lvlText w:val="%8."/>
      <w:lvlJc w:val="left"/>
      <w:pPr>
        <w:ind w:left="6885" w:hanging="360"/>
      </w:pPr>
    </w:lvl>
    <w:lvl w:ilvl="8" w:tplc="0C09001B" w:tentative="1">
      <w:start w:val="1"/>
      <w:numFmt w:val="lowerRoman"/>
      <w:lvlText w:val="%9."/>
      <w:lvlJc w:val="right"/>
      <w:pPr>
        <w:ind w:left="7605" w:hanging="180"/>
      </w:pPr>
    </w:lvl>
  </w:abstractNum>
  <w:abstractNum w:abstractNumId="63" w15:restartNumberingAfterBreak="0">
    <w:nsid w:val="79E33B65"/>
    <w:multiLevelType w:val="hybridMultilevel"/>
    <w:tmpl w:val="9F8890A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15:restartNumberingAfterBreak="0">
    <w:nsid w:val="79E92F13"/>
    <w:multiLevelType w:val="hybridMultilevel"/>
    <w:tmpl w:val="0B02B548"/>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5" w15:restartNumberingAfterBreak="0">
    <w:nsid w:val="7ACE7784"/>
    <w:multiLevelType w:val="hybridMultilevel"/>
    <w:tmpl w:val="6BA65060"/>
    <w:lvl w:ilvl="0" w:tplc="FFFFFFFF">
      <w:start w:val="1"/>
      <w:numFmt w:val="lowerLetter"/>
      <w:lvlText w:val="%1."/>
      <w:lvlJc w:val="left"/>
      <w:pPr>
        <w:ind w:left="720" w:hanging="360"/>
      </w:pPr>
    </w:lvl>
    <w:lvl w:ilvl="1" w:tplc="0C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7C1927C0"/>
    <w:multiLevelType w:val="hybridMultilevel"/>
    <w:tmpl w:val="7BD883EA"/>
    <w:lvl w:ilvl="0" w:tplc="0C090019">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15:restartNumberingAfterBreak="0">
    <w:nsid w:val="7CA351C9"/>
    <w:multiLevelType w:val="hybridMultilevel"/>
    <w:tmpl w:val="91D642B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8" w15:restartNumberingAfterBreak="0">
    <w:nsid w:val="7D492FF4"/>
    <w:multiLevelType w:val="hybridMultilevel"/>
    <w:tmpl w:val="B010ED1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9" w15:restartNumberingAfterBreak="0">
    <w:nsid w:val="7F5E02DD"/>
    <w:multiLevelType w:val="hybridMultilevel"/>
    <w:tmpl w:val="F056C8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30077021">
    <w:abstractNumId w:val="22"/>
  </w:num>
  <w:num w:numId="2" w16cid:durableId="1642692089">
    <w:abstractNumId w:val="1"/>
  </w:num>
  <w:num w:numId="3" w16cid:durableId="1227763686">
    <w:abstractNumId w:val="45"/>
  </w:num>
  <w:num w:numId="4" w16cid:durableId="366562048">
    <w:abstractNumId w:val="67"/>
  </w:num>
  <w:num w:numId="5" w16cid:durableId="275647062">
    <w:abstractNumId w:val="24"/>
  </w:num>
  <w:num w:numId="6" w16cid:durableId="1834375951">
    <w:abstractNumId w:val="19"/>
  </w:num>
  <w:num w:numId="7" w16cid:durableId="1928885644">
    <w:abstractNumId w:val="42"/>
  </w:num>
  <w:num w:numId="8" w16cid:durableId="1411654327">
    <w:abstractNumId w:val="0"/>
  </w:num>
  <w:num w:numId="9" w16cid:durableId="1170096555">
    <w:abstractNumId w:val="66"/>
  </w:num>
  <w:num w:numId="10" w16cid:durableId="1169904455">
    <w:abstractNumId w:val="14"/>
  </w:num>
  <w:num w:numId="11" w16cid:durableId="297534206">
    <w:abstractNumId w:val="6"/>
  </w:num>
  <w:num w:numId="12" w16cid:durableId="2032607910">
    <w:abstractNumId w:val="2"/>
  </w:num>
  <w:num w:numId="13" w16cid:durableId="1157769694">
    <w:abstractNumId w:val="59"/>
  </w:num>
  <w:num w:numId="14" w16cid:durableId="1906986958">
    <w:abstractNumId w:val="4"/>
  </w:num>
  <w:num w:numId="15" w16cid:durableId="1918634041">
    <w:abstractNumId w:val="30"/>
  </w:num>
  <w:num w:numId="16" w16cid:durableId="757020750">
    <w:abstractNumId w:val="43"/>
  </w:num>
  <w:num w:numId="17" w16cid:durableId="328481803">
    <w:abstractNumId w:val="36"/>
  </w:num>
  <w:num w:numId="18" w16cid:durableId="722144753">
    <w:abstractNumId w:val="8"/>
  </w:num>
  <w:num w:numId="19" w16cid:durableId="1645426242">
    <w:abstractNumId w:val="41"/>
  </w:num>
  <w:num w:numId="20" w16cid:durableId="537427794">
    <w:abstractNumId w:val="37"/>
  </w:num>
  <w:num w:numId="21" w16cid:durableId="1487895435">
    <w:abstractNumId w:val="39"/>
  </w:num>
  <w:num w:numId="22" w16cid:durableId="1417363116">
    <w:abstractNumId w:val="49"/>
  </w:num>
  <w:num w:numId="23" w16cid:durableId="828986470">
    <w:abstractNumId w:val="26"/>
  </w:num>
  <w:num w:numId="24" w16cid:durableId="2106655546">
    <w:abstractNumId w:val="60"/>
  </w:num>
  <w:num w:numId="25" w16cid:durableId="205723359">
    <w:abstractNumId w:val="11"/>
  </w:num>
  <w:num w:numId="26" w16cid:durableId="1927497677">
    <w:abstractNumId w:val="54"/>
  </w:num>
  <w:num w:numId="27" w16cid:durableId="1363021968">
    <w:abstractNumId w:val="16"/>
  </w:num>
  <w:num w:numId="28" w16cid:durableId="404111787">
    <w:abstractNumId w:val="7"/>
  </w:num>
  <w:num w:numId="29" w16cid:durableId="707098932">
    <w:abstractNumId w:val="21"/>
  </w:num>
  <w:num w:numId="30" w16cid:durableId="1217274421">
    <w:abstractNumId w:val="68"/>
  </w:num>
  <w:num w:numId="31" w16cid:durableId="1454210106">
    <w:abstractNumId w:val="17"/>
  </w:num>
  <w:num w:numId="32" w16cid:durableId="937560740">
    <w:abstractNumId w:val="50"/>
  </w:num>
  <w:num w:numId="33" w16cid:durableId="736780818">
    <w:abstractNumId w:val="5"/>
  </w:num>
  <w:num w:numId="34" w16cid:durableId="661809294">
    <w:abstractNumId w:val="62"/>
  </w:num>
  <w:num w:numId="35" w16cid:durableId="1031765534">
    <w:abstractNumId w:val="12"/>
  </w:num>
  <w:num w:numId="36" w16cid:durableId="926769979">
    <w:abstractNumId w:val="64"/>
  </w:num>
  <w:num w:numId="37" w16cid:durableId="1441221063">
    <w:abstractNumId w:val="32"/>
  </w:num>
  <w:num w:numId="38" w16cid:durableId="1447505096">
    <w:abstractNumId w:val="38"/>
  </w:num>
  <w:num w:numId="39" w16cid:durableId="1558008561">
    <w:abstractNumId w:val="25"/>
  </w:num>
  <w:num w:numId="40" w16cid:durableId="139470869">
    <w:abstractNumId w:val="47"/>
  </w:num>
  <w:num w:numId="41" w16cid:durableId="1416258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2010516717">
    <w:abstractNumId w:val="31"/>
  </w:num>
  <w:num w:numId="43" w16cid:durableId="711736170">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1932346387">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152068142">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30084051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116223504">
    <w:abstractNumId w:val="12"/>
  </w:num>
  <w:num w:numId="48" w16cid:durableId="1044645601">
    <w:abstractNumId w:val="6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289358533">
    <w:abstractNumId w:val="50"/>
  </w:num>
  <w:num w:numId="50" w16cid:durableId="103928458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2072072720">
    <w:abstractNumId w:val="44"/>
  </w:num>
  <w:num w:numId="52" w16cid:durableId="2025355891">
    <w:abstractNumId w:val="48"/>
  </w:num>
  <w:num w:numId="53" w16cid:durableId="627474085">
    <w:abstractNumId w:val="51"/>
  </w:num>
  <w:num w:numId="54" w16cid:durableId="1658917704">
    <w:abstractNumId w:val="61"/>
  </w:num>
  <w:num w:numId="55" w16cid:durableId="249773144">
    <w:abstractNumId w:val="53"/>
  </w:num>
  <w:num w:numId="56" w16cid:durableId="1442339039">
    <w:abstractNumId w:val="57"/>
  </w:num>
  <w:num w:numId="57" w16cid:durableId="568273442">
    <w:abstractNumId w:val="10"/>
  </w:num>
  <w:num w:numId="58" w16cid:durableId="1422021348">
    <w:abstractNumId w:val="33"/>
  </w:num>
  <w:num w:numId="59" w16cid:durableId="657462409">
    <w:abstractNumId w:val="23"/>
  </w:num>
  <w:num w:numId="60" w16cid:durableId="1447189002">
    <w:abstractNumId w:val="29"/>
  </w:num>
  <w:num w:numId="61" w16cid:durableId="1301496425">
    <w:abstractNumId w:val="35"/>
  </w:num>
  <w:num w:numId="62" w16cid:durableId="2146193188">
    <w:abstractNumId w:val="9"/>
  </w:num>
  <w:num w:numId="63" w16cid:durableId="993341343">
    <w:abstractNumId w:val="28"/>
  </w:num>
  <w:num w:numId="64" w16cid:durableId="732852277">
    <w:abstractNumId w:val="69"/>
  </w:num>
  <w:num w:numId="65" w16cid:durableId="2140106604">
    <w:abstractNumId w:val="1"/>
  </w:num>
  <w:num w:numId="66" w16cid:durableId="1276905519">
    <w:abstractNumId w:val="34"/>
  </w:num>
  <w:num w:numId="67" w16cid:durableId="1257590095">
    <w:abstractNumId w:val="3"/>
  </w:num>
  <w:num w:numId="68" w16cid:durableId="821700219">
    <w:abstractNumId w:val="52"/>
  </w:num>
  <w:num w:numId="69" w16cid:durableId="384187150">
    <w:abstractNumId w:val="1"/>
  </w:num>
  <w:num w:numId="70" w16cid:durableId="791483215">
    <w:abstractNumId w:val="1"/>
  </w:num>
  <w:num w:numId="71" w16cid:durableId="1084839060">
    <w:abstractNumId w:val="1"/>
  </w:num>
  <w:num w:numId="72" w16cid:durableId="1720015560">
    <w:abstractNumId w:val="1"/>
  </w:num>
  <w:num w:numId="73" w16cid:durableId="1545213394">
    <w:abstractNumId w:val="46"/>
  </w:num>
  <w:num w:numId="74" w16cid:durableId="1112214132">
    <w:abstractNumId w:val="65"/>
  </w:num>
  <w:num w:numId="75" w16cid:durableId="1448694608">
    <w:abstractNumId w:val="63"/>
  </w:num>
  <w:num w:numId="76" w16cid:durableId="76752508">
    <w:abstractNumId w:val="13"/>
  </w:num>
  <w:num w:numId="77" w16cid:durableId="2107917081">
    <w:abstractNumId w:val="55"/>
  </w:num>
  <w:num w:numId="78" w16cid:durableId="1021516046">
    <w:abstractNumId w:val="58"/>
  </w:num>
  <w:num w:numId="79" w16cid:durableId="1192036410">
    <w:abstractNumId w:val="40"/>
  </w:num>
  <w:num w:numId="80" w16cid:durableId="240143530">
    <w:abstractNumId w:val="1"/>
  </w:num>
  <w:num w:numId="81" w16cid:durableId="2070616778">
    <w:abstractNumId w:val="56"/>
  </w:num>
  <w:num w:numId="82" w16cid:durableId="571283480">
    <w:abstractNumId w:val="1"/>
  </w:num>
  <w:num w:numId="83" w16cid:durableId="771245528">
    <w:abstractNumId w:val="18"/>
  </w:num>
  <w:num w:numId="84" w16cid:durableId="1600258586">
    <w:abstractNumId w:val="15"/>
  </w:num>
  <w:numIdMacAtCleanup w:val="7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stylePaneFormatFilter w:val="1F04" w:allStyles="0" w:customStyles="0" w:latentStyles="1" w:stylesInUse="0"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hdrShapeDefaults>
    <o:shapedefaults v:ext="edit" spidmax="3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2C3C"/>
    <w:rsid w:val="0000050B"/>
    <w:rsid w:val="000005C9"/>
    <w:rsid w:val="0000071A"/>
    <w:rsid w:val="00000C4A"/>
    <w:rsid w:val="000011D1"/>
    <w:rsid w:val="00001E69"/>
    <w:rsid w:val="000038F2"/>
    <w:rsid w:val="00003AAA"/>
    <w:rsid w:val="000047C0"/>
    <w:rsid w:val="000047EC"/>
    <w:rsid w:val="0000498A"/>
    <w:rsid w:val="00005536"/>
    <w:rsid w:val="00005956"/>
    <w:rsid w:val="00005FED"/>
    <w:rsid w:val="00006DB0"/>
    <w:rsid w:val="00006F37"/>
    <w:rsid w:val="00007BA0"/>
    <w:rsid w:val="00007FFB"/>
    <w:rsid w:val="00010539"/>
    <w:rsid w:val="00010683"/>
    <w:rsid w:val="00011025"/>
    <w:rsid w:val="0001186F"/>
    <w:rsid w:val="00011B83"/>
    <w:rsid w:val="00011BC0"/>
    <w:rsid w:val="00013020"/>
    <w:rsid w:val="00014760"/>
    <w:rsid w:val="00014A70"/>
    <w:rsid w:val="00014C54"/>
    <w:rsid w:val="00014EEC"/>
    <w:rsid w:val="0001511A"/>
    <w:rsid w:val="000156A2"/>
    <w:rsid w:val="00015A7D"/>
    <w:rsid w:val="00015EFD"/>
    <w:rsid w:val="00016439"/>
    <w:rsid w:val="00016E17"/>
    <w:rsid w:val="0002032B"/>
    <w:rsid w:val="00021707"/>
    <w:rsid w:val="00021A18"/>
    <w:rsid w:val="00022B62"/>
    <w:rsid w:val="0002324C"/>
    <w:rsid w:val="00023533"/>
    <w:rsid w:val="000246FE"/>
    <w:rsid w:val="00024B59"/>
    <w:rsid w:val="00026D48"/>
    <w:rsid w:val="00027CE9"/>
    <w:rsid w:val="00032929"/>
    <w:rsid w:val="00033A48"/>
    <w:rsid w:val="00033BEE"/>
    <w:rsid w:val="00034176"/>
    <w:rsid w:val="0003531B"/>
    <w:rsid w:val="0003691C"/>
    <w:rsid w:val="000369F1"/>
    <w:rsid w:val="00037826"/>
    <w:rsid w:val="00037AA8"/>
    <w:rsid w:val="0004289F"/>
    <w:rsid w:val="00043D1D"/>
    <w:rsid w:val="000456EE"/>
    <w:rsid w:val="00045DE7"/>
    <w:rsid w:val="00045F0C"/>
    <w:rsid w:val="0004764B"/>
    <w:rsid w:val="00047917"/>
    <w:rsid w:val="00047DA5"/>
    <w:rsid w:val="00050754"/>
    <w:rsid w:val="000508BC"/>
    <w:rsid w:val="0005112F"/>
    <w:rsid w:val="0005178B"/>
    <w:rsid w:val="00051808"/>
    <w:rsid w:val="00051C07"/>
    <w:rsid w:val="0005248B"/>
    <w:rsid w:val="000526CC"/>
    <w:rsid w:val="0005414D"/>
    <w:rsid w:val="00054D59"/>
    <w:rsid w:val="00055F3F"/>
    <w:rsid w:val="00056768"/>
    <w:rsid w:val="00056F14"/>
    <w:rsid w:val="00056F8B"/>
    <w:rsid w:val="000611C9"/>
    <w:rsid w:val="000611CA"/>
    <w:rsid w:val="000613C8"/>
    <w:rsid w:val="00061422"/>
    <w:rsid w:val="0006183A"/>
    <w:rsid w:val="000618F3"/>
    <w:rsid w:val="000631D6"/>
    <w:rsid w:val="00063DA8"/>
    <w:rsid w:val="0006571B"/>
    <w:rsid w:val="00065A5C"/>
    <w:rsid w:val="000660F5"/>
    <w:rsid w:val="0006663B"/>
    <w:rsid w:val="00066B8F"/>
    <w:rsid w:val="00067B57"/>
    <w:rsid w:val="00070560"/>
    <w:rsid w:val="00070618"/>
    <w:rsid w:val="000706F7"/>
    <w:rsid w:val="00070842"/>
    <w:rsid w:val="00070CEA"/>
    <w:rsid w:val="000712FE"/>
    <w:rsid w:val="00071E45"/>
    <w:rsid w:val="00072184"/>
    <w:rsid w:val="0007223F"/>
    <w:rsid w:val="00072599"/>
    <w:rsid w:val="0007267B"/>
    <w:rsid w:val="0007329E"/>
    <w:rsid w:val="00073FDF"/>
    <w:rsid w:val="000740F7"/>
    <w:rsid w:val="0007520F"/>
    <w:rsid w:val="000753AC"/>
    <w:rsid w:val="00075553"/>
    <w:rsid w:val="000756AF"/>
    <w:rsid w:val="00075F5E"/>
    <w:rsid w:val="00076635"/>
    <w:rsid w:val="0007676E"/>
    <w:rsid w:val="000813C7"/>
    <w:rsid w:val="00081C0D"/>
    <w:rsid w:val="00082348"/>
    <w:rsid w:val="00082FA5"/>
    <w:rsid w:val="00083971"/>
    <w:rsid w:val="00084752"/>
    <w:rsid w:val="00084F87"/>
    <w:rsid w:val="00091B1A"/>
    <w:rsid w:val="0009229F"/>
    <w:rsid w:val="0009345D"/>
    <w:rsid w:val="00095027"/>
    <w:rsid w:val="000967D6"/>
    <w:rsid w:val="00096EDC"/>
    <w:rsid w:val="00097830"/>
    <w:rsid w:val="000A0741"/>
    <w:rsid w:val="000A0897"/>
    <w:rsid w:val="000A0AE6"/>
    <w:rsid w:val="000A16DF"/>
    <w:rsid w:val="000A2034"/>
    <w:rsid w:val="000A277D"/>
    <w:rsid w:val="000A2A33"/>
    <w:rsid w:val="000A3AE5"/>
    <w:rsid w:val="000A491B"/>
    <w:rsid w:val="000A508D"/>
    <w:rsid w:val="000A642D"/>
    <w:rsid w:val="000A6ED5"/>
    <w:rsid w:val="000B0420"/>
    <w:rsid w:val="000B0AE3"/>
    <w:rsid w:val="000B1DE2"/>
    <w:rsid w:val="000B2DA6"/>
    <w:rsid w:val="000B3604"/>
    <w:rsid w:val="000B3AE5"/>
    <w:rsid w:val="000B4041"/>
    <w:rsid w:val="000B5969"/>
    <w:rsid w:val="000B60D6"/>
    <w:rsid w:val="000B61F6"/>
    <w:rsid w:val="000B77E8"/>
    <w:rsid w:val="000C11A8"/>
    <w:rsid w:val="000C3363"/>
    <w:rsid w:val="000C3646"/>
    <w:rsid w:val="000C4453"/>
    <w:rsid w:val="000C4F72"/>
    <w:rsid w:val="000C5930"/>
    <w:rsid w:val="000C5EBD"/>
    <w:rsid w:val="000C6671"/>
    <w:rsid w:val="000C7A10"/>
    <w:rsid w:val="000D04E1"/>
    <w:rsid w:val="000D0561"/>
    <w:rsid w:val="000D0F92"/>
    <w:rsid w:val="000D130A"/>
    <w:rsid w:val="000D1AF1"/>
    <w:rsid w:val="000D3153"/>
    <w:rsid w:val="000D3AEC"/>
    <w:rsid w:val="000D3C2A"/>
    <w:rsid w:val="000D3DAB"/>
    <w:rsid w:val="000D54CF"/>
    <w:rsid w:val="000D608D"/>
    <w:rsid w:val="000D618D"/>
    <w:rsid w:val="000D76BE"/>
    <w:rsid w:val="000E05D6"/>
    <w:rsid w:val="000E0B9E"/>
    <w:rsid w:val="000E0DDE"/>
    <w:rsid w:val="000E1FE4"/>
    <w:rsid w:val="000E3514"/>
    <w:rsid w:val="000E3BD6"/>
    <w:rsid w:val="000E3DD6"/>
    <w:rsid w:val="000E3EA2"/>
    <w:rsid w:val="000E51EE"/>
    <w:rsid w:val="000E729F"/>
    <w:rsid w:val="000E7688"/>
    <w:rsid w:val="000E773A"/>
    <w:rsid w:val="000E7B36"/>
    <w:rsid w:val="000E7D40"/>
    <w:rsid w:val="000F05E0"/>
    <w:rsid w:val="000F0D77"/>
    <w:rsid w:val="000F2C2D"/>
    <w:rsid w:val="000F3425"/>
    <w:rsid w:val="000F3AE3"/>
    <w:rsid w:val="000F48D9"/>
    <w:rsid w:val="000F498F"/>
    <w:rsid w:val="000F5D62"/>
    <w:rsid w:val="000F6211"/>
    <w:rsid w:val="000F6456"/>
    <w:rsid w:val="000F66C1"/>
    <w:rsid w:val="000F6D07"/>
    <w:rsid w:val="000F763E"/>
    <w:rsid w:val="000F7E61"/>
    <w:rsid w:val="001020D7"/>
    <w:rsid w:val="00102ABF"/>
    <w:rsid w:val="00103E8E"/>
    <w:rsid w:val="001040DC"/>
    <w:rsid w:val="001048FE"/>
    <w:rsid w:val="0010494B"/>
    <w:rsid w:val="00104DC0"/>
    <w:rsid w:val="001050AA"/>
    <w:rsid w:val="00106316"/>
    <w:rsid w:val="00107119"/>
    <w:rsid w:val="001075C1"/>
    <w:rsid w:val="00107745"/>
    <w:rsid w:val="001101C8"/>
    <w:rsid w:val="00110528"/>
    <w:rsid w:val="00111407"/>
    <w:rsid w:val="001119CC"/>
    <w:rsid w:val="00112813"/>
    <w:rsid w:val="00113043"/>
    <w:rsid w:val="001130C8"/>
    <w:rsid w:val="001131DA"/>
    <w:rsid w:val="001133A4"/>
    <w:rsid w:val="00113466"/>
    <w:rsid w:val="0011388A"/>
    <w:rsid w:val="00113E9A"/>
    <w:rsid w:val="001156F5"/>
    <w:rsid w:val="00116E72"/>
    <w:rsid w:val="00117598"/>
    <w:rsid w:val="00117B9E"/>
    <w:rsid w:val="001216F4"/>
    <w:rsid w:val="0012186E"/>
    <w:rsid w:val="00121BDB"/>
    <w:rsid w:val="001229E6"/>
    <w:rsid w:val="00124A3C"/>
    <w:rsid w:val="0012550F"/>
    <w:rsid w:val="00125705"/>
    <w:rsid w:val="00125742"/>
    <w:rsid w:val="0012629A"/>
    <w:rsid w:val="001263EA"/>
    <w:rsid w:val="00126891"/>
    <w:rsid w:val="00130DDE"/>
    <w:rsid w:val="00131163"/>
    <w:rsid w:val="0013146B"/>
    <w:rsid w:val="00131F6C"/>
    <w:rsid w:val="001328A2"/>
    <w:rsid w:val="00132FEE"/>
    <w:rsid w:val="0013351F"/>
    <w:rsid w:val="001342B1"/>
    <w:rsid w:val="00134BF0"/>
    <w:rsid w:val="00134E83"/>
    <w:rsid w:val="001357DE"/>
    <w:rsid w:val="00135D4F"/>
    <w:rsid w:val="00135E32"/>
    <w:rsid w:val="00136910"/>
    <w:rsid w:val="00137984"/>
    <w:rsid w:val="00137C89"/>
    <w:rsid w:val="001401A0"/>
    <w:rsid w:val="001406A4"/>
    <w:rsid w:val="00140CF5"/>
    <w:rsid w:val="0014129E"/>
    <w:rsid w:val="0014194B"/>
    <w:rsid w:val="00141BCC"/>
    <w:rsid w:val="0014288A"/>
    <w:rsid w:val="00142CF5"/>
    <w:rsid w:val="0014327F"/>
    <w:rsid w:val="001434D9"/>
    <w:rsid w:val="00144165"/>
    <w:rsid w:val="001442BD"/>
    <w:rsid w:val="00144E3C"/>
    <w:rsid w:val="00144EBA"/>
    <w:rsid w:val="0014579F"/>
    <w:rsid w:val="00145E65"/>
    <w:rsid w:val="001463B5"/>
    <w:rsid w:val="001463DD"/>
    <w:rsid w:val="001468A3"/>
    <w:rsid w:val="00147820"/>
    <w:rsid w:val="00147C78"/>
    <w:rsid w:val="001509B0"/>
    <w:rsid w:val="001509CF"/>
    <w:rsid w:val="00150E02"/>
    <w:rsid w:val="00151785"/>
    <w:rsid w:val="001540A4"/>
    <w:rsid w:val="00154777"/>
    <w:rsid w:val="00154D9B"/>
    <w:rsid w:val="00154F11"/>
    <w:rsid w:val="00155010"/>
    <w:rsid w:val="00155756"/>
    <w:rsid w:val="00156EB1"/>
    <w:rsid w:val="00157007"/>
    <w:rsid w:val="00157732"/>
    <w:rsid w:val="001577AF"/>
    <w:rsid w:val="00157935"/>
    <w:rsid w:val="00157B5F"/>
    <w:rsid w:val="00157C01"/>
    <w:rsid w:val="00157D11"/>
    <w:rsid w:val="00160C1A"/>
    <w:rsid w:val="00161451"/>
    <w:rsid w:val="001633B3"/>
    <w:rsid w:val="00163483"/>
    <w:rsid w:val="00163673"/>
    <w:rsid w:val="001637C0"/>
    <w:rsid w:val="00163EE1"/>
    <w:rsid w:val="00165A4E"/>
    <w:rsid w:val="001668EE"/>
    <w:rsid w:val="00166940"/>
    <w:rsid w:val="001706B4"/>
    <w:rsid w:val="00170C80"/>
    <w:rsid w:val="00170CE4"/>
    <w:rsid w:val="0017102B"/>
    <w:rsid w:val="00171174"/>
    <w:rsid w:val="00171593"/>
    <w:rsid w:val="001715F0"/>
    <w:rsid w:val="001720EE"/>
    <w:rsid w:val="00172D94"/>
    <w:rsid w:val="0017336B"/>
    <w:rsid w:val="001734B2"/>
    <w:rsid w:val="001737D0"/>
    <w:rsid w:val="00173810"/>
    <w:rsid w:val="001741BE"/>
    <w:rsid w:val="00174441"/>
    <w:rsid w:val="0017483A"/>
    <w:rsid w:val="00175476"/>
    <w:rsid w:val="00175A99"/>
    <w:rsid w:val="001806AA"/>
    <w:rsid w:val="001808AE"/>
    <w:rsid w:val="00180990"/>
    <w:rsid w:val="001828B8"/>
    <w:rsid w:val="001842B0"/>
    <w:rsid w:val="00185921"/>
    <w:rsid w:val="00185BBC"/>
    <w:rsid w:val="0018674C"/>
    <w:rsid w:val="0018682D"/>
    <w:rsid w:val="00187067"/>
    <w:rsid w:val="00187CBF"/>
    <w:rsid w:val="001904BC"/>
    <w:rsid w:val="001923A1"/>
    <w:rsid w:val="00192492"/>
    <w:rsid w:val="00192714"/>
    <w:rsid w:val="00192E0C"/>
    <w:rsid w:val="00193D71"/>
    <w:rsid w:val="0019585D"/>
    <w:rsid w:val="00195D27"/>
    <w:rsid w:val="001962D1"/>
    <w:rsid w:val="0019653F"/>
    <w:rsid w:val="00197632"/>
    <w:rsid w:val="001977B5"/>
    <w:rsid w:val="00197DEE"/>
    <w:rsid w:val="001A01F5"/>
    <w:rsid w:val="001A108E"/>
    <w:rsid w:val="001A2111"/>
    <w:rsid w:val="001A2321"/>
    <w:rsid w:val="001A3699"/>
    <w:rsid w:val="001A3CB1"/>
    <w:rsid w:val="001A5B11"/>
    <w:rsid w:val="001A5BFB"/>
    <w:rsid w:val="001A6921"/>
    <w:rsid w:val="001A7A17"/>
    <w:rsid w:val="001B02AE"/>
    <w:rsid w:val="001B0CF6"/>
    <w:rsid w:val="001B1535"/>
    <w:rsid w:val="001B1675"/>
    <w:rsid w:val="001B26E5"/>
    <w:rsid w:val="001B3510"/>
    <w:rsid w:val="001B449C"/>
    <w:rsid w:val="001B63BD"/>
    <w:rsid w:val="001B7FD3"/>
    <w:rsid w:val="001C0238"/>
    <w:rsid w:val="001C0E23"/>
    <w:rsid w:val="001C1A1C"/>
    <w:rsid w:val="001C23A3"/>
    <w:rsid w:val="001C25D9"/>
    <w:rsid w:val="001C2EC1"/>
    <w:rsid w:val="001C4437"/>
    <w:rsid w:val="001C44E6"/>
    <w:rsid w:val="001C4AFB"/>
    <w:rsid w:val="001C5D25"/>
    <w:rsid w:val="001C5DBA"/>
    <w:rsid w:val="001C6C9C"/>
    <w:rsid w:val="001C73BF"/>
    <w:rsid w:val="001D19AB"/>
    <w:rsid w:val="001D1B34"/>
    <w:rsid w:val="001D1B3D"/>
    <w:rsid w:val="001D1EC3"/>
    <w:rsid w:val="001D2952"/>
    <w:rsid w:val="001D2A8C"/>
    <w:rsid w:val="001D2C49"/>
    <w:rsid w:val="001D327F"/>
    <w:rsid w:val="001D3CD8"/>
    <w:rsid w:val="001D433F"/>
    <w:rsid w:val="001D442B"/>
    <w:rsid w:val="001D5217"/>
    <w:rsid w:val="001D5C13"/>
    <w:rsid w:val="001D62D1"/>
    <w:rsid w:val="001D672F"/>
    <w:rsid w:val="001D6CA1"/>
    <w:rsid w:val="001D75D7"/>
    <w:rsid w:val="001D7FF4"/>
    <w:rsid w:val="001E0078"/>
    <w:rsid w:val="001E0317"/>
    <w:rsid w:val="001E1047"/>
    <w:rsid w:val="001E108F"/>
    <w:rsid w:val="001E16B6"/>
    <w:rsid w:val="001E2009"/>
    <w:rsid w:val="001E2155"/>
    <w:rsid w:val="001E257D"/>
    <w:rsid w:val="001E25B5"/>
    <w:rsid w:val="001E2A4F"/>
    <w:rsid w:val="001E37C3"/>
    <w:rsid w:val="001E443B"/>
    <w:rsid w:val="001E4659"/>
    <w:rsid w:val="001E5294"/>
    <w:rsid w:val="001E57FE"/>
    <w:rsid w:val="001E58EF"/>
    <w:rsid w:val="001E5D9D"/>
    <w:rsid w:val="001E5E4A"/>
    <w:rsid w:val="001E693E"/>
    <w:rsid w:val="001E7355"/>
    <w:rsid w:val="001E7E64"/>
    <w:rsid w:val="001F1968"/>
    <w:rsid w:val="001F2E5E"/>
    <w:rsid w:val="001F36B9"/>
    <w:rsid w:val="001F43F8"/>
    <w:rsid w:val="001F4C3A"/>
    <w:rsid w:val="001F4F14"/>
    <w:rsid w:val="001F607C"/>
    <w:rsid w:val="001F697A"/>
    <w:rsid w:val="001F6FBA"/>
    <w:rsid w:val="001F7EB0"/>
    <w:rsid w:val="00200399"/>
    <w:rsid w:val="002007B0"/>
    <w:rsid w:val="00200DBC"/>
    <w:rsid w:val="00201A99"/>
    <w:rsid w:val="00201C91"/>
    <w:rsid w:val="00202510"/>
    <w:rsid w:val="00202C44"/>
    <w:rsid w:val="002035F7"/>
    <w:rsid w:val="00204356"/>
    <w:rsid w:val="002045FF"/>
    <w:rsid w:val="0020627C"/>
    <w:rsid w:val="00207063"/>
    <w:rsid w:val="00207E46"/>
    <w:rsid w:val="00207FA1"/>
    <w:rsid w:val="0021023D"/>
    <w:rsid w:val="00210532"/>
    <w:rsid w:val="00210D8E"/>
    <w:rsid w:val="0021118D"/>
    <w:rsid w:val="002114E9"/>
    <w:rsid w:val="00211521"/>
    <w:rsid w:val="00212773"/>
    <w:rsid w:val="002128E1"/>
    <w:rsid w:val="00214208"/>
    <w:rsid w:val="00214B5D"/>
    <w:rsid w:val="00214C15"/>
    <w:rsid w:val="00214E8A"/>
    <w:rsid w:val="0021560E"/>
    <w:rsid w:val="00215A5A"/>
    <w:rsid w:val="00215AAF"/>
    <w:rsid w:val="00215E8E"/>
    <w:rsid w:val="00216CC0"/>
    <w:rsid w:val="00216E87"/>
    <w:rsid w:val="00216EA5"/>
    <w:rsid w:val="00217CA5"/>
    <w:rsid w:val="00217DA6"/>
    <w:rsid w:val="00217E2F"/>
    <w:rsid w:val="0022130F"/>
    <w:rsid w:val="00221D4C"/>
    <w:rsid w:val="002221AB"/>
    <w:rsid w:val="00222A10"/>
    <w:rsid w:val="00222A7C"/>
    <w:rsid w:val="00223E8E"/>
    <w:rsid w:val="0022447A"/>
    <w:rsid w:val="00224BAE"/>
    <w:rsid w:val="00225000"/>
    <w:rsid w:val="0022552C"/>
    <w:rsid w:val="002261A1"/>
    <w:rsid w:val="00226301"/>
    <w:rsid w:val="00226409"/>
    <w:rsid w:val="00226CAC"/>
    <w:rsid w:val="002272F4"/>
    <w:rsid w:val="002273C4"/>
    <w:rsid w:val="00230165"/>
    <w:rsid w:val="00230F4E"/>
    <w:rsid w:val="002319DE"/>
    <w:rsid w:val="00232706"/>
    <w:rsid w:val="00232ADB"/>
    <w:rsid w:val="00232B5B"/>
    <w:rsid w:val="002335BA"/>
    <w:rsid w:val="002336F4"/>
    <w:rsid w:val="002357A9"/>
    <w:rsid w:val="002375D1"/>
    <w:rsid w:val="00237B26"/>
    <w:rsid w:val="002406E8"/>
    <w:rsid w:val="00240EEE"/>
    <w:rsid w:val="00241128"/>
    <w:rsid w:val="0024281A"/>
    <w:rsid w:val="00243090"/>
    <w:rsid w:val="00244392"/>
    <w:rsid w:val="00244639"/>
    <w:rsid w:val="002452D4"/>
    <w:rsid w:val="0024536D"/>
    <w:rsid w:val="002454F6"/>
    <w:rsid w:val="00245629"/>
    <w:rsid w:val="00246096"/>
    <w:rsid w:val="002463C8"/>
    <w:rsid w:val="00246AAD"/>
    <w:rsid w:val="00247302"/>
    <w:rsid w:val="00247C8C"/>
    <w:rsid w:val="00247EA8"/>
    <w:rsid w:val="0025081A"/>
    <w:rsid w:val="0025136E"/>
    <w:rsid w:val="00251A3C"/>
    <w:rsid w:val="00252672"/>
    <w:rsid w:val="0025304C"/>
    <w:rsid w:val="002530A7"/>
    <w:rsid w:val="00254BE1"/>
    <w:rsid w:val="00256D24"/>
    <w:rsid w:val="00257427"/>
    <w:rsid w:val="00257EDD"/>
    <w:rsid w:val="00260D5F"/>
    <w:rsid w:val="00261261"/>
    <w:rsid w:val="002615F6"/>
    <w:rsid w:val="00262177"/>
    <w:rsid w:val="00263777"/>
    <w:rsid w:val="00263A1A"/>
    <w:rsid w:val="00264992"/>
    <w:rsid w:val="00265216"/>
    <w:rsid w:val="002654A9"/>
    <w:rsid w:val="00265F50"/>
    <w:rsid w:val="002667C7"/>
    <w:rsid w:val="00266D5C"/>
    <w:rsid w:val="002672BE"/>
    <w:rsid w:val="00267550"/>
    <w:rsid w:val="002677B6"/>
    <w:rsid w:val="00267A4D"/>
    <w:rsid w:val="00270AFF"/>
    <w:rsid w:val="00270D1E"/>
    <w:rsid w:val="0027104D"/>
    <w:rsid w:val="00271965"/>
    <w:rsid w:val="0027238F"/>
    <w:rsid w:val="002730E6"/>
    <w:rsid w:val="002741C3"/>
    <w:rsid w:val="002743EE"/>
    <w:rsid w:val="00274465"/>
    <w:rsid w:val="00274FFC"/>
    <w:rsid w:val="0027569F"/>
    <w:rsid w:val="00275B58"/>
    <w:rsid w:val="00275CC4"/>
    <w:rsid w:val="00276411"/>
    <w:rsid w:val="00276B06"/>
    <w:rsid w:val="002777E3"/>
    <w:rsid w:val="00277D18"/>
    <w:rsid w:val="0028029F"/>
    <w:rsid w:val="0028088C"/>
    <w:rsid w:val="00280E48"/>
    <w:rsid w:val="00280F5F"/>
    <w:rsid w:val="002817AE"/>
    <w:rsid w:val="00281967"/>
    <w:rsid w:val="002827A6"/>
    <w:rsid w:val="00282B56"/>
    <w:rsid w:val="002835DD"/>
    <w:rsid w:val="002845DB"/>
    <w:rsid w:val="002851E7"/>
    <w:rsid w:val="00285E48"/>
    <w:rsid w:val="0028687D"/>
    <w:rsid w:val="00286D17"/>
    <w:rsid w:val="002872E4"/>
    <w:rsid w:val="00287400"/>
    <w:rsid w:val="00287746"/>
    <w:rsid w:val="002909F8"/>
    <w:rsid w:val="00291085"/>
    <w:rsid w:val="00291459"/>
    <w:rsid w:val="002922EE"/>
    <w:rsid w:val="002933E6"/>
    <w:rsid w:val="00293D49"/>
    <w:rsid w:val="002948EB"/>
    <w:rsid w:val="00294B59"/>
    <w:rsid w:val="00294D8E"/>
    <w:rsid w:val="00295442"/>
    <w:rsid w:val="0029571E"/>
    <w:rsid w:val="002961E9"/>
    <w:rsid w:val="00296360"/>
    <w:rsid w:val="002966AB"/>
    <w:rsid w:val="002969FC"/>
    <w:rsid w:val="00297DFE"/>
    <w:rsid w:val="002A0901"/>
    <w:rsid w:val="002A09D1"/>
    <w:rsid w:val="002A16F2"/>
    <w:rsid w:val="002A24D5"/>
    <w:rsid w:val="002A26CE"/>
    <w:rsid w:val="002A333E"/>
    <w:rsid w:val="002A39C4"/>
    <w:rsid w:val="002A4070"/>
    <w:rsid w:val="002A4424"/>
    <w:rsid w:val="002A4765"/>
    <w:rsid w:val="002A5FF5"/>
    <w:rsid w:val="002A702E"/>
    <w:rsid w:val="002A7387"/>
    <w:rsid w:val="002A7460"/>
    <w:rsid w:val="002A7B95"/>
    <w:rsid w:val="002B0BF6"/>
    <w:rsid w:val="002B17A4"/>
    <w:rsid w:val="002B1D13"/>
    <w:rsid w:val="002B20F9"/>
    <w:rsid w:val="002B2355"/>
    <w:rsid w:val="002B257E"/>
    <w:rsid w:val="002B2BF6"/>
    <w:rsid w:val="002B2C2D"/>
    <w:rsid w:val="002B35A0"/>
    <w:rsid w:val="002B38BC"/>
    <w:rsid w:val="002B40BD"/>
    <w:rsid w:val="002B4327"/>
    <w:rsid w:val="002B4945"/>
    <w:rsid w:val="002B4E43"/>
    <w:rsid w:val="002B58DB"/>
    <w:rsid w:val="002B5AD4"/>
    <w:rsid w:val="002B631B"/>
    <w:rsid w:val="002B662F"/>
    <w:rsid w:val="002B7881"/>
    <w:rsid w:val="002B7D04"/>
    <w:rsid w:val="002C1304"/>
    <w:rsid w:val="002C1BBC"/>
    <w:rsid w:val="002C2B02"/>
    <w:rsid w:val="002C30E8"/>
    <w:rsid w:val="002C3458"/>
    <w:rsid w:val="002C35E1"/>
    <w:rsid w:val="002C418E"/>
    <w:rsid w:val="002C4720"/>
    <w:rsid w:val="002C4985"/>
    <w:rsid w:val="002C58C4"/>
    <w:rsid w:val="002C59F4"/>
    <w:rsid w:val="002C5B5F"/>
    <w:rsid w:val="002C6C72"/>
    <w:rsid w:val="002C71F3"/>
    <w:rsid w:val="002C7FDA"/>
    <w:rsid w:val="002D048A"/>
    <w:rsid w:val="002D07DB"/>
    <w:rsid w:val="002D169A"/>
    <w:rsid w:val="002D3468"/>
    <w:rsid w:val="002D3484"/>
    <w:rsid w:val="002D3BE9"/>
    <w:rsid w:val="002D3FA4"/>
    <w:rsid w:val="002D408E"/>
    <w:rsid w:val="002D4405"/>
    <w:rsid w:val="002D4F28"/>
    <w:rsid w:val="002D5AEA"/>
    <w:rsid w:val="002D60E2"/>
    <w:rsid w:val="002D6B57"/>
    <w:rsid w:val="002E00A9"/>
    <w:rsid w:val="002E01BC"/>
    <w:rsid w:val="002E027A"/>
    <w:rsid w:val="002E111B"/>
    <w:rsid w:val="002E19E6"/>
    <w:rsid w:val="002E207C"/>
    <w:rsid w:val="002E23D4"/>
    <w:rsid w:val="002E2841"/>
    <w:rsid w:val="002E38D3"/>
    <w:rsid w:val="002E3E98"/>
    <w:rsid w:val="002E45DA"/>
    <w:rsid w:val="002E46B9"/>
    <w:rsid w:val="002E55ED"/>
    <w:rsid w:val="002E5C8E"/>
    <w:rsid w:val="002E6115"/>
    <w:rsid w:val="002E661F"/>
    <w:rsid w:val="002E6FEF"/>
    <w:rsid w:val="002E7A94"/>
    <w:rsid w:val="002F106A"/>
    <w:rsid w:val="002F12FB"/>
    <w:rsid w:val="002F2285"/>
    <w:rsid w:val="002F32C5"/>
    <w:rsid w:val="002F3CFC"/>
    <w:rsid w:val="002F4D88"/>
    <w:rsid w:val="002F5F9F"/>
    <w:rsid w:val="002F77C4"/>
    <w:rsid w:val="002F7974"/>
    <w:rsid w:val="002F7CA0"/>
    <w:rsid w:val="0030144F"/>
    <w:rsid w:val="003024E6"/>
    <w:rsid w:val="0030277E"/>
    <w:rsid w:val="00302C4A"/>
    <w:rsid w:val="00302E09"/>
    <w:rsid w:val="00304B4D"/>
    <w:rsid w:val="00304C1A"/>
    <w:rsid w:val="00305D47"/>
    <w:rsid w:val="00305F60"/>
    <w:rsid w:val="00306288"/>
    <w:rsid w:val="00306889"/>
    <w:rsid w:val="003076A5"/>
    <w:rsid w:val="00307B42"/>
    <w:rsid w:val="00307B9C"/>
    <w:rsid w:val="00307CB0"/>
    <w:rsid w:val="00310360"/>
    <w:rsid w:val="00310537"/>
    <w:rsid w:val="0031096E"/>
    <w:rsid w:val="00310B0D"/>
    <w:rsid w:val="003112C6"/>
    <w:rsid w:val="00311624"/>
    <w:rsid w:val="00311FA4"/>
    <w:rsid w:val="003138E0"/>
    <w:rsid w:val="00314635"/>
    <w:rsid w:val="00314821"/>
    <w:rsid w:val="00315F69"/>
    <w:rsid w:val="00316114"/>
    <w:rsid w:val="003173DD"/>
    <w:rsid w:val="0031754D"/>
    <w:rsid w:val="00317700"/>
    <w:rsid w:val="00317887"/>
    <w:rsid w:val="00317D04"/>
    <w:rsid w:val="00317DF5"/>
    <w:rsid w:val="00320313"/>
    <w:rsid w:val="003204C4"/>
    <w:rsid w:val="00320A70"/>
    <w:rsid w:val="00320EC5"/>
    <w:rsid w:val="00321175"/>
    <w:rsid w:val="003214E5"/>
    <w:rsid w:val="00321A49"/>
    <w:rsid w:val="003245F9"/>
    <w:rsid w:val="0032539B"/>
    <w:rsid w:val="00326AFF"/>
    <w:rsid w:val="00326C35"/>
    <w:rsid w:val="003274DD"/>
    <w:rsid w:val="00330AB0"/>
    <w:rsid w:val="00331035"/>
    <w:rsid w:val="003315DB"/>
    <w:rsid w:val="00331952"/>
    <w:rsid w:val="0033195D"/>
    <w:rsid w:val="003319AD"/>
    <w:rsid w:val="00333E63"/>
    <w:rsid w:val="00334549"/>
    <w:rsid w:val="00335845"/>
    <w:rsid w:val="0033667C"/>
    <w:rsid w:val="00341501"/>
    <w:rsid w:val="0034215C"/>
    <w:rsid w:val="0034216D"/>
    <w:rsid w:val="0034372A"/>
    <w:rsid w:val="00343ABB"/>
    <w:rsid w:val="00343AF3"/>
    <w:rsid w:val="003445B0"/>
    <w:rsid w:val="00344817"/>
    <w:rsid w:val="0034512F"/>
    <w:rsid w:val="003456F4"/>
    <w:rsid w:val="00345BCE"/>
    <w:rsid w:val="0034644B"/>
    <w:rsid w:val="003472F5"/>
    <w:rsid w:val="00347B61"/>
    <w:rsid w:val="00350999"/>
    <w:rsid w:val="00350A2B"/>
    <w:rsid w:val="00351572"/>
    <w:rsid w:val="00351A28"/>
    <w:rsid w:val="0035201E"/>
    <w:rsid w:val="003520CF"/>
    <w:rsid w:val="00352687"/>
    <w:rsid w:val="003532BA"/>
    <w:rsid w:val="003535B8"/>
    <w:rsid w:val="0035415D"/>
    <w:rsid w:val="003541C5"/>
    <w:rsid w:val="0035453F"/>
    <w:rsid w:val="003547F1"/>
    <w:rsid w:val="00354971"/>
    <w:rsid w:val="00354FA1"/>
    <w:rsid w:val="00354FB1"/>
    <w:rsid w:val="003553B9"/>
    <w:rsid w:val="0035640D"/>
    <w:rsid w:val="00357312"/>
    <w:rsid w:val="00357343"/>
    <w:rsid w:val="00360073"/>
    <w:rsid w:val="00360881"/>
    <w:rsid w:val="00360B29"/>
    <w:rsid w:val="00360D54"/>
    <w:rsid w:val="00362178"/>
    <w:rsid w:val="00362767"/>
    <w:rsid w:val="00362941"/>
    <w:rsid w:val="00364260"/>
    <w:rsid w:val="003657A1"/>
    <w:rsid w:val="00365E97"/>
    <w:rsid w:val="003660E2"/>
    <w:rsid w:val="00366FB6"/>
    <w:rsid w:val="00370B00"/>
    <w:rsid w:val="003729B5"/>
    <w:rsid w:val="00372E73"/>
    <w:rsid w:val="00373869"/>
    <w:rsid w:val="0037488A"/>
    <w:rsid w:val="00374F6E"/>
    <w:rsid w:val="00375548"/>
    <w:rsid w:val="003764C2"/>
    <w:rsid w:val="00376521"/>
    <w:rsid w:val="003766DC"/>
    <w:rsid w:val="003769C5"/>
    <w:rsid w:val="003772B3"/>
    <w:rsid w:val="00381983"/>
    <w:rsid w:val="00381F89"/>
    <w:rsid w:val="003821B9"/>
    <w:rsid w:val="003836DD"/>
    <w:rsid w:val="003842FA"/>
    <w:rsid w:val="00385003"/>
    <w:rsid w:val="00385707"/>
    <w:rsid w:val="0038620B"/>
    <w:rsid w:val="00386237"/>
    <w:rsid w:val="00386BA4"/>
    <w:rsid w:val="0038769D"/>
    <w:rsid w:val="003903DD"/>
    <w:rsid w:val="003906F1"/>
    <w:rsid w:val="00390B2C"/>
    <w:rsid w:val="00390D61"/>
    <w:rsid w:val="00390E5D"/>
    <w:rsid w:val="00393436"/>
    <w:rsid w:val="00393D93"/>
    <w:rsid w:val="00394057"/>
    <w:rsid w:val="00395BEA"/>
    <w:rsid w:val="0039652F"/>
    <w:rsid w:val="003976C9"/>
    <w:rsid w:val="00397711"/>
    <w:rsid w:val="003A0A9B"/>
    <w:rsid w:val="003A0BBA"/>
    <w:rsid w:val="003A1D4D"/>
    <w:rsid w:val="003A2297"/>
    <w:rsid w:val="003A2AE6"/>
    <w:rsid w:val="003A2D0F"/>
    <w:rsid w:val="003A5E86"/>
    <w:rsid w:val="003A646E"/>
    <w:rsid w:val="003A687F"/>
    <w:rsid w:val="003A727B"/>
    <w:rsid w:val="003B095D"/>
    <w:rsid w:val="003B0A86"/>
    <w:rsid w:val="003B0C75"/>
    <w:rsid w:val="003B465D"/>
    <w:rsid w:val="003B5249"/>
    <w:rsid w:val="003B5931"/>
    <w:rsid w:val="003B5DA3"/>
    <w:rsid w:val="003B75B3"/>
    <w:rsid w:val="003B77A2"/>
    <w:rsid w:val="003C0D23"/>
    <w:rsid w:val="003C2ECC"/>
    <w:rsid w:val="003C3A4E"/>
    <w:rsid w:val="003C4565"/>
    <w:rsid w:val="003C5083"/>
    <w:rsid w:val="003C65DF"/>
    <w:rsid w:val="003C7020"/>
    <w:rsid w:val="003C7B78"/>
    <w:rsid w:val="003D1078"/>
    <w:rsid w:val="003D13E8"/>
    <w:rsid w:val="003D1B2D"/>
    <w:rsid w:val="003D1C42"/>
    <w:rsid w:val="003D2A23"/>
    <w:rsid w:val="003D2E68"/>
    <w:rsid w:val="003D37B6"/>
    <w:rsid w:val="003D431A"/>
    <w:rsid w:val="003D43AC"/>
    <w:rsid w:val="003D46B1"/>
    <w:rsid w:val="003D4A63"/>
    <w:rsid w:val="003D4BA1"/>
    <w:rsid w:val="003D4D50"/>
    <w:rsid w:val="003D5187"/>
    <w:rsid w:val="003D6D77"/>
    <w:rsid w:val="003E07E4"/>
    <w:rsid w:val="003E1CF2"/>
    <w:rsid w:val="003E229B"/>
    <w:rsid w:val="003E34C2"/>
    <w:rsid w:val="003E3FBF"/>
    <w:rsid w:val="003E476C"/>
    <w:rsid w:val="003E4E74"/>
    <w:rsid w:val="003E53EF"/>
    <w:rsid w:val="003E5829"/>
    <w:rsid w:val="003E62B0"/>
    <w:rsid w:val="003E785E"/>
    <w:rsid w:val="003E78A6"/>
    <w:rsid w:val="003E7F85"/>
    <w:rsid w:val="003F0547"/>
    <w:rsid w:val="003F0BFF"/>
    <w:rsid w:val="003F1BED"/>
    <w:rsid w:val="003F1E29"/>
    <w:rsid w:val="003F235F"/>
    <w:rsid w:val="003F2520"/>
    <w:rsid w:val="003F2661"/>
    <w:rsid w:val="003F277B"/>
    <w:rsid w:val="003F2CEE"/>
    <w:rsid w:val="003F362B"/>
    <w:rsid w:val="003F3747"/>
    <w:rsid w:val="003F45DE"/>
    <w:rsid w:val="003F52B1"/>
    <w:rsid w:val="003F533A"/>
    <w:rsid w:val="003F5788"/>
    <w:rsid w:val="003F5FC6"/>
    <w:rsid w:val="003F612F"/>
    <w:rsid w:val="003F65C0"/>
    <w:rsid w:val="003F76B8"/>
    <w:rsid w:val="003F7C64"/>
    <w:rsid w:val="00400AB8"/>
    <w:rsid w:val="00400B97"/>
    <w:rsid w:val="00401791"/>
    <w:rsid w:val="00402A92"/>
    <w:rsid w:val="00402D26"/>
    <w:rsid w:val="00402D87"/>
    <w:rsid w:val="00403056"/>
    <w:rsid w:val="0040371B"/>
    <w:rsid w:val="00403D14"/>
    <w:rsid w:val="00403F85"/>
    <w:rsid w:val="00404E1B"/>
    <w:rsid w:val="00405551"/>
    <w:rsid w:val="00405EAF"/>
    <w:rsid w:val="00406568"/>
    <w:rsid w:val="00410493"/>
    <w:rsid w:val="00411122"/>
    <w:rsid w:val="00411450"/>
    <w:rsid w:val="004116B9"/>
    <w:rsid w:val="00412442"/>
    <w:rsid w:val="00412BB6"/>
    <w:rsid w:val="00413B58"/>
    <w:rsid w:val="00415C2F"/>
    <w:rsid w:val="00416B25"/>
    <w:rsid w:val="004204BC"/>
    <w:rsid w:val="00420621"/>
    <w:rsid w:val="00421094"/>
    <w:rsid w:val="004223E6"/>
    <w:rsid w:val="0042310E"/>
    <w:rsid w:val="004231F5"/>
    <w:rsid w:val="00423A49"/>
    <w:rsid w:val="00423F21"/>
    <w:rsid w:val="00423F5F"/>
    <w:rsid w:val="004271FD"/>
    <w:rsid w:val="004276B8"/>
    <w:rsid w:val="00430E97"/>
    <w:rsid w:val="00431FB3"/>
    <w:rsid w:val="004322E6"/>
    <w:rsid w:val="00433202"/>
    <w:rsid w:val="00434D62"/>
    <w:rsid w:val="00435AE6"/>
    <w:rsid w:val="004369D7"/>
    <w:rsid w:val="00437238"/>
    <w:rsid w:val="0043785B"/>
    <w:rsid w:val="00437D71"/>
    <w:rsid w:val="0044025C"/>
    <w:rsid w:val="00440455"/>
    <w:rsid w:val="00440CA4"/>
    <w:rsid w:val="00440E9E"/>
    <w:rsid w:val="0044173D"/>
    <w:rsid w:val="00441747"/>
    <w:rsid w:val="0044264D"/>
    <w:rsid w:val="004442A7"/>
    <w:rsid w:val="00444389"/>
    <w:rsid w:val="004452B2"/>
    <w:rsid w:val="0044543B"/>
    <w:rsid w:val="00445B45"/>
    <w:rsid w:val="004466F6"/>
    <w:rsid w:val="00446DD1"/>
    <w:rsid w:val="00451432"/>
    <w:rsid w:val="00451498"/>
    <w:rsid w:val="0045149A"/>
    <w:rsid w:val="00451BE8"/>
    <w:rsid w:val="004525C3"/>
    <w:rsid w:val="0045299E"/>
    <w:rsid w:val="00452E42"/>
    <w:rsid w:val="004537A4"/>
    <w:rsid w:val="004538DA"/>
    <w:rsid w:val="0045446C"/>
    <w:rsid w:val="00454977"/>
    <w:rsid w:val="00454DC8"/>
    <w:rsid w:val="00454EF5"/>
    <w:rsid w:val="00457480"/>
    <w:rsid w:val="00457840"/>
    <w:rsid w:val="00461CEB"/>
    <w:rsid w:val="004621B4"/>
    <w:rsid w:val="004625DC"/>
    <w:rsid w:val="00462E61"/>
    <w:rsid w:val="00463436"/>
    <w:rsid w:val="00463541"/>
    <w:rsid w:val="00463CAE"/>
    <w:rsid w:val="00463EFD"/>
    <w:rsid w:val="00465A6C"/>
    <w:rsid w:val="004661F1"/>
    <w:rsid w:val="004667F4"/>
    <w:rsid w:val="00467498"/>
    <w:rsid w:val="00467605"/>
    <w:rsid w:val="00467DB7"/>
    <w:rsid w:val="00471EBC"/>
    <w:rsid w:val="00472098"/>
    <w:rsid w:val="00472525"/>
    <w:rsid w:val="004726E4"/>
    <w:rsid w:val="0047300F"/>
    <w:rsid w:val="00473609"/>
    <w:rsid w:val="00473C7A"/>
    <w:rsid w:val="00474930"/>
    <w:rsid w:val="00474DF9"/>
    <w:rsid w:val="0047503E"/>
    <w:rsid w:val="00475BFA"/>
    <w:rsid w:val="00475F74"/>
    <w:rsid w:val="0047694A"/>
    <w:rsid w:val="00477153"/>
    <w:rsid w:val="004811F5"/>
    <w:rsid w:val="00481C9E"/>
    <w:rsid w:val="00482153"/>
    <w:rsid w:val="00482A33"/>
    <w:rsid w:val="0048397B"/>
    <w:rsid w:val="00483FE3"/>
    <w:rsid w:val="004840E0"/>
    <w:rsid w:val="00485127"/>
    <w:rsid w:val="00485202"/>
    <w:rsid w:val="004854EF"/>
    <w:rsid w:val="004864DC"/>
    <w:rsid w:val="00486705"/>
    <w:rsid w:val="004873D2"/>
    <w:rsid w:val="0048760B"/>
    <w:rsid w:val="0049092D"/>
    <w:rsid w:val="004909BB"/>
    <w:rsid w:val="00491D91"/>
    <w:rsid w:val="00491DF6"/>
    <w:rsid w:val="004930A6"/>
    <w:rsid w:val="00493A5B"/>
    <w:rsid w:val="004943DE"/>
    <w:rsid w:val="0049452E"/>
    <w:rsid w:val="00494C1C"/>
    <w:rsid w:val="00494DE0"/>
    <w:rsid w:val="00494ED2"/>
    <w:rsid w:val="004956A1"/>
    <w:rsid w:val="004963D0"/>
    <w:rsid w:val="004968AE"/>
    <w:rsid w:val="004968F5"/>
    <w:rsid w:val="0049695C"/>
    <w:rsid w:val="004A0457"/>
    <w:rsid w:val="004A1143"/>
    <w:rsid w:val="004A1605"/>
    <w:rsid w:val="004A17A9"/>
    <w:rsid w:val="004A2CE9"/>
    <w:rsid w:val="004A2E55"/>
    <w:rsid w:val="004A2FA5"/>
    <w:rsid w:val="004A5501"/>
    <w:rsid w:val="004A632D"/>
    <w:rsid w:val="004A6370"/>
    <w:rsid w:val="004A72FC"/>
    <w:rsid w:val="004A7C1F"/>
    <w:rsid w:val="004A7F02"/>
    <w:rsid w:val="004B01F2"/>
    <w:rsid w:val="004B05C2"/>
    <w:rsid w:val="004B184B"/>
    <w:rsid w:val="004B1DBA"/>
    <w:rsid w:val="004B334B"/>
    <w:rsid w:val="004B4DB8"/>
    <w:rsid w:val="004B555A"/>
    <w:rsid w:val="004B720C"/>
    <w:rsid w:val="004B77E6"/>
    <w:rsid w:val="004B7943"/>
    <w:rsid w:val="004B797F"/>
    <w:rsid w:val="004C0684"/>
    <w:rsid w:val="004C06A3"/>
    <w:rsid w:val="004C07C4"/>
    <w:rsid w:val="004C0A02"/>
    <w:rsid w:val="004C19D2"/>
    <w:rsid w:val="004C2463"/>
    <w:rsid w:val="004C4582"/>
    <w:rsid w:val="004C4612"/>
    <w:rsid w:val="004C4BB2"/>
    <w:rsid w:val="004C562E"/>
    <w:rsid w:val="004C5BD3"/>
    <w:rsid w:val="004C7D22"/>
    <w:rsid w:val="004D0292"/>
    <w:rsid w:val="004D046B"/>
    <w:rsid w:val="004D09F0"/>
    <w:rsid w:val="004D102F"/>
    <w:rsid w:val="004D1B4E"/>
    <w:rsid w:val="004D1C8A"/>
    <w:rsid w:val="004D1DAD"/>
    <w:rsid w:val="004D21F9"/>
    <w:rsid w:val="004D2630"/>
    <w:rsid w:val="004D300B"/>
    <w:rsid w:val="004D35CB"/>
    <w:rsid w:val="004D3C1B"/>
    <w:rsid w:val="004D4D05"/>
    <w:rsid w:val="004D50D1"/>
    <w:rsid w:val="004D527F"/>
    <w:rsid w:val="004D7C2A"/>
    <w:rsid w:val="004D7CE2"/>
    <w:rsid w:val="004E0142"/>
    <w:rsid w:val="004E1065"/>
    <w:rsid w:val="004E1931"/>
    <w:rsid w:val="004E26B8"/>
    <w:rsid w:val="004E2AAC"/>
    <w:rsid w:val="004E2DB6"/>
    <w:rsid w:val="004E3D4D"/>
    <w:rsid w:val="004E3E69"/>
    <w:rsid w:val="004E450C"/>
    <w:rsid w:val="004E4DE7"/>
    <w:rsid w:val="004E59DF"/>
    <w:rsid w:val="004E5AD1"/>
    <w:rsid w:val="004E6C69"/>
    <w:rsid w:val="004E72AE"/>
    <w:rsid w:val="004E7476"/>
    <w:rsid w:val="004F00C1"/>
    <w:rsid w:val="004F0745"/>
    <w:rsid w:val="004F0F3D"/>
    <w:rsid w:val="004F10DB"/>
    <w:rsid w:val="004F13EC"/>
    <w:rsid w:val="004F1B9F"/>
    <w:rsid w:val="004F31DE"/>
    <w:rsid w:val="004F3904"/>
    <w:rsid w:val="004F40C7"/>
    <w:rsid w:val="004F4214"/>
    <w:rsid w:val="004F48CB"/>
    <w:rsid w:val="004F52F5"/>
    <w:rsid w:val="004F5C2F"/>
    <w:rsid w:val="004F5CF8"/>
    <w:rsid w:val="004F5EA7"/>
    <w:rsid w:val="005003C5"/>
    <w:rsid w:val="0050090D"/>
    <w:rsid w:val="0050177A"/>
    <w:rsid w:val="00501EF4"/>
    <w:rsid w:val="005025BB"/>
    <w:rsid w:val="0050350A"/>
    <w:rsid w:val="005035A2"/>
    <w:rsid w:val="00503C05"/>
    <w:rsid w:val="00504322"/>
    <w:rsid w:val="00505EA6"/>
    <w:rsid w:val="0050619F"/>
    <w:rsid w:val="00507737"/>
    <w:rsid w:val="005079EA"/>
    <w:rsid w:val="00507E9D"/>
    <w:rsid w:val="00511382"/>
    <w:rsid w:val="005122CB"/>
    <w:rsid w:val="00513250"/>
    <w:rsid w:val="005134AD"/>
    <w:rsid w:val="00513644"/>
    <w:rsid w:val="00513D16"/>
    <w:rsid w:val="00514D9F"/>
    <w:rsid w:val="0051602C"/>
    <w:rsid w:val="005160C1"/>
    <w:rsid w:val="0051667C"/>
    <w:rsid w:val="005206E5"/>
    <w:rsid w:val="00520A1E"/>
    <w:rsid w:val="005214A2"/>
    <w:rsid w:val="0052197C"/>
    <w:rsid w:val="00522E2D"/>
    <w:rsid w:val="00523153"/>
    <w:rsid w:val="00523571"/>
    <w:rsid w:val="0052377D"/>
    <w:rsid w:val="00523EEE"/>
    <w:rsid w:val="005248F1"/>
    <w:rsid w:val="00524A24"/>
    <w:rsid w:val="0052524A"/>
    <w:rsid w:val="00525E93"/>
    <w:rsid w:val="005269C5"/>
    <w:rsid w:val="00526BF6"/>
    <w:rsid w:val="0053110B"/>
    <w:rsid w:val="00531672"/>
    <w:rsid w:val="0053182A"/>
    <w:rsid w:val="00534477"/>
    <w:rsid w:val="00534FDD"/>
    <w:rsid w:val="00535A58"/>
    <w:rsid w:val="00536EF2"/>
    <w:rsid w:val="00536FBD"/>
    <w:rsid w:val="0053709B"/>
    <w:rsid w:val="005379F7"/>
    <w:rsid w:val="00537C9C"/>
    <w:rsid w:val="00540A9B"/>
    <w:rsid w:val="00540BBC"/>
    <w:rsid w:val="00542B9A"/>
    <w:rsid w:val="00543C9A"/>
    <w:rsid w:val="00543DF7"/>
    <w:rsid w:val="0054435F"/>
    <w:rsid w:val="00544994"/>
    <w:rsid w:val="00544BD5"/>
    <w:rsid w:val="00545257"/>
    <w:rsid w:val="00545891"/>
    <w:rsid w:val="00545920"/>
    <w:rsid w:val="005462CC"/>
    <w:rsid w:val="00546B27"/>
    <w:rsid w:val="00547240"/>
    <w:rsid w:val="005478BE"/>
    <w:rsid w:val="005502E3"/>
    <w:rsid w:val="005502EE"/>
    <w:rsid w:val="005505D6"/>
    <w:rsid w:val="00550735"/>
    <w:rsid w:val="00550D78"/>
    <w:rsid w:val="005510DC"/>
    <w:rsid w:val="005512B8"/>
    <w:rsid w:val="005514F0"/>
    <w:rsid w:val="00551AF4"/>
    <w:rsid w:val="0055318A"/>
    <w:rsid w:val="00554C72"/>
    <w:rsid w:val="00554EA7"/>
    <w:rsid w:val="00554F9E"/>
    <w:rsid w:val="005553FC"/>
    <w:rsid w:val="00555FFA"/>
    <w:rsid w:val="005563DB"/>
    <w:rsid w:val="00556889"/>
    <w:rsid w:val="00556895"/>
    <w:rsid w:val="0055693F"/>
    <w:rsid w:val="00556DD4"/>
    <w:rsid w:val="005603EA"/>
    <w:rsid w:val="005613E0"/>
    <w:rsid w:val="00563264"/>
    <w:rsid w:val="00563C36"/>
    <w:rsid w:val="00564D9D"/>
    <w:rsid w:val="0056508C"/>
    <w:rsid w:val="005652D3"/>
    <w:rsid w:val="00565523"/>
    <w:rsid w:val="00565C28"/>
    <w:rsid w:val="00565D93"/>
    <w:rsid w:val="00566670"/>
    <w:rsid w:val="00566E4B"/>
    <w:rsid w:val="0056721E"/>
    <w:rsid w:val="0056732C"/>
    <w:rsid w:val="00567A83"/>
    <w:rsid w:val="00567ACE"/>
    <w:rsid w:val="0057025A"/>
    <w:rsid w:val="005717D7"/>
    <w:rsid w:val="00573358"/>
    <w:rsid w:val="00574917"/>
    <w:rsid w:val="005756DD"/>
    <w:rsid w:val="0057737F"/>
    <w:rsid w:val="00577A82"/>
    <w:rsid w:val="00577C13"/>
    <w:rsid w:val="0058014E"/>
    <w:rsid w:val="00581B42"/>
    <w:rsid w:val="00581F55"/>
    <w:rsid w:val="0058281E"/>
    <w:rsid w:val="00582921"/>
    <w:rsid w:val="00582C58"/>
    <w:rsid w:val="005835CD"/>
    <w:rsid w:val="0058462C"/>
    <w:rsid w:val="00585D59"/>
    <w:rsid w:val="00586B23"/>
    <w:rsid w:val="00590438"/>
    <w:rsid w:val="005907C1"/>
    <w:rsid w:val="00590CAC"/>
    <w:rsid w:val="00590F51"/>
    <w:rsid w:val="00591A5D"/>
    <w:rsid w:val="005923E9"/>
    <w:rsid w:val="00593987"/>
    <w:rsid w:val="00593BF9"/>
    <w:rsid w:val="00594519"/>
    <w:rsid w:val="005969A6"/>
    <w:rsid w:val="005A1A56"/>
    <w:rsid w:val="005A221C"/>
    <w:rsid w:val="005A34A7"/>
    <w:rsid w:val="005A4313"/>
    <w:rsid w:val="005A4C07"/>
    <w:rsid w:val="005A5086"/>
    <w:rsid w:val="005A5A58"/>
    <w:rsid w:val="005A68A1"/>
    <w:rsid w:val="005B0B73"/>
    <w:rsid w:val="005B0F36"/>
    <w:rsid w:val="005B2232"/>
    <w:rsid w:val="005B2EBB"/>
    <w:rsid w:val="005B3D9C"/>
    <w:rsid w:val="005B452D"/>
    <w:rsid w:val="005B5F73"/>
    <w:rsid w:val="005B608E"/>
    <w:rsid w:val="005B64B5"/>
    <w:rsid w:val="005B69A7"/>
    <w:rsid w:val="005B74F3"/>
    <w:rsid w:val="005B7786"/>
    <w:rsid w:val="005B7B81"/>
    <w:rsid w:val="005C08DD"/>
    <w:rsid w:val="005C1ED5"/>
    <w:rsid w:val="005C31C6"/>
    <w:rsid w:val="005C3313"/>
    <w:rsid w:val="005C3348"/>
    <w:rsid w:val="005C354D"/>
    <w:rsid w:val="005C49AC"/>
    <w:rsid w:val="005C537F"/>
    <w:rsid w:val="005C5B23"/>
    <w:rsid w:val="005C68F2"/>
    <w:rsid w:val="005C7026"/>
    <w:rsid w:val="005C73AB"/>
    <w:rsid w:val="005C7880"/>
    <w:rsid w:val="005C7C3C"/>
    <w:rsid w:val="005D03A2"/>
    <w:rsid w:val="005D04BF"/>
    <w:rsid w:val="005D093C"/>
    <w:rsid w:val="005D0A57"/>
    <w:rsid w:val="005D1646"/>
    <w:rsid w:val="005D19BA"/>
    <w:rsid w:val="005D1BFA"/>
    <w:rsid w:val="005D2E33"/>
    <w:rsid w:val="005D3710"/>
    <w:rsid w:val="005D53C4"/>
    <w:rsid w:val="005D6AC0"/>
    <w:rsid w:val="005D6B92"/>
    <w:rsid w:val="005D7233"/>
    <w:rsid w:val="005D7333"/>
    <w:rsid w:val="005D767F"/>
    <w:rsid w:val="005D7B44"/>
    <w:rsid w:val="005E020D"/>
    <w:rsid w:val="005E049F"/>
    <w:rsid w:val="005E0AB0"/>
    <w:rsid w:val="005E11B3"/>
    <w:rsid w:val="005E178F"/>
    <w:rsid w:val="005E2541"/>
    <w:rsid w:val="005E368E"/>
    <w:rsid w:val="005E3996"/>
    <w:rsid w:val="005E4271"/>
    <w:rsid w:val="005E4CE7"/>
    <w:rsid w:val="005E4DEF"/>
    <w:rsid w:val="005E5D6F"/>
    <w:rsid w:val="005E627C"/>
    <w:rsid w:val="005E6666"/>
    <w:rsid w:val="005E6B00"/>
    <w:rsid w:val="005E6D24"/>
    <w:rsid w:val="005E77D5"/>
    <w:rsid w:val="005E7A0F"/>
    <w:rsid w:val="005F017A"/>
    <w:rsid w:val="005F0B4C"/>
    <w:rsid w:val="005F0F50"/>
    <w:rsid w:val="005F1E48"/>
    <w:rsid w:val="005F2252"/>
    <w:rsid w:val="005F387E"/>
    <w:rsid w:val="005F3F55"/>
    <w:rsid w:val="005F4777"/>
    <w:rsid w:val="005F4FAF"/>
    <w:rsid w:val="005F62CF"/>
    <w:rsid w:val="005F6557"/>
    <w:rsid w:val="005F708D"/>
    <w:rsid w:val="0060187B"/>
    <w:rsid w:val="00601C32"/>
    <w:rsid w:val="00601CA6"/>
    <w:rsid w:val="00601DB8"/>
    <w:rsid w:val="00603C26"/>
    <w:rsid w:val="00604756"/>
    <w:rsid w:val="006048B9"/>
    <w:rsid w:val="00604A40"/>
    <w:rsid w:val="00604EF3"/>
    <w:rsid w:val="006057EA"/>
    <w:rsid w:val="00605C51"/>
    <w:rsid w:val="00605F81"/>
    <w:rsid w:val="00606173"/>
    <w:rsid w:val="00606CC9"/>
    <w:rsid w:val="00606CFB"/>
    <w:rsid w:val="0061061D"/>
    <w:rsid w:val="00610E77"/>
    <w:rsid w:val="00611D30"/>
    <w:rsid w:val="006120A1"/>
    <w:rsid w:val="006121F5"/>
    <w:rsid w:val="00612E36"/>
    <w:rsid w:val="006132F0"/>
    <w:rsid w:val="00613AEE"/>
    <w:rsid w:val="0061405E"/>
    <w:rsid w:val="006148AF"/>
    <w:rsid w:val="006156DA"/>
    <w:rsid w:val="00617D4E"/>
    <w:rsid w:val="006203CF"/>
    <w:rsid w:val="00620B84"/>
    <w:rsid w:val="006213CB"/>
    <w:rsid w:val="00621948"/>
    <w:rsid w:val="00622D84"/>
    <w:rsid w:val="00623C52"/>
    <w:rsid w:val="00623F21"/>
    <w:rsid w:val="006249F2"/>
    <w:rsid w:val="0062612E"/>
    <w:rsid w:val="00626305"/>
    <w:rsid w:val="006265DB"/>
    <w:rsid w:val="006268E8"/>
    <w:rsid w:val="00626B05"/>
    <w:rsid w:val="00626B07"/>
    <w:rsid w:val="00626DAF"/>
    <w:rsid w:val="00633761"/>
    <w:rsid w:val="006346E6"/>
    <w:rsid w:val="00634FC3"/>
    <w:rsid w:val="006354C5"/>
    <w:rsid w:val="00636F31"/>
    <w:rsid w:val="00637192"/>
    <w:rsid w:val="0063783C"/>
    <w:rsid w:val="00637972"/>
    <w:rsid w:val="006403F7"/>
    <w:rsid w:val="006404AE"/>
    <w:rsid w:val="006405B1"/>
    <w:rsid w:val="00640883"/>
    <w:rsid w:val="00641898"/>
    <w:rsid w:val="0064227B"/>
    <w:rsid w:val="0064286B"/>
    <w:rsid w:val="00643071"/>
    <w:rsid w:val="006431EA"/>
    <w:rsid w:val="00643B1B"/>
    <w:rsid w:val="006448FC"/>
    <w:rsid w:val="006472F1"/>
    <w:rsid w:val="0064754C"/>
    <w:rsid w:val="00647557"/>
    <w:rsid w:val="006476AD"/>
    <w:rsid w:val="0064780B"/>
    <w:rsid w:val="00650631"/>
    <w:rsid w:val="00651A25"/>
    <w:rsid w:val="00651A54"/>
    <w:rsid w:val="00652751"/>
    <w:rsid w:val="00652D2B"/>
    <w:rsid w:val="00652EB9"/>
    <w:rsid w:val="006533A8"/>
    <w:rsid w:val="006534D1"/>
    <w:rsid w:val="00653740"/>
    <w:rsid w:val="00653EC7"/>
    <w:rsid w:val="0065465F"/>
    <w:rsid w:val="00655555"/>
    <w:rsid w:val="006562E4"/>
    <w:rsid w:val="006575C5"/>
    <w:rsid w:val="0066168A"/>
    <w:rsid w:val="00661800"/>
    <w:rsid w:val="006618D0"/>
    <w:rsid w:val="00661911"/>
    <w:rsid w:val="00661B81"/>
    <w:rsid w:val="00662149"/>
    <w:rsid w:val="006623A9"/>
    <w:rsid w:val="006628BC"/>
    <w:rsid w:val="00663756"/>
    <w:rsid w:val="0066462B"/>
    <w:rsid w:val="00664B38"/>
    <w:rsid w:val="00666241"/>
    <w:rsid w:val="0066675C"/>
    <w:rsid w:val="006674BA"/>
    <w:rsid w:val="00667F76"/>
    <w:rsid w:val="00667F86"/>
    <w:rsid w:val="006717F8"/>
    <w:rsid w:val="006729B2"/>
    <w:rsid w:val="00672F83"/>
    <w:rsid w:val="006730EE"/>
    <w:rsid w:val="00674606"/>
    <w:rsid w:val="00674800"/>
    <w:rsid w:val="00677BE2"/>
    <w:rsid w:val="0068140D"/>
    <w:rsid w:val="006816F3"/>
    <w:rsid w:val="00681779"/>
    <w:rsid w:val="00681E80"/>
    <w:rsid w:val="00683112"/>
    <w:rsid w:val="00683374"/>
    <w:rsid w:val="0068356C"/>
    <w:rsid w:val="006835B7"/>
    <w:rsid w:val="00683B00"/>
    <w:rsid w:val="00684C55"/>
    <w:rsid w:val="00684CAB"/>
    <w:rsid w:val="00685A1B"/>
    <w:rsid w:val="00685E77"/>
    <w:rsid w:val="00686706"/>
    <w:rsid w:val="00686962"/>
    <w:rsid w:val="00686A86"/>
    <w:rsid w:val="0069084D"/>
    <w:rsid w:val="00692B5B"/>
    <w:rsid w:val="00693826"/>
    <w:rsid w:val="00693C36"/>
    <w:rsid w:val="00693F41"/>
    <w:rsid w:val="00693FAD"/>
    <w:rsid w:val="00694B3B"/>
    <w:rsid w:val="0069506B"/>
    <w:rsid w:val="006967C9"/>
    <w:rsid w:val="006970F9"/>
    <w:rsid w:val="00697B29"/>
    <w:rsid w:val="006A003B"/>
    <w:rsid w:val="006A09C4"/>
    <w:rsid w:val="006A0BFF"/>
    <w:rsid w:val="006A1191"/>
    <w:rsid w:val="006A14CE"/>
    <w:rsid w:val="006A1530"/>
    <w:rsid w:val="006A155F"/>
    <w:rsid w:val="006A2AE6"/>
    <w:rsid w:val="006A3373"/>
    <w:rsid w:val="006A4414"/>
    <w:rsid w:val="006A536F"/>
    <w:rsid w:val="006A5901"/>
    <w:rsid w:val="006A5B6F"/>
    <w:rsid w:val="006A5FDC"/>
    <w:rsid w:val="006B03EF"/>
    <w:rsid w:val="006B090D"/>
    <w:rsid w:val="006B0AB4"/>
    <w:rsid w:val="006B14AA"/>
    <w:rsid w:val="006B3EE5"/>
    <w:rsid w:val="006B406F"/>
    <w:rsid w:val="006B5E9D"/>
    <w:rsid w:val="006B64BA"/>
    <w:rsid w:val="006B749A"/>
    <w:rsid w:val="006C0F00"/>
    <w:rsid w:val="006C0F4C"/>
    <w:rsid w:val="006C2EF7"/>
    <w:rsid w:val="006C3C94"/>
    <w:rsid w:val="006C3F67"/>
    <w:rsid w:val="006C55D7"/>
    <w:rsid w:val="006C5EB9"/>
    <w:rsid w:val="006C6FA4"/>
    <w:rsid w:val="006C705F"/>
    <w:rsid w:val="006C7684"/>
    <w:rsid w:val="006D06C0"/>
    <w:rsid w:val="006D0ADF"/>
    <w:rsid w:val="006D0B2B"/>
    <w:rsid w:val="006D106F"/>
    <w:rsid w:val="006D20AF"/>
    <w:rsid w:val="006D2360"/>
    <w:rsid w:val="006D339B"/>
    <w:rsid w:val="006D390E"/>
    <w:rsid w:val="006D3DA4"/>
    <w:rsid w:val="006D4926"/>
    <w:rsid w:val="006D519A"/>
    <w:rsid w:val="006D596F"/>
    <w:rsid w:val="006D5BD9"/>
    <w:rsid w:val="006D5DC2"/>
    <w:rsid w:val="006D703C"/>
    <w:rsid w:val="006E0353"/>
    <w:rsid w:val="006E1902"/>
    <w:rsid w:val="006E1BDD"/>
    <w:rsid w:val="006E20F4"/>
    <w:rsid w:val="006E25E6"/>
    <w:rsid w:val="006E2B25"/>
    <w:rsid w:val="006E2B57"/>
    <w:rsid w:val="006E2D5E"/>
    <w:rsid w:val="006E3BCD"/>
    <w:rsid w:val="006E40A4"/>
    <w:rsid w:val="006E4DBD"/>
    <w:rsid w:val="006E57E6"/>
    <w:rsid w:val="006E6747"/>
    <w:rsid w:val="006E6F47"/>
    <w:rsid w:val="006E6FB3"/>
    <w:rsid w:val="006E7175"/>
    <w:rsid w:val="006E7581"/>
    <w:rsid w:val="006F0B27"/>
    <w:rsid w:val="006F0F59"/>
    <w:rsid w:val="006F1A15"/>
    <w:rsid w:val="006F1D50"/>
    <w:rsid w:val="006F2120"/>
    <w:rsid w:val="006F2350"/>
    <w:rsid w:val="006F2B21"/>
    <w:rsid w:val="006F2FF6"/>
    <w:rsid w:val="006F33D3"/>
    <w:rsid w:val="006F3623"/>
    <w:rsid w:val="006F3699"/>
    <w:rsid w:val="006F4636"/>
    <w:rsid w:val="006F4CBD"/>
    <w:rsid w:val="006F5647"/>
    <w:rsid w:val="006F5CC5"/>
    <w:rsid w:val="006F61F1"/>
    <w:rsid w:val="006F69BC"/>
    <w:rsid w:val="006F730C"/>
    <w:rsid w:val="00700A88"/>
    <w:rsid w:val="00702D15"/>
    <w:rsid w:val="00703143"/>
    <w:rsid w:val="00703EAA"/>
    <w:rsid w:val="007046D9"/>
    <w:rsid w:val="00704A9E"/>
    <w:rsid w:val="00704DF9"/>
    <w:rsid w:val="00705725"/>
    <w:rsid w:val="0070626B"/>
    <w:rsid w:val="00706DDC"/>
    <w:rsid w:val="00710489"/>
    <w:rsid w:val="007109DB"/>
    <w:rsid w:val="00710AE3"/>
    <w:rsid w:val="00712AE5"/>
    <w:rsid w:val="007130E6"/>
    <w:rsid w:val="0071338E"/>
    <w:rsid w:val="00714D29"/>
    <w:rsid w:val="00715BD5"/>
    <w:rsid w:val="007166D5"/>
    <w:rsid w:val="00716C78"/>
    <w:rsid w:val="007173DB"/>
    <w:rsid w:val="007177B2"/>
    <w:rsid w:val="0072065D"/>
    <w:rsid w:val="00722353"/>
    <w:rsid w:val="00722392"/>
    <w:rsid w:val="00722544"/>
    <w:rsid w:val="00723551"/>
    <w:rsid w:val="00723C7B"/>
    <w:rsid w:val="00725734"/>
    <w:rsid w:val="007262C2"/>
    <w:rsid w:val="007263BF"/>
    <w:rsid w:val="00726796"/>
    <w:rsid w:val="00726C57"/>
    <w:rsid w:val="007272A6"/>
    <w:rsid w:val="00727945"/>
    <w:rsid w:val="00727A1B"/>
    <w:rsid w:val="00727BB3"/>
    <w:rsid w:val="0073020D"/>
    <w:rsid w:val="007304B6"/>
    <w:rsid w:val="0073107C"/>
    <w:rsid w:val="00731D8A"/>
    <w:rsid w:val="007320C4"/>
    <w:rsid w:val="00732114"/>
    <w:rsid w:val="0073230F"/>
    <w:rsid w:val="00732AF1"/>
    <w:rsid w:val="00733E79"/>
    <w:rsid w:val="007343A7"/>
    <w:rsid w:val="007343B1"/>
    <w:rsid w:val="00735605"/>
    <w:rsid w:val="007356FE"/>
    <w:rsid w:val="00735ADF"/>
    <w:rsid w:val="00735EC8"/>
    <w:rsid w:val="0073691A"/>
    <w:rsid w:val="00736A00"/>
    <w:rsid w:val="007374ED"/>
    <w:rsid w:val="007375F0"/>
    <w:rsid w:val="007405F6"/>
    <w:rsid w:val="007409BC"/>
    <w:rsid w:val="00741B18"/>
    <w:rsid w:val="00742B4B"/>
    <w:rsid w:val="00742BF7"/>
    <w:rsid w:val="0074361C"/>
    <w:rsid w:val="00743F80"/>
    <w:rsid w:val="007448B0"/>
    <w:rsid w:val="00744D01"/>
    <w:rsid w:val="0074520D"/>
    <w:rsid w:val="00745DD8"/>
    <w:rsid w:val="00746B92"/>
    <w:rsid w:val="00750000"/>
    <w:rsid w:val="00751428"/>
    <w:rsid w:val="00751C62"/>
    <w:rsid w:val="00752992"/>
    <w:rsid w:val="007530DB"/>
    <w:rsid w:val="00753589"/>
    <w:rsid w:val="007541BE"/>
    <w:rsid w:val="00754E16"/>
    <w:rsid w:val="0075516B"/>
    <w:rsid w:val="007551E6"/>
    <w:rsid w:val="007551F2"/>
    <w:rsid w:val="00755ECE"/>
    <w:rsid w:val="00756305"/>
    <w:rsid w:val="0075772C"/>
    <w:rsid w:val="00757E31"/>
    <w:rsid w:val="007602C5"/>
    <w:rsid w:val="0076240D"/>
    <w:rsid w:val="00762D4E"/>
    <w:rsid w:val="00762D9E"/>
    <w:rsid w:val="007632F6"/>
    <w:rsid w:val="00763790"/>
    <w:rsid w:val="00763956"/>
    <w:rsid w:val="0076403A"/>
    <w:rsid w:val="00764CCC"/>
    <w:rsid w:val="00764E23"/>
    <w:rsid w:val="007667B3"/>
    <w:rsid w:val="00766D87"/>
    <w:rsid w:val="00767531"/>
    <w:rsid w:val="00767809"/>
    <w:rsid w:val="0077025D"/>
    <w:rsid w:val="00770593"/>
    <w:rsid w:val="00770B15"/>
    <w:rsid w:val="00772BBD"/>
    <w:rsid w:val="00773F66"/>
    <w:rsid w:val="00773FE1"/>
    <w:rsid w:val="00774CA6"/>
    <w:rsid w:val="007761A7"/>
    <w:rsid w:val="0077621B"/>
    <w:rsid w:val="0077638F"/>
    <w:rsid w:val="00776BCA"/>
    <w:rsid w:val="0077702D"/>
    <w:rsid w:val="007801BA"/>
    <w:rsid w:val="007802D9"/>
    <w:rsid w:val="00780777"/>
    <w:rsid w:val="00780B86"/>
    <w:rsid w:val="00781862"/>
    <w:rsid w:val="00781C3E"/>
    <w:rsid w:val="00781EE3"/>
    <w:rsid w:val="00782D3A"/>
    <w:rsid w:val="00783A3A"/>
    <w:rsid w:val="00783A9D"/>
    <w:rsid w:val="0078587F"/>
    <w:rsid w:val="0078588D"/>
    <w:rsid w:val="00786759"/>
    <w:rsid w:val="007867FF"/>
    <w:rsid w:val="007871CB"/>
    <w:rsid w:val="007873D7"/>
    <w:rsid w:val="00790E58"/>
    <w:rsid w:val="00791D82"/>
    <w:rsid w:val="00791FD4"/>
    <w:rsid w:val="007922CC"/>
    <w:rsid w:val="007925E5"/>
    <w:rsid w:val="007925EF"/>
    <w:rsid w:val="00792706"/>
    <w:rsid w:val="00792EEB"/>
    <w:rsid w:val="00792F3A"/>
    <w:rsid w:val="0079348D"/>
    <w:rsid w:val="0079364C"/>
    <w:rsid w:val="00793B0B"/>
    <w:rsid w:val="00793F7E"/>
    <w:rsid w:val="00794664"/>
    <w:rsid w:val="00795473"/>
    <w:rsid w:val="00795EE3"/>
    <w:rsid w:val="0079786B"/>
    <w:rsid w:val="00797901"/>
    <w:rsid w:val="007A08F5"/>
    <w:rsid w:val="007A0966"/>
    <w:rsid w:val="007A17DE"/>
    <w:rsid w:val="007A2065"/>
    <w:rsid w:val="007A21AD"/>
    <w:rsid w:val="007A24EA"/>
    <w:rsid w:val="007A3939"/>
    <w:rsid w:val="007A431F"/>
    <w:rsid w:val="007A5F4E"/>
    <w:rsid w:val="007A6922"/>
    <w:rsid w:val="007A6F8D"/>
    <w:rsid w:val="007A7408"/>
    <w:rsid w:val="007A7464"/>
    <w:rsid w:val="007A761C"/>
    <w:rsid w:val="007A7D57"/>
    <w:rsid w:val="007B0922"/>
    <w:rsid w:val="007B0D48"/>
    <w:rsid w:val="007B1D30"/>
    <w:rsid w:val="007B2BF7"/>
    <w:rsid w:val="007B32C7"/>
    <w:rsid w:val="007B3417"/>
    <w:rsid w:val="007B3D99"/>
    <w:rsid w:val="007B4454"/>
    <w:rsid w:val="007B485C"/>
    <w:rsid w:val="007B5346"/>
    <w:rsid w:val="007B56EF"/>
    <w:rsid w:val="007B5F0B"/>
    <w:rsid w:val="007B6E00"/>
    <w:rsid w:val="007B7A1E"/>
    <w:rsid w:val="007B7B38"/>
    <w:rsid w:val="007C073D"/>
    <w:rsid w:val="007C1272"/>
    <w:rsid w:val="007C1C40"/>
    <w:rsid w:val="007C2D63"/>
    <w:rsid w:val="007C3DB9"/>
    <w:rsid w:val="007C3F16"/>
    <w:rsid w:val="007C41BE"/>
    <w:rsid w:val="007C4DED"/>
    <w:rsid w:val="007C7201"/>
    <w:rsid w:val="007C7915"/>
    <w:rsid w:val="007D0C84"/>
    <w:rsid w:val="007D1C7A"/>
    <w:rsid w:val="007D210F"/>
    <w:rsid w:val="007D2272"/>
    <w:rsid w:val="007D273C"/>
    <w:rsid w:val="007D2899"/>
    <w:rsid w:val="007D290E"/>
    <w:rsid w:val="007D390E"/>
    <w:rsid w:val="007D4253"/>
    <w:rsid w:val="007D45A7"/>
    <w:rsid w:val="007D470D"/>
    <w:rsid w:val="007D63D4"/>
    <w:rsid w:val="007D6A58"/>
    <w:rsid w:val="007D6FF6"/>
    <w:rsid w:val="007D720B"/>
    <w:rsid w:val="007D76BF"/>
    <w:rsid w:val="007D7CAA"/>
    <w:rsid w:val="007E01F3"/>
    <w:rsid w:val="007E2329"/>
    <w:rsid w:val="007E2647"/>
    <w:rsid w:val="007E4670"/>
    <w:rsid w:val="007E4824"/>
    <w:rsid w:val="007E6428"/>
    <w:rsid w:val="007E78B1"/>
    <w:rsid w:val="007E7976"/>
    <w:rsid w:val="007F0530"/>
    <w:rsid w:val="007F06A1"/>
    <w:rsid w:val="007F083B"/>
    <w:rsid w:val="007F1196"/>
    <w:rsid w:val="007F2DBD"/>
    <w:rsid w:val="007F30DF"/>
    <w:rsid w:val="007F323E"/>
    <w:rsid w:val="007F38DE"/>
    <w:rsid w:val="007F4796"/>
    <w:rsid w:val="007F48A9"/>
    <w:rsid w:val="007F56F4"/>
    <w:rsid w:val="007F6BC0"/>
    <w:rsid w:val="007F6F70"/>
    <w:rsid w:val="007F719E"/>
    <w:rsid w:val="007F7B65"/>
    <w:rsid w:val="007F7CF7"/>
    <w:rsid w:val="00800571"/>
    <w:rsid w:val="008012EE"/>
    <w:rsid w:val="0080150C"/>
    <w:rsid w:val="008017E0"/>
    <w:rsid w:val="00802AD3"/>
    <w:rsid w:val="00802CF0"/>
    <w:rsid w:val="0080364C"/>
    <w:rsid w:val="00803C74"/>
    <w:rsid w:val="00803C8F"/>
    <w:rsid w:val="00805675"/>
    <w:rsid w:val="008058D6"/>
    <w:rsid w:val="00805C19"/>
    <w:rsid w:val="008068A1"/>
    <w:rsid w:val="008116B8"/>
    <w:rsid w:val="008116F0"/>
    <w:rsid w:val="00814277"/>
    <w:rsid w:val="00814CE8"/>
    <w:rsid w:val="00815904"/>
    <w:rsid w:val="0081621E"/>
    <w:rsid w:val="00816477"/>
    <w:rsid w:val="008178FB"/>
    <w:rsid w:val="00817941"/>
    <w:rsid w:val="00817C20"/>
    <w:rsid w:val="00817D98"/>
    <w:rsid w:val="00820697"/>
    <w:rsid w:val="00822156"/>
    <w:rsid w:val="00823839"/>
    <w:rsid w:val="008238AA"/>
    <w:rsid w:val="0082394C"/>
    <w:rsid w:val="008241D0"/>
    <w:rsid w:val="008244B0"/>
    <w:rsid w:val="00824E51"/>
    <w:rsid w:val="00825FE1"/>
    <w:rsid w:val="00826146"/>
    <w:rsid w:val="008267B3"/>
    <w:rsid w:val="00826AEC"/>
    <w:rsid w:val="00826B87"/>
    <w:rsid w:val="00827290"/>
    <w:rsid w:val="00827793"/>
    <w:rsid w:val="00827BA8"/>
    <w:rsid w:val="008301E0"/>
    <w:rsid w:val="008309D1"/>
    <w:rsid w:val="00830CB0"/>
    <w:rsid w:val="00830EF8"/>
    <w:rsid w:val="00830FE5"/>
    <w:rsid w:val="0083138B"/>
    <w:rsid w:val="00832067"/>
    <w:rsid w:val="008322AD"/>
    <w:rsid w:val="00833120"/>
    <w:rsid w:val="00833855"/>
    <w:rsid w:val="00833B5C"/>
    <w:rsid w:val="00833DEB"/>
    <w:rsid w:val="00834764"/>
    <w:rsid w:val="00834BCD"/>
    <w:rsid w:val="00834C32"/>
    <w:rsid w:val="00834C5D"/>
    <w:rsid w:val="00835561"/>
    <w:rsid w:val="0083672F"/>
    <w:rsid w:val="00837581"/>
    <w:rsid w:val="00837AAF"/>
    <w:rsid w:val="00837C01"/>
    <w:rsid w:val="00840B31"/>
    <w:rsid w:val="00840BB0"/>
    <w:rsid w:val="008418F1"/>
    <w:rsid w:val="00841930"/>
    <w:rsid w:val="00841AB1"/>
    <w:rsid w:val="00841F16"/>
    <w:rsid w:val="008423A3"/>
    <w:rsid w:val="008425C1"/>
    <w:rsid w:val="0084295A"/>
    <w:rsid w:val="00843259"/>
    <w:rsid w:val="008437F3"/>
    <w:rsid w:val="00844633"/>
    <w:rsid w:val="0084472F"/>
    <w:rsid w:val="0084517F"/>
    <w:rsid w:val="00846AB6"/>
    <w:rsid w:val="00846EA1"/>
    <w:rsid w:val="00847300"/>
    <w:rsid w:val="00847F39"/>
    <w:rsid w:val="00850D72"/>
    <w:rsid w:val="0085178B"/>
    <w:rsid w:val="008517DB"/>
    <w:rsid w:val="00851B99"/>
    <w:rsid w:val="008534DE"/>
    <w:rsid w:val="00853523"/>
    <w:rsid w:val="00854249"/>
    <w:rsid w:val="0085432D"/>
    <w:rsid w:val="00854415"/>
    <w:rsid w:val="0085570B"/>
    <w:rsid w:val="00855BEE"/>
    <w:rsid w:val="00856763"/>
    <w:rsid w:val="00856C84"/>
    <w:rsid w:val="00857779"/>
    <w:rsid w:val="00860B80"/>
    <w:rsid w:val="00860F58"/>
    <w:rsid w:val="008611B8"/>
    <w:rsid w:val="0086139A"/>
    <w:rsid w:val="0086160F"/>
    <w:rsid w:val="00861C00"/>
    <w:rsid w:val="00861EA7"/>
    <w:rsid w:val="008628B0"/>
    <w:rsid w:val="0086310A"/>
    <w:rsid w:val="0086507E"/>
    <w:rsid w:val="00865A85"/>
    <w:rsid w:val="008661EC"/>
    <w:rsid w:val="008663C8"/>
    <w:rsid w:val="00866AF0"/>
    <w:rsid w:val="00867083"/>
    <w:rsid w:val="008679D6"/>
    <w:rsid w:val="0087021F"/>
    <w:rsid w:val="00870D9B"/>
    <w:rsid w:val="00871311"/>
    <w:rsid w:val="00873234"/>
    <w:rsid w:val="00873C42"/>
    <w:rsid w:val="00874144"/>
    <w:rsid w:val="008743ED"/>
    <w:rsid w:val="0087477D"/>
    <w:rsid w:val="00874E86"/>
    <w:rsid w:val="00874F2B"/>
    <w:rsid w:val="00875079"/>
    <w:rsid w:val="008754AF"/>
    <w:rsid w:val="00875C7C"/>
    <w:rsid w:val="008768E3"/>
    <w:rsid w:val="008768FB"/>
    <w:rsid w:val="00876E35"/>
    <w:rsid w:val="00876E75"/>
    <w:rsid w:val="0087719B"/>
    <w:rsid w:val="00880480"/>
    <w:rsid w:val="008812B4"/>
    <w:rsid w:val="00881DF4"/>
    <w:rsid w:val="008821F8"/>
    <w:rsid w:val="00882937"/>
    <w:rsid w:val="00882B18"/>
    <w:rsid w:val="0088331B"/>
    <w:rsid w:val="0088440A"/>
    <w:rsid w:val="008857CA"/>
    <w:rsid w:val="00885C9E"/>
    <w:rsid w:val="00885D8E"/>
    <w:rsid w:val="00890E24"/>
    <w:rsid w:val="00891EEB"/>
    <w:rsid w:val="00892524"/>
    <w:rsid w:val="008927C2"/>
    <w:rsid w:val="00892C6B"/>
    <w:rsid w:val="008930F6"/>
    <w:rsid w:val="008938D4"/>
    <w:rsid w:val="0089416F"/>
    <w:rsid w:val="00895BDD"/>
    <w:rsid w:val="00895E67"/>
    <w:rsid w:val="008964C2"/>
    <w:rsid w:val="00896673"/>
    <w:rsid w:val="00896EB1"/>
    <w:rsid w:val="008975A4"/>
    <w:rsid w:val="0089764A"/>
    <w:rsid w:val="00897D6D"/>
    <w:rsid w:val="008A07AC"/>
    <w:rsid w:val="008A117B"/>
    <w:rsid w:val="008A122C"/>
    <w:rsid w:val="008A1653"/>
    <w:rsid w:val="008A22DC"/>
    <w:rsid w:val="008A25B1"/>
    <w:rsid w:val="008A2B44"/>
    <w:rsid w:val="008A36AA"/>
    <w:rsid w:val="008A3FF5"/>
    <w:rsid w:val="008A4902"/>
    <w:rsid w:val="008A5767"/>
    <w:rsid w:val="008A5ADF"/>
    <w:rsid w:val="008A6D29"/>
    <w:rsid w:val="008A786F"/>
    <w:rsid w:val="008B0388"/>
    <w:rsid w:val="008B18CE"/>
    <w:rsid w:val="008B1F7F"/>
    <w:rsid w:val="008B2DA9"/>
    <w:rsid w:val="008B31A4"/>
    <w:rsid w:val="008B332D"/>
    <w:rsid w:val="008B34D1"/>
    <w:rsid w:val="008B4B4E"/>
    <w:rsid w:val="008B5321"/>
    <w:rsid w:val="008B6563"/>
    <w:rsid w:val="008B723F"/>
    <w:rsid w:val="008B76DB"/>
    <w:rsid w:val="008B7755"/>
    <w:rsid w:val="008B7A4F"/>
    <w:rsid w:val="008C02D5"/>
    <w:rsid w:val="008C12AD"/>
    <w:rsid w:val="008C16CA"/>
    <w:rsid w:val="008C1855"/>
    <w:rsid w:val="008C1D41"/>
    <w:rsid w:val="008C273B"/>
    <w:rsid w:val="008C2A8D"/>
    <w:rsid w:val="008C3E90"/>
    <w:rsid w:val="008C4085"/>
    <w:rsid w:val="008C47F4"/>
    <w:rsid w:val="008C51DA"/>
    <w:rsid w:val="008C5838"/>
    <w:rsid w:val="008C6580"/>
    <w:rsid w:val="008C6CB4"/>
    <w:rsid w:val="008D12F9"/>
    <w:rsid w:val="008D188A"/>
    <w:rsid w:val="008D1C67"/>
    <w:rsid w:val="008D1FA7"/>
    <w:rsid w:val="008D221A"/>
    <w:rsid w:val="008D317B"/>
    <w:rsid w:val="008D38F5"/>
    <w:rsid w:val="008D5B00"/>
    <w:rsid w:val="008D5F2F"/>
    <w:rsid w:val="008D62E3"/>
    <w:rsid w:val="008D6668"/>
    <w:rsid w:val="008D73AB"/>
    <w:rsid w:val="008D77A3"/>
    <w:rsid w:val="008D7A61"/>
    <w:rsid w:val="008E00BF"/>
    <w:rsid w:val="008E0C68"/>
    <w:rsid w:val="008E0DD3"/>
    <w:rsid w:val="008E14EB"/>
    <w:rsid w:val="008E21D6"/>
    <w:rsid w:val="008E23D6"/>
    <w:rsid w:val="008E30DF"/>
    <w:rsid w:val="008E4331"/>
    <w:rsid w:val="008E452F"/>
    <w:rsid w:val="008E617E"/>
    <w:rsid w:val="008E6586"/>
    <w:rsid w:val="008E696B"/>
    <w:rsid w:val="008E6C6F"/>
    <w:rsid w:val="008E71C6"/>
    <w:rsid w:val="008F00EB"/>
    <w:rsid w:val="008F0F7B"/>
    <w:rsid w:val="008F1EBD"/>
    <w:rsid w:val="008F2085"/>
    <w:rsid w:val="008F2821"/>
    <w:rsid w:val="008F428E"/>
    <w:rsid w:val="008F4301"/>
    <w:rsid w:val="008F60B2"/>
    <w:rsid w:val="008F6282"/>
    <w:rsid w:val="008F67FF"/>
    <w:rsid w:val="008F6BC7"/>
    <w:rsid w:val="008F7051"/>
    <w:rsid w:val="008F7E5F"/>
    <w:rsid w:val="00900481"/>
    <w:rsid w:val="00900486"/>
    <w:rsid w:val="00900BED"/>
    <w:rsid w:val="00901516"/>
    <w:rsid w:val="0090158B"/>
    <w:rsid w:val="0090188D"/>
    <w:rsid w:val="009034B2"/>
    <w:rsid w:val="009040D3"/>
    <w:rsid w:val="00904917"/>
    <w:rsid w:val="0090509A"/>
    <w:rsid w:val="009052D8"/>
    <w:rsid w:val="00906EA6"/>
    <w:rsid w:val="009070C7"/>
    <w:rsid w:val="00907CE9"/>
    <w:rsid w:val="00907F6C"/>
    <w:rsid w:val="00910581"/>
    <w:rsid w:val="00912296"/>
    <w:rsid w:val="009123E0"/>
    <w:rsid w:val="00912F74"/>
    <w:rsid w:val="009138BE"/>
    <w:rsid w:val="00913C42"/>
    <w:rsid w:val="009143DC"/>
    <w:rsid w:val="00915564"/>
    <w:rsid w:val="00916EF0"/>
    <w:rsid w:val="0091783C"/>
    <w:rsid w:val="00917A07"/>
    <w:rsid w:val="0092089B"/>
    <w:rsid w:val="00920D92"/>
    <w:rsid w:val="00920DD5"/>
    <w:rsid w:val="00920E90"/>
    <w:rsid w:val="00921E17"/>
    <w:rsid w:val="00921FDC"/>
    <w:rsid w:val="00923CA0"/>
    <w:rsid w:val="00923ED3"/>
    <w:rsid w:val="00923FEF"/>
    <w:rsid w:val="0092474E"/>
    <w:rsid w:val="009250E3"/>
    <w:rsid w:val="00925539"/>
    <w:rsid w:val="0092555F"/>
    <w:rsid w:val="009261EA"/>
    <w:rsid w:val="0092625C"/>
    <w:rsid w:val="00927692"/>
    <w:rsid w:val="00927D42"/>
    <w:rsid w:val="0093019F"/>
    <w:rsid w:val="00930E5D"/>
    <w:rsid w:val="009328D2"/>
    <w:rsid w:val="009336EB"/>
    <w:rsid w:val="00934466"/>
    <w:rsid w:val="0093449E"/>
    <w:rsid w:val="00934702"/>
    <w:rsid w:val="009348AE"/>
    <w:rsid w:val="009351C8"/>
    <w:rsid w:val="009363F9"/>
    <w:rsid w:val="009376A7"/>
    <w:rsid w:val="009402A2"/>
    <w:rsid w:val="00940B9C"/>
    <w:rsid w:val="00940DEC"/>
    <w:rsid w:val="009416EE"/>
    <w:rsid w:val="00941AB8"/>
    <w:rsid w:val="00942577"/>
    <w:rsid w:val="00943920"/>
    <w:rsid w:val="00944537"/>
    <w:rsid w:val="0094572E"/>
    <w:rsid w:val="00946015"/>
    <w:rsid w:val="00946803"/>
    <w:rsid w:val="00947424"/>
    <w:rsid w:val="009477CB"/>
    <w:rsid w:val="00947867"/>
    <w:rsid w:val="009509A1"/>
    <w:rsid w:val="009512DB"/>
    <w:rsid w:val="00951642"/>
    <w:rsid w:val="009521C8"/>
    <w:rsid w:val="009521D7"/>
    <w:rsid w:val="009522FA"/>
    <w:rsid w:val="009543A4"/>
    <w:rsid w:val="00954567"/>
    <w:rsid w:val="00954DAB"/>
    <w:rsid w:val="00955C3F"/>
    <w:rsid w:val="00955CBA"/>
    <w:rsid w:val="00955E84"/>
    <w:rsid w:val="009567C8"/>
    <w:rsid w:val="00957A06"/>
    <w:rsid w:val="00957B30"/>
    <w:rsid w:val="009608A3"/>
    <w:rsid w:val="00961141"/>
    <w:rsid w:val="0096135E"/>
    <w:rsid w:val="009615F9"/>
    <w:rsid w:val="00962012"/>
    <w:rsid w:val="0096299F"/>
    <w:rsid w:val="009634E3"/>
    <w:rsid w:val="009636FF"/>
    <w:rsid w:val="0096377F"/>
    <w:rsid w:val="00963BD0"/>
    <w:rsid w:val="00963BE7"/>
    <w:rsid w:val="009641F7"/>
    <w:rsid w:val="0096423F"/>
    <w:rsid w:val="00964410"/>
    <w:rsid w:val="00966F84"/>
    <w:rsid w:val="00966FB3"/>
    <w:rsid w:val="009701A0"/>
    <w:rsid w:val="009701AE"/>
    <w:rsid w:val="009708A9"/>
    <w:rsid w:val="0097184A"/>
    <w:rsid w:val="00971F76"/>
    <w:rsid w:val="0097265A"/>
    <w:rsid w:val="0097277E"/>
    <w:rsid w:val="0097329F"/>
    <w:rsid w:val="0097462B"/>
    <w:rsid w:val="009747E7"/>
    <w:rsid w:val="0097483B"/>
    <w:rsid w:val="00974923"/>
    <w:rsid w:val="009749F8"/>
    <w:rsid w:val="0097566F"/>
    <w:rsid w:val="0097593D"/>
    <w:rsid w:val="00975E8E"/>
    <w:rsid w:val="009765A3"/>
    <w:rsid w:val="0097700A"/>
    <w:rsid w:val="009826C0"/>
    <w:rsid w:val="009826F9"/>
    <w:rsid w:val="0098292B"/>
    <w:rsid w:val="00982D14"/>
    <w:rsid w:val="00983064"/>
    <w:rsid w:val="00983139"/>
    <w:rsid w:val="00983FAA"/>
    <w:rsid w:val="009840B8"/>
    <w:rsid w:val="00984AC5"/>
    <w:rsid w:val="00984E01"/>
    <w:rsid w:val="00985698"/>
    <w:rsid w:val="00986467"/>
    <w:rsid w:val="009901D4"/>
    <w:rsid w:val="00990862"/>
    <w:rsid w:val="00990AC0"/>
    <w:rsid w:val="009914EE"/>
    <w:rsid w:val="00991607"/>
    <w:rsid w:val="00991831"/>
    <w:rsid w:val="00992DA5"/>
    <w:rsid w:val="00992FBC"/>
    <w:rsid w:val="009934BA"/>
    <w:rsid w:val="00993CB7"/>
    <w:rsid w:val="0099462F"/>
    <w:rsid w:val="009949D8"/>
    <w:rsid w:val="00995250"/>
    <w:rsid w:val="00995B0E"/>
    <w:rsid w:val="0099722D"/>
    <w:rsid w:val="0099771C"/>
    <w:rsid w:val="009A0075"/>
    <w:rsid w:val="009A0983"/>
    <w:rsid w:val="009A0BAE"/>
    <w:rsid w:val="009A0F03"/>
    <w:rsid w:val="009A1A76"/>
    <w:rsid w:val="009A2E3D"/>
    <w:rsid w:val="009A37DB"/>
    <w:rsid w:val="009A3E30"/>
    <w:rsid w:val="009A4627"/>
    <w:rsid w:val="009A49B6"/>
    <w:rsid w:val="009A4F2D"/>
    <w:rsid w:val="009A59CB"/>
    <w:rsid w:val="009A6318"/>
    <w:rsid w:val="009A71AC"/>
    <w:rsid w:val="009A7DC9"/>
    <w:rsid w:val="009B02F0"/>
    <w:rsid w:val="009B085E"/>
    <w:rsid w:val="009B0A59"/>
    <w:rsid w:val="009B0EDE"/>
    <w:rsid w:val="009B1C24"/>
    <w:rsid w:val="009B21D2"/>
    <w:rsid w:val="009B2D5D"/>
    <w:rsid w:val="009B43F1"/>
    <w:rsid w:val="009B47CF"/>
    <w:rsid w:val="009B47D7"/>
    <w:rsid w:val="009B4964"/>
    <w:rsid w:val="009B4FA7"/>
    <w:rsid w:val="009B5327"/>
    <w:rsid w:val="009B6FA0"/>
    <w:rsid w:val="009C05C4"/>
    <w:rsid w:val="009C16B9"/>
    <w:rsid w:val="009C2A45"/>
    <w:rsid w:val="009C37CB"/>
    <w:rsid w:val="009C4383"/>
    <w:rsid w:val="009C621A"/>
    <w:rsid w:val="009C6B7E"/>
    <w:rsid w:val="009C6C44"/>
    <w:rsid w:val="009C7513"/>
    <w:rsid w:val="009C78BF"/>
    <w:rsid w:val="009D0126"/>
    <w:rsid w:val="009D017A"/>
    <w:rsid w:val="009D0331"/>
    <w:rsid w:val="009D0A84"/>
    <w:rsid w:val="009D0F48"/>
    <w:rsid w:val="009D174F"/>
    <w:rsid w:val="009D19DE"/>
    <w:rsid w:val="009D1BAC"/>
    <w:rsid w:val="009D32A6"/>
    <w:rsid w:val="009D3A5B"/>
    <w:rsid w:val="009D44B5"/>
    <w:rsid w:val="009D5533"/>
    <w:rsid w:val="009D5F88"/>
    <w:rsid w:val="009D689F"/>
    <w:rsid w:val="009D6CE6"/>
    <w:rsid w:val="009D7C5A"/>
    <w:rsid w:val="009E18EC"/>
    <w:rsid w:val="009E18F4"/>
    <w:rsid w:val="009E2191"/>
    <w:rsid w:val="009E22ED"/>
    <w:rsid w:val="009E3C1F"/>
    <w:rsid w:val="009E4413"/>
    <w:rsid w:val="009E4CC8"/>
    <w:rsid w:val="009E5510"/>
    <w:rsid w:val="009E57C3"/>
    <w:rsid w:val="009E711C"/>
    <w:rsid w:val="009E7652"/>
    <w:rsid w:val="009F01B6"/>
    <w:rsid w:val="009F1F30"/>
    <w:rsid w:val="009F4570"/>
    <w:rsid w:val="009F497D"/>
    <w:rsid w:val="009F55BF"/>
    <w:rsid w:val="009F625B"/>
    <w:rsid w:val="009F7957"/>
    <w:rsid w:val="00A007A6"/>
    <w:rsid w:val="00A00ACC"/>
    <w:rsid w:val="00A00E2A"/>
    <w:rsid w:val="00A0272B"/>
    <w:rsid w:val="00A02A9B"/>
    <w:rsid w:val="00A03771"/>
    <w:rsid w:val="00A03C50"/>
    <w:rsid w:val="00A04556"/>
    <w:rsid w:val="00A045A4"/>
    <w:rsid w:val="00A05BE7"/>
    <w:rsid w:val="00A05C2F"/>
    <w:rsid w:val="00A06121"/>
    <w:rsid w:val="00A0667C"/>
    <w:rsid w:val="00A07ABC"/>
    <w:rsid w:val="00A10282"/>
    <w:rsid w:val="00A11201"/>
    <w:rsid w:val="00A11D85"/>
    <w:rsid w:val="00A128EA"/>
    <w:rsid w:val="00A138E5"/>
    <w:rsid w:val="00A1459D"/>
    <w:rsid w:val="00A14B78"/>
    <w:rsid w:val="00A14C79"/>
    <w:rsid w:val="00A150C5"/>
    <w:rsid w:val="00A1579A"/>
    <w:rsid w:val="00A16636"/>
    <w:rsid w:val="00A168FE"/>
    <w:rsid w:val="00A1721B"/>
    <w:rsid w:val="00A17242"/>
    <w:rsid w:val="00A17699"/>
    <w:rsid w:val="00A17962"/>
    <w:rsid w:val="00A20001"/>
    <w:rsid w:val="00A20548"/>
    <w:rsid w:val="00A211EF"/>
    <w:rsid w:val="00A21E73"/>
    <w:rsid w:val="00A22619"/>
    <w:rsid w:val="00A22FEC"/>
    <w:rsid w:val="00A23A8A"/>
    <w:rsid w:val="00A2469C"/>
    <w:rsid w:val="00A24863"/>
    <w:rsid w:val="00A24C93"/>
    <w:rsid w:val="00A24F7F"/>
    <w:rsid w:val="00A25040"/>
    <w:rsid w:val="00A25951"/>
    <w:rsid w:val="00A2629D"/>
    <w:rsid w:val="00A26488"/>
    <w:rsid w:val="00A26FF7"/>
    <w:rsid w:val="00A30532"/>
    <w:rsid w:val="00A314BD"/>
    <w:rsid w:val="00A31695"/>
    <w:rsid w:val="00A31F7D"/>
    <w:rsid w:val="00A325C9"/>
    <w:rsid w:val="00A3276C"/>
    <w:rsid w:val="00A3281B"/>
    <w:rsid w:val="00A332B3"/>
    <w:rsid w:val="00A345C2"/>
    <w:rsid w:val="00A34E91"/>
    <w:rsid w:val="00A35A6D"/>
    <w:rsid w:val="00A36D4D"/>
    <w:rsid w:val="00A40584"/>
    <w:rsid w:val="00A40FE4"/>
    <w:rsid w:val="00A414FF"/>
    <w:rsid w:val="00A4209A"/>
    <w:rsid w:val="00A422DD"/>
    <w:rsid w:val="00A42D88"/>
    <w:rsid w:val="00A42DEE"/>
    <w:rsid w:val="00A4323A"/>
    <w:rsid w:val="00A435DC"/>
    <w:rsid w:val="00A44498"/>
    <w:rsid w:val="00A4454B"/>
    <w:rsid w:val="00A45601"/>
    <w:rsid w:val="00A45B1D"/>
    <w:rsid w:val="00A46048"/>
    <w:rsid w:val="00A463BB"/>
    <w:rsid w:val="00A47A6A"/>
    <w:rsid w:val="00A5098F"/>
    <w:rsid w:val="00A50B0E"/>
    <w:rsid w:val="00A513C1"/>
    <w:rsid w:val="00A521B1"/>
    <w:rsid w:val="00A52439"/>
    <w:rsid w:val="00A52B4C"/>
    <w:rsid w:val="00A5335A"/>
    <w:rsid w:val="00A533CA"/>
    <w:rsid w:val="00A538DD"/>
    <w:rsid w:val="00A53E6F"/>
    <w:rsid w:val="00A541EB"/>
    <w:rsid w:val="00A54ED8"/>
    <w:rsid w:val="00A55AFC"/>
    <w:rsid w:val="00A55CCE"/>
    <w:rsid w:val="00A5613B"/>
    <w:rsid w:val="00A571D4"/>
    <w:rsid w:val="00A57578"/>
    <w:rsid w:val="00A6064E"/>
    <w:rsid w:val="00A60A32"/>
    <w:rsid w:val="00A61232"/>
    <w:rsid w:val="00A61AAC"/>
    <w:rsid w:val="00A61BE2"/>
    <w:rsid w:val="00A63CC8"/>
    <w:rsid w:val="00A6401B"/>
    <w:rsid w:val="00A64B5C"/>
    <w:rsid w:val="00A64D27"/>
    <w:rsid w:val="00A64DE3"/>
    <w:rsid w:val="00A661A4"/>
    <w:rsid w:val="00A6660B"/>
    <w:rsid w:val="00A6666F"/>
    <w:rsid w:val="00A66A80"/>
    <w:rsid w:val="00A66FB9"/>
    <w:rsid w:val="00A674A5"/>
    <w:rsid w:val="00A70491"/>
    <w:rsid w:val="00A7113F"/>
    <w:rsid w:val="00A71188"/>
    <w:rsid w:val="00A715B7"/>
    <w:rsid w:val="00A719C2"/>
    <w:rsid w:val="00A721C0"/>
    <w:rsid w:val="00A7242A"/>
    <w:rsid w:val="00A72728"/>
    <w:rsid w:val="00A73464"/>
    <w:rsid w:val="00A7346B"/>
    <w:rsid w:val="00A7392E"/>
    <w:rsid w:val="00A73D6D"/>
    <w:rsid w:val="00A744FB"/>
    <w:rsid w:val="00A7459C"/>
    <w:rsid w:val="00A7470E"/>
    <w:rsid w:val="00A74931"/>
    <w:rsid w:val="00A7499F"/>
    <w:rsid w:val="00A75103"/>
    <w:rsid w:val="00A75478"/>
    <w:rsid w:val="00A76F96"/>
    <w:rsid w:val="00A775B6"/>
    <w:rsid w:val="00A77CF6"/>
    <w:rsid w:val="00A8371B"/>
    <w:rsid w:val="00A84110"/>
    <w:rsid w:val="00A841B8"/>
    <w:rsid w:val="00A8461C"/>
    <w:rsid w:val="00A859C7"/>
    <w:rsid w:val="00A902B6"/>
    <w:rsid w:val="00A90917"/>
    <w:rsid w:val="00A90A86"/>
    <w:rsid w:val="00A90F73"/>
    <w:rsid w:val="00A91376"/>
    <w:rsid w:val="00A9279C"/>
    <w:rsid w:val="00A92F56"/>
    <w:rsid w:val="00A93328"/>
    <w:rsid w:val="00A94142"/>
    <w:rsid w:val="00A94145"/>
    <w:rsid w:val="00A9435A"/>
    <w:rsid w:val="00A9456E"/>
    <w:rsid w:val="00A947C9"/>
    <w:rsid w:val="00A95722"/>
    <w:rsid w:val="00A96435"/>
    <w:rsid w:val="00A9645C"/>
    <w:rsid w:val="00A96772"/>
    <w:rsid w:val="00A96DA2"/>
    <w:rsid w:val="00A97FB7"/>
    <w:rsid w:val="00AA0760"/>
    <w:rsid w:val="00AA0A5C"/>
    <w:rsid w:val="00AA0C87"/>
    <w:rsid w:val="00AA1551"/>
    <w:rsid w:val="00AA1815"/>
    <w:rsid w:val="00AA1D82"/>
    <w:rsid w:val="00AA232E"/>
    <w:rsid w:val="00AA251A"/>
    <w:rsid w:val="00AA255B"/>
    <w:rsid w:val="00AA2C50"/>
    <w:rsid w:val="00AA335A"/>
    <w:rsid w:val="00AA4EC8"/>
    <w:rsid w:val="00AA523E"/>
    <w:rsid w:val="00AA5C2C"/>
    <w:rsid w:val="00AA6DB8"/>
    <w:rsid w:val="00AA7D00"/>
    <w:rsid w:val="00AB039B"/>
    <w:rsid w:val="00AB0421"/>
    <w:rsid w:val="00AB1012"/>
    <w:rsid w:val="00AB1088"/>
    <w:rsid w:val="00AB1A59"/>
    <w:rsid w:val="00AB1B4E"/>
    <w:rsid w:val="00AB2072"/>
    <w:rsid w:val="00AB2157"/>
    <w:rsid w:val="00AB30CE"/>
    <w:rsid w:val="00AB42FD"/>
    <w:rsid w:val="00AB4F77"/>
    <w:rsid w:val="00AB5CAE"/>
    <w:rsid w:val="00AB691C"/>
    <w:rsid w:val="00AB72F0"/>
    <w:rsid w:val="00AB77E8"/>
    <w:rsid w:val="00AB7DFE"/>
    <w:rsid w:val="00AC0A84"/>
    <w:rsid w:val="00AC2217"/>
    <w:rsid w:val="00AC23CD"/>
    <w:rsid w:val="00AC29FC"/>
    <w:rsid w:val="00AC3ABC"/>
    <w:rsid w:val="00AC3C38"/>
    <w:rsid w:val="00AC4C76"/>
    <w:rsid w:val="00AC4F9F"/>
    <w:rsid w:val="00AC5B41"/>
    <w:rsid w:val="00AC69BC"/>
    <w:rsid w:val="00AC6CE0"/>
    <w:rsid w:val="00AC7453"/>
    <w:rsid w:val="00AC7C4F"/>
    <w:rsid w:val="00AD00E3"/>
    <w:rsid w:val="00AD021E"/>
    <w:rsid w:val="00AD1AD8"/>
    <w:rsid w:val="00AD2252"/>
    <w:rsid w:val="00AD2BBD"/>
    <w:rsid w:val="00AD2C2D"/>
    <w:rsid w:val="00AD30C8"/>
    <w:rsid w:val="00AD314A"/>
    <w:rsid w:val="00AD33F8"/>
    <w:rsid w:val="00AD3CA9"/>
    <w:rsid w:val="00AD4603"/>
    <w:rsid w:val="00AD4E8C"/>
    <w:rsid w:val="00AD5997"/>
    <w:rsid w:val="00AD64C2"/>
    <w:rsid w:val="00AD66D7"/>
    <w:rsid w:val="00AD6967"/>
    <w:rsid w:val="00AD6995"/>
    <w:rsid w:val="00AD6B7A"/>
    <w:rsid w:val="00AD72CD"/>
    <w:rsid w:val="00AD74EA"/>
    <w:rsid w:val="00AD79C6"/>
    <w:rsid w:val="00AD7BB1"/>
    <w:rsid w:val="00AD7C3C"/>
    <w:rsid w:val="00AE05A5"/>
    <w:rsid w:val="00AE0C58"/>
    <w:rsid w:val="00AE0D56"/>
    <w:rsid w:val="00AE1073"/>
    <w:rsid w:val="00AE128E"/>
    <w:rsid w:val="00AE1E96"/>
    <w:rsid w:val="00AE2E90"/>
    <w:rsid w:val="00AE4D72"/>
    <w:rsid w:val="00AE64EF"/>
    <w:rsid w:val="00AE7B7D"/>
    <w:rsid w:val="00AE7CD4"/>
    <w:rsid w:val="00AF049D"/>
    <w:rsid w:val="00AF06C4"/>
    <w:rsid w:val="00AF12DB"/>
    <w:rsid w:val="00AF185F"/>
    <w:rsid w:val="00AF1AA7"/>
    <w:rsid w:val="00AF25BA"/>
    <w:rsid w:val="00AF2DDD"/>
    <w:rsid w:val="00AF30B3"/>
    <w:rsid w:val="00AF5050"/>
    <w:rsid w:val="00AF5352"/>
    <w:rsid w:val="00AF5484"/>
    <w:rsid w:val="00AF59FA"/>
    <w:rsid w:val="00AF6248"/>
    <w:rsid w:val="00AF6774"/>
    <w:rsid w:val="00AF6933"/>
    <w:rsid w:val="00AF76FA"/>
    <w:rsid w:val="00AF7898"/>
    <w:rsid w:val="00AF7B09"/>
    <w:rsid w:val="00B00ECE"/>
    <w:rsid w:val="00B01B43"/>
    <w:rsid w:val="00B01FB8"/>
    <w:rsid w:val="00B026A2"/>
    <w:rsid w:val="00B02C24"/>
    <w:rsid w:val="00B03D11"/>
    <w:rsid w:val="00B0449D"/>
    <w:rsid w:val="00B05433"/>
    <w:rsid w:val="00B063D5"/>
    <w:rsid w:val="00B0736D"/>
    <w:rsid w:val="00B074C4"/>
    <w:rsid w:val="00B074E5"/>
    <w:rsid w:val="00B128F9"/>
    <w:rsid w:val="00B13753"/>
    <w:rsid w:val="00B1390A"/>
    <w:rsid w:val="00B1394B"/>
    <w:rsid w:val="00B14365"/>
    <w:rsid w:val="00B14B46"/>
    <w:rsid w:val="00B156AD"/>
    <w:rsid w:val="00B15751"/>
    <w:rsid w:val="00B15DAC"/>
    <w:rsid w:val="00B176AC"/>
    <w:rsid w:val="00B17795"/>
    <w:rsid w:val="00B17E75"/>
    <w:rsid w:val="00B21C0D"/>
    <w:rsid w:val="00B22A18"/>
    <w:rsid w:val="00B22DB3"/>
    <w:rsid w:val="00B243C0"/>
    <w:rsid w:val="00B245B1"/>
    <w:rsid w:val="00B24BD9"/>
    <w:rsid w:val="00B2639F"/>
    <w:rsid w:val="00B26BF4"/>
    <w:rsid w:val="00B277EC"/>
    <w:rsid w:val="00B27D9E"/>
    <w:rsid w:val="00B307D4"/>
    <w:rsid w:val="00B30B66"/>
    <w:rsid w:val="00B312DD"/>
    <w:rsid w:val="00B31BE0"/>
    <w:rsid w:val="00B31D1C"/>
    <w:rsid w:val="00B32148"/>
    <w:rsid w:val="00B33503"/>
    <w:rsid w:val="00B339F1"/>
    <w:rsid w:val="00B36464"/>
    <w:rsid w:val="00B36814"/>
    <w:rsid w:val="00B42225"/>
    <w:rsid w:val="00B4306F"/>
    <w:rsid w:val="00B4327E"/>
    <w:rsid w:val="00B43692"/>
    <w:rsid w:val="00B43FC9"/>
    <w:rsid w:val="00B4429E"/>
    <w:rsid w:val="00B44428"/>
    <w:rsid w:val="00B44800"/>
    <w:rsid w:val="00B44F61"/>
    <w:rsid w:val="00B46458"/>
    <w:rsid w:val="00B473D1"/>
    <w:rsid w:val="00B4774E"/>
    <w:rsid w:val="00B51C00"/>
    <w:rsid w:val="00B525C8"/>
    <w:rsid w:val="00B5376B"/>
    <w:rsid w:val="00B53BA5"/>
    <w:rsid w:val="00B53C89"/>
    <w:rsid w:val="00B540A5"/>
    <w:rsid w:val="00B542F5"/>
    <w:rsid w:val="00B554FB"/>
    <w:rsid w:val="00B575BB"/>
    <w:rsid w:val="00B57C12"/>
    <w:rsid w:val="00B60180"/>
    <w:rsid w:val="00B6020B"/>
    <w:rsid w:val="00B61106"/>
    <w:rsid w:val="00B616D2"/>
    <w:rsid w:val="00B61B14"/>
    <w:rsid w:val="00B61C66"/>
    <w:rsid w:val="00B6286F"/>
    <w:rsid w:val="00B62E53"/>
    <w:rsid w:val="00B63ADA"/>
    <w:rsid w:val="00B64F68"/>
    <w:rsid w:val="00B657F7"/>
    <w:rsid w:val="00B65893"/>
    <w:rsid w:val="00B65902"/>
    <w:rsid w:val="00B65B80"/>
    <w:rsid w:val="00B665BD"/>
    <w:rsid w:val="00B6664A"/>
    <w:rsid w:val="00B66DBE"/>
    <w:rsid w:val="00B67077"/>
    <w:rsid w:val="00B6729D"/>
    <w:rsid w:val="00B67F08"/>
    <w:rsid w:val="00B715E2"/>
    <w:rsid w:val="00B71E6A"/>
    <w:rsid w:val="00B720F0"/>
    <w:rsid w:val="00B72336"/>
    <w:rsid w:val="00B726E9"/>
    <w:rsid w:val="00B73904"/>
    <w:rsid w:val="00B74397"/>
    <w:rsid w:val="00B748FA"/>
    <w:rsid w:val="00B74DAE"/>
    <w:rsid w:val="00B74FF0"/>
    <w:rsid w:val="00B75C32"/>
    <w:rsid w:val="00B76290"/>
    <w:rsid w:val="00B76544"/>
    <w:rsid w:val="00B76B13"/>
    <w:rsid w:val="00B77D42"/>
    <w:rsid w:val="00B806DC"/>
    <w:rsid w:val="00B80C0C"/>
    <w:rsid w:val="00B80C0D"/>
    <w:rsid w:val="00B82089"/>
    <w:rsid w:val="00B82303"/>
    <w:rsid w:val="00B84327"/>
    <w:rsid w:val="00B86782"/>
    <w:rsid w:val="00B90BB2"/>
    <w:rsid w:val="00B91153"/>
    <w:rsid w:val="00B91778"/>
    <w:rsid w:val="00B91B68"/>
    <w:rsid w:val="00B92BE5"/>
    <w:rsid w:val="00B92D83"/>
    <w:rsid w:val="00B92EB6"/>
    <w:rsid w:val="00B930EE"/>
    <w:rsid w:val="00B9386A"/>
    <w:rsid w:val="00B94808"/>
    <w:rsid w:val="00B94AAF"/>
    <w:rsid w:val="00B95BF9"/>
    <w:rsid w:val="00B965D3"/>
    <w:rsid w:val="00B96883"/>
    <w:rsid w:val="00B96D5B"/>
    <w:rsid w:val="00B96F2D"/>
    <w:rsid w:val="00B9713C"/>
    <w:rsid w:val="00B9725E"/>
    <w:rsid w:val="00BA015B"/>
    <w:rsid w:val="00BA0376"/>
    <w:rsid w:val="00BA0A0C"/>
    <w:rsid w:val="00BA0C88"/>
    <w:rsid w:val="00BA2233"/>
    <w:rsid w:val="00BA334A"/>
    <w:rsid w:val="00BA3C11"/>
    <w:rsid w:val="00BA5F15"/>
    <w:rsid w:val="00BA608C"/>
    <w:rsid w:val="00BA6686"/>
    <w:rsid w:val="00BA72E0"/>
    <w:rsid w:val="00BB00EB"/>
    <w:rsid w:val="00BB0F8A"/>
    <w:rsid w:val="00BB134A"/>
    <w:rsid w:val="00BB1953"/>
    <w:rsid w:val="00BB340C"/>
    <w:rsid w:val="00BB42FB"/>
    <w:rsid w:val="00BB4716"/>
    <w:rsid w:val="00BB50BD"/>
    <w:rsid w:val="00BB72F1"/>
    <w:rsid w:val="00BB78CD"/>
    <w:rsid w:val="00BC02AC"/>
    <w:rsid w:val="00BC04C5"/>
    <w:rsid w:val="00BC141C"/>
    <w:rsid w:val="00BC1793"/>
    <w:rsid w:val="00BC1BA0"/>
    <w:rsid w:val="00BC2B6E"/>
    <w:rsid w:val="00BC3CD5"/>
    <w:rsid w:val="00BC43EC"/>
    <w:rsid w:val="00BC5AE4"/>
    <w:rsid w:val="00BC647F"/>
    <w:rsid w:val="00BC6C53"/>
    <w:rsid w:val="00BC7A5C"/>
    <w:rsid w:val="00BC7A8F"/>
    <w:rsid w:val="00BC7DD0"/>
    <w:rsid w:val="00BD14E7"/>
    <w:rsid w:val="00BD23C3"/>
    <w:rsid w:val="00BD26F1"/>
    <w:rsid w:val="00BD2921"/>
    <w:rsid w:val="00BD4790"/>
    <w:rsid w:val="00BD482E"/>
    <w:rsid w:val="00BD4C26"/>
    <w:rsid w:val="00BD5585"/>
    <w:rsid w:val="00BD5F68"/>
    <w:rsid w:val="00BD5F72"/>
    <w:rsid w:val="00BD658B"/>
    <w:rsid w:val="00BD686B"/>
    <w:rsid w:val="00BD6CC1"/>
    <w:rsid w:val="00BD706A"/>
    <w:rsid w:val="00BD7074"/>
    <w:rsid w:val="00BD77DC"/>
    <w:rsid w:val="00BD7B07"/>
    <w:rsid w:val="00BD7F29"/>
    <w:rsid w:val="00BE1639"/>
    <w:rsid w:val="00BE2382"/>
    <w:rsid w:val="00BE2898"/>
    <w:rsid w:val="00BE28F1"/>
    <w:rsid w:val="00BE29E8"/>
    <w:rsid w:val="00BE35B3"/>
    <w:rsid w:val="00BE3701"/>
    <w:rsid w:val="00BE3D1F"/>
    <w:rsid w:val="00BE493B"/>
    <w:rsid w:val="00BE49BA"/>
    <w:rsid w:val="00BE4F52"/>
    <w:rsid w:val="00BE4FED"/>
    <w:rsid w:val="00BE5C1D"/>
    <w:rsid w:val="00BE5E1B"/>
    <w:rsid w:val="00BE68B2"/>
    <w:rsid w:val="00BF007B"/>
    <w:rsid w:val="00BF0AEF"/>
    <w:rsid w:val="00BF1D5D"/>
    <w:rsid w:val="00BF2512"/>
    <w:rsid w:val="00BF2694"/>
    <w:rsid w:val="00BF28E2"/>
    <w:rsid w:val="00BF2DFF"/>
    <w:rsid w:val="00BF2EAA"/>
    <w:rsid w:val="00BF3416"/>
    <w:rsid w:val="00BF3CDE"/>
    <w:rsid w:val="00BF504D"/>
    <w:rsid w:val="00BF53EF"/>
    <w:rsid w:val="00BF5A88"/>
    <w:rsid w:val="00BF6B28"/>
    <w:rsid w:val="00C002D0"/>
    <w:rsid w:val="00C01A5A"/>
    <w:rsid w:val="00C01EA2"/>
    <w:rsid w:val="00C02D4F"/>
    <w:rsid w:val="00C044C3"/>
    <w:rsid w:val="00C05038"/>
    <w:rsid w:val="00C051EA"/>
    <w:rsid w:val="00C06F9C"/>
    <w:rsid w:val="00C06FA5"/>
    <w:rsid w:val="00C07077"/>
    <w:rsid w:val="00C072A3"/>
    <w:rsid w:val="00C079D5"/>
    <w:rsid w:val="00C07C34"/>
    <w:rsid w:val="00C07D0E"/>
    <w:rsid w:val="00C1020B"/>
    <w:rsid w:val="00C1071E"/>
    <w:rsid w:val="00C10BDA"/>
    <w:rsid w:val="00C1147F"/>
    <w:rsid w:val="00C12914"/>
    <w:rsid w:val="00C12F19"/>
    <w:rsid w:val="00C12FA8"/>
    <w:rsid w:val="00C13784"/>
    <w:rsid w:val="00C139A9"/>
    <w:rsid w:val="00C13EF6"/>
    <w:rsid w:val="00C14718"/>
    <w:rsid w:val="00C1614D"/>
    <w:rsid w:val="00C16839"/>
    <w:rsid w:val="00C168F5"/>
    <w:rsid w:val="00C169C5"/>
    <w:rsid w:val="00C20F36"/>
    <w:rsid w:val="00C235FC"/>
    <w:rsid w:val="00C23AF5"/>
    <w:rsid w:val="00C24405"/>
    <w:rsid w:val="00C24D47"/>
    <w:rsid w:val="00C2500E"/>
    <w:rsid w:val="00C26777"/>
    <w:rsid w:val="00C27212"/>
    <w:rsid w:val="00C27D98"/>
    <w:rsid w:val="00C30301"/>
    <w:rsid w:val="00C30367"/>
    <w:rsid w:val="00C31586"/>
    <w:rsid w:val="00C3251B"/>
    <w:rsid w:val="00C335BD"/>
    <w:rsid w:val="00C348AD"/>
    <w:rsid w:val="00C34A87"/>
    <w:rsid w:val="00C34F53"/>
    <w:rsid w:val="00C35828"/>
    <w:rsid w:val="00C35CB0"/>
    <w:rsid w:val="00C365C2"/>
    <w:rsid w:val="00C36840"/>
    <w:rsid w:val="00C37AC1"/>
    <w:rsid w:val="00C40548"/>
    <w:rsid w:val="00C406BC"/>
    <w:rsid w:val="00C40D79"/>
    <w:rsid w:val="00C40D7E"/>
    <w:rsid w:val="00C40F2D"/>
    <w:rsid w:val="00C41082"/>
    <w:rsid w:val="00C41DA4"/>
    <w:rsid w:val="00C42139"/>
    <w:rsid w:val="00C4218C"/>
    <w:rsid w:val="00C42512"/>
    <w:rsid w:val="00C435A4"/>
    <w:rsid w:val="00C43D40"/>
    <w:rsid w:val="00C4402B"/>
    <w:rsid w:val="00C4413D"/>
    <w:rsid w:val="00C44C54"/>
    <w:rsid w:val="00C44E04"/>
    <w:rsid w:val="00C45B0A"/>
    <w:rsid w:val="00C46471"/>
    <w:rsid w:val="00C4683A"/>
    <w:rsid w:val="00C46854"/>
    <w:rsid w:val="00C47DE8"/>
    <w:rsid w:val="00C514D6"/>
    <w:rsid w:val="00C5222A"/>
    <w:rsid w:val="00C52B2A"/>
    <w:rsid w:val="00C52FAD"/>
    <w:rsid w:val="00C53995"/>
    <w:rsid w:val="00C54DFD"/>
    <w:rsid w:val="00C54FE3"/>
    <w:rsid w:val="00C563B3"/>
    <w:rsid w:val="00C56C42"/>
    <w:rsid w:val="00C57022"/>
    <w:rsid w:val="00C57AE0"/>
    <w:rsid w:val="00C57D18"/>
    <w:rsid w:val="00C6079A"/>
    <w:rsid w:val="00C609CA"/>
    <w:rsid w:val="00C60B86"/>
    <w:rsid w:val="00C61614"/>
    <w:rsid w:val="00C61D26"/>
    <w:rsid w:val="00C61D9D"/>
    <w:rsid w:val="00C6231C"/>
    <w:rsid w:val="00C625B2"/>
    <w:rsid w:val="00C62901"/>
    <w:rsid w:val="00C64788"/>
    <w:rsid w:val="00C64CBB"/>
    <w:rsid w:val="00C6535D"/>
    <w:rsid w:val="00C65496"/>
    <w:rsid w:val="00C66BA0"/>
    <w:rsid w:val="00C67321"/>
    <w:rsid w:val="00C67961"/>
    <w:rsid w:val="00C7006E"/>
    <w:rsid w:val="00C7282A"/>
    <w:rsid w:val="00C72BAC"/>
    <w:rsid w:val="00C7367C"/>
    <w:rsid w:val="00C741D9"/>
    <w:rsid w:val="00C74258"/>
    <w:rsid w:val="00C7438C"/>
    <w:rsid w:val="00C74F80"/>
    <w:rsid w:val="00C75A52"/>
    <w:rsid w:val="00C761C3"/>
    <w:rsid w:val="00C762AF"/>
    <w:rsid w:val="00C772FE"/>
    <w:rsid w:val="00C7749D"/>
    <w:rsid w:val="00C775E8"/>
    <w:rsid w:val="00C77E29"/>
    <w:rsid w:val="00C80596"/>
    <w:rsid w:val="00C80BE7"/>
    <w:rsid w:val="00C825F4"/>
    <w:rsid w:val="00C83296"/>
    <w:rsid w:val="00C83992"/>
    <w:rsid w:val="00C854B8"/>
    <w:rsid w:val="00C85FCB"/>
    <w:rsid w:val="00C870F5"/>
    <w:rsid w:val="00C875C5"/>
    <w:rsid w:val="00C87B1B"/>
    <w:rsid w:val="00C90965"/>
    <w:rsid w:val="00C909A2"/>
    <w:rsid w:val="00C911C1"/>
    <w:rsid w:val="00C91831"/>
    <w:rsid w:val="00C91B91"/>
    <w:rsid w:val="00C91F05"/>
    <w:rsid w:val="00C921DB"/>
    <w:rsid w:val="00C9338A"/>
    <w:rsid w:val="00C93546"/>
    <w:rsid w:val="00C936E8"/>
    <w:rsid w:val="00C9373D"/>
    <w:rsid w:val="00C93769"/>
    <w:rsid w:val="00C93CA0"/>
    <w:rsid w:val="00C942E4"/>
    <w:rsid w:val="00C9543B"/>
    <w:rsid w:val="00C9721F"/>
    <w:rsid w:val="00C975C0"/>
    <w:rsid w:val="00CA1623"/>
    <w:rsid w:val="00CA1AC0"/>
    <w:rsid w:val="00CA2477"/>
    <w:rsid w:val="00CA39CF"/>
    <w:rsid w:val="00CA3B71"/>
    <w:rsid w:val="00CA3F56"/>
    <w:rsid w:val="00CA494D"/>
    <w:rsid w:val="00CA4B86"/>
    <w:rsid w:val="00CA57AF"/>
    <w:rsid w:val="00CA5B25"/>
    <w:rsid w:val="00CA73A5"/>
    <w:rsid w:val="00CA7564"/>
    <w:rsid w:val="00CA771E"/>
    <w:rsid w:val="00CB2703"/>
    <w:rsid w:val="00CB2BE9"/>
    <w:rsid w:val="00CB4AFC"/>
    <w:rsid w:val="00CB56C0"/>
    <w:rsid w:val="00CB5760"/>
    <w:rsid w:val="00CB651A"/>
    <w:rsid w:val="00CB6EE7"/>
    <w:rsid w:val="00CB7038"/>
    <w:rsid w:val="00CB7230"/>
    <w:rsid w:val="00CC05B8"/>
    <w:rsid w:val="00CC0888"/>
    <w:rsid w:val="00CC1735"/>
    <w:rsid w:val="00CC1787"/>
    <w:rsid w:val="00CC2AA3"/>
    <w:rsid w:val="00CC3A06"/>
    <w:rsid w:val="00CC436C"/>
    <w:rsid w:val="00CC442D"/>
    <w:rsid w:val="00CC4583"/>
    <w:rsid w:val="00CC472E"/>
    <w:rsid w:val="00CC5C4A"/>
    <w:rsid w:val="00CC6FB9"/>
    <w:rsid w:val="00CD0B22"/>
    <w:rsid w:val="00CD1BD8"/>
    <w:rsid w:val="00CD1FBE"/>
    <w:rsid w:val="00CD23FC"/>
    <w:rsid w:val="00CD34AD"/>
    <w:rsid w:val="00CD380C"/>
    <w:rsid w:val="00CD3A0B"/>
    <w:rsid w:val="00CD468F"/>
    <w:rsid w:val="00CD4D61"/>
    <w:rsid w:val="00CD5E9D"/>
    <w:rsid w:val="00CD5EDD"/>
    <w:rsid w:val="00CD61AC"/>
    <w:rsid w:val="00CD61D1"/>
    <w:rsid w:val="00CD65F2"/>
    <w:rsid w:val="00CD6873"/>
    <w:rsid w:val="00CD6A3B"/>
    <w:rsid w:val="00CD76C6"/>
    <w:rsid w:val="00CD797F"/>
    <w:rsid w:val="00CE10B7"/>
    <w:rsid w:val="00CE20BD"/>
    <w:rsid w:val="00CE2296"/>
    <w:rsid w:val="00CE25B4"/>
    <w:rsid w:val="00CE2777"/>
    <w:rsid w:val="00CE2F84"/>
    <w:rsid w:val="00CE40CB"/>
    <w:rsid w:val="00CE413A"/>
    <w:rsid w:val="00CE41E2"/>
    <w:rsid w:val="00CE44B9"/>
    <w:rsid w:val="00CE4868"/>
    <w:rsid w:val="00CE4BEB"/>
    <w:rsid w:val="00CE5EAC"/>
    <w:rsid w:val="00CE5F51"/>
    <w:rsid w:val="00CE6ABD"/>
    <w:rsid w:val="00CE6CCE"/>
    <w:rsid w:val="00CE760A"/>
    <w:rsid w:val="00CE7782"/>
    <w:rsid w:val="00CE7D4E"/>
    <w:rsid w:val="00CF052E"/>
    <w:rsid w:val="00CF101B"/>
    <w:rsid w:val="00CF1184"/>
    <w:rsid w:val="00CF1769"/>
    <w:rsid w:val="00CF1C68"/>
    <w:rsid w:val="00CF1ED2"/>
    <w:rsid w:val="00CF20DB"/>
    <w:rsid w:val="00CF2603"/>
    <w:rsid w:val="00CF3AB7"/>
    <w:rsid w:val="00CF50D6"/>
    <w:rsid w:val="00CF53A8"/>
    <w:rsid w:val="00CF5D69"/>
    <w:rsid w:val="00CF6260"/>
    <w:rsid w:val="00CF6CDE"/>
    <w:rsid w:val="00D01462"/>
    <w:rsid w:val="00D018B5"/>
    <w:rsid w:val="00D01E2B"/>
    <w:rsid w:val="00D02492"/>
    <w:rsid w:val="00D031FE"/>
    <w:rsid w:val="00D0323C"/>
    <w:rsid w:val="00D03512"/>
    <w:rsid w:val="00D036B9"/>
    <w:rsid w:val="00D055C0"/>
    <w:rsid w:val="00D06012"/>
    <w:rsid w:val="00D06E2A"/>
    <w:rsid w:val="00D07542"/>
    <w:rsid w:val="00D1035C"/>
    <w:rsid w:val="00D10D5E"/>
    <w:rsid w:val="00D125B6"/>
    <w:rsid w:val="00D12D19"/>
    <w:rsid w:val="00D13234"/>
    <w:rsid w:val="00D14291"/>
    <w:rsid w:val="00D14959"/>
    <w:rsid w:val="00D158F7"/>
    <w:rsid w:val="00D15C15"/>
    <w:rsid w:val="00D16357"/>
    <w:rsid w:val="00D169E7"/>
    <w:rsid w:val="00D16C82"/>
    <w:rsid w:val="00D16CF9"/>
    <w:rsid w:val="00D17728"/>
    <w:rsid w:val="00D21A81"/>
    <w:rsid w:val="00D225DB"/>
    <w:rsid w:val="00D23397"/>
    <w:rsid w:val="00D239B0"/>
    <w:rsid w:val="00D2435F"/>
    <w:rsid w:val="00D24415"/>
    <w:rsid w:val="00D25637"/>
    <w:rsid w:val="00D259DC"/>
    <w:rsid w:val="00D25BA4"/>
    <w:rsid w:val="00D2693E"/>
    <w:rsid w:val="00D26E66"/>
    <w:rsid w:val="00D306CA"/>
    <w:rsid w:val="00D3120E"/>
    <w:rsid w:val="00D31B64"/>
    <w:rsid w:val="00D32F95"/>
    <w:rsid w:val="00D33B54"/>
    <w:rsid w:val="00D3470C"/>
    <w:rsid w:val="00D360F6"/>
    <w:rsid w:val="00D36355"/>
    <w:rsid w:val="00D36A6D"/>
    <w:rsid w:val="00D36DB7"/>
    <w:rsid w:val="00D36F5E"/>
    <w:rsid w:val="00D3777C"/>
    <w:rsid w:val="00D37839"/>
    <w:rsid w:val="00D40724"/>
    <w:rsid w:val="00D40A5C"/>
    <w:rsid w:val="00D40D1E"/>
    <w:rsid w:val="00D41384"/>
    <w:rsid w:val="00D417EB"/>
    <w:rsid w:val="00D426D5"/>
    <w:rsid w:val="00D42840"/>
    <w:rsid w:val="00D4297D"/>
    <w:rsid w:val="00D437BB"/>
    <w:rsid w:val="00D43A62"/>
    <w:rsid w:val="00D43C58"/>
    <w:rsid w:val="00D45EE2"/>
    <w:rsid w:val="00D46180"/>
    <w:rsid w:val="00D46865"/>
    <w:rsid w:val="00D46BCB"/>
    <w:rsid w:val="00D46CDD"/>
    <w:rsid w:val="00D47283"/>
    <w:rsid w:val="00D47BF2"/>
    <w:rsid w:val="00D51503"/>
    <w:rsid w:val="00D53067"/>
    <w:rsid w:val="00D530EF"/>
    <w:rsid w:val="00D53232"/>
    <w:rsid w:val="00D54CE4"/>
    <w:rsid w:val="00D550B6"/>
    <w:rsid w:val="00D55506"/>
    <w:rsid w:val="00D55554"/>
    <w:rsid w:val="00D5716A"/>
    <w:rsid w:val="00D579FB"/>
    <w:rsid w:val="00D60680"/>
    <w:rsid w:val="00D6077C"/>
    <w:rsid w:val="00D60B59"/>
    <w:rsid w:val="00D610CD"/>
    <w:rsid w:val="00D611DA"/>
    <w:rsid w:val="00D61397"/>
    <w:rsid w:val="00D61A46"/>
    <w:rsid w:val="00D62CC3"/>
    <w:rsid w:val="00D64C0C"/>
    <w:rsid w:val="00D650E2"/>
    <w:rsid w:val="00D65BA9"/>
    <w:rsid w:val="00D65BFD"/>
    <w:rsid w:val="00D66078"/>
    <w:rsid w:val="00D663AA"/>
    <w:rsid w:val="00D6703B"/>
    <w:rsid w:val="00D67F75"/>
    <w:rsid w:val="00D70776"/>
    <w:rsid w:val="00D7122F"/>
    <w:rsid w:val="00D7217C"/>
    <w:rsid w:val="00D7450B"/>
    <w:rsid w:val="00D745DB"/>
    <w:rsid w:val="00D74D0E"/>
    <w:rsid w:val="00D752D9"/>
    <w:rsid w:val="00D754BA"/>
    <w:rsid w:val="00D75903"/>
    <w:rsid w:val="00D75C20"/>
    <w:rsid w:val="00D75C43"/>
    <w:rsid w:val="00D75C8C"/>
    <w:rsid w:val="00D75F30"/>
    <w:rsid w:val="00D763CC"/>
    <w:rsid w:val="00D7654A"/>
    <w:rsid w:val="00D7750B"/>
    <w:rsid w:val="00D808F9"/>
    <w:rsid w:val="00D80A5A"/>
    <w:rsid w:val="00D80F7B"/>
    <w:rsid w:val="00D81267"/>
    <w:rsid w:val="00D81F0F"/>
    <w:rsid w:val="00D82561"/>
    <w:rsid w:val="00D82A26"/>
    <w:rsid w:val="00D838A6"/>
    <w:rsid w:val="00D844B5"/>
    <w:rsid w:val="00D84745"/>
    <w:rsid w:val="00D84D93"/>
    <w:rsid w:val="00D85FF1"/>
    <w:rsid w:val="00D86C3B"/>
    <w:rsid w:val="00D91010"/>
    <w:rsid w:val="00D9145D"/>
    <w:rsid w:val="00D9154D"/>
    <w:rsid w:val="00D9188D"/>
    <w:rsid w:val="00D91A4E"/>
    <w:rsid w:val="00D9362D"/>
    <w:rsid w:val="00D93737"/>
    <w:rsid w:val="00D94014"/>
    <w:rsid w:val="00D94777"/>
    <w:rsid w:val="00D94D87"/>
    <w:rsid w:val="00D96255"/>
    <w:rsid w:val="00D968C7"/>
    <w:rsid w:val="00D973C9"/>
    <w:rsid w:val="00D97EC4"/>
    <w:rsid w:val="00DA0112"/>
    <w:rsid w:val="00DA0475"/>
    <w:rsid w:val="00DA0F21"/>
    <w:rsid w:val="00DA12CE"/>
    <w:rsid w:val="00DA232B"/>
    <w:rsid w:val="00DA2AE2"/>
    <w:rsid w:val="00DA3BF5"/>
    <w:rsid w:val="00DA4AE4"/>
    <w:rsid w:val="00DA4D80"/>
    <w:rsid w:val="00DA5178"/>
    <w:rsid w:val="00DA5FB1"/>
    <w:rsid w:val="00DA64B6"/>
    <w:rsid w:val="00DA6A65"/>
    <w:rsid w:val="00DA7C32"/>
    <w:rsid w:val="00DA7C33"/>
    <w:rsid w:val="00DB179A"/>
    <w:rsid w:val="00DB194E"/>
    <w:rsid w:val="00DB2020"/>
    <w:rsid w:val="00DB24C6"/>
    <w:rsid w:val="00DB3090"/>
    <w:rsid w:val="00DB32F2"/>
    <w:rsid w:val="00DB4C86"/>
    <w:rsid w:val="00DB6301"/>
    <w:rsid w:val="00DB650E"/>
    <w:rsid w:val="00DB6CFA"/>
    <w:rsid w:val="00DB6D6F"/>
    <w:rsid w:val="00DB72F7"/>
    <w:rsid w:val="00DB7C5A"/>
    <w:rsid w:val="00DC0175"/>
    <w:rsid w:val="00DC06E9"/>
    <w:rsid w:val="00DC084C"/>
    <w:rsid w:val="00DC0905"/>
    <w:rsid w:val="00DC0F5F"/>
    <w:rsid w:val="00DC2DA8"/>
    <w:rsid w:val="00DC31A1"/>
    <w:rsid w:val="00DC3FC8"/>
    <w:rsid w:val="00DC44A3"/>
    <w:rsid w:val="00DC46E3"/>
    <w:rsid w:val="00DC572D"/>
    <w:rsid w:val="00DC5C60"/>
    <w:rsid w:val="00DC6354"/>
    <w:rsid w:val="00DC740C"/>
    <w:rsid w:val="00DC74E7"/>
    <w:rsid w:val="00DC7777"/>
    <w:rsid w:val="00DC7D3A"/>
    <w:rsid w:val="00DC7F48"/>
    <w:rsid w:val="00DC7F8D"/>
    <w:rsid w:val="00DD03EA"/>
    <w:rsid w:val="00DD0F2A"/>
    <w:rsid w:val="00DD1A85"/>
    <w:rsid w:val="00DD2591"/>
    <w:rsid w:val="00DD2952"/>
    <w:rsid w:val="00DD2DAA"/>
    <w:rsid w:val="00DD3535"/>
    <w:rsid w:val="00DD3ABA"/>
    <w:rsid w:val="00DD3F0F"/>
    <w:rsid w:val="00DD4A67"/>
    <w:rsid w:val="00DD4A8D"/>
    <w:rsid w:val="00DD4B09"/>
    <w:rsid w:val="00DD53CF"/>
    <w:rsid w:val="00DD53EB"/>
    <w:rsid w:val="00DD5B22"/>
    <w:rsid w:val="00DD5CFC"/>
    <w:rsid w:val="00DD5E05"/>
    <w:rsid w:val="00DD6673"/>
    <w:rsid w:val="00DD676E"/>
    <w:rsid w:val="00DD6CD0"/>
    <w:rsid w:val="00DD70DE"/>
    <w:rsid w:val="00DD735B"/>
    <w:rsid w:val="00DD75F5"/>
    <w:rsid w:val="00DD7B20"/>
    <w:rsid w:val="00DE0172"/>
    <w:rsid w:val="00DE09B2"/>
    <w:rsid w:val="00DE0B54"/>
    <w:rsid w:val="00DE141C"/>
    <w:rsid w:val="00DE2B8C"/>
    <w:rsid w:val="00DE39C8"/>
    <w:rsid w:val="00DE3ECF"/>
    <w:rsid w:val="00DE412F"/>
    <w:rsid w:val="00DE54B0"/>
    <w:rsid w:val="00DE5C69"/>
    <w:rsid w:val="00DE5EFF"/>
    <w:rsid w:val="00DE6C34"/>
    <w:rsid w:val="00DE786E"/>
    <w:rsid w:val="00DE7DCC"/>
    <w:rsid w:val="00DF0287"/>
    <w:rsid w:val="00DF06EC"/>
    <w:rsid w:val="00DF1855"/>
    <w:rsid w:val="00DF1C91"/>
    <w:rsid w:val="00DF1E9D"/>
    <w:rsid w:val="00DF217D"/>
    <w:rsid w:val="00DF3231"/>
    <w:rsid w:val="00DF3E65"/>
    <w:rsid w:val="00DF5451"/>
    <w:rsid w:val="00DF549B"/>
    <w:rsid w:val="00DF59FE"/>
    <w:rsid w:val="00DF6717"/>
    <w:rsid w:val="00DF70D4"/>
    <w:rsid w:val="00DF73AF"/>
    <w:rsid w:val="00DF7D1B"/>
    <w:rsid w:val="00E00CEC"/>
    <w:rsid w:val="00E02796"/>
    <w:rsid w:val="00E02E1E"/>
    <w:rsid w:val="00E03ADF"/>
    <w:rsid w:val="00E03E19"/>
    <w:rsid w:val="00E0617E"/>
    <w:rsid w:val="00E0716A"/>
    <w:rsid w:val="00E07993"/>
    <w:rsid w:val="00E07E2C"/>
    <w:rsid w:val="00E1008D"/>
    <w:rsid w:val="00E100D7"/>
    <w:rsid w:val="00E10210"/>
    <w:rsid w:val="00E1054B"/>
    <w:rsid w:val="00E107F8"/>
    <w:rsid w:val="00E10EF2"/>
    <w:rsid w:val="00E10F8C"/>
    <w:rsid w:val="00E1138E"/>
    <w:rsid w:val="00E11953"/>
    <w:rsid w:val="00E11AED"/>
    <w:rsid w:val="00E1205D"/>
    <w:rsid w:val="00E12495"/>
    <w:rsid w:val="00E125AC"/>
    <w:rsid w:val="00E1334D"/>
    <w:rsid w:val="00E13602"/>
    <w:rsid w:val="00E13F18"/>
    <w:rsid w:val="00E140CE"/>
    <w:rsid w:val="00E159E8"/>
    <w:rsid w:val="00E15D60"/>
    <w:rsid w:val="00E15ED5"/>
    <w:rsid w:val="00E1625D"/>
    <w:rsid w:val="00E163E8"/>
    <w:rsid w:val="00E17224"/>
    <w:rsid w:val="00E17E46"/>
    <w:rsid w:val="00E20F73"/>
    <w:rsid w:val="00E217C6"/>
    <w:rsid w:val="00E21CE1"/>
    <w:rsid w:val="00E21F93"/>
    <w:rsid w:val="00E22948"/>
    <w:rsid w:val="00E22E2D"/>
    <w:rsid w:val="00E257DB"/>
    <w:rsid w:val="00E25FC3"/>
    <w:rsid w:val="00E26312"/>
    <w:rsid w:val="00E26B0B"/>
    <w:rsid w:val="00E26DAA"/>
    <w:rsid w:val="00E27889"/>
    <w:rsid w:val="00E27B57"/>
    <w:rsid w:val="00E30D38"/>
    <w:rsid w:val="00E3187E"/>
    <w:rsid w:val="00E326E9"/>
    <w:rsid w:val="00E326EC"/>
    <w:rsid w:val="00E32E86"/>
    <w:rsid w:val="00E33B25"/>
    <w:rsid w:val="00E33F1B"/>
    <w:rsid w:val="00E340C8"/>
    <w:rsid w:val="00E34F30"/>
    <w:rsid w:val="00E35197"/>
    <w:rsid w:val="00E35A5D"/>
    <w:rsid w:val="00E35A90"/>
    <w:rsid w:val="00E363B3"/>
    <w:rsid w:val="00E36AD5"/>
    <w:rsid w:val="00E379D3"/>
    <w:rsid w:val="00E37F53"/>
    <w:rsid w:val="00E40FAB"/>
    <w:rsid w:val="00E41658"/>
    <w:rsid w:val="00E4260A"/>
    <w:rsid w:val="00E4398F"/>
    <w:rsid w:val="00E43A6C"/>
    <w:rsid w:val="00E43C4D"/>
    <w:rsid w:val="00E44205"/>
    <w:rsid w:val="00E44A0B"/>
    <w:rsid w:val="00E44DC6"/>
    <w:rsid w:val="00E4501B"/>
    <w:rsid w:val="00E45302"/>
    <w:rsid w:val="00E45538"/>
    <w:rsid w:val="00E4587B"/>
    <w:rsid w:val="00E464FD"/>
    <w:rsid w:val="00E467A1"/>
    <w:rsid w:val="00E469C0"/>
    <w:rsid w:val="00E46D57"/>
    <w:rsid w:val="00E47969"/>
    <w:rsid w:val="00E47C56"/>
    <w:rsid w:val="00E50CD1"/>
    <w:rsid w:val="00E50FEB"/>
    <w:rsid w:val="00E51079"/>
    <w:rsid w:val="00E51402"/>
    <w:rsid w:val="00E51BC9"/>
    <w:rsid w:val="00E525BB"/>
    <w:rsid w:val="00E5420C"/>
    <w:rsid w:val="00E5572F"/>
    <w:rsid w:val="00E568BC"/>
    <w:rsid w:val="00E569AD"/>
    <w:rsid w:val="00E56AD8"/>
    <w:rsid w:val="00E570A3"/>
    <w:rsid w:val="00E575DB"/>
    <w:rsid w:val="00E57BB1"/>
    <w:rsid w:val="00E57C73"/>
    <w:rsid w:val="00E608D5"/>
    <w:rsid w:val="00E61003"/>
    <w:rsid w:val="00E61150"/>
    <w:rsid w:val="00E6203B"/>
    <w:rsid w:val="00E6273E"/>
    <w:rsid w:val="00E63A7C"/>
    <w:rsid w:val="00E63E70"/>
    <w:rsid w:val="00E64DA7"/>
    <w:rsid w:val="00E6580B"/>
    <w:rsid w:val="00E658F7"/>
    <w:rsid w:val="00E65F12"/>
    <w:rsid w:val="00E66497"/>
    <w:rsid w:val="00E6714D"/>
    <w:rsid w:val="00E67CDE"/>
    <w:rsid w:val="00E67E9F"/>
    <w:rsid w:val="00E706CB"/>
    <w:rsid w:val="00E70E4C"/>
    <w:rsid w:val="00E7108B"/>
    <w:rsid w:val="00E7201D"/>
    <w:rsid w:val="00E72B5B"/>
    <w:rsid w:val="00E732FB"/>
    <w:rsid w:val="00E75890"/>
    <w:rsid w:val="00E76716"/>
    <w:rsid w:val="00E76996"/>
    <w:rsid w:val="00E76DED"/>
    <w:rsid w:val="00E7724A"/>
    <w:rsid w:val="00E773BA"/>
    <w:rsid w:val="00E773EC"/>
    <w:rsid w:val="00E800C2"/>
    <w:rsid w:val="00E804DF"/>
    <w:rsid w:val="00E8108F"/>
    <w:rsid w:val="00E817B6"/>
    <w:rsid w:val="00E81924"/>
    <w:rsid w:val="00E8291B"/>
    <w:rsid w:val="00E82F3D"/>
    <w:rsid w:val="00E82FE3"/>
    <w:rsid w:val="00E83394"/>
    <w:rsid w:val="00E83408"/>
    <w:rsid w:val="00E83908"/>
    <w:rsid w:val="00E83B95"/>
    <w:rsid w:val="00E83BF1"/>
    <w:rsid w:val="00E83D64"/>
    <w:rsid w:val="00E854FD"/>
    <w:rsid w:val="00E857E6"/>
    <w:rsid w:val="00E85886"/>
    <w:rsid w:val="00E8605E"/>
    <w:rsid w:val="00E86610"/>
    <w:rsid w:val="00E86BD3"/>
    <w:rsid w:val="00E86D87"/>
    <w:rsid w:val="00E86E7B"/>
    <w:rsid w:val="00E871FD"/>
    <w:rsid w:val="00E87641"/>
    <w:rsid w:val="00E9138E"/>
    <w:rsid w:val="00E92922"/>
    <w:rsid w:val="00E93261"/>
    <w:rsid w:val="00E93836"/>
    <w:rsid w:val="00E93857"/>
    <w:rsid w:val="00E9389E"/>
    <w:rsid w:val="00E944C3"/>
    <w:rsid w:val="00E94D9B"/>
    <w:rsid w:val="00E94FCA"/>
    <w:rsid w:val="00E956E9"/>
    <w:rsid w:val="00E958F7"/>
    <w:rsid w:val="00E959BB"/>
    <w:rsid w:val="00E9777F"/>
    <w:rsid w:val="00E97D36"/>
    <w:rsid w:val="00EA03F2"/>
    <w:rsid w:val="00EA084B"/>
    <w:rsid w:val="00EA10C3"/>
    <w:rsid w:val="00EA1447"/>
    <w:rsid w:val="00EA18F4"/>
    <w:rsid w:val="00EA30DF"/>
    <w:rsid w:val="00EA3335"/>
    <w:rsid w:val="00EA3404"/>
    <w:rsid w:val="00EA3710"/>
    <w:rsid w:val="00EA3D33"/>
    <w:rsid w:val="00EA59A9"/>
    <w:rsid w:val="00EA6B13"/>
    <w:rsid w:val="00EA7C3F"/>
    <w:rsid w:val="00EB165F"/>
    <w:rsid w:val="00EB1BEF"/>
    <w:rsid w:val="00EB1DD3"/>
    <w:rsid w:val="00EB204B"/>
    <w:rsid w:val="00EB25CC"/>
    <w:rsid w:val="00EB25E5"/>
    <w:rsid w:val="00EB2604"/>
    <w:rsid w:val="00EB29F3"/>
    <w:rsid w:val="00EB3175"/>
    <w:rsid w:val="00EB3E42"/>
    <w:rsid w:val="00EB44B2"/>
    <w:rsid w:val="00EB479B"/>
    <w:rsid w:val="00EB495E"/>
    <w:rsid w:val="00EB58A6"/>
    <w:rsid w:val="00EB6187"/>
    <w:rsid w:val="00EB7A3F"/>
    <w:rsid w:val="00EC109E"/>
    <w:rsid w:val="00EC270A"/>
    <w:rsid w:val="00EC281B"/>
    <w:rsid w:val="00EC2EF0"/>
    <w:rsid w:val="00EC48BE"/>
    <w:rsid w:val="00EC4D98"/>
    <w:rsid w:val="00EC52AF"/>
    <w:rsid w:val="00EC6296"/>
    <w:rsid w:val="00EC664E"/>
    <w:rsid w:val="00EC72D9"/>
    <w:rsid w:val="00EC7ED0"/>
    <w:rsid w:val="00ED1766"/>
    <w:rsid w:val="00ED185D"/>
    <w:rsid w:val="00ED1DE3"/>
    <w:rsid w:val="00ED2A00"/>
    <w:rsid w:val="00ED3A4A"/>
    <w:rsid w:val="00ED4BF9"/>
    <w:rsid w:val="00ED4D57"/>
    <w:rsid w:val="00ED54AC"/>
    <w:rsid w:val="00ED568D"/>
    <w:rsid w:val="00ED56C2"/>
    <w:rsid w:val="00ED5EDB"/>
    <w:rsid w:val="00ED781C"/>
    <w:rsid w:val="00EE03BF"/>
    <w:rsid w:val="00EE07ED"/>
    <w:rsid w:val="00EE0D8F"/>
    <w:rsid w:val="00EE1323"/>
    <w:rsid w:val="00EE1657"/>
    <w:rsid w:val="00EE16A5"/>
    <w:rsid w:val="00EE3963"/>
    <w:rsid w:val="00EE3ED6"/>
    <w:rsid w:val="00EE433E"/>
    <w:rsid w:val="00EE4388"/>
    <w:rsid w:val="00EE663E"/>
    <w:rsid w:val="00EE681E"/>
    <w:rsid w:val="00EE6F8C"/>
    <w:rsid w:val="00EE78C2"/>
    <w:rsid w:val="00EF05EF"/>
    <w:rsid w:val="00EF120B"/>
    <w:rsid w:val="00EF1602"/>
    <w:rsid w:val="00EF2555"/>
    <w:rsid w:val="00EF3095"/>
    <w:rsid w:val="00EF327B"/>
    <w:rsid w:val="00EF3F1D"/>
    <w:rsid w:val="00EF5345"/>
    <w:rsid w:val="00EF732E"/>
    <w:rsid w:val="00EF74EA"/>
    <w:rsid w:val="00EF776B"/>
    <w:rsid w:val="00EF77B9"/>
    <w:rsid w:val="00F0129B"/>
    <w:rsid w:val="00F02022"/>
    <w:rsid w:val="00F02A87"/>
    <w:rsid w:val="00F02F21"/>
    <w:rsid w:val="00F03EC2"/>
    <w:rsid w:val="00F0415F"/>
    <w:rsid w:val="00F04DD8"/>
    <w:rsid w:val="00F04E7A"/>
    <w:rsid w:val="00F05606"/>
    <w:rsid w:val="00F05B97"/>
    <w:rsid w:val="00F05C04"/>
    <w:rsid w:val="00F06B93"/>
    <w:rsid w:val="00F11260"/>
    <w:rsid w:val="00F1195C"/>
    <w:rsid w:val="00F129E7"/>
    <w:rsid w:val="00F12A40"/>
    <w:rsid w:val="00F12D0E"/>
    <w:rsid w:val="00F13281"/>
    <w:rsid w:val="00F1546F"/>
    <w:rsid w:val="00F15C97"/>
    <w:rsid w:val="00F1616A"/>
    <w:rsid w:val="00F16E70"/>
    <w:rsid w:val="00F1734A"/>
    <w:rsid w:val="00F204A7"/>
    <w:rsid w:val="00F2078D"/>
    <w:rsid w:val="00F20C46"/>
    <w:rsid w:val="00F216AD"/>
    <w:rsid w:val="00F21910"/>
    <w:rsid w:val="00F22A6F"/>
    <w:rsid w:val="00F23C0A"/>
    <w:rsid w:val="00F25231"/>
    <w:rsid w:val="00F2636B"/>
    <w:rsid w:val="00F26CEA"/>
    <w:rsid w:val="00F27A36"/>
    <w:rsid w:val="00F27B1D"/>
    <w:rsid w:val="00F30405"/>
    <w:rsid w:val="00F3044A"/>
    <w:rsid w:val="00F30DC9"/>
    <w:rsid w:val="00F31A3F"/>
    <w:rsid w:val="00F31F76"/>
    <w:rsid w:val="00F321E4"/>
    <w:rsid w:val="00F33694"/>
    <w:rsid w:val="00F34832"/>
    <w:rsid w:val="00F3490A"/>
    <w:rsid w:val="00F364C9"/>
    <w:rsid w:val="00F37454"/>
    <w:rsid w:val="00F374A1"/>
    <w:rsid w:val="00F37859"/>
    <w:rsid w:val="00F40260"/>
    <w:rsid w:val="00F4047B"/>
    <w:rsid w:val="00F40E78"/>
    <w:rsid w:val="00F40FAA"/>
    <w:rsid w:val="00F428FF"/>
    <w:rsid w:val="00F43B6A"/>
    <w:rsid w:val="00F43BD9"/>
    <w:rsid w:val="00F441E7"/>
    <w:rsid w:val="00F44B90"/>
    <w:rsid w:val="00F45A25"/>
    <w:rsid w:val="00F46362"/>
    <w:rsid w:val="00F468D4"/>
    <w:rsid w:val="00F46904"/>
    <w:rsid w:val="00F46F6D"/>
    <w:rsid w:val="00F47413"/>
    <w:rsid w:val="00F475DB"/>
    <w:rsid w:val="00F476C2"/>
    <w:rsid w:val="00F47915"/>
    <w:rsid w:val="00F50100"/>
    <w:rsid w:val="00F50C8E"/>
    <w:rsid w:val="00F5145C"/>
    <w:rsid w:val="00F5152D"/>
    <w:rsid w:val="00F51BCD"/>
    <w:rsid w:val="00F537FB"/>
    <w:rsid w:val="00F545FC"/>
    <w:rsid w:val="00F55413"/>
    <w:rsid w:val="00F55CFC"/>
    <w:rsid w:val="00F5612A"/>
    <w:rsid w:val="00F57E6E"/>
    <w:rsid w:val="00F602E7"/>
    <w:rsid w:val="00F60AF5"/>
    <w:rsid w:val="00F6129B"/>
    <w:rsid w:val="00F6138F"/>
    <w:rsid w:val="00F61AFB"/>
    <w:rsid w:val="00F620B5"/>
    <w:rsid w:val="00F626D4"/>
    <w:rsid w:val="00F63BD7"/>
    <w:rsid w:val="00F63CFE"/>
    <w:rsid w:val="00F63E49"/>
    <w:rsid w:val="00F646BE"/>
    <w:rsid w:val="00F6476D"/>
    <w:rsid w:val="00F64885"/>
    <w:rsid w:val="00F66832"/>
    <w:rsid w:val="00F66D9F"/>
    <w:rsid w:val="00F677CF"/>
    <w:rsid w:val="00F67866"/>
    <w:rsid w:val="00F714BF"/>
    <w:rsid w:val="00F715F8"/>
    <w:rsid w:val="00F72013"/>
    <w:rsid w:val="00F72AA6"/>
    <w:rsid w:val="00F733F4"/>
    <w:rsid w:val="00F73406"/>
    <w:rsid w:val="00F73751"/>
    <w:rsid w:val="00F73ECA"/>
    <w:rsid w:val="00F74427"/>
    <w:rsid w:val="00F75137"/>
    <w:rsid w:val="00F7570B"/>
    <w:rsid w:val="00F75C25"/>
    <w:rsid w:val="00F75FE1"/>
    <w:rsid w:val="00F76717"/>
    <w:rsid w:val="00F770FC"/>
    <w:rsid w:val="00F7760A"/>
    <w:rsid w:val="00F77E6E"/>
    <w:rsid w:val="00F803A7"/>
    <w:rsid w:val="00F805E4"/>
    <w:rsid w:val="00F809A9"/>
    <w:rsid w:val="00F81354"/>
    <w:rsid w:val="00F821EA"/>
    <w:rsid w:val="00F82F8A"/>
    <w:rsid w:val="00F836D8"/>
    <w:rsid w:val="00F83FC8"/>
    <w:rsid w:val="00F8463D"/>
    <w:rsid w:val="00F84A21"/>
    <w:rsid w:val="00F84CBC"/>
    <w:rsid w:val="00F85BF4"/>
    <w:rsid w:val="00F871C0"/>
    <w:rsid w:val="00F87630"/>
    <w:rsid w:val="00F87C93"/>
    <w:rsid w:val="00F87D25"/>
    <w:rsid w:val="00F87D85"/>
    <w:rsid w:val="00F91B3F"/>
    <w:rsid w:val="00F91C71"/>
    <w:rsid w:val="00F92C23"/>
    <w:rsid w:val="00F93AC7"/>
    <w:rsid w:val="00F94701"/>
    <w:rsid w:val="00F95009"/>
    <w:rsid w:val="00F95808"/>
    <w:rsid w:val="00F9596A"/>
    <w:rsid w:val="00F95B59"/>
    <w:rsid w:val="00F975FE"/>
    <w:rsid w:val="00F97AA2"/>
    <w:rsid w:val="00FA049E"/>
    <w:rsid w:val="00FA05F8"/>
    <w:rsid w:val="00FA0FCE"/>
    <w:rsid w:val="00FA1DE6"/>
    <w:rsid w:val="00FA25A9"/>
    <w:rsid w:val="00FA34DF"/>
    <w:rsid w:val="00FA3686"/>
    <w:rsid w:val="00FA3A20"/>
    <w:rsid w:val="00FA3BE6"/>
    <w:rsid w:val="00FA416F"/>
    <w:rsid w:val="00FA4E23"/>
    <w:rsid w:val="00FA643F"/>
    <w:rsid w:val="00FA6B26"/>
    <w:rsid w:val="00FA6EED"/>
    <w:rsid w:val="00FA7F74"/>
    <w:rsid w:val="00FB01A2"/>
    <w:rsid w:val="00FB1381"/>
    <w:rsid w:val="00FB1412"/>
    <w:rsid w:val="00FB1DD9"/>
    <w:rsid w:val="00FB2061"/>
    <w:rsid w:val="00FB2C3C"/>
    <w:rsid w:val="00FB30A8"/>
    <w:rsid w:val="00FB3EF4"/>
    <w:rsid w:val="00FB4CF4"/>
    <w:rsid w:val="00FB5319"/>
    <w:rsid w:val="00FB5322"/>
    <w:rsid w:val="00FB549A"/>
    <w:rsid w:val="00FB668A"/>
    <w:rsid w:val="00FB6896"/>
    <w:rsid w:val="00FB6EDC"/>
    <w:rsid w:val="00FB7FFC"/>
    <w:rsid w:val="00FC0B7D"/>
    <w:rsid w:val="00FC1241"/>
    <w:rsid w:val="00FC147F"/>
    <w:rsid w:val="00FC2035"/>
    <w:rsid w:val="00FC2939"/>
    <w:rsid w:val="00FC3327"/>
    <w:rsid w:val="00FC33AD"/>
    <w:rsid w:val="00FC455C"/>
    <w:rsid w:val="00FC48FF"/>
    <w:rsid w:val="00FC5719"/>
    <w:rsid w:val="00FC5ADA"/>
    <w:rsid w:val="00FC6A70"/>
    <w:rsid w:val="00FC6DE3"/>
    <w:rsid w:val="00FC6F21"/>
    <w:rsid w:val="00FC730E"/>
    <w:rsid w:val="00FC734B"/>
    <w:rsid w:val="00FC7689"/>
    <w:rsid w:val="00FD0291"/>
    <w:rsid w:val="00FD0987"/>
    <w:rsid w:val="00FD0DDB"/>
    <w:rsid w:val="00FD135D"/>
    <w:rsid w:val="00FD1BD9"/>
    <w:rsid w:val="00FD2949"/>
    <w:rsid w:val="00FD4072"/>
    <w:rsid w:val="00FD423E"/>
    <w:rsid w:val="00FD42AC"/>
    <w:rsid w:val="00FD4CF4"/>
    <w:rsid w:val="00FD5F0B"/>
    <w:rsid w:val="00FD6B03"/>
    <w:rsid w:val="00FD7600"/>
    <w:rsid w:val="00FD795E"/>
    <w:rsid w:val="00FE04A3"/>
    <w:rsid w:val="00FE07C5"/>
    <w:rsid w:val="00FE11BC"/>
    <w:rsid w:val="00FE149A"/>
    <w:rsid w:val="00FE1833"/>
    <w:rsid w:val="00FE1903"/>
    <w:rsid w:val="00FE1F67"/>
    <w:rsid w:val="00FE2992"/>
    <w:rsid w:val="00FE3B13"/>
    <w:rsid w:val="00FE4F42"/>
    <w:rsid w:val="00FE5AE0"/>
    <w:rsid w:val="00FE78CC"/>
    <w:rsid w:val="00FF01F2"/>
    <w:rsid w:val="00FF0440"/>
    <w:rsid w:val="00FF0F9F"/>
    <w:rsid w:val="00FF1D4E"/>
    <w:rsid w:val="00FF2203"/>
    <w:rsid w:val="00FF256B"/>
    <w:rsid w:val="00FF2AED"/>
    <w:rsid w:val="00FF31CC"/>
    <w:rsid w:val="00FF3495"/>
    <w:rsid w:val="00FF3C3D"/>
    <w:rsid w:val="00FF4A2C"/>
    <w:rsid w:val="00FF4C44"/>
    <w:rsid w:val="00FF4F98"/>
    <w:rsid w:val="00FF58E2"/>
    <w:rsid w:val="00FF5A36"/>
    <w:rsid w:val="00FF6183"/>
    <w:rsid w:val="00FF63E9"/>
    <w:rsid w:val="00FF6559"/>
    <w:rsid w:val="00FF68D8"/>
    <w:rsid w:val="00FF6BD2"/>
    <w:rsid w:val="00FF71CE"/>
    <w:rsid w:val="00FF7C51"/>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C3A674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AU"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D37B6"/>
    <w:pPr>
      <w:suppressAutoHyphens/>
      <w:autoSpaceDE w:val="0"/>
      <w:autoSpaceDN w:val="0"/>
      <w:adjustRightInd w:val="0"/>
      <w:spacing w:line="276" w:lineRule="auto"/>
      <w:jc w:val="both"/>
      <w:textAlignment w:val="center"/>
    </w:pPr>
    <w:rPr>
      <w:rFonts w:cstheme="majorHAnsi"/>
      <w:color w:val="00000F"/>
      <w:sz w:val="22"/>
      <w:szCs w:val="22"/>
      <w:lang w:val="en-US"/>
    </w:rPr>
  </w:style>
  <w:style w:type="paragraph" w:styleId="Heading1">
    <w:name w:val="heading 1"/>
    <w:basedOn w:val="Normal"/>
    <w:next w:val="Normal"/>
    <w:link w:val="Heading1Char"/>
    <w:uiPriority w:val="9"/>
    <w:qFormat/>
    <w:rsid w:val="00C27D98"/>
    <w:pPr>
      <w:keepNext/>
      <w:keepLines/>
      <w:spacing w:before="240"/>
      <w:outlineLvl w:val="0"/>
    </w:pPr>
    <w:rPr>
      <w:rFonts w:eastAsiaTheme="majorEastAsia" w:cstheme="majorBidi"/>
      <w:color w:val="1F3864" w:themeColor="accent1" w:themeShade="80"/>
      <w:spacing w:val="20"/>
      <w:sz w:val="52"/>
      <w:szCs w:val="32"/>
    </w:rPr>
  </w:style>
  <w:style w:type="paragraph" w:styleId="Heading2">
    <w:name w:val="heading 2"/>
    <w:basedOn w:val="Normal"/>
    <w:next w:val="Normal"/>
    <w:link w:val="Heading2Char"/>
    <w:uiPriority w:val="9"/>
    <w:unhideWhenUsed/>
    <w:qFormat/>
    <w:rsid w:val="00B27D9E"/>
    <w:pPr>
      <w:keepNext/>
      <w:keepLines/>
      <w:spacing w:before="40"/>
      <w:outlineLvl w:val="1"/>
    </w:pPr>
    <w:rPr>
      <w:rFonts w:asciiTheme="majorHAnsi" w:eastAsiaTheme="majorEastAsia" w:hAnsiTheme="majorHAnsi" w:cstheme="majorBidi"/>
      <w:color w:val="1F3864" w:themeColor="accent1" w:themeShade="80"/>
      <w:sz w:val="36"/>
      <w:szCs w:val="26"/>
    </w:rPr>
  </w:style>
  <w:style w:type="paragraph" w:styleId="Heading3">
    <w:name w:val="heading 3"/>
    <w:basedOn w:val="Normal"/>
    <w:next w:val="Normal"/>
    <w:link w:val="Heading3Char"/>
    <w:uiPriority w:val="9"/>
    <w:semiHidden/>
    <w:unhideWhenUsed/>
    <w:qFormat/>
    <w:rsid w:val="00A96435"/>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FB2C3C"/>
    <w:rPr>
      <w:rFonts w:eastAsiaTheme="minorEastAsia"/>
      <w:sz w:val="22"/>
      <w:szCs w:val="22"/>
      <w:lang w:val="en-US" w:eastAsia="zh-CN"/>
    </w:rPr>
  </w:style>
  <w:style w:type="character" w:customStyle="1" w:styleId="NoSpacingChar">
    <w:name w:val="No Spacing Char"/>
    <w:basedOn w:val="DefaultParagraphFont"/>
    <w:link w:val="NoSpacing"/>
    <w:uiPriority w:val="1"/>
    <w:rsid w:val="00FB2C3C"/>
    <w:rPr>
      <w:rFonts w:eastAsiaTheme="minorEastAsia"/>
      <w:sz w:val="22"/>
      <w:szCs w:val="22"/>
      <w:lang w:val="en-US" w:eastAsia="zh-CN"/>
    </w:rPr>
  </w:style>
  <w:style w:type="paragraph" w:customStyle="1" w:styleId="Subheading">
    <w:name w:val="Subheading"/>
    <w:basedOn w:val="Normal"/>
    <w:qFormat/>
    <w:rsid w:val="000F6456"/>
    <w:pPr>
      <w:tabs>
        <w:tab w:val="left" w:pos="7780"/>
      </w:tabs>
    </w:pPr>
    <w:rPr>
      <w:rFonts w:asciiTheme="majorHAnsi" w:hAnsiTheme="majorHAnsi" w:cs="Times New Roman (Body CS)"/>
      <w:color w:val="B7432A"/>
      <w:spacing w:val="20"/>
    </w:rPr>
  </w:style>
  <w:style w:type="character" w:customStyle="1" w:styleId="MajorHeading">
    <w:name w:val="Major Heading"/>
    <w:uiPriority w:val="1"/>
    <w:qFormat/>
    <w:rsid w:val="002C71F3"/>
    <w:rPr>
      <w:rFonts w:ascii="Oswald Medium" w:hAnsi="Oswald Medium"/>
      <w:color w:val="1F3864" w:themeColor="accent1" w:themeShade="80"/>
      <w:sz w:val="48"/>
      <w:szCs w:val="48"/>
    </w:rPr>
  </w:style>
  <w:style w:type="character" w:customStyle="1" w:styleId="Heading">
    <w:name w:val="Heading"/>
    <w:basedOn w:val="DefaultParagraphFont"/>
    <w:uiPriority w:val="1"/>
    <w:qFormat/>
    <w:rsid w:val="00FB2C3C"/>
    <w:rPr>
      <w:rFonts w:ascii="Oswald Light" w:hAnsi="Oswald Light" w:cs="Times New Roman (Body CS)"/>
      <w:color w:val="0E1428"/>
      <w:sz w:val="36"/>
      <w:szCs w:val="36"/>
    </w:rPr>
  </w:style>
  <w:style w:type="paragraph" w:styleId="Header">
    <w:name w:val="header"/>
    <w:basedOn w:val="Normal"/>
    <w:link w:val="HeaderChar"/>
    <w:uiPriority w:val="99"/>
    <w:unhideWhenUsed/>
    <w:rsid w:val="00FB2C3C"/>
    <w:pPr>
      <w:tabs>
        <w:tab w:val="center" w:pos="4680"/>
        <w:tab w:val="right" w:pos="9360"/>
      </w:tabs>
    </w:pPr>
  </w:style>
  <w:style w:type="character" w:customStyle="1" w:styleId="HeaderChar">
    <w:name w:val="Header Char"/>
    <w:basedOn w:val="DefaultParagraphFont"/>
    <w:link w:val="Header"/>
    <w:uiPriority w:val="99"/>
    <w:rsid w:val="00FB2C3C"/>
  </w:style>
  <w:style w:type="paragraph" w:styleId="Footer">
    <w:name w:val="footer"/>
    <w:basedOn w:val="Normal"/>
    <w:link w:val="FooterChar"/>
    <w:uiPriority w:val="99"/>
    <w:unhideWhenUsed/>
    <w:rsid w:val="00FB2C3C"/>
    <w:pPr>
      <w:tabs>
        <w:tab w:val="center" w:pos="4680"/>
        <w:tab w:val="right" w:pos="9360"/>
      </w:tabs>
    </w:pPr>
  </w:style>
  <w:style w:type="character" w:customStyle="1" w:styleId="FooterChar">
    <w:name w:val="Footer Char"/>
    <w:basedOn w:val="DefaultParagraphFont"/>
    <w:link w:val="Footer"/>
    <w:uiPriority w:val="99"/>
    <w:rsid w:val="00FB2C3C"/>
  </w:style>
  <w:style w:type="character" w:styleId="PageNumber">
    <w:name w:val="page number"/>
    <w:basedOn w:val="DefaultParagraphFont"/>
    <w:uiPriority w:val="99"/>
    <w:semiHidden/>
    <w:unhideWhenUsed/>
    <w:rsid w:val="00FB2C3C"/>
  </w:style>
  <w:style w:type="paragraph" w:customStyle="1" w:styleId="BasicParagraph">
    <w:name w:val="[Basic Paragraph]"/>
    <w:basedOn w:val="Normal"/>
    <w:uiPriority w:val="99"/>
    <w:rsid w:val="00FB2C3C"/>
    <w:rPr>
      <w:rFonts w:ascii="Minion Pro" w:hAnsi="Minion Pro" w:cs="Minion Pro"/>
      <w:color w:val="000000"/>
    </w:rPr>
  </w:style>
  <w:style w:type="paragraph" w:customStyle="1" w:styleId="Bodycopy">
    <w:name w:val="Body copy"/>
    <w:basedOn w:val="BasicParagraph"/>
    <w:qFormat/>
    <w:rsid w:val="00FB2C3C"/>
    <w:pPr>
      <w:tabs>
        <w:tab w:val="left" w:pos="454"/>
      </w:tabs>
    </w:pPr>
    <w:rPr>
      <w:rFonts w:ascii="Roboto Light" w:hAnsi="Roboto Light" w:cs="Roboto Light"/>
      <w:color w:val="0E1428"/>
      <w:sz w:val="18"/>
      <w:szCs w:val="18"/>
    </w:rPr>
  </w:style>
  <w:style w:type="character" w:styleId="Hyperlink">
    <w:name w:val="Hyperlink"/>
    <w:basedOn w:val="DefaultParagraphFont"/>
    <w:uiPriority w:val="99"/>
    <w:unhideWhenUsed/>
    <w:rsid w:val="00FB2C3C"/>
    <w:rPr>
      <w:color w:val="0563C1" w:themeColor="hyperlink"/>
      <w:u w:val="single"/>
    </w:rPr>
  </w:style>
  <w:style w:type="paragraph" w:customStyle="1" w:styleId="BodyCopy1">
    <w:name w:val="Body Copy 1"/>
    <w:basedOn w:val="Normal"/>
    <w:qFormat/>
    <w:rsid w:val="00FB2C3C"/>
    <w:rPr>
      <w:rFonts w:ascii="Roboto Light" w:hAnsi="Roboto Light" w:cs="Roboto Light"/>
    </w:rPr>
  </w:style>
  <w:style w:type="table" w:styleId="GridTable2-Accent2">
    <w:name w:val="Grid Table 2 Accent 2"/>
    <w:basedOn w:val="TableNormal"/>
    <w:uiPriority w:val="47"/>
    <w:rsid w:val="005B64B5"/>
    <w:tblPr>
      <w:tblStyleRowBandSize w:val="1"/>
      <w:tblStyleColBandSize w:val="1"/>
      <w:tblBorders>
        <w:top w:val="single" w:sz="2" w:space="0" w:color="F4B083" w:themeColor="accent2" w:themeTint="99"/>
        <w:bottom w:val="single" w:sz="2" w:space="0" w:color="F4B083" w:themeColor="accent2" w:themeTint="99"/>
        <w:insideH w:val="single" w:sz="2" w:space="0" w:color="F4B083" w:themeColor="accent2" w:themeTint="99"/>
        <w:insideV w:val="single" w:sz="2" w:space="0" w:color="F4B083" w:themeColor="accent2" w:themeTint="99"/>
      </w:tblBorders>
    </w:tblPr>
    <w:tblStylePr w:type="firstRow">
      <w:rPr>
        <w:b/>
        <w:bCs/>
      </w:rPr>
      <w:tblPr/>
      <w:tcPr>
        <w:tcBorders>
          <w:top w:val="nil"/>
          <w:bottom w:val="single" w:sz="12" w:space="0" w:color="F4B083" w:themeColor="accent2" w:themeTint="99"/>
          <w:insideH w:val="nil"/>
          <w:insideV w:val="nil"/>
        </w:tcBorders>
        <w:shd w:val="clear" w:color="auto" w:fill="FFFFFF" w:themeFill="background1"/>
      </w:tcPr>
    </w:tblStylePr>
    <w:tblStylePr w:type="lastRow">
      <w:rPr>
        <w:b/>
        <w:bCs/>
      </w:rPr>
      <w:tblPr/>
      <w:tcPr>
        <w:tcBorders>
          <w:top w:val="double" w:sz="2" w:space="0" w:color="F4B083"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GridTable1Light-Accent2">
    <w:name w:val="Grid Table 1 Light Accent 2"/>
    <w:basedOn w:val="TableNormal"/>
    <w:uiPriority w:val="46"/>
    <w:rsid w:val="005B64B5"/>
    <w:tblPr>
      <w:tblStyleRowBandSize w:val="1"/>
      <w:tblStyleColBandSize w:val="1"/>
      <w:tblBorders>
        <w:top w:val="single" w:sz="4" w:space="0" w:color="F7CAAC" w:themeColor="accent2" w:themeTint="66"/>
        <w:left w:val="single" w:sz="4" w:space="0" w:color="F7CAAC" w:themeColor="accent2" w:themeTint="66"/>
        <w:bottom w:val="single" w:sz="4" w:space="0" w:color="F7CAAC" w:themeColor="accent2" w:themeTint="66"/>
        <w:right w:val="single" w:sz="4" w:space="0" w:color="F7CAAC" w:themeColor="accent2" w:themeTint="66"/>
        <w:insideH w:val="single" w:sz="4" w:space="0" w:color="F7CAAC" w:themeColor="accent2" w:themeTint="66"/>
        <w:insideV w:val="single" w:sz="4" w:space="0" w:color="F7CAAC" w:themeColor="accent2" w:themeTint="66"/>
      </w:tblBorders>
    </w:tblPr>
    <w:tblStylePr w:type="firstRow">
      <w:rPr>
        <w:b/>
        <w:bCs/>
      </w:rPr>
      <w:tblPr/>
      <w:tcPr>
        <w:tcBorders>
          <w:bottom w:val="single" w:sz="12" w:space="0" w:color="F4B083" w:themeColor="accent2" w:themeTint="99"/>
        </w:tcBorders>
      </w:tcPr>
    </w:tblStylePr>
    <w:tblStylePr w:type="lastRow">
      <w:rPr>
        <w:b/>
        <w:bCs/>
      </w:rPr>
      <w:tblPr/>
      <w:tcPr>
        <w:tcBorders>
          <w:top w:val="double" w:sz="2" w:space="0" w:color="F4B083" w:themeColor="accent2" w:themeTint="99"/>
        </w:tcBorders>
      </w:tcPr>
    </w:tblStylePr>
    <w:tblStylePr w:type="firstCol">
      <w:rPr>
        <w:b/>
        <w:bCs/>
      </w:rPr>
    </w:tblStylePr>
    <w:tblStylePr w:type="lastCol">
      <w:rPr>
        <w:b/>
        <w:bCs/>
      </w:rPr>
    </w:tblStylePr>
  </w:style>
  <w:style w:type="character" w:customStyle="1" w:styleId="normaltextrun">
    <w:name w:val="normaltextrun"/>
    <w:basedOn w:val="DefaultParagraphFont"/>
    <w:rsid w:val="000A16DF"/>
  </w:style>
  <w:style w:type="paragraph" w:styleId="ListParagraph">
    <w:name w:val="List Paragraph"/>
    <w:aliases w:val="List,Bullet regular,List Paragraph1,Recommendation,List Paragraph11,List Paragraph2,Bulit List -  Paragraph,Colorful Shading - Accent 31,AusAID List Paragraph,Bullets,Bullet paras,Numbered Paragraph,Main numbered paragraph,References"/>
    <w:basedOn w:val="Normal"/>
    <w:link w:val="ListParagraphChar"/>
    <w:uiPriority w:val="1"/>
    <w:qFormat/>
    <w:rsid w:val="005C7C3C"/>
    <w:pPr>
      <w:numPr>
        <w:numId w:val="2"/>
      </w:numPr>
      <w:contextualSpacing/>
    </w:pPr>
  </w:style>
  <w:style w:type="paragraph" w:customStyle="1" w:styleId="paragraph">
    <w:name w:val="paragraph"/>
    <w:basedOn w:val="Normal"/>
    <w:rsid w:val="00DD3ABA"/>
    <w:pPr>
      <w:spacing w:before="100" w:beforeAutospacing="1" w:after="100" w:afterAutospacing="1"/>
    </w:pPr>
    <w:rPr>
      <w:rFonts w:ascii="Times New Roman" w:eastAsia="Times New Roman" w:hAnsi="Times New Roman" w:cs="Times New Roman"/>
      <w:lang w:eastAsia="en-AU"/>
    </w:rPr>
  </w:style>
  <w:style w:type="character" w:customStyle="1" w:styleId="tabchar">
    <w:name w:val="tabchar"/>
    <w:basedOn w:val="DefaultParagraphFont"/>
    <w:rsid w:val="00DD3ABA"/>
  </w:style>
  <w:style w:type="character" w:customStyle="1" w:styleId="eop">
    <w:name w:val="eop"/>
    <w:basedOn w:val="DefaultParagraphFont"/>
    <w:rsid w:val="00DD3ABA"/>
  </w:style>
  <w:style w:type="table" w:styleId="GridTable2-Accent1">
    <w:name w:val="Grid Table 2 Accent 1"/>
    <w:basedOn w:val="TableNormal"/>
    <w:uiPriority w:val="47"/>
    <w:rsid w:val="0042310E"/>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FootnoteText">
    <w:name w:val="footnote text"/>
    <w:basedOn w:val="Normal"/>
    <w:link w:val="FootnoteTextChar"/>
    <w:uiPriority w:val="99"/>
    <w:semiHidden/>
    <w:unhideWhenUsed/>
    <w:rsid w:val="00F64885"/>
    <w:rPr>
      <w:sz w:val="20"/>
      <w:szCs w:val="20"/>
    </w:rPr>
  </w:style>
  <w:style w:type="character" w:customStyle="1" w:styleId="FootnoteTextChar">
    <w:name w:val="Footnote Text Char"/>
    <w:basedOn w:val="DefaultParagraphFont"/>
    <w:link w:val="FootnoteText"/>
    <w:uiPriority w:val="99"/>
    <w:semiHidden/>
    <w:rsid w:val="00F64885"/>
    <w:rPr>
      <w:sz w:val="20"/>
      <w:szCs w:val="20"/>
    </w:rPr>
  </w:style>
  <w:style w:type="character" w:styleId="FootnoteReference">
    <w:name w:val="footnote reference"/>
    <w:basedOn w:val="DefaultParagraphFont"/>
    <w:uiPriority w:val="99"/>
    <w:semiHidden/>
    <w:unhideWhenUsed/>
    <w:rsid w:val="00F64885"/>
    <w:rPr>
      <w:vertAlign w:val="superscript"/>
    </w:rPr>
  </w:style>
  <w:style w:type="table" w:styleId="GridTable1Light">
    <w:name w:val="Grid Table 1 Light"/>
    <w:basedOn w:val="TableNormal"/>
    <w:uiPriority w:val="46"/>
    <w:rsid w:val="00F64885"/>
    <w:rPr>
      <w:sz w:val="22"/>
      <w:szCs w:val="22"/>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customStyle="1" w:styleId="CCSNormalText">
    <w:name w:val="CCS Normal Text"/>
    <w:basedOn w:val="Normal"/>
    <w:link w:val="CCSNormalTextChar"/>
    <w:qFormat/>
    <w:rsid w:val="008F6282"/>
    <w:pPr>
      <w:spacing w:before="60" w:after="120"/>
    </w:pPr>
    <w:rPr>
      <w:rFonts w:ascii="Arial" w:hAnsi="Arial" w:cs="Arial"/>
      <w:lang w:eastAsia="zh-CN" w:bidi="th-TH"/>
    </w:rPr>
  </w:style>
  <w:style w:type="character" w:customStyle="1" w:styleId="CCSNormalTextChar">
    <w:name w:val="CCS Normal Text Char"/>
    <w:basedOn w:val="DefaultParagraphFont"/>
    <w:link w:val="CCSNormalText"/>
    <w:locked/>
    <w:rsid w:val="008F6282"/>
    <w:rPr>
      <w:rFonts w:ascii="Arial" w:hAnsi="Arial" w:cs="Arial"/>
      <w:sz w:val="22"/>
      <w:szCs w:val="22"/>
      <w:lang w:eastAsia="zh-CN" w:bidi="th-TH"/>
    </w:rPr>
  </w:style>
  <w:style w:type="character" w:styleId="FollowedHyperlink">
    <w:name w:val="FollowedHyperlink"/>
    <w:basedOn w:val="DefaultParagraphFont"/>
    <w:uiPriority w:val="99"/>
    <w:semiHidden/>
    <w:unhideWhenUsed/>
    <w:rsid w:val="00E773EC"/>
    <w:rPr>
      <w:color w:val="954F72" w:themeColor="followedHyperlink"/>
      <w:u w:val="single"/>
    </w:rPr>
  </w:style>
  <w:style w:type="character" w:customStyle="1" w:styleId="ListParagraphChar">
    <w:name w:val="List Paragraph Char"/>
    <w:aliases w:val="List Char,Bullet regular Char,List Paragraph1 Char,Recommendation Char,List Paragraph11 Char,List Paragraph2 Char,Bulit List -  Paragraph Char,Colorful Shading - Accent 31 Char,AusAID List Paragraph Char,Bullets Char,References Char"/>
    <w:basedOn w:val="DefaultParagraphFont"/>
    <w:link w:val="ListParagraph"/>
    <w:uiPriority w:val="1"/>
    <w:qFormat/>
    <w:locked/>
    <w:rsid w:val="00E773EC"/>
    <w:rPr>
      <w:rFonts w:cstheme="majorHAnsi"/>
      <w:color w:val="00000F"/>
      <w:sz w:val="22"/>
      <w:szCs w:val="22"/>
      <w:lang w:val="en-US"/>
    </w:rPr>
  </w:style>
  <w:style w:type="table" w:styleId="GridTable1Light-Accent1">
    <w:name w:val="Grid Table 1 Light Accent 1"/>
    <w:basedOn w:val="TableNormal"/>
    <w:uiPriority w:val="46"/>
    <w:rsid w:val="00E773EC"/>
    <w:pPr>
      <w:spacing w:before="200"/>
    </w:pPr>
    <w:rPr>
      <w:rFonts w:eastAsiaTheme="minorEastAsia"/>
      <w:sz w:val="22"/>
      <w:szCs w:val="22"/>
    </w:r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character" w:customStyle="1" w:styleId="Heading1Char">
    <w:name w:val="Heading 1 Char"/>
    <w:basedOn w:val="DefaultParagraphFont"/>
    <w:link w:val="Heading1"/>
    <w:uiPriority w:val="9"/>
    <w:rsid w:val="00C27D98"/>
    <w:rPr>
      <w:rFonts w:eastAsiaTheme="majorEastAsia" w:cstheme="majorBidi"/>
      <w:color w:val="1F3864" w:themeColor="accent1" w:themeShade="80"/>
      <w:spacing w:val="20"/>
      <w:sz w:val="52"/>
      <w:szCs w:val="32"/>
      <w:lang w:val="en-US"/>
    </w:rPr>
  </w:style>
  <w:style w:type="character" w:customStyle="1" w:styleId="Heading2Char">
    <w:name w:val="Heading 2 Char"/>
    <w:basedOn w:val="DefaultParagraphFont"/>
    <w:link w:val="Heading2"/>
    <w:uiPriority w:val="9"/>
    <w:rsid w:val="00B27D9E"/>
    <w:rPr>
      <w:rFonts w:asciiTheme="majorHAnsi" w:eastAsiaTheme="majorEastAsia" w:hAnsiTheme="majorHAnsi" w:cstheme="majorBidi"/>
      <w:color w:val="1F3864" w:themeColor="accent1" w:themeShade="80"/>
      <w:sz w:val="36"/>
      <w:szCs w:val="26"/>
    </w:rPr>
  </w:style>
  <w:style w:type="paragraph" w:styleId="ListBullet">
    <w:name w:val="List Bullet"/>
    <w:basedOn w:val="CCSNormalText"/>
    <w:uiPriority w:val="99"/>
    <w:unhideWhenUsed/>
    <w:rsid w:val="005025BB"/>
    <w:pPr>
      <w:numPr>
        <w:numId w:val="1"/>
      </w:numPr>
    </w:pPr>
    <w:rPr>
      <w:rFonts w:asciiTheme="majorHAnsi" w:hAnsiTheme="majorHAnsi" w:cstheme="majorHAnsi"/>
      <w:lang w:eastAsia="en-US"/>
    </w:rPr>
  </w:style>
  <w:style w:type="table" w:styleId="TableGrid">
    <w:name w:val="Table Grid"/>
    <w:basedOn w:val="TableNormal"/>
    <w:uiPriority w:val="39"/>
    <w:rsid w:val="00F30405"/>
    <w:rPr>
      <w:kern w:val="2"/>
      <w:sz w:val="22"/>
      <w:szCs w:val="22"/>
      <w14:ligatures w14:val="standardContextual"/>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41B18"/>
    <w:rPr>
      <w:sz w:val="16"/>
      <w:szCs w:val="16"/>
    </w:rPr>
  </w:style>
  <w:style w:type="paragraph" w:styleId="CommentText">
    <w:name w:val="annotation text"/>
    <w:basedOn w:val="Normal"/>
    <w:link w:val="CommentTextChar"/>
    <w:uiPriority w:val="99"/>
    <w:unhideWhenUsed/>
    <w:rsid w:val="00741B18"/>
    <w:pPr>
      <w:spacing w:line="240" w:lineRule="auto"/>
      <w:jc w:val="left"/>
    </w:pPr>
    <w:rPr>
      <w:sz w:val="20"/>
      <w:szCs w:val="20"/>
    </w:rPr>
  </w:style>
  <w:style w:type="character" w:customStyle="1" w:styleId="CommentTextChar">
    <w:name w:val="Comment Text Char"/>
    <w:basedOn w:val="DefaultParagraphFont"/>
    <w:link w:val="CommentText"/>
    <w:uiPriority w:val="99"/>
    <w:rsid w:val="00741B18"/>
    <w:rPr>
      <w:rFonts w:cstheme="majorHAnsi"/>
      <w:color w:val="00000F"/>
      <w:sz w:val="20"/>
      <w:szCs w:val="20"/>
      <w:lang w:val="en-US"/>
    </w:rPr>
  </w:style>
  <w:style w:type="character" w:styleId="Mention">
    <w:name w:val="Mention"/>
    <w:basedOn w:val="DefaultParagraphFont"/>
    <w:uiPriority w:val="99"/>
    <w:unhideWhenUsed/>
    <w:rsid w:val="00741B18"/>
    <w:rPr>
      <w:color w:val="2B579A"/>
      <w:shd w:val="clear" w:color="auto" w:fill="E1DFDD"/>
    </w:rPr>
  </w:style>
  <w:style w:type="paragraph" w:customStyle="1" w:styleId="Default">
    <w:name w:val="Default"/>
    <w:rsid w:val="00E4398F"/>
    <w:pPr>
      <w:autoSpaceDE w:val="0"/>
      <w:autoSpaceDN w:val="0"/>
      <w:adjustRightInd w:val="0"/>
    </w:pPr>
    <w:rPr>
      <w:rFonts w:ascii="Calibri" w:hAnsi="Calibri" w:cs="Calibri"/>
      <w:color w:val="000000"/>
    </w:rPr>
  </w:style>
  <w:style w:type="paragraph" w:styleId="TOCHeading">
    <w:name w:val="TOC Heading"/>
    <w:basedOn w:val="Heading1"/>
    <w:next w:val="Normal"/>
    <w:uiPriority w:val="39"/>
    <w:unhideWhenUsed/>
    <w:qFormat/>
    <w:rsid w:val="00ED1DE3"/>
    <w:pPr>
      <w:suppressAutoHyphens w:val="0"/>
      <w:autoSpaceDE/>
      <w:autoSpaceDN/>
      <w:adjustRightInd/>
      <w:spacing w:line="259" w:lineRule="auto"/>
      <w:jc w:val="left"/>
      <w:textAlignment w:val="auto"/>
      <w:outlineLvl w:val="9"/>
    </w:pPr>
    <w:rPr>
      <w:rFonts w:asciiTheme="majorHAnsi" w:hAnsiTheme="majorHAnsi"/>
      <w:color w:val="2F5496" w:themeColor="accent1" w:themeShade="BF"/>
      <w:spacing w:val="0"/>
      <w:sz w:val="32"/>
      <w:lang w:val="en-AU" w:eastAsia="en-AU"/>
    </w:rPr>
  </w:style>
  <w:style w:type="paragraph" w:styleId="TOC1">
    <w:name w:val="toc 1"/>
    <w:basedOn w:val="Normal"/>
    <w:next w:val="Normal"/>
    <w:autoRedefine/>
    <w:uiPriority w:val="39"/>
    <w:unhideWhenUsed/>
    <w:rsid w:val="00ED1DE3"/>
    <w:pPr>
      <w:spacing w:after="100"/>
    </w:pPr>
  </w:style>
  <w:style w:type="paragraph" w:styleId="TOC2">
    <w:name w:val="toc 2"/>
    <w:basedOn w:val="Normal"/>
    <w:next w:val="Normal"/>
    <w:autoRedefine/>
    <w:uiPriority w:val="39"/>
    <w:unhideWhenUsed/>
    <w:rsid w:val="00ED1DE3"/>
    <w:pPr>
      <w:spacing w:after="100"/>
      <w:ind w:left="220"/>
    </w:pPr>
  </w:style>
  <w:style w:type="paragraph" w:styleId="TOC3">
    <w:name w:val="toc 3"/>
    <w:basedOn w:val="Normal"/>
    <w:next w:val="Normal"/>
    <w:autoRedefine/>
    <w:uiPriority w:val="39"/>
    <w:unhideWhenUsed/>
    <w:rsid w:val="00ED1DE3"/>
    <w:pPr>
      <w:suppressAutoHyphens w:val="0"/>
      <w:autoSpaceDE/>
      <w:autoSpaceDN/>
      <w:adjustRightInd/>
      <w:spacing w:after="100" w:line="278" w:lineRule="auto"/>
      <w:ind w:left="480"/>
      <w:jc w:val="left"/>
      <w:textAlignment w:val="auto"/>
    </w:pPr>
    <w:rPr>
      <w:rFonts w:eastAsiaTheme="minorEastAsia" w:cstheme="minorBidi"/>
      <w:color w:val="auto"/>
      <w:kern w:val="2"/>
      <w:sz w:val="24"/>
      <w:szCs w:val="24"/>
      <w:lang w:val="en-AU" w:eastAsia="en-AU"/>
      <w14:ligatures w14:val="standardContextual"/>
    </w:rPr>
  </w:style>
  <w:style w:type="paragraph" w:styleId="Subtitle">
    <w:name w:val="Subtitle"/>
    <w:basedOn w:val="Normal"/>
    <w:next w:val="Normal"/>
    <w:link w:val="SubtitleChar"/>
    <w:uiPriority w:val="11"/>
    <w:qFormat/>
    <w:rsid w:val="0039652F"/>
    <w:pPr>
      <w:numPr>
        <w:ilvl w:val="1"/>
      </w:numPr>
      <w:spacing w:after="160"/>
    </w:pPr>
    <w:rPr>
      <w:rFonts w:eastAsiaTheme="minorEastAsia" w:cstheme="minorBidi"/>
      <w:color w:val="5A5A5A" w:themeColor="text1" w:themeTint="A5"/>
      <w:spacing w:val="15"/>
    </w:rPr>
  </w:style>
  <w:style w:type="character" w:customStyle="1" w:styleId="SubtitleChar">
    <w:name w:val="Subtitle Char"/>
    <w:basedOn w:val="DefaultParagraphFont"/>
    <w:link w:val="Subtitle"/>
    <w:uiPriority w:val="11"/>
    <w:rsid w:val="0039652F"/>
    <w:rPr>
      <w:rFonts w:eastAsiaTheme="minorEastAsia"/>
      <w:color w:val="5A5A5A" w:themeColor="text1" w:themeTint="A5"/>
      <w:spacing w:val="15"/>
      <w:sz w:val="22"/>
      <w:szCs w:val="22"/>
      <w:lang w:val="en-US"/>
    </w:rPr>
  </w:style>
  <w:style w:type="paragraph" w:styleId="CommentSubject">
    <w:name w:val="annotation subject"/>
    <w:basedOn w:val="CommentText"/>
    <w:next w:val="CommentText"/>
    <w:link w:val="CommentSubjectChar"/>
    <w:uiPriority w:val="99"/>
    <w:semiHidden/>
    <w:unhideWhenUsed/>
    <w:rsid w:val="0005248B"/>
    <w:pPr>
      <w:jc w:val="both"/>
    </w:pPr>
    <w:rPr>
      <w:b/>
      <w:bCs/>
    </w:rPr>
  </w:style>
  <w:style w:type="character" w:customStyle="1" w:styleId="CommentSubjectChar">
    <w:name w:val="Comment Subject Char"/>
    <w:basedOn w:val="CommentTextChar"/>
    <w:link w:val="CommentSubject"/>
    <w:uiPriority w:val="99"/>
    <w:semiHidden/>
    <w:rsid w:val="0005248B"/>
    <w:rPr>
      <w:rFonts w:cstheme="majorHAnsi"/>
      <w:b/>
      <w:bCs/>
      <w:color w:val="00000F"/>
      <w:sz w:val="20"/>
      <w:szCs w:val="20"/>
      <w:lang w:val="en-US"/>
    </w:rPr>
  </w:style>
  <w:style w:type="paragraph" w:customStyle="1" w:styleId="xxmsolistparagraph">
    <w:name w:val="x_xmsolistparagraph"/>
    <w:basedOn w:val="Normal"/>
    <w:rsid w:val="000B77E8"/>
    <w:pPr>
      <w:suppressAutoHyphens w:val="0"/>
      <w:autoSpaceDE/>
      <w:autoSpaceDN/>
      <w:adjustRightInd/>
      <w:spacing w:line="240" w:lineRule="auto"/>
      <w:ind w:left="720"/>
      <w:jc w:val="left"/>
      <w:textAlignment w:val="auto"/>
    </w:pPr>
    <w:rPr>
      <w:rFonts w:ascii="Aptos" w:hAnsi="Aptos" w:cs="Aptos"/>
      <w:color w:val="auto"/>
    </w:rPr>
  </w:style>
  <w:style w:type="paragraph" w:styleId="Revision">
    <w:name w:val="Revision"/>
    <w:hidden/>
    <w:uiPriority w:val="99"/>
    <w:semiHidden/>
    <w:rsid w:val="005C31C6"/>
    <w:rPr>
      <w:rFonts w:cstheme="majorHAnsi"/>
      <w:color w:val="00000F"/>
      <w:sz w:val="22"/>
      <w:szCs w:val="22"/>
      <w:lang w:val="en-US"/>
    </w:rPr>
  </w:style>
  <w:style w:type="character" w:styleId="UnresolvedMention">
    <w:name w:val="Unresolved Mention"/>
    <w:basedOn w:val="DefaultParagraphFont"/>
    <w:uiPriority w:val="99"/>
    <w:semiHidden/>
    <w:unhideWhenUsed/>
    <w:rsid w:val="00514D9F"/>
    <w:rPr>
      <w:color w:val="605E5C"/>
      <w:shd w:val="clear" w:color="auto" w:fill="E1DFDD"/>
    </w:rPr>
  </w:style>
  <w:style w:type="character" w:styleId="SubtleEmphasis">
    <w:name w:val="Subtle Emphasis"/>
    <w:basedOn w:val="DefaultParagraphFont"/>
    <w:uiPriority w:val="19"/>
    <w:qFormat/>
    <w:rsid w:val="00D94014"/>
    <w:rPr>
      <w:i/>
      <w:iCs/>
      <w:color w:val="002060"/>
    </w:rPr>
  </w:style>
  <w:style w:type="paragraph" w:styleId="Caption">
    <w:name w:val="caption"/>
    <w:basedOn w:val="Normal"/>
    <w:next w:val="Normal"/>
    <w:uiPriority w:val="35"/>
    <w:unhideWhenUsed/>
    <w:qFormat/>
    <w:rsid w:val="00410493"/>
    <w:pPr>
      <w:spacing w:after="200" w:line="240" w:lineRule="auto"/>
    </w:pPr>
    <w:rPr>
      <w:i/>
      <w:iCs/>
      <w:color w:val="44546A" w:themeColor="text2"/>
      <w:sz w:val="18"/>
      <w:szCs w:val="18"/>
    </w:rPr>
  </w:style>
  <w:style w:type="paragraph" w:customStyle="1" w:styleId="Bullet">
    <w:name w:val="Bullet"/>
    <w:basedOn w:val="ListParagraph"/>
    <w:link w:val="BulletChar"/>
    <w:qFormat/>
    <w:rsid w:val="00FE04A3"/>
    <w:pPr>
      <w:numPr>
        <w:numId w:val="22"/>
      </w:numPr>
      <w:suppressAutoHyphens w:val="0"/>
      <w:autoSpaceDE/>
      <w:autoSpaceDN/>
      <w:adjustRightInd/>
      <w:spacing w:before="100" w:after="100" w:line="264" w:lineRule="auto"/>
      <w:contextualSpacing w:val="0"/>
      <w:jc w:val="left"/>
      <w:textAlignment w:val="auto"/>
    </w:pPr>
    <w:rPr>
      <w:rFonts w:asciiTheme="majorHAnsi" w:eastAsia="Arial" w:hAnsiTheme="majorHAnsi" w:cs="Times New Roman"/>
      <w:color w:val="auto"/>
      <w:spacing w:val="-2"/>
      <w:sz w:val="20"/>
      <w:szCs w:val="20"/>
    </w:rPr>
  </w:style>
  <w:style w:type="character" w:customStyle="1" w:styleId="BulletChar">
    <w:name w:val="Bullet Char"/>
    <w:basedOn w:val="DefaultParagraphFont"/>
    <w:link w:val="Bullet"/>
    <w:rsid w:val="00FE04A3"/>
    <w:rPr>
      <w:rFonts w:asciiTheme="majorHAnsi" w:eastAsia="Arial" w:hAnsiTheme="majorHAnsi" w:cs="Times New Roman"/>
      <w:spacing w:val="-2"/>
      <w:sz w:val="20"/>
      <w:szCs w:val="20"/>
      <w:lang w:val="en-US"/>
    </w:rPr>
  </w:style>
  <w:style w:type="paragraph" w:customStyle="1" w:styleId="TableParagraph">
    <w:name w:val="Table Paragraph"/>
    <w:basedOn w:val="Normal"/>
    <w:uiPriority w:val="1"/>
    <w:qFormat/>
    <w:rsid w:val="008C1D41"/>
    <w:pPr>
      <w:widowControl w:val="0"/>
      <w:suppressAutoHyphens w:val="0"/>
      <w:adjustRightInd/>
      <w:spacing w:line="240" w:lineRule="auto"/>
      <w:ind w:left="467"/>
      <w:jc w:val="left"/>
      <w:textAlignment w:val="auto"/>
    </w:pPr>
    <w:rPr>
      <w:rFonts w:ascii="Verdana" w:eastAsia="Verdana" w:hAnsi="Verdana" w:cs="Verdana"/>
      <w:color w:val="auto"/>
    </w:rPr>
  </w:style>
  <w:style w:type="paragraph" w:customStyle="1" w:styleId="pf0">
    <w:name w:val="pf0"/>
    <w:basedOn w:val="Normal"/>
    <w:rsid w:val="00274FFC"/>
    <w:pPr>
      <w:suppressAutoHyphens w:val="0"/>
      <w:autoSpaceDE/>
      <w:autoSpaceDN/>
      <w:adjustRightInd/>
      <w:spacing w:before="100" w:beforeAutospacing="1" w:after="100" w:afterAutospacing="1" w:line="240" w:lineRule="auto"/>
      <w:jc w:val="left"/>
      <w:textAlignment w:val="auto"/>
    </w:pPr>
    <w:rPr>
      <w:rFonts w:ascii="Times New Roman" w:eastAsia="Times New Roman" w:hAnsi="Times New Roman" w:cs="Times New Roman"/>
      <w:color w:val="auto"/>
      <w:sz w:val="24"/>
      <w:szCs w:val="24"/>
      <w:lang w:val="en-AU" w:eastAsia="en-AU"/>
    </w:rPr>
  </w:style>
  <w:style w:type="character" w:customStyle="1" w:styleId="cf01">
    <w:name w:val="cf01"/>
    <w:basedOn w:val="DefaultParagraphFont"/>
    <w:rsid w:val="00274FFC"/>
    <w:rPr>
      <w:rFonts w:ascii="Segoe UI" w:hAnsi="Segoe UI" w:cs="Segoe UI" w:hint="default"/>
      <w:sz w:val="18"/>
      <w:szCs w:val="18"/>
    </w:rPr>
  </w:style>
  <w:style w:type="character" w:customStyle="1" w:styleId="cf11">
    <w:name w:val="cf11"/>
    <w:basedOn w:val="DefaultParagraphFont"/>
    <w:rsid w:val="00274FFC"/>
    <w:rPr>
      <w:rFonts w:ascii="Segoe UI" w:hAnsi="Segoe UI" w:cs="Segoe UI" w:hint="default"/>
      <w:i/>
      <w:iCs/>
      <w:sz w:val="18"/>
      <w:szCs w:val="18"/>
    </w:rPr>
  </w:style>
  <w:style w:type="table" w:customStyle="1" w:styleId="GridTable4-Accent11">
    <w:name w:val="Grid Table 4 - Accent 11"/>
    <w:basedOn w:val="TableNormal"/>
    <w:next w:val="GridTable4-Accent1"/>
    <w:uiPriority w:val="49"/>
    <w:rsid w:val="00E43A6C"/>
    <w:rPr>
      <w:rFonts w:ascii="Aptos" w:eastAsia="Aptos" w:hAnsi="Aptos" w:cs="Times New Roman"/>
      <w:kern w:val="2"/>
      <w14:ligatures w14:val="standardContextual"/>
    </w:rPr>
    <w:tblPr>
      <w:tblStyleRowBandSize w:val="1"/>
      <w:tblStyleColBandSize w:val="1"/>
      <w:tblInd w:w="0" w:type="nil"/>
      <w:tblBorders>
        <w:top w:val="single" w:sz="4" w:space="0" w:color="45B0E1"/>
        <w:left w:val="single" w:sz="4" w:space="0" w:color="45B0E1"/>
        <w:bottom w:val="single" w:sz="4" w:space="0" w:color="45B0E1"/>
        <w:right w:val="single" w:sz="4" w:space="0" w:color="45B0E1"/>
        <w:insideH w:val="single" w:sz="4" w:space="0" w:color="45B0E1"/>
        <w:insideV w:val="single" w:sz="4" w:space="0" w:color="45B0E1"/>
      </w:tblBorders>
    </w:tblPr>
    <w:tblStylePr w:type="firstRow">
      <w:rPr>
        <w:b/>
        <w:bCs/>
        <w:color w:val="FFFFFF"/>
      </w:rPr>
      <w:tblPr/>
      <w:tcPr>
        <w:tcBorders>
          <w:top w:val="single" w:sz="4" w:space="0" w:color="156082"/>
          <w:left w:val="single" w:sz="4" w:space="0" w:color="156082"/>
          <w:bottom w:val="single" w:sz="4" w:space="0" w:color="156082"/>
          <w:right w:val="single" w:sz="4" w:space="0" w:color="156082"/>
          <w:insideH w:val="nil"/>
          <w:insideV w:val="nil"/>
        </w:tcBorders>
        <w:shd w:val="clear" w:color="auto" w:fill="156082"/>
      </w:tcPr>
    </w:tblStylePr>
    <w:tblStylePr w:type="lastRow">
      <w:rPr>
        <w:b/>
        <w:bCs/>
      </w:rPr>
      <w:tblPr/>
      <w:tcPr>
        <w:tcBorders>
          <w:top w:val="double" w:sz="4" w:space="0" w:color="156082"/>
        </w:tcBorders>
      </w:tcPr>
    </w:tblStylePr>
    <w:tblStylePr w:type="firstCol">
      <w:rPr>
        <w:b/>
        <w:bCs/>
      </w:rPr>
    </w:tblStylePr>
    <w:tblStylePr w:type="lastCol">
      <w:rPr>
        <w:b/>
        <w:bCs/>
      </w:rPr>
    </w:tblStylePr>
    <w:tblStylePr w:type="band1Vert">
      <w:tblPr/>
      <w:tcPr>
        <w:shd w:val="clear" w:color="auto" w:fill="C1E4F5"/>
      </w:tcPr>
    </w:tblStylePr>
    <w:tblStylePr w:type="band1Horz">
      <w:tblPr/>
      <w:tcPr>
        <w:shd w:val="clear" w:color="auto" w:fill="C1E4F5"/>
      </w:tcPr>
    </w:tblStylePr>
  </w:style>
  <w:style w:type="table" w:customStyle="1" w:styleId="ListTable4-Accent51">
    <w:name w:val="List Table 4 - Accent 51"/>
    <w:basedOn w:val="TableNormal"/>
    <w:next w:val="ListTable4-Accent5"/>
    <w:uiPriority w:val="49"/>
    <w:rsid w:val="00E43A6C"/>
    <w:rPr>
      <w:rFonts w:ascii="Aptos" w:eastAsia="Aptos" w:hAnsi="Aptos" w:cs="Times New Roman"/>
      <w:kern w:val="2"/>
      <w14:ligatures w14:val="standardContextual"/>
    </w:rPr>
    <w:tblPr>
      <w:tblStyleRowBandSize w:val="1"/>
      <w:tblStyleColBandSize w:val="1"/>
      <w:tblInd w:w="0" w:type="nil"/>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table" w:customStyle="1" w:styleId="TableGrid1">
    <w:name w:val="Table Grid1"/>
    <w:basedOn w:val="TableNormal"/>
    <w:uiPriority w:val="39"/>
    <w:rsid w:val="00E43A6C"/>
    <w:rPr>
      <w:rFonts w:ascii="Aptos" w:eastAsia="Aptos" w:hAnsi="Aptos" w:cs="Times New Roman"/>
      <w:kern w:val="2"/>
      <w:sz w:val="22"/>
      <w:szCs w:val="22"/>
      <w14:ligatures w14:val="standardContextual"/>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1">
    <w:name w:val="Grid Table 4 Accent 1"/>
    <w:basedOn w:val="TableNormal"/>
    <w:uiPriority w:val="49"/>
    <w:rsid w:val="00E43A6C"/>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ListTable4-Accent5">
    <w:name w:val="List Table 4 Accent 5"/>
    <w:basedOn w:val="TableNormal"/>
    <w:uiPriority w:val="49"/>
    <w:rsid w:val="00E43A6C"/>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tcBorders>
        <w:shd w:val="clear" w:color="auto" w:fill="5B9BD5" w:themeFill="accent5"/>
      </w:tcPr>
    </w:tblStylePr>
    <w:tblStylePr w:type="lastRow">
      <w:rPr>
        <w:b/>
        <w:bCs/>
      </w:rPr>
      <w:tblPr/>
      <w:tcPr>
        <w:tcBorders>
          <w:top w:val="double" w:sz="4" w:space="0" w:color="9CC2E5" w:themeColor="accent5" w:themeTint="99"/>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ListTable4-Accent52">
    <w:name w:val="List Table 4 - Accent 52"/>
    <w:basedOn w:val="TableNormal"/>
    <w:next w:val="ListTable4-Accent5"/>
    <w:uiPriority w:val="49"/>
    <w:rsid w:val="007A431F"/>
    <w:rPr>
      <w:kern w:val="2"/>
      <w14:ligatures w14:val="standardContextual"/>
    </w:rPr>
    <w:tblPr>
      <w:tblStyleRowBandSize w:val="1"/>
      <w:tblStyleColBandSize w:val="1"/>
      <w:tblBorders>
        <w:top w:val="single" w:sz="4" w:space="0" w:color="D86DCB"/>
        <w:left w:val="single" w:sz="4" w:space="0" w:color="D86DCB"/>
        <w:bottom w:val="single" w:sz="4" w:space="0" w:color="D86DCB"/>
        <w:right w:val="single" w:sz="4" w:space="0" w:color="D86DCB"/>
        <w:insideH w:val="single" w:sz="4" w:space="0" w:color="D86DCB"/>
      </w:tblBorders>
    </w:tblPr>
    <w:tblStylePr w:type="firstRow">
      <w:rPr>
        <w:b/>
        <w:bCs/>
        <w:color w:val="FFFFFF"/>
      </w:rPr>
      <w:tblPr/>
      <w:tcPr>
        <w:tcBorders>
          <w:top w:val="single" w:sz="4" w:space="0" w:color="A02B93"/>
          <w:left w:val="single" w:sz="4" w:space="0" w:color="A02B93"/>
          <w:bottom w:val="single" w:sz="4" w:space="0" w:color="A02B93"/>
          <w:right w:val="single" w:sz="4" w:space="0" w:color="A02B93"/>
          <w:insideH w:val="nil"/>
        </w:tcBorders>
        <w:shd w:val="clear" w:color="auto" w:fill="A02B93"/>
      </w:tcPr>
    </w:tblStylePr>
    <w:tblStylePr w:type="lastRow">
      <w:rPr>
        <w:b/>
        <w:bCs/>
      </w:rPr>
      <w:tblPr/>
      <w:tcPr>
        <w:tcBorders>
          <w:top w:val="double" w:sz="4" w:space="0" w:color="D86DCB"/>
        </w:tcBorders>
      </w:tcPr>
    </w:tblStylePr>
    <w:tblStylePr w:type="firstCol">
      <w:rPr>
        <w:b/>
        <w:bCs/>
      </w:rPr>
    </w:tblStylePr>
    <w:tblStylePr w:type="lastCol">
      <w:rPr>
        <w:b/>
        <w:bCs/>
      </w:rPr>
    </w:tblStylePr>
    <w:tblStylePr w:type="band1Vert">
      <w:tblPr/>
      <w:tcPr>
        <w:shd w:val="clear" w:color="auto" w:fill="F2CEED"/>
      </w:tcPr>
    </w:tblStylePr>
    <w:tblStylePr w:type="band1Horz">
      <w:tblPr/>
      <w:tcPr>
        <w:shd w:val="clear" w:color="auto" w:fill="F2CEED"/>
      </w:tcPr>
    </w:tblStylePr>
  </w:style>
  <w:style w:type="character" w:customStyle="1" w:styleId="Heading3Char">
    <w:name w:val="Heading 3 Char"/>
    <w:basedOn w:val="DefaultParagraphFont"/>
    <w:link w:val="Heading3"/>
    <w:uiPriority w:val="9"/>
    <w:semiHidden/>
    <w:rsid w:val="00A96435"/>
    <w:rPr>
      <w:rFonts w:asciiTheme="majorHAnsi" w:eastAsiaTheme="majorEastAsia" w:hAnsiTheme="majorHAnsi" w:cstheme="majorBidi"/>
      <w:color w:val="1F3763" w:themeColor="accent1" w:themeShade="7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275687">
      <w:bodyDiv w:val="1"/>
      <w:marLeft w:val="0"/>
      <w:marRight w:val="0"/>
      <w:marTop w:val="0"/>
      <w:marBottom w:val="0"/>
      <w:divBdr>
        <w:top w:val="none" w:sz="0" w:space="0" w:color="auto"/>
        <w:left w:val="none" w:sz="0" w:space="0" w:color="auto"/>
        <w:bottom w:val="none" w:sz="0" w:space="0" w:color="auto"/>
        <w:right w:val="none" w:sz="0" w:space="0" w:color="auto"/>
      </w:divBdr>
    </w:div>
    <w:div w:id="106047755">
      <w:bodyDiv w:val="1"/>
      <w:marLeft w:val="0"/>
      <w:marRight w:val="0"/>
      <w:marTop w:val="0"/>
      <w:marBottom w:val="0"/>
      <w:divBdr>
        <w:top w:val="none" w:sz="0" w:space="0" w:color="auto"/>
        <w:left w:val="none" w:sz="0" w:space="0" w:color="auto"/>
        <w:bottom w:val="none" w:sz="0" w:space="0" w:color="auto"/>
        <w:right w:val="none" w:sz="0" w:space="0" w:color="auto"/>
      </w:divBdr>
    </w:div>
    <w:div w:id="133986594">
      <w:bodyDiv w:val="1"/>
      <w:marLeft w:val="0"/>
      <w:marRight w:val="0"/>
      <w:marTop w:val="0"/>
      <w:marBottom w:val="0"/>
      <w:divBdr>
        <w:top w:val="none" w:sz="0" w:space="0" w:color="auto"/>
        <w:left w:val="none" w:sz="0" w:space="0" w:color="auto"/>
        <w:bottom w:val="none" w:sz="0" w:space="0" w:color="auto"/>
        <w:right w:val="none" w:sz="0" w:space="0" w:color="auto"/>
      </w:divBdr>
      <w:divsChild>
        <w:div w:id="953749775">
          <w:marLeft w:val="0"/>
          <w:marRight w:val="0"/>
          <w:marTop w:val="0"/>
          <w:marBottom w:val="0"/>
          <w:divBdr>
            <w:top w:val="none" w:sz="0" w:space="0" w:color="auto"/>
            <w:left w:val="none" w:sz="0" w:space="0" w:color="auto"/>
            <w:bottom w:val="none" w:sz="0" w:space="0" w:color="auto"/>
            <w:right w:val="none" w:sz="0" w:space="0" w:color="auto"/>
          </w:divBdr>
        </w:div>
        <w:div w:id="1757357859">
          <w:marLeft w:val="0"/>
          <w:marRight w:val="0"/>
          <w:marTop w:val="0"/>
          <w:marBottom w:val="0"/>
          <w:divBdr>
            <w:top w:val="none" w:sz="0" w:space="0" w:color="auto"/>
            <w:left w:val="none" w:sz="0" w:space="0" w:color="auto"/>
            <w:bottom w:val="none" w:sz="0" w:space="0" w:color="auto"/>
            <w:right w:val="none" w:sz="0" w:space="0" w:color="auto"/>
          </w:divBdr>
        </w:div>
        <w:div w:id="1807703307">
          <w:marLeft w:val="0"/>
          <w:marRight w:val="0"/>
          <w:marTop w:val="0"/>
          <w:marBottom w:val="0"/>
          <w:divBdr>
            <w:top w:val="none" w:sz="0" w:space="0" w:color="auto"/>
            <w:left w:val="none" w:sz="0" w:space="0" w:color="auto"/>
            <w:bottom w:val="none" w:sz="0" w:space="0" w:color="auto"/>
            <w:right w:val="none" w:sz="0" w:space="0" w:color="auto"/>
          </w:divBdr>
        </w:div>
      </w:divsChild>
    </w:div>
    <w:div w:id="178933920">
      <w:bodyDiv w:val="1"/>
      <w:marLeft w:val="0"/>
      <w:marRight w:val="0"/>
      <w:marTop w:val="0"/>
      <w:marBottom w:val="0"/>
      <w:divBdr>
        <w:top w:val="none" w:sz="0" w:space="0" w:color="auto"/>
        <w:left w:val="none" w:sz="0" w:space="0" w:color="auto"/>
        <w:bottom w:val="none" w:sz="0" w:space="0" w:color="auto"/>
        <w:right w:val="none" w:sz="0" w:space="0" w:color="auto"/>
      </w:divBdr>
    </w:div>
    <w:div w:id="238752626">
      <w:bodyDiv w:val="1"/>
      <w:marLeft w:val="0"/>
      <w:marRight w:val="0"/>
      <w:marTop w:val="0"/>
      <w:marBottom w:val="0"/>
      <w:divBdr>
        <w:top w:val="none" w:sz="0" w:space="0" w:color="auto"/>
        <w:left w:val="none" w:sz="0" w:space="0" w:color="auto"/>
        <w:bottom w:val="none" w:sz="0" w:space="0" w:color="auto"/>
        <w:right w:val="none" w:sz="0" w:space="0" w:color="auto"/>
      </w:divBdr>
    </w:div>
    <w:div w:id="383482423">
      <w:bodyDiv w:val="1"/>
      <w:marLeft w:val="0"/>
      <w:marRight w:val="0"/>
      <w:marTop w:val="0"/>
      <w:marBottom w:val="0"/>
      <w:divBdr>
        <w:top w:val="none" w:sz="0" w:space="0" w:color="auto"/>
        <w:left w:val="none" w:sz="0" w:space="0" w:color="auto"/>
        <w:bottom w:val="none" w:sz="0" w:space="0" w:color="auto"/>
        <w:right w:val="none" w:sz="0" w:space="0" w:color="auto"/>
      </w:divBdr>
    </w:div>
    <w:div w:id="391082798">
      <w:bodyDiv w:val="1"/>
      <w:marLeft w:val="0"/>
      <w:marRight w:val="0"/>
      <w:marTop w:val="0"/>
      <w:marBottom w:val="0"/>
      <w:divBdr>
        <w:top w:val="none" w:sz="0" w:space="0" w:color="auto"/>
        <w:left w:val="none" w:sz="0" w:space="0" w:color="auto"/>
        <w:bottom w:val="none" w:sz="0" w:space="0" w:color="auto"/>
        <w:right w:val="none" w:sz="0" w:space="0" w:color="auto"/>
      </w:divBdr>
    </w:div>
    <w:div w:id="401759708">
      <w:bodyDiv w:val="1"/>
      <w:marLeft w:val="0"/>
      <w:marRight w:val="0"/>
      <w:marTop w:val="0"/>
      <w:marBottom w:val="0"/>
      <w:divBdr>
        <w:top w:val="none" w:sz="0" w:space="0" w:color="auto"/>
        <w:left w:val="none" w:sz="0" w:space="0" w:color="auto"/>
        <w:bottom w:val="none" w:sz="0" w:space="0" w:color="auto"/>
        <w:right w:val="none" w:sz="0" w:space="0" w:color="auto"/>
      </w:divBdr>
    </w:div>
    <w:div w:id="593322908">
      <w:bodyDiv w:val="1"/>
      <w:marLeft w:val="0"/>
      <w:marRight w:val="0"/>
      <w:marTop w:val="0"/>
      <w:marBottom w:val="0"/>
      <w:divBdr>
        <w:top w:val="none" w:sz="0" w:space="0" w:color="auto"/>
        <w:left w:val="none" w:sz="0" w:space="0" w:color="auto"/>
        <w:bottom w:val="none" w:sz="0" w:space="0" w:color="auto"/>
        <w:right w:val="none" w:sz="0" w:space="0" w:color="auto"/>
      </w:divBdr>
    </w:div>
    <w:div w:id="608239687">
      <w:bodyDiv w:val="1"/>
      <w:marLeft w:val="0"/>
      <w:marRight w:val="0"/>
      <w:marTop w:val="0"/>
      <w:marBottom w:val="0"/>
      <w:divBdr>
        <w:top w:val="none" w:sz="0" w:space="0" w:color="auto"/>
        <w:left w:val="none" w:sz="0" w:space="0" w:color="auto"/>
        <w:bottom w:val="none" w:sz="0" w:space="0" w:color="auto"/>
        <w:right w:val="none" w:sz="0" w:space="0" w:color="auto"/>
      </w:divBdr>
    </w:div>
    <w:div w:id="643661279">
      <w:bodyDiv w:val="1"/>
      <w:marLeft w:val="0"/>
      <w:marRight w:val="0"/>
      <w:marTop w:val="0"/>
      <w:marBottom w:val="0"/>
      <w:divBdr>
        <w:top w:val="none" w:sz="0" w:space="0" w:color="auto"/>
        <w:left w:val="none" w:sz="0" w:space="0" w:color="auto"/>
        <w:bottom w:val="none" w:sz="0" w:space="0" w:color="auto"/>
        <w:right w:val="none" w:sz="0" w:space="0" w:color="auto"/>
      </w:divBdr>
    </w:div>
    <w:div w:id="731847860">
      <w:bodyDiv w:val="1"/>
      <w:marLeft w:val="0"/>
      <w:marRight w:val="0"/>
      <w:marTop w:val="0"/>
      <w:marBottom w:val="0"/>
      <w:divBdr>
        <w:top w:val="none" w:sz="0" w:space="0" w:color="auto"/>
        <w:left w:val="none" w:sz="0" w:space="0" w:color="auto"/>
        <w:bottom w:val="none" w:sz="0" w:space="0" w:color="auto"/>
        <w:right w:val="none" w:sz="0" w:space="0" w:color="auto"/>
      </w:divBdr>
    </w:div>
    <w:div w:id="815294066">
      <w:bodyDiv w:val="1"/>
      <w:marLeft w:val="0"/>
      <w:marRight w:val="0"/>
      <w:marTop w:val="0"/>
      <w:marBottom w:val="0"/>
      <w:divBdr>
        <w:top w:val="none" w:sz="0" w:space="0" w:color="auto"/>
        <w:left w:val="none" w:sz="0" w:space="0" w:color="auto"/>
        <w:bottom w:val="none" w:sz="0" w:space="0" w:color="auto"/>
        <w:right w:val="none" w:sz="0" w:space="0" w:color="auto"/>
      </w:divBdr>
    </w:div>
    <w:div w:id="939340832">
      <w:bodyDiv w:val="1"/>
      <w:marLeft w:val="0"/>
      <w:marRight w:val="0"/>
      <w:marTop w:val="0"/>
      <w:marBottom w:val="0"/>
      <w:divBdr>
        <w:top w:val="none" w:sz="0" w:space="0" w:color="auto"/>
        <w:left w:val="none" w:sz="0" w:space="0" w:color="auto"/>
        <w:bottom w:val="none" w:sz="0" w:space="0" w:color="auto"/>
        <w:right w:val="none" w:sz="0" w:space="0" w:color="auto"/>
      </w:divBdr>
      <w:divsChild>
        <w:div w:id="1573663656">
          <w:marLeft w:val="0"/>
          <w:marRight w:val="0"/>
          <w:marTop w:val="0"/>
          <w:marBottom w:val="0"/>
          <w:divBdr>
            <w:top w:val="none" w:sz="0" w:space="0" w:color="auto"/>
            <w:left w:val="none" w:sz="0" w:space="0" w:color="auto"/>
            <w:bottom w:val="none" w:sz="0" w:space="0" w:color="auto"/>
            <w:right w:val="none" w:sz="0" w:space="0" w:color="auto"/>
          </w:divBdr>
        </w:div>
        <w:div w:id="1152527135">
          <w:marLeft w:val="0"/>
          <w:marRight w:val="0"/>
          <w:marTop w:val="0"/>
          <w:marBottom w:val="0"/>
          <w:divBdr>
            <w:top w:val="none" w:sz="0" w:space="0" w:color="auto"/>
            <w:left w:val="none" w:sz="0" w:space="0" w:color="auto"/>
            <w:bottom w:val="none" w:sz="0" w:space="0" w:color="auto"/>
            <w:right w:val="none" w:sz="0" w:space="0" w:color="auto"/>
          </w:divBdr>
        </w:div>
        <w:div w:id="1616133432">
          <w:marLeft w:val="0"/>
          <w:marRight w:val="0"/>
          <w:marTop w:val="0"/>
          <w:marBottom w:val="0"/>
          <w:divBdr>
            <w:top w:val="none" w:sz="0" w:space="0" w:color="auto"/>
            <w:left w:val="none" w:sz="0" w:space="0" w:color="auto"/>
            <w:bottom w:val="none" w:sz="0" w:space="0" w:color="auto"/>
            <w:right w:val="none" w:sz="0" w:space="0" w:color="auto"/>
          </w:divBdr>
        </w:div>
        <w:div w:id="526529741">
          <w:marLeft w:val="0"/>
          <w:marRight w:val="0"/>
          <w:marTop w:val="0"/>
          <w:marBottom w:val="0"/>
          <w:divBdr>
            <w:top w:val="none" w:sz="0" w:space="0" w:color="auto"/>
            <w:left w:val="none" w:sz="0" w:space="0" w:color="auto"/>
            <w:bottom w:val="none" w:sz="0" w:space="0" w:color="auto"/>
            <w:right w:val="none" w:sz="0" w:space="0" w:color="auto"/>
          </w:divBdr>
        </w:div>
        <w:div w:id="1155295004">
          <w:marLeft w:val="0"/>
          <w:marRight w:val="0"/>
          <w:marTop w:val="0"/>
          <w:marBottom w:val="0"/>
          <w:divBdr>
            <w:top w:val="none" w:sz="0" w:space="0" w:color="auto"/>
            <w:left w:val="none" w:sz="0" w:space="0" w:color="auto"/>
            <w:bottom w:val="none" w:sz="0" w:space="0" w:color="auto"/>
            <w:right w:val="none" w:sz="0" w:space="0" w:color="auto"/>
          </w:divBdr>
        </w:div>
      </w:divsChild>
    </w:div>
    <w:div w:id="1047486377">
      <w:bodyDiv w:val="1"/>
      <w:marLeft w:val="0"/>
      <w:marRight w:val="0"/>
      <w:marTop w:val="0"/>
      <w:marBottom w:val="0"/>
      <w:divBdr>
        <w:top w:val="none" w:sz="0" w:space="0" w:color="auto"/>
        <w:left w:val="none" w:sz="0" w:space="0" w:color="auto"/>
        <w:bottom w:val="none" w:sz="0" w:space="0" w:color="auto"/>
        <w:right w:val="none" w:sz="0" w:space="0" w:color="auto"/>
      </w:divBdr>
    </w:div>
    <w:div w:id="1275863405">
      <w:bodyDiv w:val="1"/>
      <w:marLeft w:val="0"/>
      <w:marRight w:val="0"/>
      <w:marTop w:val="0"/>
      <w:marBottom w:val="0"/>
      <w:divBdr>
        <w:top w:val="none" w:sz="0" w:space="0" w:color="auto"/>
        <w:left w:val="none" w:sz="0" w:space="0" w:color="auto"/>
        <w:bottom w:val="none" w:sz="0" w:space="0" w:color="auto"/>
        <w:right w:val="none" w:sz="0" w:space="0" w:color="auto"/>
      </w:divBdr>
    </w:div>
    <w:div w:id="1506165440">
      <w:bodyDiv w:val="1"/>
      <w:marLeft w:val="0"/>
      <w:marRight w:val="0"/>
      <w:marTop w:val="0"/>
      <w:marBottom w:val="0"/>
      <w:divBdr>
        <w:top w:val="none" w:sz="0" w:space="0" w:color="auto"/>
        <w:left w:val="none" w:sz="0" w:space="0" w:color="auto"/>
        <w:bottom w:val="none" w:sz="0" w:space="0" w:color="auto"/>
        <w:right w:val="none" w:sz="0" w:space="0" w:color="auto"/>
      </w:divBdr>
    </w:div>
    <w:div w:id="1600480801">
      <w:bodyDiv w:val="1"/>
      <w:marLeft w:val="0"/>
      <w:marRight w:val="0"/>
      <w:marTop w:val="0"/>
      <w:marBottom w:val="0"/>
      <w:divBdr>
        <w:top w:val="none" w:sz="0" w:space="0" w:color="auto"/>
        <w:left w:val="none" w:sz="0" w:space="0" w:color="auto"/>
        <w:bottom w:val="none" w:sz="0" w:space="0" w:color="auto"/>
        <w:right w:val="none" w:sz="0" w:space="0" w:color="auto"/>
      </w:divBdr>
      <w:divsChild>
        <w:div w:id="790053420">
          <w:marLeft w:val="0"/>
          <w:marRight w:val="0"/>
          <w:marTop w:val="0"/>
          <w:marBottom w:val="0"/>
          <w:divBdr>
            <w:top w:val="none" w:sz="0" w:space="0" w:color="auto"/>
            <w:left w:val="none" w:sz="0" w:space="0" w:color="auto"/>
            <w:bottom w:val="none" w:sz="0" w:space="0" w:color="auto"/>
            <w:right w:val="none" w:sz="0" w:space="0" w:color="auto"/>
          </w:divBdr>
        </w:div>
        <w:div w:id="768357425">
          <w:marLeft w:val="0"/>
          <w:marRight w:val="0"/>
          <w:marTop w:val="0"/>
          <w:marBottom w:val="0"/>
          <w:divBdr>
            <w:top w:val="none" w:sz="0" w:space="0" w:color="auto"/>
            <w:left w:val="none" w:sz="0" w:space="0" w:color="auto"/>
            <w:bottom w:val="none" w:sz="0" w:space="0" w:color="auto"/>
            <w:right w:val="none" w:sz="0" w:space="0" w:color="auto"/>
          </w:divBdr>
        </w:div>
      </w:divsChild>
    </w:div>
    <w:div w:id="1629507945">
      <w:bodyDiv w:val="1"/>
      <w:marLeft w:val="0"/>
      <w:marRight w:val="0"/>
      <w:marTop w:val="0"/>
      <w:marBottom w:val="0"/>
      <w:divBdr>
        <w:top w:val="none" w:sz="0" w:space="0" w:color="auto"/>
        <w:left w:val="none" w:sz="0" w:space="0" w:color="auto"/>
        <w:bottom w:val="none" w:sz="0" w:space="0" w:color="auto"/>
        <w:right w:val="none" w:sz="0" w:space="0" w:color="auto"/>
      </w:divBdr>
    </w:div>
    <w:div w:id="1655645482">
      <w:bodyDiv w:val="1"/>
      <w:marLeft w:val="0"/>
      <w:marRight w:val="0"/>
      <w:marTop w:val="0"/>
      <w:marBottom w:val="0"/>
      <w:divBdr>
        <w:top w:val="none" w:sz="0" w:space="0" w:color="auto"/>
        <w:left w:val="none" w:sz="0" w:space="0" w:color="auto"/>
        <w:bottom w:val="none" w:sz="0" w:space="0" w:color="auto"/>
        <w:right w:val="none" w:sz="0" w:space="0" w:color="auto"/>
      </w:divBdr>
    </w:div>
    <w:div w:id="1789733750">
      <w:bodyDiv w:val="1"/>
      <w:marLeft w:val="0"/>
      <w:marRight w:val="0"/>
      <w:marTop w:val="0"/>
      <w:marBottom w:val="0"/>
      <w:divBdr>
        <w:top w:val="none" w:sz="0" w:space="0" w:color="auto"/>
        <w:left w:val="none" w:sz="0" w:space="0" w:color="auto"/>
        <w:bottom w:val="none" w:sz="0" w:space="0" w:color="auto"/>
        <w:right w:val="none" w:sz="0" w:space="0" w:color="auto"/>
      </w:divBdr>
    </w:div>
    <w:div w:id="1800220983">
      <w:bodyDiv w:val="1"/>
      <w:marLeft w:val="0"/>
      <w:marRight w:val="0"/>
      <w:marTop w:val="0"/>
      <w:marBottom w:val="0"/>
      <w:divBdr>
        <w:top w:val="none" w:sz="0" w:space="0" w:color="auto"/>
        <w:left w:val="none" w:sz="0" w:space="0" w:color="auto"/>
        <w:bottom w:val="none" w:sz="0" w:space="0" w:color="auto"/>
        <w:right w:val="none" w:sz="0" w:space="0" w:color="auto"/>
      </w:divBdr>
    </w:div>
    <w:div w:id="1966423387">
      <w:bodyDiv w:val="1"/>
      <w:marLeft w:val="0"/>
      <w:marRight w:val="0"/>
      <w:marTop w:val="0"/>
      <w:marBottom w:val="0"/>
      <w:divBdr>
        <w:top w:val="none" w:sz="0" w:space="0" w:color="auto"/>
        <w:left w:val="none" w:sz="0" w:space="0" w:color="auto"/>
        <w:bottom w:val="none" w:sz="0" w:space="0" w:color="auto"/>
        <w:right w:val="none" w:sz="0" w:space="0" w:color="auto"/>
      </w:divBdr>
    </w:div>
    <w:div w:id="1986353749">
      <w:bodyDiv w:val="1"/>
      <w:marLeft w:val="0"/>
      <w:marRight w:val="0"/>
      <w:marTop w:val="0"/>
      <w:marBottom w:val="0"/>
      <w:divBdr>
        <w:top w:val="none" w:sz="0" w:space="0" w:color="auto"/>
        <w:left w:val="none" w:sz="0" w:space="0" w:color="auto"/>
        <w:bottom w:val="none" w:sz="0" w:space="0" w:color="auto"/>
        <w:right w:val="none" w:sz="0" w:space="0" w:color="auto"/>
      </w:divBdr>
    </w:div>
    <w:div w:id="2065173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file:///C:/Users/rober/AppData/Local/Microsoft/Windows/INetCache/Content.Outlook/V8ZH6XME/TAPQE%20Mid-Term%20Review_Evaluation%20Plan_v1.1_(230125)%20(003).docx" TargetMode="External"/><Relationship Id="rId3" Type="http://schemas.openxmlformats.org/officeDocument/2006/relationships/settings" Target="settings.xml"/><Relationship Id="rId21" Type="http://schemas.openxmlformats.org/officeDocument/2006/relationships/hyperlink" Target="file:///C:/Users/rober/AppData/Local/Microsoft/Windows/INetCache/Content.Outlook/V8ZH6XME/TAPQE%20Mid-Term%20Review_Evaluation%20Plan_v1.1_(230125)%20(003).docx" TargetMode="External"/><Relationship Id="rId7" Type="http://schemas.openxmlformats.org/officeDocument/2006/relationships/image" Target="media/image2.emf"/><Relationship Id="rId12" Type="http://schemas.openxmlformats.org/officeDocument/2006/relationships/hyperlink" Target="https://www.dfat.gov.au/publications/development/dfat-guidance-note-locally-led-development" TargetMode="External"/><Relationship Id="rId17" Type="http://schemas.openxmlformats.org/officeDocument/2006/relationships/hyperlink" Target="file:///C:/Users/rober/AppData/Local/Microsoft/Windows/INetCache/Content.Outlook/V8ZH6XME/TAPQE%20Mid-Term%20Review_Evaluation%20Plan_v1.1_(230125)%20(003).docx" TargetMode="External"/><Relationship Id="rId2" Type="http://schemas.openxmlformats.org/officeDocument/2006/relationships/styles" Target="styles.xml"/><Relationship Id="rId16" Type="http://schemas.openxmlformats.org/officeDocument/2006/relationships/hyperlink" Target="file:///C:/Users/rober/AppData/Local/Microsoft/Windows/INetCache/Content.Outlook/V8ZH6XME/TAPQE%20Mid-Term%20Review_Evaluation%20Plan_v1.1_(230125)%20(003).docx" TargetMode="External"/><Relationship Id="rId20" Type="http://schemas.openxmlformats.org/officeDocument/2006/relationships/hyperlink" Target="file:///C:/Users/rober/AppData/Local/Microsoft/Windows/INetCache/Content.Outlook/V8ZH6XME/TAPQE%20Mid-Term%20Review_Evaluation%20Plan_v1.1_(230125)%20(003).docx"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file:///C:/Users/rober/AppData/Local/Microsoft/Windows/INetCache/Content.Outlook/V8ZH6XME/TAPQE%20Mid-Term%20Review_Evaluation%20Plan_v1.1_(230125)%20(003).docx" TargetMode="External"/><Relationship Id="rId23" Type="http://schemas.openxmlformats.org/officeDocument/2006/relationships/fontTable" Target="fontTable.xml"/><Relationship Id="rId10" Type="http://schemas.openxmlformats.org/officeDocument/2006/relationships/footer" Target="footer2.xml"/><Relationship Id="rId19" Type="http://schemas.openxmlformats.org/officeDocument/2006/relationships/hyperlink" Target="file:///C:/Users/rober/AppData/Local/Microsoft/Windows/INetCache/Content.Outlook/V8ZH6XME/TAPQE%20Mid-Term%20Review_Evaluation%20Plan_v1.1_(230125)%20(003).docx" TargetMode="Externa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hyperlink" Target="file:///C:/Users/rober/AppData/Local/Microsoft/Windows/INetCache/Content.Outlook/V8ZH6XME/TAPQE%20Mid-Term%20Review_Evaluation%20Plan_v1.1_(230125)%20(003).docx" TargetMode="External"/><Relationship Id="rId22" Type="http://schemas.openxmlformats.org/officeDocument/2006/relationships/hyperlink" Target="file:///C:/Users/rober/AppData/Local/Microsoft/Windows/INetCache/Content.Outlook/V8ZH6XME/TAPQE%20Mid-Term%20Review_Evaluation%20Plan_v1.1_(230125)%20(003).docx"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australiaawardsfijiandtuvalu.org/wp-content/uploads/2021/01/Te-Kete-2021-2030-National-Development-Strategy.pdf" TargetMode="External"/><Relationship Id="rId1" Type="http://schemas.openxmlformats.org/officeDocument/2006/relationships/hyperlink" Target="https://australiaawardsfijiandtuvalu.org/wp-content/uploads/2021/01/Te-Kete-2021-2030-National-Development-Strategy.pdf"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72</Pages>
  <Words>26832</Words>
  <Characters>151934</Characters>
  <Application>Microsoft Office Word</Application>
  <DocSecurity>4</DocSecurity>
  <Lines>3107</Lines>
  <Paragraphs>1357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178226</CharactersWithSpaces>
  <SharedDoc>false</SharedDoc>
  <HLinks>
    <vt:vector size="78" baseType="variant">
      <vt:variant>
        <vt:i4>1376315</vt:i4>
      </vt:variant>
      <vt:variant>
        <vt:i4>74</vt:i4>
      </vt:variant>
      <vt:variant>
        <vt:i4>0</vt:i4>
      </vt:variant>
      <vt:variant>
        <vt:i4>5</vt:i4>
      </vt:variant>
      <vt:variant>
        <vt:lpwstr/>
      </vt:variant>
      <vt:variant>
        <vt:lpwstr>_Toc520292705</vt:lpwstr>
      </vt:variant>
      <vt:variant>
        <vt:i4>1376315</vt:i4>
      </vt:variant>
      <vt:variant>
        <vt:i4>68</vt:i4>
      </vt:variant>
      <vt:variant>
        <vt:i4>0</vt:i4>
      </vt:variant>
      <vt:variant>
        <vt:i4>5</vt:i4>
      </vt:variant>
      <vt:variant>
        <vt:lpwstr/>
      </vt:variant>
      <vt:variant>
        <vt:lpwstr>_Toc520292704</vt:lpwstr>
      </vt:variant>
      <vt:variant>
        <vt:i4>1376315</vt:i4>
      </vt:variant>
      <vt:variant>
        <vt:i4>62</vt:i4>
      </vt:variant>
      <vt:variant>
        <vt:i4>0</vt:i4>
      </vt:variant>
      <vt:variant>
        <vt:i4>5</vt:i4>
      </vt:variant>
      <vt:variant>
        <vt:lpwstr/>
      </vt:variant>
      <vt:variant>
        <vt:lpwstr>_Toc520292701</vt:lpwstr>
      </vt:variant>
      <vt:variant>
        <vt:i4>1376315</vt:i4>
      </vt:variant>
      <vt:variant>
        <vt:i4>56</vt:i4>
      </vt:variant>
      <vt:variant>
        <vt:i4>0</vt:i4>
      </vt:variant>
      <vt:variant>
        <vt:i4>5</vt:i4>
      </vt:variant>
      <vt:variant>
        <vt:lpwstr/>
      </vt:variant>
      <vt:variant>
        <vt:lpwstr>_Toc520292700</vt:lpwstr>
      </vt:variant>
      <vt:variant>
        <vt:i4>1835066</vt:i4>
      </vt:variant>
      <vt:variant>
        <vt:i4>50</vt:i4>
      </vt:variant>
      <vt:variant>
        <vt:i4>0</vt:i4>
      </vt:variant>
      <vt:variant>
        <vt:i4>5</vt:i4>
      </vt:variant>
      <vt:variant>
        <vt:lpwstr/>
      </vt:variant>
      <vt:variant>
        <vt:lpwstr>_Toc520292697</vt:lpwstr>
      </vt:variant>
      <vt:variant>
        <vt:i4>1835066</vt:i4>
      </vt:variant>
      <vt:variant>
        <vt:i4>44</vt:i4>
      </vt:variant>
      <vt:variant>
        <vt:i4>0</vt:i4>
      </vt:variant>
      <vt:variant>
        <vt:i4>5</vt:i4>
      </vt:variant>
      <vt:variant>
        <vt:lpwstr/>
      </vt:variant>
      <vt:variant>
        <vt:lpwstr>_Toc520292696</vt:lpwstr>
      </vt:variant>
      <vt:variant>
        <vt:i4>1835066</vt:i4>
      </vt:variant>
      <vt:variant>
        <vt:i4>38</vt:i4>
      </vt:variant>
      <vt:variant>
        <vt:i4>0</vt:i4>
      </vt:variant>
      <vt:variant>
        <vt:i4>5</vt:i4>
      </vt:variant>
      <vt:variant>
        <vt:lpwstr/>
      </vt:variant>
      <vt:variant>
        <vt:lpwstr>_Toc520292693</vt:lpwstr>
      </vt:variant>
      <vt:variant>
        <vt:i4>1835066</vt:i4>
      </vt:variant>
      <vt:variant>
        <vt:i4>32</vt:i4>
      </vt:variant>
      <vt:variant>
        <vt:i4>0</vt:i4>
      </vt:variant>
      <vt:variant>
        <vt:i4>5</vt:i4>
      </vt:variant>
      <vt:variant>
        <vt:lpwstr/>
      </vt:variant>
      <vt:variant>
        <vt:lpwstr>_Toc520292692</vt:lpwstr>
      </vt:variant>
      <vt:variant>
        <vt:i4>1900602</vt:i4>
      </vt:variant>
      <vt:variant>
        <vt:i4>26</vt:i4>
      </vt:variant>
      <vt:variant>
        <vt:i4>0</vt:i4>
      </vt:variant>
      <vt:variant>
        <vt:i4>5</vt:i4>
      </vt:variant>
      <vt:variant>
        <vt:lpwstr/>
      </vt:variant>
      <vt:variant>
        <vt:lpwstr>_Toc520292689</vt:lpwstr>
      </vt:variant>
      <vt:variant>
        <vt:i4>1900602</vt:i4>
      </vt:variant>
      <vt:variant>
        <vt:i4>20</vt:i4>
      </vt:variant>
      <vt:variant>
        <vt:i4>0</vt:i4>
      </vt:variant>
      <vt:variant>
        <vt:i4>5</vt:i4>
      </vt:variant>
      <vt:variant>
        <vt:lpwstr/>
      </vt:variant>
      <vt:variant>
        <vt:lpwstr>_Toc520292688</vt:lpwstr>
      </vt:variant>
      <vt:variant>
        <vt:i4>1900602</vt:i4>
      </vt:variant>
      <vt:variant>
        <vt:i4>14</vt:i4>
      </vt:variant>
      <vt:variant>
        <vt:i4>0</vt:i4>
      </vt:variant>
      <vt:variant>
        <vt:i4>5</vt:i4>
      </vt:variant>
      <vt:variant>
        <vt:lpwstr/>
      </vt:variant>
      <vt:variant>
        <vt:lpwstr>_Toc520292684</vt:lpwstr>
      </vt:variant>
      <vt:variant>
        <vt:i4>1900602</vt:i4>
      </vt:variant>
      <vt:variant>
        <vt:i4>8</vt:i4>
      </vt:variant>
      <vt:variant>
        <vt:i4>0</vt:i4>
      </vt:variant>
      <vt:variant>
        <vt:i4>5</vt:i4>
      </vt:variant>
      <vt:variant>
        <vt:lpwstr/>
      </vt:variant>
      <vt:variant>
        <vt:lpwstr>_Toc520292682</vt:lpwstr>
      </vt:variant>
      <vt:variant>
        <vt:i4>1900602</vt:i4>
      </vt:variant>
      <vt:variant>
        <vt:i4>2</vt:i4>
      </vt:variant>
      <vt:variant>
        <vt:i4>0</vt:i4>
      </vt:variant>
      <vt:variant>
        <vt:i4>5</vt:i4>
      </vt:variant>
      <vt:variant>
        <vt:lpwstr/>
      </vt:variant>
      <vt:variant>
        <vt:lpwstr>_Toc520292681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Review: Tuvalu Australia Partnership for Quality Education (TAPQE) Program</dc:title>
  <dc:subject/>
  <dc:creator/>
  <cp:keywords>[SEC=OFFICIAL]</cp:keywords>
  <dc:description/>
  <cp:lastModifiedBy/>
  <cp:revision>1</cp:revision>
  <dcterms:created xsi:type="dcterms:W3CDTF">2025-10-13T05:24:00Z</dcterms:created>
  <dcterms:modified xsi:type="dcterms:W3CDTF">2025-10-13T05:24:00Z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M_Caveats_Count">
    <vt:lpwstr>0</vt:lpwstr>
  </property>
  <property fmtid="{D5CDD505-2E9C-101B-9397-08002B2CF9AE}" pid="3" name="PM_Namespace">
    <vt:lpwstr>gov.au</vt:lpwstr>
  </property>
  <property fmtid="{D5CDD505-2E9C-101B-9397-08002B2CF9AE}" pid="4" name="PM_Version">
    <vt:lpwstr>2018.4</vt:lpwstr>
  </property>
  <property fmtid="{D5CDD505-2E9C-101B-9397-08002B2CF9AE}" pid="5" name="PM_Note">
    <vt:lpwstr/>
  </property>
  <property fmtid="{D5CDD505-2E9C-101B-9397-08002B2CF9AE}" pid="6" name="PMHMAC">
    <vt:lpwstr>v=2022.1;a=SHA256;h=8B391F9EEF4466680149E360053D0DDABBADCB41B2A86AD49EA3F0AED24B9924</vt:lpwstr>
  </property>
  <property fmtid="{D5CDD505-2E9C-101B-9397-08002B2CF9AE}" pid="7" name="PM_Qualifier">
    <vt:lpwstr/>
  </property>
  <property fmtid="{D5CDD505-2E9C-101B-9397-08002B2CF9AE}" pid="8" name="PM_SecurityClassification">
    <vt:lpwstr>OFFICIAL</vt:lpwstr>
  </property>
  <property fmtid="{D5CDD505-2E9C-101B-9397-08002B2CF9AE}" pid="9" name="PM_ProtectiveMarkingValue_Header">
    <vt:lpwstr>OFFICIAL</vt:lpwstr>
  </property>
  <property fmtid="{D5CDD505-2E9C-101B-9397-08002B2CF9AE}" pid="10" name="PM_OriginationTimeStamp">
    <vt:lpwstr>2025-10-13T05:23:55Z</vt:lpwstr>
  </property>
  <property fmtid="{D5CDD505-2E9C-101B-9397-08002B2CF9AE}" pid="11" name="PM_DownTo">
    <vt:lpwstr/>
  </property>
  <property fmtid="{D5CDD505-2E9C-101B-9397-08002B2CF9AE}" pid="12" name="PM_Markers">
    <vt:lpwstr/>
  </property>
  <property fmtid="{D5CDD505-2E9C-101B-9397-08002B2CF9AE}" pid="13" name="PM_DisplayValueSecClassificationWithQualifier">
    <vt:lpwstr>OFFICIAL</vt:lpwstr>
  </property>
  <property fmtid="{D5CDD505-2E9C-101B-9397-08002B2CF9AE}" pid="14" name="PM_Expires">
    <vt:lpwstr/>
  </property>
  <property fmtid="{D5CDD505-2E9C-101B-9397-08002B2CF9AE}" pid="15" name="PM_InsertionValue">
    <vt:lpwstr>OFFICIAL</vt:lpwstr>
  </property>
  <property fmtid="{D5CDD505-2E9C-101B-9397-08002B2CF9AE}" pid="16" name="PM_Originator_Hash_SHA1">
    <vt:lpwstr>E5329D78ADFF18985C404F3A4015F7B7C209C4C5</vt:lpwstr>
  </property>
  <property fmtid="{D5CDD505-2E9C-101B-9397-08002B2CF9AE}" pid="17" name="PM_Originating_FileId">
    <vt:lpwstr>110B1D953CED4AE08D746DD408B7272F</vt:lpwstr>
  </property>
  <property fmtid="{D5CDD505-2E9C-101B-9397-08002B2CF9AE}" pid="18" name="PM_ProtectiveMarkingValue_Footer">
    <vt:lpwstr>OFFICIAL</vt:lpwstr>
  </property>
  <property fmtid="{D5CDD505-2E9C-101B-9397-08002B2CF9AE}" pid="19" name="PM_Display">
    <vt:lpwstr>OFFICIAL</vt:lpwstr>
  </property>
  <property fmtid="{D5CDD505-2E9C-101B-9397-08002B2CF9AE}" pid="20" name="PM_OriginatorUserAccountName_SHA256">
    <vt:lpwstr>C427463A240001568B1E728057080C091949066E05DD342FA6B5B9F6FF33F8D6</vt:lpwstr>
  </property>
  <property fmtid="{D5CDD505-2E9C-101B-9397-08002B2CF9AE}" pid="21" name="PM_OriginatorDomainName_SHA256">
    <vt:lpwstr>6F3591835F3B2A8A025B00B5BA6418010DA3A17C9C26EA9C049FFD28039489A2</vt:lpwstr>
  </property>
  <property fmtid="{D5CDD505-2E9C-101B-9397-08002B2CF9AE}" pid="22" name="PMUuid">
    <vt:lpwstr>v=2022.2;d=gov.au;g=46DD6D7C-8107-577B-BC6E-F348953B2E44</vt:lpwstr>
  </property>
  <property fmtid="{D5CDD505-2E9C-101B-9397-08002B2CF9AE}" pid="23" name="PM_Hash_Version">
    <vt:lpwstr>2022.1</vt:lpwstr>
  </property>
  <property fmtid="{D5CDD505-2E9C-101B-9397-08002B2CF9AE}" pid="24" name="PM_Hash_Salt_Prev">
    <vt:lpwstr>AEA3EB80A9FF484B5F532C48B3E96B1B</vt:lpwstr>
  </property>
  <property fmtid="{D5CDD505-2E9C-101B-9397-08002B2CF9AE}" pid="25" name="PM_Hash_Salt">
    <vt:lpwstr>AEA3EB80A9FF484B5F532C48B3E96B1B</vt:lpwstr>
  </property>
  <property fmtid="{D5CDD505-2E9C-101B-9397-08002B2CF9AE}" pid="26" name="PM_Hash_SHA1">
    <vt:lpwstr>73B5CCEE02B17EDB3ECC2EA2DDA1F50E7C7646C4</vt:lpwstr>
  </property>
</Properties>
</file>