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D40A" w14:textId="5F11EB36" w:rsidR="004C5EC0" w:rsidRPr="00682595" w:rsidRDefault="00582CDD" w:rsidP="00682595">
      <w:pPr>
        <w:pStyle w:val="Heading1"/>
      </w:pPr>
      <w:r w:rsidRPr="00682595">
        <w:t>Mid</w:t>
      </w:r>
      <w:r w:rsidR="00830C85" w:rsidRPr="00682595">
        <w:t>-</w:t>
      </w:r>
      <w:r w:rsidRPr="00682595">
        <w:t>Term Review of the Tuvalu Australia Partnership for Quality Education (TAPQE) Program</w:t>
      </w:r>
    </w:p>
    <w:p w14:paraId="07AA3E21" w14:textId="7D24929C" w:rsidR="00582CDD" w:rsidRPr="00682595" w:rsidRDefault="00912BCF" w:rsidP="00682595">
      <w:pPr>
        <w:pStyle w:val="Heading2"/>
      </w:pPr>
      <w:r w:rsidRPr="00682595">
        <w:t>Department of Foreign Affairs and Trade (DFAT)</w:t>
      </w:r>
      <w:r w:rsidR="00582CDD" w:rsidRPr="00682595">
        <w:t xml:space="preserve"> Management Response</w:t>
      </w:r>
    </w:p>
    <w:p w14:paraId="7B8B1B1E" w14:textId="3CA1B24A" w:rsidR="00582CDD" w:rsidRPr="00CD2FAD" w:rsidRDefault="005719CC" w:rsidP="00582CDD">
      <w:pPr>
        <w:rPr>
          <w:sz w:val="22"/>
          <w:szCs w:val="22"/>
        </w:rPr>
      </w:pPr>
      <w:r w:rsidRPr="00CD2FAD">
        <w:rPr>
          <w:sz w:val="22"/>
          <w:szCs w:val="22"/>
        </w:rPr>
        <w:t xml:space="preserve">The mid-term review of TAPQE </w:t>
      </w:r>
      <w:r w:rsidR="007E2EB5" w:rsidRPr="00CD2FAD">
        <w:rPr>
          <w:sz w:val="22"/>
          <w:szCs w:val="22"/>
        </w:rPr>
        <w:t>highlight</w:t>
      </w:r>
      <w:r w:rsidR="00F94906">
        <w:rPr>
          <w:sz w:val="22"/>
          <w:szCs w:val="22"/>
        </w:rPr>
        <w:t>ed</w:t>
      </w:r>
      <w:r w:rsidR="007E2EB5" w:rsidRPr="00CD2FAD">
        <w:rPr>
          <w:sz w:val="22"/>
          <w:szCs w:val="22"/>
        </w:rPr>
        <w:t xml:space="preserve"> the strengths and challenges of the investment</w:t>
      </w:r>
      <w:r w:rsidR="00C237F4">
        <w:rPr>
          <w:sz w:val="22"/>
          <w:szCs w:val="22"/>
        </w:rPr>
        <w:t>;</w:t>
      </w:r>
      <w:r w:rsidR="00B978C1">
        <w:rPr>
          <w:sz w:val="22"/>
          <w:szCs w:val="22"/>
        </w:rPr>
        <w:t xml:space="preserve"> and </w:t>
      </w:r>
      <w:r w:rsidR="007E2EB5" w:rsidRPr="00CD2FAD">
        <w:rPr>
          <w:sz w:val="22"/>
          <w:szCs w:val="22"/>
        </w:rPr>
        <w:t>propose</w:t>
      </w:r>
      <w:r w:rsidR="00F94906">
        <w:rPr>
          <w:sz w:val="22"/>
          <w:szCs w:val="22"/>
        </w:rPr>
        <w:t>d</w:t>
      </w:r>
      <w:r w:rsidR="007E2EB5" w:rsidRPr="00CD2FAD">
        <w:rPr>
          <w:sz w:val="22"/>
          <w:szCs w:val="22"/>
        </w:rPr>
        <w:t xml:space="preserve"> </w:t>
      </w:r>
      <w:r w:rsidR="00B978C1">
        <w:rPr>
          <w:sz w:val="22"/>
          <w:szCs w:val="22"/>
        </w:rPr>
        <w:t>five</w:t>
      </w:r>
      <w:r w:rsidR="007E2EB5" w:rsidRPr="00CD2FAD">
        <w:rPr>
          <w:sz w:val="22"/>
          <w:szCs w:val="22"/>
        </w:rPr>
        <w:t xml:space="preserve"> recommendations to consider </w:t>
      </w:r>
      <w:r w:rsidR="00D307F8">
        <w:rPr>
          <w:sz w:val="22"/>
          <w:szCs w:val="22"/>
        </w:rPr>
        <w:t>for</w:t>
      </w:r>
      <w:r w:rsidR="00D307F8" w:rsidRPr="00CD2FAD">
        <w:rPr>
          <w:sz w:val="22"/>
          <w:szCs w:val="22"/>
        </w:rPr>
        <w:t xml:space="preserve"> </w:t>
      </w:r>
      <w:r w:rsidR="007E2EB5" w:rsidRPr="00CD2FAD">
        <w:rPr>
          <w:sz w:val="22"/>
          <w:szCs w:val="22"/>
        </w:rPr>
        <w:t xml:space="preserve">the </w:t>
      </w:r>
      <w:r w:rsidR="00D307F8">
        <w:rPr>
          <w:sz w:val="22"/>
          <w:szCs w:val="22"/>
        </w:rPr>
        <w:t>remainder</w:t>
      </w:r>
      <w:r w:rsidR="007E2EB5" w:rsidRPr="00CD2FAD">
        <w:rPr>
          <w:sz w:val="22"/>
          <w:szCs w:val="22"/>
        </w:rPr>
        <w:t xml:space="preserve"> of the program</w:t>
      </w:r>
      <w:r w:rsidR="00C237F4">
        <w:rPr>
          <w:sz w:val="22"/>
          <w:szCs w:val="22"/>
        </w:rPr>
        <w:t xml:space="preserve">. </w:t>
      </w:r>
    </w:p>
    <w:p w14:paraId="51141563" w14:textId="45658DF3" w:rsidR="00592072" w:rsidRPr="00CD2FAD" w:rsidRDefault="00EB20F2" w:rsidP="00582CDD">
      <w:pPr>
        <w:rPr>
          <w:sz w:val="22"/>
          <w:szCs w:val="22"/>
        </w:rPr>
      </w:pPr>
      <w:r w:rsidRPr="007A35F0">
        <w:rPr>
          <w:sz w:val="22"/>
          <w:szCs w:val="22"/>
        </w:rPr>
        <w:t>The Management Response was drafted by DFAT as a response to the mid-term review and prepared in consultation with</w:t>
      </w:r>
      <w:r w:rsidR="00AF7641" w:rsidRPr="007A35F0">
        <w:rPr>
          <w:sz w:val="22"/>
          <w:szCs w:val="22"/>
        </w:rPr>
        <w:t xml:space="preserve"> </w:t>
      </w:r>
      <w:r w:rsidR="00AF7641" w:rsidRPr="00CD2FAD">
        <w:rPr>
          <w:sz w:val="22"/>
          <w:szCs w:val="22"/>
        </w:rPr>
        <w:t>Tetra Tech</w:t>
      </w:r>
      <w:r w:rsidR="00397F03">
        <w:rPr>
          <w:sz w:val="22"/>
          <w:szCs w:val="22"/>
        </w:rPr>
        <w:t>, as the implementing partner for the investment</w:t>
      </w:r>
      <w:r w:rsidR="00920858" w:rsidRPr="00CD2FAD">
        <w:rPr>
          <w:sz w:val="22"/>
          <w:szCs w:val="22"/>
        </w:rPr>
        <w:t xml:space="preserve">. TAPQE was designed during COVID-19 </w:t>
      </w:r>
      <w:r w:rsidR="00461282" w:rsidRPr="00CD2FAD">
        <w:rPr>
          <w:sz w:val="22"/>
          <w:szCs w:val="22"/>
        </w:rPr>
        <w:t>to support Tuvalu’s education sector, following the completion of the Australian Support to Education in Tuvalu Program</w:t>
      </w:r>
      <w:r w:rsidR="00127402">
        <w:rPr>
          <w:sz w:val="22"/>
          <w:szCs w:val="22"/>
        </w:rPr>
        <w:t>.</w:t>
      </w:r>
      <w:r w:rsidR="00461282" w:rsidRPr="00CD2FAD">
        <w:rPr>
          <w:sz w:val="22"/>
          <w:szCs w:val="22"/>
        </w:rPr>
        <w:t xml:space="preserve"> </w:t>
      </w:r>
      <w:r w:rsidR="00A74221" w:rsidRPr="00CD2FAD">
        <w:rPr>
          <w:sz w:val="22"/>
          <w:szCs w:val="22"/>
        </w:rPr>
        <w:t>TAPQE</w:t>
      </w:r>
      <w:r w:rsidR="00F94906">
        <w:rPr>
          <w:sz w:val="22"/>
          <w:szCs w:val="22"/>
        </w:rPr>
        <w:t>’s</w:t>
      </w:r>
      <w:r w:rsidR="00A74221" w:rsidRPr="00CD2FAD">
        <w:rPr>
          <w:sz w:val="22"/>
          <w:szCs w:val="22"/>
        </w:rPr>
        <w:t xml:space="preserve"> inception phase commenced in January 2023</w:t>
      </w:r>
      <w:r w:rsidR="002C275F" w:rsidRPr="00CD2FAD">
        <w:rPr>
          <w:sz w:val="22"/>
          <w:szCs w:val="22"/>
        </w:rPr>
        <w:t xml:space="preserve">. </w:t>
      </w:r>
      <w:r w:rsidR="00D307F8">
        <w:rPr>
          <w:sz w:val="22"/>
          <w:szCs w:val="22"/>
        </w:rPr>
        <w:t xml:space="preserve">It </w:t>
      </w:r>
      <w:r w:rsidR="00EA2260" w:rsidRPr="00CD2FAD">
        <w:rPr>
          <w:sz w:val="22"/>
          <w:szCs w:val="22"/>
        </w:rPr>
        <w:t>was launched in May 2023, in partnership with the Ministry of Education</w:t>
      </w:r>
      <w:r w:rsidR="00E5211E">
        <w:rPr>
          <w:sz w:val="22"/>
          <w:szCs w:val="22"/>
        </w:rPr>
        <w:t xml:space="preserve"> and Human Resources Development (MEHRD)</w:t>
      </w:r>
      <w:r w:rsidR="00AC7C56">
        <w:rPr>
          <w:sz w:val="22"/>
          <w:szCs w:val="22"/>
        </w:rPr>
        <w:t xml:space="preserve">, and has been implementing activities in Tuvalu in line with its </w:t>
      </w:r>
      <w:r w:rsidR="00592072" w:rsidRPr="00CD2FAD">
        <w:rPr>
          <w:sz w:val="22"/>
          <w:szCs w:val="22"/>
        </w:rPr>
        <w:t xml:space="preserve">End of Program Outcomes (EOPOs): </w:t>
      </w:r>
    </w:p>
    <w:p w14:paraId="52570BEB" w14:textId="2011976E" w:rsidR="004B2F93" w:rsidRPr="00CD2FAD" w:rsidRDefault="004B2F93" w:rsidP="00582CDD">
      <w:pPr>
        <w:rPr>
          <w:sz w:val="22"/>
          <w:szCs w:val="22"/>
        </w:rPr>
      </w:pPr>
      <w:r w:rsidRPr="00CD2FAD">
        <w:rPr>
          <w:b/>
          <w:bCs/>
          <w:sz w:val="22"/>
          <w:szCs w:val="22"/>
        </w:rPr>
        <w:t>EOPO 1:</w:t>
      </w:r>
      <w:r w:rsidRPr="00CD2FAD">
        <w:rPr>
          <w:sz w:val="22"/>
          <w:szCs w:val="22"/>
        </w:rPr>
        <w:t xml:space="preserve"> </w:t>
      </w:r>
      <w:r w:rsidRPr="00CD2FAD">
        <w:rPr>
          <w:i/>
          <w:iCs/>
          <w:sz w:val="22"/>
          <w:szCs w:val="22"/>
        </w:rPr>
        <w:t>Improved numeracy and literacy outcomes for both girls and boys (Years 1-10), including children with disabilities</w:t>
      </w:r>
      <w:r w:rsidRPr="00CD2FAD">
        <w:rPr>
          <w:sz w:val="22"/>
          <w:szCs w:val="22"/>
        </w:rPr>
        <w:t xml:space="preserve"> </w:t>
      </w:r>
    </w:p>
    <w:p w14:paraId="1D133B54" w14:textId="12EE1577" w:rsidR="004B2F93" w:rsidRPr="00CD2FAD" w:rsidRDefault="004B2F93" w:rsidP="00582CDD">
      <w:pPr>
        <w:rPr>
          <w:sz w:val="22"/>
          <w:szCs w:val="22"/>
        </w:rPr>
      </w:pPr>
      <w:r w:rsidRPr="00CD2FAD">
        <w:rPr>
          <w:b/>
          <w:bCs/>
          <w:sz w:val="22"/>
          <w:szCs w:val="22"/>
        </w:rPr>
        <w:t>EOPO 2:</w:t>
      </w:r>
      <w:r w:rsidRPr="00CD2FAD">
        <w:rPr>
          <w:sz w:val="22"/>
          <w:szCs w:val="22"/>
        </w:rPr>
        <w:t xml:space="preserve"> </w:t>
      </w:r>
      <w:r w:rsidRPr="00CD2FAD">
        <w:rPr>
          <w:i/>
          <w:iCs/>
          <w:sz w:val="22"/>
          <w:szCs w:val="22"/>
        </w:rPr>
        <w:t>Improved relevance and quality of secondary schoo</w:t>
      </w:r>
      <w:r w:rsidR="008809A1" w:rsidRPr="00CD2FAD">
        <w:rPr>
          <w:i/>
          <w:iCs/>
          <w:sz w:val="22"/>
          <w:szCs w:val="22"/>
        </w:rPr>
        <w:t>l teaching and pathways to employment and further education opportunities for both girls and boys, including learners with disabilities; and</w:t>
      </w:r>
      <w:r w:rsidR="008809A1" w:rsidRPr="00CD2FAD">
        <w:rPr>
          <w:sz w:val="22"/>
          <w:szCs w:val="22"/>
        </w:rPr>
        <w:t xml:space="preserve"> </w:t>
      </w:r>
    </w:p>
    <w:p w14:paraId="4C5A455B" w14:textId="2C645C32" w:rsidR="008809A1" w:rsidRPr="00CD2FAD" w:rsidRDefault="008809A1" w:rsidP="00582CDD">
      <w:pPr>
        <w:rPr>
          <w:i/>
          <w:iCs/>
          <w:sz w:val="22"/>
          <w:szCs w:val="22"/>
        </w:rPr>
      </w:pPr>
      <w:r w:rsidRPr="00CD2FAD">
        <w:rPr>
          <w:b/>
          <w:bCs/>
          <w:sz w:val="22"/>
          <w:szCs w:val="22"/>
        </w:rPr>
        <w:t>EOPO 3:</w:t>
      </w:r>
      <w:r w:rsidRPr="00CD2FAD">
        <w:rPr>
          <w:sz w:val="22"/>
          <w:szCs w:val="22"/>
        </w:rPr>
        <w:t xml:space="preserve"> </w:t>
      </w:r>
      <w:r w:rsidRPr="00CD2FAD">
        <w:rPr>
          <w:i/>
          <w:iCs/>
          <w:sz w:val="22"/>
          <w:szCs w:val="22"/>
        </w:rPr>
        <w:t xml:space="preserve">Strengthened Ministry of Education, Youth </w:t>
      </w:r>
      <w:r w:rsidR="00407408">
        <w:rPr>
          <w:i/>
          <w:iCs/>
          <w:sz w:val="22"/>
          <w:szCs w:val="22"/>
        </w:rPr>
        <w:t>and</w:t>
      </w:r>
      <w:r w:rsidRPr="00CD2FAD">
        <w:rPr>
          <w:i/>
          <w:iCs/>
          <w:sz w:val="22"/>
          <w:szCs w:val="22"/>
        </w:rPr>
        <w:t xml:space="preserve"> Sports </w:t>
      </w:r>
      <w:r w:rsidR="00595C53" w:rsidRPr="00CD2FAD">
        <w:rPr>
          <w:i/>
          <w:iCs/>
          <w:sz w:val="22"/>
          <w:szCs w:val="22"/>
        </w:rPr>
        <w:t xml:space="preserve">(now </w:t>
      </w:r>
      <w:r w:rsidR="00E5211E">
        <w:rPr>
          <w:i/>
          <w:iCs/>
          <w:sz w:val="22"/>
          <w:szCs w:val="22"/>
        </w:rPr>
        <w:t>MEHRD</w:t>
      </w:r>
      <w:r w:rsidR="00595C53" w:rsidRPr="00CD2FAD">
        <w:rPr>
          <w:i/>
          <w:iCs/>
          <w:sz w:val="22"/>
          <w:szCs w:val="22"/>
        </w:rPr>
        <w:t xml:space="preserve">) personnel and systems so that service delivery is more inclusive, evidence-based and efficient. </w:t>
      </w:r>
    </w:p>
    <w:p w14:paraId="2F54EDB1" w14:textId="659B683E" w:rsidR="00EB20F2" w:rsidRPr="00CD2FAD" w:rsidRDefault="009539C8" w:rsidP="00582CDD">
      <w:pPr>
        <w:rPr>
          <w:sz w:val="22"/>
          <w:szCs w:val="22"/>
        </w:rPr>
      </w:pPr>
      <w:r w:rsidRPr="00CD2FAD">
        <w:rPr>
          <w:sz w:val="22"/>
          <w:szCs w:val="22"/>
        </w:rPr>
        <w:t xml:space="preserve">The mid-term review focused on </w:t>
      </w:r>
      <w:r w:rsidR="0034226A" w:rsidRPr="00CD2FAD">
        <w:rPr>
          <w:sz w:val="22"/>
          <w:szCs w:val="22"/>
        </w:rPr>
        <w:t>progress to date to</w:t>
      </w:r>
      <w:r w:rsidR="006C76B8" w:rsidRPr="00CD2FAD">
        <w:rPr>
          <w:sz w:val="22"/>
          <w:szCs w:val="22"/>
        </w:rPr>
        <w:t xml:space="preserve">wards </w:t>
      </w:r>
      <w:r w:rsidR="00152349">
        <w:rPr>
          <w:sz w:val="22"/>
          <w:szCs w:val="22"/>
        </w:rPr>
        <w:t>the program’s</w:t>
      </w:r>
      <w:r w:rsidR="0034226A" w:rsidRPr="00CD2FAD">
        <w:rPr>
          <w:sz w:val="22"/>
          <w:szCs w:val="22"/>
        </w:rPr>
        <w:t xml:space="preserve"> EOPOs</w:t>
      </w:r>
      <w:r w:rsidR="00253EC8" w:rsidRPr="00CD2FAD">
        <w:rPr>
          <w:sz w:val="22"/>
          <w:szCs w:val="22"/>
        </w:rPr>
        <w:t xml:space="preserve">. The review was organised around </w:t>
      </w:r>
      <w:r w:rsidR="006C76B8" w:rsidRPr="00CD2FAD">
        <w:rPr>
          <w:sz w:val="22"/>
          <w:szCs w:val="22"/>
        </w:rPr>
        <w:t xml:space="preserve">five key questions: </w:t>
      </w:r>
    </w:p>
    <w:p w14:paraId="235AEE5F" w14:textId="63B8E3D7" w:rsidR="006C76B8" w:rsidRPr="00CD2FAD" w:rsidRDefault="006C76B8" w:rsidP="006C76B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D2FAD">
        <w:rPr>
          <w:sz w:val="22"/>
          <w:szCs w:val="22"/>
        </w:rPr>
        <w:t>To what extent i</w:t>
      </w:r>
      <w:r w:rsidR="00522C6E">
        <w:rPr>
          <w:sz w:val="22"/>
          <w:szCs w:val="22"/>
        </w:rPr>
        <w:t>s</w:t>
      </w:r>
      <w:r w:rsidRPr="00CD2FAD">
        <w:rPr>
          <w:sz w:val="22"/>
          <w:szCs w:val="22"/>
        </w:rPr>
        <w:t xml:space="preserve"> the TAPQE Program engaged in appropriate interventions and activities within the context of the Tuvaluan education sector? </w:t>
      </w:r>
      <w:r w:rsidR="00C266F1" w:rsidRPr="00C266F1">
        <w:rPr>
          <w:color w:val="0070C0"/>
          <w:sz w:val="22"/>
          <w:szCs w:val="22"/>
        </w:rPr>
        <w:t>(Recommendation</w:t>
      </w:r>
      <w:r w:rsidR="00703003">
        <w:rPr>
          <w:color w:val="0070C0"/>
          <w:sz w:val="22"/>
          <w:szCs w:val="22"/>
        </w:rPr>
        <w:t xml:space="preserve"> 3 and Recommendation</w:t>
      </w:r>
      <w:r w:rsidR="00C266F1" w:rsidRPr="00C266F1">
        <w:rPr>
          <w:color w:val="0070C0"/>
          <w:sz w:val="22"/>
          <w:szCs w:val="22"/>
        </w:rPr>
        <w:t xml:space="preserve"> 5)</w:t>
      </w:r>
    </w:p>
    <w:p w14:paraId="5843CED8" w14:textId="4FDB8902" w:rsidR="006C76B8" w:rsidRPr="00CD2FAD" w:rsidRDefault="006C76B8" w:rsidP="006C76B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D2FAD">
        <w:rPr>
          <w:sz w:val="22"/>
          <w:szCs w:val="22"/>
        </w:rPr>
        <w:t>To what e</w:t>
      </w:r>
      <w:r w:rsidR="00A5224A" w:rsidRPr="00CD2FAD">
        <w:rPr>
          <w:sz w:val="22"/>
          <w:szCs w:val="22"/>
        </w:rPr>
        <w:t>x</w:t>
      </w:r>
      <w:r w:rsidR="00780E8C" w:rsidRPr="00CD2FAD">
        <w:rPr>
          <w:sz w:val="22"/>
          <w:szCs w:val="22"/>
        </w:rPr>
        <w:t xml:space="preserve">tent is the TAPQE Program on track to achieve its three </w:t>
      </w:r>
      <w:r w:rsidR="00D307F8">
        <w:rPr>
          <w:sz w:val="22"/>
          <w:szCs w:val="22"/>
        </w:rPr>
        <w:t>EOPOs</w:t>
      </w:r>
      <w:r w:rsidR="00780E8C" w:rsidRPr="00CD2FAD">
        <w:rPr>
          <w:sz w:val="22"/>
          <w:szCs w:val="22"/>
        </w:rPr>
        <w:t xml:space="preserve">? </w:t>
      </w:r>
      <w:r w:rsidR="007248B9" w:rsidRPr="00B840C2">
        <w:rPr>
          <w:color w:val="0070C0"/>
          <w:sz w:val="22"/>
          <w:szCs w:val="22"/>
        </w:rPr>
        <w:t>(Recommendation 1)</w:t>
      </w:r>
    </w:p>
    <w:p w14:paraId="64387894" w14:textId="6AE579E0" w:rsidR="00780E8C" w:rsidRPr="00CD2FAD" w:rsidRDefault="00780E8C" w:rsidP="006C76B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CD2FAD">
        <w:rPr>
          <w:sz w:val="22"/>
          <w:szCs w:val="22"/>
        </w:rPr>
        <w:t>To what extent is the TAP</w:t>
      </w:r>
      <w:r w:rsidR="00000DC0" w:rsidRPr="00CD2FAD">
        <w:rPr>
          <w:sz w:val="22"/>
          <w:szCs w:val="22"/>
        </w:rPr>
        <w:t xml:space="preserve">QE Program using resources efficiently to achieve its </w:t>
      </w:r>
      <w:r w:rsidR="00D307F8">
        <w:rPr>
          <w:sz w:val="22"/>
          <w:szCs w:val="22"/>
        </w:rPr>
        <w:t>EOPOs</w:t>
      </w:r>
      <w:r w:rsidR="00216D63" w:rsidRPr="00CD2FAD">
        <w:rPr>
          <w:sz w:val="22"/>
          <w:szCs w:val="22"/>
        </w:rPr>
        <w:t>?</w:t>
      </w:r>
      <w:r w:rsidR="00B840C2">
        <w:rPr>
          <w:sz w:val="22"/>
          <w:szCs w:val="22"/>
        </w:rPr>
        <w:t xml:space="preserve"> </w:t>
      </w:r>
      <w:r w:rsidR="00B840C2" w:rsidRPr="00B840C2">
        <w:rPr>
          <w:color w:val="0070C0"/>
          <w:sz w:val="22"/>
          <w:szCs w:val="22"/>
        </w:rPr>
        <w:t>(Recommendation 4)</w:t>
      </w:r>
    </w:p>
    <w:p w14:paraId="1949484C" w14:textId="07C8FE5E" w:rsidR="00825EBB" w:rsidRPr="00825EBB" w:rsidRDefault="00216D63" w:rsidP="006C76B8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5EBB">
        <w:rPr>
          <w:sz w:val="22"/>
          <w:szCs w:val="22"/>
        </w:rPr>
        <w:t xml:space="preserve">To what extent are the TAPQE Program’s </w:t>
      </w:r>
      <w:r w:rsidR="00B9471B">
        <w:rPr>
          <w:sz w:val="22"/>
          <w:szCs w:val="22"/>
        </w:rPr>
        <w:t>gender equality, disability and social inclusion (GEDSI)</w:t>
      </w:r>
      <w:r w:rsidR="00B9471B" w:rsidRPr="00825EBB">
        <w:rPr>
          <w:sz w:val="22"/>
          <w:szCs w:val="22"/>
        </w:rPr>
        <w:t xml:space="preserve"> </w:t>
      </w:r>
      <w:r w:rsidRPr="00825EBB">
        <w:rPr>
          <w:sz w:val="22"/>
          <w:szCs w:val="22"/>
        </w:rPr>
        <w:t xml:space="preserve">and </w:t>
      </w:r>
      <w:r w:rsidR="005C0495">
        <w:rPr>
          <w:sz w:val="22"/>
          <w:szCs w:val="22"/>
        </w:rPr>
        <w:t>climate change</w:t>
      </w:r>
      <w:r w:rsidRPr="00825EBB">
        <w:rPr>
          <w:sz w:val="22"/>
          <w:szCs w:val="22"/>
        </w:rPr>
        <w:t xml:space="preserve"> ambitions, approaches and achievements adequate </w:t>
      </w:r>
      <w:r w:rsidR="00CD2FAD" w:rsidRPr="00825EBB">
        <w:rPr>
          <w:sz w:val="22"/>
          <w:szCs w:val="22"/>
        </w:rPr>
        <w:t xml:space="preserve">against program logic and design, and current DFAT policies? </w:t>
      </w:r>
      <w:r w:rsidR="00703003" w:rsidRPr="00825EBB">
        <w:rPr>
          <w:color w:val="0070C0"/>
          <w:sz w:val="22"/>
          <w:szCs w:val="22"/>
        </w:rPr>
        <w:t>(Recommendation 2)</w:t>
      </w:r>
    </w:p>
    <w:p w14:paraId="50F0FDDA" w14:textId="44D30A01" w:rsidR="00152349" w:rsidRDefault="00CD2FAD" w:rsidP="001A598D">
      <w:pPr>
        <w:pStyle w:val="ListParagraph"/>
        <w:numPr>
          <w:ilvl w:val="0"/>
          <w:numId w:val="4"/>
        </w:numPr>
        <w:spacing w:after="0"/>
        <w:rPr>
          <w:color w:val="0070C0"/>
          <w:sz w:val="22"/>
          <w:szCs w:val="22"/>
        </w:rPr>
      </w:pPr>
      <w:r w:rsidRPr="00825EBB">
        <w:rPr>
          <w:sz w:val="22"/>
          <w:szCs w:val="22"/>
        </w:rPr>
        <w:t xml:space="preserve">To what extent are the </w:t>
      </w:r>
      <w:r w:rsidR="00DD0C3F">
        <w:rPr>
          <w:sz w:val="22"/>
          <w:szCs w:val="22"/>
        </w:rPr>
        <w:t>monitoring, evaluation and learning (MEL)</w:t>
      </w:r>
      <w:r w:rsidR="00DD0C3F" w:rsidRPr="00825EBB">
        <w:rPr>
          <w:sz w:val="22"/>
          <w:szCs w:val="22"/>
        </w:rPr>
        <w:t xml:space="preserve"> </w:t>
      </w:r>
      <w:r w:rsidRPr="00825EBB">
        <w:rPr>
          <w:sz w:val="22"/>
          <w:szCs w:val="22"/>
        </w:rPr>
        <w:t xml:space="preserve">arrangements fit for purpose? </w:t>
      </w:r>
      <w:r w:rsidR="00357137" w:rsidRPr="00825EBB">
        <w:rPr>
          <w:color w:val="0070C0"/>
          <w:sz w:val="22"/>
          <w:szCs w:val="22"/>
        </w:rPr>
        <w:t>(Recommendation 2)</w:t>
      </w:r>
    </w:p>
    <w:p w14:paraId="5E92EE0A" w14:textId="1F558054" w:rsidR="00582CDD" w:rsidRPr="00FB556F" w:rsidRDefault="00D307F8" w:rsidP="001A598D">
      <w:pPr>
        <w:pStyle w:val="ListParagraph"/>
        <w:spacing w:before="240"/>
        <w:ind w:left="0"/>
        <w:contextualSpacing w:val="0"/>
        <w:rPr>
          <w:color w:val="0070C0"/>
          <w:sz w:val="22"/>
          <w:szCs w:val="22"/>
        </w:rPr>
      </w:pPr>
      <w:r w:rsidRPr="00A877FF">
        <w:rPr>
          <w:sz w:val="22"/>
          <w:szCs w:val="22"/>
        </w:rPr>
        <w:t>DFAT agrees with all recommendations in the mid-term review, noting revisions to TAPQE’s programming must be agreed with stakeholders, including the Government of Tuvalu, and endorsed by the Steering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1417"/>
        <w:gridCol w:w="4199"/>
        <w:gridCol w:w="2325"/>
        <w:gridCol w:w="2325"/>
      </w:tblGrid>
      <w:tr w:rsidR="00582CDD" w:rsidRPr="000354F0" w14:paraId="75E671AB" w14:textId="77777777" w:rsidTr="00CB367D">
        <w:trPr>
          <w:tblHeader/>
        </w:trPr>
        <w:tc>
          <w:tcPr>
            <w:tcW w:w="1129" w:type="dxa"/>
            <w:shd w:val="clear" w:color="auto" w:fill="FAE2D5" w:themeFill="accent2" w:themeFillTint="33"/>
          </w:tcPr>
          <w:p w14:paraId="2A33C240" w14:textId="0990EE4E" w:rsidR="00582CDD" w:rsidRPr="000354F0" w:rsidRDefault="00582CDD" w:rsidP="00582CDD">
            <w:pPr>
              <w:rPr>
                <w:b/>
                <w:bCs/>
                <w:sz w:val="20"/>
                <w:szCs w:val="20"/>
              </w:rPr>
            </w:pPr>
            <w:r w:rsidRPr="000354F0">
              <w:rPr>
                <w:b/>
                <w:bCs/>
                <w:sz w:val="20"/>
                <w:szCs w:val="20"/>
              </w:rPr>
              <w:lastRenderedPageBreak/>
              <w:t>Number</w:t>
            </w:r>
          </w:p>
        </w:tc>
        <w:tc>
          <w:tcPr>
            <w:tcW w:w="2552" w:type="dxa"/>
            <w:shd w:val="clear" w:color="auto" w:fill="FAE2D5" w:themeFill="accent2" w:themeFillTint="33"/>
          </w:tcPr>
          <w:p w14:paraId="7F7CB56C" w14:textId="2EDEDA39" w:rsidR="00582CDD" w:rsidRPr="000354F0" w:rsidRDefault="00B706ED" w:rsidP="00582CD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="00582CDD" w:rsidRPr="000354F0">
              <w:rPr>
                <w:b/>
                <w:bCs/>
                <w:sz w:val="20"/>
                <w:szCs w:val="20"/>
              </w:rPr>
              <w:t>ecommendation</w:t>
            </w:r>
          </w:p>
        </w:tc>
        <w:tc>
          <w:tcPr>
            <w:tcW w:w="1417" w:type="dxa"/>
            <w:shd w:val="clear" w:color="auto" w:fill="FAE2D5" w:themeFill="accent2" w:themeFillTint="33"/>
          </w:tcPr>
          <w:p w14:paraId="1EAFEACB" w14:textId="143ADD9E" w:rsidR="00582CDD" w:rsidRPr="000354F0" w:rsidRDefault="00582CDD" w:rsidP="00582CDD">
            <w:pPr>
              <w:rPr>
                <w:b/>
                <w:bCs/>
                <w:sz w:val="20"/>
                <w:szCs w:val="20"/>
              </w:rPr>
            </w:pPr>
            <w:r w:rsidRPr="000354F0">
              <w:rPr>
                <w:b/>
                <w:bCs/>
                <w:sz w:val="20"/>
                <w:szCs w:val="20"/>
              </w:rPr>
              <w:t xml:space="preserve">Response (Agree, </w:t>
            </w:r>
            <w:r w:rsidR="00912BCF" w:rsidRPr="000354F0">
              <w:rPr>
                <w:b/>
                <w:bCs/>
                <w:sz w:val="20"/>
                <w:szCs w:val="20"/>
              </w:rPr>
              <w:t>agree</w:t>
            </w:r>
            <w:r w:rsidRPr="000354F0">
              <w:rPr>
                <w:b/>
                <w:bCs/>
                <w:sz w:val="20"/>
                <w:szCs w:val="20"/>
              </w:rPr>
              <w:t xml:space="preserve"> in part, </w:t>
            </w:r>
            <w:r w:rsidR="00912BCF">
              <w:rPr>
                <w:b/>
                <w:bCs/>
                <w:sz w:val="20"/>
                <w:szCs w:val="20"/>
              </w:rPr>
              <w:t>d</w:t>
            </w:r>
            <w:r w:rsidRPr="000354F0">
              <w:rPr>
                <w:b/>
                <w:bCs/>
                <w:sz w:val="20"/>
                <w:szCs w:val="20"/>
              </w:rPr>
              <w:t>isagree</w:t>
            </w:r>
            <w:r w:rsidR="00B706E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99" w:type="dxa"/>
            <w:shd w:val="clear" w:color="auto" w:fill="FAE2D5" w:themeFill="accent2" w:themeFillTint="33"/>
          </w:tcPr>
          <w:p w14:paraId="5DCF238B" w14:textId="369D3B98" w:rsidR="00582CDD" w:rsidRPr="000354F0" w:rsidRDefault="00582CDD" w:rsidP="00582CDD">
            <w:pPr>
              <w:rPr>
                <w:b/>
                <w:bCs/>
                <w:sz w:val="20"/>
                <w:szCs w:val="20"/>
              </w:rPr>
            </w:pPr>
            <w:r w:rsidRPr="000354F0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2325" w:type="dxa"/>
            <w:shd w:val="clear" w:color="auto" w:fill="FAE2D5" w:themeFill="accent2" w:themeFillTint="33"/>
          </w:tcPr>
          <w:p w14:paraId="6E93755E" w14:textId="4D50AD42" w:rsidR="00582CDD" w:rsidRPr="000354F0" w:rsidRDefault="00582CDD" w:rsidP="00582CDD">
            <w:pPr>
              <w:rPr>
                <w:b/>
                <w:bCs/>
                <w:sz w:val="20"/>
                <w:szCs w:val="20"/>
              </w:rPr>
            </w:pPr>
            <w:r w:rsidRPr="000354F0">
              <w:rPr>
                <w:b/>
                <w:bCs/>
                <w:sz w:val="20"/>
                <w:szCs w:val="20"/>
              </w:rPr>
              <w:t xml:space="preserve">Action Plan </w:t>
            </w:r>
          </w:p>
        </w:tc>
        <w:tc>
          <w:tcPr>
            <w:tcW w:w="2325" w:type="dxa"/>
            <w:shd w:val="clear" w:color="auto" w:fill="FAE2D5" w:themeFill="accent2" w:themeFillTint="33"/>
          </w:tcPr>
          <w:p w14:paraId="2A0A8A3D" w14:textId="13CA7772" w:rsidR="00582CDD" w:rsidRPr="000354F0" w:rsidRDefault="00582CDD" w:rsidP="00582CDD">
            <w:pPr>
              <w:rPr>
                <w:b/>
                <w:bCs/>
                <w:sz w:val="20"/>
                <w:szCs w:val="20"/>
              </w:rPr>
            </w:pPr>
            <w:r w:rsidRPr="7991366B">
              <w:rPr>
                <w:b/>
                <w:bCs/>
                <w:sz w:val="20"/>
                <w:szCs w:val="20"/>
              </w:rPr>
              <w:t>Timeframe</w:t>
            </w:r>
          </w:p>
        </w:tc>
      </w:tr>
      <w:tr w:rsidR="00582CDD" w:rsidRPr="000354F0" w14:paraId="48D4A7A4" w14:textId="77777777" w:rsidTr="7991366B">
        <w:tc>
          <w:tcPr>
            <w:tcW w:w="1129" w:type="dxa"/>
          </w:tcPr>
          <w:p w14:paraId="24A3AD07" w14:textId="5B0065A4" w:rsidR="00582CDD" w:rsidRPr="000354F0" w:rsidRDefault="00582CDD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C2C0DD0" w14:textId="6F33A87E" w:rsidR="00582CDD" w:rsidRPr="000354F0" w:rsidRDefault="00582CDD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Refine EOPO</w:t>
            </w:r>
            <w:r w:rsidR="00BC09C9">
              <w:rPr>
                <w:sz w:val="20"/>
                <w:szCs w:val="20"/>
              </w:rPr>
              <w:t xml:space="preserve"> 2 and 3</w:t>
            </w:r>
            <w:r w:rsidRPr="000354F0">
              <w:rPr>
                <w:sz w:val="20"/>
                <w:szCs w:val="20"/>
              </w:rPr>
              <w:t xml:space="preserve"> for greater definition and achievability </w:t>
            </w:r>
          </w:p>
        </w:tc>
        <w:tc>
          <w:tcPr>
            <w:tcW w:w="1417" w:type="dxa"/>
          </w:tcPr>
          <w:p w14:paraId="36319B6B" w14:textId="576284E6" w:rsidR="00582CDD" w:rsidRPr="000354F0" w:rsidRDefault="00582CDD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Agree</w:t>
            </w:r>
          </w:p>
        </w:tc>
        <w:tc>
          <w:tcPr>
            <w:tcW w:w="4199" w:type="dxa"/>
          </w:tcPr>
          <w:p w14:paraId="59DB1603" w14:textId="5820CD28" w:rsidR="00C351E7" w:rsidRDefault="00BC09C9" w:rsidP="005E3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DFAT </w:t>
            </w:r>
            <w:r w:rsidR="00C0703A">
              <w:rPr>
                <w:sz w:val="20"/>
                <w:szCs w:val="20"/>
              </w:rPr>
              <w:t xml:space="preserve">and TAPQE </w:t>
            </w:r>
            <w:r>
              <w:rPr>
                <w:sz w:val="20"/>
                <w:szCs w:val="20"/>
              </w:rPr>
              <w:t xml:space="preserve">agree </w:t>
            </w:r>
            <w:r w:rsidR="00C0703A">
              <w:rPr>
                <w:sz w:val="20"/>
                <w:szCs w:val="20"/>
              </w:rPr>
              <w:t>to refine</w:t>
            </w:r>
            <w:r w:rsidRPr="000354F0">
              <w:rPr>
                <w:sz w:val="20"/>
                <w:szCs w:val="20"/>
              </w:rPr>
              <w:t xml:space="preserve"> </w:t>
            </w:r>
            <w:r w:rsidR="00582CDD" w:rsidRPr="000354F0">
              <w:rPr>
                <w:sz w:val="20"/>
                <w:szCs w:val="20"/>
              </w:rPr>
              <w:t>EOPO 2 and 3</w:t>
            </w:r>
            <w:r w:rsidR="000E7DF9">
              <w:rPr>
                <w:sz w:val="20"/>
                <w:szCs w:val="20"/>
              </w:rPr>
              <w:t xml:space="preserve"> together with </w:t>
            </w:r>
            <w:r w:rsidR="00A75F93">
              <w:rPr>
                <w:sz w:val="20"/>
                <w:szCs w:val="20"/>
              </w:rPr>
              <w:t>MEHRD</w:t>
            </w:r>
            <w:r w:rsidR="00C0703A">
              <w:rPr>
                <w:sz w:val="20"/>
                <w:szCs w:val="20"/>
              </w:rPr>
              <w:t xml:space="preserve">. </w:t>
            </w:r>
          </w:p>
          <w:p w14:paraId="2824225A" w14:textId="1F5D1C32" w:rsidR="00086499" w:rsidRPr="000354F0" w:rsidRDefault="00086499" w:rsidP="00C45CFC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62E81FF0" w14:textId="4AD5DF23" w:rsidR="00BC09C9" w:rsidRDefault="00582CDD" w:rsidP="00CB2657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TAPQE</w:t>
            </w:r>
            <w:r w:rsidR="005E3CEC">
              <w:rPr>
                <w:sz w:val="20"/>
                <w:szCs w:val="20"/>
              </w:rPr>
              <w:t xml:space="preserve"> to</w:t>
            </w:r>
            <w:r w:rsidR="00CB2657">
              <w:rPr>
                <w:sz w:val="20"/>
                <w:szCs w:val="20"/>
              </w:rPr>
              <w:t xml:space="preserve"> </w:t>
            </w:r>
            <w:r w:rsidR="005E3CEC">
              <w:rPr>
                <w:sz w:val="20"/>
                <w:szCs w:val="20"/>
              </w:rPr>
              <w:t xml:space="preserve">consult </w:t>
            </w:r>
            <w:r w:rsidR="00CB2657">
              <w:rPr>
                <w:sz w:val="20"/>
                <w:szCs w:val="20"/>
              </w:rPr>
              <w:t xml:space="preserve">with key </w:t>
            </w:r>
            <w:r w:rsidR="000A6A4B">
              <w:rPr>
                <w:sz w:val="20"/>
                <w:szCs w:val="20"/>
              </w:rPr>
              <w:t xml:space="preserve">government </w:t>
            </w:r>
            <w:r w:rsidR="00CB2657">
              <w:rPr>
                <w:sz w:val="20"/>
                <w:szCs w:val="20"/>
              </w:rPr>
              <w:t xml:space="preserve">stakeholders </w:t>
            </w:r>
            <w:r w:rsidR="000A6A4B">
              <w:rPr>
                <w:sz w:val="20"/>
                <w:szCs w:val="20"/>
              </w:rPr>
              <w:t>on revised EOPOs</w:t>
            </w:r>
            <w:r w:rsidR="005E3CEC">
              <w:rPr>
                <w:sz w:val="20"/>
                <w:szCs w:val="20"/>
              </w:rPr>
              <w:t>.</w:t>
            </w:r>
          </w:p>
          <w:p w14:paraId="261C4C84" w14:textId="77777777" w:rsidR="00BC09C9" w:rsidRDefault="00BC09C9" w:rsidP="00CB2657">
            <w:pPr>
              <w:rPr>
                <w:sz w:val="20"/>
                <w:szCs w:val="20"/>
              </w:rPr>
            </w:pPr>
          </w:p>
          <w:p w14:paraId="3638E72C" w14:textId="70459EC6" w:rsidR="00BC09C9" w:rsidRDefault="00BC09C9" w:rsidP="00CB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TAPQE</w:t>
            </w:r>
            <w:r w:rsidR="005E3CEC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DFAT</w:t>
            </w:r>
            <w:r w:rsidR="005E3CEC">
              <w:rPr>
                <w:sz w:val="20"/>
                <w:szCs w:val="20"/>
              </w:rPr>
              <w:t xml:space="preserve"> to p</w:t>
            </w:r>
            <w:r>
              <w:rPr>
                <w:sz w:val="20"/>
                <w:szCs w:val="20"/>
              </w:rPr>
              <w:t>resent revised EOPOs to Steering Group for endorsement</w:t>
            </w:r>
            <w:r w:rsidR="005E3CEC">
              <w:rPr>
                <w:sz w:val="20"/>
                <w:szCs w:val="20"/>
              </w:rPr>
              <w:t>.</w:t>
            </w:r>
          </w:p>
          <w:p w14:paraId="1AF9EE5A" w14:textId="77777777" w:rsidR="00BC09C9" w:rsidRDefault="00BC09C9" w:rsidP="00CB2657">
            <w:pPr>
              <w:rPr>
                <w:sz w:val="20"/>
                <w:szCs w:val="20"/>
              </w:rPr>
            </w:pPr>
          </w:p>
          <w:p w14:paraId="0D469F4E" w14:textId="7BCD5D72" w:rsidR="004C5369" w:rsidRPr="00CB2657" w:rsidRDefault="00BC09C9" w:rsidP="00CB2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TAPQE</w:t>
            </w:r>
            <w:r w:rsidR="005E3CEC">
              <w:rPr>
                <w:sz w:val="20"/>
                <w:szCs w:val="20"/>
              </w:rPr>
              <w:t xml:space="preserve"> to</w:t>
            </w:r>
            <w:r>
              <w:rPr>
                <w:sz w:val="20"/>
                <w:szCs w:val="20"/>
              </w:rPr>
              <w:t xml:space="preserve"> </w:t>
            </w:r>
            <w:r w:rsidR="005E3CEC">
              <w:rPr>
                <w:sz w:val="20"/>
                <w:szCs w:val="20"/>
              </w:rPr>
              <w:t>adjust</w:t>
            </w:r>
            <w:r w:rsidR="00425ABB">
              <w:rPr>
                <w:sz w:val="20"/>
                <w:szCs w:val="20"/>
              </w:rPr>
              <w:t xml:space="preserve"> documentation to align with amended EOPOs</w:t>
            </w:r>
            <w:r w:rsidR="005E3CEC">
              <w:rPr>
                <w:sz w:val="20"/>
                <w:szCs w:val="20"/>
              </w:rPr>
              <w:t>.</w:t>
            </w:r>
            <w:r w:rsidR="00425A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</w:tcPr>
          <w:p w14:paraId="46C6810C" w14:textId="4AFBEA31" w:rsidR="00BC09C9" w:rsidRPr="00CF1431" w:rsidRDefault="00410D92" w:rsidP="00BC09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September</w:t>
            </w:r>
            <w:r w:rsidRPr="00CF1431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="00BC09C9" w:rsidRPr="00CF1431">
              <w:rPr>
                <w:sz w:val="20"/>
                <w:szCs w:val="20"/>
                <w:u w:val="single"/>
                <w:lang w:val="en-US"/>
              </w:rPr>
              <w:t>2025</w:t>
            </w:r>
            <w:r w:rsidR="00BC09C9" w:rsidRPr="00CF1431">
              <w:rPr>
                <w:sz w:val="20"/>
                <w:szCs w:val="20"/>
                <w:lang w:val="en-US"/>
              </w:rPr>
              <w:t>: Steering Group Meeting to endorse EOPOs</w:t>
            </w:r>
            <w:r w:rsidR="00CF1431" w:rsidRPr="00CF1431">
              <w:rPr>
                <w:sz w:val="20"/>
                <w:szCs w:val="20"/>
                <w:lang w:val="en-US"/>
              </w:rPr>
              <w:t xml:space="preserve"> for DFAT’s approval</w:t>
            </w:r>
            <w:r w:rsidR="798E4F5D" w:rsidRPr="00CF1431">
              <w:rPr>
                <w:sz w:val="20"/>
                <w:szCs w:val="20"/>
                <w:lang w:val="en-US"/>
              </w:rPr>
              <w:t>.</w:t>
            </w:r>
          </w:p>
          <w:p w14:paraId="1A5F411B" w14:textId="77777777" w:rsidR="00BC09C9" w:rsidRPr="00CF1431" w:rsidRDefault="00BC09C9" w:rsidP="00BC09C9">
            <w:pPr>
              <w:rPr>
                <w:sz w:val="20"/>
                <w:szCs w:val="20"/>
                <w:lang w:val="en-US"/>
              </w:rPr>
            </w:pPr>
          </w:p>
          <w:p w14:paraId="48517AA8" w14:textId="08462FD4" w:rsidR="00BC09C9" w:rsidRPr="00CF1431" w:rsidRDefault="00CC1DEC" w:rsidP="00BC09C9">
            <w:pPr>
              <w:rPr>
                <w:sz w:val="20"/>
                <w:szCs w:val="20"/>
                <w:lang w:val="en-US"/>
              </w:rPr>
            </w:pPr>
            <w:r w:rsidRPr="00CF1431">
              <w:rPr>
                <w:sz w:val="20"/>
                <w:szCs w:val="20"/>
                <w:u w:val="single"/>
                <w:lang w:val="en-US"/>
              </w:rPr>
              <w:t xml:space="preserve">By </w:t>
            </w:r>
            <w:r w:rsidR="00BC09C9" w:rsidRPr="00CF1431">
              <w:rPr>
                <w:sz w:val="20"/>
                <w:szCs w:val="20"/>
                <w:u w:val="single"/>
                <w:lang w:val="en-US"/>
              </w:rPr>
              <w:t>December 2025</w:t>
            </w:r>
            <w:r w:rsidR="00BC09C9" w:rsidRPr="00CF1431">
              <w:rPr>
                <w:sz w:val="20"/>
                <w:szCs w:val="20"/>
                <w:lang w:val="en-US"/>
              </w:rPr>
              <w:t xml:space="preserve">: update documentation </w:t>
            </w:r>
            <w:r w:rsidR="00425ABB" w:rsidRPr="00CF1431">
              <w:rPr>
                <w:sz w:val="20"/>
                <w:szCs w:val="20"/>
                <w:lang w:val="en-US"/>
              </w:rPr>
              <w:t>to align</w:t>
            </w:r>
            <w:r w:rsidR="00BC09C9" w:rsidRPr="00CF1431">
              <w:rPr>
                <w:sz w:val="20"/>
                <w:szCs w:val="20"/>
                <w:lang w:val="en-US"/>
              </w:rPr>
              <w:t xml:space="preserve"> with endorsed EOPOs</w:t>
            </w:r>
            <w:r w:rsidR="00C0703A" w:rsidRPr="00CF1431">
              <w:rPr>
                <w:sz w:val="20"/>
                <w:szCs w:val="20"/>
                <w:lang w:val="en-US"/>
              </w:rPr>
              <w:t>.</w:t>
            </w:r>
          </w:p>
          <w:p w14:paraId="75F103F6" w14:textId="77777777" w:rsidR="00C0703A" w:rsidRPr="00CF1431" w:rsidRDefault="00C0703A" w:rsidP="00BC09C9">
            <w:pPr>
              <w:rPr>
                <w:sz w:val="20"/>
                <w:szCs w:val="20"/>
                <w:lang w:val="en-US"/>
              </w:rPr>
            </w:pPr>
          </w:p>
          <w:p w14:paraId="34B84BD8" w14:textId="1A6FCC3F" w:rsidR="00C0703A" w:rsidRPr="00CF1431" w:rsidRDefault="00C0703A" w:rsidP="00BC09C9">
            <w:pPr>
              <w:rPr>
                <w:sz w:val="20"/>
                <w:szCs w:val="20"/>
                <w:lang w:val="en-US"/>
              </w:rPr>
            </w:pPr>
            <w:r w:rsidRPr="00CF1431">
              <w:rPr>
                <w:sz w:val="20"/>
                <w:szCs w:val="20"/>
                <w:u w:val="single"/>
                <w:lang w:val="en-US"/>
              </w:rPr>
              <w:t>Mid-2026</w:t>
            </w:r>
            <w:r w:rsidRPr="00CF1431">
              <w:rPr>
                <w:sz w:val="20"/>
                <w:szCs w:val="20"/>
                <w:lang w:val="en-US"/>
              </w:rPr>
              <w:t xml:space="preserve">: </w:t>
            </w:r>
            <w:r w:rsidR="005E3CEC" w:rsidRPr="00CF1431">
              <w:rPr>
                <w:sz w:val="20"/>
                <w:szCs w:val="20"/>
                <w:lang w:val="en-US"/>
              </w:rPr>
              <w:t>monitoring report against updated EOPOs</w:t>
            </w:r>
            <w:r w:rsidR="00AB0A70" w:rsidRPr="00CF1431">
              <w:rPr>
                <w:sz w:val="20"/>
                <w:szCs w:val="20"/>
                <w:lang w:val="en-US"/>
              </w:rPr>
              <w:t xml:space="preserve"> and </w:t>
            </w:r>
            <w:r w:rsidR="00CF1431" w:rsidRPr="00CF1431">
              <w:rPr>
                <w:sz w:val="20"/>
                <w:szCs w:val="20"/>
                <w:lang w:val="en-US"/>
              </w:rPr>
              <w:t>baseline</w:t>
            </w:r>
            <w:r w:rsidR="00AB0A70" w:rsidRPr="00CF1431">
              <w:rPr>
                <w:sz w:val="20"/>
                <w:szCs w:val="20"/>
                <w:lang w:val="en-US"/>
              </w:rPr>
              <w:t xml:space="preserve"> indicators</w:t>
            </w:r>
            <w:r w:rsidR="005E3CEC" w:rsidRPr="00CF1431">
              <w:rPr>
                <w:sz w:val="20"/>
                <w:szCs w:val="20"/>
                <w:lang w:val="en-US"/>
              </w:rPr>
              <w:t>.</w:t>
            </w:r>
          </w:p>
          <w:p w14:paraId="695A272F" w14:textId="03B06807" w:rsidR="00582CDD" w:rsidRPr="00CF1431" w:rsidRDefault="00582CDD" w:rsidP="00582CDD">
            <w:pPr>
              <w:rPr>
                <w:sz w:val="20"/>
                <w:szCs w:val="20"/>
              </w:rPr>
            </w:pPr>
          </w:p>
        </w:tc>
      </w:tr>
      <w:tr w:rsidR="00582CDD" w:rsidRPr="000354F0" w14:paraId="7069C69D" w14:textId="77777777" w:rsidTr="7991366B">
        <w:trPr>
          <w:trHeight w:val="1833"/>
        </w:trPr>
        <w:tc>
          <w:tcPr>
            <w:tcW w:w="1129" w:type="dxa"/>
          </w:tcPr>
          <w:p w14:paraId="21300EAE" w14:textId="39483280" w:rsidR="00582CDD" w:rsidRPr="000354F0" w:rsidRDefault="00582CDD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3DEF9A29" w14:textId="4DFB3C3E" w:rsidR="00582CDD" w:rsidRPr="000354F0" w:rsidRDefault="00582CDD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 xml:space="preserve">Review, </w:t>
            </w:r>
            <w:r w:rsidR="005E3CEC">
              <w:rPr>
                <w:sz w:val="20"/>
                <w:szCs w:val="20"/>
              </w:rPr>
              <w:t>s</w:t>
            </w:r>
            <w:r w:rsidRPr="000354F0">
              <w:rPr>
                <w:sz w:val="20"/>
                <w:szCs w:val="20"/>
              </w:rPr>
              <w:t xml:space="preserve">implify and </w:t>
            </w:r>
            <w:r w:rsidR="005E3CEC">
              <w:rPr>
                <w:sz w:val="20"/>
                <w:szCs w:val="20"/>
              </w:rPr>
              <w:t>d</w:t>
            </w:r>
            <w:r w:rsidRPr="000354F0">
              <w:rPr>
                <w:sz w:val="20"/>
                <w:szCs w:val="20"/>
              </w:rPr>
              <w:t xml:space="preserve">eliver an updated TAPQE </w:t>
            </w:r>
            <w:r w:rsidR="00912BCF">
              <w:rPr>
                <w:sz w:val="20"/>
                <w:szCs w:val="20"/>
              </w:rPr>
              <w:t>monitoring, evaluation, research and learning (MERL)</w:t>
            </w:r>
            <w:r w:rsidRPr="000354F0">
              <w:rPr>
                <w:sz w:val="20"/>
                <w:szCs w:val="20"/>
              </w:rPr>
              <w:t xml:space="preserve"> </w:t>
            </w:r>
            <w:r w:rsidR="00311F8D">
              <w:rPr>
                <w:sz w:val="20"/>
                <w:szCs w:val="20"/>
              </w:rPr>
              <w:t>Framework</w:t>
            </w:r>
          </w:p>
        </w:tc>
        <w:tc>
          <w:tcPr>
            <w:tcW w:w="1417" w:type="dxa"/>
          </w:tcPr>
          <w:p w14:paraId="4BAFE35B" w14:textId="4663A2D0" w:rsidR="00582CDD" w:rsidRPr="000354F0" w:rsidRDefault="00582CDD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Agree</w:t>
            </w:r>
          </w:p>
        </w:tc>
        <w:tc>
          <w:tcPr>
            <w:tcW w:w="4199" w:type="dxa"/>
          </w:tcPr>
          <w:p w14:paraId="5A6BC6AA" w14:textId="04291534" w:rsidR="00BB4D25" w:rsidRDefault="00F94906" w:rsidP="00F94906">
            <w:pPr>
              <w:rPr>
                <w:sz w:val="20"/>
                <w:szCs w:val="20"/>
              </w:rPr>
            </w:pPr>
            <w:r w:rsidRPr="00A877FF">
              <w:rPr>
                <w:sz w:val="20"/>
                <w:szCs w:val="20"/>
              </w:rPr>
              <w:t>DFAT and TAPQE agree to update</w:t>
            </w:r>
            <w:r>
              <w:rPr>
                <w:sz w:val="20"/>
                <w:szCs w:val="20"/>
              </w:rPr>
              <w:t xml:space="preserve"> the MERL Framework. This will include:</w:t>
            </w:r>
          </w:p>
          <w:p w14:paraId="0E3F8F7A" w14:textId="0ED41765" w:rsidR="00F94906" w:rsidRDefault="00F94906" w:rsidP="00F9490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Developing clear baseline markers</w:t>
            </w:r>
          </w:p>
          <w:p w14:paraId="4025912C" w14:textId="79922613" w:rsidR="00F94906" w:rsidRDefault="00F94906" w:rsidP="00F9490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Greater analytical focus on </w:t>
            </w:r>
            <w:r w:rsidR="00B9471B">
              <w:rPr>
                <w:sz w:val="20"/>
                <w:szCs w:val="20"/>
              </w:rPr>
              <w:t>GEDSI</w:t>
            </w:r>
          </w:p>
          <w:p w14:paraId="0774DAEF" w14:textId="3186F16E" w:rsidR="00F94906" w:rsidRDefault="00F94906" w:rsidP="00F9490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Redesigning the Program Logic and Theory of Change to align with revised EOPO</w:t>
            </w:r>
            <w:r w:rsidR="0084696B">
              <w:rPr>
                <w:sz w:val="20"/>
                <w:szCs w:val="20"/>
              </w:rPr>
              <w:t>s</w:t>
            </w:r>
          </w:p>
          <w:p w14:paraId="35B1F21A" w14:textId="7AC207FE" w:rsidR="00F94906" w:rsidRPr="00A877FF" w:rsidRDefault="00F94906" w:rsidP="00A877F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Ensuring the MERL Framework is suitable for revised EOPO</w:t>
            </w:r>
            <w:r w:rsidR="0084696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25" w:type="dxa"/>
          </w:tcPr>
          <w:p w14:paraId="3FB4D2A5" w14:textId="65273113" w:rsidR="00F94906" w:rsidRDefault="00F94906" w:rsidP="00957965">
            <w:pPr>
              <w:ind w:lef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TAPQE </w:t>
            </w:r>
            <w:r w:rsidR="0084696B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present status of baseline data to DFAT.</w:t>
            </w:r>
          </w:p>
          <w:p w14:paraId="0077E654" w14:textId="77777777" w:rsidR="00F94906" w:rsidRDefault="00F94906" w:rsidP="00957965">
            <w:pPr>
              <w:ind w:left="28"/>
              <w:rPr>
                <w:sz w:val="20"/>
                <w:szCs w:val="20"/>
              </w:rPr>
            </w:pPr>
          </w:p>
          <w:p w14:paraId="06A19356" w14:textId="13C8F4B2" w:rsidR="002502DB" w:rsidRPr="00957965" w:rsidRDefault="00E314FD" w:rsidP="00957965">
            <w:pPr>
              <w:ind w:left="28"/>
              <w:rPr>
                <w:sz w:val="20"/>
                <w:szCs w:val="20"/>
              </w:rPr>
            </w:pPr>
            <w:r w:rsidRPr="00957965">
              <w:rPr>
                <w:sz w:val="20"/>
                <w:szCs w:val="20"/>
              </w:rPr>
              <w:t xml:space="preserve">TAPQE to present </w:t>
            </w:r>
            <w:r w:rsidR="00957965" w:rsidRPr="00957965">
              <w:rPr>
                <w:sz w:val="20"/>
                <w:szCs w:val="20"/>
              </w:rPr>
              <w:t>revised MERL framework to</w:t>
            </w:r>
            <w:r w:rsidRPr="00957965">
              <w:rPr>
                <w:sz w:val="20"/>
                <w:szCs w:val="20"/>
              </w:rPr>
              <w:t xml:space="preserve"> Steering Group Meeting</w:t>
            </w:r>
            <w:r w:rsidR="00F94906">
              <w:rPr>
                <w:sz w:val="20"/>
                <w:szCs w:val="20"/>
              </w:rPr>
              <w:t>.</w:t>
            </w:r>
          </w:p>
        </w:tc>
        <w:tc>
          <w:tcPr>
            <w:tcW w:w="2325" w:type="dxa"/>
          </w:tcPr>
          <w:p w14:paraId="4E086EA4" w14:textId="472F85F9" w:rsidR="00425ABB" w:rsidRPr="00CF1431" w:rsidRDefault="00410D92" w:rsidP="00582C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September</w:t>
            </w:r>
            <w:r w:rsidRPr="00CF1431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="00BC09C9" w:rsidRPr="00CF1431">
              <w:rPr>
                <w:sz w:val="20"/>
                <w:szCs w:val="20"/>
                <w:u w:val="single"/>
                <w:lang w:val="en-US"/>
              </w:rPr>
              <w:t>2025</w:t>
            </w:r>
            <w:r w:rsidR="00BC09C9" w:rsidRPr="00CF1431">
              <w:rPr>
                <w:sz w:val="20"/>
                <w:szCs w:val="20"/>
                <w:lang w:val="en-US"/>
              </w:rPr>
              <w:t>: Steering Group Meeting to endorse</w:t>
            </w:r>
            <w:r w:rsidR="00425ABB" w:rsidRPr="00CF1431">
              <w:rPr>
                <w:sz w:val="20"/>
                <w:szCs w:val="20"/>
                <w:lang w:val="en-US"/>
              </w:rPr>
              <w:t xml:space="preserve"> </w:t>
            </w:r>
            <w:r w:rsidR="00835DBB" w:rsidRPr="00CF1431">
              <w:rPr>
                <w:sz w:val="20"/>
                <w:szCs w:val="20"/>
                <w:lang w:val="en-US"/>
              </w:rPr>
              <w:t>revised Program logic</w:t>
            </w:r>
            <w:r w:rsidR="0039097E">
              <w:rPr>
                <w:sz w:val="20"/>
                <w:szCs w:val="20"/>
                <w:lang w:val="en-US"/>
              </w:rPr>
              <w:t>.</w:t>
            </w:r>
            <w:r w:rsidR="00835DBB" w:rsidRPr="00CF1431">
              <w:rPr>
                <w:sz w:val="20"/>
                <w:szCs w:val="20"/>
                <w:lang w:val="en-US"/>
              </w:rPr>
              <w:t xml:space="preserve"> </w:t>
            </w:r>
          </w:p>
          <w:p w14:paraId="5BA78C0B" w14:textId="77777777" w:rsidR="009361EE" w:rsidRPr="00CF1431" w:rsidRDefault="009361EE" w:rsidP="00582CDD">
            <w:pPr>
              <w:rPr>
                <w:sz w:val="20"/>
                <w:szCs w:val="20"/>
              </w:rPr>
            </w:pPr>
          </w:p>
          <w:p w14:paraId="4214E678" w14:textId="2AE6C64F" w:rsidR="00F565B8" w:rsidRPr="00CF1431" w:rsidRDefault="007B11EA" w:rsidP="00582CDD">
            <w:pPr>
              <w:rPr>
                <w:sz w:val="20"/>
                <w:szCs w:val="20"/>
              </w:rPr>
            </w:pPr>
            <w:r w:rsidRPr="00CF1431">
              <w:rPr>
                <w:sz w:val="20"/>
                <w:szCs w:val="20"/>
                <w:u w:val="single"/>
              </w:rPr>
              <w:t xml:space="preserve">By </w:t>
            </w:r>
            <w:r w:rsidR="00425ABB" w:rsidRPr="00CF1431">
              <w:rPr>
                <w:sz w:val="20"/>
                <w:szCs w:val="20"/>
                <w:u w:val="single"/>
              </w:rPr>
              <w:t>December 2025</w:t>
            </w:r>
            <w:r w:rsidR="00425ABB" w:rsidRPr="00CF1431">
              <w:rPr>
                <w:sz w:val="20"/>
                <w:szCs w:val="20"/>
              </w:rPr>
              <w:t>: updated MERL Framework finalized</w:t>
            </w:r>
            <w:r w:rsidR="009361EE" w:rsidRPr="00CF1431">
              <w:rPr>
                <w:sz w:val="20"/>
                <w:szCs w:val="20"/>
              </w:rPr>
              <w:t xml:space="preserve"> and endorsed by Steering Group</w:t>
            </w:r>
            <w:r w:rsidR="0039097E">
              <w:rPr>
                <w:sz w:val="20"/>
                <w:szCs w:val="20"/>
              </w:rPr>
              <w:t>.</w:t>
            </w:r>
          </w:p>
          <w:p w14:paraId="1AF3D865" w14:textId="77777777" w:rsidR="00F565B8" w:rsidRPr="00CF1431" w:rsidRDefault="00F565B8" w:rsidP="00582CDD">
            <w:pPr>
              <w:rPr>
                <w:sz w:val="20"/>
                <w:szCs w:val="20"/>
              </w:rPr>
            </w:pPr>
          </w:p>
          <w:p w14:paraId="0A3B5D00" w14:textId="77777777" w:rsidR="00073AA6" w:rsidRDefault="00F565B8" w:rsidP="006337D6">
            <w:pPr>
              <w:rPr>
                <w:sz w:val="20"/>
                <w:szCs w:val="20"/>
              </w:rPr>
            </w:pPr>
            <w:r w:rsidRPr="00CF1431">
              <w:rPr>
                <w:sz w:val="20"/>
                <w:szCs w:val="20"/>
                <w:u w:val="single"/>
              </w:rPr>
              <w:t>Mid-2026</w:t>
            </w:r>
            <w:r w:rsidRPr="00CF1431">
              <w:rPr>
                <w:sz w:val="20"/>
                <w:szCs w:val="20"/>
              </w:rPr>
              <w:t>: monitoring report using updated MERL framework</w:t>
            </w:r>
            <w:r w:rsidR="0039097E">
              <w:rPr>
                <w:sz w:val="20"/>
                <w:szCs w:val="20"/>
              </w:rPr>
              <w:t>.</w:t>
            </w:r>
          </w:p>
          <w:p w14:paraId="7F9DED15" w14:textId="1F1CF7D1" w:rsidR="006337D6" w:rsidRPr="00CF1431" w:rsidRDefault="006337D6" w:rsidP="006337D6">
            <w:pPr>
              <w:rPr>
                <w:sz w:val="20"/>
                <w:szCs w:val="20"/>
              </w:rPr>
            </w:pPr>
          </w:p>
        </w:tc>
      </w:tr>
      <w:tr w:rsidR="00582CDD" w:rsidRPr="000354F0" w14:paraId="62E0B616" w14:textId="77777777" w:rsidTr="7991366B">
        <w:tc>
          <w:tcPr>
            <w:tcW w:w="1129" w:type="dxa"/>
          </w:tcPr>
          <w:p w14:paraId="24F5632F" w14:textId="21C61DE3" w:rsidR="00582CDD" w:rsidRPr="000354F0" w:rsidRDefault="00582CDD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552" w:type="dxa"/>
          </w:tcPr>
          <w:p w14:paraId="2D5BDC11" w14:textId="367D9095" w:rsidR="00582CDD" w:rsidRPr="000354F0" w:rsidRDefault="00C27B98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Enhance oversight role and operation of the Steering Group</w:t>
            </w:r>
          </w:p>
        </w:tc>
        <w:tc>
          <w:tcPr>
            <w:tcW w:w="1417" w:type="dxa"/>
          </w:tcPr>
          <w:p w14:paraId="74EAB625" w14:textId="0776AD64" w:rsidR="00582CDD" w:rsidRPr="000354F0" w:rsidRDefault="00776076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Agree</w:t>
            </w:r>
          </w:p>
        </w:tc>
        <w:tc>
          <w:tcPr>
            <w:tcW w:w="4199" w:type="dxa"/>
          </w:tcPr>
          <w:p w14:paraId="6B5AB2DC" w14:textId="3A42E892" w:rsidR="00582CDD" w:rsidRPr="000354F0" w:rsidRDefault="002C4A21" w:rsidP="0058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DFAT and </w:t>
            </w:r>
            <w:r w:rsidR="00776076" w:rsidRPr="000354F0">
              <w:rPr>
                <w:sz w:val="20"/>
                <w:szCs w:val="20"/>
              </w:rPr>
              <w:t>T</w:t>
            </w:r>
            <w:r w:rsidR="00547AF9">
              <w:rPr>
                <w:sz w:val="20"/>
                <w:szCs w:val="20"/>
              </w:rPr>
              <w:t xml:space="preserve">APQE </w:t>
            </w:r>
            <w:r>
              <w:rPr>
                <w:sz w:val="20"/>
                <w:szCs w:val="20"/>
              </w:rPr>
              <w:t xml:space="preserve">agree the Steering Group should have an enhanced role in the operation of the program. TAPQE </w:t>
            </w:r>
            <w:r w:rsidR="00547AF9">
              <w:rPr>
                <w:sz w:val="20"/>
                <w:szCs w:val="20"/>
              </w:rPr>
              <w:t xml:space="preserve">will work with MEHRD and </w:t>
            </w:r>
            <w:r w:rsidR="00F94906">
              <w:rPr>
                <w:sz w:val="20"/>
                <w:szCs w:val="20"/>
              </w:rPr>
              <w:t xml:space="preserve">other stakeholders </w:t>
            </w:r>
            <w:r w:rsidR="00547AF9">
              <w:rPr>
                <w:sz w:val="20"/>
                <w:szCs w:val="20"/>
              </w:rPr>
              <w:t>to improve</w:t>
            </w:r>
            <w:r w:rsidR="00AD43D1">
              <w:rPr>
                <w:sz w:val="20"/>
                <w:szCs w:val="20"/>
              </w:rPr>
              <w:t xml:space="preserve"> strategic engagement with </w:t>
            </w:r>
            <w:r>
              <w:rPr>
                <w:sz w:val="20"/>
                <w:szCs w:val="20"/>
              </w:rPr>
              <w:t>the</w:t>
            </w:r>
            <w:r w:rsidR="005E041E">
              <w:rPr>
                <w:sz w:val="20"/>
                <w:szCs w:val="20"/>
              </w:rPr>
              <w:t xml:space="preserve"> Steering</w:t>
            </w:r>
            <w:r w:rsidR="00776076" w:rsidRPr="000354F0">
              <w:rPr>
                <w:sz w:val="20"/>
                <w:szCs w:val="20"/>
              </w:rPr>
              <w:t xml:space="preserve"> </w:t>
            </w:r>
            <w:r w:rsidR="00AD43D1">
              <w:rPr>
                <w:sz w:val="20"/>
                <w:szCs w:val="20"/>
              </w:rPr>
              <w:t xml:space="preserve">Group. </w:t>
            </w:r>
          </w:p>
        </w:tc>
        <w:tc>
          <w:tcPr>
            <w:tcW w:w="2325" w:type="dxa"/>
          </w:tcPr>
          <w:p w14:paraId="2C81B30D" w14:textId="54970770" w:rsidR="00904523" w:rsidRDefault="00904523" w:rsidP="005737B1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TAPQE</w:t>
            </w:r>
            <w:r>
              <w:rPr>
                <w:sz w:val="20"/>
                <w:szCs w:val="20"/>
              </w:rPr>
              <w:t xml:space="preserve"> to consult with key stakeholders on enhancing Steering Group’s role.</w:t>
            </w:r>
          </w:p>
          <w:p w14:paraId="319332EE" w14:textId="77777777" w:rsidR="00904523" w:rsidRDefault="00904523" w:rsidP="005737B1">
            <w:pPr>
              <w:rPr>
                <w:sz w:val="20"/>
                <w:szCs w:val="20"/>
              </w:rPr>
            </w:pPr>
          </w:p>
          <w:p w14:paraId="118C80DC" w14:textId="12836911" w:rsidR="005E5ED9" w:rsidRPr="005737B1" w:rsidRDefault="005737B1" w:rsidP="005737B1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TAPQE team</w:t>
            </w:r>
            <w:r>
              <w:rPr>
                <w:sz w:val="20"/>
                <w:szCs w:val="20"/>
              </w:rPr>
              <w:t xml:space="preserve"> to present proposal to Steering Group.</w:t>
            </w:r>
            <w:r w:rsidR="000A6A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</w:tcPr>
          <w:p w14:paraId="2A800C6E" w14:textId="257DDDF3" w:rsidR="000C25DE" w:rsidRPr="00CF1431" w:rsidRDefault="00410D92" w:rsidP="00582C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September</w:t>
            </w:r>
            <w:r w:rsidRPr="00CF1431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="000C25DE" w:rsidRPr="00CF1431">
              <w:rPr>
                <w:sz w:val="20"/>
                <w:szCs w:val="20"/>
                <w:u w:val="single"/>
                <w:lang w:val="en-US"/>
              </w:rPr>
              <w:t>2025</w:t>
            </w:r>
            <w:r w:rsidR="000C25DE" w:rsidRPr="00CF1431">
              <w:rPr>
                <w:sz w:val="20"/>
                <w:szCs w:val="20"/>
                <w:lang w:val="en-US"/>
              </w:rPr>
              <w:t xml:space="preserve">: Steering Group Meeting to </w:t>
            </w:r>
            <w:r w:rsidR="00FC78D4" w:rsidRPr="00CF1431">
              <w:rPr>
                <w:sz w:val="20"/>
                <w:szCs w:val="20"/>
                <w:lang w:val="en-US"/>
              </w:rPr>
              <w:t xml:space="preserve">review </w:t>
            </w:r>
            <w:r w:rsidR="004656F9">
              <w:rPr>
                <w:sz w:val="20"/>
                <w:szCs w:val="20"/>
                <w:lang w:val="en-US"/>
              </w:rPr>
              <w:t>terms of reference, composition</w:t>
            </w:r>
            <w:r w:rsidR="004656F9" w:rsidRPr="00CF1431">
              <w:rPr>
                <w:sz w:val="20"/>
                <w:szCs w:val="20"/>
                <w:lang w:val="en-US"/>
              </w:rPr>
              <w:t xml:space="preserve"> </w:t>
            </w:r>
            <w:r w:rsidR="00FC78D4" w:rsidRPr="00CF1431">
              <w:rPr>
                <w:sz w:val="20"/>
                <w:szCs w:val="20"/>
                <w:lang w:val="en-US"/>
              </w:rPr>
              <w:t xml:space="preserve">and discuss </w:t>
            </w:r>
            <w:r w:rsidR="00AA4028" w:rsidRPr="00CF1431">
              <w:rPr>
                <w:sz w:val="20"/>
                <w:szCs w:val="20"/>
                <w:lang w:val="en-US"/>
              </w:rPr>
              <w:t>enhanced</w:t>
            </w:r>
            <w:r w:rsidR="000C25DE" w:rsidRPr="00CF1431">
              <w:rPr>
                <w:sz w:val="20"/>
                <w:szCs w:val="20"/>
                <w:lang w:val="en-US"/>
              </w:rPr>
              <w:t xml:space="preserve"> role</w:t>
            </w:r>
            <w:r w:rsidR="0039097E">
              <w:rPr>
                <w:sz w:val="20"/>
                <w:szCs w:val="20"/>
                <w:lang w:val="en-US"/>
              </w:rPr>
              <w:t>.</w:t>
            </w:r>
          </w:p>
          <w:p w14:paraId="755E8DB9" w14:textId="77777777" w:rsidR="000C25DE" w:rsidRPr="00CF1431" w:rsidRDefault="000C25DE" w:rsidP="00582CDD">
            <w:pPr>
              <w:rPr>
                <w:sz w:val="20"/>
                <w:szCs w:val="20"/>
              </w:rPr>
            </w:pPr>
          </w:p>
          <w:p w14:paraId="5870A149" w14:textId="6D590D65" w:rsidR="00C82FA8" w:rsidRPr="00CF1431" w:rsidRDefault="00CF1431" w:rsidP="00582CDD">
            <w:pPr>
              <w:rPr>
                <w:sz w:val="20"/>
                <w:szCs w:val="20"/>
              </w:rPr>
            </w:pPr>
            <w:r w:rsidRPr="00CF1431">
              <w:rPr>
                <w:sz w:val="20"/>
                <w:szCs w:val="20"/>
                <w:u w:val="single"/>
              </w:rPr>
              <w:t xml:space="preserve">November </w:t>
            </w:r>
            <w:r w:rsidR="00904523" w:rsidRPr="00CF1431">
              <w:rPr>
                <w:sz w:val="20"/>
                <w:szCs w:val="20"/>
                <w:u w:val="single"/>
              </w:rPr>
              <w:t>202</w:t>
            </w:r>
            <w:r w:rsidRPr="00CF1431">
              <w:rPr>
                <w:sz w:val="20"/>
                <w:szCs w:val="20"/>
                <w:u w:val="single"/>
              </w:rPr>
              <w:t>5</w:t>
            </w:r>
            <w:r w:rsidR="000C25DE" w:rsidRPr="00CF1431">
              <w:rPr>
                <w:sz w:val="20"/>
                <w:szCs w:val="20"/>
              </w:rPr>
              <w:t>:</w:t>
            </w:r>
            <w:r w:rsidR="00904523" w:rsidRPr="00CF1431">
              <w:rPr>
                <w:sz w:val="20"/>
                <w:szCs w:val="20"/>
              </w:rPr>
              <w:t xml:space="preserve"> report on </w:t>
            </w:r>
            <w:r w:rsidR="00291FDD" w:rsidRPr="00CF1431">
              <w:rPr>
                <w:sz w:val="20"/>
                <w:szCs w:val="20"/>
              </w:rPr>
              <w:t>enhanced</w:t>
            </w:r>
            <w:r w:rsidR="00904523" w:rsidRPr="00CF1431">
              <w:rPr>
                <w:sz w:val="20"/>
                <w:szCs w:val="20"/>
              </w:rPr>
              <w:t xml:space="preserve"> role of Steering </w:t>
            </w:r>
            <w:r w:rsidR="00AF4384" w:rsidRPr="00CF1431">
              <w:rPr>
                <w:sz w:val="20"/>
                <w:szCs w:val="20"/>
              </w:rPr>
              <w:t>Group.</w:t>
            </w:r>
            <w:r w:rsidR="000C25DE" w:rsidRPr="00CF1431">
              <w:rPr>
                <w:sz w:val="20"/>
                <w:szCs w:val="20"/>
              </w:rPr>
              <w:t xml:space="preserve"> </w:t>
            </w:r>
          </w:p>
          <w:p w14:paraId="563830CB" w14:textId="6FF4053C" w:rsidR="000C25DE" w:rsidRPr="00CF1431" w:rsidRDefault="000C25DE" w:rsidP="00582CDD">
            <w:pPr>
              <w:rPr>
                <w:sz w:val="20"/>
                <w:szCs w:val="20"/>
              </w:rPr>
            </w:pPr>
          </w:p>
        </w:tc>
      </w:tr>
      <w:tr w:rsidR="00582CDD" w:rsidRPr="000354F0" w14:paraId="570397B5" w14:textId="77777777" w:rsidTr="7991366B">
        <w:tc>
          <w:tcPr>
            <w:tcW w:w="1129" w:type="dxa"/>
          </w:tcPr>
          <w:p w14:paraId="61B65331" w14:textId="48754895" w:rsidR="00582CDD" w:rsidRPr="000354F0" w:rsidRDefault="00582CDD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4997A92C" w14:textId="5481CB3F" w:rsidR="00582CDD" w:rsidRPr="000354F0" w:rsidRDefault="00582634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Maximise effective and efficient use of TAPQE personnel resources</w:t>
            </w:r>
          </w:p>
        </w:tc>
        <w:tc>
          <w:tcPr>
            <w:tcW w:w="1417" w:type="dxa"/>
          </w:tcPr>
          <w:p w14:paraId="2AA2598A" w14:textId="799AAAB1" w:rsidR="00582CDD" w:rsidRPr="000354F0" w:rsidRDefault="00582634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Agree</w:t>
            </w:r>
          </w:p>
        </w:tc>
        <w:tc>
          <w:tcPr>
            <w:tcW w:w="4199" w:type="dxa"/>
          </w:tcPr>
          <w:p w14:paraId="3151DBB3" w14:textId="423B6251" w:rsidR="00582CDD" w:rsidRPr="000354F0" w:rsidRDefault="00582634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With a focus on sustainability</w:t>
            </w:r>
            <w:r w:rsidR="00C02338" w:rsidRPr="000354F0">
              <w:rPr>
                <w:sz w:val="20"/>
                <w:szCs w:val="20"/>
              </w:rPr>
              <w:t xml:space="preserve"> and localisation, </w:t>
            </w:r>
            <w:r w:rsidR="00AD617B">
              <w:rPr>
                <w:sz w:val="20"/>
                <w:szCs w:val="20"/>
              </w:rPr>
              <w:t>DFAT will support</w:t>
            </w:r>
            <w:r w:rsidR="00C02338" w:rsidRPr="000354F0">
              <w:rPr>
                <w:sz w:val="20"/>
                <w:szCs w:val="20"/>
              </w:rPr>
              <w:t xml:space="preserve"> the TAPQE </w:t>
            </w:r>
            <w:r w:rsidR="000C58DD" w:rsidRPr="000354F0">
              <w:rPr>
                <w:sz w:val="20"/>
                <w:szCs w:val="20"/>
              </w:rPr>
              <w:t xml:space="preserve">Program </w:t>
            </w:r>
            <w:r w:rsidR="000C58DD">
              <w:rPr>
                <w:sz w:val="20"/>
                <w:szCs w:val="20"/>
              </w:rPr>
              <w:t>office</w:t>
            </w:r>
            <w:r w:rsidR="00374359">
              <w:rPr>
                <w:sz w:val="20"/>
                <w:szCs w:val="20"/>
              </w:rPr>
              <w:t xml:space="preserve"> </w:t>
            </w:r>
            <w:r w:rsidR="00CA7752">
              <w:rPr>
                <w:sz w:val="20"/>
                <w:szCs w:val="20"/>
              </w:rPr>
              <w:t>to</w:t>
            </w:r>
            <w:r w:rsidR="00B01A4A">
              <w:rPr>
                <w:sz w:val="20"/>
                <w:szCs w:val="20"/>
              </w:rPr>
              <w:t xml:space="preserve"> review </w:t>
            </w:r>
            <w:r w:rsidR="00374359">
              <w:rPr>
                <w:sz w:val="20"/>
                <w:szCs w:val="20"/>
              </w:rPr>
              <w:t xml:space="preserve">its </w:t>
            </w:r>
            <w:r w:rsidR="00B01A4A">
              <w:rPr>
                <w:sz w:val="20"/>
                <w:szCs w:val="20"/>
              </w:rPr>
              <w:t>staffing arrangements</w:t>
            </w:r>
            <w:r w:rsidR="009F76E1">
              <w:rPr>
                <w:sz w:val="20"/>
                <w:szCs w:val="20"/>
              </w:rPr>
              <w:t xml:space="preserve"> to improve </w:t>
            </w:r>
            <w:r w:rsidR="00407B74" w:rsidRPr="000354F0">
              <w:rPr>
                <w:sz w:val="20"/>
                <w:szCs w:val="20"/>
              </w:rPr>
              <w:t xml:space="preserve">effectiveness and efficiency. </w:t>
            </w:r>
          </w:p>
        </w:tc>
        <w:tc>
          <w:tcPr>
            <w:tcW w:w="2325" w:type="dxa"/>
          </w:tcPr>
          <w:p w14:paraId="2C663054" w14:textId="7499631D" w:rsidR="00582CDD" w:rsidRPr="000354F0" w:rsidRDefault="00582634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TAPQE team</w:t>
            </w:r>
            <w:r w:rsidR="009F76E1">
              <w:rPr>
                <w:sz w:val="20"/>
                <w:szCs w:val="20"/>
              </w:rPr>
              <w:t xml:space="preserve"> to present </w:t>
            </w:r>
            <w:r w:rsidR="004877BB">
              <w:rPr>
                <w:sz w:val="20"/>
                <w:szCs w:val="20"/>
              </w:rPr>
              <w:t xml:space="preserve">proposal to Steering Group. </w:t>
            </w:r>
          </w:p>
        </w:tc>
        <w:tc>
          <w:tcPr>
            <w:tcW w:w="2325" w:type="dxa"/>
          </w:tcPr>
          <w:p w14:paraId="3C0002E3" w14:textId="01243A67" w:rsidR="00582CDD" w:rsidRPr="00CF1431" w:rsidRDefault="00B65804" w:rsidP="00582CDD">
            <w:pPr>
              <w:rPr>
                <w:sz w:val="20"/>
                <w:szCs w:val="20"/>
                <w:lang w:val="en-US"/>
              </w:rPr>
            </w:pPr>
            <w:r w:rsidRPr="00CF1431">
              <w:rPr>
                <w:sz w:val="20"/>
                <w:szCs w:val="20"/>
                <w:u w:val="single"/>
                <w:lang w:val="en-US"/>
              </w:rPr>
              <w:t xml:space="preserve">November </w:t>
            </w:r>
            <w:r w:rsidR="000C25DE" w:rsidRPr="00CF1431">
              <w:rPr>
                <w:sz w:val="20"/>
                <w:szCs w:val="20"/>
                <w:u w:val="single"/>
                <w:lang w:val="en-US"/>
              </w:rPr>
              <w:t>2025</w:t>
            </w:r>
            <w:r w:rsidR="000C25DE" w:rsidRPr="00CF1431">
              <w:rPr>
                <w:sz w:val="20"/>
                <w:szCs w:val="20"/>
                <w:lang w:val="en-US"/>
              </w:rPr>
              <w:t>: Steering Group Meeting to endorse proposal</w:t>
            </w:r>
            <w:r w:rsidR="00904523" w:rsidRPr="00CF1431">
              <w:rPr>
                <w:sz w:val="20"/>
                <w:szCs w:val="20"/>
                <w:lang w:val="en-US"/>
              </w:rPr>
              <w:t>.</w:t>
            </w:r>
          </w:p>
          <w:p w14:paraId="495DA473" w14:textId="77777777" w:rsidR="00904523" w:rsidRPr="00CF1431" w:rsidRDefault="00904523" w:rsidP="00582CDD">
            <w:pPr>
              <w:rPr>
                <w:sz w:val="20"/>
                <w:szCs w:val="20"/>
                <w:lang w:val="en-US"/>
              </w:rPr>
            </w:pPr>
          </w:p>
          <w:p w14:paraId="38C0D18B" w14:textId="7FCD4994" w:rsidR="00904523" w:rsidRPr="00CF1431" w:rsidRDefault="00CF0BEA" w:rsidP="00904523">
            <w:pPr>
              <w:rPr>
                <w:sz w:val="20"/>
                <w:szCs w:val="20"/>
                <w:lang w:val="en-US"/>
              </w:rPr>
            </w:pPr>
            <w:r w:rsidRPr="00CF1431">
              <w:rPr>
                <w:sz w:val="20"/>
                <w:szCs w:val="20"/>
                <w:u w:val="single"/>
                <w:lang w:val="en-US"/>
              </w:rPr>
              <w:t xml:space="preserve">By </w:t>
            </w:r>
            <w:r w:rsidR="00904523" w:rsidRPr="00CF1431">
              <w:rPr>
                <w:sz w:val="20"/>
                <w:szCs w:val="20"/>
                <w:u w:val="single"/>
                <w:lang w:val="en-US"/>
              </w:rPr>
              <w:t>December 2025</w:t>
            </w:r>
            <w:r w:rsidR="00904523" w:rsidRPr="00CF1431">
              <w:rPr>
                <w:sz w:val="20"/>
                <w:szCs w:val="20"/>
                <w:lang w:val="en-US"/>
              </w:rPr>
              <w:t>: update documentation to align with changes to resourcing.</w:t>
            </w:r>
          </w:p>
          <w:p w14:paraId="583399FC" w14:textId="77777777" w:rsidR="00904523" w:rsidRPr="00CF1431" w:rsidRDefault="00904523" w:rsidP="00904523">
            <w:pPr>
              <w:rPr>
                <w:sz w:val="20"/>
                <w:szCs w:val="20"/>
                <w:lang w:val="en-US"/>
              </w:rPr>
            </w:pPr>
          </w:p>
          <w:p w14:paraId="4EA7463E" w14:textId="6D1E9560" w:rsidR="00904523" w:rsidRPr="00CF1431" w:rsidRDefault="00904523" w:rsidP="00904523">
            <w:pPr>
              <w:rPr>
                <w:sz w:val="20"/>
                <w:szCs w:val="20"/>
                <w:lang w:val="en-US"/>
              </w:rPr>
            </w:pPr>
            <w:r w:rsidRPr="00CF1431">
              <w:rPr>
                <w:sz w:val="20"/>
                <w:szCs w:val="20"/>
                <w:u w:val="single"/>
                <w:lang w:val="en-US"/>
              </w:rPr>
              <w:t>Mid-2026</w:t>
            </w:r>
            <w:r w:rsidRPr="00CF1431">
              <w:rPr>
                <w:sz w:val="20"/>
                <w:szCs w:val="20"/>
                <w:lang w:val="en-US"/>
              </w:rPr>
              <w:t xml:space="preserve">: monitoring report against </w:t>
            </w:r>
            <w:r w:rsidR="00CF1431">
              <w:rPr>
                <w:sz w:val="20"/>
                <w:szCs w:val="20"/>
                <w:lang w:val="en-US"/>
              </w:rPr>
              <w:t xml:space="preserve">resourcing </w:t>
            </w:r>
            <w:r w:rsidRPr="00CF1431">
              <w:rPr>
                <w:sz w:val="20"/>
                <w:szCs w:val="20"/>
                <w:lang w:val="en-US"/>
              </w:rPr>
              <w:t>changes.</w:t>
            </w:r>
          </w:p>
          <w:p w14:paraId="6758D93C" w14:textId="7B437D6C" w:rsidR="00904523" w:rsidRPr="00CF1431" w:rsidRDefault="00904523" w:rsidP="00582CDD">
            <w:pPr>
              <w:rPr>
                <w:sz w:val="20"/>
                <w:szCs w:val="20"/>
              </w:rPr>
            </w:pPr>
          </w:p>
        </w:tc>
      </w:tr>
      <w:tr w:rsidR="00582CDD" w:rsidRPr="000354F0" w14:paraId="465207F2" w14:textId="77777777" w:rsidTr="7991366B">
        <w:tc>
          <w:tcPr>
            <w:tcW w:w="1129" w:type="dxa"/>
          </w:tcPr>
          <w:p w14:paraId="3FDFF21D" w14:textId="566E6208" w:rsidR="00582CDD" w:rsidRPr="000354F0" w:rsidRDefault="00582CDD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28C76640" w14:textId="57ABE23A" w:rsidR="00582CDD" w:rsidRPr="000354F0" w:rsidRDefault="00A97A6A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Options to update Program design</w:t>
            </w:r>
          </w:p>
        </w:tc>
        <w:tc>
          <w:tcPr>
            <w:tcW w:w="1417" w:type="dxa"/>
          </w:tcPr>
          <w:p w14:paraId="0D5829F1" w14:textId="37C84F6D" w:rsidR="00582CDD" w:rsidRPr="000354F0" w:rsidRDefault="00A97A6A" w:rsidP="00582CDD">
            <w:pPr>
              <w:rPr>
                <w:sz w:val="20"/>
                <w:szCs w:val="20"/>
              </w:rPr>
            </w:pPr>
            <w:r w:rsidRPr="000354F0">
              <w:rPr>
                <w:sz w:val="20"/>
                <w:szCs w:val="20"/>
              </w:rPr>
              <w:t>Agree</w:t>
            </w:r>
          </w:p>
        </w:tc>
        <w:tc>
          <w:tcPr>
            <w:tcW w:w="4199" w:type="dxa"/>
          </w:tcPr>
          <w:p w14:paraId="2E4FBC48" w14:textId="77777777" w:rsidR="00582CDD" w:rsidRDefault="000C25DE" w:rsidP="0058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DFAT agrees </w:t>
            </w:r>
            <w:r w:rsidR="000E3C08">
              <w:rPr>
                <w:sz w:val="20"/>
                <w:szCs w:val="20"/>
              </w:rPr>
              <w:t xml:space="preserve">the program design should be updated </w:t>
            </w:r>
            <w:r w:rsidR="007C3A1B">
              <w:rPr>
                <w:sz w:val="20"/>
                <w:szCs w:val="20"/>
              </w:rPr>
              <w:t xml:space="preserve">when the current phase of TAPQE concludes in 2027 </w:t>
            </w:r>
            <w:r w:rsidR="000E3C08">
              <w:rPr>
                <w:sz w:val="20"/>
                <w:szCs w:val="20"/>
              </w:rPr>
              <w:t>to better reflect</w:t>
            </w:r>
            <w:r w:rsidR="008E0203">
              <w:rPr>
                <w:sz w:val="20"/>
                <w:szCs w:val="20"/>
              </w:rPr>
              <w:t xml:space="preserve"> the</w:t>
            </w:r>
            <w:r w:rsidR="000E3C08">
              <w:rPr>
                <w:sz w:val="20"/>
                <w:szCs w:val="20"/>
              </w:rPr>
              <w:t xml:space="preserve"> context</w:t>
            </w:r>
            <w:r w:rsidR="008E0203">
              <w:rPr>
                <w:sz w:val="20"/>
                <w:szCs w:val="20"/>
              </w:rPr>
              <w:t xml:space="preserve"> of </w:t>
            </w:r>
            <w:r w:rsidR="00CF0BEA">
              <w:rPr>
                <w:sz w:val="20"/>
                <w:szCs w:val="20"/>
              </w:rPr>
              <w:t xml:space="preserve">the </w:t>
            </w:r>
            <w:r w:rsidR="008E0203">
              <w:rPr>
                <w:sz w:val="20"/>
                <w:szCs w:val="20"/>
              </w:rPr>
              <w:t>education</w:t>
            </w:r>
            <w:r w:rsidR="00CF0BEA">
              <w:rPr>
                <w:sz w:val="20"/>
                <w:szCs w:val="20"/>
              </w:rPr>
              <w:t xml:space="preserve"> sector</w:t>
            </w:r>
            <w:r w:rsidR="000E3C08">
              <w:rPr>
                <w:sz w:val="20"/>
                <w:szCs w:val="20"/>
              </w:rPr>
              <w:t xml:space="preserve"> in Tuvalu.</w:t>
            </w:r>
          </w:p>
          <w:p w14:paraId="0A4DA924" w14:textId="6644F046" w:rsidR="00EE40A7" w:rsidRPr="000354F0" w:rsidRDefault="00EE40A7" w:rsidP="00582CDD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605E9275" w14:textId="707FAD35" w:rsidR="000354F0" w:rsidRPr="000354F0" w:rsidRDefault="000C25DE" w:rsidP="0058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DFAT </w:t>
            </w:r>
            <w:r w:rsidR="00C111D4">
              <w:rPr>
                <w:sz w:val="20"/>
                <w:szCs w:val="20"/>
              </w:rPr>
              <w:t>to convene consultations with key stakeholders in Tuvalu</w:t>
            </w:r>
            <w:r>
              <w:rPr>
                <w:sz w:val="20"/>
                <w:szCs w:val="20"/>
              </w:rPr>
              <w:t xml:space="preserve"> and Australia</w:t>
            </w:r>
            <w:r w:rsidR="00C111D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325" w:type="dxa"/>
          </w:tcPr>
          <w:p w14:paraId="27257E2D" w14:textId="57BE2DC2" w:rsidR="00582CDD" w:rsidRPr="000354F0" w:rsidRDefault="000C25DE" w:rsidP="0058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Re-design process anticipated to commence in mid-2026.</w:t>
            </w:r>
          </w:p>
        </w:tc>
      </w:tr>
    </w:tbl>
    <w:p w14:paraId="2302539F" w14:textId="77777777" w:rsidR="00582CDD" w:rsidRPr="00582CDD" w:rsidRDefault="00582CDD" w:rsidP="00582CDD"/>
    <w:sectPr w:rsidR="00582CDD" w:rsidRPr="00582CDD" w:rsidSect="009F1CB3">
      <w:headerReference w:type="default" r:id="rId11"/>
      <w:foot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1130" w14:textId="77777777" w:rsidR="004E68DB" w:rsidRDefault="004E68DB" w:rsidP="00C277B4">
      <w:pPr>
        <w:spacing w:after="0" w:line="240" w:lineRule="auto"/>
      </w:pPr>
      <w:r>
        <w:separator/>
      </w:r>
    </w:p>
  </w:endnote>
  <w:endnote w:type="continuationSeparator" w:id="0">
    <w:p w14:paraId="1BB7E246" w14:textId="77777777" w:rsidR="004E68DB" w:rsidRDefault="004E68DB" w:rsidP="00C2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2866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B39FC" w14:textId="6927834E" w:rsidR="00BB0D2E" w:rsidRDefault="00BB0D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41EC21" w14:textId="77777777" w:rsidR="00BB0D2E" w:rsidRDefault="00BB0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A3BA" w14:textId="77777777" w:rsidR="004E68DB" w:rsidRDefault="004E68DB" w:rsidP="00C277B4">
      <w:pPr>
        <w:spacing w:after="0" w:line="240" w:lineRule="auto"/>
      </w:pPr>
      <w:r>
        <w:separator/>
      </w:r>
    </w:p>
  </w:footnote>
  <w:footnote w:type="continuationSeparator" w:id="0">
    <w:p w14:paraId="117080AA" w14:textId="77777777" w:rsidR="004E68DB" w:rsidRDefault="004E68DB" w:rsidP="00C2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66A0" w14:textId="05C157DD" w:rsidR="004777A7" w:rsidRDefault="004777A7" w:rsidP="004777A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8F2A" w14:textId="4922F586" w:rsidR="004777A7" w:rsidRDefault="009F1CB3" w:rsidP="009F1CB3">
    <w:pPr>
      <w:pStyle w:val="Header"/>
      <w:ind w:left="4320"/>
      <w:jc w:val="right"/>
    </w:pPr>
    <w:r>
      <w:t>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26D32"/>
    <w:multiLevelType w:val="hybridMultilevel"/>
    <w:tmpl w:val="E8FCBD0E"/>
    <w:lvl w:ilvl="0" w:tplc="CC9629E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807F9"/>
    <w:multiLevelType w:val="hybridMultilevel"/>
    <w:tmpl w:val="8CA29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D2CA0"/>
    <w:multiLevelType w:val="hybridMultilevel"/>
    <w:tmpl w:val="4D54E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B216E"/>
    <w:multiLevelType w:val="hybridMultilevel"/>
    <w:tmpl w:val="6386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B2035"/>
    <w:multiLevelType w:val="hybridMultilevel"/>
    <w:tmpl w:val="B6C2BF1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082455">
    <w:abstractNumId w:val="2"/>
  </w:num>
  <w:num w:numId="2" w16cid:durableId="599339323">
    <w:abstractNumId w:val="0"/>
  </w:num>
  <w:num w:numId="3" w16cid:durableId="867328652">
    <w:abstractNumId w:val="4"/>
  </w:num>
  <w:num w:numId="4" w16cid:durableId="783617960">
    <w:abstractNumId w:val="1"/>
  </w:num>
  <w:num w:numId="5" w16cid:durableId="38632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DD"/>
    <w:rsid w:val="00000DC0"/>
    <w:rsid w:val="00004E14"/>
    <w:rsid w:val="00015FC4"/>
    <w:rsid w:val="00017020"/>
    <w:rsid w:val="00031862"/>
    <w:rsid w:val="0003354E"/>
    <w:rsid w:val="000354F0"/>
    <w:rsid w:val="0003791F"/>
    <w:rsid w:val="000535A7"/>
    <w:rsid w:val="00053B4B"/>
    <w:rsid w:val="00072EAC"/>
    <w:rsid w:val="00073AA6"/>
    <w:rsid w:val="00086499"/>
    <w:rsid w:val="00087009"/>
    <w:rsid w:val="00092237"/>
    <w:rsid w:val="000A37F2"/>
    <w:rsid w:val="000A6A4B"/>
    <w:rsid w:val="000C25DE"/>
    <w:rsid w:val="000C58DD"/>
    <w:rsid w:val="000D1D93"/>
    <w:rsid w:val="000E1E62"/>
    <w:rsid w:val="000E3C08"/>
    <w:rsid w:val="000E7DF9"/>
    <w:rsid w:val="00120AB5"/>
    <w:rsid w:val="00127402"/>
    <w:rsid w:val="001358DC"/>
    <w:rsid w:val="00152349"/>
    <w:rsid w:val="00156A14"/>
    <w:rsid w:val="00170DD2"/>
    <w:rsid w:val="00185C85"/>
    <w:rsid w:val="001A598D"/>
    <w:rsid w:val="001C620B"/>
    <w:rsid w:val="001D0A3B"/>
    <w:rsid w:val="001D39CD"/>
    <w:rsid w:val="001F4B3A"/>
    <w:rsid w:val="001F5D7C"/>
    <w:rsid w:val="001F764A"/>
    <w:rsid w:val="0020623D"/>
    <w:rsid w:val="00216D63"/>
    <w:rsid w:val="00221B8B"/>
    <w:rsid w:val="00225FEB"/>
    <w:rsid w:val="00235A0E"/>
    <w:rsid w:val="002502DB"/>
    <w:rsid w:val="00253EC8"/>
    <w:rsid w:val="002730DF"/>
    <w:rsid w:val="00287DD5"/>
    <w:rsid w:val="00290FCC"/>
    <w:rsid w:val="00291FDD"/>
    <w:rsid w:val="002A0989"/>
    <w:rsid w:val="002A34B5"/>
    <w:rsid w:val="002A5253"/>
    <w:rsid w:val="002C2200"/>
    <w:rsid w:val="002C275F"/>
    <w:rsid w:val="002C4A21"/>
    <w:rsid w:val="002F0C34"/>
    <w:rsid w:val="00300213"/>
    <w:rsid w:val="00311F8D"/>
    <w:rsid w:val="003123B2"/>
    <w:rsid w:val="003172BA"/>
    <w:rsid w:val="0034226A"/>
    <w:rsid w:val="003428F8"/>
    <w:rsid w:val="00342DBB"/>
    <w:rsid w:val="003438B3"/>
    <w:rsid w:val="00357137"/>
    <w:rsid w:val="00374359"/>
    <w:rsid w:val="0038135D"/>
    <w:rsid w:val="003869B0"/>
    <w:rsid w:val="0039097E"/>
    <w:rsid w:val="00397F03"/>
    <w:rsid w:val="003A148A"/>
    <w:rsid w:val="003A639B"/>
    <w:rsid w:val="003B2B1B"/>
    <w:rsid w:val="003B74A0"/>
    <w:rsid w:val="003C1EDF"/>
    <w:rsid w:val="003F1ECE"/>
    <w:rsid w:val="00407408"/>
    <w:rsid w:val="00407B74"/>
    <w:rsid w:val="00410D92"/>
    <w:rsid w:val="00417F0A"/>
    <w:rsid w:val="00425ABB"/>
    <w:rsid w:val="004328CA"/>
    <w:rsid w:val="00444491"/>
    <w:rsid w:val="00451CA2"/>
    <w:rsid w:val="00452B23"/>
    <w:rsid w:val="00461282"/>
    <w:rsid w:val="0046282D"/>
    <w:rsid w:val="00462C2A"/>
    <w:rsid w:val="0046569C"/>
    <w:rsid w:val="004656F9"/>
    <w:rsid w:val="004777A7"/>
    <w:rsid w:val="004877BB"/>
    <w:rsid w:val="00490EC0"/>
    <w:rsid w:val="004956BA"/>
    <w:rsid w:val="004A1D91"/>
    <w:rsid w:val="004A6F83"/>
    <w:rsid w:val="004B2F93"/>
    <w:rsid w:val="004C5369"/>
    <w:rsid w:val="004C5EC0"/>
    <w:rsid w:val="004E1D9C"/>
    <w:rsid w:val="004E5745"/>
    <w:rsid w:val="004E68DB"/>
    <w:rsid w:val="004F6F64"/>
    <w:rsid w:val="004F7433"/>
    <w:rsid w:val="00513081"/>
    <w:rsid w:val="00522C6E"/>
    <w:rsid w:val="0053526A"/>
    <w:rsid w:val="0053648D"/>
    <w:rsid w:val="00547AF9"/>
    <w:rsid w:val="005719CC"/>
    <w:rsid w:val="005721DB"/>
    <w:rsid w:val="005737B1"/>
    <w:rsid w:val="00573C89"/>
    <w:rsid w:val="005823E2"/>
    <w:rsid w:val="00582634"/>
    <w:rsid w:val="00582CDD"/>
    <w:rsid w:val="00592072"/>
    <w:rsid w:val="00595C53"/>
    <w:rsid w:val="005C0495"/>
    <w:rsid w:val="005C269C"/>
    <w:rsid w:val="005C5346"/>
    <w:rsid w:val="005E041E"/>
    <w:rsid w:val="005E3CEC"/>
    <w:rsid w:val="005E5ED9"/>
    <w:rsid w:val="005E6412"/>
    <w:rsid w:val="006037F5"/>
    <w:rsid w:val="00613218"/>
    <w:rsid w:val="00622517"/>
    <w:rsid w:val="0063015B"/>
    <w:rsid w:val="006337D6"/>
    <w:rsid w:val="00640315"/>
    <w:rsid w:val="00640867"/>
    <w:rsid w:val="00650624"/>
    <w:rsid w:val="00650B3F"/>
    <w:rsid w:val="00653FB0"/>
    <w:rsid w:val="006543F6"/>
    <w:rsid w:val="0066604E"/>
    <w:rsid w:val="00666493"/>
    <w:rsid w:val="00672B29"/>
    <w:rsid w:val="00682595"/>
    <w:rsid w:val="006A44E6"/>
    <w:rsid w:val="006A77A6"/>
    <w:rsid w:val="006C76B8"/>
    <w:rsid w:val="00702D6D"/>
    <w:rsid w:val="00703003"/>
    <w:rsid w:val="00715F27"/>
    <w:rsid w:val="007248B9"/>
    <w:rsid w:val="00745F04"/>
    <w:rsid w:val="007745F6"/>
    <w:rsid w:val="007746BD"/>
    <w:rsid w:val="00776076"/>
    <w:rsid w:val="00780E8C"/>
    <w:rsid w:val="00792F5D"/>
    <w:rsid w:val="007A0B3F"/>
    <w:rsid w:val="007A35F0"/>
    <w:rsid w:val="007A4E44"/>
    <w:rsid w:val="007B11EA"/>
    <w:rsid w:val="007B198A"/>
    <w:rsid w:val="007C3A1B"/>
    <w:rsid w:val="007D0143"/>
    <w:rsid w:val="007E2EB5"/>
    <w:rsid w:val="007F297C"/>
    <w:rsid w:val="008210E3"/>
    <w:rsid w:val="00825EBB"/>
    <w:rsid w:val="00830C85"/>
    <w:rsid w:val="00835DBB"/>
    <w:rsid w:val="0084696B"/>
    <w:rsid w:val="008656B5"/>
    <w:rsid w:val="008756C4"/>
    <w:rsid w:val="008809A1"/>
    <w:rsid w:val="00884F9C"/>
    <w:rsid w:val="008864F9"/>
    <w:rsid w:val="008C4E2E"/>
    <w:rsid w:val="008D4DD0"/>
    <w:rsid w:val="008E0203"/>
    <w:rsid w:val="008E6E8E"/>
    <w:rsid w:val="008F7F0B"/>
    <w:rsid w:val="00900BE9"/>
    <w:rsid w:val="00902E12"/>
    <w:rsid w:val="00904523"/>
    <w:rsid w:val="0091169F"/>
    <w:rsid w:val="00912BCF"/>
    <w:rsid w:val="00920858"/>
    <w:rsid w:val="009361EE"/>
    <w:rsid w:val="00941D65"/>
    <w:rsid w:val="00942970"/>
    <w:rsid w:val="0095288B"/>
    <w:rsid w:val="009539C8"/>
    <w:rsid w:val="00957965"/>
    <w:rsid w:val="00957AAA"/>
    <w:rsid w:val="0098488E"/>
    <w:rsid w:val="00984A0A"/>
    <w:rsid w:val="009B0E85"/>
    <w:rsid w:val="009B10E5"/>
    <w:rsid w:val="009B2427"/>
    <w:rsid w:val="009B4836"/>
    <w:rsid w:val="009C40E0"/>
    <w:rsid w:val="009D0E26"/>
    <w:rsid w:val="009E20FA"/>
    <w:rsid w:val="009F1CB3"/>
    <w:rsid w:val="009F76E1"/>
    <w:rsid w:val="00A02F20"/>
    <w:rsid w:val="00A2391F"/>
    <w:rsid w:val="00A357BD"/>
    <w:rsid w:val="00A426E7"/>
    <w:rsid w:val="00A45841"/>
    <w:rsid w:val="00A46426"/>
    <w:rsid w:val="00A5224A"/>
    <w:rsid w:val="00A52677"/>
    <w:rsid w:val="00A555CA"/>
    <w:rsid w:val="00A71A07"/>
    <w:rsid w:val="00A74221"/>
    <w:rsid w:val="00A75F93"/>
    <w:rsid w:val="00A76FAF"/>
    <w:rsid w:val="00A80400"/>
    <w:rsid w:val="00A81168"/>
    <w:rsid w:val="00A877FF"/>
    <w:rsid w:val="00A9018E"/>
    <w:rsid w:val="00A969FB"/>
    <w:rsid w:val="00A97A6A"/>
    <w:rsid w:val="00AA4028"/>
    <w:rsid w:val="00AB0A70"/>
    <w:rsid w:val="00AC7C56"/>
    <w:rsid w:val="00AD43D1"/>
    <w:rsid w:val="00AD617B"/>
    <w:rsid w:val="00AF4384"/>
    <w:rsid w:val="00AF7641"/>
    <w:rsid w:val="00AF7971"/>
    <w:rsid w:val="00B01A4A"/>
    <w:rsid w:val="00B15940"/>
    <w:rsid w:val="00B247B1"/>
    <w:rsid w:val="00B2533A"/>
    <w:rsid w:val="00B333AF"/>
    <w:rsid w:val="00B334BC"/>
    <w:rsid w:val="00B61451"/>
    <w:rsid w:val="00B65804"/>
    <w:rsid w:val="00B706ED"/>
    <w:rsid w:val="00B840C2"/>
    <w:rsid w:val="00B9471B"/>
    <w:rsid w:val="00B978C1"/>
    <w:rsid w:val="00BB0D2E"/>
    <w:rsid w:val="00BB4D25"/>
    <w:rsid w:val="00BC09C9"/>
    <w:rsid w:val="00BC6041"/>
    <w:rsid w:val="00BC60E8"/>
    <w:rsid w:val="00BC70A1"/>
    <w:rsid w:val="00BD1181"/>
    <w:rsid w:val="00BE6CAA"/>
    <w:rsid w:val="00C00594"/>
    <w:rsid w:val="00C02338"/>
    <w:rsid w:val="00C03E86"/>
    <w:rsid w:val="00C051EA"/>
    <w:rsid w:val="00C0703A"/>
    <w:rsid w:val="00C111D4"/>
    <w:rsid w:val="00C237F4"/>
    <w:rsid w:val="00C24BA5"/>
    <w:rsid w:val="00C266F1"/>
    <w:rsid w:val="00C277B4"/>
    <w:rsid w:val="00C27B98"/>
    <w:rsid w:val="00C351E7"/>
    <w:rsid w:val="00C45CFC"/>
    <w:rsid w:val="00C61C5D"/>
    <w:rsid w:val="00C82FA8"/>
    <w:rsid w:val="00C91F9B"/>
    <w:rsid w:val="00C92DE1"/>
    <w:rsid w:val="00CA7752"/>
    <w:rsid w:val="00CB1E26"/>
    <w:rsid w:val="00CB2657"/>
    <w:rsid w:val="00CB2F06"/>
    <w:rsid w:val="00CB367D"/>
    <w:rsid w:val="00CB73DF"/>
    <w:rsid w:val="00CC1DEC"/>
    <w:rsid w:val="00CC47C4"/>
    <w:rsid w:val="00CD2FAD"/>
    <w:rsid w:val="00CE0159"/>
    <w:rsid w:val="00CF0BEA"/>
    <w:rsid w:val="00CF1431"/>
    <w:rsid w:val="00D10360"/>
    <w:rsid w:val="00D16A2D"/>
    <w:rsid w:val="00D307F8"/>
    <w:rsid w:val="00D40A3C"/>
    <w:rsid w:val="00D4229A"/>
    <w:rsid w:val="00D577F0"/>
    <w:rsid w:val="00D72636"/>
    <w:rsid w:val="00DA2C20"/>
    <w:rsid w:val="00DD0C3F"/>
    <w:rsid w:val="00DD2F43"/>
    <w:rsid w:val="00DF5E74"/>
    <w:rsid w:val="00E0292A"/>
    <w:rsid w:val="00E06CD8"/>
    <w:rsid w:val="00E232B9"/>
    <w:rsid w:val="00E2424B"/>
    <w:rsid w:val="00E314FD"/>
    <w:rsid w:val="00E5211E"/>
    <w:rsid w:val="00E5224C"/>
    <w:rsid w:val="00E67B48"/>
    <w:rsid w:val="00E70E3A"/>
    <w:rsid w:val="00E7526B"/>
    <w:rsid w:val="00E927B7"/>
    <w:rsid w:val="00EA2260"/>
    <w:rsid w:val="00EA5950"/>
    <w:rsid w:val="00EB09E1"/>
    <w:rsid w:val="00EB20F2"/>
    <w:rsid w:val="00ED06CB"/>
    <w:rsid w:val="00ED1DAF"/>
    <w:rsid w:val="00EE3922"/>
    <w:rsid w:val="00EE40A7"/>
    <w:rsid w:val="00EE57B4"/>
    <w:rsid w:val="00EE6AEC"/>
    <w:rsid w:val="00EF6B98"/>
    <w:rsid w:val="00F00EE3"/>
    <w:rsid w:val="00F17EFE"/>
    <w:rsid w:val="00F258F4"/>
    <w:rsid w:val="00F41C2B"/>
    <w:rsid w:val="00F545BC"/>
    <w:rsid w:val="00F565B8"/>
    <w:rsid w:val="00F60B9F"/>
    <w:rsid w:val="00F660BD"/>
    <w:rsid w:val="00F94906"/>
    <w:rsid w:val="00FA68F8"/>
    <w:rsid w:val="00FB0E0A"/>
    <w:rsid w:val="00FB556F"/>
    <w:rsid w:val="00FC78D4"/>
    <w:rsid w:val="2A510A75"/>
    <w:rsid w:val="2C55C8AE"/>
    <w:rsid w:val="3EFB3254"/>
    <w:rsid w:val="46887E57"/>
    <w:rsid w:val="4B916D76"/>
    <w:rsid w:val="59340C55"/>
    <w:rsid w:val="798E4F5D"/>
    <w:rsid w:val="7991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E1066"/>
  <w15:chartTrackingRefBased/>
  <w15:docId w15:val="{FD22D2AF-8A90-4D9C-BFD0-324A7970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595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595"/>
    <w:p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59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825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C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D2E"/>
  </w:style>
  <w:style w:type="paragraph" w:styleId="Footer">
    <w:name w:val="footer"/>
    <w:basedOn w:val="Normal"/>
    <w:link w:val="FooterChar"/>
    <w:uiPriority w:val="99"/>
    <w:unhideWhenUsed/>
    <w:rsid w:val="00BB0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D2E"/>
  </w:style>
  <w:style w:type="paragraph" w:styleId="Revision">
    <w:name w:val="Revision"/>
    <w:hidden/>
    <w:uiPriority w:val="99"/>
    <w:semiHidden/>
    <w:rsid w:val="00884F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4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B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B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FAC6AB8B644A99DC8F89F51DDD4D" ma:contentTypeVersion="18" ma:contentTypeDescription="Create a new document." ma:contentTypeScope="" ma:versionID="94fd4875e7e138d1d85a354ffb305e7a">
  <xsd:schema xmlns:xsd="http://www.w3.org/2001/XMLSchema" xmlns:xs="http://www.w3.org/2001/XMLSchema" xmlns:p="http://schemas.microsoft.com/office/2006/metadata/properties" xmlns:ns2="fd553ead-1a80-496c-9811-84850591db5e" xmlns:ns3="de1d7913-2b48-4fb4-9e5c-239c7c65333c" targetNamespace="http://schemas.microsoft.com/office/2006/metadata/properties" ma:root="true" ma:fieldsID="bb7c6f66504c17b93375b2fe2705f7af" ns2:_="" ns3:_="">
    <xsd:import namespace="fd553ead-1a80-496c-9811-84850591db5e"/>
    <xsd:import namespace="de1d7913-2b48-4fb4-9e5c-239c7c653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53ead-1a80-496c-9811-84850591d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d7913-2b48-4fb4-9e5c-239c7c6533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d8995-b945-4c2e-9616-bb5aa99e1739}" ma:internalName="TaxCatchAll" ma:showField="CatchAllData" ma:web="de1d7913-2b48-4fb4-9e5c-239c7c653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1d7913-2b48-4fb4-9e5c-239c7c65333c" xsi:nil="true"/>
    <Number xmlns="fd553ead-1a80-496c-9811-84850591db5e" xsi:nil="true"/>
    <lcf76f155ced4ddcb4097134ff3c332f xmlns="fd553ead-1a80-496c-9811-84850591d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ED5C88-60D4-46FC-B17F-EBBCB922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53ead-1a80-496c-9811-84850591db5e"/>
    <ds:schemaRef ds:uri="de1d7913-2b48-4fb4-9e5c-239c7c653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9F866-9824-42EE-B4FA-482480BDD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8A182-CAA8-4C91-9D7C-8046A5E6C2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B01A68-AABB-40EF-BC2D-009A86C3863E}">
  <ds:schemaRefs>
    <ds:schemaRef ds:uri="de1d7913-2b48-4fb4-9e5c-239c7c65333c"/>
    <ds:schemaRef ds:uri="fd553ead-1a80-496c-9811-84850591db5e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4485</Characters>
  <Application>Microsoft Office Word</Application>
  <DocSecurity>0</DocSecurity>
  <Lines>179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Mid-Term Review of the Tuvalu Australia Partnership for Quality Education (TAPQE) Program – DFAT Management Response</dc:title>
  <dc:subject/>
  <dc:creator>Australian Government Department of Foreign Affairs and Trade</dc:creator>
  <cp:keywords>[SEC=OFFICIAL]</cp:keywords>
  <dc:description/>
  <cp:lastModifiedBy>Patrick Baggoley</cp:lastModifiedBy>
  <cp:revision>3</cp:revision>
  <dcterms:created xsi:type="dcterms:W3CDTF">2025-10-03T01:33:00Z</dcterms:created>
  <dcterms:modified xsi:type="dcterms:W3CDTF">2025-10-13T05:37:00Z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v=2022.1;a=SHA256;h=D2029202213E8085B902BA378A0DA207806D93659CAC6BE26B26345AC95787AC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2025-03-18T05:30:34Z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E5329D78ADFF18985C404F3A4015F7B7C209C4C5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5B31357A9EF34DE3A34C3C845BBE7B79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C427463A240001568B1E728057080C091949066E05DD342FA6B5B9F6FF33F8D6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9E91974FECAC28B2C6D61DA60B4917FA</vt:lpwstr>
  </property>
  <property fmtid="{D5CDD505-2E9C-101B-9397-08002B2CF9AE}" pid="25" name="PM_Hash_Salt">
    <vt:lpwstr>932F1C97BAFD122F22589D76CB4F6FD1</vt:lpwstr>
  </property>
  <property fmtid="{D5CDD505-2E9C-101B-9397-08002B2CF9AE}" pid="26" name="PM_Hash_SHA1">
    <vt:lpwstr>E376DCAC761BB8CDAEE10799465BB1117AB5207B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ContentTypeId">
    <vt:lpwstr>0x010100A1DDFAC6AB8B644A99DC8F89F51DDD4D</vt:lpwstr>
  </property>
  <property fmtid="{D5CDD505-2E9C-101B-9397-08002B2CF9AE}" pid="30" name="MediaServiceImageTags">
    <vt:lpwstr/>
  </property>
  <property fmtid="{D5CDD505-2E9C-101B-9397-08002B2CF9AE}" pid="31" name="PM_Expires">
    <vt:lpwstr/>
  </property>
  <property fmtid="{D5CDD505-2E9C-101B-9397-08002B2CF9AE}" pid="32" name="PM_DownTo">
    <vt:lpwstr/>
  </property>
</Properties>
</file>