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2B5BD" w14:textId="6A22782B" w:rsidR="00AC13A0" w:rsidRDefault="00883CE6" w:rsidP="00043629">
      <w:pPr>
        <w:pStyle w:val="Heading1"/>
        <w:jc w:val="center"/>
      </w:pPr>
      <w:r w:rsidRPr="000309FB">
        <w:t>DFAT Management Response</w:t>
      </w:r>
      <w:r w:rsidR="00AC13A0">
        <w:t xml:space="preserve"> to</w:t>
      </w:r>
    </w:p>
    <w:p w14:paraId="1FC2E64F" w14:textId="014CEBF3" w:rsidR="00AC13A0" w:rsidRDefault="00AC13A0" w:rsidP="00043629">
      <w:pPr>
        <w:pStyle w:val="Heading1"/>
        <w:jc w:val="center"/>
      </w:pPr>
      <w:r w:rsidRPr="3CA77060">
        <w:t xml:space="preserve">The </w:t>
      </w:r>
      <w:r w:rsidR="00FF7A5C">
        <w:t xml:space="preserve">Mid – Term Review </w:t>
      </w:r>
      <w:r w:rsidRPr="3CA77060">
        <w:t xml:space="preserve">for </w:t>
      </w:r>
      <w:r w:rsidR="00FF7A5C">
        <w:t>Vietnam Private Sector Development Partnership (VPSDP) with IFC</w:t>
      </w:r>
    </w:p>
    <w:p w14:paraId="563515AC" w14:textId="06F0EBCD" w:rsidR="00883CE6" w:rsidRPr="000309FB" w:rsidRDefault="00446471" w:rsidP="00043629">
      <w:pPr>
        <w:pStyle w:val="Heading1"/>
        <w:jc w:val="center"/>
      </w:pPr>
      <w:r>
        <w:t xml:space="preserve">June </w:t>
      </w:r>
      <w:r w:rsidR="00883CE6" w:rsidRPr="3CA77060">
        <w:t>202</w:t>
      </w:r>
      <w:r w:rsidR="00D07F6D" w:rsidRPr="3CA77060">
        <w:t>6</w:t>
      </w:r>
    </w:p>
    <w:p w14:paraId="36414984" w14:textId="7126543E" w:rsidR="00E26D69" w:rsidRDefault="007C7657" w:rsidP="008D63D7">
      <w:pPr>
        <w:pStyle w:val="BodyText"/>
        <w:jc w:val="both"/>
        <w:rPr>
          <w:rFonts w:asciiTheme="minorHAnsi" w:hAnsiTheme="minorHAnsi" w:cs="Calibri"/>
        </w:rPr>
      </w:pPr>
      <w:r>
        <w:rPr>
          <w:rFonts w:asciiTheme="minorHAnsi" w:hAnsiTheme="minorHAnsi" w:cs="Calibri"/>
          <w:lang w:val="en-AU"/>
        </w:rPr>
        <w:t xml:space="preserve">The Vietnam </w:t>
      </w:r>
      <w:r w:rsidR="008D63D7" w:rsidRPr="001820F3">
        <w:rPr>
          <w:rFonts w:asciiTheme="minorHAnsi" w:hAnsiTheme="minorHAnsi" w:cs="Calibri"/>
          <w:lang w:val="en-AU"/>
        </w:rPr>
        <w:t xml:space="preserve">Private Sector Development Partnership (VPSDP) </w:t>
      </w:r>
      <w:r w:rsidR="008D63D7" w:rsidRPr="001820F3">
        <w:rPr>
          <w:rFonts w:asciiTheme="minorHAnsi" w:hAnsiTheme="minorHAnsi" w:cs="Calibri"/>
        </w:rPr>
        <w:t xml:space="preserve">is a </w:t>
      </w:r>
      <w:r w:rsidR="002445D1" w:rsidRPr="001820F3">
        <w:rPr>
          <w:rFonts w:asciiTheme="minorHAnsi" w:hAnsiTheme="minorHAnsi" w:cs="Calibri"/>
        </w:rPr>
        <w:t>5</w:t>
      </w:r>
      <w:r w:rsidR="00952A77" w:rsidRPr="001820F3">
        <w:rPr>
          <w:rFonts w:asciiTheme="minorHAnsi" w:hAnsiTheme="minorHAnsi" w:cs="Calibri"/>
        </w:rPr>
        <w:t xml:space="preserve">-year </w:t>
      </w:r>
      <w:r w:rsidR="007842A6" w:rsidRPr="001820F3">
        <w:rPr>
          <w:rFonts w:asciiTheme="minorHAnsi" w:hAnsiTheme="minorHAnsi" w:cs="Calibri"/>
        </w:rPr>
        <w:t>(202</w:t>
      </w:r>
      <w:r w:rsidR="00C905F8">
        <w:rPr>
          <w:rFonts w:asciiTheme="minorHAnsi" w:hAnsiTheme="minorHAnsi" w:cs="Calibri"/>
        </w:rPr>
        <w:t>2</w:t>
      </w:r>
      <w:r w:rsidR="007842A6" w:rsidRPr="001820F3">
        <w:rPr>
          <w:rFonts w:asciiTheme="minorHAnsi" w:hAnsiTheme="minorHAnsi" w:cs="Calibri"/>
        </w:rPr>
        <w:t xml:space="preserve"> – 2027) </w:t>
      </w:r>
      <w:r w:rsidR="00E26D69">
        <w:rPr>
          <w:rFonts w:asciiTheme="minorHAnsi" w:hAnsiTheme="minorHAnsi" w:cs="Calibri"/>
        </w:rPr>
        <w:t xml:space="preserve">partnership </w:t>
      </w:r>
      <w:r w:rsidR="00952A77" w:rsidRPr="001820F3">
        <w:rPr>
          <w:rFonts w:asciiTheme="minorHAnsi" w:hAnsiTheme="minorHAnsi" w:cs="Calibri"/>
        </w:rPr>
        <w:t>program</w:t>
      </w:r>
      <w:r w:rsidR="008D63D7" w:rsidRPr="001820F3">
        <w:rPr>
          <w:rFonts w:asciiTheme="minorHAnsi" w:hAnsiTheme="minorHAnsi" w:cs="Calibri"/>
        </w:rPr>
        <w:t xml:space="preserve"> between the Government of Australia (GoA) through the Department of Foreign Affairs and Trade (DFAT) and the International Finance Corporation (IFC)</w:t>
      </w:r>
      <w:r w:rsidR="003124DE" w:rsidRPr="001820F3">
        <w:rPr>
          <w:rFonts w:asciiTheme="minorHAnsi" w:hAnsiTheme="minorHAnsi" w:cs="Calibri"/>
        </w:rPr>
        <w:t xml:space="preserve"> </w:t>
      </w:r>
      <w:r w:rsidR="007842A6" w:rsidRPr="001820F3">
        <w:rPr>
          <w:rFonts w:asciiTheme="minorHAnsi" w:hAnsiTheme="minorHAnsi" w:cs="Calibri"/>
        </w:rPr>
        <w:t>with total value of AUD15million.</w:t>
      </w:r>
    </w:p>
    <w:p w14:paraId="56B3C6CA" w14:textId="266F778D" w:rsidR="009C71CA" w:rsidRPr="0082718E" w:rsidRDefault="00A66E30" w:rsidP="008D63D7">
      <w:pPr>
        <w:pStyle w:val="BodyText"/>
        <w:jc w:val="both"/>
        <w:rPr>
          <w:rFonts w:asciiTheme="minorHAnsi" w:hAnsiTheme="minorHAnsi" w:cs="Calibri"/>
        </w:rPr>
      </w:pPr>
      <w:r w:rsidRPr="001820F3">
        <w:rPr>
          <w:rFonts w:asciiTheme="minorHAnsi" w:hAnsiTheme="minorHAnsi" w:cs="Calibri"/>
        </w:rPr>
        <w:t xml:space="preserve">The </w:t>
      </w:r>
      <w:r w:rsidR="001820F3" w:rsidRPr="001820F3">
        <w:rPr>
          <w:rFonts w:asciiTheme="minorHAnsi" w:hAnsiTheme="minorHAnsi" w:cs="Calibri"/>
        </w:rPr>
        <w:t>overall goal of this program is to enhance the competitiveness and diversification of the private sector and to foster inclusive and sustainable COVID-19 recovery and economic growth</w:t>
      </w:r>
      <w:r w:rsidR="00B850A8">
        <w:rPr>
          <w:rFonts w:asciiTheme="minorHAnsi" w:hAnsiTheme="minorHAnsi" w:cs="Calibri"/>
        </w:rPr>
        <w:t xml:space="preserve"> through advisory and services</w:t>
      </w:r>
      <w:r w:rsidR="001820F3" w:rsidRPr="001820F3">
        <w:rPr>
          <w:rFonts w:asciiTheme="minorHAnsi" w:hAnsiTheme="minorHAnsi" w:cs="Calibri"/>
        </w:rPr>
        <w:t>. Th</w:t>
      </w:r>
      <w:r w:rsidR="001820F3" w:rsidRPr="001820F3">
        <w:rPr>
          <w:rFonts w:asciiTheme="minorHAnsi" w:hAnsiTheme="minorHAnsi" w:cs="Calibri"/>
          <w:lang w:val="en-AU"/>
        </w:rPr>
        <w:t xml:space="preserve">e </w:t>
      </w:r>
      <w:r w:rsidR="000D1EF6">
        <w:rPr>
          <w:rFonts w:asciiTheme="minorHAnsi" w:hAnsiTheme="minorHAnsi" w:cs="Calibri"/>
          <w:lang w:val="en-AU"/>
        </w:rPr>
        <w:t>objective is</w:t>
      </w:r>
      <w:r w:rsidR="002F28E4">
        <w:rPr>
          <w:rFonts w:asciiTheme="minorHAnsi" w:hAnsiTheme="minorHAnsi" w:cs="Calibri"/>
          <w:lang w:val="en-AU"/>
        </w:rPr>
        <w:t xml:space="preserve"> achieved </w:t>
      </w:r>
      <w:r w:rsidR="001820F3" w:rsidRPr="001820F3">
        <w:rPr>
          <w:rFonts w:asciiTheme="minorHAnsi" w:hAnsiTheme="minorHAnsi" w:cs="Calibri"/>
        </w:rPr>
        <w:t xml:space="preserve">through </w:t>
      </w:r>
      <w:r w:rsidR="001C4624">
        <w:rPr>
          <w:rFonts w:asciiTheme="minorHAnsi" w:hAnsiTheme="minorHAnsi" w:cs="Calibri"/>
        </w:rPr>
        <w:t xml:space="preserve">4 </w:t>
      </w:r>
      <w:r w:rsidR="001820F3" w:rsidRPr="001820F3">
        <w:rPr>
          <w:rFonts w:asciiTheme="minorHAnsi" w:hAnsiTheme="minorHAnsi" w:cs="Calibri"/>
        </w:rPr>
        <w:t>mutually reinforcing pillars</w:t>
      </w:r>
      <w:r w:rsidR="009C71CA">
        <w:rPr>
          <w:rFonts w:asciiTheme="minorHAnsi" w:hAnsiTheme="minorHAnsi" w:cs="Calibri"/>
        </w:rPr>
        <w:t xml:space="preserve">: </w:t>
      </w:r>
      <w:r w:rsidR="007C6B25" w:rsidRPr="0082718E">
        <w:rPr>
          <w:rFonts w:asciiTheme="minorHAnsi" w:hAnsiTheme="minorHAnsi" w:cs="Calibri"/>
        </w:rPr>
        <w:t>(</w:t>
      </w:r>
      <w:r w:rsidR="007A4E69" w:rsidRPr="0082718E">
        <w:rPr>
          <w:rFonts w:asciiTheme="minorHAnsi" w:hAnsiTheme="minorHAnsi" w:cs="Calibri"/>
        </w:rPr>
        <w:t>i</w:t>
      </w:r>
      <w:r w:rsidR="007C6B25" w:rsidRPr="0082718E">
        <w:rPr>
          <w:rFonts w:asciiTheme="minorHAnsi" w:hAnsiTheme="minorHAnsi" w:cs="Calibri"/>
        </w:rPr>
        <w:t xml:space="preserve">) </w:t>
      </w:r>
      <w:r w:rsidR="007A4E69" w:rsidRPr="0082718E">
        <w:rPr>
          <w:rFonts w:asciiTheme="minorHAnsi" w:hAnsiTheme="minorHAnsi" w:cs="Calibri"/>
        </w:rPr>
        <w:t>Enabling Environment for the private sector; (ii)</w:t>
      </w:r>
      <w:r w:rsidR="001C4624" w:rsidRPr="0082718E">
        <w:rPr>
          <w:rFonts w:asciiTheme="minorHAnsi" w:hAnsiTheme="minorHAnsi" w:cs="Calibri"/>
        </w:rPr>
        <w:t xml:space="preserve"> Accelerating inclusive and climate-smart private investment in key growth sectors; (iii)</w:t>
      </w:r>
      <w:r w:rsidR="00E854E1" w:rsidRPr="0082718E">
        <w:rPr>
          <w:rFonts w:asciiTheme="minorHAnsi" w:hAnsiTheme="minorHAnsi" w:cs="Calibri"/>
        </w:rPr>
        <w:t xml:space="preserve"> Creating a green, sustainable, and inclusive financial sector and (iv)</w:t>
      </w:r>
      <w:r w:rsidR="0082718E" w:rsidRPr="0082718E">
        <w:rPr>
          <w:rFonts w:asciiTheme="minorHAnsi" w:hAnsiTheme="minorHAnsi" w:cs="Calibri"/>
        </w:rPr>
        <w:t xml:space="preserve"> Enhancing Standards &amp; Gender Inclusion</w:t>
      </w:r>
    </w:p>
    <w:p w14:paraId="1618F04A" w14:textId="3F1FDE30" w:rsidR="006A5A3C" w:rsidRDefault="0082718E" w:rsidP="002A711F">
      <w:pPr>
        <w:autoSpaceDE w:val="0"/>
        <w:autoSpaceDN w:val="0"/>
        <w:adjustRightInd w:val="0"/>
        <w:spacing w:after="120"/>
        <w:jc w:val="both"/>
        <w:rPr>
          <w:rFonts w:cs="Calibri"/>
          <w:sz w:val="22"/>
          <w:szCs w:val="22"/>
        </w:rPr>
      </w:pPr>
      <w:r w:rsidRPr="002A711F">
        <w:rPr>
          <w:rFonts w:cs="Calibri"/>
          <w:sz w:val="22"/>
          <w:szCs w:val="22"/>
          <w:lang w:val="en-AU"/>
        </w:rPr>
        <w:t>A</w:t>
      </w:r>
      <w:r w:rsidR="003B57E8">
        <w:rPr>
          <w:rFonts w:cs="Calibri"/>
          <w:sz w:val="22"/>
          <w:szCs w:val="22"/>
          <w:lang w:val="en-AU"/>
        </w:rPr>
        <w:t>n independent</w:t>
      </w:r>
      <w:r w:rsidRPr="002A711F">
        <w:rPr>
          <w:rFonts w:cs="Calibri"/>
          <w:sz w:val="22"/>
          <w:szCs w:val="22"/>
          <w:lang w:val="en-AU"/>
        </w:rPr>
        <w:t xml:space="preserve"> </w:t>
      </w:r>
      <w:r w:rsidR="008D63D7" w:rsidRPr="002A711F">
        <w:rPr>
          <w:rFonts w:cs="Calibri"/>
          <w:sz w:val="22"/>
          <w:szCs w:val="22"/>
          <w:lang w:val="en-AU"/>
        </w:rPr>
        <w:t>M</w:t>
      </w:r>
      <w:r w:rsidRPr="002A711F">
        <w:rPr>
          <w:rFonts w:cs="Calibri"/>
          <w:sz w:val="22"/>
          <w:szCs w:val="22"/>
          <w:lang w:val="en-AU"/>
        </w:rPr>
        <w:t>id Term Review</w:t>
      </w:r>
      <w:r w:rsidR="00ED2D01">
        <w:rPr>
          <w:rFonts w:cs="Calibri"/>
          <w:sz w:val="22"/>
          <w:szCs w:val="22"/>
          <w:lang w:val="en-AU"/>
        </w:rPr>
        <w:t xml:space="preserve"> (MTR)</w:t>
      </w:r>
      <w:r w:rsidRPr="002A711F">
        <w:rPr>
          <w:rFonts w:cs="Calibri"/>
          <w:sz w:val="22"/>
          <w:szCs w:val="22"/>
          <w:lang w:val="en-AU"/>
        </w:rPr>
        <w:t xml:space="preserve"> </w:t>
      </w:r>
      <w:r w:rsidR="008D63D7" w:rsidRPr="002A711F">
        <w:rPr>
          <w:rFonts w:cs="Calibri"/>
          <w:sz w:val="22"/>
          <w:szCs w:val="22"/>
          <w:lang w:val="en-AU"/>
        </w:rPr>
        <w:t xml:space="preserve">was </w:t>
      </w:r>
      <w:r w:rsidR="001A6C1D">
        <w:rPr>
          <w:rFonts w:cs="Calibri"/>
          <w:sz w:val="22"/>
          <w:szCs w:val="22"/>
          <w:lang w:val="en-AU"/>
        </w:rPr>
        <w:t xml:space="preserve">carried out </w:t>
      </w:r>
      <w:r w:rsidR="008D63D7" w:rsidRPr="002A711F">
        <w:rPr>
          <w:rFonts w:cs="Calibri"/>
          <w:sz w:val="22"/>
          <w:szCs w:val="22"/>
          <w:lang w:val="en-AU"/>
        </w:rPr>
        <w:t>between January and March 2026</w:t>
      </w:r>
      <w:r w:rsidRPr="002A711F">
        <w:rPr>
          <w:rFonts w:cs="Calibri"/>
          <w:sz w:val="22"/>
          <w:szCs w:val="22"/>
          <w:lang w:val="en-AU"/>
        </w:rPr>
        <w:t xml:space="preserve"> to </w:t>
      </w:r>
      <w:r w:rsidR="000C519C" w:rsidRPr="002A711F">
        <w:rPr>
          <w:rFonts w:cs="Calibri"/>
          <w:sz w:val="22"/>
          <w:szCs w:val="22"/>
        </w:rPr>
        <w:t xml:space="preserve">(i) independently assess the VPSDP’s effectiveness and efficiency in achieving the intended </w:t>
      </w:r>
      <w:r w:rsidR="00812F45">
        <w:rPr>
          <w:rFonts w:cs="Calibri"/>
          <w:sz w:val="22"/>
          <w:szCs w:val="22"/>
        </w:rPr>
        <w:t xml:space="preserve">end-of-program outcomes </w:t>
      </w:r>
      <w:r w:rsidR="00D2185F">
        <w:rPr>
          <w:rFonts w:cs="Calibri"/>
          <w:sz w:val="22"/>
          <w:szCs w:val="22"/>
        </w:rPr>
        <w:t>(</w:t>
      </w:r>
      <w:r w:rsidR="000C519C" w:rsidRPr="002A711F">
        <w:rPr>
          <w:rFonts w:cs="Calibri"/>
          <w:sz w:val="22"/>
          <w:szCs w:val="22"/>
        </w:rPr>
        <w:t>EOPOs</w:t>
      </w:r>
      <w:r w:rsidR="00D2185F">
        <w:rPr>
          <w:rFonts w:cs="Calibri"/>
          <w:sz w:val="22"/>
          <w:szCs w:val="22"/>
        </w:rPr>
        <w:t>)</w:t>
      </w:r>
      <w:r w:rsidR="000C519C" w:rsidRPr="002A711F">
        <w:rPr>
          <w:rFonts w:cs="Calibri"/>
          <w:sz w:val="22"/>
          <w:szCs w:val="22"/>
        </w:rPr>
        <w:t xml:space="preserve"> to date; and (ii) based on the summative assessment, provide recommendations for improvement, strengthen the alignment with</w:t>
      </w:r>
      <w:r w:rsidR="006A5A3C">
        <w:rPr>
          <w:rFonts w:cs="Calibri"/>
          <w:sz w:val="22"/>
          <w:szCs w:val="22"/>
        </w:rPr>
        <w:t xml:space="preserve"> the policy priorities of the</w:t>
      </w:r>
      <w:r w:rsidR="000C519C" w:rsidRPr="002A711F">
        <w:rPr>
          <w:rFonts w:cs="Calibri"/>
          <w:sz w:val="22"/>
          <w:szCs w:val="22"/>
        </w:rPr>
        <w:t xml:space="preserve"> </w:t>
      </w:r>
      <w:r w:rsidR="006A5A3C">
        <w:rPr>
          <w:rFonts w:cs="Calibri"/>
          <w:sz w:val="22"/>
          <w:szCs w:val="22"/>
        </w:rPr>
        <w:t>GoA</w:t>
      </w:r>
      <w:r w:rsidR="000C519C" w:rsidRPr="002A711F">
        <w:rPr>
          <w:rFonts w:cs="Calibri"/>
          <w:sz w:val="22"/>
          <w:szCs w:val="22"/>
        </w:rPr>
        <w:t xml:space="preserve"> and </w:t>
      </w:r>
      <w:r w:rsidR="006B13A0">
        <w:rPr>
          <w:rFonts w:cs="Calibri"/>
          <w:sz w:val="22"/>
          <w:szCs w:val="22"/>
        </w:rPr>
        <w:t xml:space="preserve">the </w:t>
      </w:r>
      <w:r w:rsidR="000C519C" w:rsidRPr="002A711F">
        <w:rPr>
          <w:rFonts w:cs="Calibri"/>
          <w:sz w:val="22"/>
          <w:szCs w:val="22"/>
        </w:rPr>
        <w:t>Go</w:t>
      </w:r>
      <w:r w:rsidR="006B13A0">
        <w:rPr>
          <w:rFonts w:cs="Calibri"/>
          <w:sz w:val="22"/>
          <w:szCs w:val="22"/>
        </w:rPr>
        <w:t xml:space="preserve">vernment of </w:t>
      </w:r>
      <w:r w:rsidR="000C519C" w:rsidRPr="002A711F">
        <w:rPr>
          <w:rFonts w:cs="Calibri"/>
          <w:sz w:val="22"/>
          <w:szCs w:val="22"/>
        </w:rPr>
        <w:t>V</w:t>
      </w:r>
      <w:r w:rsidR="006B13A0">
        <w:rPr>
          <w:rFonts w:cs="Calibri"/>
          <w:sz w:val="22"/>
          <w:szCs w:val="22"/>
        </w:rPr>
        <w:t>ietnam (GoV)</w:t>
      </w:r>
      <w:r w:rsidR="000C519C" w:rsidRPr="002A711F">
        <w:rPr>
          <w:rFonts w:cs="Calibri"/>
          <w:sz w:val="22"/>
          <w:szCs w:val="22"/>
        </w:rPr>
        <w:t xml:space="preserve">. </w:t>
      </w:r>
    </w:p>
    <w:p w14:paraId="6B24C17F" w14:textId="449BB95E" w:rsidR="008D63D7" w:rsidRPr="002A711F" w:rsidRDefault="002A711F" w:rsidP="002A711F">
      <w:pPr>
        <w:autoSpaceDE w:val="0"/>
        <w:autoSpaceDN w:val="0"/>
        <w:adjustRightInd w:val="0"/>
        <w:spacing w:after="120"/>
        <w:jc w:val="both"/>
        <w:rPr>
          <w:rFonts w:cs="Calibri"/>
          <w:sz w:val="22"/>
          <w:szCs w:val="22"/>
          <w:lang w:val="en-AU"/>
        </w:rPr>
      </w:pPr>
      <w:r w:rsidRPr="002A711F">
        <w:rPr>
          <w:rFonts w:cs="Calibri"/>
          <w:sz w:val="22"/>
          <w:szCs w:val="22"/>
          <w:lang w:val="en-AU"/>
        </w:rPr>
        <w:t xml:space="preserve">The </w:t>
      </w:r>
      <w:r w:rsidR="00C905F8">
        <w:rPr>
          <w:rFonts w:cs="Calibri"/>
          <w:sz w:val="22"/>
          <w:szCs w:val="22"/>
          <w:lang w:val="en-AU"/>
        </w:rPr>
        <w:t xml:space="preserve">MTR </w:t>
      </w:r>
      <w:r w:rsidRPr="002A711F">
        <w:rPr>
          <w:rFonts w:cs="Calibri"/>
          <w:sz w:val="22"/>
          <w:szCs w:val="22"/>
          <w:lang w:val="en-AU"/>
        </w:rPr>
        <w:t>cover</w:t>
      </w:r>
      <w:r w:rsidR="00C905F8">
        <w:rPr>
          <w:rFonts w:cs="Calibri"/>
          <w:sz w:val="22"/>
          <w:szCs w:val="22"/>
          <w:lang w:val="en-AU"/>
        </w:rPr>
        <w:t>ed</w:t>
      </w:r>
      <w:r w:rsidR="007042BA">
        <w:rPr>
          <w:rFonts w:cs="Calibri"/>
          <w:sz w:val="22"/>
          <w:szCs w:val="22"/>
          <w:lang w:val="en-AU"/>
        </w:rPr>
        <w:t xml:space="preserve"> program activities implemented</w:t>
      </w:r>
      <w:r w:rsidR="001A6C1D">
        <w:rPr>
          <w:rFonts w:cs="Calibri"/>
          <w:sz w:val="22"/>
          <w:szCs w:val="22"/>
          <w:lang w:val="en-AU"/>
        </w:rPr>
        <w:t xml:space="preserve"> during the period </w:t>
      </w:r>
      <w:r w:rsidR="006C66E3">
        <w:rPr>
          <w:rFonts w:cs="Calibri"/>
          <w:sz w:val="22"/>
          <w:szCs w:val="22"/>
          <w:lang w:val="en-AU"/>
        </w:rPr>
        <w:t xml:space="preserve">from </w:t>
      </w:r>
      <w:r w:rsidR="007042BA">
        <w:rPr>
          <w:rFonts w:cs="Calibri"/>
          <w:sz w:val="22"/>
          <w:szCs w:val="22"/>
          <w:lang w:val="en-AU"/>
        </w:rPr>
        <w:t>A</w:t>
      </w:r>
      <w:r w:rsidRPr="002A711F">
        <w:rPr>
          <w:rFonts w:cs="Calibri"/>
          <w:sz w:val="22"/>
          <w:szCs w:val="22"/>
        </w:rPr>
        <w:t>pril 2022 to December 2025</w:t>
      </w:r>
      <w:r w:rsidR="007042BA">
        <w:rPr>
          <w:rFonts w:cs="Calibri"/>
          <w:sz w:val="22"/>
          <w:szCs w:val="22"/>
        </w:rPr>
        <w:t xml:space="preserve"> and </w:t>
      </w:r>
      <w:r w:rsidRPr="002A711F">
        <w:rPr>
          <w:rFonts w:cs="Calibri"/>
          <w:sz w:val="22"/>
          <w:szCs w:val="22"/>
        </w:rPr>
        <w:t>applied</w:t>
      </w:r>
      <w:r w:rsidRPr="002A711F">
        <w:rPr>
          <w:rFonts w:cs="Calibri"/>
          <w:color w:val="000000"/>
          <w:sz w:val="22"/>
          <w:szCs w:val="22"/>
        </w:rPr>
        <w:t xml:space="preserve"> the </w:t>
      </w:r>
      <w:r w:rsidR="006711F0">
        <w:rPr>
          <w:rFonts w:cs="Calibri"/>
          <w:color w:val="000000"/>
          <w:sz w:val="22"/>
          <w:szCs w:val="22"/>
        </w:rPr>
        <w:t>OECD - DAC</w:t>
      </w:r>
      <w:r w:rsidRPr="002A711F">
        <w:rPr>
          <w:rFonts w:cs="Calibri"/>
          <w:color w:val="000000"/>
          <w:sz w:val="22"/>
          <w:szCs w:val="22"/>
        </w:rPr>
        <w:t xml:space="preserve"> evaluation criteria, with particular focus on relevance, coherence, effectiveness, and efficiency. </w:t>
      </w:r>
      <w:r w:rsidR="006711F0">
        <w:rPr>
          <w:rFonts w:cs="Calibri"/>
          <w:color w:val="000000"/>
          <w:sz w:val="22"/>
          <w:szCs w:val="22"/>
        </w:rPr>
        <w:t>Methodologies include</w:t>
      </w:r>
      <w:r w:rsidR="00CA1BFD">
        <w:rPr>
          <w:rFonts w:cs="Calibri"/>
          <w:color w:val="000000"/>
          <w:sz w:val="22"/>
          <w:szCs w:val="22"/>
        </w:rPr>
        <w:t xml:space="preserve">d </w:t>
      </w:r>
      <w:r w:rsidR="008D63D7" w:rsidRPr="002A711F">
        <w:rPr>
          <w:rFonts w:cs="Calibri"/>
          <w:sz w:val="22"/>
          <w:szCs w:val="22"/>
          <w:lang w:val="en-AU"/>
        </w:rPr>
        <w:t xml:space="preserve">a desk review of </w:t>
      </w:r>
      <w:r w:rsidR="00CA1BFD">
        <w:rPr>
          <w:rFonts w:cs="Calibri"/>
          <w:sz w:val="22"/>
          <w:szCs w:val="22"/>
          <w:lang w:val="en-AU"/>
        </w:rPr>
        <w:t>project</w:t>
      </w:r>
      <w:r w:rsidR="008D63D7" w:rsidRPr="002A711F">
        <w:rPr>
          <w:rFonts w:cs="Calibri"/>
          <w:sz w:val="22"/>
          <w:szCs w:val="22"/>
          <w:lang w:val="en-AU"/>
        </w:rPr>
        <w:t xml:space="preserve"> documents, a field mission to</w:t>
      </w:r>
      <w:r w:rsidR="007C7657">
        <w:rPr>
          <w:rFonts w:cs="Calibri"/>
          <w:sz w:val="22"/>
          <w:szCs w:val="22"/>
          <w:lang w:val="en-AU"/>
        </w:rPr>
        <w:t xml:space="preserve"> Vietnam</w:t>
      </w:r>
      <w:r w:rsidR="008D63D7" w:rsidRPr="002A711F">
        <w:rPr>
          <w:rFonts w:cs="Calibri"/>
          <w:sz w:val="22"/>
          <w:szCs w:val="22"/>
          <w:lang w:val="en-AU"/>
        </w:rPr>
        <w:t xml:space="preserve"> and a </w:t>
      </w:r>
      <w:r w:rsidR="00CA1BFD">
        <w:rPr>
          <w:rFonts w:cs="Calibri"/>
          <w:sz w:val="22"/>
          <w:szCs w:val="22"/>
          <w:lang w:val="en-AU"/>
        </w:rPr>
        <w:t xml:space="preserve">combined of </w:t>
      </w:r>
      <w:r w:rsidR="008D63D7" w:rsidRPr="002A711F">
        <w:rPr>
          <w:rFonts w:cs="Calibri"/>
          <w:sz w:val="22"/>
          <w:szCs w:val="22"/>
          <w:lang w:val="en-AU"/>
        </w:rPr>
        <w:t xml:space="preserve">online and </w:t>
      </w:r>
      <w:r w:rsidR="00CA1BFD">
        <w:rPr>
          <w:rFonts w:cs="Calibri"/>
          <w:sz w:val="22"/>
          <w:szCs w:val="22"/>
          <w:lang w:val="en-AU"/>
        </w:rPr>
        <w:t xml:space="preserve">in-person </w:t>
      </w:r>
      <w:r w:rsidR="008D63D7" w:rsidRPr="002A711F">
        <w:rPr>
          <w:rFonts w:cs="Calibri"/>
          <w:sz w:val="22"/>
          <w:szCs w:val="22"/>
          <w:lang w:val="en-AU"/>
        </w:rPr>
        <w:t>interviews.</w:t>
      </w:r>
      <w:r w:rsidR="003E72E1">
        <w:rPr>
          <w:rFonts w:cs="Calibri"/>
          <w:sz w:val="22"/>
          <w:szCs w:val="22"/>
          <w:lang w:val="en-AU"/>
        </w:rPr>
        <w:t xml:space="preserve"> A total of</w:t>
      </w:r>
      <w:r w:rsidR="00E50097">
        <w:rPr>
          <w:rFonts w:cs="Calibri"/>
          <w:sz w:val="22"/>
          <w:szCs w:val="22"/>
          <w:lang w:val="en-AU"/>
        </w:rPr>
        <w:t xml:space="preserve"> </w:t>
      </w:r>
      <w:r w:rsidR="00771B34">
        <w:rPr>
          <w:rFonts w:cs="Calibri"/>
          <w:sz w:val="22"/>
          <w:szCs w:val="22"/>
          <w:lang w:val="en-AU"/>
        </w:rPr>
        <w:t xml:space="preserve">38 </w:t>
      </w:r>
      <w:r w:rsidR="00E50097">
        <w:rPr>
          <w:rFonts w:cs="Calibri"/>
          <w:sz w:val="22"/>
          <w:szCs w:val="22"/>
          <w:lang w:val="en-AU"/>
        </w:rPr>
        <w:t>people</w:t>
      </w:r>
      <w:r w:rsidR="00771B34">
        <w:rPr>
          <w:rFonts w:cs="Calibri"/>
          <w:sz w:val="22"/>
          <w:szCs w:val="22"/>
          <w:lang w:val="en-AU"/>
        </w:rPr>
        <w:t xml:space="preserve"> (15 male and 23 female)</w:t>
      </w:r>
      <w:r w:rsidR="00E50097">
        <w:rPr>
          <w:rFonts w:cs="Calibri"/>
          <w:sz w:val="22"/>
          <w:szCs w:val="22"/>
          <w:lang w:val="en-AU"/>
        </w:rPr>
        <w:t xml:space="preserve"> participated in various consultations</w:t>
      </w:r>
      <w:r w:rsidR="00235926">
        <w:rPr>
          <w:rFonts w:cs="Calibri"/>
          <w:sz w:val="22"/>
          <w:szCs w:val="22"/>
          <w:lang w:val="en-AU"/>
        </w:rPr>
        <w:t>, interviews and engagements</w:t>
      </w:r>
      <w:r w:rsidR="00D2281C">
        <w:rPr>
          <w:rFonts w:cs="Calibri"/>
          <w:sz w:val="22"/>
          <w:szCs w:val="22"/>
          <w:lang w:val="en-AU"/>
        </w:rPr>
        <w:t xml:space="preserve"> to contribute to the final evaluation. </w:t>
      </w:r>
    </w:p>
    <w:p w14:paraId="64CA2C26" w14:textId="09CF73DB" w:rsidR="008D3C89" w:rsidRPr="00C65D2A" w:rsidRDefault="00F655C8" w:rsidP="00B20115">
      <w:pPr>
        <w:pStyle w:val="BodyText"/>
        <w:spacing w:after="120" w:line="276" w:lineRule="auto"/>
        <w:rPr>
          <w:rFonts w:asciiTheme="minorHAnsi" w:hAnsiTheme="minorHAnsi"/>
          <w:b/>
          <w:bCs/>
        </w:rPr>
      </w:pPr>
      <w:r w:rsidRPr="00C65D2A">
        <w:rPr>
          <w:rFonts w:asciiTheme="minorHAnsi" w:eastAsia="Helvetica Neue" w:hAnsiTheme="minorHAnsi" w:cs="Helvetica Neue"/>
          <w:b/>
          <w:bCs/>
        </w:rPr>
        <w:t>Summary of</w:t>
      </w:r>
      <w:r w:rsidR="00935583">
        <w:rPr>
          <w:rFonts w:asciiTheme="minorHAnsi" w:eastAsia="Helvetica Neue" w:hAnsiTheme="minorHAnsi" w:cs="Helvetica Neue"/>
          <w:b/>
          <w:bCs/>
        </w:rPr>
        <w:t xml:space="preserve"> </w:t>
      </w:r>
      <w:r w:rsidR="00FF6B2E">
        <w:rPr>
          <w:rFonts w:asciiTheme="minorHAnsi" w:eastAsia="Helvetica Neue" w:hAnsiTheme="minorHAnsi" w:cs="Helvetica Neue"/>
          <w:b/>
          <w:bCs/>
        </w:rPr>
        <w:t>key findings and</w:t>
      </w:r>
      <w:r w:rsidR="004B722C">
        <w:rPr>
          <w:rFonts w:asciiTheme="minorHAnsi" w:eastAsia="Helvetica Neue" w:hAnsiTheme="minorHAnsi" w:cs="Helvetica Neue"/>
          <w:b/>
          <w:bCs/>
        </w:rPr>
        <w:t xml:space="preserve"> DFAT’s</w:t>
      </w:r>
      <w:r w:rsidR="00FF6B2E">
        <w:rPr>
          <w:rFonts w:asciiTheme="minorHAnsi" w:eastAsia="Helvetica Neue" w:hAnsiTheme="minorHAnsi" w:cs="Helvetica Neue"/>
          <w:b/>
          <w:bCs/>
        </w:rPr>
        <w:t xml:space="preserve"> m</w:t>
      </w:r>
      <w:r w:rsidR="000D7292" w:rsidRPr="00C65D2A">
        <w:rPr>
          <w:rFonts w:asciiTheme="minorHAnsi" w:eastAsia="Helvetica Neue" w:hAnsiTheme="minorHAnsi" w:cs="Helvetica Neue"/>
          <w:b/>
          <w:bCs/>
        </w:rPr>
        <w:t xml:space="preserve">anagement </w:t>
      </w:r>
      <w:r w:rsidR="00FF6B2E">
        <w:rPr>
          <w:rFonts w:asciiTheme="minorHAnsi" w:eastAsia="Helvetica Neue" w:hAnsiTheme="minorHAnsi" w:cs="Helvetica Neue"/>
          <w:b/>
          <w:bCs/>
        </w:rPr>
        <w:t>r</w:t>
      </w:r>
      <w:r w:rsidR="000D7292" w:rsidRPr="00C65D2A">
        <w:rPr>
          <w:rFonts w:asciiTheme="minorHAnsi" w:eastAsia="Helvetica Neue" w:hAnsiTheme="minorHAnsi" w:cs="Helvetica Neue"/>
          <w:b/>
          <w:bCs/>
        </w:rPr>
        <w:t>esponse</w:t>
      </w:r>
      <w:r w:rsidR="000D7292" w:rsidRPr="00C65D2A">
        <w:rPr>
          <w:rFonts w:asciiTheme="minorHAnsi" w:eastAsia="Helvetica Neue" w:hAnsiTheme="minorHAnsi" w:cs="Helvetica Neue"/>
        </w:rPr>
        <w:t xml:space="preserve"> </w:t>
      </w:r>
    </w:p>
    <w:p w14:paraId="1EFD76EF" w14:textId="79B518DB" w:rsidR="00E80EA4" w:rsidRPr="00E80EA4" w:rsidRDefault="005613C1" w:rsidP="00E80EA4">
      <w:pPr>
        <w:pStyle w:val="BodyText"/>
        <w:spacing w:after="120" w:line="276" w:lineRule="auto"/>
        <w:rPr>
          <w:rFonts w:asciiTheme="minorHAnsi" w:eastAsia="Helvetica Neue" w:hAnsiTheme="minorHAnsi" w:cs="Helvetica Neue"/>
        </w:rPr>
      </w:pPr>
      <w:r w:rsidRPr="00DF6954">
        <w:rPr>
          <w:rFonts w:asciiTheme="minorHAnsi" w:eastAsia="Helvetica Neue" w:hAnsiTheme="minorHAnsi" w:cs="Helvetica Neue"/>
          <w:lang w:val="en-US"/>
        </w:rPr>
        <w:t xml:space="preserve">The </w:t>
      </w:r>
      <w:r w:rsidR="007F0D0B">
        <w:rPr>
          <w:rFonts w:asciiTheme="minorHAnsi" w:eastAsia="Helvetica Neue" w:hAnsiTheme="minorHAnsi" w:cs="Helvetica Neue"/>
          <w:lang w:val="en-US"/>
        </w:rPr>
        <w:t xml:space="preserve">MTR </w:t>
      </w:r>
      <w:r w:rsidRPr="00DF6954">
        <w:rPr>
          <w:rFonts w:asciiTheme="minorHAnsi" w:eastAsia="Helvetica Neue" w:hAnsiTheme="minorHAnsi" w:cs="Helvetica Neue"/>
          <w:lang w:val="en-US"/>
        </w:rPr>
        <w:t xml:space="preserve">found </w:t>
      </w:r>
      <w:r w:rsidR="00B82B4B">
        <w:rPr>
          <w:rFonts w:asciiTheme="minorHAnsi" w:eastAsia="Helvetica Neue" w:hAnsiTheme="minorHAnsi" w:cs="Helvetica Neue"/>
          <w:lang w:val="en-US"/>
        </w:rPr>
        <w:t xml:space="preserve">VPSDP </w:t>
      </w:r>
      <w:r w:rsidRPr="00DF6954">
        <w:rPr>
          <w:rFonts w:asciiTheme="minorHAnsi" w:eastAsia="Helvetica Neue" w:hAnsiTheme="minorHAnsi" w:cs="Helvetica Neue"/>
          <w:lang w:val="en-US"/>
        </w:rPr>
        <w:t>perform</w:t>
      </w:r>
      <w:r w:rsidR="6184AE16" w:rsidRPr="00DF6954">
        <w:rPr>
          <w:rFonts w:asciiTheme="minorHAnsi" w:eastAsia="Helvetica Neue" w:hAnsiTheme="minorHAnsi" w:cs="Helvetica Neue"/>
          <w:lang w:val="en-US"/>
        </w:rPr>
        <w:t>ed</w:t>
      </w:r>
      <w:r w:rsidRPr="00DF6954">
        <w:rPr>
          <w:rFonts w:asciiTheme="minorHAnsi" w:eastAsia="Helvetica Neue" w:hAnsiTheme="minorHAnsi" w:cs="Helvetica Neue"/>
          <w:lang w:val="en-US"/>
        </w:rPr>
        <w:t xml:space="preserve"> strongly across all </w:t>
      </w:r>
      <w:r w:rsidR="00162A12" w:rsidRPr="00DF6954">
        <w:rPr>
          <w:rFonts w:asciiTheme="minorHAnsi" w:eastAsia="Helvetica Neue" w:hAnsiTheme="minorHAnsi" w:cs="Helvetica Neue"/>
          <w:lang w:val="en-US"/>
        </w:rPr>
        <w:t xml:space="preserve">assessed </w:t>
      </w:r>
      <w:r w:rsidRPr="00DF6954">
        <w:rPr>
          <w:rFonts w:asciiTheme="minorHAnsi" w:eastAsia="Helvetica Neue" w:hAnsiTheme="minorHAnsi" w:cs="Helvetica Neue"/>
          <w:lang w:val="en-US"/>
        </w:rPr>
        <w:t>criteria</w:t>
      </w:r>
      <w:r w:rsidR="002D4828" w:rsidRPr="00DF6954">
        <w:rPr>
          <w:rFonts w:asciiTheme="minorHAnsi" w:eastAsia="Helvetica Neue" w:hAnsiTheme="minorHAnsi" w:cs="Helvetica Neue"/>
          <w:lang w:val="en-US"/>
        </w:rPr>
        <w:t xml:space="preserve">. </w:t>
      </w:r>
      <w:r w:rsidR="004F0888">
        <w:rPr>
          <w:rFonts w:asciiTheme="minorHAnsi" w:eastAsia="Helvetica Neue" w:hAnsiTheme="minorHAnsi" w:cs="Helvetica Neue"/>
          <w:lang w:val="en-US"/>
        </w:rPr>
        <w:t>The program</w:t>
      </w:r>
      <w:r w:rsidR="002C393E">
        <w:rPr>
          <w:rFonts w:asciiTheme="minorHAnsi" w:eastAsia="Helvetica Neue" w:hAnsiTheme="minorHAnsi" w:cs="Helvetica Neue"/>
          <w:lang w:val="en-US"/>
        </w:rPr>
        <w:t xml:space="preserve"> </w:t>
      </w:r>
      <w:r w:rsidR="002D4828" w:rsidRPr="00DF6954">
        <w:rPr>
          <w:rFonts w:asciiTheme="minorHAnsi" w:eastAsia="Helvetica Neue" w:hAnsiTheme="minorHAnsi" w:cs="Helvetica Neue"/>
          <w:lang w:val="en-US"/>
        </w:rPr>
        <w:t xml:space="preserve">has </w:t>
      </w:r>
      <w:r w:rsidR="002C393E">
        <w:rPr>
          <w:rFonts w:asciiTheme="minorHAnsi" w:eastAsia="Helvetica Neue" w:hAnsiTheme="minorHAnsi" w:cs="Helvetica Neue"/>
          <w:lang w:val="en-US"/>
        </w:rPr>
        <w:t xml:space="preserve">made </w:t>
      </w:r>
      <w:r w:rsidR="002D4828" w:rsidRPr="00DF6954">
        <w:rPr>
          <w:rFonts w:asciiTheme="minorHAnsi" w:eastAsia="Helvetica Neue" w:hAnsiTheme="minorHAnsi" w:cs="Helvetica Neue"/>
          <w:lang w:val="en-US"/>
        </w:rPr>
        <w:t>significant</w:t>
      </w:r>
      <w:r w:rsidR="002C393E">
        <w:rPr>
          <w:rFonts w:asciiTheme="minorHAnsi" w:eastAsia="Helvetica Neue" w:hAnsiTheme="minorHAnsi" w:cs="Helvetica Neue"/>
          <w:lang w:val="en-US"/>
        </w:rPr>
        <w:t xml:space="preserve"> contribution </w:t>
      </w:r>
      <w:r w:rsidR="00CC39D8">
        <w:rPr>
          <w:rFonts w:asciiTheme="minorHAnsi" w:eastAsia="Helvetica Neue" w:hAnsiTheme="minorHAnsi" w:cs="Helvetica Neue"/>
          <w:lang w:val="en-US"/>
        </w:rPr>
        <w:t xml:space="preserve">to supporting </w:t>
      </w:r>
      <w:r w:rsidR="000D457B" w:rsidRPr="00DF6954">
        <w:rPr>
          <w:rFonts w:asciiTheme="minorHAnsi" w:eastAsia="Helvetica Neue" w:hAnsiTheme="minorHAnsi" w:cs="Helvetica Neue"/>
          <w:lang w:val="en-US"/>
        </w:rPr>
        <w:t>DFAT and G</w:t>
      </w:r>
      <w:r w:rsidR="000B0F0A">
        <w:rPr>
          <w:rFonts w:asciiTheme="minorHAnsi" w:eastAsia="Helvetica Neue" w:hAnsiTheme="minorHAnsi" w:cs="Helvetica Neue"/>
          <w:lang w:val="en-US"/>
        </w:rPr>
        <w:t>o</w:t>
      </w:r>
      <w:r w:rsidR="000D457B" w:rsidRPr="00DF6954">
        <w:rPr>
          <w:rFonts w:asciiTheme="minorHAnsi" w:eastAsia="Helvetica Neue" w:hAnsiTheme="minorHAnsi" w:cs="Helvetica Neue"/>
          <w:lang w:val="en-US"/>
        </w:rPr>
        <w:t xml:space="preserve">V in </w:t>
      </w:r>
      <w:r w:rsidR="00CC39D8">
        <w:rPr>
          <w:rFonts w:asciiTheme="minorHAnsi" w:eastAsia="Helvetica Neue" w:hAnsiTheme="minorHAnsi" w:cs="Helvetica Neue"/>
          <w:lang w:val="en-US"/>
        </w:rPr>
        <w:t xml:space="preserve">advancing </w:t>
      </w:r>
      <w:r w:rsidR="000D457B" w:rsidRPr="00DF6954">
        <w:rPr>
          <w:rFonts w:asciiTheme="minorHAnsi" w:eastAsia="Helvetica Neue" w:hAnsiTheme="minorHAnsi" w:cs="Helvetica Neue"/>
          <w:lang w:val="en-US"/>
        </w:rPr>
        <w:t xml:space="preserve">private sector development and </w:t>
      </w:r>
      <w:r w:rsidR="008E52ED" w:rsidRPr="00DF6954">
        <w:rPr>
          <w:rFonts w:asciiTheme="minorHAnsi" w:eastAsia="Helvetica Neue" w:hAnsiTheme="minorHAnsi" w:cs="Helvetica Neue"/>
          <w:lang w:val="en-US"/>
        </w:rPr>
        <w:t xml:space="preserve">investment </w:t>
      </w:r>
      <w:r w:rsidR="000D457B" w:rsidRPr="00DF6954">
        <w:rPr>
          <w:rFonts w:asciiTheme="minorHAnsi" w:eastAsia="Helvetica Neue" w:hAnsiTheme="minorHAnsi" w:cs="Helvetica Neue"/>
          <w:lang w:val="en-US"/>
        </w:rPr>
        <w:t>promo</w:t>
      </w:r>
      <w:r w:rsidR="008E52ED" w:rsidRPr="00DF6954">
        <w:rPr>
          <w:rFonts w:asciiTheme="minorHAnsi" w:eastAsia="Helvetica Neue" w:hAnsiTheme="minorHAnsi" w:cs="Helvetica Neue"/>
          <w:lang w:val="en-US"/>
        </w:rPr>
        <w:t xml:space="preserve">tion in Vietnam. </w:t>
      </w:r>
      <w:r w:rsidR="007F0D0B">
        <w:rPr>
          <w:rFonts w:asciiTheme="minorHAnsi" w:eastAsia="Helvetica Neue" w:hAnsiTheme="minorHAnsi" w:cs="Helvetica Neue"/>
          <w:lang w:val="en-US"/>
        </w:rPr>
        <w:t>The program demonstrated s</w:t>
      </w:r>
      <w:r w:rsidR="008E52ED" w:rsidRPr="00DF6954">
        <w:rPr>
          <w:rFonts w:asciiTheme="minorHAnsi" w:eastAsia="Helvetica Neue" w:hAnsiTheme="minorHAnsi" w:cs="Helvetica Neue"/>
          <w:lang w:val="en-US"/>
        </w:rPr>
        <w:t xml:space="preserve">olid progress across </w:t>
      </w:r>
      <w:r w:rsidR="00A1261F">
        <w:rPr>
          <w:rFonts w:asciiTheme="minorHAnsi" w:eastAsia="Helvetica Neue" w:hAnsiTheme="minorHAnsi" w:cs="Helvetica Neue"/>
          <w:lang w:val="en-US"/>
        </w:rPr>
        <w:t>all four</w:t>
      </w:r>
      <w:r w:rsidR="008E52ED" w:rsidRPr="00DF6954">
        <w:rPr>
          <w:rFonts w:asciiTheme="minorHAnsi" w:eastAsia="Helvetica Neue" w:hAnsiTheme="minorHAnsi" w:cs="Helvetica Neue"/>
          <w:lang w:val="en-US"/>
        </w:rPr>
        <w:t xml:space="preserve"> </w:t>
      </w:r>
      <w:r w:rsidR="008E52ED" w:rsidRPr="00E80EA4">
        <w:rPr>
          <w:rFonts w:asciiTheme="minorHAnsi" w:eastAsia="Helvetica Neue" w:hAnsiTheme="minorHAnsi" w:cs="Helvetica Neue"/>
          <w:lang w:val="en-US"/>
        </w:rPr>
        <w:t>pillars</w:t>
      </w:r>
      <w:r w:rsidR="00E80EA4">
        <w:rPr>
          <w:rFonts w:asciiTheme="minorHAnsi" w:eastAsia="Helvetica Neue" w:hAnsiTheme="minorHAnsi" w:cs="Helvetica Neue"/>
          <w:lang w:val="en-US"/>
        </w:rPr>
        <w:t xml:space="preserve">.  </w:t>
      </w:r>
      <w:r w:rsidR="00E80EA4" w:rsidRPr="00E80EA4">
        <w:rPr>
          <w:rFonts w:asciiTheme="minorHAnsi" w:eastAsia="Helvetica Neue" w:hAnsiTheme="minorHAnsi" w:cs="Helvetica Neue"/>
        </w:rPr>
        <w:t xml:space="preserve">The program’s effectiveness </w:t>
      </w:r>
      <w:r w:rsidR="00DF349E">
        <w:rPr>
          <w:rFonts w:asciiTheme="minorHAnsi" w:eastAsia="Helvetica Neue" w:hAnsiTheme="minorHAnsi" w:cs="Helvetica Neue"/>
        </w:rPr>
        <w:t>wa</w:t>
      </w:r>
      <w:r w:rsidR="00E80EA4" w:rsidRPr="00E80EA4">
        <w:rPr>
          <w:rFonts w:asciiTheme="minorHAnsi" w:eastAsia="Helvetica Neue" w:hAnsiTheme="minorHAnsi" w:cs="Helvetica Neue"/>
        </w:rPr>
        <w:t>s underpinned by its targeted approach, focusing on areas where IFC and DFAT have strong expertise and comparative advantage. This has established a solid foundation for partnership. Building on what has worked well, while addressing identified gaps, present</w:t>
      </w:r>
      <w:r w:rsidR="00DF349E">
        <w:rPr>
          <w:rFonts w:asciiTheme="minorHAnsi" w:eastAsia="Helvetica Neue" w:hAnsiTheme="minorHAnsi" w:cs="Helvetica Neue"/>
        </w:rPr>
        <w:t>ed</w:t>
      </w:r>
      <w:r w:rsidR="00E80EA4" w:rsidRPr="00E80EA4">
        <w:rPr>
          <w:rFonts w:asciiTheme="minorHAnsi" w:eastAsia="Helvetica Neue" w:hAnsiTheme="minorHAnsi" w:cs="Helvetica Neue"/>
        </w:rPr>
        <w:t xml:space="preserve"> clear opportunities to deepen impact, enhance leverage and strengthen strategic engagement.</w:t>
      </w:r>
    </w:p>
    <w:p w14:paraId="3BA0DE6E" w14:textId="74BE02FB" w:rsidR="002E70FA" w:rsidRDefault="00B87BDD" w:rsidP="00B87BDD">
      <w:pPr>
        <w:pStyle w:val="BodyText"/>
        <w:spacing w:after="120" w:line="276" w:lineRule="auto"/>
        <w:rPr>
          <w:rFonts w:asciiTheme="minorHAnsi" w:hAnsiTheme="minorHAnsi"/>
          <w:b/>
          <w:bCs/>
        </w:rPr>
      </w:pPr>
      <w:r w:rsidRPr="00DF6954">
        <w:rPr>
          <w:rFonts w:asciiTheme="minorHAnsi" w:eastAsia="Helvetica Neue" w:hAnsiTheme="minorHAnsi" w:cs="Helvetica Neue"/>
        </w:rPr>
        <w:lastRenderedPageBreak/>
        <w:t xml:space="preserve">DFAT and </w:t>
      </w:r>
      <w:r w:rsidR="00570E84">
        <w:rPr>
          <w:rFonts w:asciiTheme="minorHAnsi" w:eastAsia="Helvetica Neue" w:hAnsiTheme="minorHAnsi" w:cs="Helvetica Neue"/>
        </w:rPr>
        <w:t xml:space="preserve">IFC </w:t>
      </w:r>
      <w:r w:rsidRPr="00DF6954">
        <w:rPr>
          <w:rFonts w:asciiTheme="minorHAnsi" w:eastAsia="Helvetica Neue" w:hAnsiTheme="minorHAnsi" w:cs="Helvetica Neue"/>
        </w:rPr>
        <w:t xml:space="preserve">concur with </w:t>
      </w:r>
      <w:r w:rsidR="00860A7F">
        <w:rPr>
          <w:rFonts w:asciiTheme="minorHAnsi" w:eastAsia="Helvetica Neue" w:hAnsiTheme="minorHAnsi" w:cs="Helvetica Neue"/>
        </w:rPr>
        <w:t xml:space="preserve">MTR’s </w:t>
      </w:r>
      <w:r w:rsidRPr="00DF6954">
        <w:rPr>
          <w:rFonts w:asciiTheme="minorHAnsi" w:eastAsia="Helvetica Neue" w:hAnsiTheme="minorHAnsi" w:cs="Helvetica Neue"/>
        </w:rPr>
        <w:t>findings</w:t>
      </w:r>
      <w:r w:rsidR="003B33EA">
        <w:rPr>
          <w:rFonts w:asciiTheme="minorHAnsi" w:eastAsia="Helvetica Neue" w:hAnsiTheme="minorHAnsi" w:cs="Helvetica Neue"/>
        </w:rPr>
        <w:t xml:space="preserve">. </w:t>
      </w:r>
      <w:r w:rsidR="004363DE">
        <w:rPr>
          <w:rFonts w:asciiTheme="minorHAnsi" w:eastAsia="Helvetica Neue" w:hAnsiTheme="minorHAnsi" w:cs="Helvetica Neue"/>
        </w:rPr>
        <w:t>As outlined below</w:t>
      </w:r>
      <w:r w:rsidR="00EF1E5B">
        <w:rPr>
          <w:rFonts w:asciiTheme="minorHAnsi" w:eastAsia="Helvetica Neue" w:hAnsiTheme="minorHAnsi" w:cs="Helvetica Neue"/>
        </w:rPr>
        <w:t xml:space="preserve">, DFAT agrees with </w:t>
      </w:r>
      <w:r w:rsidR="006E6F3F">
        <w:rPr>
          <w:rFonts w:asciiTheme="minorHAnsi" w:eastAsia="Helvetica Neue" w:hAnsiTheme="minorHAnsi" w:cs="Helvetica Neue"/>
        </w:rPr>
        <w:t xml:space="preserve">4 </w:t>
      </w:r>
      <w:r w:rsidR="00EF1E5B">
        <w:rPr>
          <w:rFonts w:asciiTheme="minorHAnsi" w:eastAsia="Helvetica Neue" w:hAnsiTheme="minorHAnsi" w:cs="Helvetica Neue"/>
        </w:rPr>
        <w:t>recommendations</w:t>
      </w:r>
      <w:r w:rsidR="006E6F3F">
        <w:rPr>
          <w:rFonts w:asciiTheme="minorHAnsi" w:eastAsia="Helvetica Neue" w:hAnsiTheme="minorHAnsi" w:cs="Helvetica Neue"/>
        </w:rPr>
        <w:t xml:space="preserve"> and partially agrees with one</w:t>
      </w:r>
      <w:r w:rsidR="00B223C1">
        <w:rPr>
          <w:rFonts w:asciiTheme="minorHAnsi" w:eastAsia="Helvetica Neue" w:hAnsiTheme="minorHAnsi" w:cs="Helvetica Neue"/>
        </w:rPr>
        <w:t xml:space="preserve">. Details of the Management response to each </w:t>
      </w:r>
      <w:r w:rsidR="00240B15">
        <w:rPr>
          <w:rFonts w:asciiTheme="minorHAnsi" w:eastAsia="Helvetica Neue" w:hAnsiTheme="minorHAnsi" w:cs="Helvetica Neue"/>
        </w:rPr>
        <w:t>recommendation</w:t>
      </w:r>
      <w:r w:rsidR="00B223C1">
        <w:rPr>
          <w:rFonts w:asciiTheme="minorHAnsi" w:eastAsia="Helvetica Neue" w:hAnsiTheme="minorHAnsi" w:cs="Helvetica Neue"/>
        </w:rPr>
        <w:t xml:space="preserve"> </w:t>
      </w:r>
      <w:r w:rsidR="00365C5F">
        <w:rPr>
          <w:rFonts w:asciiTheme="minorHAnsi" w:eastAsia="Helvetica Neue" w:hAnsiTheme="minorHAnsi" w:cs="Helvetica Neue"/>
        </w:rPr>
        <w:t>is included in the table on the next page.</w:t>
      </w:r>
    </w:p>
    <w:p w14:paraId="5889C069" w14:textId="77777777" w:rsidR="00E80EA4" w:rsidRDefault="00E80EA4" w:rsidP="00B87BDD">
      <w:pPr>
        <w:pStyle w:val="BodyText"/>
        <w:spacing w:after="120" w:line="276" w:lineRule="auto"/>
        <w:rPr>
          <w:rFonts w:asciiTheme="minorHAnsi" w:hAnsiTheme="minorHAnsi"/>
          <w:b/>
          <w:bCs/>
        </w:rPr>
        <w:sectPr w:rsidR="00E80EA4" w:rsidSect="00E80EA4">
          <w:headerReference w:type="even" r:id="rId8"/>
          <w:headerReference w:type="default" r:id="rId9"/>
          <w:footerReference w:type="even" r:id="rId10"/>
          <w:footerReference w:type="default" r:id="rId11"/>
          <w:headerReference w:type="first" r:id="rId12"/>
          <w:footerReference w:type="first" r:id="rId13"/>
          <w:pgSz w:w="12240" w:h="15840"/>
          <w:pgMar w:top="1440" w:right="1152" w:bottom="1440" w:left="1152" w:header="720" w:footer="720" w:gutter="0"/>
          <w:cols w:space="720"/>
          <w:docGrid w:linePitch="360"/>
        </w:sectPr>
      </w:pPr>
    </w:p>
    <w:p w14:paraId="05E90C4E" w14:textId="77777777" w:rsidR="00E80EA4" w:rsidRDefault="00E80EA4" w:rsidP="00B87BDD">
      <w:pPr>
        <w:pStyle w:val="BodyText"/>
        <w:spacing w:after="120" w:line="276" w:lineRule="auto"/>
        <w:rPr>
          <w:rFonts w:asciiTheme="minorHAnsi" w:hAnsiTheme="minorHAnsi"/>
          <w:b/>
          <w:bCs/>
        </w:rPr>
      </w:pPr>
    </w:p>
    <w:p w14:paraId="3A77002B" w14:textId="2CE5FFF9" w:rsidR="00F06871" w:rsidRPr="00B7728A" w:rsidRDefault="00716A2F" w:rsidP="006B4A6E">
      <w:pPr>
        <w:jc w:val="both"/>
        <w:rPr>
          <w:b/>
          <w:bCs/>
        </w:rPr>
      </w:pPr>
      <w:r>
        <w:rPr>
          <w:b/>
          <w:bCs/>
        </w:rPr>
        <w:t xml:space="preserve">Individual </w:t>
      </w:r>
      <w:r w:rsidR="00F06871" w:rsidRPr="00B7728A">
        <w:rPr>
          <w:b/>
          <w:bCs/>
        </w:rPr>
        <w:t>management response</w:t>
      </w:r>
      <w:r w:rsidR="001D6E82">
        <w:rPr>
          <w:b/>
          <w:bCs/>
        </w:rPr>
        <w:t xml:space="preserve"> to the</w:t>
      </w:r>
      <w:r w:rsidR="004A6240">
        <w:rPr>
          <w:b/>
          <w:bCs/>
        </w:rPr>
        <w:t xml:space="preserve"> summary of</w:t>
      </w:r>
      <w:r w:rsidR="001D6E82">
        <w:rPr>
          <w:b/>
          <w:bCs/>
        </w:rPr>
        <w:t xml:space="preserve"> recommendations</w:t>
      </w:r>
    </w:p>
    <w:tbl>
      <w:tblPr>
        <w:tblStyle w:val="DFATTable1"/>
        <w:tblW w:w="14176" w:type="dxa"/>
        <w:tblInd w:w="-709" w:type="dxa"/>
        <w:tblLayout w:type="fixed"/>
        <w:tblLook w:val="04A0" w:firstRow="1" w:lastRow="0" w:firstColumn="1" w:lastColumn="0" w:noHBand="0" w:noVBand="1"/>
      </w:tblPr>
      <w:tblGrid>
        <w:gridCol w:w="799"/>
        <w:gridCol w:w="3879"/>
        <w:gridCol w:w="1276"/>
        <w:gridCol w:w="5245"/>
        <w:gridCol w:w="2977"/>
      </w:tblGrid>
      <w:tr w:rsidR="000746AC" w:rsidRPr="0007727F" w14:paraId="764574BB" w14:textId="77777777" w:rsidTr="00AF5F07">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799" w:type="dxa"/>
          </w:tcPr>
          <w:p w14:paraId="48C9096D" w14:textId="77777777" w:rsidR="000746AC" w:rsidRPr="002B3E70" w:rsidRDefault="000746AC" w:rsidP="00CB6C6F">
            <w:pPr>
              <w:pStyle w:val="TableHeaderRow"/>
              <w:rPr>
                <w:szCs w:val="22"/>
              </w:rPr>
            </w:pPr>
          </w:p>
        </w:tc>
        <w:tc>
          <w:tcPr>
            <w:tcW w:w="3879" w:type="dxa"/>
            <w:hideMark/>
          </w:tcPr>
          <w:p w14:paraId="33205326" w14:textId="4DA83368" w:rsidR="000746AC" w:rsidRPr="002B3E70" w:rsidRDefault="000746AC" w:rsidP="00CB6C6F">
            <w:pPr>
              <w:pStyle w:val="TableHeaderRow"/>
              <w:cnfStyle w:val="100000000000" w:firstRow="1" w:lastRow="0" w:firstColumn="0" w:lastColumn="0" w:oddVBand="0" w:evenVBand="0" w:oddHBand="0" w:evenHBand="0" w:firstRowFirstColumn="0" w:firstRowLastColumn="0" w:lastRowFirstColumn="0" w:lastRowLastColumn="0"/>
              <w:rPr>
                <w:szCs w:val="22"/>
              </w:rPr>
            </w:pPr>
            <w:r w:rsidRPr="002B3E70">
              <w:rPr>
                <w:szCs w:val="22"/>
              </w:rPr>
              <w:t>Recommendation</w:t>
            </w:r>
            <w:r>
              <w:rPr>
                <w:szCs w:val="22"/>
              </w:rPr>
              <w:t>s</w:t>
            </w:r>
          </w:p>
        </w:tc>
        <w:tc>
          <w:tcPr>
            <w:tcW w:w="1276" w:type="dxa"/>
            <w:hideMark/>
          </w:tcPr>
          <w:p w14:paraId="7A2298B7" w14:textId="77777777" w:rsidR="000746AC" w:rsidRPr="008A0512" w:rsidRDefault="000746AC" w:rsidP="00CB6C6F">
            <w:pPr>
              <w:pStyle w:val="TableHeaderRow"/>
              <w:cnfStyle w:val="100000000000" w:firstRow="1" w:lastRow="0" w:firstColumn="0" w:lastColumn="0" w:oddVBand="0" w:evenVBand="0" w:oddHBand="0" w:evenHBand="0" w:firstRowFirstColumn="0" w:firstRowLastColumn="0" w:lastRowFirstColumn="0" w:lastRowLastColumn="0"/>
            </w:pPr>
            <w:r>
              <w:t>Response</w:t>
            </w:r>
          </w:p>
        </w:tc>
        <w:tc>
          <w:tcPr>
            <w:tcW w:w="5245" w:type="dxa"/>
            <w:hideMark/>
          </w:tcPr>
          <w:p w14:paraId="4FE68341" w14:textId="77777777" w:rsidR="000746AC" w:rsidRPr="008A0512" w:rsidRDefault="000746AC" w:rsidP="00CB6C6F">
            <w:pPr>
              <w:pStyle w:val="TableHeaderRow"/>
              <w:cnfStyle w:val="100000000000" w:firstRow="1" w:lastRow="0" w:firstColumn="0" w:lastColumn="0" w:oddVBand="0" w:evenVBand="0" w:oddHBand="0" w:evenHBand="0" w:firstRowFirstColumn="0" w:firstRowLastColumn="0" w:lastRowFirstColumn="0" w:lastRowLastColumn="0"/>
            </w:pPr>
            <w:r w:rsidRPr="008A0512">
              <w:t xml:space="preserve">Action plan </w:t>
            </w:r>
          </w:p>
        </w:tc>
        <w:tc>
          <w:tcPr>
            <w:tcW w:w="2977" w:type="dxa"/>
            <w:hideMark/>
          </w:tcPr>
          <w:p w14:paraId="59463AAA" w14:textId="77777777" w:rsidR="000746AC" w:rsidRPr="0007727F" w:rsidRDefault="000746AC" w:rsidP="00CB6C6F">
            <w:pPr>
              <w:pStyle w:val="TableHeaderRow"/>
              <w:cnfStyle w:val="100000000000" w:firstRow="1" w:lastRow="0" w:firstColumn="0" w:lastColumn="0" w:oddVBand="0" w:evenVBand="0" w:oddHBand="0" w:evenHBand="0" w:firstRowFirstColumn="0" w:firstRowLastColumn="0" w:lastRowFirstColumn="0" w:lastRowLastColumn="0"/>
            </w:pPr>
            <w:r w:rsidRPr="008A0512">
              <w:t>Timeframe</w:t>
            </w:r>
          </w:p>
        </w:tc>
      </w:tr>
      <w:tr w:rsidR="000746AC" w:rsidRPr="008C6BB8" w14:paraId="3225ED10" w14:textId="77777777" w:rsidTr="00AF5F0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678" w:type="dxa"/>
            <w:gridSpan w:val="2"/>
          </w:tcPr>
          <w:p w14:paraId="5385BBD2" w14:textId="77777777" w:rsidR="00154604" w:rsidRPr="008C6BB8" w:rsidRDefault="000746AC" w:rsidP="006B4A6E">
            <w:pPr>
              <w:spacing w:before="240" w:after="240" w:line="276" w:lineRule="auto"/>
              <w:ind w:left="319" w:hanging="319"/>
              <w:jc w:val="both"/>
              <w:rPr>
                <w:rFonts w:asciiTheme="minorHAnsi" w:hAnsiTheme="minorHAnsi"/>
                <w:color w:val="000000" w:themeColor="text1"/>
              </w:rPr>
            </w:pPr>
            <w:r w:rsidRPr="008C6BB8">
              <w:rPr>
                <w:rFonts w:asciiTheme="minorHAnsi" w:hAnsiTheme="minorHAnsi"/>
                <w:b/>
                <w:bCs/>
                <w:color w:val="000000" w:themeColor="text1"/>
              </w:rPr>
              <w:t>Recommendation 1</w:t>
            </w:r>
            <w:r w:rsidRPr="008C6BB8">
              <w:rPr>
                <w:rFonts w:asciiTheme="minorHAnsi" w:hAnsiTheme="minorHAnsi"/>
                <w:color w:val="000000" w:themeColor="text1"/>
              </w:rPr>
              <w:t>:</w:t>
            </w:r>
          </w:p>
          <w:p w14:paraId="7BF4D6C9" w14:textId="7BB46B4F" w:rsidR="000746AC" w:rsidRPr="008C6BB8" w:rsidRDefault="000746AC" w:rsidP="00154604">
            <w:pPr>
              <w:spacing w:before="240" w:after="240" w:line="276" w:lineRule="auto"/>
              <w:ind w:left="35" w:hanging="35"/>
              <w:jc w:val="both"/>
              <w:rPr>
                <w:rFonts w:asciiTheme="minorHAnsi" w:eastAsia="Helvetica Neue" w:hAnsiTheme="minorHAnsi" w:cs="Helvetica Neue"/>
              </w:rPr>
            </w:pPr>
            <w:r w:rsidRPr="008C6BB8">
              <w:rPr>
                <w:rFonts w:asciiTheme="minorHAnsi" w:hAnsiTheme="minorHAnsi"/>
                <w:color w:val="000000" w:themeColor="text1"/>
              </w:rPr>
              <w:t xml:space="preserve"> </w:t>
            </w:r>
            <w:r w:rsidR="00154604" w:rsidRPr="008C6BB8">
              <w:rPr>
                <w:rFonts w:asciiTheme="minorHAnsi" w:hAnsiTheme="minorHAnsi" w:cs="Calibri"/>
                <w:color w:val="000000"/>
              </w:rPr>
              <w:t>The IFC should continue to seek solutions to expedite activities with a “low burn” rate and accelerate implementation while maintaining quality and standards. There is scope in the lead-up to the completion report to develop a coherent narrative of overall support and engagement</w:t>
            </w:r>
          </w:p>
        </w:tc>
        <w:tc>
          <w:tcPr>
            <w:tcW w:w="1276" w:type="dxa"/>
          </w:tcPr>
          <w:p w14:paraId="7AE0E3AA" w14:textId="095E7597" w:rsidR="000746AC" w:rsidRPr="008C6BB8" w:rsidRDefault="000746AC" w:rsidP="007347E9">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r w:rsidRPr="008C6BB8">
              <w:rPr>
                <w:rFonts w:asciiTheme="minorHAnsi" w:hAnsiTheme="minorHAnsi"/>
                <w:color w:val="auto"/>
                <w:szCs w:val="22"/>
              </w:rPr>
              <w:t>Agree</w:t>
            </w:r>
          </w:p>
        </w:tc>
        <w:tc>
          <w:tcPr>
            <w:tcW w:w="5245" w:type="dxa"/>
          </w:tcPr>
          <w:p w14:paraId="09E6C62D" w14:textId="07534AAE" w:rsidR="000746AC" w:rsidRPr="008C6BB8" w:rsidRDefault="000746AC" w:rsidP="00EA29B8">
            <w:pPr>
              <w:pStyle w:val="TableHeaderRow"/>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auto"/>
                <w:szCs w:val="22"/>
              </w:rPr>
            </w:pPr>
            <w:r w:rsidRPr="008C6BB8">
              <w:rPr>
                <w:rFonts w:asciiTheme="minorHAnsi" w:hAnsiTheme="minorHAnsi"/>
                <w:b w:val="0"/>
                <w:color w:val="auto"/>
                <w:szCs w:val="22"/>
                <w:lang w:val="en-US"/>
              </w:rPr>
              <w:t xml:space="preserve">DFAT is working closely with </w:t>
            </w:r>
            <w:r w:rsidR="004236D9" w:rsidRPr="008C6BB8">
              <w:rPr>
                <w:rFonts w:asciiTheme="minorHAnsi" w:hAnsiTheme="minorHAnsi"/>
                <w:b w:val="0"/>
                <w:color w:val="auto"/>
                <w:szCs w:val="22"/>
                <w:lang w:val="en-US"/>
              </w:rPr>
              <w:t xml:space="preserve">IFC </w:t>
            </w:r>
            <w:r w:rsidR="000E5943" w:rsidRPr="008C6BB8">
              <w:rPr>
                <w:rFonts w:asciiTheme="minorHAnsi" w:hAnsiTheme="minorHAnsi"/>
                <w:b w:val="0"/>
                <w:color w:val="auto"/>
                <w:szCs w:val="22"/>
                <w:lang w:val="en-US"/>
              </w:rPr>
              <w:t xml:space="preserve">to ensure </w:t>
            </w:r>
            <w:r w:rsidR="00280F95">
              <w:rPr>
                <w:rFonts w:asciiTheme="minorHAnsi" w:hAnsiTheme="minorHAnsi"/>
                <w:b w:val="0"/>
                <w:color w:val="auto"/>
                <w:szCs w:val="22"/>
                <w:lang w:val="en-US"/>
              </w:rPr>
              <w:t>project</w:t>
            </w:r>
            <w:r w:rsidR="00A03AC7">
              <w:rPr>
                <w:rFonts w:asciiTheme="minorHAnsi" w:hAnsiTheme="minorHAnsi"/>
                <w:b w:val="0"/>
                <w:color w:val="auto"/>
                <w:szCs w:val="22"/>
                <w:lang w:val="en-US"/>
              </w:rPr>
              <w:t>s’</w:t>
            </w:r>
            <w:r w:rsidR="00280F95">
              <w:rPr>
                <w:rFonts w:asciiTheme="minorHAnsi" w:hAnsiTheme="minorHAnsi"/>
                <w:b w:val="0"/>
                <w:color w:val="auto"/>
                <w:szCs w:val="22"/>
                <w:lang w:val="en-US"/>
              </w:rPr>
              <w:t xml:space="preserve"> expenditure </w:t>
            </w:r>
            <w:r w:rsidR="007C5AF1">
              <w:rPr>
                <w:rFonts w:asciiTheme="minorHAnsi" w:hAnsiTheme="minorHAnsi"/>
                <w:b w:val="0"/>
                <w:color w:val="auto"/>
                <w:szCs w:val="22"/>
                <w:lang w:val="en-US"/>
              </w:rPr>
              <w:t>is</w:t>
            </w:r>
            <w:r w:rsidR="00A03AC7">
              <w:rPr>
                <w:rFonts w:asciiTheme="minorHAnsi" w:hAnsiTheme="minorHAnsi"/>
                <w:b w:val="0"/>
                <w:color w:val="auto"/>
                <w:szCs w:val="22"/>
                <w:lang w:val="en-US"/>
              </w:rPr>
              <w:t xml:space="preserve"> </w:t>
            </w:r>
            <w:r w:rsidR="0091090E">
              <w:rPr>
                <w:rFonts w:asciiTheme="minorHAnsi" w:hAnsiTheme="minorHAnsi"/>
                <w:b w:val="0"/>
                <w:color w:val="auto"/>
                <w:szCs w:val="22"/>
                <w:lang w:val="en-US"/>
              </w:rPr>
              <w:t xml:space="preserve">fully disbursed by </w:t>
            </w:r>
            <w:r w:rsidR="003B5811">
              <w:rPr>
                <w:rFonts w:asciiTheme="minorHAnsi" w:hAnsiTheme="minorHAnsi"/>
                <w:b w:val="0"/>
                <w:color w:val="auto"/>
                <w:szCs w:val="22"/>
                <w:lang w:val="en-US"/>
              </w:rPr>
              <w:t>the end of VPSDP. IFC</w:t>
            </w:r>
            <w:r w:rsidR="00234E61">
              <w:rPr>
                <w:rFonts w:asciiTheme="minorHAnsi" w:hAnsiTheme="minorHAnsi"/>
                <w:b w:val="0"/>
                <w:color w:val="auto"/>
                <w:szCs w:val="22"/>
                <w:lang w:val="en-US"/>
              </w:rPr>
              <w:t xml:space="preserve"> will provide a</w:t>
            </w:r>
            <w:r w:rsidR="00B15512">
              <w:rPr>
                <w:rFonts w:asciiTheme="minorHAnsi" w:hAnsiTheme="minorHAnsi"/>
                <w:b w:val="0"/>
                <w:color w:val="auto"/>
                <w:szCs w:val="22"/>
                <w:lang w:val="en-US"/>
              </w:rPr>
              <w:t xml:space="preserve"> </w:t>
            </w:r>
            <w:r w:rsidR="008227F6">
              <w:rPr>
                <w:rFonts w:asciiTheme="minorHAnsi" w:hAnsiTheme="minorHAnsi"/>
                <w:b w:val="0"/>
                <w:color w:val="auto"/>
                <w:szCs w:val="22"/>
                <w:lang w:val="en-US"/>
              </w:rPr>
              <w:t xml:space="preserve">spending </w:t>
            </w:r>
            <w:r w:rsidR="00A13F36">
              <w:rPr>
                <w:rFonts w:asciiTheme="minorHAnsi" w:hAnsiTheme="minorHAnsi"/>
                <w:b w:val="0"/>
                <w:color w:val="auto"/>
                <w:szCs w:val="22"/>
                <w:lang w:val="en-US"/>
              </w:rPr>
              <w:t>strategy</w:t>
            </w:r>
            <w:r w:rsidR="008227F6">
              <w:rPr>
                <w:rFonts w:asciiTheme="minorHAnsi" w:hAnsiTheme="minorHAnsi"/>
                <w:b w:val="0"/>
                <w:color w:val="auto"/>
                <w:szCs w:val="22"/>
                <w:lang w:val="en-US"/>
              </w:rPr>
              <w:t xml:space="preserve"> </w:t>
            </w:r>
            <w:r w:rsidR="00714FA3">
              <w:rPr>
                <w:rFonts w:asciiTheme="minorHAnsi" w:hAnsiTheme="minorHAnsi"/>
                <w:b w:val="0"/>
                <w:color w:val="auto"/>
                <w:szCs w:val="22"/>
                <w:lang w:val="en-US"/>
              </w:rPr>
              <w:t xml:space="preserve">for projects </w:t>
            </w:r>
            <w:r w:rsidR="00B879AB">
              <w:rPr>
                <w:rFonts w:asciiTheme="minorHAnsi" w:hAnsiTheme="minorHAnsi"/>
                <w:b w:val="0"/>
                <w:color w:val="auto"/>
                <w:szCs w:val="22"/>
                <w:lang w:val="en-US"/>
              </w:rPr>
              <w:t>which ha</w:t>
            </w:r>
            <w:r w:rsidR="00EA29B8">
              <w:rPr>
                <w:rFonts w:asciiTheme="minorHAnsi" w:hAnsiTheme="minorHAnsi"/>
                <w:b w:val="0"/>
                <w:color w:val="auto"/>
                <w:szCs w:val="22"/>
                <w:lang w:val="en-US"/>
              </w:rPr>
              <w:t>ve</w:t>
            </w:r>
            <w:r w:rsidR="00234E61">
              <w:rPr>
                <w:rFonts w:asciiTheme="minorHAnsi" w:hAnsiTheme="minorHAnsi"/>
                <w:b w:val="0"/>
                <w:color w:val="auto"/>
                <w:szCs w:val="22"/>
                <w:lang w:val="en-US"/>
              </w:rPr>
              <w:t xml:space="preserve"> a</w:t>
            </w:r>
            <w:r w:rsidR="00B879AB">
              <w:rPr>
                <w:rFonts w:asciiTheme="minorHAnsi" w:hAnsiTheme="minorHAnsi"/>
                <w:b w:val="0"/>
                <w:color w:val="auto"/>
                <w:szCs w:val="22"/>
                <w:lang w:val="en-US"/>
              </w:rPr>
              <w:t xml:space="preserve"> low disbursement rate </w:t>
            </w:r>
            <w:r w:rsidR="00234E61">
              <w:rPr>
                <w:rFonts w:asciiTheme="minorHAnsi" w:hAnsiTheme="minorHAnsi"/>
                <w:b w:val="0"/>
                <w:color w:val="auto"/>
                <w:szCs w:val="22"/>
                <w:lang w:val="en-US"/>
              </w:rPr>
              <w:t xml:space="preserve">(including </w:t>
            </w:r>
            <w:r w:rsidR="00887101">
              <w:rPr>
                <w:rFonts w:asciiTheme="minorHAnsi" w:hAnsiTheme="minorHAnsi"/>
                <w:b w:val="0"/>
                <w:color w:val="auto"/>
                <w:szCs w:val="22"/>
                <w:lang w:val="en-US"/>
              </w:rPr>
              <w:t xml:space="preserve">new </w:t>
            </w:r>
            <w:r w:rsidR="00080509">
              <w:rPr>
                <w:rFonts w:asciiTheme="minorHAnsi" w:hAnsiTheme="minorHAnsi"/>
                <w:b w:val="0"/>
                <w:color w:val="auto"/>
                <w:szCs w:val="22"/>
                <w:lang w:val="en-US"/>
              </w:rPr>
              <w:t>project proposal</w:t>
            </w:r>
            <w:r w:rsidR="00234E61">
              <w:rPr>
                <w:rFonts w:asciiTheme="minorHAnsi" w:hAnsiTheme="minorHAnsi"/>
                <w:b w:val="0"/>
                <w:color w:val="auto"/>
                <w:szCs w:val="22"/>
                <w:lang w:val="en-US"/>
              </w:rPr>
              <w:t>s</w:t>
            </w:r>
            <w:r w:rsidR="00FB01CE">
              <w:rPr>
                <w:rFonts w:asciiTheme="minorHAnsi" w:hAnsiTheme="minorHAnsi"/>
                <w:b w:val="0"/>
                <w:color w:val="auto"/>
                <w:szCs w:val="22"/>
                <w:lang w:val="en-US"/>
              </w:rPr>
              <w:t xml:space="preserve"> as </w:t>
            </w:r>
            <w:r w:rsidR="002452F9">
              <w:rPr>
                <w:rFonts w:asciiTheme="minorHAnsi" w:hAnsiTheme="minorHAnsi"/>
                <w:b w:val="0"/>
                <w:color w:val="auto"/>
                <w:szCs w:val="22"/>
                <w:lang w:val="en-US"/>
              </w:rPr>
              <w:t>required)</w:t>
            </w:r>
            <w:r w:rsidR="00EA29B8">
              <w:rPr>
                <w:rFonts w:asciiTheme="minorHAnsi" w:hAnsiTheme="minorHAnsi"/>
                <w:b w:val="0"/>
                <w:color w:val="auto"/>
                <w:szCs w:val="22"/>
                <w:lang w:val="en-US"/>
              </w:rPr>
              <w:t>.</w:t>
            </w:r>
          </w:p>
        </w:tc>
        <w:tc>
          <w:tcPr>
            <w:tcW w:w="2977" w:type="dxa"/>
          </w:tcPr>
          <w:p w14:paraId="29BC1D60" w14:textId="45D00922" w:rsidR="000746AC" w:rsidRPr="008C6BB8" w:rsidRDefault="007E0DB9" w:rsidP="007347E9">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r>
              <w:rPr>
                <w:rFonts w:asciiTheme="minorHAnsi" w:hAnsiTheme="minorHAnsi"/>
                <w:color w:val="auto"/>
                <w:szCs w:val="22"/>
              </w:rPr>
              <w:t>On-going (from May 2026)</w:t>
            </w:r>
          </w:p>
          <w:p w14:paraId="754D50E9" w14:textId="294B733F" w:rsidR="000746AC" w:rsidRPr="008C6BB8" w:rsidRDefault="000746AC" w:rsidP="003852E3">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p>
        </w:tc>
      </w:tr>
      <w:tr w:rsidR="000746AC" w:rsidRPr="008C6BB8" w14:paraId="519F3BBF" w14:textId="77777777" w:rsidTr="00AF5F0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678" w:type="dxa"/>
            <w:gridSpan w:val="2"/>
          </w:tcPr>
          <w:p w14:paraId="0A6D36D7" w14:textId="77777777" w:rsidR="00E264D0" w:rsidRPr="008C6BB8" w:rsidRDefault="000746AC" w:rsidP="00E264D0">
            <w:pPr>
              <w:pStyle w:val="TableHeaderRow"/>
              <w:rPr>
                <w:rFonts w:asciiTheme="minorHAnsi" w:hAnsiTheme="minorHAnsi"/>
                <w:color w:val="000000" w:themeColor="text1"/>
                <w:szCs w:val="22"/>
              </w:rPr>
            </w:pPr>
            <w:r w:rsidRPr="008C6BB8">
              <w:rPr>
                <w:rFonts w:asciiTheme="minorHAnsi" w:hAnsiTheme="minorHAnsi"/>
                <w:color w:val="000000" w:themeColor="text1"/>
                <w:szCs w:val="22"/>
              </w:rPr>
              <w:t xml:space="preserve">Recommendation 2: </w:t>
            </w:r>
          </w:p>
          <w:p w14:paraId="49762E3B" w14:textId="12E2308C" w:rsidR="000746AC" w:rsidRPr="008C6BB8" w:rsidRDefault="00E264D0" w:rsidP="00A05599">
            <w:pPr>
              <w:pStyle w:val="TableHeaderRow"/>
              <w:jc w:val="both"/>
              <w:rPr>
                <w:rFonts w:asciiTheme="minorHAnsi" w:hAnsiTheme="minorHAnsi"/>
                <w:b w:val="0"/>
                <w:bCs/>
                <w:color w:val="auto"/>
                <w:szCs w:val="22"/>
              </w:rPr>
            </w:pPr>
            <w:r w:rsidRPr="008C6BB8">
              <w:rPr>
                <w:rFonts w:asciiTheme="minorHAnsi" w:hAnsiTheme="minorHAnsi" w:cs="Calibri"/>
                <w:b w:val="0"/>
                <w:bCs/>
                <w:color w:val="000000"/>
                <w:szCs w:val="22"/>
              </w:rPr>
              <w:t>IFC should explore options to expand further opportunities to build on gender and disability work and investments to date. Work in the sector should be incremental and staged, and recognise the need for care consultation and engagement with both public- and private-sector institutions and enterprises. GEDSI approaches should be fit for purpose and prioritise awareness raising and understanding, leading to more long-term institutional support and associated reforms.</w:t>
            </w:r>
          </w:p>
        </w:tc>
        <w:tc>
          <w:tcPr>
            <w:tcW w:w="1276" w:type="dxa"/>
          </w:tcPr>
          <w:p w14:paraId="55D87CC7" w14:textId="600F6426" w:rsidR="000746AC" w:rsidRPr="008C6BB8" w:rsidRDefault="000746AC" w:rsidP="007347E9">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Cs w:val="22"/>
              </w:rPr>
            </w:pPr>
            <w:r w:rsidRPr="008C6BB8">
              <w:rPr>
                <w:rFonts w:asciiTheme="minorHAnsi" w:hAnsiTheme="minorHAnsi"/>
                <w:color w:val="auto"/>
                <w:szCs w:val="22"/>
              </w:rPr>
              <w:t>Agree</w:t>
            </w:r>
          </w:p>
        </w:tc>
        <w:tc>
          <w:tcPr>
            <w:tcW w:w="5245" w:type="dxa"/>
          </w:tcPr>
          <w:p w14:paraId="0D270775" w14:textId="467046BF" w:rsidR="000746AC" w:rsidRPr="008C6BB8" w:rsidRDefault="00014849" w:rsidP="003852E3">
            <w:pPr>
              <w:pStyle w:val="TableHeaderRow"/>
              <w:jc w:val="both"/>
              <w:cnfStyle w:val="000000010000" w:firstRow="0" w:lastRow="0" w:firstColumn="0" w:lastColumn="0" w:oddVBand="0" w:evenVBand="0" w:oddHBand="0" w:evenHBand="1" w:firstRowFirstColumn="0" w:firstRowLastColumn="0" w:lastRowFirstColumn="0" w:lastRowLastColumn="0"/>
              <w:rPr>
                <w:rFonts w:asciiTheme="minorHAnsi" w:hAnsiTheme="minorHAnsi"/>
                <w:b w:val="0"/>
                <w:color w:val="auto"/>
                <w:szCs w:val="22"/>
              </w:rPr>
            </w:pPr>
            <w:r>
              <w:rPr>
                <w:rFonts w:asciiTheme="minorHAnsi" w:hAnsiTheme="minorHAnsi"/>
                <w:b w:val="0"/>
                <w:color w:val="auto"/>
                <w:szCs w:val="22"/>
              </w:rPr>
              <w:t xml:space="preserve">DFAT </w:t>
            </w:r>
            <w:r w:rsidR="00DE4853">
              <w:rPr>
                <w:rFonts w:asciiTheme="minorHAnsi" w:hAnsiTheme="minorHAnsi"/>
                <w:b w:val="0"/>
                <w:color w:val="auto"/>
                <w:szCs w:val="22"/>
              </w:rPr>
              <w:t>acknowledge</w:t>
            </w:r>
            <w:r w:rsidR="00C9447A">
              <w:rPr>
                <w:rFonts w:asciiTheme="minorHAnsi" w:hAnsiTheme="minorHAnsi"/>
                <w:b w:val="0"/>
                <w:color w:val="auto"/>
                <w:szCs w:val="22"/>
              </w:rPr>
              <w:t>s</w:t>
            </w:r>
            <w:r w:rsidR="00DE4853">
              <w:rPr>
                <w:rFonts w:asciiTheme="minorHAnsi" w:hAnsiTheme="minorHAnsi"/>
                <w:b w:val="0"/>
                <w:color w:val="auto"/>
                <w:szCs w:val="22"/>
              </w:rPr>
              <w:t xml:space="preserve"> </w:t>
            </w:r>
            <w:r w:rsidR="007D0BF1">
              <w:rPr>
                <w:rFonts w:asciiTheme="minorHAnsi" w:hAnsiTheme="minorHAnsi"/>
                <w:b w:val="0"/>
                <w:color w:val="auto"/>
                <w:szCs w:val="22"/>
              </w:rPr>
              <w:t xml:space="preserve">IFC’s </w:t>
            </w:r>
            <w:r w:rsidR="00DE4853">
              <w:rPr>
                <w:rFonts w:asciiTheme="minorHAnsi" w:hAnsiTheme="minorHAnsi"/>
                <w:b w:val="0"/>
                <w:color w:val="auto"/>
                <w:szCs w:val="22"/>
              </w:rPr>
              <w:t xml:space="preserve">efforts </w:t>
            </w:r>
            <w:r w:rsidR="00E74C14">
              <w:rPr>
                <w:rFonts w:asciiTheme="minorHAnsi" w:hAnsiTheme="minorHAnsi"/>
                <w:b w:val="0"/>
                <w:color w:val="auto"/>
                <w:szCs w:val="22"/>
              </w:rPr>
              <w:t xml:space="preserve">in mainstreaming </w:t>
            </w:r>
            <w:r w:rsidR="00DC4EF8">
              <w:rPr>
                <w:rFonts w:asciiTheme="minorHAnsi" w:hAnsiTheme="minorHAnsi"/>
                <w:b w:val="0"/>
                <w:color w:val="auto"/>
                <w:szCs w:val="22"/>
              </w:rPr>
              <w:t xml:space="preserve">gender </w:t>
            </w:r>
            <w:r w:rsidR="006225EE">
              <w:rPr>
                <w:rFonts w:asciiTheme="minorHAnsi" w:hAnsiTheme="minorHAnsi"/>
                <w:b w:val="0"/>
                <w:color w:val="auto"/>
                <w:szCs w:val="22"/>
              </w:rPr>
              <w:t xml:space="preserve">equality </w:t>
            </w:r>
            <w:r w:rsidR="00DC4EF8">
              <w:rPr>
                <w:rFonts w:asciiTheme="minorHAnsi" w:hAnsiTheme="minorHAnsi"/>
                <w:b w:val="0"/>
                <w:color w:val="auto"/>
                <w:szCs w:val="22"/>
              </w:rPr>
              <w:t xml:space="preserve">and disability </w:t>
            </w:r>
            <w:r w:rsidR="006225EE">
              <w:rPr>
                <w:rFonts w:asciiTheme="minorHAnsi" w:hAnsiTheme="minorHAnsi"/>
                <w:b w:val="0"/>
                <w:color w:val="auto"/>
                <w:szCs w:val="22"/>
              </w:rPr>
              <w:t xml:space="preserve">inclusion </w:t>
            </w:r>
            <w:r w:rsidR="004F69B3">
              <w:rPr>
                <w:rFonts w:asciiTheme="minorHAnsi" w:hAnsiTheme="minorHAnsi"/>
                <w:b w:val="0"/>
                <w:color w:val="auto"/>
                <w:szCs w:val="22"/>
              </w:rPr>
              <w:t xml:space="preserve">into VPSDP </w:t>
            </w:r>
            <w:r w:rsidR="00DC4EF8">
              <w:rPr>
                <w:rFonts w:asciiTheme="minorHAnsi" w:hAnsiTheme="minorHAnsi"/>
                <w:b w:val="0"/>
                <w:color w:val="auto"/>
                <w:szCs w:val="22"/>
              </w:rPr>
              <w:t>activities</w:t>
            </w:r>
            <w:r w:rsidR="000A11AB">
              <w:rPr>
                <w:rFonts w:asciiTheme="minorHAnsi" w:hAnsiTheme="minorHAnsi"/>
                <w:b w:val="0"/>
                <w:color w:val="auto"/>
                <w:szCs w:val="22"/>
              </w:rPr>
              <w:t xml:space="preserve"> and investments. </w:t>
            </w:r>
            <w:r w:rsidR="009C159D">
              <w:rPr>
                <w:rFonts w:asciiTheme="minorHAnsi" w:hAnsiTheme="minorHAnsi"/>
                <w:b w:val="0"/>
                <w:color w:val="auto"/>
                <w:szCs w:val="22"/>
              </w:rPr>
              <w:t xml:space="preserve"> </w:t>
            </w:r>
            <w:r w:rsidR="004E661D">
              <w:rPr>
                <w:rFonts w:asciiTheme="minorHAnsi" w:hAnsiTheme="minorHAnsi"/>
                <w:b w:val="0"/>
                <w:color w:val="auto"/>
                <w:szCs w:val="22"/>
              </w:rPr>
              <w:t xml:space="preserve"> </w:t>
            </w:r>
            <w:r w:rsidR="00530D6E" w:rsidRPr="008C6BB8">
              <w:rPr>
                <w:rFonts w:asciiTheme="minorHAnsi" w:hAnsiTheme="minorHAnsi"/>
                <w:b w:val="0"/>
                <w:color w:val="auto"/>
                <w:szCs w:val="22"/>
              </w:rPr>
              <w:t>Building on the findings of IFC’s recent “Disability Inclusion in Private Sector Development in Viet</w:t>
            </w:r>
            <w:r w:rsidR="00566D91">
              <w:rPr>
                <w:rFonts w:asciiTheme="minorHAnsi" w:hAnsiTheme="minorHAnsi"/>
                <w:b w:val="0"/>
                <w:color w:val="auto"/>
                <w:szCs w:val="22"/>
              </w:rPr>
              <w:t>n</w:t>
            </w:r>
            <w:r w:rsidR="00530D6E" w:rsidRPr="008C6BB8">
              <w:rPr>
                <w:rFonts w:asciiTheme="minorHAnsi" w:hAnsiTheme="minorHAnsi"/>
                <w:b w:val="0"/>
                <w:color w:val="auto"/>
                <w:szCs w:val="22"/>
              </w:rPr>
              <w:t xml:space="preserve">am” study, DFAT </w:t>
            </w:r>
            <w:r w:rsidR="006225EE">
              <w:rPr>
                <w:rFonts w:asciiTheme="minorHAnsi" w:hAnsiTheme="minorHAnsi"/>
                <w:b w:val="0"/>
                <w:color w:val="auto"/>
                <w:szCs w:val="22"/>
              </w:rPr>
              <w:t>will</w:t>
            </w:r>
            <w:r w:rsidR="00530D6E" w:rsidRPr="008C6BB8">
              <w:rPr>
                <w:rFonts w:asciiTheme="minorHAnsi" w:hAnsiTheme="minorHAnsi"/>
                <w:b w:val="0"/>
                <w:color w:val="auto"/>
                <w:szCs w:val="22"/>
              </w:rPr>
              <w:t xml:space="preserve"> collaborat</w:t>
            </w:r>
            <w:r w:rsidR="00E8638C">
              <w:rPr>
                <w:rFonts w:asciiTheme="minorHAnsi" w:hAnsiTheme="minorHAnsi"/>
                <w:b w:val="0"/>
                <w:color w:val="auto"/>
                <w:szCs w:val="22"/>
              </w:rPr>
              <w:t>e</w:t>
            </w:r>
            <w:r w:rsidR="00530D6E" w:rsidRPr="008C6BB8">
              <w:rPr>
                <w:rFonts w:asciiTheme="minorHAnsi" w:hAnsiTheme="minorHAnsi"/>
                <w:b w:val="0"/>
                <w:color w:val="auto"/>
                <w:szCs w:val="22"/>
              </w:rPr>
              <w:t xml:space="preserve"> with IFC to define next steps and phase subsequent actions. In parallel, the study’s recommendations</w:t>
            </w:r>
            <w:r w:rsidR="00170B17">
              <w:rPr>
                <w:rFonts w:asciiTheme="minorHAnsi" w:hAnsiTheme="minorHAnsi"/>
                <w:b w:val="0"/>
                <w:color w:val="auto"/>
                <w:szCs w:val="22"/>
              </w:rPr>
              <w:t xml:space="preserve"> </w:t>
            </w:r>
            <w:r w:rsidR="009E027C">
              <w:rPr>
                <w:rFonts w:asciiTheme="minorHAnsi" w:hAnsiTheme="minorHAnsi"/>
                <w:b w:val="0"/>
                <w:color w:val="auto"/>
                <w:szCs w:val="22"/>
              </w:rPr>
              <w:t xml:space="preserve">will also inform DFAT’s </w:t>
            </w:r>
            <w:r w:rsidR="00BF480C">
              <w:rPr>
                <w:rFonts w:asciiTheme="minorHAnsi" w:hAnsiTheme="minorHAnsi"/>
                <w:b w:val="0"/>
                <w:color w:val="auto"/>
                <w:szCs w:val="22"/>
              </w:rPr>
              <w:t>future GEDSI portfolio design.</w:t>
            </w:r>
          </w:p>
        </w:tc>
        <w:tc>
          <w:tcPr>
            <w:tcW w:w="2977" w:type="dxa"/>
          </w:tcPr>
          <w:p w14:paraId="2D55DA2A" w14:textId="071D8CC2" w:rsidR="000746AC" w:rsidRPr="008C6BB8" w:rsidRDefault="00951510" w:rsidP="007347E9">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Cs w:val="22"/>
              </w:rPr>
            </w:pPr>
            <w:r w:rsidRPr="008C6BB8">
              <w:rPr>
                <w:rFonts w:asciiTheme="minorHAnsi" w:hAnsiTheme="minorHAnsi"/>
                <w:color w:val="auto"/>
                <w:szCs w:val="22"/>
              </w:rPr>
              <w:t xml:space="preserve">July – </w:t>
            </w:r>
            <w:r w:rsidR="009C7778" w:rsidRPr="008C6BB8">
              <w:rPr>
                <w:rFonts w:asciiTheme="minorHAnsi" w:hAnsiTheme="minorHAnsi"/>
                <w:color w:val="auto"/>
                <w:szCs w:val="22"/>
              </w:rPr>
              <w:t>Dec</w:t>
            </w:r>
            <w:r w:rsidRPr="008C6BB8">
              <w:rPr>
                <w:rFonts w:asciiTheme="minorHAnsi" w:hAnsiTheme="minorHAnsi"/>
                <w:color w:val="auto"/>
                <w:szCs w:val="22"/>
              </w:rPr>
              <w:t xml:space="preserve"> </w:t>
            </w:r>
            <w:r w:rsidR="000746AC" w:rsidRPr="008C6BB8">
              <w:rPr>
                <w:rFonts w:asciiTheme="minorHAnsi" w:hAnsiTheme="minorHAnsi"/>
                <w:color w:val="auto"/>
                <w:szCs w:val="22"/>
              </w:rPr>
              <w:t>2026</w:t>
            </w:r>
          </w:p>
        </w:tc>
      </w:tr>
      <w:tr w:rsidR="000746AC" w:rsidRPr="008C6BB8" w14:paraId="2DA0BD4B" w14:textId="77777777" w:rsidTr="00AF5F07">
        <w:trPr>
          <w:cnfStyle w:val="000000100000" w:firstRow="0" w:lastRow="0" w:firstColumn="0" w:lastColumn="0" w:oddVBand="0" w:evenVBand="0" w:oddHBand="1" w:evenHBand="0" w:firstRowFirstColumn="0" w:firstRowLastColumn="0" w:lastRowFirstColumn="0" w:lastRowLastColumn="0"/>
          <w:trHeight w:val="1256"/>
        </w:trPr>
        <w:tc>
          <w:tcPr>
            <w:cnfStyle w:val="001000000000" w:firstRow="0" w:lastRow="0" w:firstColumn="1" w:lastColumn="0" w:oddVBand="0" w:evenVBand="0" w:oddHBand="0" w:evenHBand="0" w:firstRowFirstColumn="0" w:firstRowLastColumn="0" w:lastRowFirstColumn="0" w:lastRowLastColumn="0"/>
            <w:tcW w:w="4678" w:type="dxa"/>
            <w:gridSpan w:val="2"/>
          </w:tcPr>
          <w:p w14:paraId="272E16D2" w14:textId="77777777" w:rsidR="007B3764" w:rsidRPr="008C6BB8" w:rsidRDefault="000746AC" w:rsidP="3CA77060">
            <w:pPr>
              <w:tabs>
                <w:tab w:val="left" w:pos="458"/>
              </w:tabs>
              <w:ind w:left="316" w:hanging="316"/>
              <w:rPr>
                <w:rFonts w:asciiTheme="minorHAnsi" w:hAnsiTheme="minorHAnsi"/>
                <w:b/>
                <w:color w:val="000000" w:themeColor="text1"/>
              </w:rPr>
            </w:pPr>
            <w:r w:rsidRPr="008C6BB8">
              <w:rPr>
                <w:rFonts w:asciiTheme="minorHAnsi" w:hAnsiTheme="minorHAnsi"/>
                <w:b/>
                <w:color w:val="000000" w:themeColor="text1"/>
              </w:rPr>
              <w:t xml:space="preserve">Recommendation 3: </w:t>
            </w:r>
          </w:p>
          <w:p w14:paraId="7B79295D" w14:textId="45A5DA0D" w:rsidR="000746AC" w:rsidRPr="008C6BB8" w:rsidRDefault="007B3764" w:rsidP="003A7D82">
            <w:pPr>
              <w:tabs>
                <w:tab w:val="left" w:pos="458"/>
              </w:tabs>
              <w:jc w:val="both"/>
              <w:rPr>
                <w:rFonts w:asciiTheme="minorHAnsi" w:hAnsiTheme="minorHAnsi"/>
              </w:rPr>
            </w:pPr>
            <w:r w:rsidRPr="008C6BB8">
              <w:rPr>
                <w:rFonts w:asciiTheme="minorHAnsi" w:hAnsiTheme="minorHAnsi" w:cs="Calibri"/>
              </w:rPr>
              <w:t xml:space="preserve">The current partnership arrangement has demonstrated an effective support mechanism. Existing governance mechanisms remain relevant and fit-for-purpose and should </w:t>
            </w:r>
            <w:r w:rsidRPr="008C6BB8">
              <w:rPr>
                <w:rFonts w:asciiTheme="minorHAnsi" w:hAnsiTheme="minorHAnsi" w:cs="Calibri"/>
              </w:rPr>
              <w:lastRenderedPageBreak/>
              <w:t xml:space="preserve">be maintained and supported. There is scope to build on the partnership model and promote more information engagement on areas of mutual interest. This could be facilitated through an initial series of presentations and operational deep dives, which could transition into more formal, program-wide, monthly meetings on additional topics of interest to deepen understanding and shared experiences. There is also </w:t>
            </w:r>
            <w:r w:rsidR="00C55EE8" w:rsidRPr="008C6BB8">
              <w:rPr>
                <w:rFonts w:asciiTheme="minorHAnsi" w:hAnsiTheme="minorHAnsi" w:cs="Calibri"/>
              </w:rPr>
              <w:t>scope</w:t>
            </w:r>
            <w:r w:rsidR="00C55EE8" w:rsidRPr="008C6BB8">
              <w:rPr>
                <w:rFonts w:cs="Calibri"/>
              </w:rPr>
              <w:t>d</w:t>
            </w:r>
            <w:r w:rsidRPr="008C6BB8">
              <w:rPr>
                <w:rFonts w:asciiTheme="minorHAnsi" w:hAnsiTheme="minorHAnsi" w:cs="Calibri"/>
              </w:rPr>
              <w:t xml:space="preserve"> to deepen engagements across programs, for example, with </w:t>
            </w:r>
            <w:r w:rsidR="00C55EE8" w:rsidRPr="00BF480C">
              <w:rPr>
                <w:rFonts w:asciiTheme="minorHAnsi" w:hAnsiTheme="minorHAnsi" w:cs="Calibri"/>
              </w:rPr>
              <w:t>DFAT’s</w:t>
            </w:r>
            <w:r w:rsidRPr="00BF480C">
              <w:rPr>
                <w:rFonts w:asciiTheme="minorHAnsi" w:hAnsiTheme="minorHAnsi" w:cs="Calibri"/>
              </w:rPr>
              <w:t xml:space="preserve"> Investing in Women program.</w:t>
            </w:r>
          </w:p>
        </w:tc>
        <w:tc>
          <w:tcPr>
            <w:tcW w:w="1276" w:type="dxa"/>
          </w:tcPr>
          <w:p w14:paraId="7234CB9E" w14:textId="255F550B" w:rsidR="000746AC" w:rsidRPr="008C6BB8" w:rsidRDefault="000746AC" w:rsidP="003852E3">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r w:rsidRPr="008C6BB8">
              <w:rPr>
                <w:rFonts w:asciiTheme="minorHAnsi" w:hAnsiTheme="minorHAnsi"/>
                <w:color w:val="auto"/>
                <w:szCs w:val="22"/>
              </w:rPr>
              <w:lastRenderedPageBreak/>
              <w:t>Agree</w:t>
            </w:r>
          </w:p>
        </w:tc>
        <w:tc>
          <w:tcPr>
            <w:tcW w:w="5245" w:type="dxa"/>
          </w:tcPr>
          <w:p w14:paraId="03F59C01" w14:textId="71D7126B" w:rsidR="000746AC" w:rsidRPr="008C6BB8" w:rsidRDefault="000746AC" w:rsidP="003852E3">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b w:val="0"/>
                <w:bCs/>
                <w:color w:val="auto"/>
                <w:szCs w:val="22"/>
              </w:rPr>
            </w:pPr>
            <w:r w:rsidRPr="008C6BB8">
              <w:rPr>
                <w:rFonts w:asciiTheme="minorHAnsi" w:hAnsiTheme="minorHAnsi"/>
                <w:b w:val="0"/>
                <w:color w:val="auto"/>
                <w:szCs w:val="22"/>
                <w:lang w:val="en-US"/>
              </w:rPr>
              <w:t>DFAT</w:t>
            </w:r>
            <w:r w:rsidR="0019726A" w:rsidRPr="008C6BB8">
              <w:rPr>
                <w:rFonts w:asciiTheme="minorHAnsi" w:hAnsiTheme="minorHAnsi"/>
                <w:b w:val="0"/>
                <w:color w:val="auto"/>
                <w:szCs w:val="22"/>
                <w:lang w:val="en-US"/>
              </w:rPr>
              <w:t xml:space="preserve"> </w:t>
            </w:r>
            <w:r w:rsidR="00882C54">
              <w:rPr>
                <w:rFonts w:asciiTheme="minorHAnsi" w:hAnsiTheme="minorHAnsi"/>
                <w:b w:val="0"/>
                <w:color w:val="auto"/>
                <w:szCs w:val="22"/>
                <w:lang w:val="en-US"/>
              </w:rPr>
              <w:t xml:space="preserve">agrees that the </w:t>
            </w:r>
            <w:r w:rsidR="006F1E8F">
              <w:rPr>
                <w:rFonts w:asciiTheme="minorHAnsi" w:hAnsiTheme="minorHAnsi"/>
                <w:b w:val="0"/>
                <w:color w:val="auto"/>
                <w:szCs w:val="22"/>
                <w:lang w:val="en-US"/>
              </w:rPr>
              <w:t>existing partnership mechanism is still relevant and fit-for-purpose</w:t>
            </w:r>
            <w:r w:rsidR="00C4355B">
              <w:rPr>
                <w:rFonts w:asciiTheme="minorHAnsi" w:hAnsiTheme="minorHAnsi"/>
                <w:b w:val="0"/>
                <w:color w:val="auto"/>
                <w:szCs w:val="22"/>
                <w:lang w:val="en-US"/>
              </w:rPr>
              <w:t xml:space="preserve"> and should be maintained </w:t>
            </w:r>
            <w:r w:rsidR="008273C8">
              <w:rPr>
                <w:rFonts w:asciiTheme="minorHAnsi" w:hAnsiTheme="minorHAnsi"/>
                <w:b w:val="0"/>
                <w:color w:val="auto"/>
                <w:szCs w:val="22"/>
                <w:lang w:val="en-US"/>
              </w:rPr>
              <w:t>to increase efficiency and effectiveness. DFAT value</w:t>
            </w:r>
            <w:r w:rsidR="00A75F9B">
              <w:rPr>
                <w:rFonts w:asciiTheme="minorHAnsi" w:hAnsiTheme="minorHAnsi"/>
                <w:b w:val="0"/>
                <w:color w:val="auto"/>
                <w:szCs w:val="22"/>
                <w:lang w:val="en-US"/>
              </w:rPr>
              <w:t xml:space="preserve">s early engagement with IFC to discuss and initiate ideas </w:t>
            </w:r>
            <w:r w:rsidR="00255217">
              <w:rPr>
                <w:rFonts w:asciiTheme="minorHAnsi" w:hAnsiTheme="minorHAnsi"/>
                <w:b w:val="0"/>
                <w:color w:val="auto"/>
                <w:szCs w:val="22"/>
                <w:lang w:val="en-US"/>
              </w:rPr>
              <w:t xml:space="preserve">to address emerging </w:t>
            </w:r>
            <w:r w:rsidR="00255217">
              <w:rPr>
                <w:rFonts w:asciiTheme="minorHAnsi" w:hAnsiTheme="minorHAnsi"/>
                <w:b w:val="0"/>
                <w:color w:val="auto"/>
                <w:szCs w:val="22"/>
                <w:lang w:val="en-US"/>
              </w:rPr>
              <w:lastRenderedPageBreak/>
              <w:t>priorities</w:t>
            </w:r>
            <w:r w:rsidR="00F62B9D">
              <w:rPr>
                <w:rFonts w:asciiTheme="minorHAnsi" w:hAnsiTheme="minorHAnsi"/>
                <w:b w:val="0"/>
                <w:color w:val="auto"/>
                <w:szCs w:val="22"/>
                <w:lang w:val="en-US"/>
              </w:rPr>
              <w:t xml:space="preserve"> </w:t>
            </w:r>
            <w:r w:rsidR="002D3971">
              <w:rPr>
                <w:rFonts w:asciiTheme="minorHAnsi" w:hAnsiTheme="minorHAnsi"/>
                <w:b w:val="0"/>
                <w:color w:val="auto"/>
                <w:szCs w:val="22"/>
                <w:lang w:val="en-US"/>
              </w:rPr>
              <w:t>and agrees that</w:t>
            </w:r>
            <w:r w:rsidR="00F62B9D">
              <w:rPr>
                <w:rFonts w:asciiTheme="minorHAnsi" w:hAnsiTheme="minorHAnsi"/>
                <w:b w:val="0"/>
                <w:color w:val="auto"/>
                <w:szCs w:val="22"/>
                <w:lang w:val="en-US"/>
              </w:rPr>
              <w:t xml:space="preserve"> </w:t>
            </w:r>
            <w:r w:rsidR="00B232FD">
              <w:rPr>
                <w:rFonts w:asciiTheme="minorHAnsi" w:hAnsiTheme="minorHAnsi"/>
                <w:b w:val="0"/>
                <w:color w:val="auto"/>
                <w:szCs w:val="22"/>
                <w:lang w:val="en-US"/>
              </w:rPr>
              <w:t xml:space="preserve">focused </w:t>
            </w:r>
            <w:r w:rsidR="00715C0C" w:rsidRPr="008C6BB8">
              <w:rPr>
                <w:rFonts w:asciiTheme="minorHAnsi" w:hAnsiTheme="minorHAnsi"/>
                <w:b w:val="0"/>
                <w:color w:val="auto"/>
                <w:szCs w:val="22"/>
                <w:lang w:val="en-US"/>
              </w:rPr>
              <w:t>discussion</w:t>
            </w:r>
            <w:r w:rsidR="00DB43FF">
              <w:rPr>
                <w:rFonts w:asciiTheme="minorHAnsi" w:hAnsiTheme="minorHAnsi"/>
                <w:b w:val="0"/>
                <w:color w:val="auto"/>
                <w:szCs w:val="22"/>
                <w:lang w:val="en-US"/>
              </w:rPr>
              <w:t>s</w:t>
            </w:r>
            <w:r w:rsidR="009512F2" w:rsidRPr="008C6BB8">
              <w:rPr>
                <w:rFonts w:asciiTheme="minorHAnsi" w:hAnsiTheme="minorHAnsi"/>
                <w:b w:val="0"/>
                <w:color w:val="auto"/>
                <w:szCs w:val="22"/>
                <w:lang w:val="en-US"/>
              </w:rPr>
              <w:t xml:space="preserve"> </w:t>
            </w:r>
            <w:r w:rsidR="00B232FD">
              <w:rPr>
                <w:rFonts w:asciiTheme="minorHAnsi" w:hAnsiTheme="minorHAnsi"/>
                <w:b w:val="0"/>
                <w:color w:val="auto"/>
                <w:szCs w:val="22"/>
                <w:lang w:val="en-US"/>
              </w:rPr>
              <w:t>on topics of interest</w:t>
            </w:r>
            <w:r w:rsidR="00D200A3">
              <w:rPr>
                <w:rFonts w:asciiTheme="minorHAnsi" w:hAnsiTheme="minorHAnsi"/>
                <w:b w:val="0"/>
                <w:color w:val="auto"/>
                <w:szCs w:val="22"/>
                <w:lang w:val="en-US"/>
              </w:rPr>
              <w:t xml:space="preserve"> </w:t>
            </w:r>
            <w:r w:rsidR="00DB43FF">
              <w:rPr>
                <w:rFonts w:asciiTheme="minorHAnsi" w:hAnsiTheme="minorHAnsi"/>
                <w:b w:val="0"/>
                <w:color w:val="auto"/>
                <w:szCs w:val="22"/>
                <w:lang w:val="en-US"/>
              </w:rPr>
              <w:t xml:space="preserve">would be beneficial. </w:t>
            </w:r>
            <w:r w:rsidR="004831F9">
              <w:rPr>
                <w:rFonts w:asciiTheme="minorHAnsi" w:hAnsiTheme="minorHAnsi"/>
                <w:b w:val="0"/>
                <w:color w:val="auto"/>
                <w:szCs w:val="22"/>
                <w:lang w:val="en-US"/>
              </w:rPr>
              <w:t xml:space="preserve">DFAT will work with IFC </w:t>
            </w:r>
            <w:r w:rsidR="00D711FA">
              <w:rPr>
                <w:rFonts w:asciiTheme="minorHAnsi" w:hAnsiTheme="minorHAnsi"/>
                <w:b w:val="0"/>
                <w:color w:val="auto"/>
                <w:szCs w:val="22"/>
                <w:lang w:val="en-US"/>
              </w:rPr>
              <w:t xml:space="preserve">to </w:t>
            </w:r>
            <w:r w:rsidR="00632F3A">
              <w:rPr>
                <w:rFonts w:asciiTheme="minorHAnsi" w:hAnsiTheme="minorHAnsi"/>
                <w:b w:val="0"/>
                <w:color w:val="auto"/>
                <w:szCs w:val="22"/>
                <w:lang w:val="en-US"/>
              </w:rPr>
              <w:t xml:space="preserve">implement this </w:t>
            </w:r>
            <w:r w:rsidR="00822B0C">
              <w:rPr>
                <w:rFonts w:asciiTheme="minorHAnsi" w:hAnsiTheme="minorHAnsi"/>
                <w:b w:val="0"/>
                <w:color w:val="auto"/>
                <w:szCs w:val="22"/>
                <w:lang w:val="en-US"/>
              </w:rPr>
              <w:t xml:space="preserve">recommendation and </w:t>
            </w:r>
            <w:r w:rsidR="00D711FA">
              <w:rPr>
                <w:rFonts w:asciiTheme="minorHAnsi" w:hAnsiTheme="minorHAnsi"/>
                <w:b w:val="0"/>
                <w:color w:val="auto"/>
                <w:szCs w:val="22"/>
                <w:lang w:val="en-US"/>
              </w:rPr>
              <w:t xml:space="preserve">create </w:t>
            </w:r>
            <w:r w:rsidR="004831F9">
              <w:rPr>
                <w:rFonts w:asciiTheme="minorHAnsi" w:hAnsiTheme="minorHAnsi"/>
                <w:b w:val="0"/>
                <w:color w:val="auto"/>
                <w:szCs w:val="22"/>
                <w:lang w:val="en-US"/>
              </w:rPr>
              <w:t xml:space="preserve">a list </w:t>
            </w:r>
            <w:r w:rsidR="00822B0C">
              <w:rPr>
                <w:rFonts w:asciiTheme="minorHAnsi" w:hAnsiTheme="minorHAnsi"/>
                <w:b w:val="0"/>
                <w:color w:val="auto"/>
                <w:szCs w:val="22"/>
                <w:lang w:val="en-US"/>
              </w:rPr>
              <w:t xml:space="preserve">and schedule </w:t>
            </w:r>
            <w:r w:rsidR="004831F9">
              <w:rPr>
                <w:rFonts w:asciiTheme="minorHAnsi" w:hAnsiTheme="minorHAnsi"/>
                <w:b w:val="0"/>
                <w:color w:val="auto"/>
                <w:szCs w:val="22"/>
                <w:lang w:val="en-US"/>
              </w:rPr>
              <w:t xml:space="preserve">of </w:t>
            </w:r>
            <w:r w:rsidR="00916106">
              <w:rPr>
                <w:rFonts w:asciiTheme="minorHAnsi" w:hAnsiTheme="minorHAnsi"/>
                <w:b w:val="0"/>
                <w:color w:val="auto"/>
                <w:szCs w:val="22"/>
                <w:lang w:val="en-US"/>
              </w:rPr>
              <w:t>topics for discussion</w:t>
            </w:r>
            <w:r w:rsidR="003224B1">
              <w:rPr>
                <w:rFonts w:asciiTheme="minorHAnsi" w:hAnsiTheme="minorHAnsi"/>
                <w:b w:val="0"/>
                <w:color w:val="auto"/>
                <w:szCs w:val="22"/>
                <w:lang w:val="en-US"/>
              </w:rPr>
              <w:t>.</w:t>
            </w:r>
          </w:p>
        </w:tc>
        <w:tc>
          <w:tcPr>
            <w:tcW w:w="2977" w:type="dxa"/>
          </w:tcPr>
          <w:p w14:paraId="006E96ED" w14:textId="79D3DFD5" w:rsidR="000746AC" w:rsidRPr="008C6BB8" w:rsidRDefault="009512F2" w:rsidP="00696571">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r w:rsidRPr="008C6BB8">
              <w:rPr>
                <w:rFonts w:asciiTheme="minorHAnsi" w:hAnsiTheme="minorHAnsi"/>
                <w:color w:val="auto"/>
                <w:szCs w:val="22"/>
              </w:rPr>
              <w:lastRenderedPageBreak/>
              <w:t>May</w:t>
            </w:r>
            <w:r w:rsidR="00D751CB" w:rsidRPr="008C6BB8">
              <w:rPr>
                <w:rFonts w:asciiTheme="minorHAnsi" w:hAnsiTheme="minorHAnsi"/>
                <w:color w:val="auto"/>
                <w:szCs w:val="22"/>
              </w:rPr>
              <w:t xml:space="preserve"> 2026</w:t>
            </w:r>
            <w:r w:rsidRPr="008C6BB8">
              <w:rPr>
                <w:rFonts w:asciiTheme="minorHAnsi" w:hAnsiTheme="minorHAnsi"/>
                <w:color w:val="auto"/>
                <w:szCs w:val="22"/>
              </w:rPr>
              <w:t xml:space="preserve"> </w:t>
            </w:r>
            <w:r w:rsidR="00D751CB" w:rsidRPr="008C6BB8">
              <w:rPr>
                <w:rFonts w:asciiTheme="minorHAnsi" w:hAnsiTheme="minorHAnsi"/>
                <w:color w:val="auto"/>
                <w:szCs w:val="22"/>
              </w:rPr>
              <w:t xml:space="preserve">and until end of program </w:t>
            </w:r>
          </w:p>
        </w:tc>
      </w:tr>
      <w:tr w:rsidR="00BA73EC" w:rsidRPr="008C6BB8" w14:paraId="062BC22D" w14:textId="77777777" w:rsidTr="00AF5F07">
        <w:trPr>
          <w:cnfStyle w:val="000000010000" w:firstRow="0" w:lastRow="0" w:firstColumn="0" w:lastColumn="0" w:oddVBand="0" w:evenVBand="0" w:oddHBand="0" w:evenHBand="1" w:firstRowFirstColumn="0" w:firstRowLastColumn="0" w:lastRowFirstColumn="0" w:lastRowLastColumn="0"/>
          <w:trHeight w:val="1256"/>
        </w:trPr>
        <w:tc>
          <w:tcPr>
            <w:cnfStyle w:val="001000000000" w:firstRow="0" w:lastRow="0" w:firstColumn="1" w:lastColumn="0" w:oddVBand="0" w:evenVBand="0" w:oddHBand="0" w:evenHBand="0" w:firstRowFirstColumn="0" w:firstRowLastColumn="0" w:lastRowFirstColumn="0" w:lastRowLastColumn="0"/>
            <w:tcW w:w="4678" w:type="dxa"/>
            <w:gridSpan w:val="2"/>
          </w:tcPr>
          <w:p w14:paraId="69002002" w14:textId="77777777" w:rsidR="00BA73EC" w:rsidRPr="008C6BB8" w:rsidRDefault="00BA73EC" w:rsidP="00BA73EC">
            <w:pPr>
              <w:pStyle w:val="BodyText2"/>
              <w:spacing w:line="240" w:lineRule="auto"/>
              <w:jc w:val="both"/>
              <w:rPr>
                <w:rFonts w:asciiTheme="minorHAnsi" w:hAnsiTheme="minorHAnsi" w:cs="Calibri"/>
                <w:b/>
                <w:bCs/>
                <w:lang w:val="en-AU"/>
              </w:rPr>
            </w:pPr>
            <w:r w:rsidRPr="008C6BB8">
              <w:rPr>
                <w:rFonts w:asciiTheme="minorHAnsi" w:hAnsiTheme="minorHAnsi" w:cs="Calibri"/>
                <w:b/>
                <w:bCs/>
                <w:lang w:val="en-AU"/>
              </w:rPr>
              <w:t xml:space="preserve">Recommendation 4: </w:t>
            </w:r>
          </w:p>
          <w:p w14:paraId="57C4F557" w14:textId="4BA835F3" w:rsidR="00BA73EC" w:rsidRPr="008C6BB8" w:rsidRDefault="00BA73EC" w:rsidP="00BA73EC">
            <w:pPr>
              <w:pStyle w:val="BodyText2"/>
              <w:spacing w:line="240" w:lineRule="auto"/>
              <w:jc w:val="both"/>
              <w:rPr>
                <w:rFonts w:asciiTheme="minorHAnsi" w:hAnsiTheme="minorHAnsi" w:cs="Calibri"/>
                <w:lang w:val="en-AU"/>
              </w:rPr>
            </w:pPr>
            <w:r w:rsidRPr="008C6BB8">
              <w:rPr>
                <w:rFonts w:asciiTheme="minorHAnsi" w:hAnsiTheme="minorHAnsi" w:cs="Calibri"/>
                <w:lang w:val="en-AU"/>
              </w:rPr>
              <w:t>The IFC should continue to explore a structured and specific approach to MEL. While the current program has implemented an approach to MEL that is “fit-for-purpose”, there is scope to continue building on and leveraging this, particularly with the future use of an MEL resource to prepare more outcome-focused knowledge products, such as case studies and performance stories. This should be prioritised for implementation over the remaining few months but considered more fully if a new program is considered.</w:t>
            </w:r>
          </w:p>
          <w:p w14:paraId="3BE147C0" w14:textId="77777777" w:rsidR="00BA73EC" w:rsidRPr="008C6BB8" w:rsidRDefault="00BA73EC" w:rsidP="3CA77060">
            <w:pPr>
              <w:tabs>
                <w:tab w:val="left" w:pos="458"/>
              </w:tabs>
              <w:ind w:left="316" w:hanging="316"/>
              <w:rPr>
                <w:rFonts w:asciiTheme="minorHAnsi" w:hAnsiTheme="minorHAnsi"/>
                <w:b/>
                <w:color w:val="000000" w:themeColor="text1"/>
              </w:rPr>
            </w:pPr>
          </w:p>
        </w:tc>
        <w:tc>
          <w:tcPr>
            <w:tcW w:w="1276" w:type="dxa"/>
          </w:tcPr>
          <w:p w14:paraId="4C8A7408" w14:textId="6A289345" w:rsidR="00CC6A36" w:rsidRPr="008C6BB8" w:rsidRDefault="00CC6A36" w:rsidP="007347E9">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Cs w:val="22"/>
              </w:rPr>
            </w:pPr>
            <w:r w:rsidRPr="008C6BB8">
              <w:rPr>
                <w:rFonts w:asciiTheme="minorHAnsi" w:hAnsiTheme="minorHAnsi"/>
                <w:color w:val="auto"/>
                <w:szCs w:val="22"/>
              </w:rPr>
              <w:t>Agree</w:t>
            </w:r>
          </w:p>
        </w:tc>
        <w:tc>
          <w:tcPr>
            <w:tcW w:w="5245" w:type="dxa"/>
          </w:tcPr>
          <w:p w14:paraId="7692243B" w14:textId="2FAF38D0" w:rsidR="000D7E5D" w:rsidRPr="008C6BB8" w:rsidRDefault="00840703" w:rsidP="003852E3">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b w:val="0"/>
                <w:color w:val="auto"/>
                <w:szCs w:val="22"/>
                <w:lang w:val="en-US"/>
              </w:rPr>
            </w:pPr>
            <w:r>
              <w:rPr>
                <w:rFonts w:asciiTheme="minorHAnsi" w:hAnsiTheme="minorHAnsi"/>
                <w:b w:val="0"/>
                <w:color w:val="auto"/>
                <w:szCs w:val="22"/>
                <w:lang w:val="en-US"/>
              </w:rPr>
              <w:t xml:space="preserve">DFAT </w:t>
            </w:r>
            <w:r w:rsidR="00822B0C">
              <w:rPr>
                <w:rFonts w:asciiTheme="minorHAnsi" w:hAnsiTheme="minorHAnsi"/>
                <w:b w:val="0"/>
                <w:color w:val="auto"/>
                <w:szCs w:val="22"/>
                <w:lang w:val="en-US"/>
              </w:rPr>
              <w:t>will work</w:t>
            </w:r>
            <w:r w:rsidR="003211C8">
              <w:rPr>
                <w:rFonts w:asciiTheme="minorHAnsi" w:hAnsiTheme="minorHAnsi"/>
                <w:b w:val="0"/>
                <w:color w:val="auto"/>
                <w:szCs w:val="22"/>
                <w:lang w:val="en-US"/>
              </w:rPr>
              <w:t xml:space="preserve"> </w:t>
            </w:r>
            <w:r w:rsidR="00E2427B">
              <w:rPr>
                <w:rFonts w:asciiTheme="minorHAnsi" w:hAnsiTheme="minorHAnsi"/>
                <w:b w:val="0"/>
                <w:color w:val="auto"/>
                <w:szCs w:val="22"/>
                <w:lang w:val="en-US"/>
              </w:rPr>
              <w:t xml:space="preserve">with IFC to adjust the </w:t>
            </w:r>
            <w:r w:rsidR="00120F2A" w:rsidRPr="008C6BB8">
              <w:rPr>
                <w:rFonts w:asciiTheme="minorHAnsi" w:hAnsiTheme="minorHAnsi"/>
                <w:b w:val="0"/>
                <w:color w:val="auto"/>
                <w:szCs w:val="22"/>
                <w:lang w:val="en-US"/>
              </w:rPr>
              <w:t xml:space="preserve">Progress Report Template to better </w:t>
            </w:r>
            <w:r w:rsidR="000D7E5D" w:rsidRPr="008C6BB8">
              <w:rPr>
                <w:rFonts w:asciiTheme="minorHAnsi" w:hAnsiTheme="minorHAnsi"/>
                <w:b w:val="0"/>
                <w:color w:val="auto"/>
                <w:szCs w:val="22"/>
                <w:lang w:val="en-US"/>
              </w:rPr>
              <w:t xml:space="preserve">capture progress in achieving the program outcomes. </w:t>
            </w:r>
          </w:p>
        </w:tc>
        <w:tc>
          <w:tcPr>
            <w:tcW w:w="2977" w:type="dxa"/>
          </w:tcPr>
          <w:p w14:paraId="5F84D6A8" w14:textId="5694557B" w:rsidR="00BA73EC" w:rsidRPr="008C6BB8" w:rsidRDefault="00F9645D" w:rsidP="007347E9">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Cs w:val="22"/>
              </w:rPr>
            </w:pPr>
            <w:r>
              <w:rPr>
                <w:rFonts w:asciiTheme="minorHAnsi" w:hAnsiTheme="minorHAnsi"/>
                <w:color w:val="auto"/>
                <w:szCs w:val="22"/>
              </w:rPr>
              <w:t>During progress report</w:t>
            </w:r>
            <w:r w:rsidR="00B4462C">
              <w:rPr>
                <w:rFonts w:asciiTheme="minorHAnsi" w:hAnsiTheme="minorHAnsi"/>
                <w:color w:val="auto"/>
                <w:szCs w:val="22"/>
              </w:rPr>
              <w:t>ing</w:t>
            </w:r>
            <w:r>
              <w:rPr>
                <w:rFonts w:asciiTheme="minorHAnsi" w:hAnsiTheme="minorHAnsi"/>
                <w:color w:val="auto"/>
                <w:szCs w:val="22"/>
              </w:rPr>
              <w:t xml:space="preserve"> round (</w:t>
            </w:r>
            <w:r w:rsidR="002F2AA0">
              <w:rPr>
                <w:rFonts w:asciiTheme="minorHAnsi" w:hAnsiTheme="minorHAnsi"/>
                <w:color w:val="auto"/>
                <w:szCs w:val="22"/>
              </w:rPr>
              <w:t>Sept 2026</w:t>
            </w:r>
            <w:r>
              <w:rPr>
                <w:rFonts w:asciiTheme="minorHAnsi" w:hAnsiTheme="minorHAnsi"/>
                <w:color w:val="auto"/>
                <w:szCs w:val="22"/>
              </w:rPr>
              <w:t>, Mar 2027)</w:t>
            </w:r>
          </w:p>
        </w:tc>
      </w:tr>
      <w:tr w:rsidR="00BA73EC" w:rsidRPr="008C6BB8" w14:paraId="6858747F" w14:textId="77777777" w:rsidTr="00AF5F07">
        <w:trPr>
          <w:cnfStyle w:val="000000100000" w:firstRow="0" w:lastRow="0" w:firstColumn="0" w:lastColumn="0" w:oddVBand="0" w:evenVBand="0" w:oddHBand="1" w:evenHBand="0" w:firstRowFirstColumn="0" w:firstRowLastColumn="0" w:lastRowFirstColumn="0" w:lastRowLastColumn="0"/>
          <w:trHeight w:val="1256"/>
        </w:trPr>
        <w:tc>
          <w:tcPr>
            <w:cnfStyle w:val="001000000000" w:firstRow="0" w:lastRow="0" w:firstColumn="1" w:lastColumn="0" w:oddVBand="0" w:evenVBand="0" w:oddHBand="0" w:evenHBand="0" w:firstRowFirstColumn="0" w:firstRowLastColumn="0" w:lastRowFirstColumn="0" w:lastRowLastColumn="0"/>
            <w:tcW w:w="4678" w:type="dxa"/>
            <w:gridSpan w:val="2"/>
          </w:tcPr>
          <w:p w14:paraId="33E79D70" w14:textId="77777777" w:rsidR="00AB2971" w:rsidRPr="008C6BB8" w:rsidRDefault="00AB2971" w:rsidP="00AB2971">
            <w:pPr>
              <w:pStyle w:val="BodyText2"/>
              <w:spacing w:line="240" w:lineRule="auto"/>
              <w:jc w:val="both"/>
              <w:rPr>
                <w:rFonts w:asciiTheme="minorHAnsi" w:hAnsiTheme="minorHAnsi" w:cs="Calibri"/>
                <w:lang w:val="en-AU"/>
              </w:rPr>
            </w:pPr>
            <w:r w:rsidRPr="008C6BB8">
              <w:rPr>
                <w:rFonts w:asciiTheme="minorHAnsi" w:hAnsiTheme="minorHAnsi" w:cs="Calibri"/>
                <w:b/>
                <w:bCs/>
                <w:lang w:val="en-AU"/>
              </w:rPr>
              <w:t>Recommendation 5:</w:t>
            </w:r>
            <w:r w:rsidRPr="008C6BB8">
              <w:rPr>
                <w:rFonts w:asciiTheme="minorHAnsi" w:hAnsiTheme="minorHAnsi" w:cs="Calibri"/>
                <w:lang w:val="en-AU"/>
              </w:rPr>
              <w:t xml:space="preserve"> </w:t>
            </w:r>
          </w:p>
          <w:p w14:paraId="050F4327" w14:textId="669D197C" w:rsidR="00AB2971" w:rsidRPr="008C6BB8" w:rsidRDefault="00AB2971" w:rsidP="00AB2971">
            <w:pPr>
              <w:pStyle w:val="BodyText2"/>
              <w:spacing w:line="240" w:lineRule="auto"/>
              <w:jc w:val="both"/>
              <w:rPr>
                <w:rFonts w:asciiTheme="minorHAnsi" w:hAnsiTheme="minorHAnsi" w:cs="Calibri"/>
                <w:lang w:val="en-AU"/>
              </w:rPr>
            </w:pPr>
            <w:r w:rsidRPr="008C6BB8">
              <w:rPr>
                <w:rFonts w:asciiTheme="minorHAnsi" w:hAnsiTheme="minorHAnsi" w:cs="Calibri"/>
                <w:lang w:val="en-AU"/>
              </w:rPr>
              <w:t xml:space="preserve">There is sufficient evidence of progress towards outcomes and key results from the current VPSDP to justify and support ongoing investment in private-sector initiatives. Future </w:t>
            </w:r>
            <w:r w:rsidRPr="008C6BB8">
              <w:rPr>
                <w:rFonts w:asciiTheme="minorHAnsi" w:hAnsiTheme="minorHAnsi" w:cs="Calibri"/>
                <w:lang w:val="en-AU"/>
              </w:rPr>
              <w:lastRenderedPageBreak/>
              <w:t>investments should continue to support, build, and leverage existing IFC private-sector investments initiated under the current program, and remain aligned with the priorities and focus areas for the GoV and GoA.</w:t>
            </w:r>
          </w:p>
          <w:p w14:paraId="146DA188" w14:textId="77777777" w:rsidR="00BA73EC" w:rsidRPr="008C6BB8" w:rsidRDefault="00BA73EC" w:rsidP="00BA73EC">
            <w:pPr>
              <w:pStyle w:val="BodyText2"/>
              <w:spacing w:line="240" w:lineRule="auto"/>
              <w:jc w:val="both"/>
              <w:rPr>
                <w:rFonts w:asciiTheme="minorHAnsi" w:hAnsiTheme="minorHAnsi" w:cs="Calibri"/>
                <w:lang w:val="en-AU"/>
              </w:rPr>
            </w:pPr>
          </w:p>
        </w:tc>
        <w:tc>
          <w:tcPr>
            <w:tcW w:w="1276" w:type="dxa"/>
          </w:tcPr>
          <w:p w14:paraId="4CDA9793" w14:textId="4F16034B" w:rsidR="000D7E5D" w:rsidRPr="008C6BB8" w:rsidRDefault="00240B15" w:rsidP="007347E9">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r>
              <w:rPr>
                <w:rFonts w:asciiTheme="minorHAnsi" w:hAnsiTheme="minorHAnsi"/>
                <w:color w:val="auto"/>
                <w:szCs w:val="22"/>
              </w:rPr>
              <w:lastRenderedPageBreak/>
              <w:t>Partially a</w:t>
            </w:r>
            <w:r w:rsidR="000D7E5D" w:rsidRPr="008C6BB8">
              <w:rPr>
                <w:rFonts w:asciiTheme="minorHAnsi" w:hAnsiTheme="minorHAnsi"/>
                <w:color w:val="auto"/>
                <w:szCs w:val="22"/>
              </w:rPr>
              <w:t>gree</w:t>
            </w:r>
          </w:p>
        </w:tc>
        <w:tc>
          <w:tcPr>
            <w:tcW w:w="5245" w:type="dxa"/>
          </w:tcPr>
          <w:p w14:paraId="78F5D2F1" w14:textId="4AAB7B42" w:rsidR="000D7E5D" w:rsidRPr="008C6BB8" w:rsidRDefault="00E956DA" w:rsidP="00056A49">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auto"/>
                <w:szCs w:val="22"/>
                <w:lang w:val="en-US"/>
              </w:rPr>
            </w:pPr>
            <w:r>
              <w:rPr>
                <w:rFonts w:asciiTheme="minorHAnsi" w:hAnsiTheme="minorHAnsi"/>
                <w:b w:val="0"/>
                <w:color w:val="auto"/>
                <w:szCs w:val="22"/>
                <w:lang w:val="en-US"/>
              </w:rPr>
              <w:t xml:space="preserve">DFAT </w:t>
            </w:r>
            <w:r w:rsidR="00C45425">
              <w:rPr>
                <w:rFonts w:asciiTheme="minorHAnsi" w:hAnsiTheme="minorHAnsi"/>
                <w:b w:val="0"/>
                <w:color w:val="auto"/>
                <w:szCs w:val="22"/>
                <w:lang w:val="en-US"/>
              </w:rPr>
              <w:t xml:space="preserve">partially </w:t>
            </w:r>
            <w:r w:rsidR="00326118">
              <w:rPr>
                <w:rFonts w:asciiTheme="minorHAnsi" w:hAnsiTheme="minorHAnsi"/>
                <w:b w:val="0"/>
                <w:color w:val="auto"/>
                <w:szCs w:val="22"/>
                <w:lang w:val="en-US"/>
              </w:rPr>
              <w:t xml:space="preserve">agrees </w:t>
            </w:r>
            <w:r w:rsidR="00C45425">
              <w:rPr>
                <w:rFonts w:asciiTheme="minorHAnsi" w:hAnsiTheme="minorHAnsi"/>
                <w:b w:val="0"/>
                <w:color w:val="auto"/>
                <w:szCs w:val="22"/>
                <w:lang w:val="en-US"/>
              </w:rPr>
              <w:t xml:space="preserve">with this recommendation, noting </w:t>
            </w:r>
            <w:r w:rsidR="00056A49">
              <w:rPr>
                <w:rFonts w:asciiTheme="minorHAnsi" w:hAnsiTheme="minorHAnsi"/>
                <w:b w:val="0"/>
                <w:color w:val="auto"/>
                <w:szCs w:val="22"/>
                <w:lang w:val="en-US"/>
              </w:rPr>
              <w:t xml:space="preserve">the evidence of progress towards outcomes and </w:t>
            </w:r>
            <w:r w:rsidR="00C45425">
              <w:rPr>
                <w:rFonts w:asciiTheme="minorHAnsi" w:hAnsiTheme="minorHAnsi"/>
                <w:b w:val="0"/>
                <w:color w:val="auto"/>
                <w:szCs w:val="22"/>
                <w:lang w:val="en-US"/>
              </w:rPr>
              <w:t xml:space="preserve">that private sector development </w:t>
            </w:r>
            <w:r w:rsidR="00293B53">
              <w:rPr>
                <w:rFonts w:asciiTheme="minorHAnsi" w:hAnsiTheme="minorHAnsi"/>
                <w:b w:val="0"/>
                <w:color w:val="auto"/>
                <w:szCs w:val="22"/>
                <w:lang w:val="en-US"/>
              </w:rPr>
              <w:t>i</w:t>
            </w:r>
            <w:r w:rsidR="00061AA2">
              <w:rPr>
                <w:rFonts w:asciiTheme="minorHAnsi" w:hAnsiTheme="minorHAnsi"/>
                <w:b w:val="0"/>
                <w:color w:val="auto"/>
                <w:szCs w:val="22"/>
                <w:lang w:val="en-US"/>
              </w:rPr>
              <w:t xml:space="preserve">s a </w:t>
            </w:r>
            <w:r w:rsidR="00DC6858">
              <w:rPr>
                <w:rFonts w:asciiTheme="minorHAnsi" w:hAnsiTheme="minorHAnsi"/>
                <w:b w:val="0"/>
                <w:color w:val="auto"/>
                <w:szCs w:val="22"/>
                <w:lang w:val="en-US"/>
              </w:rPr>
              <w:t xml:space="preserve">high </w:t>
            </w:r>
            <w:r w:rsidR="00061AA2">
              <w:rPr>
                <w:rFonts w:asciiTheme="minorHAnsi" w:hAnsiTheme="minorHAnsi"/>
                <w:b w:val="0"/>
                <w:color w:val="auto"/>
                <w:szCs w:val="22"/>
                <w:lang w:val="en-US"/>
              </w:rPr>
              <w:t xml:space="preserve">priority </w:t>
            </w:r>
            <w:r w:rsidR="00DC6858">
              <w:rPr>
                <w:rFonts w:asciiTheme="minorHAnsi" w:hAnsiTheme="minorHAnsi"/>
                <w:b w:val="0"/>
                <w:color w:val="auto"/>
                <w:szCs w:val="22"/>
                <w:lang w:val="en-US"/>
              </w:rPr>
              <w:t>for</w:t>
            </w:r>
            <w:r w:rsidR="00061AA2">
              <w:rPr>
                <w:rFonts w:asciiTheme="minorHAnsi" w:hAnsiTheme="minorHAnsi"/>
                <w:b w:val="0"/>
                <w:color w:val="auto"/>
                <w:szCs w:val="22"/>
                <w:lang w:val="en-US"/>
              </w:rPr>
              <w:t xml:space="preserve"> the </w:t>
            </w:r>
            <w:proofErr w:type="spellStart"/>
            <w:r w:rsidR="00061AA2">
              <w:rPr>
                <w:rFonts w:asciiTheme="minorHAnsi" w:hAnsiTheme="minorHAnsi"/>
                <w:b w:val="0"/>
                <w:color w:val="auto"/>
                <w:szCs w:val="22"/>
                <w:lang w:val="en-US"/>
              </w:rPr>
              <w:t>GoV</w:t>
            </w:r>
            <w:proofErr w:type="spellEnd"/>
            <w:r w:rsidR="00061AA2">
              <w:rPr>
                <w:rFonts w:asciiTheme="minorHAnsi" w:hAnsiTheme="minorHAnsi"/>
                <w:b w:val="0"/>
                <w:color w:val="auto"/>
                <w:szCs w:val="22"/>
                <w:lang w:val="en-US"/>
              </w:rPr>
              <w:t xml:space="preserve"> to meet its ambition</w:t>
            </w:r>
            <w:r w:rsidR="00017D69">
              <w:rPr>
                <w:rFonts w:asciiTheme="minorHAnsi" w:hAnsiTheme="minorHAnsi"/>
                <w:b w:val="0"/>
                <w:color w:val="auto"/>
                <w:szCs w:val="22"/>
                <w:lang w:val="en-US"/>
              </w:rPr>
              <w:t xml:space="preserve"> of reaching high-income country status by 2045</w:t>
            </w:r>
            <w:r w:rsidR="000E24AF">
              <w:rPr>
                <w:rFonts w:asciiTheme="minorHAnsi" w:hAnsiTheme="minorHAnsi"/>
                <w:b w:val="0"/>
                <w:color w:val="auto"/>
                <w:szCs w:val="22"/>
                <w:lang w:val="en-US"/>
              </w:rPr>
              <w:t xml:space="preserve">. </w:t>
            </w:r>
            <w:r w:rsidR="001C079B">
              <w:rPr>
                <w:rFonts w:asciiTheme="minorHAnsi" w:hAnsiTheme="minorHAnsi"/>
                <w:b w:val="0"/>
                <w:color w:val="auto"/>
                <w:szCs w:val="22"/>
                <w:lang w:val="en-US"/>
              </w:rPr>
              <w:t>DFAT will consider a</w:t>
            </w:r>
            <w:r w:rsidR="00321983">
              <w:rPr>
                <w:rFonts w:asciiTheme="minorHAnsi" w:hAnsiTheme="minorHAnsi"/>
                <w:b w:val="0"/>
                <w:color w:val="auto"/>
                <w:szCs w:val="22"/>
                <w:lang w:val="en-US"/>
              </w:rPr>
              <w:t xml:space="preserve"> </w:t>
            </w:r>
            <w:r w:rsidR="00321983">
              <w:rPr>
                <w:rFonts w:asciiTheme="minorHAnsi" w:hAnsiTheme="minorHAnsi"/>
                <w:b w:val="0"/>
                <w:color w:val="auto"/>
                <w:szCs w:val="22"/>
                <w:lang w:val="en-US"/>
              </w:rPr>
              <w:lastRenderedPageBreak/>
              <w:t xml:space="preserve">future phase of support </w:t>
            </w:r>
            <w:proofErr w:type="gramStart"/>
            <w:r w:rsidR="003A6158">
              <w:rPr>
                <w:rFonts w:asciiTheme="minorHAnsi" w:hAnsiTheme="minorHAnsi"/>
                <w:b w:val="0"/>
                <w:color w:val="auto"/>
                <w:szCs w:val="22"/>
                <w:lang w:val="en-US"/>
              </w:rPr>
              <w:t>in light of</w:t>
            </w:r>
            <w:proofErr w:type="gramEnd"/>
            <w:r w:rsidR="003A6158">
              <w:rPr>
                <w:rFonts w:asciiTheme="minorHAnsi" w:hAnsiTheme="minorHAnsi"/>
                <w:b w:val="0"/>
                <w:color w:val="auto"/>
                <w:szCs w:val="22"/>
                <w:lang w:val="en-US"/>
              </w:rPr>
              <w:t xml:space="preserve"> </w:t>
            </w:r>
            <w:r w:rsidR="00E30D07">
              <w:rPr>
                <w:rFonts w:asciiTheme="minorHAnsi" w:hAnsiTheme="minorHAnsi"/>
                <w:b w:val="0"/>
                <w:color w:val="auto"/>
                <w:szCs w:val="22"/>
                <w:lang w:val="en-US"/>
              </w:rPr>
              <w:t>resource availability</w:t>
            </w:r>
            <w:r w:rsidR="00056A49">
              <w:rPr>
                <w:rFonts w:asciiTheme="minorHAnsi" w:hAnsiTheme="minorHAnsi"/>
                <w:b w:val="0"/>
                <w:color w:val="auto"/>
                <w:szCs w:val="22"/>
                <w:lang w:val="en-US"/>
              </w:rPr>
              <w:t xml:space="preserve"> </w:t>
            </w:r>
            <w:r w:rsidR="00605F0F">
              <w:rPr>
                <w:rFonts w:asciiTheme="minorHAnsi" w:hAnsiTheme="minorHAnsi"/>
                <w:b w:val="0"/>
                <w:color w:val="auto"/>
                <w:szCs w:val="22"/>
                <w:lang w:val="en-US"/>
              </w:rPr>
              <w:t xml:space="preserve">and </w:t>
            </w:r>
            <w:r w:rsidR="00585D1C">
              <w:rPr>
                <w:rFonts w:asciiTheme="minorHAnsi" w:hAnsiTheme="minorHAnsi"/>
                <w:b w:val="0"/>
                <w:color w:val="auto"/>
                <w:szCs w:val="22"/>
                <w:lang w:val="en-US"/>
              </w:rPr>
              <w:t xml:space="preserve">alignment with </w:t>
            </w:r>
            <w:proofErr w:type="spellStart"/>
            <w:r w:rsidR="00585D1C">
              <w:rPr>
                <w:rFonts w:asciiTheme="minorHAnsi" w:hAnsiTheme="minorHAnsi"/>
                <w:b w:val="0"/>
                <w:color w:val="auto"/>
                <w:szCs w:val="22"/>
                <w:lang w:val="en-US"/>
              </w:rPr>
              <w:t>Go</w:t>
            </w:r>
            <w:r w:rsidR="003964D8">
              <w:rPr>
                <w:rFonts w:asciiTheme="minorHAnsi" w:hAnsiTheme="minorHAnsi"/>
                <w:b w:val="0"/>
                <w:color w:val="auto"/>
                <w:szCs w:val="22"/>
                <w:lang w:val="en-US"/>
              </w:rPr>
              <w:t>A’s</w:t>
            </w:r>
            <w:proofErr w:type="spellEnd"/>
            <w:r w:rsidR="003964D8">
              <w:rPr>
                <w:rFonts w:asciiTheme="minorHAnsi" w:hAnsiTheme="minorHAnsi"/>
                <w:b w:val="0"/>
                <w:color w:val="auto"/>
                <w:szCs w:val="22"/>
                <w:lang w:val="en-US"/>
              </w:rPr>
              <w:t xml:space="preserve"> priorities</w:t>
            </w:r>
            <w:r w:rsidR="0013057B">
              <w:rPr>
                <w:rFonts w:asciiTheme="minorHAnsi" w:hAnsiTheme="minorHAnsi"/>
                <w:b w:val="0"/>
                <w:color w:val="auto"/>
                <w:szCs w:val="22"/>
                <w:lang w:val="en-US"/>
              </w:rPr>
              <w:t xml:space="preserve"> </w:t>
            </w:r>
            <w:r w:rsidR="00056A49">
              <w:rPr>
                <w:rFonts w:asciiTheme="minorHAnsi" w:hAnsiTheme="minorHAnsi"/>
                <w:b w:val="0"/>
                <w:color w:val="auto"/>
                <w:szCs w:val="22"/>
                <w:lang w:val="en-US"/>
              </w:rPr>
              <w:t xml:space="preserve">for </w:t>
            </w:r>
            <w:r w:rsidR="0013057B">
              <w:rPr>
                <w:rFonts w:asciiTheme="minorHAnsi" w:hAnsiTheme="minorHAnsi"/>
                <w:b w:val="0"/>
                <w:color w:val="auto"/>
                <w:szCs w:val="22"/>
                <w:lang w:val="en-US"/>
              </w:rPr>
              <w:t>private section investment in the</w:t>
            </w:r>
            <w:r w:rsidR="00605F0F">
              <w:rPr>
                <w:rFonts w:asciiTheme="minorHAnsi" w:hAnsiTheme="minorHAnsi"/>
                <w:b w:val="0"/>
                <w:color w:val="auto"/>
                <w:szCs w:val="22"/>
                <w:lang w:val="en-US"/>
              </w:rPr>
              <w:t xml:space="preserve"> region.</w:t>
            </w:r>
            <w:r w:rsidR="0013057B">
              <w:rPr>
                <w:rFonts w:asciiTheme="minorHAnsi" w:hAnsiTheme="minorHAnsi"/>
                <w:b w:val="0"/>
                <w:color w:val="auto"/>
                <w:szCs w:val="22"/>
                <w:lang w:val="en-US"/>
              </w:rPr>
              <w:t xml:space="preserve"> </w:t>
            </w:r>
            <w:r w:rsidR="00056A49">
              <w:rPr>
                <w:rFonts w:asciiTheme="minorHAnsi" w:hAnsiTheme="minorHAnsi"/>
                <w:b w:val="0"/>
                <w:color w:val="auto"/>
                <w:szCs w:val="22"/>
                <w:lang w:val="en-US"/>
              </w:rPr>
              <w:t xml:space="preserve">region. </w:t>
            </w:r>
            <w:r w:rsidR="00B4462C">
              <w:rPr>
                <w:rFonts w:asciiTheme="minorHAnsi" w:hAnsiTheme="minorHAnsi"/>
                <w:b w:val="0"/>
                <w:color w:val="auto"/>
                <w:szCs w:val="22"/>
                <w:lang w:val="en-US"/>
              </w:rPr>
              <w:t xml:space="preserve"> </w:t>
            </w:r>
          </w:p>
        </w:tc>
        <w:tc>
          <w:tcPr>
            <w:tcW w:w="2977" w:type="dxa"/>
          </w:tcPr>
          <w:p w14:paraId="09AA6103" w14:textId="7E9F915D" w:rsidR="00B4462C" w:rsidRPr="008C6BB8" w:rsidRDefault="00B4462C" w:rsidP="007347E9">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2"/>
              </w:rPr>
            </w:pPr>
            <w:r>
              <w:rPr>
                <w:rFonts w:asciiTheme="minorHAnsi" w:hAnsiTheme="minorHAnsi"/>
                <w:color w:val="auto"/>
                <w:szCs w:val="22"/>
              </w:rPr>
              <w:lastRenderedPageBreak/>
              <w:t>Aug – Dec 2026</w:t>
            </w:r>
          </w:p>
        </w:tc>
      </w:tr>
    </w:tbl>
    <w:p w14:paraId="3FA39638" w14:textId="77777777" w:rsidR="00EC4BA4" w:rsidRPr="008C6BB8" w:rsidRDefault="00EC4BA4">
      <w:pPr>
        <w:rPr>
          <w:sz w:val="22"/>
          <w:szCs w:val="22"/>
        </w:rPr>
      </w:pPr>
    </w:p>
    <w:sectPr w:rsidR="00EC4BA4" w:rsidRPr="008C6BB8" w:rsidSect="00E80EA4">
      <w:pgSz w:w="15840" w:h="12240" w:orient="landscape"/>
      <w:pgMar w:top="1151" w:right="1440" w:bottom="11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B1BA1" w14:textId="77777777" w:rsidR="00940282" w:rsidRDefault="00940282" w:rsidP="00574703">
      <w:pPr>
        <w:spacing w:after="0" w:line="240" w:lineRule="auto"/>
      </w:pPr>
      <w:r>
        <w:separator/>
      </w:r>
    </w:p>
  </w:endnote>
  <w:endnote w:type="continuationSeparator" w:id="0">
    <w:p w14:paraId="118F8C49" w14:textId="77777777" w:rsidR="00940282" w:rsidRDefault="00940282" w:rsidP="0057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73BF" w14:textId="77E274CD" w:rsidR="00D97F9B" w:rsidRDefault="00D97F9B">
    <w:pPr>
      <w:pStyle w:val="Footer"/>
    </w:pPr>
    <w:r>
      <w:rPr>
        <w:noProof/>
      </w:rPr>
      <mc:AlternateContent>
        <mc:Choice Requires="wps">
          <w:drawing>
            <wp:anchor distT="0" distB="0" distL="0" distR="0" simplePos="0" relativeHeight="251658242" behindDoc="0" locked="0" layoutInCell="1" allowOverlap="1" wp14:anchorId="45A7DC4D" wp14:editId="7A63E0B6">
              <wp:simplePos x="635" y="635"/>
              <wp:positionH relativeFrom="page">
                <wp:align>center</wp:align>
              </wp:positionH>
              <wp:positionV relativeFrom="page">
                <wp:align>bottom</wp:align>
              </wp:positionV>
              <wp:extent cx="622300" cy="405765"/>
              <wp:effectExtent l="0" t="0" r="6350" b="0"/>
              <wp:wrapNone/>
              <wp:docPr id="12794251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181F5C0" w14:textId="11BD7E80" w:rsidR="00D97F9B" w:rsidRPr="00D97F9B" w:rsidRDefault="00D97F9B" w:rsidP="00D97F9B">
                          <w:pPr>
                            <w:spacing w:after="0"/>
                            <w:rPr>
                              <w:rFonts w:ascii="Aptos" w:eastAsia="Aptos" w:hAnsi="Aptos" w:cs="Aptos"/>
                              <w:noProof/>
                              <w:color w:val="FF0000"/>
                            </w:rPr>
                          </w:pPr>
                          <w:r w:rsidRPr="00D97F9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A7DC4D" id="_x0000_t202" coordsize="21600,21600" o:spt="202" path="m,l,21600r21600,l21600,xe">
              <v:stroke joinstyle="miter"/>
              <v:path gradientshapeok="t" o:connecttype="rect"/>
            </v:shapetype>
            <v:shape id="Text Box 5" o:spid="_x0000_s1028" type="#_x0000_t202" alt="OFFICIAL" style="position:absolute;margin-left:0;margin-top:0;width:49pt;height:31.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textbox style="mso-fit-shape-to-text:t" inset="0,0,0,15pt">
                <w:txbxContent>
                  <w:p w14:paraId="2181F5C0" w14:textId="11BD7E80" w:rsidR="00D97F9B" w:rsidRPr="00D97F9B" w:rsidRDefault="00D97F9B" w:rsidP="00D97F9B">
                    <w:pPr>
                      <w:spacing w:after="0"/>
                      <w:rPr>
                        <w:rFonts w:ascii="Aptos" w:eastAsia="Aptos" w:hAnsi="Aptos" w:cs="Aptos"/>
                        <w:noProof/>
                        <w:color w:val="FF0000"/>
                      </w:rPr>
                    </w:pPr>
                    <w:r w:rsidRPr="00D97F9B">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0417" w14:textId="662EBD73" w:rsidR="00D97F9B" w:rsidRDefault="00D97F9B">
    <w:pPr>
      <w:pStyle w:val="Footer"/>
    </w:pPr>
    <w:r>
      <w:rPr>
        <w:noProof/>
      </w:rPr>
      <mc:AlternateContent>
        <mc:Choice Requires="wps">
          <w:drawing>
            <wp:anchor distT="0" distB="0" distL="0" distR="0" simplePos="0" relativeHeight="251658243" behindDoc="0" locked="0" layoutInCell="1" allowOverlap="1" wp14:anchorId="2A26D9F8" wp14:editId="717D5AE1">
              <wp:simplePos x="914400" y="7134225"/>
              <wp:positionH relativeFrom="page">
                <wp:align>center</wp:align>
              </wp:positionH>
              <wp:positionV relativeFrom="page">
                <wp:align>bottom</wp:align>
              </wp:positionV>
              <wp:extent cx="622300" cy="405765"/>
              <wp:effectExtent l="0" t="0" r="6350" b="0"/>
              <wp:wrapNone/>
              <wp:docPr id="192392312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5E2BEB3" w14:textId="2B007C73" w:rsidR="00D97F9B" w:rsidRDefault="00D97F9B" w:rsidP="00D97F9B">
                          <w:pPr>
                            <w:spacing w:after="0"/>
                            <w:rPr>
                              <w:rFonts w:ascii="Aptos" w:eastAsia="Aptos" w:hAnsi="Aptos" w:cs="Aptos"/>
                              <w:noProof/>
                              <w:color w:val="FF0000"/>
                            </w:rPr>
                          </w:pPr>
                        </w:p>
                        <w:p w14:paraId="0AB6AEC5" w14:textId="77777777" w:rsidR="00C46F80" w:rsidRPr="00D97F9B" w:rsidRDefault="00C46F80" w:rsidP="00D97F9B">
                          <w:pPr>
                            <w:spacing w:after="0"/>
                            <w:rPr>
                              <w:rFonts w:ascii="Aptos" w:eastAsia="Aptos" w:hAnsi="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26D9F8" id="_x0000_t202" coordsize="21600,21600" o:spt="202" path="m,l,21600r21600,l21600,xe">
              <v:stroke joinstyle="miter"/>
              <v:path gradientshapeok="t" o:connecttype="rect"/>
            </v:shapetype>
            <v:shape id="Text Box 6" o:spid="_x0000_s1029" type="#_x0000_t202" alt="OFFICIAL" style="position:absolute;margin-left:0;margin-top:0;width:49pt;height:31.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o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Y+5vNPi3lEya6XrfPhqwBNolFSh1tJZLHj&#10;1ochdUyJtQxsWqXSZpT5zYGY0ZNdO4xW6KuetHVJb8buK6hPOJSDYd/e8k2LpbfMh2fmcMHYLYo2&#10;POEhFXQlhbNFSQPux9/8MR95xyglHQqmpAYVTYn6ZnAfUVuj4UajSsb0cz6P9JiDvgeU4RRfhOXJ&#10;RK8LajSlA/2Kcl7HQhhihmO5klajeR8G5eJz4GK9TkkoI8vC1uwsj9CRrsjlS//KnD0THnBTjzCq&#10;iRVveB9y401v14eA7KelRGoHIs+MowTTWs/PJWr81/+UdX3Uq58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A/iSmoDgIAABwE&#10;AAAOAAAAAAAAAAAAAAAAAC4CAABkcnMvZTJvRG9jLnhtbFBLAQItABQABgAIAAAAIQDAscVe2gAA&#10;AAMBAAAPAAAAAAAAAAAAAAAAAGgEAABkcnMvZG93bnJldi54bWxQSwUGAAAAAAQABADzAAAAbwUA&#10;AAAA&#10;" filled="f" stroked="f">
              <v:textbox style="mso-fit-shape-to-text:t" inset="0,0,0,15pt">
                <w:txbxContent>
                  <w:p w14:paraId="25E2BEB3" w14:textId="2B007C73" w:rsidR="00D97F9B" w:rsidRDefault="00D97F9B" w:rsidP="00D97F9B">
                    <w:pPr>
                      <w:spacing w:after="0"/>
                      <w:rPr>
                        <w:rFonts w:ascii="Aptos" w:eastAsia="Aptos" w:hAnsi="Aptos" w:cs="Aptos"/>
                        <w:noProof/>
                        <w:color w:val="FF0000"/>
                      </w:rPr>
                    </w:pPr>
                  </w:p>
                  <w:p w14:paraId="0AB6AEC5" w14:textId="77777777" w:rsidR="00C46F80" w:rsidRPr="00D97F9B" w:rsidRDefault="00C46F80" w:rsidP="00D97F9B">
                    <w:pPr>
                      <w:spacing w:after="0"/>
                      <w:rPr>
                        <w:rFonts w:ascii="Aptos" w:eastAsia="Aptos" w:hAnsi="Aptos" w:cs="Aptos"/>
                        <w:noProof/>
                        <w:color w:val="FF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5074" w14:textId="40E60CCA" w:rsidR="00D97F9B" w:rsidRDefault="00D97F9B">
    <w:pPr>
      <w:pStyle w:val="Footer"/>
    </w:pPr>
    <w:r>
      <w:rPr>
        <w:noProof/>
      </w:rPr>
      <mc:AlternateContent>
        <mc:Choice Requires="wps">
          <w:drawing>
            <wp:anchor distT="0" distB="0" distL="0" distR="0" simplePos="0" relativeHeight="251658245" behindDoc="0" locked="0" layoutInCell="1" allowOverlap="1" wp14:anchorId="54857680" wp14:editId="7E8F08E6">
              <wp:simplePos x="635" y="635"/>
              <wp:positionH relativeFrom="page">
                <wp:align>center</wp:align>
              </wp:positionH>
              <wp:positionV relativeFrom="page">
                <wp:align>bottom</wp:align>
              </wp:positionV>
              <wp:extent cx="622300" cy="405765"/>
              <wp:effectExtent l="0" t="0" r="6350" b="0"/>
              <wp:wrapNone/>
              <wp:docPr id="4081571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1406EF1" w14:textId="0FECD6FD" w:rsidR="00D97F9B" w:rsidRPr="00D97F9B" w:rsidRDefault="00D97F9B" w:rsidP="00D97F9B">
                          <w:pPr>
                            <w:spacing w:after="0"/>
                            <w:rPr>
                              <w:rFonts w:ascii="Aptos" w:eastAsia="Aptos" w:hAnsi="Aptos" w:cs="Aptos"/>
                              <w:noProof/>
                              <w:color w:val="FF0000"/>
                            </w:rPr>
                          </w:pPr>
                          <w:r w:rsidRPr="00D97F9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857680" id="_x0000_t202" coordsize="21600,21600" o:spt="202" path="m,l,21600r21600,l21600,xe">
              <v:stroke joinstyle="miter"/>
              <v:path gradientshapeok="t" o:connecttype="rect"/>
            </v:shapetype>
            <v:shape id="Text Box 4" o:spid="_x0000_s1031" type="#_x0000_t202" alt="OFFICIAL" style="position:absolute;margin-left:0;margin-top:0;width:49pt;height:31.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UQqGJQwCAAAcBAAA&#10;DgAAAAAAAAAAAAAAAAAuAgAAZHJzL2Uyb0RvYy54bWxQSwECLQAUAAYACAAAACEAwLHFXtoAAAAD&#10;AQAADwAAAAAAAAAAAAAAAABmBAAAZHJzL2Rvd25yZXYueG1sUEsFBgAAAAAEAAQA8wAAAG0FAAAA&#10;AA==&#10;" filled="f" stroked="f">
              <v:textbox style="mso-fit-shape-to-text:t" inset="0,0,0,15pt">
                <w:txbxContent>
                  <w:p w14:paraId="31406EF1" w14:textId="0FECD6FD" w:rsidR="00D97F9B" w:rsidRPr="00D97F9B" w:rsidRDefault="00D97F9B" w:rsidP="00D97F9B">
                    <w:pPr>
                      <w:spacing w:after="0"/>
                      <w:rPr>
                        <w:rFonts w:ascii="Aptos" w:eastAsia="Aptos" w:hAnsi="Aptos" w:cs="Aptos"/>
                        <w:noProof/>
                        <w:color w:val="FF0000"/>
                      </w:rPr>
                    </w:pPr>
                    <w:r w:rsidRPr="00D97F9B">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9E67A" w14:textId="77777777" w:rsidR="00940282" w:rsidRDefault="00940282" w:rsidP="00574703">
      <w:pPr>
        <w:spacing w:after="0" w:line="240" w:lineRule="auto"/>
      </w:pPr>
      <w:r>
        <w:separator/>
      </w:r>
    </w:p>
  </w:footnote>
  <w:footnote w:type="continuationSeparator" w:id="0">
    <w:p w14:paraId="6A2CEA0A" w14:textId="77777777" w:rsidR="00940282" w:rsidRDefault="00940282" w:rsidP="00574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5053" w14:textId="143FCC2F" w:rsidR="00D97F9B" w:rsidRDefault="00D97F9B">
    <w:pPr>
      <w:pStyle w:val="Header"/>
    </w:pPr>
    <w:r>
      <w:rPr>
        <w:noProof/>
      </w:rPr>
      <mc:AlternateContent>
        <mc:Choice Requires="wps">
          <w:drawing>
            <wp:anchor distT="0" distB="0" distL="0" distR="0" simplePos="0" relativeHeight="251658241" behindDoc="0" locked="0" layoutInCell="1" allowOverlap="1" wp14:anchorId="6E88D7DA" wp14:editId="4C9B8D5A">
              <wp:simplePos x="635" y="635"/>
              <wp:positionH relativeFrom="page">
                <wp:align>center</wp:align>
              </wp:positionH>
              <wp:positionV relativeFrom="page">
                <wp:align>top</wp:align>
              </wp:positionV>
              <wp:extent cx="622300" cy="405765"/>
              <wp:effectExtent l="0" t="0" r="6350" b="13335"/>
              <wp:wrapNone/>
              <wp:docPr id="430218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11920CC" w14:textId="2C0C0176" w:rsidR="00D97F9B" w:rsidRPr="00D97F9B" w:rsidRDefault="00D97F9B" w:rsidP="00D97F9B">
                          <w:pPr>
                            <w:spacing w:after="0"/>
                            <w:rPr>
                              <w:rFonts w:ascii="Aptos" w:eastAsia="Aptos" w:hAnsi="Aptos" w:cs="Aptos"/>
                              <w:noProof/>
                              <w:color w:val="FF0000"/>
                            </w:rPr>
                          </w:pPr>
                          <w:r w:rsidRPr="00D97F9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8D7DA"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311920CC" w14:textId="2C0C0176" w:rsidR="00D97F9B" w:rsidRPr="00D97F9B" w:rsidRDefault="00D97F9B" w:rsidP="00D97F9B">
                    <w:pPr>
                      <w:spacing w:after="0"/>
                      <w:rPr>
                        <w:rFonts w:ascii="Aptos" w:eastAsia="Aptos" w:hAnsi="Aptos" w:cs="Aptos"/>
                        <w:noProof/>
                        <w:color w:val="FF0000"/>
                      </w:rPr>
                    </w:pPr>
                    <w:r w:rsidRPr="00D97F9B">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25D0" w14:textId="0C3B5BA0" w:rsidR="00835EF6" w:rsidRDefault="00D97F9B" w:rsidP="00976B36">
    <w:pPr>
      <w:pStyle w:val="Header"/>
      <w:jc w:val="center"/>
    </w:pPr>
    <w:r>
      <w:rPr>
        <w:noProof/>
      </w:rPr>
      <mc:AlternateContent>
        <mc:Choice Requires="wps">
          <w:drawing>
            <wp:anchor distT="0" distB="0" distL="0" distR="0" simplePos="0" relativeHeight="251658240" behindDoc="0" locked="0" layoutInCell="1" allowOverlap="1" wp14:anchorId="4F959FC5" wp14:editId="05A29F38">
              <wp:simplePos x="914400" y="457200"/>
              <wp:positionH relativeFrom="page">
                <wp:align>center</wp:align>
              </wp:positionH>
              <wp:positionV relativeFrom="page">
                <wp:align>top</wp:align>
              </wp:positionV>
              <wp:extent cx="622300" cy="405765"/>
              <wp:effectExtent l="0" t="0" r="6350" b="13335"/>
              <wp:wrapNone/>
              <wp:docPr id="6149820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5876421" w14:textId="7619260B" w:rsidR="00D97F9B" w:rsidRPr="00D97F9B" w:rsidRDefault="00D97F9B" w:rsidP="00D97F9B">
                          <w:pPr>
                            <w:spacing w:after="0"/>
                            <w:rPr>
                              <w:rFonts w:ascii="Aptos" w:eastAsia="Aptos" w:hAnsi="Aptos" w:cs="Aptos"/>
                              <w:noProof/>
                              <w:color w:val="FF0000"/>
                            </w:rPr>
                          </w:pPr>
                          <w:r w:rsidRPr="00D97F9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959FC5"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textbox style="mso-fit-shape-to-text:t" inset="0,15pt,0,0">
                <w:txbxContent>
                  <w:p w14:paraId="45876421" w14:textId="7619260B" w:rsidR="00D97F9B" w:rsidRPr="00D97F9B" w:rsidRDefault="00D97F9B" w:rsidP="00D97F9B">
                    <w:pPr>
                      <w:spacing w:after="0"/>
                      <w:rPr>
                        <w:rFonts w:ascii="Aptos" w:eastAsia="Aptos" w:hAnsi="Aptos" w:cs="Aptos"/>
                        <w:noProof/>
                        <w:color w:val="FF0000"/>
                      </w:rPr>
                    </w:pPr>
                    <w:r w:rsidRPr="00D97F9B">
                      <w:rPr>
                        <w:rFonts w:ascii="Aptos" w:eastAsia="Aptos" w:hAnsi="Aptos" w:cs="Aptos"/>
                        <w:noProof/>
                        <w:color w:val="FF0000"/>
                      </w:rPr>
                      <w:t>OFFICIAL</w:t>
                    </w:r>
                  </w:p>
                </w:txbxContent>
              </v:textbox>
              <w10:wrap anchorx="page" anchory="page"/>
            </v:shape>
          </w:pict>
        </mc:Fallback>
      </mc:AlternateContent>
    </w:r>
    <w:r w:rsidR="00C46F8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6050" w14:textId="54DE77E3" w:rsidR="00D97F9B" w:rsidRDefault="00D97F9B">
    <w:pPr>
      <w:pStyle w:val="Header"/>
    </w:pPr>
    <w:r>
      <w:rPr>
        <w:noProof/>
      </w:rPr>
      <mc:AlternateContent>
        <mc:Choice Requires="wps">
          <w:drawing>
            <wp:anchor distT="0" distB="0" distL="0" distR="0" simplePos="0" relativeHeight="251658244" behindDoc="0" locked="0" layoutInCell="1" allowOverlap="1" wp14:anchorId="75AA1122" wp14:editId="453F95D4">
              <wp:simplePos x="635" y="635"/>
              <wp:positionH relativeFrom="page">
                <wp:align>center</wp:align>
              </wp:positionH>
              <wp:positionV relativeFrom="page">
                <wp:align>top</wp:align>
              </wp:positionV>
              <wp:extent cx="622300" cy="405765"/>
              <wp:effectExtent l="0" t="0" r="6350" b="13335"/>
              <wp:wrapNone/>
              <wp:docPr id="16784431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21363E5" w14:textId="5CEC100C" w:rsidR="00D97F9B" w:rsidRPr="00D97F9B" w:rsidRDefault="00D97F9B" w:rsidP="00D97F9B">
                          <w:pPr>
                            <w:spacing w:after="0"/>
                            <w:rPr>
                              <w:rFonts w:ascii="Aptos" w:eastAsia="Aptos" w:hAnsi="Aptos" w:cs="Aptos"/>
                              <w:noProof/>
                              <w:color w:val="FF0000"/>
                            </w:rPr>
                          </w:pPr>
                          <w:r w:rsidRPr="00D97F9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AA1122" id="_x0000_t202" coordsize="21600,21600" o:spt="202" path="m,l,21600r21600,l21600,xe">
              <v:stroke joinstyle="miter"/>
              <v:path gradientshapeok="t" o:connecttype="rect"/>
            </v:shapetype>
            <v:shape id="Text Box 1" o:spid="_x0000_s1030" type="#_x0000_t202" alt="OFFICIAL" style="position:absolute;margin-left:0;margin-top:0;width:49pt;height:31.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WsDA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" filled="f" stroked="f">
              <v:textbox style="mso-fit-shape-to-text:t" inset="0,15pt,0,0">
                <w:txbxContent>
                  <w:p w14:paraId="221363E5" w14:textId="5CEC100C" w:rsidR="00D97F9B" w:rsidRPr="00D97F9B" w:rsidRDefault="00D97F9B" w:rsidP="00D97F9B">
                    <w:pPr>
                      <w:spacing w:after="0"/>
                      <w:rPr>
                        <w:rFonts w:ascii="Aptos" w:eastAsia="Aptos" w:hAnsi="Aptos" w:cs="Aptos"/>
                        <w:noProof/>
                        <w:color w:val="FF0000"/>
                      </w:rPr>
                    </w:pPr>
                    <w:r w:rsidRPr="00D97F9B">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3AE"/>
    <w:multiLevelType w:val="hybridMultilevel"/>
    <w:tmpl w:val="89063A22"/>
    <w:lvl w:ilvl="0" w:tplc="9F24C46E">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A47E4"/>
    <w:multiLevelType w:val="hybridMultilevel"/>
    <w:tmpl w:val="DDC0D2C6"/>
    <w:lvl w:ilvl="0" w:tplc="0409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9732AF"/>
    <w:multiLevelType w:val="multilevel"/>
    <w:tmpl w:val="51E08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EB12F2"/>
    <w:multiLevelType w:val="multilevel"/>
    <w:tmpl w:val="E2C66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FC6EEE"/>
    <w:multiLevelType w:val="multilevel"/>
    <w:tmpl w:val="B6347D26"/>
    <w:lvl w:ilvl="0">
      <w:start w:val="1"/>
      <w:numFmt w:val="decimal"/>
      <w:lvlText w:val="%1"/>
      <w:lvlJc w:val="left"/>
      <w:pPr>
        <w:ind w:left="0" w:firstLine="0"/>
      </w:pPr>
    </w:lvl>
    <w:lvl w:ilvl="1">
      <w:start w:val="1"/>
      <w:numFmt w:val="decimal"/>
      <w:lvlText w:val="%2."/>
      <w:lvlJc w:val="left"/>
      <w:pPr>
        <w:ind w:left="36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0" w:firstLine="0"/>
      </w:pPr>
    </w:lvl>
    <w:lvl w:ilvl="4">
      <w:start w:val="1"/>
      <w:numFmt w:val="decimal"/>
      <w:lvlText w:val="%4.%5."/>
      <w:lvlJc w:val="left"/>
      <w:pPr>
        <w:ind w:left="0" w:firstLine="0"/>
      </w:pPr>
    </w:lvl>
    <w:lvl w:ilvl="5">
      <w:start w:val="1"/>
      <w:numFmt w:val="decimal"/>
      <w:lvlText w:val="%4.%5.%6."/>
      <w:lvlJc w:val="left"/>
      <w:pPr>
        <w:ind w:left="0" w:firstLine="0"/>
      </w:pPr>
    </w:lvl>
    <w:lvl w:ilvl="6">
      <w:start w:val="1"/>
      <w:numFmt w:val="decimal"/>
      <w:lvlText w:val="%4.%5.%6.%7."/>
      <w:lvlJc w:val="left"/>
      <w:pPr>
        <w:ind w:left="0" w:firstLine="0"/>
      </w:pPr>
    </w:lvl>
    <w:lvl w:ilvl="7">
      <w:start w:val="1"/>
      <w:numFmt w:val="decimal"/>
      <w:lvlText w:val="%4.%5.%6.%7.%8."/>
      <w:lvlJc w:val="left"/>
      <w:pPr>
        <w:ind w:left="0" w:firstLine="0"/>
      </w:pPr>
    </w:lvl>
    <w:lvl w:ilvl="8">
      <w:start w:val="1"/>
      <w:numFmt w:val="decimal"/>
      <w:lvlText w:val="%4.%5.%6.%7.%8.%9."/>
      <w:lvlJc w:val="left"/>
      <w:pPr>
        <w:ind w:left="0" w:firstLine="0"/>
      </w:pPr>
    </w:lvl>
  </w:abstractNum>
  <w:abstractNum w:abstractNumId="5" w15:restartNumberingAfterBreak="0">
    <w:nsid w:val="10037387"/>
    <w:multiLevelType w:val="multilevel"/>
    <w:tmpl w:val="3A6210C4"/>
    <w:lvl w:ilvl="0">
      <w:start w:val="1"/>
      <w:numFmt w:val="decimal"/>
      <w:lvlText w:val="%1"/>
      <w:lvlJc w:val="left"/>
      <w:pPr>
        <w:ind w:left="0" w:firstLine="0"/>
      </w:pPr>
    </w:lvl>
    <w:lvl w:ilvl="1">
      <w:start w:val="1"/>
      <w:numFmt w:val="decimal"/>
      <w:lvlText w:val="%2."/>
      <w:lvlJc w:val="left"/>
      <w:pPr>
        <w:ind w:left="36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0" w:firstLine="0"/>
      </w:pPr>
    </w:lvl>
    <w:lvl w:ilvl="4">
      <w:start w:val="1"/>
      <w:numFmt w:val="decimal"/>
      <w:lvlText w:val="%4.%5."/>
      <w:lvlJc w:val="left"/>
      <w:pPr>
        <w:ind w:left="0" w:firstLine="0"/>
      </w:pPr>
    </w:lvl>
    <w:lvl w:ilvl="5">
      <w:start w:val="1"/>
      <w:numFmt w:val="decimal"/>
      <w:lvlText w:val="%4.%5.%6."/>
      <w:lvlJc w:val="left"/>
      <w:pPr>
        <w:ind w:left="0" w:firstLine="0"/>
      </w:pPr>
    </w:lvl>
    <w:lvl w:ilvl="6">
      <w:start w:val="1"/>
      <w:numFmt w:val="decimal"/>
      <w:lvlText w:val="%4.%5.%6.%7."/>
      <w:lvlJc w:val="left"/>
      <w:pPr>
        <w:ind w:left="0" w:firstLine="0"/>
      </w:pPr>
    </w:lvl>
    <w:lvl w:ilvl="7">
      <w:start w:val="1"/>
      <w:numFmt w:val="decimal"/>
      <w:lvlText w:val="%4.%5.%6.%7.%8."/>
      <w:lvlJc w:val="left"/>
      <w:pPr>
        <w:ind w:left="0" w:firstLine="0"/>
      </w:pPr>
    </w:lvl>
    <w:lvl w:ilvl="8">
      <w:start w:val="1"/>
      <w:numFmt w:val="decimal"/>
      <w:lvlText w:val="%4.%5.%6.%7.%8.%9."/>
      <w:lvlJc w:val="left"/>
      <w:pPr>
        <w:ind w:left="0" w:firstLine="0"/>
      </w:pPr>
    </w:lvl>
  </w:abstractNum>
  <w:abstractNum w:abstractNumId="6" w15:restartNumberingAfterBreak="0">
    <w:nsid w:val="119E0B98"/>
    <w:multiLevelType w:val="hybridMultilevel"/>
    <w:tmpl w:val="E47283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F831DD"/>
    <w:multiLevelType w:val="hybridMultilevel"/>
    <w:tmpl w:val="6832D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EC0847"/>
    <w:multiLevelType w:val="multilevel"/>
    <w:tmpl w:val="8E1AE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C36B8A"/>
    <w:multiLevelType w:val="multilevel"/>
    <w:tmpl w:val="DCAEA4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04C15B3"/>
    <w:multiLevelType w:val="hybridMultilevel"/>
    <w:tmpl w:val="5BA8A2A0"/>
    <w:lvl w:ilvl="0" w:tplc="5F84DC70">
      <w:start w:val="1"/>
      <w:numFmt w:val="bullet"/>
      <w:lvlText w:val="•"/>
      <w:lvlJc w:val="left"/>
      <w:pPr>
        <w:tabs>
          <w:tab w:val="num" w:pos="720"/>
        </w:tabs>
        <w:ind w:left="720" w:hanging="360"/>
      </w:pPr>
      <w:rPr>
        <w:rFonts w:ascii="Arial" w:hAnsi="Arial" w:hint="default"/>
      </w:rPr>
    </w:lvl>
    <w:lvl w:ilvl="1" w:tplc="4A02B1D0">
      <w:start w:val="1"/>
      <w:numFmt w:val="bullet"/>
      <w:lvlText w:val="•"/>
      <w:lvlJc w:val="left"/>
      <w:pPr>
        <w:tabs>
          <w:tab w:val="num" w:pos="1440"/>
        </w:tabs>
        <w:ind w:left="1440" w:hanging="360"/>
      </w:pPr>
      <w:rPr>
        <w:rFonts w:ascii="Arial" w:hAnsi="Arial" w:hint="default"/>
      </w:rPr>
    </w:lvl>
    <w:lvl w:ilvl="2" w:tplc="278A5706" w:tentative="1">
      <w:start w:val="1"/>
      <w:numFmt w:val="bullet"/>
      <w:lvlText w:val="•"/>
      <w:lvlJc w:val="left"/>
      <w:pPr>
        <w:tabs>
          <w:tab w:val="num" w:pos="2160"/>
        </w:tabs>
        <w:ind w:left="2160" w:hanging="360"/>
      </w:pPr>
      <w:rPr>
        <w:rFonts w:ascii="Arial" w:hAnsi="Arial" w:hint="default"/>
      </w:rPr>
    </w:lvl>
    <w:lvl w:ilvl="3" w:tplc="05CA6D26" w:tentative="1">
      <w:start w:val="1"/>
      <w:numFmt w:val="bullet"/>
      <w:lvlText w:val="•"/>
      <w:lvlJc w:val="left"/>
      <w:pPr>
        <w:tabs>
          <w:tab w:val="num" w:pos="2880"/>
        </w:tabs>
        <w:ind w:left="2880" w:hanging="360"/>
      </w:pPr>
      <w:rPr>
        <w:rFonts w:ascii="Arial" w:hAnsi="Arial" w:hint="default"/>
      </w:rPr>
    </w:lvl>
    <w:lvl w:ilvl="4" w:tplc="B89A9316" w:tentative="1">
      <w:start w:val="1"/>
      <w:numFmt w:val="bullet"/>
      <w:lvlText w:val="•"/>
      <w:lvlJc w:val="left"/>
      <w:pPr>
        <w:tabs>
          <w:tab w:val="num" w:pos="3600"/>
        </w:tabs>
        <w:ind w:left="3600" w:hanging="360"/>
      </w:pPr>
      <w:rPr>
        <w:rFonts w:ascii="Arial" w:hAnsi="Arial" w:hint="default"/>
      </w:rPr>
    </w:lvl>
    <w:lvl w:ilvl="5" w:tplc="1C0C74AE" w:tentative="1">
      <w:start w:val="1"/>
      <w:numFmt w:val="bullet"/>
      <w:lvlText w:val="•"/>
      <w:lvlJc w:val="left"/>
      <w:pPr>
        <w:tabs>
          <w:tab w:val="num" w:pos="4320"/>
        </w:tabs>
        <w:ind w:left="4320" w:hanging="360"/>
      </w:pPr>
      <w:rPr>
        <w:rFonts w:ascii="Arial" w:hAnsi="Arial" w:hint="default"/>
      </w:rPr>
    </w:lvl>
    <w:lvl w:ilvl="6" w:tplc="C1100DE8" w:tentative="1">
      <w:start w:val="1"/>
      <w:numFmt w:val="bullet"/>
      <w:lvlText w:val="•"/>
      <w:lvlJc w:val="left"/>
      <w:pPr>
        <w:tabs>
          <w:tab w:val="num" w:pos="5040"/>
        </w:tabs>
        <w:ind w:left="5040" w:hanging="360"/>
      </w:pPr>
      <w:rPr>
        <w:rFonts w:ascii="Arial" w:hAnsi="Arial" w:hint="default"/>
      </w:rPr>
    </w:lvl>
    <w:lvl w:ilvl="7" w:tplc="EF4CE29C" w:tentative="1">
      <w:start w:val="1"/>
      <w:numFmt w:val="bullet"/>
      <w:lvlText w:val="•"/>
      <w:lvlJc w:val="left"/>
      <w:pPr>
        <w:tabs>
          <w:tab w:val="num" w:pos="5760"/>
        </w:tabs>
        <w:ind w:left="5760" w:hanging="360"/>
      </w:pPr>
      <w:rPr>
        <w:rFonts w:ascii="Arial" w:hAnsi="Arial" w:hint="default"/>
      </w:rPr>
    </w:lvl>
    <w:lvl w:ilvl="8" w:tplc="3B0EEEB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A79005C"/>
    <w:multiLevelType w:val="hybridMultilevel"/>
    <w:tmpl w:val="D60057FC"/>
    <w:lvl w:ilvl="0" w:tplc="4940A06C">
      <w:numFmt w:val="bullet"/>
      <w:lvlText w:val="-"/>
      <w:lvlJc w:val="left"/>
      <w:pPr>
        <w:ind w:left="720" w:hanging="360"/>
      </w:pPr>
      <w:rPr>
        <w:rFonts w:ascii="Aptos" w:eastAsiaTheme="minorHAnsi"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C6E00"/>
    <w:multiLevelType w:val="hybridMultilevel"/>
    <w:tmpl w:val="728623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D9753D"/>
    <w:multiLevelType w:val="multilevel"/>
    <w:tmpl w:val="70E0E25E"/>
    <w:lvl w:ilvl="0">
      <w:start w:val="1"/>
      <w:numFmt w:val="decimal"/>
      <w:lvlText w:val="%1"/>
      <w:lvlJc w:val="left"/>
      <w:pPr>
        <w:ind w:left="0" w:firstLine="0"/>
      </w:pPr>
    </w:lvl>
    <w:lvl w:ilvl="1">
      <w:start w:val="1"/>
      <w:numFmt w:val="decimal"/>
      <w:lvlText w:val="%2."/>
      <w:lvlJc w:val="left"/>
      <w:pPr>
        <w:ind w:left="360" w:hanging="360"/>
      </w:pPr>
    </w:lvl>
    <w:lvl w:ilvl="2">
      <w:start w:val="1"/>
      <w:numFmt w:val="lowerRoman"/>
      <w:lvlText w:val="%3."/>
      <w:lvlJc w:val="right"/>
      <w:pPr>
        <w:ind w:left="1080" w:hanging="360"/>
      </w:pPr>
    </w:lvl>
    <w:lvl w:ilvl="3">
      <w:start w:val="1"/>
      <w:numFmt w:val="decimal"/>
      <w:lvlText w:val="%4."/>
      <w:lvlJc w:val="left"/>
      <w:pPr>
        <w:ind w:left="0" w:firstLine="0"/>
      </w:pPr>
    </w:lvl>
    <w:lvl w:ilvl="4">
      <w:start w:val="1"/>
      <w:numFmt w:val="decimal"/>
      <w:lvlText w:val="%4.%5."/>
      <w:lvlJc w:val="left"/>
      <w:pPr>
        <w:ind w:left="0" w:firstLine="0"/>
      </w:pPr>
    </w:lvl>
    <w:lvl w:ilvl="5">
      <w:start w:val="1"/>
      <w:numFmt w:val="decimal"/>
      <w:lvlText w:val="%4.%5.%6."/>
      <w:lvlJc w:val="left"/>
      <w:pPr>
        <w:ind w:left="0" w:firstLine="0"/>
      </w:pPr>
    </w:lvl>
    <w:lvl w:ilvl="6">
      <w:start w:val="1"/>
      <w:numFmt w:val="decimal"/>
      <w:lvlText w:val="%4.%5.%6.%7."/>
      <w:lvlJc w:val="left"/>
      <w:pPr>
        <w:ind w:left="0" w:firstLine="0"/>
      </w:pPr>
    </w:lvl>
    <w:lvl w:ilvl="7">
      <w:start w:val="1"/>
      <w:numFmt w:val="decimal"/>
      <w:lvlText w:val="%4.%5.%6.%7.%8."/>
      <w:lvlJc w:val="left"/>
      <w:pPr>
        <w:ind w:left="0" w:firstLine="0"/>
      </w:pPr>
    </w:lvl>
    <w:lvl w:ilvl="8">
      <w:start w:val="1"/>
      <w:numFmt w:val="decimal"/>
      <w:lvlText w:val="%4.%5.%6.%7.%8.%9."/>
      <w:lvlJc w:val="left"/>
      <w:pPr>
        <w:ind w:left="0" w:firstLine="0"/>
      </w:pPr>
    </w:lvl>
  </w:abstractNum>
  <w:abstractNum w:abstractNumId="14" w15:restartNumberingAfterBreak="0">
    <w:nsid w:val="45557F77"/>
    <w:multiLevelType w:val="hybridMultilevel"/>
    <w:tmpl w:val="0E6814D6"/>
    <w:lvl w:ilvl="0" w:tplc="86363D46">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C65A54"/>
    <w:multiLevelType w:val="hybridMultilevel"/>
    <w:tmpl w:val="DDC0D2C6"/>
    <w:lvl w:ilvl="0" w:tplc="FFFFFFFF">
      <w:start w:val="1"/>
      <w:numFmt w:val="lowerLetter"/>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D4B6FEB"/>
    <w:multiLevelType w:val="hybridMultilevel"/>
    <w:tmpl w:val="C61C9A0E"/>
    <w:lvl w:ilvl="0" w:tplc="6F709AE4">
      <w:start w:val="5"/>
      <w:numFmt w:val="bullet"/>
      <w:lvlText w:val="-"/>
      <w:lvlJc w:val="left"/>
      <w:pPr>
        <w:ind w:left="720" w:hanging="360"/>
      </w:pPr>
      <w:rPr>
        <w:rFonts w:ascii="Aptos" w:eastAsiaTheme="minorHAnsi" w:hAnsi="Aptos"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E12E7A"/>
    <w:multiLevelType w:val="multilevel"/>
    <w:tmpl w:val="4D66C69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8" w15:restartNumberingAfterBreak="0">
    <w:nsid w:val="50094019"/>
    <w:multiLevelType w:val="hybridMultilevel"/>
    <w:tmpl w:val="712C3804"/>
    <w:lvl w:ilvl="0" w:tplc="B4EAE9EA">
      <w:start w:val="1"/>
      <w:numFmt w:val="bullet"/>
      <w:lvlText w:val=""/>
      <w:lvlJc w:val="left"/>
      <w:pPr>
        <w:ind w:left="1440" w:hanging="360"/>
      </w:pPr>
      <w:rPr>
        <w:rFonts w:ascii="Wingdings" w:hAnsi="Wingdings" w:hint="default"/>
        <w:color w:val="262626" w:themeColor="text1" w:themeTint="D9"/>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7A45C60"/>
    <w:multiLevelType w:val="hybridMultilevel"/>
    <w:tmpl w:val="87B804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D719DC"/>
    <w:multiLevelType w:val="multilevel"/>
    <w:tmpl w:val="C9705AAA"/>
    <w:lvl w:ilvl="0">
      <w:start w:val="1"/>
      <w:numFmt w:val="decimal"/>
      <w:lvlText w:val="%1"/>
      <w:lvlJc w:val="left"/>
      <w:pPr>
        <w:ind w:left="0" w:firstLine="0"/>
      </w:pPr>
    </w:lvl>
    <w:lvl w:ilvl="1">
      <w:start w:val="1"/>
      <w:numFmt w:val="decimal"/>
      <w:lvlText w:val="%2."/>
      <w:lvlJc w:val="left"/>
      <w:pPr>
        <w:ind w:left="36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0" w:firstLine="0"/>
      </w:pPr>
    </w:lvl>
    <w:lvl w:ilvl="4">
      <w:start w:val="1"/>
      <w:numFmt w:val="decimal"/>
      <w:lvlText w:val="%4.%5."/>
      <w:lvlJc w:val="left"/>
      <w:pPr>
        <w:ind w:left="0" w:firstLine="0"/>
      </w:pPr>
    </w:lvl>
    <w:lvl w:ilvl="5">
      <w:start w:val="1"/>
      <w:numFmt w:val="decimal"/>
      <w:lvlText w:val="%4.%5.%6."/>
      <w:lvlJc w:val="left"/>
      <w:pPr>
        <w:ind w:left="0" w:firstLine="0"/>
      </w:pPr>
    </w:lvl>
    <w:lvl w:ilvl="6">
      <w:start w:val="1"/>
      <w:numFmt w:val="decimal"/>
      <w:lvlText w:val="%4.%5.%6.%7."/>
      <w:lvlJc w:val="left"/>
      <w:pPr>
        <w:ind w:left="0" w:firstLine="0"/>
      </w:pPr>
    </w:lvl>
    <w:lvl w:ilvl="7">
      <w:start w:val="1"/>
      <w:numFmt w:val="decimal"/>
      <w:lvlText w:val="%4.%5.%6.%7.%8."/>
      <w:lvlJc w:val="left"/>
      <w:pPr>
        <w:ind w:left="0" w:firstLine="0"/>
      </w:pPr>
    </w:lvl>
    <w:lvl w:ilvl="8">
      <w:start w:val="1"/>
      <w:numFmt w:val="decimal"/>
      <w:lvlText w:val="%4.%5.%6.%7.%8.%9."/>
      <w:lvlJc w:val="left"/>
      <w:pPr>
        <w:ind w:left="0" w:firstLine="0"/>
      </w:pPr>
    </w:lvl>
  </w:abstractNum>
  <w:abstractNum w:abstractNumId="21" w15:restartNumberingAfterBreak="0">
    <w:nsid w:val="6C816304"/>
    <w:multiLevelType w:val="hybridMultilevel"/>
    <w:tmpl w:val="6838B514"/>
    <w:lvl w:ilvl="0" w:tplc="BDAACC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9D6A28"/>
    <w:multiLevelType w:val="multilevel"/>
    <w:tmpl w:val="A07A0150"/>
    <w:lvl w:ilvl="0">
      <w:start w:val="1"/>
      <w:numFmt w:val="decimal"/>
      <w:lvlText w:val="%1"/>
      <w:lvlJc w:val="left"/>
      <w:pPr>
        <w:ind w:left="0" w:firstLine="0"/>
      </w:pPr>
    </w:lvl>
    <w:lvl w:ilvl="1">
      <w:start w:val="1"/>
      <w:numFmt w:val="bullet"/>
      <w:lvlText w:val=""/>
      <w:lvlJc w:val="left"/>
      <w:pPr>
        <w:ind w:left="36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0" w:firstLine="0"/>
      </w:pPr>
    </w:lvl>
    <w:lvl w:ilvl="4">
      <w:start w:val="1"/>
      <w:numFmt w:val="decimal"/>
      <w:lvlText w:val="%4.%5."/>
      <w:lvlJc w:val="left"/>
      <w:pPr>
        <w:ind w:left="0" w:firstLine="0"/>
      </w:pPr>
    </w:lvl>
    <w:lvl w:ilvl="5">
      <w:start w:val="1"/>
      <w:numFmt w:val="decimal"/>
      <w:lvlText w:val="%4.%5.%6."/>
      <w:lvlJc w:val="left"/>
      <w:pPr>
        <w:ind w:left="0" w:firstLine="0"/>
      </w:pPr>
    </w:lvl>
    <w:lvl w:ilvl="6">
      <w:start w:val="1"/>
      <w:numFmt w:val="decimal"/>
      <w:lvlText w:val="%4.%5.%6.%7."/>
      <w:lvlJc w:val="left"/>
      <w:pPr>
        <w:ind w:left="0" w:firstLine="0"/>
      </w:pPr>
    </w:lvl>
    <w:lvl w:ilvl="7">
      <w:start w:val="1"/>
      <w:numFmt w:val="decimal"/>
      <w:lvlText w:val="%4.%5.%6.%7.%8."/>
      <w:lvlJc w:val="left"/>
      <w:pPr>
        <w:ind w:left="0" w:firstLine="0"/>
      </w:pPr>
    </w:lvl>
    <w:lvl w:ilvl="8">
      <w:start w:val="1"/>
      <w:numFmt w:val="decimal"/>
      <w:lvlText w:val="%4.%5.%6.%7.%8.%9."/>
      <w:lvlJc w:val="left"/>
      <w:pPr>
        <w:ind w:left="0" w:firstLine="0"/>
      </w:pPr>
    </w:lvl>
  </w:abstractNum>
  <w:abstractNum w:abstractNumId="23" w15:restartNumberingAfterBreak="0">
    <w:nsid w:val="6FF3091C"/>
    <w:multiLevelType w:val="hybridMultilevel"/>
    <w:tmpl w:val="5FDE551A"/>
    <w:lvl w:ilvl="0" w:tplc="22CC3840">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F47FE3"/>
    <w:multiLevelType w:val="multilevel"/>
    <w:tmpl w:val="63869088"/>
    <w:lvl w:ilvl="0">
      <w:start w:val="1"/>
      <w:numFmt w:val="decimal"/>
      <w:lvlText w:val="%1"/>
      <w:lvlJc w:val="left"/>
      <w:pPr>
        <w:ind w:left="0" w:firstLine="0"/>
      </w:pPr>
    </w:lvl>
    <w:lvl w:ilvl="1">
      <w:start w:val="1"/>
      <w:numFmt w:val="bullet"/>
      <w:lvlText w:val=""/>
      <w:lvlJc w:val="left"/>
      <w:pPr>
        <w:ind w:left="36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0" w:firstLine="0"/>
      </w:pPr>
    </w:lvl>
    <w:lvl w:ilvl="4">
      <w:start w:val="1"/>
      <w:numFmt w:val="decimal"/>
      <w:lvlText w:val="%4.%5."/>
      <w:lvlJc w:val="left"/>
      <w:pPr>
        <w:ind w:left="0" w:firstLine="0"/>
      </w:pPr>
    </w:lvl>
    <w:lvl w:ilvl="5">
      <w:start w:val="1"/>
      <w:numFmt w:val="decimal"/>
      <w:lvlText w:val="%4.%5.%6."/>
      <w:lvlJc w:val="left"/>
      <w:pPr>
        <w:ind w:left="0" w:firstLine="0"/>
      </w:pPr>
    </w:lvl>
    <w:lvl w:ilvl="6">
      <w:start w:val="1"/>
      <w:numFmt w:val="decimal"/>
      <w:lvlText w:val="%4.%5.%6.%7."/>
      <w:lvlJc w:val="left"/>
      <w:pPr>
        <w:ind w:left="0" w:firstLine="0"/>
      </w:pPr>
    </w:lvl>
    <w:lvl w:ilvl="7">
      <w:start w:val="1"/>
      <w:numFmt w:val="decimal"/>
      <w:lvlText w:val="%4.%5.%6.%7.%8."/>
      <w:lvlJc w:val="left"/>
      <w:pPr>
        <w:ind w:left="0" w:firstLine="0"/>
      </w:pPr>
    </w:lvl>
    <w:lvl w:ilvl="8">
      <w:start w:val="1"/>
      <w:numFmt w:val="decimal"/>
      <w:lvlText w:val="%4.%5.%6.%7.%8.%9."/>
      <w:lvlJc w:val="left"/>
      <w:pPr>
        <w:ind w:left="0" w:firstLine="0"/>
      </w:pPr>
    </w:lvl>
  </w:abstractNum>
  <w:abstractNum w:abstractNumId="25" w15:restartNumberingAfterBreak="0">
    <w:nsid w:val="758F4AF2"/>
    <w:multiLevelType w:val="hybridMultilevel"/>
    <w:tmpl w:val="30160A90"/>
    <w:lvl w:ilvl="0" w:tplc="6B0C3240">
      <w:start w:val="1"/>
      <w:numFmt w:val="lowerLetter"/>
      <w:lvlText w:val="%1)"/>
      <w:lvlJc w:val="left"/>
      <w:pPr>
        <w:ind w:left="360" w:hanging="360"/>
      </w:pPr>
      <w:rPr>
        <w:rFonts w:eastAsia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65516739">
    <w:abstractNumId w:val="7"/>
  </w:num>
  <w:num w:numId="2" w16cid:durableId="1987468898">
    <w:abstractNumId w:val="6"/>
  </w:num>
  <w:num w:numId="3" w16cid:durableId="1601984718">
    <w:abstractNumId w:val="23"/>
  </w:num>
  <w:num w:numId="4" w16cid:durableId="520511211">
    <w:abstractNumId w:val="12"/>
  </w:num>
  <w:num w:numId="5" w16cid:durableId="1971667816">
    <w:abstractNumId w:val="17"/>
  </w:num>
  <w:num w:numId="6" w16cid:durableId="2053462452">
    <w:abstractNumId w:val="11"/>
  </w:num>
  <w:num w:numId="7" w16cid:durableId="1910193323">
    <w:abstractNumId w:val="8"/>
  </w:num>
  <w:num w:numId="8" w16cid:durableId="147064193">
    <w:abstractNumId w:val="3"/>
  </w:num>
  <w:num w:numId="9" w16cid:durableId="1725524317">
    <w:abstractNumId w:val="18"/>
  </w:num>
  <w:num w:numId="10" w16cid:durableId="72626272">
    <w:abstractNumId w:val="13"/>
  </w:num>
  <w:num w:numId="11" w16cid:durableId="1648626556">
    <w:abstractNumId w:val="10"/>
  </w:num>
  <w:num w:numId="12" w16cid:durableId="1887519800">
    <w:abstractNumId w:val="21"/>
  </w:num>
  <w:num w:numId="13" w16cid:durableId="1631738534">
    <w:abstractNumId w:val="4"/>
  </w:num>
  <w:num w:numId="14" w16cid:durableId="1186486099">
    <w:abstractNumId w:val="20"/>
  </w:num>
  <w:num w:numId="15" w16cid:durableId="489634590">
    <w:abstractNumId w:val="16"/>
  </w:num>
  <w:num w:numId="16" w16cid:durableId="1038553451">
    <w:abstractNumId w:val="1"/>
  </w:num>
  <w:num w:numId="17" w16cid:durableId="1302228057">
    <w:abstractNumId w:val="22"/>
  </w:num>
  <w:num w:numId="18" w16cid:durableId="1811095438">
    <w:abstractNumId w:val="24"/>
  </w:num>
  <w:num w:numId="19" w16cid:durableId="1344748651">
    <w:abstractNumId w:val="5"/>
  </w:num>
  <w:num w:numId="20" w16cid:durableId="251008233">
    <w:abstractNumId w:val="15"/>
  </w:num>
  <w:num w:numId="21" w16cid:durableId="644555483">
    <w:abstractNumId w:val="0"/>
  </w:num>
  <w:num w:numId="22" w16cid:durableId="1999991379">
    <w:abstractNumId w:val="9"/>
  </w:num>
  <w:num w:numId="23" w16cid:durableId="419647738">
    <w:abstractNumId w:val="19"/>
  </w:num>
  <w:num w:numId="24" w16cid:durableId="1334213738">
    <w:abstractNumId w:val="14"/>
  </w:num>
  <w:num w:numId="25" w16cid:durableId="179046732">
    <w:abstractNumId w:val="2"/>
  </w:num>
  <w:num w:numId="26" w16cid:durableId="15344607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E6"/>
    <w:rsid w:val="00001284"/>
    <w:rsid w:val="00001851"/>
    <w:rsid w:val="000036C2"/>
    <w:rsid w:val="00003A4A"/>
    <w:rsid w:val="0000401F"/>
    <w:rsid w:val="00004546"/>
    <w:rsid w:val="0000458A"/>
    <w:rsid w:val="000052CF"/>
    <w:rsid w:val="00005C75"/>
    <w:rsid w:val="00010450"/>
    <w:rsid w:val="00014849"/>
    <w:rsid w:val="000154F6"/>
    <w:rsid w:val="0001654F"/>
    <w:rsid w:val="00017029"/>
    <w:rsid w:val="00017219"/>
    <w:rsid w:val="00017D69"/>
    <w:rsid w:val="00017D8A"/>
    <w:rsid w:val="00021FFC"/>
    <w:rsid w:val="000240D7"/>
    <w:rsid w:val="00024150"/>
    <w:rsid w:val="000245BC"/>
    <w:rsid w:val="00025FF7"/>
    <w:rsid w:val="00026220"/>
    <w:rsid w:val="000309FB"/>
    <w:rsid w:val="00031DB3"/>
    <w:rsid w:val="00031F9E"/>
    <w:rsid w:val="00032AB8"/>
    <w:rsid w:val="000336B8"/>
    <w:rsid w:val="000347F3"/>
    <w:rsid w:val="0003703A"/>
    <w:rsid w:val="0003786F"/>
    <w:rsid w:val="0004106C"/>
    <w:rsid w:val="0004120D"/>
    <w:rsid w:val="00043629"/>
    <w:rsid w:val="000440DD"/>
    <w:rsid w:val="00045216"/>
    <w:rsid w:val="00045A91"/>
    <w:rsid w:val="00051F43"/>
    <w:rsid w:val="000535BC"/>
    <w:rsid w:val="00055EF4"/>
    <w:rsid w:val="00056A49"/>
    <w:rsid w:val="0006102A"/>
    <w:rsid w:val="000613DC"/>
    <w:rsid w:val="00061AA2"/>
    <w:rsid w:val="00063284"/>
    <w:rsid w:val="00063773"/>
    <w:rsid w:val="0006412E"/>
    <w:rsid w:val="000660A5"/>
    <w:rsid w:val="00066199"/>
    <w:rsid w:val="00066804"/>
    <w:rsid w:val="00066955"/>
    <w:rsid w:val="00067AB0"/>
    <w:rsid w:val="000700EC"/>
    <w:rsid w:val="00071856"/>
    <w:rsid w:val="00072542"/>
    <w:rsid w:val="000746AC"/>
    <w:rsid w:val="0007500C"/>
    <w:rsid w:val="00075517"/>
    <w:rsid w:val="0007585E"/>
    <w:rsid w:val="00076003"/>
    <w:rsid w:val="00076191"/>
    <w:rsid w:val="00076BB3"/>
    <w:rsid w:val="00080509"/>
    <w:rsid w:val="000812DD"/>
    <w:rsid w:val="0008158A"/>
    <w:rsid w:val="00081E1E"/>
    <w:rsid w:val="00082106"/>
    <w:rsid w:val="00082329"/>
    <w:rsid w:val="00083099"/>
    <w:rsid w:val="0008625D"/>
    <w:rsid w:val="00090B91"/>
    <w:rsid w:val="00091115"/>
    <w:rsid w:val="000914A1"/>
    <w:rsid w:val="00091909"/>
    <w:rsid w:val="0009196F"/>
    <w:rsid w:val="000923D4"/>
    <w:rsid w:val="000948D3"/>
    <w:rsid w:val="00094996"/>
    <w:rsid w:val="00094D3E"/>
    <w:rsid w:val="00095589"/>
    <w:rsid w:val="00095595"/>
    <w:rsid w:val="00097516"/>
    <w:rsid w:val="00097FF2"/>
    <w:rsid w:val="000A04D8"/>
    <w:rsid w:val="000A0BA1"/>
    <w:rsid w:val="000A11AB"/>
    <w:rsid w:val="000A3954"/>
    <w:rsid w:val="000A3A24"/>
    <w:rsid w:val="000A5DEB"/>
    <w:rsid w:val="000A696F"/>
    <w:rsid w:val="000A6987"/>
    <w:rsid w:val="000A6C25"/>
    <w:rsid w:val="000A7B12"/>
    <w:rsid w:val="000B047D"/>
    <w:rsid w:val="000B08BD"/>
    <w:rsid w:val="000B0F0A"/>
    <w:rsid w:val="000B1E3B"/>
    <w:rsid w:val="000B1F39"/>
    <w:rsid w:val="000B5A6B"/>
    <w:rsid w:val="000B6CCD"/>
    <w:rsid w:val="000B7F88"/>
    <w:rsid w:val="000C48DE"/>
    <w:rsid w:val="000C519C"/>
    <w:rsid w:val="000C6109"/>
    <w:rsid w:val="000C778F"/>
    <w:rsid w:val="000C7D38"/>
    <w:rsid w:val="000D0573"/>
    <w:rsid w:val="000D18D7"/>
    <w:rsid w:val="000D1EF6"/>
    <w:rsid w:val="000D457B"/>
    <w:rsid w:val="000D4F99"/>
    <w:rsid w:val="000D7127"/>
    <w:rsid w:val="000D7292"/>
    <w:rsid w:val="000D7548"/>
    <w:rsid w:val="000D7E5D"/>
    <w:rsid w:val="000E20E9"/>
    <w:rsid w:val="000E24AF"/>
    <w:rsid w:val="000E2B8E"/>
    <w:rsid w:val="000E472D"/>
    <w:rsid w:val="000E539A"/>
    <w:rsid w:val="000E5769"/>
    <w:rsid w:val="000E5827"/>
    <w:rsid w:val="000E5943"/>
    <w:rsid w:val="000E6072"/>
    <w:rsid w:val="000F0F97"/>
    <w:rsid w:val="000F129E"/>
    <w:rsid w:val="000F1796"/>
    <w:rsid w:val="000F1B8F"/>
    <w:rsid w:val="000F1E80"/>
    <w:rsid w:val="000F2260"/>
    <w:rsid w:val="000F4842"/>
    <w:rsid w:val="000F4FE4"/>
    <w:rsid w:val="000F5CDA"/>
    <w:rsid w:val="000F5D98"/>
    <w:rsid w:val="000F7343"/>
    <w:rsid w:val="000F7594"/>
    <w:rsid w:val="001004A1"/>
    <w:rsid w:val="0010073A"/>
    <w:rsid w:val="00101E82"/>
    <w:rsid w:val="0010299B"/>
    <w:rsid w:val="001029E9"/>
    <w:rsid w:val="00103A31"/>
    <w:rsid w:val="001061F5"/>
    <w:rsid w:val="001102E5"/>
    <w:rsid w:val="00110AFB"/>
    <w:rsid w:val="00113B88"/>
    <w:rsid w:val="00120F2A"/>
    <w:rsid w:val="0012164A"/>
    <w:rsid w:val="0012312D"/>
    <w:rsid w:val="00123E7D"/>
    <w:rsid w:val="00124032"/>
    <w:rsid w:val="00124739"/>
    <w:rsid w:val="00124B2E"/>
    <w:rsid w:val="00125976"/>
    <w:rsid w:val="00125D2C"/>
    <w:rsid w:val="001301D7"/>
    <w:rsid w:val="0013057B"/>
    <w:rsid w:val="00131447"/>
    <w:rsid w:val="00131901"/>
    <w:rsid w:val="001323A6"/>
    <w:rsid w:val="0013440A"/>
    <w:rsid w:val="001375D6"/>
    <w:rsid w:val="001410DA"/>
    <w:rsid w:val="00141148"/>
    <w:rsid w:val="00141737"/>
    <w:rsid w:val="00142C79"/>
    <w:rsid w:val="00143FA3"/>
    <w:rsid w:val="001453BB"/>
    <w:rsid w:val="00145A4A"/>
    <w:rsid w:val="00146554"/>
    <w:rsid w:val="00147FF9"/>
    <w:rsid w:val="001503BB"/>
    <w:rsid w:val="00151167"/>
    <w:rsid w:val="0015175C"/>
    <w:rsid w:val="00153C76"/>
    <w:rsid w:val="0015413C"/>
    <w:rsid w:val="00154604"/>
    <w:rsid w:val="001568E4"/>
    <w:rsid w:val="001619E3"/>
    <w:rsid w:val="00162A12"/>
    <w:rsid w:val="0016301A"/>
    <w:rsid w:val="0016526B"/>
    <w:rsid w:val="00166616"/>
    <w:rsid w:val="001672AC"/>
    <w:rsid w:val="00170B17"/>
    <w:rsid w:val="001717DA"/>
    <w:rsid w:val="00175499"/>
    <w:rsid w:val="001776AA"/>
    <w:rsid w:val="00177A89"/>
    <w:rsid w:val="0018137E"/>
    <w:rsid w:val="0018142B"/>
    <w:rsid w:val="00181681"/>
    <w:rsid w:val="001820F3"/>
    <w:rsid w:val="001839D7"/>
    <w:rsid w:val="00184919"/>
    <w:rsid w:val="00184FBF"/>
    <w:rsid w:val="00185048"/>
    <w:rsid w:val="001858E0"/>
    <w:rsid w:val="00186FE5"/>
    <w:rsid w:val="0019041C"/>
    <w:rsid w:val="00192951"/>
    <w:rsid w:val="00194819"/>
    <w:rsid w:val="00195CA3"/>
    <w:rsid w:val="00195D4C"/>
    <w:rsid w:val="0019706F"/>
    <w:rsid w:val="0019726A"/>
    <w:rsid w:val="001974B9"/>
    <w:rsid w:val="0019759E"/>
    <w:rsid w:val="001A4C67"/>
    <w:rsid w:val="001A607F"/>
    <w:rsid w:val="001A6382"/>
    <w:rsid w:val="001A6C1D"/>
    <w:rsid w:val="001B04D3"/>
    <w:rsid w:val="001B065A"/>
    <w:rsid w:val="001B10A3"/>
    <w:rsid w:val="001B1841"/>
    <w:rsid w:val="001B4F35"/>
    <w:rsid w:val="001B5593"/>
    <w:rsid w:val="001B6467"/>
    <w:rsid w:val="001C079B"/>
    <w:rsid w:val="001C2D9A"/>
    <w:rsid w:val="001C3A85"/>
    <w:rsid w:val="001C3F2C"/>
    <w:rsid w:val="001C4624"/>
    <w:rsid w:val="001C5198"/>
    <w:rsid w:val="001C53B4"/>
    <w:rsid w:val="001C54C1"/>
    <w:rsid w:val="001C66B5"/>
    <w:rsid w:val="001C69AC"/>
    <w:rsid w:val="001D1178"/>
    <w:rsid w:val="001D25BF"/>
    <w:rsid w:val="001D2D41"/>
    <w:rsid w:val="001D411E"/>
    <w:rsid w:val="001D6025"/>
    <w:rsid w:val="001D69D7"/>
    <w:rsid w:val="001D6E82"/>
    <w:rsid w:val="001E4A97"/>
    <w:rsid w:val="001E522E"/>
    <w:rsid w:val="001F079F"/>
    <w:rsid w:val="001F211F"/>
    <w:rsid w:val="001F3FC4"/>
    <w:rsid w:val="001F4497"/>
    <w:rsid w:val="001F4744"/>
    <w:rsid w:val="001F6A06"/>
    <w:rsid w:val="002005F9"/>
    <w:rsid w:val="00202327"/>
    <w:rsid w:val="00202618"/>
    <w:rsid w:val="00202EA4"/>
    <w:rsid w:val="00203BB6"/>
    <w:rsid w:val="00204234"/>
    <w:rsid w:val="00206771"/>
    <w:rsid w:val="00207AF2"/>
    <w:rsid w:val="00217026"/>
    <w:rsid w:val="0021742F"/>
    <w:rsid w:val="00221D43"/>
    <w:rsid w:val="00222BEF"/>
    <w:rsid w:val="00222F7D"/>
    <w:rsid w:val="00225384"/>
    <w:rsid w:val="00226627"/>
    <w:rsid w:val="00226AA4"/>
    <w:rsid w:val="00231734"/>
    <w:rsid w:val="00234E61"/>
    <w:rsid w:val="00235762"/>
    <w:rsid w:val="00235926"/>
    <w:rsid w:val="00236691"/>
    <w:rsid w:val="002370C9"/>
    <w:rsid w:val="00237A84"/>
    <w:rsid w:val="00240B15"/>
    <w:rsid w:val="00240EF2"/>
    <w:rsid w:val="002423B2"/>
    <w:rsid w:val="002445D1"/>
    <w:rsid w:val="00245298"/>
    <w:rsid w:val="002452F9"/>
    <w:rsid w:val="002500AC"/>
    <w:rsid w:val="002509E0"/>
    <w:rsid w:val="00253805"/>
    <w:rsid w:val="00254F46"/>
    <w:rsid w:val="00255217"/>
    <w:rsid w:val="002555E8"/>
    <w:rsid w:val="00255AAD"/>
    <w:rsid w:val="00256A6E"/>
    <w:rsid w:val="00264173"/>
    <w:rsid w:val="0026487C"/>
    <w:rsid w:val="00264BAE"/>
    <w:rsid w:val="00265228"/>
    <w:rsid w:val="0026655A"/>
    <w:rsid w:val="00270459"/>
    <w:rsid w:val="00270FFF"/>
    <w:rsid w:val="002733F1"/>
    <w:rsid w:val="00275B4F"/>
    <w:rsid w:val="0027716C"/>
    <w:rsid w:val="00277CBD"/>
    <w:rsid w:val="00280C47"/>
    <w:rsid w:val="00280F95"/>
    <w:rsid w:val="00281879"/>
    <w:rsid w:val="00281FE1"/>
    <w:rsid w:val="00282801"/>
    <w:rsid w:val="00282D2D"/>
    <w:rsid w:val="002833E7"/>
    <w:rsid w:val="00283EB4"/>
    <w:rsid w:val="00284BAC"/>
    <w:rsid w:val="0028578B"/>
    <w:rsid w:val="002859B1"/>
    <w:rsid w:val="00287350"/>
    <w:rsid w:val="002877A5"/>
    <w:rsid w:val="00290A0A"/>
    <w:rsid w:val="002919B6"/>
    <w:rsid w:val="0029262B"/>
    <w:rsid w:val="00292BF0"/>
    <w:rsid w:val="00292FFA"/>
    <w:rsid w:val="00293B53"/>
    <w:rsid w:val="00294A6C"/>
    <w:rsid w:val="0029582A"/>
    <w:rsid w:val="00295C7E"/>
    <w:rsid w:val="00295D48"/>
    <w:rsid w:val="00295E58"/>
    <w:rsid w:val="002A1872"/>
    <w:rsid w:val="002A265E"/>
    <w:rsid w:val="002A2AD7"/>
    <w:rsid w:val="002A37E9"/>
    <w:rsid w:val="002A41DB"/>
    <w:rsid w:val="002A4CD3"/>
    <w:rsid w:val="002A4E55"/>
    <w:rsid w:val="002A4F3D"/>
    <w:rsid w:val="002A58DA"/>
    <w:rsid w:val="002A6E28"/>
    <w:rsid w:val="002A711F"/>
    <w:rsid w:val="002A783E"/>
    <w:rsid w:val="002A794D"/>
    <w:rsid w:val="002B0EDC"/>
    <w:rsid w:val="002B3841"/>
    <w:rsid w:val="002B5276"/>
    <w:rsid w:val="002B6544"/>
    <w:rsid w:val="002B67EC"/>
    <w:rsid w:val="002C06C7"/>
    <w:rsid w:val="002C1300"/>
    <w:rsid w:val="002C36C5"/>
    <w:rsid w:val="002C393E"/>
    <w:rsid w:val="002C4B10"/>
    <w:rsid w:val="002C4C94"/>
    <w:rsid w:val="002C5682"/>
    <w:rsid w:val="002C6127"/>
    <w:rsid w:val="002C6AB8"/>
    <w:rsid w:val="002C6AF2"/>
    <w:rsid w:val="002C7F91"/>
    <w:rsid w:val="002D3971"/>
    <w:rsid w:val="002D4828"/>
    <w:rsid w:val="002D5385"/>
    <w:rsid w:val="002D7577"/>
    <w:rsid w:val="002E0AB8"/>
    <w:rsid w:val="002E1842"/>
    <w:rsid w:val="002E18C3"/>
    <w:rsid w:val="002E1A14"/>
    <w:rsid w:val="002E1C0D"/>
    <w:rsid w:val="002E1E11"/>
    <w:rsid w:val="002E26E3"/>
    <w:rsid w:val="002E70FA"/>
    <w:rsid w:val="002F28E4"/>
    <w:rsid w:val="002F2A7A"/>
    <w:rsid w:val="002F2AA0"/>
    <w:rsid w:val="002F4230"/>
    <w:rsid w:val="002F7B70"/>
    <w:rsid w:val="00300908"/>
    <w:rsid w:val="003038AB"/>
    <w:rsid w:val="00304443"/>
    <w:rsid w:val="003055F7"/>
    <w:rsid w:val="00307680"/>
    <w:rsid w:val="003103EE"/>
    <w:rsid w:val="00311D53"/>
    <w:rsid w:val="003124DE"/>
    <w:rsid w:val="0031606A"/>
    <w:rsid w:val="003211C8"/>
    <w:rsid w:val="00321983"/>
    <w:rsid w:val="00321CC3"/>
    <w:rsid w:val="003224B1"/>
    <w:rsid w:val="00325B98"/>
    <w:rsid w:val="00325F29"/>
    <w:rsid w:val="00326118"/>
    <w:rsid w:val="00326A61"/>
    <w:rsid w:val="00326E68"/>
    <w:rsid w:val="003304DA"/>
    <w:rsid w:val="0033626D"/>
    <w:rsid w:val="003370D3"/>
    <w:rsid w:val="003371EB"/>
    <w:rsid w:val="0034186F"/>
    <w:rsid w:val="00341CE8"/>
    <w:rsid w:val="00342006"/>
    <w:rsid w:val="003429DD"/>
    <w:rsid w:val="00342B80"/>
    <w:rsid w:val="00343A36"/>
    <w:rsid w:val="00343E28"/>
    <w:rsid w:val="00345703"/>
    <w:rsid w:val="00350DCD"/>
    <w:rsid w:val="00351D36"/>
    <w:rsid w:val="00352752"/>
    <w:rsid w:val="003534E5"/>
    <w:rsid w:val="003535C5"/>
    <w:rsid w:val="00354423"/>
    <w:rsid w:val="00355363"/>
    <w:rsid w:val="003555E6"/>
    <w:rsid w:val="00355E82"/>
    <w:rsid w:val="00362473"/>
    <w:rsid w:val="003627DD"/>
    <w:rsid w:val="0036300D"/>
    <w:rsid w:val="00363AFB"/>
    <w:rsid w:val="00363FAB"/>
    <w:rsid w:val="00365998"/>
    <w:rsid w:val="00365C5F"/>
    <w:rsid w:val="00365D0B"/>
    <w:rsid w:val="00367A41"/>
    <w:rsid w:val="00370824"/>
    <w:rsid w:val="003719DC"/>
    <w:rsid w:val="00371B70"/>
    <w:rsid w:val="00372092"/>
    <w:rsid w:val="00372388"/>
    <w:rsid w:val="00372BA9"/>
    <w:rsid w:val="00374202"/>
    <w:rsid w:val="0037476D"/>
    <w:rsid w:val="00374AD6"/>
    <w:rsid w:val="00374EE4"/>
    <w:rsid w:val="0037530E"/>
    <w:rsid w:val="00376586"/>
    <w:rsid w:val="00376E45"/>
    <w:rsid w:val="003808D1"/>
    <w:rsid w:val="0038104B"/>
    <w:rsid w:val="00381E54"/>
    <w:rsid w:val="00382956"/>
    <w:rsid w:val="003845F1"/>
    <w:rsid w:val="00384B4A"/>
    <w:rsid w:val="003852E3"/>
    <w:rsid w:val="00385FA8"/>
    <w:rsid w:val="00390049"/>
    <w:rsid w:val="00390E1D"/>
    <w:rsid w:val="00392731"/>
    <w:rsid w:val="00392D1B"/>
    <w:rsid w:val="00393A00"/>
    <w:rsid w:val="00393F23"/>
    <w:rsid w:val="00394A26"/>
    <w:rsid w:val="00395CCC"/>
    <w:rsid w:val="00395D4E"/>
    <w:rsid w:val="003964D8"/>
    <w:rsid w:val="0039753B"/>
    <w:rsid w:val="003A00D9"/>
    <w:rsid w:val="003A1CDD"/>
    <w:rsid w:val="003A2AE1"/>
    <w:rsid w:val="003A4E8A"/>
    <w:rsid w:val="003A6158"/>
    <w:rsid w:val="003A6ABA"/>
    <w:rsid w:val="003A74FE"/>
    <w:rsid w:val="003A7B70"/>
    <w:rsid w:val="003A7D82"/>
    <w:rsid w:val="003B13E8"/>
    <w:rsid w:val="003B293D"/>
    <w:rsid w:val="003B33EA"/>
    <w:rsid w:val="003B57E8"/>
    <w:rsid w:val="003B5811"/>
    <w:rsid w:val="003B6FBF"/>
    <w:rsid w:val="003B7BC6"/>
    <w:rsid w:val="003C037A"/>
    <w:rsid w:val="003C16F2"/>
    <w:rsid w:val="003C267E"/>
    <w:rsid w:val="003C2DA4"/>
    <w:rsid w:val="003C3BE1"/>
    <w:rsid w:val="003C6624"/>
    <w:rsid w:val="003D1541"/>
    <w:rsid w:val="003D1F20"/>
    <w:rsid w:val="003D78A3"/>
    <w:rsid w:val="003E10BF"/>
    <w:rsid w:val="003E25A1"/>
    <w:rsid w:val="003E2DCA"/>
    <w:rsid w:val="003E2E76"/>
    <w:rsid w:val="003E30F3"/>
    <w:rsid w:val="003E4E5A"/>
    <w:rsid w:val="003E5450"/>
    <w:rsid w:val="003E5576"/>
    <w:rsid w:val="003E72E1"/>
    <w:rsid w:val="003E741C"/>
    <w:rsid w:val="003F059A"/>
    <w:rsid w:val="003F1703"/>
    <w:rsid w:val="003F536F"/>
    <w:rsid w:val="003F5ED9"/>
    <w:rsid w:val="003F618F"/>
    <w:rsid w:val="003F7A23"/>
    <w:rsid w:val="004018D6"/>
    <w:rsid w:val="00402B95"/>
    <w:rsid w:val="00402F2C"/>
    <w:rsid w:val="0040302B"/>
    <w:rsid w:val="00403634"/>
    <w:rsid w:val="00404F69"/>
    <w:rsid w:val="00406F98"/>
    <w:rsid w:val="00407F31"/>
    <w:rsid w:val="004103D8"/>
    <w:rsid w:val="00410B29"/>
    <w:rsid w:val="00413F1B"/>
    <w:rsid w:val="0041777B"/>
    <w:rsid w:val="00420E59"/>
    <w:rsid w:val="00421A47"/>
    <w:rsid w:val="00422E96"/>
    <w:rsid w:val="004236D9"/>
    <w:rsid w:val="004252ED"/>
    <w:rsid w:val="00427535"/>
    <w:rsid w:val="0042789D"/>
    <w:rsid w:val="004323AE"/>
    <w:rsid w:val="00432BEC"/>
    <w:rsid w:val="00434DAE"/>
    <w:rsid w:val="00434E36"/>
    <w:rsid w:val="0043615A"/>
    <w:rsid w:val="0043639B"/>
    <w:rsid w:val="004363DE"/>
    <w:rsid w:val="004367C8"/>
    <w:rsid w:val="0044067B"/>
    <w:rsid w:val="00441624"/>
    <w:rsid w:val="00444E61"/>
    <w:rsid w:val="004456C8"/>
    <w:rsid w:val="00446471"/>
    <w:rsid w:val="00446650"/>
    <w:rsid w:val="004476FE"/>
    <w:rsid w:val="004533AF"/>
    <w:rsid w:val="004540EA"/>
    <w:rsid w:val="00454A8A"/>
    <w:rsid w:val="00456AC5"/>
    <w:rsid w:val="00457B06"/>
    <w:rsid w:val="00457FD8"/>
    <w:rsid w:val="004600AA"/>
    <w:rsid w:val="004600C5"/>
    <w:rsid w:val="00462224"/>
    <w:rsid w:val="00462F73"/>
    <w:rsid w:val="00463809"/>
    <w:rsid w:val="004641EB"/>
    <w:rsid w:val="0046567B"/>
    <w:rsid w:val="00467699"/>
    <w:rsid w:val="00470D44"/>
    <w:rsid w:val="0047357B"/>
    <w:rsid w:val="00473912"/>
    <w:rsid w:val="004748AE"/>
    <w:rsid w:val="00474D66"/>
    <w:rsid w:val="00474F8B"/>
    <w:rsid w:val="00475DC8"/>
    <w:rsid w:val="00475DDD"/>
    <w:rsid w:val="00477107"/>
    <w:rsid w:val="00480B5F"/>
    <w:rsid w:val="004831F9"/>
    <w:rsid w:val="004839FF"/>
    <w:rsid w:val="00483B79"/>
    <w:rsid w:val="004850BF"/>
    <w:rsid w:val="00485906"/>
    <w:rsid w:val="004864D0"/>
    <w:rsid w:val="00487DC6"/>
    <w:rsid w:val="00491556"/>
    <w:rsid w:val="0049186A"/>
    <w:rsid w:val="0049265D"/>
    <w:rsid w:val="0049297B"/>
    <w:rsid w:val="00492AFF"/>
    <w:rsid w:val="00493598"/>
    <w:rsid w:val="00493B45"/>
    <w:rsid w:val="00497A57"/>
    <w:rsid w:val="004A068F"/>
    <w:rsid w:val="004A10FD"/>
    <w:rsid w:val="004A28C8"/>
    <w:rsid w:val="004A2986"/>
    <w:rsid w:val="004A3150"/>
    <w:rsid w:val="004A36C9"/>
    <w:rsid w:val="004A43C9"/>
    <w:rsid w:val="004A5408"/>
    <w:rsid w:val="004A6240"/>
    <w:rsid w:val="004A7B0A"/>
    <w:rsid w:val="004B0AC1"/>
    <w:rsid w:val="004B0EB7"/>
    <w:rsid w:val="004B1D1B"/>
    <w:rsid w:val="004B26CE"/>
    <w:rsid w:val="004B2711"/>
    <w:rsid w:val="004B6117"/>
    <w:rsid w:val="004B6149"/>
    <w:rsid w:val="004B66D2"/>
    <w:rsid w:val="004B722C"/>
    <w:rsid w:val="004B79E7"/>
    <w:rsid w:val="004B7F18"/>
    <w:rsid w:val="004C17AB"/>
    <w:rsid w:val="004C602B"/>
    <w:rsid w:val="004C651E"/>
    <w:rsid w:val="004C7A81"/>
    <w:rsid w:val="004C7C1E"/>
    <w:rsid w:val="004D034B"/>
    <w:rsid w:val="004D1F9D"/>
    <w:rsid w:val="004D20E6"/>
    <w:rsid w:val="004D3709"/>
    <w:rsid w:val="004D45FB"/>
    <w:rsid w:val="004D59CB"/>
    <w:rsid w:val="004D67ED"/>
    <w:rsid w:val="004D6D30"/>
    <w:rsid w:val="004E1EDE"/>
    <w:rsid w:val="004E2B60"/>
    <w:rsid w:val="004E4710"/>
    <w:rsid w:val="004E5AA4"/>
    <w:rsid w:val="004E613D"/>
    <w:rsid w:val="004E6461"/>
    <w:rsid w:val="004E661D"/>
    <w:rsid w:val="004E7145"/>
    <w:rsid w:val="004E7A93"/>
    <w:rsid w:val="004F0340"/>
    <w:rsid w:val="004F0560"/>
    <w:rsid w:val="004F0888"/>
    <w:rsid w:val="004F1E48"/>
    <w:rsid w:val="004F341C"/>
    <w:rsid w:val="004F4E73"/>
    <w:rsid w:val="004F50B3"/>
    <w:rsid w:val="004F5575"/>
    <w:rsid w:val="004F5C65"/>
    <w:rsid w:val="004F66E7"/>
    <w:rsid w:val="004F69B3"/>
    <w:rsid w:val="004F7338"/>
    <w:rsid w:val="005011A2"/>
    <w:rsid w:val="00506D59"/>
    <w:rsid w:val="00507093"/>
    <w:rsid w:val="00510DD9"/>
    <w:rsid w:val="00512300"/>
    <w:rsid w:val="00512A0F"/>
    <w:rsid w:val="005137F4"/>
    <w:rsid w:val="00513D4B"/>
    <w:rsid w:val="00515109"/>
    <w:rsid w:val="0051545E"/>
    <w:rsid w:val="00517CE7"/>
    <w:rsid w:val="00520C23"/>
    <w:rsid w:val="00522E8E"/>
    <w:rsid w:val="005233F7"/>
    <w:rsid w:val="005250F3"/>
    <w:rsid w:val="00525EA9"/>
    <w:rsid w:val="0052614A"/>
    <w:rsid w:val="00526990"/>
    <w:rsid w:val="00530D6E"/>
    <w:rsid w:val="00531381"/>
    <w:rsid w:val="00532746"/>
    <w:rsid w:val="0053311A"/>
    <w:rsid w:val="00533688"/>
    <w:rsid w:val="00535A6D"/>
    <w:rsid w:val="00535B0E"/>
    <w:rsid w:val="005366F7"/>
    <w:rsid w:val="00536A2D"/>
    <w:rsid w:val="00536EDC"/>
    <w:rsid w:val="005401D2"/>
    <w:rsid w:val="0054031F"/>
    <w:rsid w:val="0054091A"/>
    <w:rsid w:val="00546115"/>
    <w:rsid w:val="0054657E"/>
    <w:rsid w:val="00546E77"/>
    <w:rsid w:val="005502AC"/>
    <w:rsid w:val="0055223A"/>
    <w:rsid w:val="00553338"/>
    <w:rsid w:val="0055534D"/>
    <w:rsid w:val="00555449"/>
    <w:rsid w:val="00560DD0"/>
    <w:rsid w:val="005613C1"/>
    <w:rsid w:val="00563606"/>
    <w:rsid w:val="00564504"/>
    <w:rsid w:val="005663E2"/>
    <w:rsid w:val="00566B38"/>
    <w:rsid w:val="00566D91"/>
    <w:rsid w:val="00570E84"/>
    <w:rsid w:val="00574703"/>
    <w:rsid w:val="00575BE6"/>
    <w:rsid w:val="00575E78"/>
    <w:rsid w:val="0058056C"/>
    <w:rsid w:val="005819B9"/>
    <w:rsid w:val="00582166"/>
    <w:rsid w:val="00583DB8"/>
    <w:rsid w:val="00584CD2"/>
    <w:rsid w:val="00585D1C"/>
    <w:rsid w:val="00587CB6"/>
    <w:rsid w:val="00592BBF"/>
    <w:rsid w:val="00593868"/>
    <w:rsid w:val="005939AF"/>
    <w:rsid w:val="00593D51"/>
    <w:rsid w:val="00594AF8"/>
    <w:rsid w:val="00595FCA"/>
    <w:rsid w:val="005967D6"/>
    <w:rsid w:val="00596CF6"/>
    <w:rsid w:val="005979F1"/>
    <w:rsid w:val="00597A4F"/>
    <w:rsid w:val="005A0891"/>
    <w:rsid w:val="005A329C"/>
    <w:rsid w:val="005A58CD"/>
    <w:rsid w:val="005A68E7"/>
    <w:rsid w:val="005A735B"/>
    <w:rsid w:val="005A79BB"/>
    <w:rsid w:val="005A7EF6"/>
    <w:rsid w:val="005A7EFF"/>
    <w:rsid w:val="005B0F50"/>
    <w:rsid w:val="005B3B64"/>
    <w:rsid w:val="005B43A7"/>
    <w:rsid w:val="005B7013"/>
    <w:rsid w:val="005B7284"/>
    <w:rsid w:val="005B773C"/>
    <w:rsid w:val="005C0802"/>
    <w:rsid w:val="005C13DB"/>
    <w:rsid w:val="005C3EC0"/>
    <w:rsid w:val="005C4B96"/>
    <w:rsid w:val="005C59AE"/>
    <w:rsid w:val="005C5A22"/>
    <w:rsid w:val="005C6A55"/>
    <w:rsid w:val="005C6B16"/>
    <w:rsid w:val="005D007D"/>
    <w:rsid w:val="005D259D"/>
    <w:rsid w:val="005D282B"/>
    <w:rsid w:val="005D2D18"/>
    <w:rsid w:val="005D46DD"/>
    <w:rsid w:val="005D5606"/>
    <w:rsid w:val="005D6920"/>
    <w:rsid w:val="005D764D"/>
    <w:rsid w:val="005E0982"/>
    <w:rsid w:val="005E09E3"/>
    <w:rsid w:val="005E3CE5"/>
    <w:rsid w:val="005E5FB9"/>
    <w:rsid w:val="005E6736"/>
    <w:rsid w:val="005E6815"/>
    <w:rsid w:val="005F0CA4"/>
    <w:rsid w:val="005F208A"/>
    <w:rsid w:val="005F56CE"/>
    <w:rsid w:val="005F57B6"/>
    <w:rsid w:val="005F5A81"/>
    <w:rsid w:val="005F5EBD"/>
    <w:rsid w:val="005F66E8"/>
    <w:rsid w:val="005F6F40"/>
    <w:rsid w:val="005F7CC1"/>
    <w:rsid w:val="006013CB"/>
    <w:rsid w:val="00601623"/>
    <w:rsid w:val="0060251C"/>
    <w:rsid w:val="006036B3"/>
    <w:rsid w:val="0060552B"/>
    <w:rsid w:val="00605929"/>
    <w:rsid w:val="00605F0F"/>
    <w:rsid w:val="006163FD"/>
    <w:rsid w:val="00617BFF"/>
    <w:rsid w:val="0062026F"/>
    <w:rsid w:val="006205D3"/>
    <w:rsid w:val="00620A35"/>
    <w:rsid w:val="00620ED8"/>
    <w:rsid w:val="006221E6"/>
    <w:rsid w:val="006225EE"/>
    <w:rsid w:val="006233B6"/>
    <w:rsid w:val="00624CFC"/>
    <w:rsid w:val="00630246"/>
    <w:rsid w:val="0063098D"/>
    <w:rsid w:val="00631B54"/>
    <w:rsid w:val="006325FD"/>
    <w:rsid w:val="00632AED"/>
    <w:rsid w:val="00632F3A"/>
    <w:rsid w:val="006339F7"/>
    <w:rsid w:val="0064049F"/>
    <w:rsid w:val="00641D09"/>
    <w:rsid w:val="00641DC5"/>
    <w:rsid w:val="006430A6"/>
    <w:rsid w:val="006433BC"/>
    <w:rsid w:val="00643EDF"/>
    <w:rsid w:val="00650EDE"/>
    <w:rsid w:val="0065107D"/>
    <w:rsid w:val="00652A8A"/>
    <w:rsid w:val="00653637"/>
    <w:rsid w:val="006543C5"/>
    <w:rsid w:val="00655065"/>
    <w:rsid w:val="00655A92"/>
    <w:rsid w:val="006569EF"/>
    <w:rsid w:val="00656BD6"/>
    <w:rsid w:val="00656FE3"/>
    <w:rsid w:val="006575A7"/>
    <w:rsid w:val="00661284"/>
    <w:rsid w:val="00662DF2"/>
    <w:rsid w:val="00663B19"/>
    <w:rsid w:val="0066475F"/>
    <w:rsid w:val="00665CFB"/>
    <w:rsid w:val="0066729F"/>
    <w:rsid w:val="00667341"/>
    <w:rsid w:val="006676CE"/>
    <w:rsid w:val="00667874"/>
    <w:rsid w:val="0066795A"/>
    <w:rsid w:val="00667FEA"/>
    <w:rsid w:val="00670676"/>
    <w:rsid w:val="006711F0"/>
    <w:rsid w:val="0067161B"/>
    <w:rsid w:val="00672112"/>
    <w:rsid w:val="00672993"/>
    <w:rsid w:val="00672E6D"/>
    <w:rsid w:val="00673377"/>
    <w:rsid w:val="006746FB"/>
    <w:rsid w:val="00674C70"/>
    <w:rsid w:val="00674CA6"/>
    <w:rsid w:val="006764E3"/>
    <w:rsid w:val="00676D00"/>
    <w:rsid w:val="00677967"/>
    <w:rsid w:val="00680269"/>
    <w:rsid w:val="00683024"/>
    <w:rsid w:val="006834B4"/>
    <w:rsid w:val="006841F4"/>
    <w:rsid w:val="00685656"/>
    <w:rsid w:val="00687964"/>
    <w:rsid w:val="006904E1"/>
    <w:rsid w:val="006905D7"/>
    <w:rsid w:val="00690EC0"/>
    <w:rsid w:val="00692551"/>
    <w:rsid w:val="0069263F"/>
    <w:rsid w:val="00692BFE"/>
    <w:rsid w:val="0069365A"/>
    <w:rsid w:val="00693DB9"/>
    <w:rsid w:val="00696571"/>
    <w:rsid w:val="006967BB"/>
    <w:rsid w:val="00697035"/>
    <w:rsid w:val="00697669"/>
    <w:rsid w:val="006A24A9"/>
    <w:rsid w:val="006A3876"/>
    <w:rsid w:val="006A3A1C"/>
    <w:rsid w:val="006A3EF2"/>
    <w:rsid w:val="006A432B"/>
    <w:rsid w:val="006A519E"/>
    <w:rsid w:val="006A5989"/>
    <w:rsid w:val="006A5A3C"/>
    <w:rsid w:val="006A6396"/>
    <w:rsid w:val="006A676F"/>
    <w:rsid w:val="006B13A0"/>
    <w:rsid w:val="006B3320"/>
    <w:rsid w:val="006B4A6E"/>
    <w:rsid w:val="006B4DFC"/>
    <w:rsid w:val="006C029C"/>
    <w:rsid w:val="006C0728"/>
    <w:rsid w:val="006C1451"/>
    <w:rsid w:val="006C28E3"/>
    <w:rsid w:val="006C4577"/>
    <w:rsid w:val="006C5756"/>
    <w:rsid w:val="006C5B14"/>
    <w:rsid w:val="006C5E5B"/>
    <w:rsid w:val="006C66E3"/>
    <w:rsid w:val="006C7DA1"/>
    <w:rsid w:val="006D5F96"/>
    <w:rsid w:val="006D624D"/>
    <w:rsid w:val="006E2EB3"/>
    <w:rsid w:val="006E3A89"/>
    <w:rsid w:val="006E3CDB"/>
    <w:rsid w:val="006E46E6"/>
    <w:rsid w:val="006E4BAF"/>
    <w:rsid w:val="006E50E2"/>
    <w:rsid w:val="006E6F3F"/>
    <w:rsid w:val="006E71B4"/>
    <w:rsid w:val="006F14BD"/>
    <w:rsid w:val="006F1B98"/>
    <w:rsid w:val="006F1E8F"/>
    <w:rsid w:val="006F2706"/>
    <w:rsid w:val="006F2986"/>
    <w:rsid w:val="006F2C2E"/>
    <w:rsid w:val="006F2DC9"/>
    <w:rsid w:val="006F331C"/>
    <w:rsid w:val="006F38C9"/>
    <w:rsid w:val="006F6181"/>
    <w:rsid w:val="00700B27"/>
    <w:rsid w:val="00700D22"/>
    <w:rsid w:val="007042BA"/>
    <w:rsid w:val="007047A2"/>
    <w:rsid w:val="007054DD"/>
    <w:rsid w:val="00707A0E"/>
    <w:rsid w:val="007111D5"/>
    <w:rsid w:val="007119A7"/>
    <w:rsid w:val="0071265A"/>
    <w:rsid w:val="00714289"/>
    <w:rsid w:val="0071490A"/>
    <w:rsid w:val="00714C91"/>
    <w:rsid w:val="00714FA3"/>
    <w:rsid w:val="0071549F"/>
    <w:rsid w:val="00715C0C"/>
    <w:rsid w:val="007162CB"/>
    <w:rsid w:val="00716A2F"/>
    <w:rsid w:val="00720A3A"/>
    <w:rsid w:val="00720DAF"/>
    <w:rsid w:val="0072146D"/>
    <w:rsid w:val="00721738"/>
    <w:rsid w:val="007221FE"/>
    <w:rsid w:val="00722249"/>
    <w:rsid w:val="007234D3"/>
    <w:rsid w:val="00725E9E"/>
    <w:rsid w:val="00727FAA"/>
    <w:rsid w:val="00733358"/>
    <w:rsid w:val="00733A2B"/>
    <w:rsid w:val="007347E9"/>
    <w:rsid w:val="0073565A"/>
    <w:rsid w:val="00735733"/>
    <w:rsid w:val="0074155B"/>
    <w:rsid w:val="00741B06"/>
    <w:rsid w:val="00741CEC"/>
    <w:rsid w:val="00742E77"/>
    <w:rsid w:val="0074606B"/>
    <w:rsid w:val="00746C33"/>
    <w:rsid w:val="00747C84"/>
    <w:rsid w:val="007503CC"/>
    <w:rsid w:val="00751417"/>
    <w:rsid w:val="0075385B"/>
    <w:rsid w:val="0075420D"/>
    <w:rsid w:val="00756BE1"/>
    <w:rsid w:val="00756C48"/>
    <w:rsid w:val="007625A9"/>
    <w:rsid w:val="007625BB"/>
    <w:rsid w:val="007638D8"/>
    <w:rsid w:val="0076439E"/>
    <w:rsid w:val="00767BFD"/>
    <w:rsid w:val="00767E4A"/>
    <w:rsid w:val="00770D0F"/>
    <w:rsid w:val="00771B34"/>
    <w:rsid w:val="00772F89"/>
    <w:rsid w:val="00774236"/>
    <w:rsid w:val="00775EA4"/>
    <w:rsid w:val="00777404"/>
    <w:rsid w:val="00781311"/>
    <w:rsid w:val="00781D43"/>
    <w:rsid w:val="007842A6"/>
    <w:rsid w:val="007843AE"/>
    <w:rsid w:val="007905A9"/>
    <w:rsid w:val="007921BE"/>
    <w:rsid w:val="00793659"/>
    <w:rsid w:val="007975DE"/>
    <w:rsid w:val="00797C01"/>
    <w:rsid w:val="00797D5B"/>
    <w:rsid w:val="007A013F"/>
    <w:rsid w:val="007A34F6"/>
    <w:rsid w:val="007A3833"/>
    <w:rsid w:val="007A4E69"/>
    <w:rsid w:val="007A56B3"/>
    <w:rsid w:val="007A5C73"/>
    <w:rsid w:val="007A5CD4"/>
    <w:rsid w:val="007A5D27"/>
    <w:rsid w:val="007B0D59"/>
    <w:rsid w:val="007B3764"/>
    <w:rsid w:val="007B776E"/>
    <w:rsid w:val="007C2AD3"/>
    <w:rsid w:val="007C48E8"/>
    <w:rsid w:val="007C58D7"/>
    <w:rsid w:val="007C5AF1"/>
    <w:rsid w:val="007C6770"/>
    <w:rsid w:val="007C6B25"/>
    <w:rsid w:val="007C74AF"/>
    <w:rsid w:val="007C7657"/>
    <w:rsid w:val="007D0505"/>
    <w:rsid w:val="007D0BF1"/>
    <w:rsid w:val="007D1EC0"/>
    <w:rsid w:val="007D34E9"/>
    <w:rsid w:val="007D368B"/>
    <w:rsid w:val="007D404F"/>
    <w:rsid w:val="007D543E"/>
    <w:rsid w:val="007D60CB"/>
    <w:rsid w:val="007D75CE"/>
    <w:rsid w:val="007D7982"/>
    <w:rsid w:val="007E0AC5"/>
    <w:rsid w:val="007E0DB9"/>
    <w:rsid w:val="007E19E8"/>
    <w:rsid w:val="007E2140"/>
    <w:rsid w:val="007E4764"/>
    <w:rsid w:val="007E589F"/>
    <w:rsid w:val="007F087B"/>
    <w:rsid w:val="007F0D0B"/>
    <w:rsid w:val="007F0EFF"/>
    <w:rsid w:val="007F4DF6"/>
    <w:rsid w:val="007F56CD"/>
    <w:rsid w:val="007F69EC"/>
    <w:rsid w:val="007F7E78"/>
    <w:rsid w:val="00800CC2"/>
    <w:rsid w:val="00801179"/>
    <w:rsid w:val="008013A9"/>
    <w:rsid w:val="008027AE"/>
    <w:rsid w:val="008028A9"/>
    <w:rsid w:val="0080652E"/>
    <w:rsid w:val="00806A8B"/>
    <w:rsid w:val="00810D0D"/>
    <w:rsid w:val="00812F45"/>
    <w:rsid w:val="00814C10"/>
    <w:rsid w:val="008159CB"/>
    <w:rsid w:val="008160D1"/>
    <w:rsid w:val="00816779"/>
    <w:rsid w:val="0081741A"/>
    <w:rsid w:val="0082176A"/>
    <w:rsid w:val="008227F6"/>
    <w:rsid w:val="00822B0C"/>
    <w:rsid w:val="00823DB5"/>
    <w:rsid w:val="00823E0E"/>
    <w:rsid w:val="00823FE6"/>
    <w:rsid w:val="008243A3"/>
    <w:rsid w:val="008246D4"/>
    <w:rsid w:val="00826038"/>
    <w:rsid w:val="0082718E"/>
    <w:rsid w:val="008273C8"/>
    <w:rsid w:val="00830C44"/>
    <w:rsid w:val="00834CCD"/>
    <w:rsid w:val="00834FA0"/>
    <w:rsid w:val="0083519A"/>
    <w:rsid w:val="00835EF6"/>
    <w:rsid w:val="0083787D"/>
    <w:rsid w:val="00840703"/>
    <w:rsid w:val="008411E5"/>
    <w:rsid w:val="0084329A"/>
    <w:rsid w:val="008434F0"/>
    <w:rsid w:val="00844FC7"/>
    <w:rsid w:val="00845CD9"/>
    <w:rsid w:val="00846304"/>
    <w:rsid w:val="00847C31"/>
    <w:rsid w:val="00850C7D"/>
    <w:rsid w:val="0085183F"/>
    <w:rsid w:val="00851A9C"/>
    <w:rsid w:val="00852C43"/>
    <w:rsid w:val="00852FB1"/>
    <w:rsid w:val="00853035"/>
    <w:rsid w:val="00853933"/>
    <w:rsid w:val="0085745D"/>
    <w:rsid w:val="00860A7F"/>
    <w:rsid w:val="00860E25"/>
    <w:rsid w:val="00862571"/>
    <w:rsid w:val="008627C8"/>
    <w:rsid w:val="008639DB"/>
    <w:rsid w:val="00864420"/>
    <w:rsid w:val="00864ABC"/>
    <w:rsid w:val="00865645"/>
    <w:rsid w:val="008666F9"/>
    <w:rsid w:val="00866D1B"/>
    <w:rsid w:val="008710D2"/>
    <w:rsid w:val="00872496"/>
    <w:rsid w:val="00872B29"/>
    <w:rsid w:val="00873BA6"/>
    <w:rsid w:val="008745AD"/>
    <w:rsid w:val="00882C54"/>
    <w:rsid w:val="00883896"/>
    <w:rsid w:val="0088399E"/>
    <w:rsid w:val="00883A8A"/>
    <w:rsid w:val="00883CE6"/>
    <w:rsid w:val="00884BED"/>
    <w:rsid w:val="00885E18"/>
    <w:rsid w:val="00885F84"/>
    <w:rsid w:val="00887101"/>
    <w:rsid w:val="00887B9A"/>
    <w:rsid w:val="00890785"/>
    <w:rsid w:val="008907EE"/>
    <w:rsid w:val="00892A97"/>
    <w:rsid w:val="008A1DE8"/>
    <w:rsid w:val="008A2978"/>
    <w:rsid w:val="008A51DF"/>
    <w:rsid w:val="008A7380"/>
    <w:rsid w:val="008A7FBF"/>
    <w:rsid w:val="008B1013"/>
    <w:rsid w:val="008B1C3F"/>
    <w:rsid w:val="008B5474"/>
    <w:rsid w:val="008B54E4"/>
    <w:rsid w:val="008B5878"/>
    <w:rsid w:val="008B6757"/>
    <w:rsid w:val="008B6F13"/>
    <w:rsid w:val="008C5830"/>
    <w:rsid w:val="008C58C4"/>
    <w:rsid w:val="008C5A23"/>
    <w:rsid w:val="008C5CD8"/>
    <w:rsid w:val="008C6BB8"/>
    <w:rsid w:val="008C72B8"/>
    <w:rsid w:val="008D1CAF"/>
    <w:rsid w:val="008D3C89"/>
    <w:rsid w:val="008D5B1F"/>
    <w:rsid w:val="008D63D7"/>
    <w:rsid w:val="008D6E44"/>
    <w:rsid w:val="008D7213"/>
    <w:rsid w:val="008E0316"/>
    <w:rsid w:val="008E0E07"/>
    <w:rsid w:val="008E261A"/>
    <w:rsid w:val="008E3728"/>
    <w:rsid w:val="008E435B"/>
    <w:rsid w:val="008E4DE4"/>
    <w:rsid w:val="008E52ED"/>
    <w:rsid w:val="008E7332"/>
    <w:rsid w:val="008E7937"/>
    <w:rsid w:val="008F04BC"/>
    <w:rsid w:val="008F04E2"/>
    <w:rsid w:val="008F0F58"/>
    <w:rsid w:val="008F0F71"/>
    <w:rsid w:val="008F1432"/>
    <w:rsid w:val="008F252C"/>
    <w:rsid w:val="008F3CC4"/>
    <w:rsid w:val="008F4835"/>
    <w:rsid w:val="009004D1"/>
    <w:rsid w:val="0090061B"/>
    <w:rsid w:val="00900BC8"/>
    <w:rsid w:val="009012CF"/>
    <w:rsid w:val="009019BD"/>
    <w:rsid w:val="00901CA0"/>
    <w:rsid w:val="00902184"/>
    <w:rsid w:val="0090283F"/>
    <w:rsid w:val="009064B3"/>
    <w:rsid w:val="009079FD"/>
    <w:rsid w:val="0091090E"/>
    <w:rsid w:val="0091257C"/>
    <w:rsid w:val="009141D6"/>
    <w:rsid w:val="00916106"/>
    <w:rsid w:val="0091703D"/>
    <w:rsid w:val="00917B73"/>
    <w:rsid w:val="00922714"/>
    <w:rsid w:val="00924961"/>
    <w:rsid w:val="0092722A"/>
    <w:rsid w:val="00933938"/>
    <w:rsid w:val="00934F91"/>
    <w:rsid w:val="00935583"/>
    <w:rsid w:val="0093592E"/>
    <w:rsid w:val="00936994"/>
    <w:rsid w:val="0093779E"/>
    <w:rsid w:val="00940282"/>
    <w:rsid w:val="009405E0"/>
    <w:rsid w:val="00940D1E"/>
    <w:rsid w:val="0094124C"/>
    <w:rsid w:val="00941573"/>
    <w:rsid w:val="0094280C"/>
    <w:rsid w:val="00943272"/>
    <w:rsid w:val="00943435"/>
    <w:rsid w:val="00943476"/>
    <w:rsid w:val="009437A9"/>
    <w:rsid w:val="009438B9"/>
    <w:rsid w:val="0094477B"/>
    <w:rsid w:val="009465E3"/>
    <w:rsid w:val="009512F2"/>
    <w:rsid w:val="00951510"/>
    <w:rsid w:val="00952A77"/>
    <w:rsid w:val="00953832"/>
    <w:rsid w:val="009548BB"/>
    <w:rsid w:val="009552BE"/>
    <w:rsid w:val="009554CF"/>
    <w:rsid w:val="009559A1"/>
    <w:rsid w:val="00956899"/>
    <w:rsid w:val="009570DA"/>
    <w:rsid w:val="00962546"/>
    <w:rsid w:val="00963C4C"/>
    <w:rsid w:val="00964CB8"/>
    <w:rsid w:val="00965A96"/>
    <w:rsid w:val="00966AD7"/>
    <w:rsid w:val="00967F82"/>
    <w:rsid w:val="0097021E"/>
    <w:rsid w:val="009703D6"/>
    <w:rsid w:val="00973BC5"/>
    <w:rsid w:val="00976809"/>
    <w:rsid w:val="00976962"/>
    <w:rsid w:val="00976B36"/>
    <w:rsid w:val="009824AD"/>
    <w:rsid w:val="00982A97"/>
    <w:rsid w:val="00985E65"/>
    <w:rsid w:val="00986075"/>
    <w:rsid w:val="00987365"/>
    <w:rsid w:val="00987786"/>
    <w:rsid w:val="00987865"/>
    <w:rsid w:val="00987F4C"/>
    <w:rsid w:val="00990DD6"/>
    <w:rsid w:val="009957B7"/>
    <w:rsid w:val="009963C7"/>
    <w:rsid w:val="00996FCA"/>
    <w:rsid w:val="0099763E"/>
    <w:rsid w:val="00997814"/>
    <w:rsid w:val="0099792C"/>
    <w:rsid w:val="009A1AE9"/>
    <w:rsid w:val="009A4828"/>
    <w:rsid w:val="009A4C6D"/>
    <w:rsid w:val="009A4D0C"/>
    <w:rsid w:val="009A5B75"/>
    <w:rsid w:val="009A5F55"/>
    <w:rsid w:val="009A627F"/>
    <w:rsid w:val="009A6F4B"/>
    <w:rsid w:val="009B0C91"/>
    <w:rsid w:val="009B1BCA"/>
    <w:rsid w:val="009B3BEA"/>
    <w:rsid w:val="009B3BFA"/>
    <w:rsid w:val="009B4251"/>
    <w:rsid w:val="009B6571"/>
    <w:rsid w:val="009B7DD1"/>
    <w:rsid w:val="009C0302"/>
    <w:rsid w:val="009C159D"/>
    <w:rsid w:val="009C1F46"/>
    <w:rsid w:val="009C218C"/>
    <w:rsid w:val="009C27B5"/>
    <w:rsid w:val="009C3E5D"/>
    <w:rsid w:val="009C489C"/>
    <w:rsid w:val="009C588D"/>
    <w:rsid w:val="009C68CE"/>
    <w:rsid w:val="009C71CA"/>
    <w:rsid w:val="009C7778"/>
    <w:rsid w:val="009D00E5"/>
    <w:rsid w:val="009D0D00"/>
    <w:rsid w:val="009D120C"/>
    <w:rsid w:val="009D166B"/>
    <w:rsid w:val="009D1970"/>
    <w:rsid w:val="009D2108"/>
    <w:rsid w:val="009D4F9A"/>
    <w:rsid w:val="009D78A3"/>
    <w:rsid w:val="009D7941"/>
    <w:rsid w:val="009D7B08"/>
    <w:rsid w:val="009E014D"/>
    <w:rsid w:val="009E027C"/>
    <w:rsid w:val="009E16DC"/>
    <w:rsid w:val="009E1FC3"/>
    <w:rsid w:val="009E2337"/>
    <w:rsid w:val="009E323D"/>
    <w:rsid w:val="009E525E"/>
    <w:rsid w:val="009E6173"/>
    <w:rsid w:val="009E74BD"/>
    <w:rsid w:val="009F048C"/>
    <w:rsid w:val="009F0E71"/>
    <w:rsid w:val="009F16B3"/>
    <w:rsid w:val="009F1CCC"/>
    <w:rsid w:val="009F4FCC"/>
    <w:rsid w:val="00A01317"/>
    <w:rsid w:val="00A01CC5"/>
    <w:rsid w:val="00A03AC7"/>
    <w:rsid w:val="00A03CEE"/>
    <w:rsid w:val="00A03E92"/>
    <w:rsid w:val="00A042F6"/>
    <w:rsid w:val="00A0551A"/>
    <w:rsid w:val="00A05599"/>
    <w:rsid w:val="00A056B2"/>
    <w:rsid w:val="00A06371"/>
    <w:rsid w:val="00A102A8"/>
    <w:rsid w:val="00A1261F"/>
    <w:rsid w:val="00A12AC3"/>
    <w:rsid w:val="00A13F36"/>
    <w:rsid w:val="00A158FF"/>
    <w:rsid w:val="00A17E64"/>
    <w:rsid w:val="00A20881"/>
    <w:rsid w:val="00A20A85"/>
    <w:rsid w:val="00A2265E"/>
    <w:rsid w:val="00A2312D"/>
    <w:rsid w:val="00A23B3C"/>
    <w:rsid w:val="00A2401F"/>
    <w:rsid w:val="00A251C7"/>
    <w:rsid w:val="00A252B4"/>
    <w:rsid w:val="00A261CD"/>
    <w:rsid w:val="00A26BF0"/>
    <w:rsid w:val="00A26C1C"/>
    <w:rsid w:val="00A30AE0"/>
    <w:rsid w:val="00A30BB6"/>
    <w:rsid w:val="00A30F8A"/>
    <w:rsid w:val="00A334E8"/>
    <w:rsid w:val="00A35691"/>
    <w:rsid w:val="00A367CB"/>
    <w:rsid w:val="00A40C72"/>
    <w:rsid w:val="00A44F2F"/>
    <w:rsid w:val="00A45AA1"/>
    <w:rsid w:val="00A4736B"/>
    <w:rsid w:val="00A476F3"/>
    <w:rsid w:val="00A50269"/>
    <w:rsid w:val="00A51D18"/>
    <w:rsid w:val="00A52050"/>
    <w:rsid w:val="00A52B18"/>
    <w:rsid w:val="00A53C19"/>
    <w:rsid w:val="00A56C9D"/>
    <w:rsid w:val="00A572A4"/>
    <w:rsid w:val="00A57EB1"/>
    <w:rsid w:val="00A6024F"/>
    <w:rsid w:val="00A602A4"/>
    <w:rsid w:val="00A610FF"/>
    <w:rsid w:val="00A6325F"/>
    <w:rsid w:val="00A63273"/>
    <w:rsid w:val="00A66066"/>
    <w:rsid w:val="00A66E30"/>
    <w:rsid w:val="00A67517"/>
    <w:rsid w:val="00A703F7"/>
    <w:rsid w:val="00A73025"/>
    <w:rsid w:val="00A734C8"/>
    <w:rsid w:val="00A7586E"/>
    <w:rsid w:val="00A75F9B"/>
    <w:rsid w:val="00A76E88"/>
    <w:rsid w:val="00A77370"/>
    <w:rsid w:val="00A800F1"/>
    <w:rsid w:val="00A809EB"/>
    <w:rsid w:val="00A80E89"/>
    <w:rsid w:val="00A8165F"/>
    <w:rsid w:val="00A81AE6"/>
    <w:rsid w:val="00A82A94"/>
    <w:rsid w:val="00A837E0"/>
    <w:rsid w:val="00A84402"/>
    <w:rsid w:val="00A84B4C"/>
    <w:rsid w:val="00A84E7D"/>
    <w:rsid w:val="00A854F7"/>
    <w:rsid w:val="00A879FC"/>
    <w:rsid w:val="00A9043B"/>
    <w:rsid w:val="00A90455"/>
    <w:rsid w:val="00A92D09"/>
    <w:rsid w:val="00A92F45"/>
    <w:rsid w:val="00A9325D"/>
    <w:rsid w:val="00A93A33"/>
    <w:rsid w:val="00A93E93"/>
    <w:rsid w:val="00A9669B"/>
    <w:rsid w:val="00A976F2"/>
    <w:rsid w:val="00A97707"/>
    <w:rsid w:val="00AA1395"/>
    <w:rsid w:val="00AA16EB"/>
    <w:rsid w:val="00AA1DCB"/>
    <w:rsid w:val="00AA21E7"/>
    <w:rsid w:val="00AA2244"/>
    <w:rsid w:val="00AA24E5"/>
    <w:rsid w:val="00AA3075"/>
    <w:rsid w:val="00AA3639"/>
    <w:rsid w:val="00AA39A4"/>
    <w:rsid w:val="00AB1D62"/>
    <w:rsid w:val="00AB2971"/>
    <w:rsid w:val="00AB2AAB"/>
    <w:rsid w:val="00AB2F5B"/>
    <w:rsid w:val="00AB6499"/>
    <w:rsid w:val="00AB76E6"/>
    <w:rsid w:val="00AC13A0"/>
    <w:rsid w:val="00AC4482"/>
    <w:rsid w:val="00AC557D"/>
    <w:rsid w:val="00AC59B6"/>
    <w:rsid w:val="00AC6A95"/>
    <w:rsid w:val="00AD087B"/>
    <w:rsid w:val="00AD133A"/>
    <w:rsid w:val="00AD136B"/>
    <w:rsid w:val="00AD3A7C"/>
    <w:rsid w:val="00AD4ECD"/>
    <w:rsid w:val="00AD76BF"/>
    <w:rsid w:val="00AD7A83"/>
    <w:rsid w:val="00AE12A4"/>
    <w:rsid w:val="00AE15AD"/>
    <w:rsid w:val="00AE1FE3"/>
    <w:rsid w:val="00AE3BB5"/>
    <w:rsid w:val="00AE5875"/>
    <w:rsid w:val="00AE62D0"/>
    <w:rsid w:val="00AE6336"/>
    <w:rsid w:val="00AE64A3"/>
    <w:rsid w:val="00AE7F1F"/>
    <w:rsid w:val="00AF2DE0"/>
    <w:rsid w:val="00AF3443"/>
    <w:rsid w:val="00AF465B"/>
    <w:rsid w:val="00AF5F07"/>
    <w:rsid w:val="00AF72A2"/>
    <w:rsid w:val="00AF7EBC"/>
    <w:rsid w:val="00B00A90"/>
    <w:rsid w:val="00B00E92"/>
    <w:rsid w:val="00B00F3C"/>
    <w:rsid w:val="00B01B03"/>
    <w:rsid w:val="00B01D50"/>
    <w:rsid w:val="00B02A53"/>
    <w:rsid w:val="00B02EF4"/>
    <w:rsid w:val="00B04159"/>
    <w:rsid w:val="00B0786A"/>
    <w:rsid w:val="00B14400"/>
    <w:rsid w:val="00B15097"/>
    <w:rsid w:val="00B15512"/>
    <w:rsid w:val="00B15E4E"/>
    <w:rsid w:val="00B16359"/>
    <w:rsid w:val="00B1685E"/>
    <w:rsid w:val="00B20115"/>
    <w:rsid w:val="00B215DB"/>
    <w:rsid w:val="00B220F1"/>
    <w:rsid w:val="00B223C1"/>
    <w:rsid w:val="00B22483"/>
    <w:rsid w:val="00B232FD"/>
    <w:rsid w:val="00B23D74"/>
    <w:rsid w:val="00B23FF9"/>
    <w:rsid w:val="00B2409E"/>
    <w:rsid w:val="00B2625B"/>
    <w:rsid w:val="00B27D29"/>
    <w:rsid w:val="00B27FC2"/>
    <w:rsid w:val="00B32049"/>
    <w:rsid w:val="00B33589"/>
    <w:rsid w:val="00B35492"/>
    <w:rsid w:val="00B373B8"/>
    <w:rsid w:val="00B37CB1"/>
    <w:rsid w:val="00B37D09"/>
    <w:rsid w:val="00B42914"/>
    <w:rsid w:val="00B42CA4"/>
    <w:rsid w:val="00B43208"/>
    <w:rsid w:val="00B438F2"/>
    <w:rsid w:val="00B4462C"/>
    <w:rsid w:val="00B456E5"/>
    <w:rsid w:val="00B45E29"/>
    <w:rsid w:val="00B464E1"/>
    <w:rsid w:val="00B46E0D"/>
    <w:rsid w:val="00B500BB"/>
    <w:rsid w:val="00B53453"/>
    <w:rsid w:val="00B535DB"/>
    <w:rsid w:val="00B54415"/>
    <w:rsid w:val="00B56117"/>
    <w:rsid w:val="00B5632B"/>
    <w:rsid w:val="00B567A1"/>
    <w:rsid w:val="00B57D91"/>
    <w:rsid w:val="00B60D28"/>
    <w:rsid w:val="00B61470"/>
    <w:rsid w:val="00B62771"/>
    <w:rsid w:val="00B62E58"/>
    <w:rsid w:val="00B66301"/>
    <w:rsid w:val="00B67397"/>
    <w:rsid w:val="00B700AD"/>
    <w:rsid w:val="00B7107C"/>
    <w:rsid w:val="00B722B0"/>
    <w:rsid w:val="00B7366D"/>
    <w:rsid w:val="00B73B7D"/>
    <w:rsid w:val="00B746E3"/>
    <w:rsid w:val="00B7728A"/>
    <w:rsid w:val="00B8141F"/>
    <w:rsid w:val="00B823C4"/>
    <w:rsid w:val="00B82B4B"/>
    <w:rsid w:val="00B83586"/>
    <w:rsid w:val="00B83F61"/>
    <w:rsid w:val="00B84DCF"/>
    <w:rsid w:val="00B850A8"/>
    <w:rsid w:val="00B879AB"/>
    <w:rsid w:val="00B87BDD"/>
    <w:rsid w:val="00B87FB1"/>
    <w:rsid w:val="00B90B24"/>
    <w:rsid w:val="00B92E88"/>
    <w:rsid w:val="00B94C55"/>
    <w:rsid w:val="00B94F6D"/>
    <w:rsid w:val="00B953F3"/>
    <w:rsid w:val="00B96625"/>
    <w:rsid w:val="00B968D0"/>
    <w:rsid w:val="00BA1115"/>
    <w:rsid w:val="00BA149D"/>
    <w:rsid w:val="00BA2E3F"/>
    <w:rsid w:val="00BA310B"/>
    <w:rsid w:val="00BA38D4"/>
    <w:rsid w:val="00BA550C"/>
    <w:rsid w:val="00BA576A"/>
    <w:rsid w:val="00BA73EC"/>
    <w:rsid w:val="00BA773C"/>
    <w:rsid w:val="00BB17B6"/>
    <w:rsid w:val="00BB1D7F"/>
    <w:rsid w:val="00BB27A0"/>
    <w:rsid w:val="00BB2C13"/>
    <w:rsid w:val="00BB42E8"/>
    <w:rsid w:val="00BB5821"/>
    <w:rsid w:val="00BB604D"/>
    <w:rsid w:val="00BC1B60"/>
    <w:rsid w:val="00BC31DF"/>
    <w:rsid w:val="00BC37FE"/>
    <w:rsid w:val="00BC3D4F"/>
    <w:rsid w:val="00BC6FD0"/>
    <w:rsid w:val="00BC7276"/>
    <w:rsid w:val="00BD0D00"/>
    <w:rsid w:val="00BD1EEC"/>
    <w:rsid w:val="00BD30C6"/>
    <w:rsid w:val="00BD3A17"/>
    <w:rsid w:val="00BD5E49"/>
    <w:rsid w:val="00BE1E25"/>
    <w:rsid w:val="00BE24F8"/>
    <w:rsid w:val="00BE362C"/>
    <w:rsid w:val="00BE3E23"/>
    <w:rsid w:val="00BE4880"/>
    <w:rsid w:val="00BE70B7"/>
    <w:rsid w:val="00BF14AB"/>
    <w:rsid w:val="00BF26D5"/>
    <w:rsid w:val="00BF2A5F"/>
    <w:rsid w:val="00BF2B64"/>
    <w:rsid w:val="00BF3A8A"/>
    <w:rsid w:val="00BF3E97"/>
    <w:rsid w:val="00BF3EA1"/>
    <w:rsid w:val="00BF3F5C"/>
    <w:rsid w:val="00BF480C"/>
    <w:rsid w:val="00BF546E"/>
    <w:rsid w:val="00C00081"/>
    <w:rsid w:val="00C01BBF"/>
    <w:rsid w:val="00C0479D"/>
    <w:rsid w:val="00C10076"/>
    <w:rsid w:val="00C10631"/>
    <w:rsid w:val="00C10AB6"/>
    <w:rsid w:val="00C1149D"/>
    <w:rsid w:val="00C11D12"/>
    <w:rsid w:val="00C12D1D"/>
    <w:rsid w:val="00C12DFE"/>
    <w:rsid w:val="00C15EF3"/>
    <w:rsid w:val="00C16033"/>
    <w:rsid w:val="00C21C67"/>
    <w:rsid w:val="00C2271D"/>
    <w:rsid w:val="00C24246"/>
    <w:rsid w:val="00C24F2E"/>
    <w:rsid w:val="00C25048"/>
    <w:rsid w:val="00C27A93"/>
    <w:rsid w:val="00C30434"/>
    <w:rsid w:val="00C30883"/>
    <w:rsid w:val="00C30EF7"/>
    <w:rsid w:val="00C3192D"/>
    <w:rsid w:val="00C31BCA"/>
    <w:rsid w:val="00C3291B"/>
    <w:rsid w:val="00C32DCA"/>
    <w:rsid w:val="00C34740"/>
    <w:rsid w:val="00C35D10"/>
    <w:rsid w:val="00C36049"/>
    <w:rsid w:val="00C3725F"/>
    <w:rsid w:val="00C37B13"/>
    <w:rsid w:val="00C37E41"/>
    <w:rsid w:val="00C41965"/>
    <w:rsid w:val="00C429CA"/>
    <w:rsid w:val="00C4355B"/>
    <w:rsid w:val="00C44C46"/>
    <w:rsid w:val="00C45425"/>
    <w:rsid w:val="00C45841"/>
    <w:rsid w:val="00C461D1"/>
    <w:rsid w:val="00C4640F"/>
    <w:rsid w:val="00C46F80"/>
    <w:rsid w:val="00C47468"/>
    <w:rsid w:val="00C53FCF"/>
    <w:rsid w:val="00C55EE8"/>
    <w:rsid w:val="00C5785F"/>
    <w:rsid w:val="00C606C4"/>
    <w:rsid w:val="00C60D8A"/>
    <w:rsid w:val="00C614E1"/>
    <w:rsid w:val="00C6163B"/>
    <w:rsid w:val="00C64056"/>
    <w:rsid w:val="00C642F8"/>
    <w:rsid w:val="00C64FED"/>
    <w:rsid w:val="00C652C6"/>
    <w:rsid w:val="00C656AC"/>
    <w:rsid w:val="00C65D2A"/>
    <w:rsid w:val="00C65EE9"/>
    <w:rsid w:val="00C66448"/>
    <w:rsid w:val="00C666C6"/>
    <w:rsid w:val="00C66C59"/>
    <w:rsid w:val="00C71D70"/>
    <w:rsid w:val="00C71E6F"/>
    <w:rsid w:val="00C723CC"/>
    <w:rsid w:val="00C74B37"/>
    <w:rsid w:val="00C7531E"/>
    <w:rsid w:val="00C753D4"/>
    <w:rsid w:val="00C7667F"/>
    <w:rsid w:val="00C76BA2"/>
    <w:rsid w:val="00C778F3"/>
    <w:rsid w:val="00C81040"/>
    <w:rsid w:val="00C812C5"/>
    <w:rsid w:val="00C81EA1"/>
    <w:rsid w:val="00C8289C"/>
    <w:rsid w:val="00C83382"/>
    <w:rsid w:val="00C859CF"/>
    <w:rsid w:val="00C85E10"/>
    <w:rsid w:val="00C86CBA"/>
    <w:rsid w:val="00C878F3"/>
    <w:rsid w:val="00C87A86"/>
    <w:rsid w:val="00C905F8"/>
    <w:rsid w:val="00C91EEB"/>
    <w:rsid w:val="00C920AF"/>
    <w:rsid w:val="00C9447A"/>
    <w:rsid w:val="00C96070"/>
    <w:rsid w:val="00C96AF8"/>
    <w:rsid w:val="00C9768D"/>
    <w:rsid w:val="00CA1BFD"/>
    <w:rsid w:val="00CA3E10"/>
    <w:rsid w:val="00CA48A3"/>
    <w:rsid w:val="00CA54C5"/>
    <w:rsid w:val="00CA7ED2"/>
    <w:rsid w:val="00CB1CDE"/>
    <w:rsid w:val="00CB31E1"/>
    <w:rsid w:val="00CB418D"/>
    <w:rsid w:val="00CB4B22"/>
    <w:rsid w:val="00CB5A21"/>
    <w:rsid w:val="00CB5F0C"/>
    <w:rsid w:val="00CB683D"/>
    <w:rsid w:val="00CB6CFC"/>
    <w:rsid w:val="00CB7ACB"/>
    <w:rsid w:val="00CC0BA3"/>
    <w:rsid w:val="00CC1510"/>
    <w:rsid w:val="00CC25EC"/>
    <w:rsid w:val="00CC2928"/>
    <w:rsid w:val="00CC2C2F"/>
    <w:rsid w:val="00CC39D8"/>
    <w:rsid w:val="00CC573F"/>
    <w:rsid w:val="00CC5861"/>
    <w:rsid w:val="00CC60E2"/>
    <w:rsid w:val="00CC6A36"/>
    <w:rsid w:val="00CC7D85"/>
    <w:rsid w:val="00CD5438"/>
    <w:rsid w:val="00CE0167"/>
    <w:rsid w:val="00CE116E"/>
    <w:rsid w:val="00CE15F1"/>
    <w:rsid w:val="00CE310E"/>
    <w:rsid w:val="00CE74C9"/>
    <w:rsid w:val="00CF0628"/>
    <w:rsid w:val="00CF2AB1"/>
    <w:rsid w:val="00CF4264"/>
    <w:rsid w:val="00CF485A"/>
    <w:rsid w:val="00CF4A78"/>
    <w:rsid w:val="00CF5640"/>
    <w:rsid w:val="00CF7B91"/>
    <w:rsid w:val="00D029C2"/>
    <w:rsid w:val="00D0354D"/>
    <w:rsid w:val="00D03591"/>
    <w:rsid w:val="00D047BC"/>
    <w:rsid w:val="00D04DD4"/>
    <w:rsid w:val="00D04E1F"/>
    <w:rsid w:val="00D06967"/>
    <w:rsid w:val="00D06CF6"/>
    <w:rsid w:val="00D07F6D"/>
    <w:rsid w:val="00D10F1D"/>
    <w:rsid w:val="00D115C7"/>
    <w:rsid w:val="00D123CF"/>
    <w:rsid w:val="00D12834"/>
    <w:rsid w:val="00D12E8B"/>
    <w:rsid w:val="00D16043"/>
    <w:rsid w:val="00D200A3"/>
    <w:rsid w:val="00D2185F"/>
    <w:rsid w:val="00D21AE2"/>
    <w:rsid w:val="00D2281C"/>
    <w:rsid w:val="00D22FEB"/>
    <w:rsid w:val="00D234B3"/>
    <w:rsid w:val="00D24EA6"/>
    <w:rsid w:val="00D2675B"/>
    <w:rsid w:val="00D310ED"/>
    <w:rsid w:val="00D31F1D"/>
    <w:rsid w:val="00D332A0"/>
    <w:rsid w:val="00D33BFE"/>
    <w:rsid w:val="00D33D22"/>
    <w:rsid w:val="00D34494"/>
    <w:rsid w:val="00D3566D"/>
    <w:rsid w:val="00D35F71"/>
    <w:rsid w:val="00D361E3"/>
    <w:rsid w:val="00D3648E"/>
    <w:rsid w:val="00D414F0"/>
    <w:rsid w:val="00D44BF2"/>
    <w:rsid w:val="00D46247"/>
    <w:rsid w:val="00D467EA"/>
    <w:rsid w:val="00D46C56"/>
    <w:rsid w:val="00D46F56"/>
    <w:rsid w:val="00D51267"/>
    <w:rsid w:val="00D51AC8"/>
    <w:rsid w:val="00D5202D"/>
    <w:rsid w:val="00D52620"/>
    <w:rsid w:val="00D530F3"/>
    <w:rsid w:val="00D53A40"/>
    <w:rsid w:val="00D53DE4"/>
    <w:rsid w:val="00D54539"/>
    <w:rsid w:val="00D546B5"/>
    <w:rsid w:val="00D56824"/>
    <w:rsid w:val="00D57CE1"/>
    <w:rsid w:val="00D6040A"/>
    <w:rsid w:val="00D60940"/>
    <w:rsid w:val="00D60B2C"/>
    <w:rsid w:val="00D6372A"/>
    <w:rsid w:val="00D63C36"/>
    <w:rsid w:val="00D63E9C"/>
    <w:rsid w:val="00D64DB6"/>
    <w:rsid w:val="00D667F2"/>
    <w:rsid w:val="00D711FA"/>
    <w:rsid w:val="00D72839"/>
    <w:rsid w:val="00D72A98"/>
    <w:rsid w:val="00D74CA8"/>
    <w:rsid w:val="00D74E94"/>
    <w:rsid w:val="00D751CB"/>
    <w:rsid w:val="00D76352"/>
    <w:rsid w:val="00D76B04"/>
    <w:rsid w:val="00D7715C"/>
    <w:rsid w:val="00D805C9"/>
    <w:rsid w:val="00D81828"/>
    <w:rsid w:val="00D81A5C"/>
    <w:rsid w:val="00D82096"/>
    <w:rsid w:val="00D82C5A"/>
    <w:rsid w:val="00D846F5"/>
    <w:rsid w:val="00D855FB"/>
    <w:rsid w:val="00D860CC"/>
    <w:rsid w:val="00D902FB"/>
    <w:rsid w:val="00D90B1F"/>
    <w:rsid w:val="00D92B69"/>
    <w:rsid w:val="00D92ED6"/>
    <w:rsid w:val="00D93411"/>
    <w:rsid w:val="00D94BB5"/>
    <w:rsid w:val="00D95E27"/>
    <w:rsid w:val="00D96057"/>
    <w:rsid w:val="00D97E7C"/>
    <w:rsid w:val="00D97F9B"/>
    <w:rsid w:val="00DA0F31"/>
    <w:rsid w:val="00DA11A2"/>
    <w:rsid w:val="00DA1669"/>
    <w:rsid w:val="00DA298F"/>
    <w:rsid w:val="00DA2C54"/>
    <w:rsid w:val="00DA2F5E"/>
    <w:rsid w:val="00DA3289"/>
    <w:rsid w:val="00DA5CD3"/>
    <w:rsid w:val="00DA6E49"/>
    <w:rsid w:val="00DA75DC"/>
    <w:rsid w:val="00DA7C24"/>
    <w:rsid w:val="00DB015E"/>
    <w:rsid w:val="00DB02CE"/>
    <w:rsid w:val="00DB1538"/>
    <w:rsid w:val="00DB21B4"/>
    <w:rsid w:val="00DB3EA9"/>
    <w:rsid w:val="00DB43FF"/>
    <w:rsid w:val="00DB46FE"/>
    <w:rsid w:val="00DB4C15"/>
    <w:rsid w:val="00DB637B"/>
    <w:rsid w:val="00DB7D81"/>
    <w:rsid w:val="00DC08DB"/>
    <w:rsid w:val="00DC0DE4"/>
    <w:rsid w:val="00DC35F3"/>
    <w:rsid w:val="00DC4EF8"/>
    <w:rsid w:val="00DC6858"/>
    <w:rsid w:val="00DC702D"/>
    <w:rsid w:val="00DD1CE5"/>
    <w:rsid w:val="00DD2790"/>
    <w:rsid w:val="00DD3071"/>
    <w:rsid w:val="00DD311F"/>
    <w:rsid w:val="00DD3CDE"/>
    <w:rsid w:val="00DD4D50"/>
    <w:rsid w:val="00DD65F8"/>
    <w:rsid w:val="00DD6934"/>
    <w:rsid w:val="00DE000B"/>
    <w:rsid w:val="00DE0B09"/>
    <w:rsid w:val="00DE2066"/>
    <w:rsid w:val="00DE473F"/>
    <w:rsid w:val="00DE4853"/>
    <w:rsid w:val="00DE6D31"/>
    <w:rsid w:val="00DE6E53"/>
    <w:rsid w:val="00DF0294"/>
    <w:rsid w:val="00DF1953"/>
    <w:rsid w:val="00DF349E"/>
    <w:rsid w:val="00DF3F9E"/>
    <w:rsid w:val="00DF4BCC"/>
    <w:rsid w:val="00DF5EB8"/>
    <w:rsid w:val="00DF6954"/>
    <w:rsid w:val="00DF6A20"/>
    <w:rsid w:val="00DF733A"/>
    <w:rsid w:val="00DF7D55"/>
    <w:rsid w:val="00E00BEC"/>
    <w:rsid w:val="00E00FF7"/>
    <w:rsid w:val="00E020ED"/>
    <w:rsid w:val="00E02C65"/>
    <w:rsid w:val="00E03D8D"/>
    <w:rsid w:val="00E05907"/>
    <w:rsid w:val="00E05CA1"/>
    <w:rsid w:val="00E07B71"/>
    <w:rsid w:val="00E1304D"/>
    <w:rsid w:val="00E137BA"/>
    <w:rsid w:val="00E15F3B"/>
    <w:rsid w:val="00E215D3"/>
    <w:rsid w:val="00E232AC"/>
    <w:rsid w:val="00E2427B"/>
    <w:rsid w:val="00E24438"/>
    <w:rsid w:val="00E253D2"/>
    <w:rsid w:val="00E25603"/>
    <w:rsid w:val="00E264D0"/>
    <w:rsid w:val="00E26774"/>
    <w:rsid w:val="00E26D69"/>
    <w:rsid w:val="00E30594"/>
    <w:rsid w:val="00E30D07"/>
    <w:rsid w:val="00E3136D"/>
    <w:rsid w:val="00E31D41"/>
    <w:rsid w:val="00E326FB"/>
    <w:rsid w:val="00E341CC"/>
    <w:rsid w:val="00E3707B"/>
    <w:rsid w:val="00E414DF"/>
    <w:rsid w:val="00E4381A"/>
    <w:rsid w:val="00E4430C"/>
    <w:rsid w:val="00E4689D"/>
    <w:rsid w:val="00E50097"/>
    <w:rsid w:val="00E6020A"/>
    <w:rsid w:val="00E61C28"/>
    <w:rsid w:val="00E62AD4"/>
    <w:rsid w:val="00E62B6D"/>
    <w:rsid w:val="00E63EA7"/>
    <w:rsid w:val="00E63FE1"/>
    <w:rsid w:val="00E6430B"/>
    <w:rsid w:val="00E65546"/>
    <w:rsid w:val="00E667CB"/>
    <w:rsid w:val="00E70525"/>
    <w:rsid w:val="00E70C5D"/>
    <w:rsid w:val="00E71376"/>
    <w:rsid w:val="00E72664"/>
    <w:rsid w:val="00E737FF"/>
    <w:rsid w:val="00E743CE"/>
    <w:rsid w:val="00E74C14"/>
    <w:rsid w:val="00E76D20"/>
    <w:rsid w:val="00E77276"/>
    <w:rsid w:val="00E7728A"/>
    <w:rsid w:val="00E77CB5"/>
    <w:rsid w:val="00E80672"/>
    <w:rsid w:val="00E80EA4"/>
    <w:rsid w:val="00E83673"/>
    <w:rsid w:val="00E8433C"/>
    <w:rsid w:val="00E854E1"/>
    <w:rsid w:val="00E858C5"/>
    <w:rsid w:val="00E86126"/>
    <w:rsid w:val="00E8638C"/>
    <w:rsid w:val="00E91B60"/>
    <w:rsid w:val="00E91E62"/>
    <w:rsid w:val="00E92145"/>
    <w:rsid w:val="00E939C4"/>
    <w:rsid w:val="00E953C1"/>
    <w:rsid w:val="00E956DA"/>
    <w:rsid w:val="00EA1829"/>
    <w:rsid w:val="00EA29B8"/>
    <w:rsid w:val="00EA306C"/>
    <w:rsid w:val="00EA36B8"/>
    <w:rsid w:val="00EA3AB1"/>
    <w:rsid w:val="00EA4936"/>
    <w:rsid w:val="00EA768E"/>
    <w:rsid w:val="00EB0CF6"/>
    <w:rsid w:val="00EB11DE"/>
    <w:rsid w:val="00EB3BC0"/>
    <w:rsid w:val="00EB440B"/>
    <w:rsid w:val="00EB5552"/>
    <w:rsid w:val="00EB5635"/>
    <w:rsid w:val="00EB58AA"/>
    <w:rsid w:val="00EB6065"/>
    <w:rsid w:val="00EB76ED"/>
    <w:rsid w:val="00EB7B7B"/>
    <w:rsid w:val="00EC0668"/>
    <w:rsid w:val="00EC0A43"/>
    <w:rsid w:val="00EC0E3C"/>
    <w:rsid w:val="00EC309C"/>
    <w:rsid w:val="00EC37CF"/>
    <w:rsid w:val="00EC4BA4"/>
    <w:rsid w:val="00EC54FD"/>
    <w:rsid w:val="00EC56BF"/>
    <w:rsid w:val="00EC5AA1"/>
    <w:rsid w:val="00EC73DB"/>
    <w:rsid w:val="00EC7FD6"/>
    <w:rsid w:val="00ED0C60"/>
    <w:rsid w:val="00ED294B"/>
    <w:rsid w:val="00ED2D01"/>
    <w:rsid w:val="00ED3244"/>
    <w:rsid w:val="00ED3582"/>
    <w:rsid w:val="00ED457A"/>
    <w:rsid w:val="00ED5792"/>
    <w:rsid w:val="00EE00B6"/>
    <w:rsid w:val="00EE3513"/>
    <w:rsid w:val="00EE3697"/>
    <w:rsid w:val="00EE3C5D"/>
    <w:rsid w:val="00EE5D07"/>
    <w:rsid w:val="00EE6698"/>
    <w:rsid w:val="00EF1773"/>
    <w:rsid w:val="00EF1E5B"/>
    <w:rsid w:val="00EF2CA4"/>
    <w:rsid w:val="00EF35F6"/>
    <w:rsid w:val="00EF36A7"/>
    <w:rsid w:val="00EF4A15"/>
    <w:rsid w:val="00EF4DE8"/>
    <w:rsid w:val="00EF5960"/>
    <w:rsid w:val="00F003CE"/>
    <w:rsid w:val="00F0122F"/>
    <w:rsid w:val="00F017BB"/>
    <w:rsid w:val="00F0279C"/>
    <w:rsid w:val="00F034A4"/>
    <w:rsid w:val="00F04D28"/>
    <w:rsid w:val="00F04E2A"/>
    <w:rsid w:val="00F0516C"/>
    <w:rsid w:val="00F05894"/>
    <w:rsid w:val="00F06871"/>
    <w:rsid w:val="00F1022B"/>
    <w:rsid w:val="00F11176"/>
    <w:rsid w:val="00F12194"/>
    <w:rsid w:val="00F12AD4"/>
    <w:rsid w:val="00F168D1"/>
    <w:rsid w:val="00F1790F"/>
    <w:rsid w:val="00F17CE0"/>
    <w:rsid w:val="00F20638"/>
    <w:rsid w:val="00F21F82"/>
    <w:rsid w:val="00F23B66"/>
    <w:rsid w:val="00F24A04"/>
    <w:rsid w:val="00F25BFB"/>
    <w:rsid w:val="00F30175"/>
    <w:rsid w:val="00F30385"/>
    <w:rsid w:val="00F33BF3"/>
    <w:rsid w:val="00F35C3F"/>
    <w:rsid w:val="00F36247"/>
    <w:rsid w:val="00F36DAA"/>
    <w:rsid w:val="00F371B1"/>
    <w:rsid w:val="00F3760B"/>
    <w:rsid w:val="00F37A77"/>
    <w:rsid w:val="00F41631"/>
    <w:rsid w:val="00F41718"/>
    <w:rsid w:val="00F41BA4"/>
    <w:rsid w:val="00F41C85"/>
    <w:rsid w:val="00F426D4"/>
    <w:rsid w:val="00F44DCA"/>
    <w:rsid w:val="00F4543C"/>
    <w:rsid w:val="00F47AEC"/>
    <w:rsid w:val="00F507FE"/>
    <w:rsid w:val="00F511BC"/>
    <w:rsid w:val="00F51D41"/>
    <w:rsid w:val="00F53876"/>
    <w:rsid w:val="00F53908"/>
    <w:rsid w:val="00F54512"/>
    <w:rsid w:val="00F5491C"/>
    <w:rsid w:val="00F559F2"/>
    <w:rsid w:val="00F568FB"/>
    <w:rsid w:val="00F5758C"/>
    <w:rsid w:val="00F57858"/>
    <w:rsid w:val="00F60C5D"/>
    <w:rsid w:val="00F61583"/>
    <w:rsid w:val="00F6159F"/>
    <w:rsid w:val="00F62B9D"/>
    <w:rsid w:val="00F6325F"/>
    <w:rsid w:val="00F6540A"/>
    <w:rsid w:val="00F655A1"/>
    <w:rsid w:val="00F655C8"/>
    <w:rsid w:val="00F702AA"/>
    <w:rsid w:val="00F70314"/>
    <w:rsid w:val="00F7420D"/>
    <w:rsid w:val="00F770CE"/>
    <w:rsid w:val="00F815BD"/>
    <w:rsid w:val="00F837AA"/>
    <w:rsid w:val="00F86EA6"/>
    <w:rsid w:val="00F87BE3"/>
    <w:rsid w:val="00F910BE"/>
    <w:rsid w:val="00F95B37"/>
    <w:rsid w:val="00F9645D"/>
    <w:rsid w:val="00F970F2"/>
    <w:rsid w:val="00FA02DC"/>
    <w:rsid w:val="00FA3143"/>
    <w:rsid w:val="00FA4356"/>
    <w:rsid w:val="00FB01CE"/>
    <w:rsid w:val="00FB09A9"/>
    <w:rsid w:val="00FB0C0B"/>
    <w:rsid w:val="00FB0DEE"/>
    <w:rsid w:val="00FB2931"/>
    <w:rsid w:val="00FB29CF"/>
    <w:rsid w:val="00FB2C00"/>
    <w:rsid w:val="00FB2E15"/>
    <w:rsid w:val="00FB4AB0"/>
    <w:rsid w:val="00FB4B58"/>
    <w:rsid w:val="00FB6D7A"/>
    <w:rsid w:val="00FC0156"/>
    <w:rsid w:val="00FC1CCB"/>
    <w:rsid w:val="00FC247E"/>
    <w:rsid w:val="00FC5137"/>
    <w:rsid w:val="00FC5F1E"/>
    <w:rsid w:val="00FC6945"/>
    <w:rsid w:val="00FD0D34"/>
    <w:rsid w:val="00FD22A7"/>
    <w:rsid w:val="00FD2CE5"/>
    <w:rsid w:val="00FD4F9A"/>
    <w:rsid w:val="00FD5FD7"/>
    <w:rsid w:val="00FD7748"/>
    <w:rsid w:val="00FE00AD"/>
    <w:rsid w:val="00FE21B8"/>
    <w:rsid w:val="00FE3616"/>
    <w:rsid w:val="00FE41CB"/>
    <w:rsid w:val="00FE60AA"/>
    <w:rsid w:val="00FE61E2"/>
    <w:rsid w:val="00FE627F"/>
    <w:rsid w:val="00FE66E3"/>
    <w:rsid w:val="00FE71CA"/>
    <w:rsid w:val="00FE7D28"/>
    <w:rsid w:val="00FE7EDD"/>
    <w:rsid w:val="00FF09EF"/>
    <w:rsid w:val="00FF4B3B"/>
    <w:rsid w:val="00FF4C55"/>
    <w:rsid w:val="00FF5645"/>
    <w:rsid w:val="00FF574A"/>
    <w:rsid w:val="00FF6B2E"/>
    <w:rsid w:val="00FF7751"/>
    <w:rsid w:val="00FF7A5C"/>
    <w:rsid w:val="00FF7DFD"/>
    <w:rsid w:val="0139D2E9"/>
    <w:rsid w:val="0285CEEA"/>
    <w:rsid w:val="02F9DB25"/>
    <w:rsid w:val="02FCE525"/>
    <w:rsid w:val="0354550F"/>
    <w:rsid w:val="03ECC518"/>
    <w:rsid w:val="03F9AECE"/>
    <w:rsid w:val="052E5A1F"/>
    <w:rsid w:val="0566A597"/>
    <w:rsid w:val="0712450E"/>
    <w:rsid w:val="075C9C26"/>
    <w:rsid w:val="09468AD6"/>
    <w:rsid w:val="0973DBE9"/>
    <w:rsid w:val="09C14683"/>
    <w:rsid w:val="09FE8F74"/>
    <w:rsid w:val="0B94643D"/>
    <w:rsid w:val="0C907052"/>
    <w:rsid w:val="0D4B4250"/>
    <w:rsid w:val="0D4CDC12"/>
    <w:rsid w:val="0F6403B4"/>
    <w:rsid w:val="0FD9515B"/>
    <w:rsid w:val="0FDFA52F"/>
    <w:rsid w:val="1007B518"/>
    <w:rsid w:val="103FDF39"/>
    <w:rsid w:val="129FEEF3"/>
    <w:rsid w:val="12CD77F3"/>
    <w:rsid w:val="12DBC203"/>
    <w:rsid w:val="13A1657C"/>
    <w:rsid w:val="14DE11B0"/>
    <w:rsid w:val="1539A63F"/>
    <w:rsid w:val="1683D9F5"/>
    <w:rsid w:val="18148CE9"/>
    <w:rsid w:val="1864DD9D"/>
    <w:rsid w:val="1953EA01"/>
    <w:rsid w:val="19A0E500"/>
    <w:rsid w:val="1A612CA6"/>
    <w:rsid w:val="1B305753"/>
    <w:rsid w:val="1B6927AF"/>
    <w:rsid w:val="1BB09944"/>
    <w:rsid w:val="1C19CF7B"/>
    <w:rsid w:val="1C4F1073"/>
    <w:rsid w:val="1C616E4A"/>
    <w:rsid w:val="1C636884"/>
    <w:rsid w:val="1C7EDDBF"/>
    <w:rsid w:val="1D7D94A1"/>
    <w:rsid w:val="1DAB8CE4"/>
    <w:rsid w:val="1E7650B1"/>
    <w:rsid w:val="1F32AAC5"/>
    <w:rsid w:val="2052C314"/>
    <w:rsid w:val="209B7A0B"/>
    <w:rsid w:val="20DAED14"/>
    <w:rsid w:val="210C9396"/>
    <w:rsid w:val="21823C0E"/>
    <w:rsid w:val="22BB823E"/>
    <w:rsid w:val="23F635AC"/>
    <w:rsid w:val="246F57B3"/>
    <w:rsid w:val="24F07116"/>
    <w:rsid w:val="24FD3CFA"/>
    <w:rsid w:val="274DA249"/>
    <w:rsid w:val="282096D2"/>
    <w:rsid w:val="297AA0B4"/>
    <w:rsid w:val="2A9DEB60"/>
    <w:rsid w:val="2AB7A424"/>
    <w:rsid w:val="2C664F01"/>
    <w:rsid w:val="2D2F980D"/>
    <w:rsid w:val="2F5043E4"/>
    <w:rsid w:val="2F9CD0B1"/>
    <w:rsid w:val="30A4ADE1"/>
    <w:rsid w:val="30D48B65"/>
    <w:rsid w:val="32452C14"/>
    <w:rsid w:val="3295BFC9"/>
    <w:rsid w:val="34064A99"/>
    <w:rsid w:val="34AD3313"/>
    <w:rsid w:val="34C3501C"/>
    <w:rsid w:val="3547B6D0"/>
    <w:rsid w:val="35FF25C2"/>
    <w:rsid w:val="37A6A31C"/>
    <w:rsid w:val="3830E168"/>
    <w:rsid w:val="390EBBD8"/>
    <w:rsid w:val="3A121683"/>
    <w:rsid w:val="3ADFB4E5"/>
    <w:rsid w:val="3B031BC0"/>
    <w:rsid w:val="3B767E82"/>
    <w:rsid w:val="3CA77060"/>
    <w:rsid w:val="3D1312A2"/>
    <w:rsid w:val="3E04CBAF"/>
    <w:rsid w:val="3E649742"/>
    <w:rsid w:val="3FA184D5"/>
    <w:rsid w:val="40263B35"/>
    <w:rsid w:val="4068A37E"/>
    <w:rsid w:val="40ECACC8"/>
    <w:rsid w:val="4209CC85"/>
    <w:rsid w:val="422EB280"/>
    <w:rsid w:val="4298F260"/>
    <w:rsid w:val="42C5FB5C"/>
    <w:rsid w:val="43FB0ED4"/>
    <w:rsid w:val="4491AF69"/>
    <w:rsid w:val="4622BB9D"/>
    <w:rsid w:val="46A8E1D5"/>
    <w:rsid w:val="46CC0177"/>
    <w:rsid w:val="475018CB"/>
    <w:rsid w:val="47CA9EC2"/>
    <w:rsid w:val="47CCAC78"/>
    <w:rsid w:val="47E3B7B9"/>
    <w:rsid w:val="484D7F87"/>
    <w:rsid w:val="4931C1C4"/>
    <w:rsid w:val="498927CF"/>
    <w:rsid w:val="4A3B712C"/>
    <w:rsid w:val="4B59F390"/>
    <w:rsid w:val="4BA5BD93"/>
    <w:rsid w:val="4CA54CF6"/>
    <w:rsid w:val="4DAF6299"/>
    <w:rsid w:val="4DC89957"/>
    <w:rsid w:val="4E42C180"/>
    <w:rsid w:val="4E4968E8"/>
    <w:rsid w:val="4E5C9C5E"/>
    <w:rsid w:val="4E7830D1"/>
    <w:rsid w:val="4F347D21"/>
    <w:rsid w:val="4F9EAED2"/>
    <w:rsid w:val="50588597"/>
    <w:rsid w:val="50AA772D"/>
    <w:rsid w:val="50D43D0E"/>
    <w:rsid w:val="5170EB5F"/>
    <w:rsid w:val="534758F5"/>
    <w:rsid w:val="53C2866C"/>
    <w:rsid w:val="54123DD3"/>
    <w:rsid w:val="5661D5F1"/>
    <w:rsid w:val="56C2E009"/>
    <w:rsid w:val="56C5AEF1"/>
    <w:rsid w:val="5720C010"/>
    <w:rsid w:val="57347524"/>
    <w:rsid w:val="583A68F2"/>
    <w:rsid w:val="58EFB76B"/>
    <w:rsid w:val="5B0D3374"/>
    <w:rsid w:val="5B24FA90"/>
    <w:rsid w:val="5BAB83B0"/>
    <w:rsid w:val="5C67CF6A"/>
    <w:rsid w:val="5CD3A72E"/>
    <w:rsid w:val="5D45F79E"/>
    <w:rsid w:val="5E03E9ED"/>
    <w:rsid w:val="5E4DC689"/>
    <w:rsid w:val="5E7C7DF5"/>
    <w:rsid w:val="5ED803E8"/>
    <w:rsid w:val="5F8E0794"/>
    <w:rsid w:val="6184AE16"/>
    <w:rsid w:val="61E35E0E"/>
    <w:rsid w:val="63353E86"/>
    <w:rsid w:val="6394EA19"/>
    <w:rsid w:val="63CC38BD"/>
    <w:rsid w:val="65DECC99"/>
    <w:rsid w:val="65F6BAED"/>
    <w:rsid w:val="66746D6C"/>
    <w:rsid w:val="66D83C2F"/>
    <w:rsid w:val="6815715B"/>
    <w:rsid w:val="68B4E21F"/>
    <w:rsid w:val="68D275B6"/>
    <w:rsid w:val="68D772BE"/>
    <w:rsid w:val="6B27825C"/>
    <w:rsid w:val="6BDE3301"/>
    <w:rsid w:val="6C429DF1"/>
    <w:rsid w:val="6CFBD0CB"/>
    <w:rsid w:val="6D9B65B7"/>
    <w:rsid w:val="6DA343AA"/>
    <w:rsid w:val="6E78FDC5"/>
    <w:rsid w:val="6EB09ACB"/>
    <w:rsid w:val="6EEBBC1C"/>
    <w:rsid w:val="6F9A144F"/>
    <w:rsid w:val="6FB2AE1F"/>
    <w:rsid w:val="708D73CC"/>
    <w:rsid w:val="70901B8F"/>
    <w:rsid w:val="70E1D8C4"/>
    <w:rsid w:val="719F1CA6"/>
    <w:rsid w:val="71B10E10"/>
    <w:rsid w:val="7220DF3F"/>
    <w:rsid w:val="725A15DE"/>
    <w:rsid w:val="72EE4867"/>
    <w:rsid w:val="731CFD47"/>
    <w:rsid w:val="7331BB5D"/>
    <w:rsid w:val="73A2218C"/>
    <w:rsid w:val="7588D991"/>
    <w:rsid w:val="761A8E02"/>
    <w:rsid w:val="762666B1"/>
    <w:rsid w:val="7638DE44"/>
    <w:rsid w:val="763BE060"/>
    <w:rsid w:val="76592960"/>
    <w:rsid w:val="76A3EEEC"/>
    <w:rsid w:val="76F18ACC"/>
    <w:rsid w:val="793FFC18"/>
    <w:rsid w:val="797A8432"/>
    <w:rsid w:val="79E80A1A"/>
    <w:rsid w:val="7A305808"/>
    <w:rsid w:val="7B0AB8A2"/>
    <w:rsid w:val="7B0D329B"/>
    <w:rsid w:val="7B8CDBA9"/>
    <w:rsid w:val="7BAF70A3"/>
    <w:rsid w:val="7BB43AAA"/>
    <w:rsid w:val="7BBFF24A"/>
    <w:rsid w:val="7CC2B2F6"/>
    <w:rsid w:val="7D3D9DEF"/>
    <w:rsid w:val="7E13B24A"/>
    <w:rsid w:val="7E5BFFFD"/>
    <w:rsid w:val="7E9FF8E8"/>
    <w:rsid w:val="7EB2C912"/>
    <w:rsid w:val="7FC62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008C5"/>
  <w15:chartTrackingRefBased/>
  <w15:docId w15:val="{457342DC-F856-4CBE-9BE3-E44BF519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C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C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C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C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C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C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C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C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C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C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CE6"/>
    <w:rPr>
      <w:rFonts w:eastAsiaTheme="majorEastAsia" w:cstheme="majorBidi"/>
      <w:color w:val="272727" w:themeColor="text1" w:themeTint="D8"/>
    </w:rPr>
  </w:style>
  <w:style w:type="paragraph" w:styleId="Title">
    <w:name w:val="Title"/>
    <w:basedOn w:val="Normal"/>
    <w:next w:val="Normal"/>
    <w:link w:val="TitleChar"/>
    <w:uiPriority w:val="10"/>
    <w:qFormat/>
    <w:rsid w:val="00883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C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CE6"/>
    <w:pPr>
      <w:spacing w:before="160"/>
      <w:jc w:val="center"/>
    </w:pPr>
    <w:rPr>
      <w:i/>
      <w:iCs/>
      <w:color w:val="404040" w:themeColor="text1" w:themeTint="BF"/>
    </w:rPr>
  </w:style>
  <w:style w:type="character" w:customStyle="1" w:styleId="QuoteChar">
    <w:name w:val="Quote Char"/>
    <w:basedOn w:val="DefaultParagraphFont"/>
    <w:link w:val="Quote"/>
    <w:uiPriority w:val="29"/>
    <w:rsid w:val="00883CE6"/>
    <w:rPr>
      <w:i/>
      <w:iCs/>
      <w:color w:val="404040" w:themeColor="text1" w:themeTint="BF"/>
    </w:rPr>
  </w:style>
  <w:style w:type="paragraph" w:styleId="ListParagraph">
    <w:name w:val="List Paragraph"/>
    <w:aliases w:val="List Paragraph1,Recommendation,List Paragraph11,L,CV text,Table text,F5 List Paragraph,Dot pt,List Paragraph111,Medium Grid 1 - Accent 21,Numbered Paragraph,List Paragraph2,Bulleted Para,NFP GP Bulleted List,FooterText,numbered,列出段落,列出段落1"/>
    <w:basedOn w:val="Normal"/>
    <w:link w:val="ListParagraphChar"/>
    <w:uiPriority w:val="34"/>
    <w:qFormat/>
    <w:rsid w:val="00883CE6"/>
    <w:pPr>
      <w:ind w:left="720"/>
      <w:contextualSpacing/>
    </w:pPr>
  </w:style>
  <w:style w:type="character" w:styleId="IntenseEmphasis">
    <w:name w:val="Intense Emphasis"/>
    <w:basedOn w:val="DefaultParagraphFont"/>
    <w:uiPriority w:val="21"/>
    <w:qFormat/>
    <w:rsid w:val="00883CE6"/>
    <w:rPr>
      <w:i/>
      <w:iCs/>
      <w:color w:val="0F4761" w:themeColor="accent1" w:themeShade="BF"/>
    </w:rPr>
  </w:style>
  <w:style w:type="paragraph" w:styleId="IntenseQuote">
    <w:name w:val="Intense Quote"/>
    <w:basedOn w:val="Normal"/>
    <w:next w:val="Normal"/>
    <w:link w:val="IntenseQuoteChar"/>
    <w:uiPriority w:val="30"/>
    <w:qFormat/>
    <w:rsid w:val="00883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CE6"/>
    <w:rPr>
      <w:i/>
      <w:iCs/>
      <w:color w:val="0F4761" w:themeColor="accent1" w:themeShade="BF"/>
    </w:rPr>
  </w:style>
  <w:style w:type="character" w:styleId="IntenseReference">
    <w:name w:val="Intense Reference"/>
    <w:basedOn w:val="DefaultParagraphFont"/>
    <w:uiPriority w:val="32"/>
    <w:qFormat/>
    <w:rsid w:val="00883CE6"/>
    <w:rPr>
      <w:b/>
      <w:bCs/>
      <w:smallCaps/>
      <w:color w:val="0F4761" w:themeColor="accent1" w:themeShade="BF"/>
      <w:spacing w:val="5"/>
    </w:rPr>
  </w:style>
  <w:style w:type="paragraph" w:styleId="BodyText">
    <w:name w:val="Body Text"/>
    <w:link w:val="BodyTextChar"/>
    <w:qFormat/>
    <w:rsid w:val="000309FB"/>
    <w:pPr>
      <w:spacing w:after="240" w:line="252" w:lineRule="auto"/>
    </w:pPr>
    <w:rPr>
      <w:rFonts w:ascii="Arial" w:hAnsi="Arial" w:cs="Arial"/>
      <w:kern w:val="0"/>
      <w:sz w:val="22"/>
      <w:szCs w:val="22"/>
      <w:lang w:val="en-GB" w:eastAsia="en-GB"/>
      <w14:ligatures w14:val="none"/>
    </w:rPr>
  </w:style>
  <w:style w:type="character" w:customStyle="1" w:styleId="BodyTextChar">
    <w:name w:val="Body Text Char"/>
    <w:basedOn w:val="DefaultParagraphFont"/>
    <w:link w:val="BodyText"/>
    <w:rsid w:val="000309FB"/>
    <w:rPr>
      <w:rFonts w:ascii="Arial" w:hAnsi="Arial" w:cs="Arial"/>
      <w:kern w:val="0"/>
      <w:sz w:val="22"/>
      <w:szCs w:val="22"/>
      <w:lang w:val="en-GB" w:eastAsia="en-GB"/>
      <w14:ligatures w14:val="none"/>
    </w:rPr>
  </w:style>
  <w:style w:type="paragraph" w:customStyle="1" w:styleId="TableHeaderRow">
    <w:name w:val="Table Header Row"/>
    <w:basedOn w:val="Normal"/>
    <w:qFormat/>
    <w:rsid w:val="00B7728A"/>
    <w:pPr>
      <w:suppressAutoHyphens/>
      <w:spacing w:before="60" w:after="60" w:line="260" w:lineRule="atLeast"/>
    </w:pPr>
    <w:rPr>
      <w:rFonts w:ascii="Calibri" w:hAnsi="Calibri"/>
      <w:b/>
      <w:color w:val="FFFFFF" w:themeColor="background1"/>
      <w:kern w:val="0"/>
      <w:sz w:val="22"/>
      <w:szCs w:val="21"/>
      <w:lang w:val="en-GB"/>
      <w14:ligatures w14:val="none"/>
    </w:rPr>
  </w:style>
  <w:style w:type="table" w:customStyle="1" w:styleId="DFATTable1">
    <w:name w:val="DFAT Table 1"/>
    <w:basedOn w:val="TableNormal"/>
    <w:uiPriority w:val="99"/>
    <w:rsid w:val="00B7728A"/>
    <w:pPr>
      <w:spacing w:before="60" w:after="60" w:line="260" w:lineRule="atLeast"/>
    </w:pPr>
    <w:rPr>
      <w:rFonts w:ascii="Calibri" w:hAnsi="Calibri"/>
      <w:color w:val="0E2841" w:themeColor="text2"/>
      <w:kern w:val="0"/>
      <w:sz w:val="22"/>
      <w:szCs w:val="22"/>
      <w:lang w:val="en-AU"/>
      <w14:ligatures w14:val="none"/>
    </w:rPr>
    <w:tblPr>
      <w:tblStyleRowBandSize w:val="1"/>
      <w:tblStyleColBandSize w:val="1"/>
      <w:tblBorders>
        <w:top w:val="single" w:sz="4" w:space="0" w:color="0E2841" w:themeColor="text2"/>
        <w:bottom w:val="single" w:sz="4" w:space="0" w:color="0E2841" w:themeColor="text2"/>
        <w:insideH w:val="single" w:sz="4" w:space="0" w:color="0E2841" w:themeColor="text2"/>
      </w:tblBorders>
      <w:tblCellMar>
        <w:top w:w="57" w:type="dxa"/>
        <w:bottom w:w="57" w:type="dxa"/>
      </w:tblCellMar>
    </w:tblPr>
    <w:tblStylePr w:type="firstRow">
      <w:rPr>
        <w:b w:val="0"/>
      </w:rPr>
      <w:tblPr/>
      <w:trPr>
        <w:tblHeader/>
      </w:trPr>
      <w:tcPr>
        <w:tcBorders>
          <w:top w:val="single" w:sz="4" w:space="0" w:color="156082" w:themeColor="accent1"/>
          <w:bottom w:val="single" w:sz="4" w:space="0" w:color="156082" w:themeColor="accent1"/>
          <w:insideH w:val="single" w:sz="4" w:space="0" w:color="156082" w:themeColor="accent1"/>
        </w:tcBorders>
        <w:shd w:val="clear" w:color="auto" w:fill="156082" w:themeFill="accent1"/>
      </w:tcPr>
    </w:tblStylePr>
    <w:tblStylePr w:type="lastRow">
      <w:rPr>
        <w:b/>
        <w:color w:val="FFFFFF" w:themeColor="background1"/>
      </w:rPr>
      <w:tblPr/>
      <w:tcPr>
        <w:shd w:val="clear" w:color="auto" w:fill="0E2841" w:themeFill="text2"/>
      </w:tcPr>
    </w:tblStylePr>
    <w:tblStylePr w:type="firstCol">
      <w:tblPr/>
      <w:tcPr>
        <w:shd w:val="clear" w:color="auto" w:fill="E8E8E8" w:themeFill="background2"/>
      </w:tcPr>
    </w:tblStylePr>
    <w:tblStylePr w:type="lastCol">
      <w:tblPr/>
      <w:tcPr>
        <w:shd w:val="clear" w:color="auto" w:fill="E8E8E8" w:themeFill="background2"/>
      </w:tcPr>
    </w:tblStylePr>
    <w:tblStylePr w:type="band1Vert">
      <w:tblPr/>
      <w:tcPr>
        <w:shd w:val="clear" w:color="auto" w:fill="C1E4F5" w:themeFill="accent1" w:themeFillTint="33"/>
      </w:tcPr>
    </w:tblStylePr>
    <w:tblStylePr w:type="band2Vert">
      <w:tblPr/>
      <w:tcPr>
        <w:shd w:val="clear" w:color="auto" w:fill="83CAEB" w:themeFill="accent1" w:themeFillTint="66"/>
      </w:tcPr>
    </w:tblStylePr>
    <w:tblStylePr w:type="band1Horz">
      <w:tblPr/>
      <w:tcPr>
        <w:shd w:val="clear" w:color="auto" w:fill="C1E4F5" w:themeFill="accent1" w:themeFillTint="33"/>
      </w:tcPr>
    </w:tblStylePr>
    <w:tblStylePr w:type="band2Horz">
      <w:tblPr/>
      <w:tcPr>
        <w:shd w:val="clear" w:color="auto" w:fill="83CAEB" w:themeFill="accent1" w:themeFillTint="66"/>
      </w:tcPr>
    </w:tblStylePr>
  </w:style>
  <w:style w:type="table" w:styleId="TableGrid">
    <w:name w:val="Table Grid"/>
    <w:basedOn w:val="TableNormal"/>
    <w:uiPriority w:val="39"/>
    <w:rsid w:val="00EC4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Recommendation Char,List Paragraph11 Char,L Char,CV text Char,Table text Char,F5 List Paragraph Char,Dot pt Char,List Paragraph111 Char,Medium Grid 1 - Accent 21 Char,Numbered Paragraph Char,List Paragraph2 Char"/>
    <w:link w:val="ListParagraph"/>
    <w:uiPriority w:val="34"/>
    <w:qFormat/>
    <w:locked/>
    <w:rsid w:val="00EB5552"/>
  </w:style>
  <w:style w:type="paragraph" w:styleId="NormalWeb">
    <w:name w:val="Normal (Web)"/>
    <w:basedOn w:val="Normal"/>
    <w:uiPriority w:val="99"/>
    <w:semiHidden/>
    <w:unhideWhenUsed/>
    <w:rsid w:val="001F211F"/>
    <w:rPr>
      <w:rFonts w:ascii="Times New Roman" w:hAnsi="Times New Roman" w:cs="Times New Roman"/>
    </w:rPr>
  </w:style>
  <w:style w:type="paragraph" w:styleId="Revision">
    <w:name w:val="Revision"/>
    <w:hidden/>
    <w:uiPriority w:val="99"/>
    <w:semiHidden/>
    <w:rsid w:val="00A2265E"/>
    <w:pPr>
      <w:spacing w:after="0" w:line="240" w:lineRule="auto"/>
    </w:pPr>
  </w:style>
  <w:style w:type="paragraph" w:styleId="Header">
    <w:name w:val="header"/>
    <w:basedOn w:val="Normal"/>
    <w:link w:val="HeaderChar"/>
    <w:uiPriority w:val="99"/>
    <w:unhideWhenUsed/>
    <w:rsid w:val="00835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F6"/>
  </w:style>
  <w:style w:type="paragraph" w:styleId="Footer">
    <w:name w:val="footer"/>
    <w:basedOn w:val="Normal"/>
    <w:link w:val="FooterChar"/>
    <w:uiPriority w:val="99"/>
    <w:unhideWhenUsed/>
    <w:rsid w:val="00835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F6"/>
  </w:style>
  <w:style w:type="character" w:styleId="CommentReference">
    <w:name w:val="annotation reference"/>
    <w:basedOn w:val="DefaultParagraphFont"/>
    <w:uiPriority w:val="99"/>
    <w:semiHidden/>
    <w:unhideWhenUsed/>
    <w:rsid w:val="005939AF"/>
    <w:rPr>
      <w:sz w:val="16"/>
      <w:szCs w:val="16"/>
    </w:rPr>
  </w:style>
  <w:style w:type="paragraph" w:styleId="CommentText">
    <w:name w:val="annotation text"/>
    <w:basedOn w:val="Normal"/>
    <w:link w:val="CommentTextChar"/>
    <w:uiPriority w:val="99"/>
    <w:unhideWhenUsed/>
    <w:rsid w:val="005939AF"/>
    <w:pPr>
      <w:spacing w:line="240" w:lineRule="auto"/>
    </w:pPr>
    <w:rPr>
      <w:sz w:val="20"/>
      <w:szCs w:val="20"/>
    </w:rPr>
  </w:style>
  <w:style w:type="character" w:customStyle="1" w:styleId="CommentTextChar">
    <w:name w:val="Comment Text Char"/>
    <w:basedOn w:val="DefaultParagraphFont"/>
    <w:link w:val="CommentText"/>
    <w:uiPriority w:val="99"/>
    <w:rsid w:val="005939AF"/>
    <w:rPr>
      <w:sz w:val="20"/>
      <w:szCs w:val="20"/>
    </w:rPr>
  </w:style>
  <w:style w:type="paragraph" w:styleId="CommentSubject">
    <w:name w:val="annotation subject"/>
    <w:basedOn w:val="CommentText"/>
    <w:next w:val="CommentText"/>
    <w:link w:val="CommentSubjectChar"/>
    <w:uiPriority w:val="99"/>
    <w:semiHidden/>
    <w:unhideWhenUsed/>
    <w:rsid w:val="005939AF"/>
    <w:rPr>
      <w:b/>
      <w:bCs/>
    </w:rPr>
  </w:style>
  <w:style w:type="character" w:customStyle="1" w:styleId="CommentSubjectChar">
    <w:name w:val="Comment Subject Char"/>
    <w:basedOn w:val="CommentTextChar"/>
    <w:link w:val="CommentSubject"/>
    <w:uiPriority w:val="99"/>
    <w:semiHidden/>
    <w:rsid w:val="005939AF"/>
    <w:rPr>
      <w:b/>
      <w:bCs/>
      <w:sz w:val="20"/>
      <w:szCs w:val="20"/>
    </w:rPr>
  </w:style>
  <w:style w:type="paragraph" w:styleId="BodyText2">
    <w:name w:val="Body Text 2"/>
    <w:basedOn w:val="Normal"/>
    <w:link w:val="BodyText2Char"/>
    <w:uiPriority w:val="99"/>
    <w:semiHidden/>
    <w:unhideWhenUsed/>
    <w:rsid w:val="00BA73EC"/>
    <w:pPr>
      <w:spacing w:after="120" w:line="480" w:lineRule="auto"/>
    </w:pPr>
    <w:rPr>
      <w:rFonts w:ascii="Times New Roman" w:eastAsia="Times New Roman" w:hAnsi="Times New Roman" w:cs="Times New Roman"/>
      <w:kern w:val="0"/>
      <w:lang w:val="en-ID"/>
      <w14:ligatures w14:val="none"/>
    </w:rPr>
  </w:style>
  <w:style w:type="character" w:customStyle="1" w:styleId="BodyText2Char">
    <w:name w:val="Body Text 2 Char"/>
    <w:basedOn w:val="DefaultParagraphFont"/>
    <w:link w:val="BodyText2"/>
    <w:uiPriority w:val="99"/>
    <w:semiHidden/>
    <w:rsid w:val="00BA73EC"/>
    <w:rPr>
      <w:rFonts w:ascii="Times New Roman" w:eastAsia="Times New Roman" w:hAnsi="Times New Roman" w:cs="Times New Roman"/>
      <w:kern w:val="0"/>
      <w:lang w:val="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6395">
      <w:bodyDiv w:val="1"/>
      <w:marLeft w:val="0"/>
      <w:marRight w:val="0"/>
      <w:marTop w:val="0"/>
      <w:marBottom w:val="0"/>
      <w:divBdr>
        <w:top w:val="none" w:sz="0" w:space="0" w:color="auto"/>
        <w:left w:val="none" w:sz="0" w:space="0" w:color="auto"/>
        <w:bottom w:val="none" w:sz="0" w:space="0" w:color="auto"/>
        <w:right w:val="none" w:sz="0" w:space="0" w:color="auto"/>
      </w:divBdr>
    </w:div>
    <w:div w:id="716588241">
      <w:bodyDiv w:val="1"/>
      <w:marLeft w:val="0"/>
      <w:marRight w:val="0"/>
      <w:marTop w:val="0"/>
      <w:marBottom w:val="0"/>
      <w:divBdr>
        <w:top w:val="none" w:sz="0" w:space="0" w:color="auto"/>
        <w:left w:val="none" w:sz="0" w:space="0" w:color="auto"/>
        <w:bottom w:val="none" w:sz="0" w:space="0" w:color="auto"/>
        <w:right w:val="none" w:sz="0" w:space="0" w:color="auto"/>
      </w:divBdr>
    </w:div>
    <w:div w:id="1118448801">
      <w:bodyDiv w:val="1"/>
      <w:marLeft w:val="0"/>
      <w:marRight w:val="0"/>
      <w:marTop w:val="0"/>
      <w:marBottom w:val="0"/>
      <w:divBdr>
        <w:top w:val="none" w:sz="0" w:space="0" w:color="auto"/>
        <w:left w:val="none" w:sz="0" w:space="0" w:color="auto"/>
        <w:bottom w:val="none" w:sz="0" w:space="0" w:color="auto"/>
        <w:right w:val="none" w:sz="0" w:space="0" w:color="auto"/>
      </w:divBdr>
    </w:div>
    <w:div w:id="1587030821">
      <w:bodyDiv w:val="1"/>
      <w:marLeft w:val="0"/>
      <w:marRight w:val="0"/>
      <w:marTop w:val="0"/>
      <w:marBottom w:val="0"/>
      <w:divBdr>
        <w:top w:val="none" w:sz="0" w:space="0" w:color="auto"/>
        <w:left w:val="none" w:sz="0" w:space="0" w:color="auto"/>
        <w:bottom w:val="none" w:sz="0" w:space="0" w:color="auto"/>
        <w:right w:val="none" w:sz="0" w:space="0" w:color="auto"/>
      </w:divBdr>
      <w:divsChild>
        <w:div w:id="2092195202">
          <w:marLeft w:val="446"/>
          <w:marRight w:val="0"/>
          <w:marTop w:val="200"/>
          <w:marBottom w:val="0"/>
          <w:divBdr>
            <w:top w:val="none" w:sz="0" w:space="0" w:color="auto"/>
            <w:left w:val="none" w:sz="0" w:space="0" w:color="auto"/>
            <w:bottom w:val="none" w:sz="0" w:space="0" w:color="auto"/>
            <w:right w:val="none" w:sz="0" w:space="0" w:color="auto"/>
          </w:divBdr>
        </w:div>
      </w:divsChild>
    </w:div>
    <w:div w:id="1685129652">
      <w:bodyDiv w:val="1"/>
      <w:marLeft w:val="0"/>
      <w:marRight w:val="0"/>
      <w:marTop w:val="0"/>
      <w:marBottom w:val="0"/>
      <w:divBdr>
        <w:top w:val="none" w:sz="0" w:space="0" w:color="auto"/>
        <w:left w:val="none" w:sz="0" w:space="0" w:color="auto"/>
        <w:bottom w:val="none" w:sz="0" w:space="0" w:color="auto"/>
        <w:right w:val="none" w:sz="0" w:space="0" w:color="auto"/>
      </w:divBdr>
    </w:div>
    <w:div w:id="180225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0B59-CC86-4588-9A22-146693D27BF2}">
  <ds:schemaRefs>
    <ds:schemaRef ds:uri="http://schemas.openxmlformats.org/officeDocument/2006/bibliography"/>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5</Pages>
  <Words>1047</Words>
  <Characters>6141</Characters>
  <Application>Microsoft Office Word</Application>
  <DocSecurity>0</DocSecurity>
  <Lines>198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 Management Response to The Mid – Term Review for Vietnam Private Sector Development Partnership (VPSDP) with IFC</dc:title>
  <dc:subject/>
  <dc:creator>Tu-Uyen Nguyen</dc:creator>
  <cp:keywords>[SEC=OFFICIAL]</cp:keywords>
  <dc:description/>
  <cp:revision>11</cp:revision>
  <cp:lastPrinted>2026-06-09T01:39:00Z</cp:lastPrinted>
  <dcterms:created xsi:type="dcterms:W3CDTF">2026-06-25T10:12:00Z</dcterms:created>
  <dcterms:modified xsi:type="dcterms:W3CDTF">2026-07-12T23:37:00Z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v=2022.1;a=SHA256;h=FE79379F68FE116530C4F812858781A0662A457E8BAB0696095F4F6707E142A8</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2025-06-13T09:33:25Z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4DBCDFD99155EEB4EA7E8D2B2490577E9AC43950</vt:lpwstr>
  </property>
  <property fmtid="{D5CDD505-2E9C-101B-9397-08002B2CF9AE}" pid="14" name="PM_DisplayValueSecClassificationWithQualifier">
    <vt:lpwstr>OFFICIAL</vt:lpwstr>
  </property>
  <property fmtid="{D5CDD505-2E9C-101B-9397-08002B2CF9AE}" pid="15" name="PM_Originating_FileId">
    <vt:lpwstr>FE5EAA96105E41D6AE848AC14470DD74</vt:lpwstr>
  </property>
  <property fmtid="{D5CDD505-2E9C-101B-9397-08002B2CF9AE}" pid="16" name="PM_ProtectiveMarkingValue_Footer">
    <vt:lpwstr>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1FBD870700BE934D69AD7E727ED5DC3B85444171B904390ED180DF974C14D5E9</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67C469F7F5E67AAA65C1494175984C18</vt:lpwstr>
  </property>
  <property fmtid="{D5CDD505-2E9C-101B-9397-08002B2CF9AE}" pid="25" name="PM_Hash_Salt">
    <vt:lpwstr>4CD6C9DAF102872902B659AB9C4A0394</vt:lpwstr>
  </property>
  <property fmtid="{D5CDD505-2E9C-101B-9397-08002B2CF9AE}" pid="26" name="PM_Hash_SHA1">
    <vt:lpwstr>0B7A92172D0C59385CDB506BA2DBC04F5A7EDFC0</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PM_Expires">
    <vt:lpwstr/>
  </property>
  <property fmtid="{D5CDD505-2E9C-101B-9397-08002B2CF9AE}" pid="30" name="PM_DownTo">
    <vt:lpwstr/>
  </property>
  <property fmtid="{D5CDD505-2E9C-101B-9397-08002B2CF9AE}" pid="31" name="ClassificationContentMarkingHeaderShapeIds">
    <vt:lpwstr>640b02ad,2907646,24a7e191</vt:lpwstr>
  </property>
  <property fmtid="{D5CDD505-2E9C-101B-9397-08002B2CF9AE}" pid="32" name="ClassificationContentMarkingHeaderFontProps">
    <vt:lpwstr>#ff0000,12,Aptos</vt:lpwstr>
  </property>
  <property fmtid="{D5CDD505-2E9C-101B-9397-08002B2CF9AE}" pid="33" name="ClassificationContentMarkingHeaderText">
    <vt:lpwstr>OFFICIAL</vt:lpwstr>
  </property>
  <property fmtid="{D5CDD505-2E9C-101B-9397-08002B2CF9AE}" pid="34" name="ClassificationContentMarkingFooterShapeIds">
    <vt:lpwstr>1853fbb7,4c427a87,72acbcb5</vt:lpwstr>
  </property>
  <property fmtid="{D5CDD505-2E9C-101B-9397-08002B2CF9AE}" pid="35" name="ClassificationContentMarkingFooterFontProps">
    <vt:lpwstr>#ff0000,12,Aptos</vt:lpwstr>
  </property>
  <property fmtid="{D5CDD505-2E9C-101B-9397-08002B2CF9AE}" pid="36" name="ClassificationContentMarkingFooterText">
    <vt:lpwstr>OFFICIAL</vt:lpwstr>
  </property>
</Properties>
</file>