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FC3" w:rsidRPr="00747FC3" w:rsidRDefault="00747FC3" w:rsidP="00747FC3">
      <w:pPr>
        <w:pStyle w:val="Heading1"/>
        <w:spacing w:after="300"/>
        <w:rPr>
          <w:color w:val="auto"/>
          <w:lang w:val="en-AU"/>
        </w:rPr>
      </w:pPr>
      <w:bookmarkStart w:id="0" w:name="_Toc475348267"/>
      <w:bookmarkStart w:id="1" w:name="_Toc373853205"/>
      <w:bookmarkStart w:id="2" w:name="_GoBack"/>
      <w:bookmarkEnd w:id="2"/>
    </w:p>
    <w:p w:rsidR="00747FC3" w:rsidRDefault="00747FC3" w:rsidP="00747FC3">
      <w:pPr>
        <w:pStyle w:val="Heading1"/>
        <w:spacing w:after="300"/>
        <w:rPr>
          <w:color w:val="auto"/>
          <w:lang w:val="en-AU"/>
        </w:rPr>
      </w:pPr>
      <w:r w:rsidRPr="00747FC3">
        <w:rPr>
          <w:color w:val="auto"/>
          <w:lang w:val="en-AU"/>
        </w:rPr>
        <w:t xml:space="preserve">Indonesia Infrastructure Initiative </w:t>
      </w:r>
      <w:r>
        <w:rPr>
          <w:color w:val="auto"/>
          <w:lang w:val="en-AU"/>
        </w:rPr>
        <w:t xml:space="preserve">PHASE 2 </w:t>
      </w:r>
      <w:r w:rsidRPr="00747FC3">
        <w:rPr>
          <w:color w:val="auto"/>
          <w:lang w:val="en-AU"/>
        </w:rPr>
        <w:t xml:space="preserve">Impact Assessment Team </w:t>
      </w:r>
    </w:p>
    <w:p w:rsidR="00ED5255" w:rsidRPr="00747FC3" w:rsidRDefault="00747FC3" w:rsidP="00747FC3">
      <w:pPr>
        <w:pStyle w:val="Heading1"/>
        <w:spacing w:after="300"/>
        <w:rPr>
          <w:color w:val="auto"/>
          <w:lang w:val="en-AU"/>
        </w:rPr>
      </w:pPr>
      <w:r>
        <w:rPr>
          <w:color w:val="auto"/>
          <w:lang w:val="en-AU"/>
        </w:rPr>
        <w:t xml:space="preserve">Mission 3 - </w:t>
      </w:r>
      <w:r w:rsidR="00E928D7" w:rsidRPr="007451B9">
        <w:rPr>
          <w:color w:val="auto"/>
        </w:rPr>
        <w:t>Management Response</w:t>
      </w:r>
      <w:bookmarkEnd w:id="0"/>
    </w:p>
    <w:p w:rsidR="00C10415" w:rsidRPr="002B1079" w:rsidRDefault="0031432C" w:rsidP="00A02111">
      <w:pPr>
        <w:pStyle w:val="Heading3"/>
      </w:pPr>
      <w:r>
        <w:t>Summary of management r</w:t>
      </w:r>
      <w:r w:rsidR="00C10415" w:rsidRPr="002B1079">
        <w:t xml:space="preserve">esponse </w:t>
      </w:r>
    </w:p>
    <w:p w:rsidR="00C10415" w:rsidRDefault="00716B8C" w:rsidP="00C10415">
      <w:pPr>
        <w:pStyle w:val="BodyText"/>
      </w:pPr>
      <w:r>
        <w:t>The Department of Foreign Affairs and Trade (DFAT) thanks the Indonesia Infrastructure Initiative (IndII) Impact Assessment Team (IAT) for their work across the life of the IndII program and welcomes the findings of th</w:t>
      </w:r>
      <w:r w:rsidR="00747FC3">
        <w:t>is</w:t>
      </w:r>
      <w:r>
        <w:t xml:space="preserve"> third and final IAT report. DFAT agrees with the IAT’s overall finding that </w:t>
      </w:r>
      <w:r w:rsidRPr="00716B8C">
        <w:rPr>
          <w:i/>
        </w:rPr>
        <w:t>IndII’s approach has been well aligned with the change in Australian aid focus in Indonesia. Several internal and independent reviews have found that IndII has been a relevant and responsive program delivering high-quality technical assistance. Concerns have been raised at times about progress and expenditure delays and contributions to gender equality and social inclusion. There has been general agreement that the work supported by IndII has achieved notable impacts, though the sustainability of reforms and innovations introduced is not yet clear in all cases.</w:t>
      </w:r>
    </w:p>
    <w:p w:rsidR="00747FC3" w:rsidRPr="00747FC3" w:rsidRDefault="00747FC3" w:rsidP="00747FC3">
      <w:pPr>
        <w:pStyle w:val="BodyText"/>
      </w:pPr>
      <w:r>
        <w:t xml:space="preserve">This final IAT report was conducted in parallel to the design of Australia’s new $300 million infrastructure technical assistance facility the Indonesia Australia Infrastructure Partnership - Kemitraan Indonesia Australia Untuk Infrastruktur known as KIAT. Where possible recommendations from the IAT have been incorporated in the design of KIAT and implemented immediately. Some of the recommendations relate to longer term approaches to the governance and delivery of the program and KIAT </w:t>
      </w:r>
      <w:r w:rsidR="00CD70FF">
        <w:t xml:space="preserve">has been tasked with implementing the agreed recommendations </w:t>
      </w:r>
      <w:r>
        <w:t>over the life of the new program. In some cases the design team identified alternative approaches as part of the design process, which acknowledge the IAT finding, but propose revised implementation approaches based on the KIAT design consultation process. Overall, the majority of the IAT reports recommendations have been accepted and are on track to be implemented as part of the new KIAT program.</w:t>
      </w:r>
    </w:p>
    <w:p w:rsidR="00AF3FC8" w:rsidRDefault="00AF3FC8">
      <w:pPr>
        <w:suppressAutoHyphens w:val="0"/>
        <w:spacing w:before="0" w:after="120" w:line="440" w:lineRule="atLeast"/>
        <w:rPr>
          <w:rFonts w:asciiTheme="majorHAnsi" w:eastAsiaTheme="majorEastAsia" w:hAnsiTheme="majorHAnsi" w:cstheme="majorBidi"/>
          <w:bCs/>
          <w:sz w:val="30"/>
          <w:szCs w:val="26"/>
          <w:lang w:val="en-AU"/>
        </w:rPr>
      </w:pPr>
      <w:r>
        <w:br w:type="page"/>
      </w:r>
    </w:p>
    <w:p w:rsidR="00C10415" w:rsidRPr="002B1079" w:rsidRDefault="0031432C" w:rsidP="00A02111">
      <w:pPr>
        <w:pStyle w:val="Heading3"/>
      </w:pPr>
      <w:r>
        <w:lastRenderedPageBreak/>
        <w:t>Individual m</w:t>
      </w:r>
      <w:r w:rsidR="00C10415" w:rsidRPr="002B1079">
        <w:t xml:space="preserve">anagement response to the recommendations </w:t>
      </w:r>
    </w:p>
    <w:tbl>
      <w:tblPr>
        <w:tblStyle w:val="DFATTable1"/>
        <w:tblW w:w="14883" w:type="dxa"/>
        <w:tblInd w:w="-601"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2836"/>
        <w:gridCol w:w="2171"/>
        <w:gridCol w:w="4489"/>
        <w:gridCol w:w="3114"/>
        <w:gridCol w:w="2273"/>
      </w:tblGrid>
      <w:tr w:rsidR="000B704D" w:rsidTr="003F00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Borders>
              <w:top w:val="nil"/>
              <w:left w:val="nil"/>
              <w:bottom w:val="nil"/>
              <w:right w:val="nil"/>
            </w:tcBorders>
          </w:tcPr>
          <w:p w:rsidR="000B704D" w:rsidRPr="00383D41" w:rsidRDefault="000B704D" w:rsidP="000B704D">
            <w:pPr>
              <w:pStyle w:val="Heading3"/>
              <w:spacing w:before="0" w:line="240" w:lineRule="auto"/>
              <w:outlineLvl w:val="2"/>
              <w:rPr>
                <w:b/>
                <w:sz w:val="22"/>
                <w:szCs w:val="22"/>
              </w:rPr>
            </w:pPr>
            <w:r w:rsidRPr="00383D41">
              <w:rPr>
                <w:b/>
                <w:color w:val="FFFFFF" w:themeColor="background1"/>
                <w:sz w:val="22"/>
                <w:szCs w:val="22"/>
              </w:rPr>
              <w:t xml:space="preserve"> Recommendation</w:t>
            </w:r>
          </w:p>
        </w:tc>
        <w:tc>
          <w:tcPr>
            <w:tcW w:w="2171" w:type="dxa"/>
            <w:tcBorders>
              <w:top w:val="nil"/>
              <w:left w:val="nil"/>
              <w:bottom w:val="nil"/>
              <w:right w:val="nil"/>
            </w:tcBorders>
          </w:tcPr>
          <w:p w:rsidR="000B704D" w:rsidRPr="00383D41" w:rsidRDefault="000B704D" w:rsidP="000B704D">
            <w:pPr>
              <w:pStyle w:val="Heading3"/>
              <w:spacing w:before="0" w:line="240" w:lineRule="auto"/>
              <w:outlineLvl w:val="2"/>
              <w:cnfStyle w:val="100000000000" w:firstRow="1" w:lastRow="0" w:firstColumn="0" w:lastColumn="0" w:oddVBand="0" w:evenVBand="0" w:oddHBand="0" w:evenHBand="0" w:firstRowFirstColumn="0" w:firstRowLastColumn="0" w:lastRowFirstColumn="0" w:lastRowLastColumn="0"/>
              <w:rPr>
                <w:b/>
                <w:color w:val="FFFFFF" w:themeColor="background1"/>
                <w:sz w:val="22"/>
                <w:szCs w:val="22"/>
              </w:rPr>
            </w:pPr>
            <w:r w:rsidRPr="00383D41">
              <w:rPr>
                <w:b/>
                <w:color w:val="FFFFFF" w:themeColor="background1"/>
                <w:sz w:val="22"/>
                <w:szCs w:val="22"/>
              </w:rPr>
              <w:t>Response</w:t>
            </w:r>
          </w:p>
        </w:tc>
        <w:tc>
          <w:tcPr>
            <w:tcW w:w="4489" w:type="dxa"/>
            <w:tcBorders>
              <w:top w:val="nil"/>
              <w:left w:val="nil"/>
              <w:bottom w:val="nil"/>
              <w:right w:val="nil"/>
            </w:tcBorders>
          </w:tcPr>
          <w:p w:rsidR="000B704D" w:rsidRPr="00383D41" w:rsidRDefault="000B704D" w:rsidP="000B704D">
            <w:pPr>
              <w:pStyle w:val="BodyText"/>
              <w:spacing w:before="0" w:after="120"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color w:val="FFFFFF" w:themeColor="background1"/>
                <w:lang w:val="en-AU"/>
              </w:rPr>
            </w:pPr>
            <w:r w:rsidRPr="00383D41">
              <w:rPr>
                <w:rFonts w:asciiTheme="majorHAnsi" w:eastAsiaTheme="majorEastAsia" w:hAnsiTheme="majorHAnsi" w:cstheme="majorBidi"/>
                <w:b/>
                <w:bCs/>
                <w:color w:val="FFFFFF" w:themeColor="background1"/>
                <w:lang w:val="en-AU"/>
              </w:rPr>
              <w:t>Explanation</w:t>
            </w:r>
          </w:p>
        </w:tc>
        <w:tc>
          <w:tcPr>
            <w:tcW w:w="3114" w:type="dxa"/>
            <w:tcBorders>
              <w:top w:val="nil"/>
              <w:left w:val="nil"/>
              <w:bottom w:val="nil"/>
              <w:right w:val="nil"/>
            </w:tcBorders>
          </w:tcPr>
          <w:p w:rsidR="000B704D" w:rsidRPr="00383D41" w:rsidRDefault="000B704D" w:rsidP="000B704D">
            <w:pPr>
              <w:pStyle w:val="BodyText"/>
              <w:spacing w:before="0" w:after="120"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color w:val="FFFFFF" w:themeColor="background1"/>
                <w:lang w:val="en-AU"/>
              </w:rPr>
            </w:pPr>
            <w:r w:rsidRPr="00383D41">
              <w:rPr>
                <w:rFonts w:asciiTheme="majorHAnsi" w:eastAsiaTheme="majorEastAsia" w:hAnsiTheme="majorHAnsi" w:cstheme="majorBidi"/>
                <w:b/>
                <w:bCs/>
                <w:color w:val="FFFFFF" w:themeColor="background1"/>
                <w:lang w:val="en-AU"/>
              </w:rPr>
              <w:t>Action Plan</w:t>
            </w:r>
          </w:p>
        </w:tc>
        <w:tc>
          <w:tcPr>
            <w:tcW w:w="2273" w:type="dxa"/>
            <w:tcBorders>
              <w:top w:val="nil"/>
              <w:left w:val="nil"/>
              <w:bottom w:val="nil"/>
              <w:right w:val="nil"/>
            </w:tcBorders>
          </w:tcPr>
          <w:p w:rsidR="000B704D" w:rsidRPr="00383D41" w:rsidRDefault="000B704D" w:rsidP="000B704D">
            <w:pPr>
              <w:pStyle w:val="BodyText"/>
              <w:spacing w:before="0" w:after="120"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color w:val="FFFFFF" w:themeColor="background1"/>
                <w:lang w:val="en-AU"/>
              </w:rPr>
            </w:pPr>
            <w:r w:rsidRPr="00383D41">
              <w:rPr>
                <w:rFonts w:asciiTheme="majorHAnsi" w:eastAsiaTheme="majorEastAsia" w:hAnsiTheme="majorHAnsi" w:cstheme="majorBidi"/>
                <w:b/>
                <w:bCs/>
                <w:color w:val="FFFFFF" w:themeColor="background1"/>
                <w:lang w:val="en-AU"/>
              </w:rPr>
              <w:t>Timeframe</w:t>
            </w:r>
          </w:p>
        </w:tc>
      </w:tr>
      <w:tr w:rsidR="000B704D" w:rsidTr="009A1C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Borders>
              <w:top w:val="nil"/>
            </w:tcBorders>
          </w:tcPr>
          <w:p w:rsidR="000B704D" w:rsidRPr="00383D41" w:rsidRDefault="000B704D" w:rsidP="000B704D">
            <w:pPr>
              <w:pStyle w:val="Heading3"/>
              <w:spacing w:before="0"/>
              <w:outlineLvl w:val="2"/>
              <w:rPr>
                <w:sz w:val="22"/>
                <w:szCs w:val="22"/>
              </w:rPr>
            </w:pPr>
            <w:r w:rsidRPr="00383D41">
              <w:rPr>
                <w:sz w:val="22"/>
                <w:szCs w:val="22"/>
              </w:rPr>
              <w:t>Recommendation 1</w:t>
            </w:r>
          </w:p>
          <w:p w:rsidR="000B704D" w:rsidRPr="00383D41" w:rsidRDefault="000B704D" w:rsidP="00383D41">
            <w:pPr>
              <w:pStyle w:val="Heading3"/>
              <w:spacing w:before="0" w:line="240" w:lineRule="auto"/>
              <w:outlineLvl w:val="2"/>
              <w:rPr>
                <w:sz w:val="22"/>
                <w:szCs w:val="22"/>
              </w:rPr>
            </w:pPr>
            <w:r w:rsidRPr="00383D41">
              <w:rPr>
                <w:i/>
                <w:color w:val="auto"/>
                <w:sz w:val="22"/>
                <w:szCs w:val="22"/>
              </w:rPr>
              <w:t>DFAT should maintain sufficient grant funding in the next phase of infrastructure investment to incentivise improved provision of sub-national infrastructure.</w:t>
            </w:r>
          </w:p>
        </w:tc>
        <w:tc>
          <w:tcPr>
            <w:tcW w:w="2171" w:type="dxa"/>
            <w:tcBorders>
              <w:top w:val="nil"/>
            </w:tcBorders>
            <w:shd w:val="clear" w:color="auto" w:fill="92D050"/>
          </w:tcPr>
          <w:p w:rsidR="000B704D" w:rsidRPr="00383D41" w:rsidRDefault="009A1C20" w:rsidP="005D6697">
            <w:pPr>
              <w:pStyle w:val="Heading3"/>
              <w:outlineLvl w:val="2"/>
              <w:cnfStyle w:val="000000100000" w:firstRow="0" w:lastRow="0" w:firstColumn="0" w:lastColumn="0" w:oddVBand="0" w:evenVBand="0" w:oddHBand="1" w:evenHBand="0" w:firstRowFirstColumn="0" w:firstRowLastColumn="0" w:lastRowFirstColumn="0" w:lastRowLastColumn="0"/>
              <w:rPr>
                <w:sz w:val="22"/>
                <w:szCs w:val="22"/>
              </w:rPr>
            </w:pPr>
            <w:r w:rsidRPr="00383D41">
              <w:rPr>
                <w:sz w:val="22"/>
                <w:szCs w:val="22"/>
              </w:rPr>
              <w:t>Agree</w:t>
            </w:r>
          </w:p>
        </w:tc>
        <w:tc>
          <w:tcPr>
            <w:tcW w:w="4489" w:type="dxa"/>
            <w:tcBorders>
              <w:top w:val="nil"/>
            </w:tcBorders>
          </w:tcPr>
          <w:p w:rsidR="000B704D" w:rsidRPr="00383D41" w:rsidRDefault="00B54DD8" w:rsidP="009A1C20">
            <w:pPr>
              <w:pStyle w:val="BodyText"/>
              <w:cnfStyle w:val="000000100000" w:firstRow="0" w:lastRow="0" w:firstColumn="0" w:lastColumn="0" w:oddVBand="0" w:evenVBand="0" w:oddHBand="1" w:evenHBand="0" w:firstRowFirstColumn="0" w:firstRowLastColumn="0" w:lastRowFirstColumn="0" w:lastRowLastColumn="0"/>
            </w:pPr>
            <w:r w:rsidRPr="00383D41">
              <w:t xml:space="preserve">DFAT recognises the value that grant funding brings in creating opportunities to trial innovative approaches that may not otherwise be able to receive immediate GoI funding. In the early years of KIAT we have reserved a funding allocation of </w:t>
            </w:r>
            <w:r w:rsidR="00BA2303" w:rsidRPr="00383D41">
              <w:t xml:space="preserve">approximately </w:t>
            </w:r>
            <w:r w:rsidRPr="00383D41">
              <w:t xml:space="preserve">$10-$15 million to be used for grant funding new approaches. Notwithstanding that, Australia’s Aid Investment Plan for Indonesia notes that </w:t>
            </w:r>
            <w:r w:rsidRPr="00383D41">
              <w:rPr>
                <w:i/>
              </w:rPr>
              <w:t xml:space="preserve">“our support for infrastructure will leverage Indonesia’s own infrastructure spending” </w:t>
            </w:r>
            <w:r w:rsidRPr="00383D41">
              <w:t>and we continue to work to reduce the quantum of grant funding being used to directly support physical infrastructure.</w:t>
            </w:r>
          </w:p>
        </w:tc>
        <w:tc>
          <w:tcPr>
            <w:tcW w:w="3114" w:type="dxa"/>
            <w:tcBorders>
              <w:top w:val="nil"/>
            </w:tcBorders>
          </w:tcPr>
          <w:p w:rsidR="000B704D" w:rsidRPr="00383D41" w:rsidRDefault="003F00F2" w:rsidP="005D6697">
            <w:pPr>
              <w:pStyle w:val="BodyText"/>
              <w:cnfStyle w:val="000000100000" w:firstRow="0" w:lastRow="0" w:firstColumn="0" w:lastColumn="0" w:oddVBand="0" w:evenVBand="0" w:oddHBand="1" w:evenHBand="0" w:firstRowFirstColumn="0" w:firstRowLastColumn="0" w:lastRowFirstColumn="0" w:lastRowLastColumn="0"/>
            </w:pPr>
            <w:r w:rsidRPr="00383D41">
              <w:t>A replacement infrastructure grants program is expected to be in place as current activities complete over the next two years</w:t>
            </w:r>
          </w:p>
        </w:tc>
        <w:tc>
          <w:tcPr>
            <w:tcW w:w="2273" w:type="dxa"/>
            <w:tcBorders>
              <w:top w:val="nil"/>
            </w:tcBorders>
          </w:tcPr>
          <w:p w:rsidR="000B704D" w:rsidRPr="00383D41" w:rsidRDefault="003F00F2" w:rsidP="005D6697">
            <w:pPr>
              <w:pStyle w:val="BodyText"/>
              <w:cnfStyle w:val="000000100000" w:firstRow="0" w:lastRow="0" w:firstColumn="0" w:lastColumn="0" w:oddVBand="0" w:evenVBand="0" w:oddHBand="1" w:evenHBand="0" w:firstRowFirstColumn="0" w:firstRowLastColumn="0" w:lastRowFirstColumn="0" w:lastRowLastColumn="0"/>
            </w:pPr>
            <w:r w:rsidRPr="00383D41">
              <w:t>December 2018</w:t>
            </w:r>
          </w:p>
        </w:tc>
      </w:tr>
      <w:tr w:rsidR="000B704D" w:rsidTr="003F00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rsidR="000B704D" w:rsidRPr="00383D41" w:rsidRDefault="000B704D" w:rsidP="00AF3FC8">
            <w:pPr>
              <w:pStyle w:val="Heading3"/>
              <w:spacing w:before="0"/>
              <w:outlineLvl w:val="2"/>
              <w:rPr>
                <w:sz w:val="22"/>
                <w:szCs w:val="22"/>
              </w:rPr>
            </w:pPr>
            <w:r w:rsidRPr="00383D41">
              <w:rPr>
                <w:sz w:val="22"/>
                <w:szCs w:val="22"/>
              </w:rPr>
              <w:t>Recommendation 2</w:t>
            </w:r>
          </w:p>
          <w:p w:rsidR="000B704D" w:rsidRPr="00383D41" w:rsidRDefault="000B704D" w:rsidP="00383D41">
            <w:pPr>
              <w:pStyle w:val="Heading3"/>
              <w:spacing w:line="240" w:lineRule="auto"/>
              <w:outlineLvl w:val="2"/>
              <w:rPr>
                <w:i/>
                <w:color w:val="auto"/>
                <w:sz w:val="22"/>
                <w:szCs w:val="22"/>
              </w:rPr>
            </w:pPr>
            <w:r w:rsidRPr="00383D41">
              <w:rPr>
                <w:i/>
                <w:color w:val="auto"/>
                <w:sz w:val="22"/>
                <w:szCs w:val="22"/>
              </w:rPr>
              <w:t xml:space="preserve">DFAT and the managing contractor for the new phase of infrastructure investment should work together to unambiguously articulate the strategic rationale for Australia investing in infrastructure in Indonesia, since this rationale will dictate the optimal structure and mode of engagement with GoI. </w:t>
            </w:r>
          </w:p>
        </w:tc>
        <w:tc>
          <w:tcPr>
            <w:tcW w:w="2171" w:type="dxa"/>
            <w:shd w:val="clear" w:color="auto" w:fill="92D050"/>
          </w:tcPr>
          <w:p w:rsidR="000B704D" w:rsidRPr="00383D41" w:rsidRDefault="006C3ED6" w:rsidP="005D6697">
            <w:pPr>
              <w:pStyle w:val="Heading3"/>
              <w:outlineLvl w:val="2"/>
              <w:cnfStyle w:val="000000010000" w:firstRow="0" w:lastRow="0" w:firstColumn="0" w:lastColumn="0" w:oddVBand="0" w:evenVBand="0" w:oddHBand="0" w:evenHBand="1" w:firstRowFirstColumn="0" w:firstRowLastColumn="0" w:lastRowFirstColumn="0" w:lastRowLastColumn="0"/>
              <w:rPr>
                <w:sz w:val="22"/>
                <w:szCs w:val="22"/>
              </w:rPr>
            </w:pPr>
            <w:r w:rsidRPr="00383D41">
              <w:rPr>
                <w:sz w:val="22"/>
                <w:szCs w:val="22"/>
              </w:rPr>
              <w:t>Agree</w:t>
            </w:r>
          </w:p>
        </w:tc>
        <w:tc>
          <w:tcPr>
            <w:tcW w:w="4489" w:type="dxa"/>
          </w:tcPr>
          <w:p w:rsidR="000B704D" w:rsidRPr="00383D41" w:rsidRDefault="00780CC3" w:rsidP="009A1C20">
            <w:pPr>
              <w:pStyle w:val="BodyText"/>
              <w:cnfStyle w:val="000000010000" w:firstRow="0" w:lastRow="0" w:firstColumn="0" w:lastColumn="0" w:oddVBand="0" w:evenVBand="0" w:oddHBand="0" w:evenHBand="1" w:firstRowFirstColumn="0" w:firstRowLastColumn="0" w:lastRowFirstColumn="0" w:lastRowLastColumn="0"/>
            </w:pPr>
            <w:r w:rsidRPr="00383D41">
              <w:t>The strategic rationale for Australia’s investment in the infrastructure sector has been clearly articulat</w:t>
            </w:r>
            <w:r w:rsidR="009A1C20" w:rsidRPr="00383D41">
              <w:t>ed in the KIAT Facility Design and has resulted in the use of an embedded advisor approach to complement the facility model.</w:t>
            </w:r>
          </w:p>
        </w:tc>
        <w:tc>
          <w:tcPr>
            <w:tcW w:w="3114" w:type="dxa"/>
          </w:tcPr>
          <w:p w:rsidR="000B704D" w:rsidRPr="00383D41" w:rsidRDefault="003F00F2" w:rsidP="005D6697">
            <w:pPr>
              <w:pStyle w:val="BodyText"/>
              <w:cnfStyle w:val="000000010000" w:firstRow="0" w:lastRow="0" w:firstColumn="0" w:lastColumn="0" w:oddVBand="0" w:evenVBand="0" w:oddHBand="0" w:evenHBand="1" w:firstRowFirstColumn="0" w:firstRowLastColumn="0" w:lastRowFirstColumn="0" w:lastRowLastColumn="0"/>
            </w:pPr>
            <w:r w:rsidRPr="00383D41">
              <w:t>Incorporated in KIAT Facility Design Document</w:t>
            </w:r>
          </w:p>
        </w:tc>
        <w:tc>
          <w:tcPr>
            <w:tcW w:w="2273" w:type="dxa"/>
          </w:tcPr>
          <w:p w:rsidR="000B704D" w:rsidRPr="00383D41" w:rsidRDefault="003F00F2" w:rsidP="005D6697">
            <w:pPr>
              <w:pStyle w:val="BodyText"/>
              <w:cnfStyle w:val="000000010000" w:firstRow="0" w:lastRow="0" w:firstColumn="0" w:lastColumn="0" w:oddVBand="0" w:evenVBand="0" w:oddHBand="0" w:evenHBand="1" w:firstRowFirstColumn="0" w:firstRowLastColumn="0" w:lastRowFirstColumn="0" w:lastRowLastColumn="0"/>
            </w:pPr>
            <w:r w:rsidRPr="00383D41">
              <w:t>Done</w:t>
            </w:r>
          </w:p>
        </w:tc>
      </w:tr>
      <w:tr w:rsidR="000B704D" w:rsidTr="003F0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rsidR="000B704D" w:rsidRPr="00383D41" w:rsidRDefault="000B704D" w:rsidP="00AF3FC8">
            <w:pPr>
              <w:pStyle w:val="Heading3"/>
              <w:spacing w:before="0"/>
              <w:outlineLvl w:val="2"/>
              <w:rPr>
                <w:sz w:val="22"/>
                <w:szCs w:val="22"/>
              </w:rPr>
            </w:pPr>
            <w:r w:rsidRPr="00383D41">
              <w:rPr>
                <w:sz w:val="22"/>
                <w:szCs w:val="22"/>
              </w:rPr>
              <w:t>Recommendation 3</w:t>
            </w:r>
          </w:p>
          <w:p w:rsidR="000B704D" w:rsidRPr="00383D41" w:rsidRDefault="000B704D" w:rsidP="00383D41">
            <w:pPr>
              <w:pStyle w:val="Heading3"/>
              <w:spacing w:line="240" w:lineRule="auto"/>
              <w:outlineLvl w:val="2"/>
              <w:rPr>
                <w:i/>
                <w:color w:val="auto"/>
                <w:sz w:val="22"/>
                <w:szCs w:val="22"/>
              </w:rPr>
            </w:pPr>
            <w:r w:rsidRPr="00383D41">
              <w:rPr>
                <w:i/>
                <w:color w:val="auto"/>
                <w:sz w:val="22"/>
                <w:szCs w:val="22"/>
              </w:rPr>
              <w:t xml:space="preserve">DFAT should coordinate and utilise the relative strengths of AIPEG and the new infrastructure investment to maximise the tactical advantages of both modes of engaging with GoI. </w:t>
            </w:r>
          </w:p>
        </w:tc>
        <w:tc>
          <w:tcPr>
            <w:tcW w:w="2171" w:type="dxa"/>
            <w:shd w:val="clear" w:color="auto" w:fill="92D050"/>
          </w:tcPr>
          <w:p w:rsidR="000B704D" w:rsidRPr="00383D41" w:rsidRDefault="006C3ED6" w:rsidP="005D6697">
            <w:pPr>
              <w:pStyle w:val="Heading3"/>
              <w:outlineLvl w:val="2"/>
              <w:cnfStyle w:val="000000100000" w:firstRow="0" w:lastRow="0" w:firstColumn="0" w:lastColumn="0" w:oddVBand="0" w:evenVBand="0" w:oddHBand="1" w:evenHBand="0" w:firstRowFirstColumn="0" w:firstRowLastColumn="0" w:lastRowFirstColumn="0" w:lastRowLastColumn="0"/>
              <w:rPr>
                <w:sz w:val="22"/>
                <w:szCs w:val="22"/>
              </w:rPr>
            </w:pPr>
            <w:r w:rsidRPr="00383D41">
              <w:rPr>
                <w:sz w:val="22"/>
                <w:szCs w:val="22"/>
              </w:rPr>
              <w:t>Agree</w:t>
            </w:r>
          </w:p>
        </w:tc>
        <w:tc>
          <w:tcPr>
            <w:tcW w:w="4489" w:type="dxa"/>
          </w:tcPr>
          <w:p w:rsidR="000B704D" w:rsidRPr="00383D41" w:rsidRDefault="00780CC3" w:rsidP="00BA2303">
            <w:pPr>
              <w:pStyle w:val="BodyText"/>
              <w:cnfStyle w:val="000000100000" w:firstRow="0" w:lastRow="0" w:firstColumn="0" w:lastColumn="0" w:oddVBand="0" w:evenVBand="0" w:oddHBand="1" w:evenHBand="0" w:firstRowFirstColumn="0" w:firstRowLastColumn="0" w:lastRowFirstColumn="0" w:lastRowLastColumn="0"/>
            </w:pPr>
            <w:r w:rsidRPr="00383D41">
              <w:t xml:space="preserve">The KIAT Facility Director has been tasked with establishing and maintaining close links with the AIPEG Facility director. Fortnightly meetings are now held between DFAT staff and both the AIPEG and KIAT </w:t>
            </w:r>
            <w:r w:rsidR="00BA2303" w:rsidRPr="00383D41">
              <w:t>F</w:t>
            </w:r>
            <w:r w:rsidRPr="00383D41">
              <w:t xml:space="preserve">acility </w:t>
            </w:r>
            <w:r w:rsidR="00BA2303" w:rsidRPr="00383D41">
              <w:t>D</w:t>
            </w:r>
            <w:r w:rsidRPr="00383D41">
              <w:t>irectors.</w:t>
            </w:r>
          </w:p>
        </w:tc>
        <w:tc>
          <w:tcPr>
            <w:tcW w:w="3114" w:type="dxa"/>
          </w:tcPr>
          <w:p w:rsidR="000B704D" w:rsidRPr="00383D41" w:rsidRDefault="003F00F2" w:rsidP="005D6697">
            <w:pPr>
              <w:pStyle w:val="BodyText"/>
              <w:cnfStyle w:val="000000100000" w:firstRow="0" w:lastRow="0" w:firstColumn="0" w:lastColumn="0" w:oddVBand="0" w:evenVBand="0" w:oddHBand="1" w:evenHBand="0" w:firstRowFirstColumn="0" w:firstRowLastColumn="0" w:lastRowFirstColumn="0" w:lastRowLastColumn="0"/>
            </w:pPr>
            <w:r w:rsidRPr="00383D41">
              <w:t>Regular Coordination Meetings established between KIAT and AIPEG Facility Directors</w:t>
            </w:r>
          </w:p>
        </w:tc>
        <w:tc>
          <w:tcPr>
            <w:tcW w:w="2273" w:type="dxa"/>
          </w:tcPr>
          <w:p w:rsidR="000B704D" w:rsidRPr="00383D41" w:rsidRDefault="003F00F2" w:rsidP="005D6697">
            <w:pPr>
              <w:pStyle w:val="BodyText"/>
              <w:cnfStyle w:val="000000100000" w:firstRow="0" w:lastRow="0" w:firstColumn="0" w:lastColumn="0" w:oddVBand="0" w:evenVBand="0" w:oddHBand="1" w:evenHBand="0" w:firstRowFirstColumn="0" w:firstRowLastColumn="0" w:lastRowFirstColumn="0" w:lastRowLastColumn="0"/>
            </w:pPr>
            <w:r w:rsidRPr="00383D41">
              <w:t>Done</w:t>
            </w:r>
          </w:p>
        </w:tc>
      </w:tr>
      <w:tr w:rsidR="000B704D" w:rsidTr="003F00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rsidR="000B704D" w:rsidRPr="00383D41" w:rsidRDefault="000B704D" w:rsidP="00AF3FC8">
            <w:pPr>
              <w:pStyle w:val="Heading3"/>
              <w:spacing w:before="0"/>
              <w:outlineLvl w:val="2"/>
              <w:rPr>
                <w:sz w:val="22"/>
                <w:szCs w:val="22"/>
              </w:rPr>
            </w:pPr>
            <w:r w:rsidRPr="00383D41">
              <w:rPr>
                <w:sz w:val="22"/>
                <w:szCs w:val="22"/>
              </w:rPr>
              <w:t>Recommendation 4</w:t>
            </w:r>
          </w:p>
          <w:p w:rsidR="000B704D" w:rsidRPr="00383D41" w:rsidRDefault="000B704D" w:rsidP="00383D41">
            <w:pPr>
              <w:pStyle w:val="Heading3"/>
              <w:spacing w:line="240" w:lineRule="auto"/>
              <w:outlineLvl w:val="2"/>
              <w:rPr>
                <w:i/>
                <w:color w:val="auto"/>
                <w:sz w:val="22"/>
                <w:szCs w:val="22"/>
              </w:rPr>
            </w:pPr>
            <w:r w:rsidRPr="00383D41">
              <w:rPr>
                <w:i/>
                <w:color w:val="auto"/>
                <w:sz w:val="22"/>
                <w:szCs w:val="22"/>
              </w:rPr>
              <w:t xml:space="preserve">To the extent possible, advisers should be located within counterpart premises to foster engagement and responsiveness. </w:t>
            </w:r>
          </w:p>
        </w:tc>
        <w:tc>
          <w:tcPr>
            <w:tcW w:w="2171" w:type="dxa"/>
            <w:shd w:val="clear" w:color="auto" w:fill="92D050"/>
          </w:tcPr>
          <w:p w:rsidR="000B704D" w:rsidRPr="00383D41" w:rsidRDefault="006C3ED6" w:rsidP="005D6697">
            <w:pPr>
              <w:pStyle w:val="Heading3"/>
              <w:outlineLvl w:val="2"/>
              <w:cnfStyle w:val="000000010000" w:firstRow="0" w:lastRow="0" w:firstColumn="0" w:lastColumn="0" w:oddVBand="0" w:evenVBand="0" w:oddHBand="0" w:evenHBand="1" w:firstRowFirstColumn="0" w:firstRowLastColumn="0" w:lastRowFirstColumn="0" w:lastRowLastColumn="0"/>
              <w:rPr>
                <w:sz w:val="22"/>
                <w:szCs w:val="22"/>
              </w:rPr>
            </w:pPr>
            <w:r w:rsidRPr="00383D41">
              <w:rPr>
                <w:sz w:val="22"/>
                <w:szCs w:val="22"/>
              </w:rPr>
              <w:t>Agree</w:t>
            </w:r>
          </w:p>
        </w:tc>
        <w:tc>
          <w:tcPr>
            <w:tcW w:w="4489" w:type="dxa"/>
          </w:tcPr>
          <w:p w:rsidR="000B704D" w:rsidRPr="00383D41" w:rsidRDefault="005F2DF9" w:rsidP="00657197">
            <w:pPr>
              <w:pStyle w:val="BodyText"/>
              <w:cnfStyle w:val="000000010000" w:firstRow="0" w:lastRow="0" w:firstColumn="0" w:lastColumn="0" w:oddVBand="0" w:evenVBand="0" w:oddHBand="0" w:evenHBand="1" w:firstRowFirstColumn="0" w:firstRowLastColumn="0" w:lastRowFirstColumn="0" w:lastRowLastColumn="0"/>
            </w:pPr>
            <w:r w:rsidRPr="00383D41">
              <w:t xml:space="preserve">The KIAT Facility </w:t>
            </w:r>
            <w:r w:rsidR="00BA2303" w:rsidRPr="00383D41">
              <w:t>Design incorporates</w:t>
            </w:r>
            <w:r w:rsidRPr="00383D41">
              <w:t xml:space="preserve"> embedded lead advisers placed within counterpart premises. </w:t>
            </w:r>
          </w:p>
        </w:tc>
        <w:tc>
          <w:tcPr>
            <w:tcW w:w="3114" w:type="dxa"/>
          </w:tcPr>
          <w:p w:rsidR="000B704D" w:rsidRPr="00383D41" w:rsidRDefault="003F00F2" w:rsidP="003F00F2">
            <w:pPr>
              <w:pStyle w:val="BodyText"/>
              <w:numPr>
                <w:ilvl w:val="0"/>
                <w:numId w:val="17"/>
              </w:numPr>
              <w:ind w:left="319" w:hanging="283"/>
              <w:cnfStyle w:val="000000010000" w:firstRow="0" w:lastRow="0" w:firstColumn="0" w:lastColumn="0" w:oddVBand="0" w:evenVBand="0" w:oddHBand="0" w:evenHBand="1" w:firstRowFirstColumn="0" w:firstRowLastColumn="0" w:lastRowFirstColumn="0" w:lastRowLastColumn="0"/>
            </w:pPr>
            <w:r w:rsidRPr="00383D41">
              <w:t>Terms of Reference For Embedded Lead Advisers Developed in Consultation with counterpart agencies</w:t>
            </w:r>
          </w:p>
          <w:p w:rsidR="003F00F2" w:rsidRPr="00383D41" w:rsidRDefault="003F00F2" w:rsidP="003F00F2">
            <w:pPr>
              <w:pStyle w:val="BodyText"/>
              <w:numPr>
                <w:ilvl w:val="0"/>
                <w:numId w:val="17"/>
              </w:numPr>
              <w:ind w:left="319" w:hanging="283"/>
              <w:cnfStyle w:val="000000010000" w:firstRow="0" w:lastRow="0" w:firstColumn="0" w:lastColumn="0" w:oddVBand="0" w:evenVBand="0" w:oddHBand="0" w:evenHBand="1" w:firstRowFirstColumn="0" w:firstRowLastColumn="0" w:lastRowFirstColumn="0" w:lastRowLastColumn="0"/>
            </w:pPr>
            <w:r w:rsidRPr="00383D41">
              <w:t>Advisers recruited and mobilised</w:t>
            </w:r>
          </w:p>
        </w:tc>
        <w:tc>
          <w:tcPr>
            <w:tcW w:w="2273" w:type="dxa"/>
          </w:tcPr>
          <w:p w:rsidR="000B704D" w:rsidRPr="00383D41" w:rsidRDefault="003F00F2" w:rsidP="005D6697">
            <w:pPr>
              <w:pStyle w:val="BodyText"/>
              <w:cnfStyle w:val="000000010000" w:firstRow="0" w:lastRow="0" w:firstColumn="0" w:lastColumn="0" w:oddVBand="0" w:evenVBand="0" w:oddHBand="0" w:evenHBand="1" w:firstRowFirstColumn="0" w:firstRowLastColumn="0" w:lastRowFirstColumn="0" w:lastRowLastColumn="0"/>
            </w:pPr>
            <w:r w:rsidRPr="00383D41">
              <w:t>December 2017</w:t>
            </w:r>
          </w:p>
        </w:tc>
      </w:tr>
      <w:tr w:rsidR="000B704D" w:rsidTr="003F0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rsidR="000B704D" w:rsidRPr="00383D41" w:rsidRDefault="000B704D" w:rsidP="00AF3FC8">
            <w:pPr>
              <w:pStyle w:val="Heading3"/>
              <w:spacing w:before="0"/>
              <w:outlineLvl w:val="2"/>
              <w:rPr>
                <w:sz w:val="22"/>
                <w:szCs w:val="22"/>
              </w:rPr>
            </w:pPr>
            <w:r w:rsidRPr="00383D41">
              <w:rPr>
                <w:sz w:val="22"/>
                <w:szCs w:val="22"/>
              </w:rPr>
              <w:t>Recommendation 5</w:t>
            </w:r>
          </w:p>
          <w:p w:rsidR="000B704D" w:rsidRPr="00383D41" w:rsidRDefault="000B704D" w:rsidP="00383D41">
            <w:pPr>
              <w:pStyle w:val="Heading3"/>
              <w:spacing w:line="240" w:lineRule="auto"/>
              <w:outlineLvl w:val="2"/>
              <w:rPr>
                <w:i/>
                <w:color w:val="auto"/>
                <w:sz w:val="22"/>
                <w:szCs w:val="22"/>
              </w:rPr>
            </w:pPr>
            <w:r w:rsidRPr="00383D41">
              <w:rPr>
                <w:i/>
                <w:color w:val="auto"/>
                <w:sz w:val="22"/>
                <w:szCs w:val="22"/>
              </w:rPr>
              <w:t xml:space="preserve">The incoming team for the next phase of infrastructure investment must unambiguously define the boundaries of risk and responsibility between DFAT and the managing contractor; and in particular, set down precise activity approval protocols that accurately reflect the risk profile. </w:t>
            </w:r>
          </w:p>
        </w:tc>
        <w:tc>
          <w:tcPr>
            <w:tcW w:w="2171" w:type="dxa"/>
            <w:shd w:val="clear" w:color="auto" w:fill="92D050"/>
          </w:tcPr>
          <w:p w:rsidR="000B704D" w:rsidRPr="00383D41" w:rsidRDefault="006C3ED6" w:rsidP="005D6697">
            <w:pPr>
              <w:pStyle w:val="Heading3"/>
              <w:outlineLvl w:val="2"/>
              <w:cnfStyle w:val="000000100000" w:firstRow="0" w:lastRow="0" w:firstColumn="0" w:lastColumn="0" w:oddVBand="0" w:evenVBand="0" w:oddHBand="1" w:evenHBand="0" w:firstRowFirstColumn="0" w:firstRowLastColumn="0" w:lastRowFirstColumn="0" w:lastRowLastColumn="0"/>
              <w:rPr>
                <w:sz w:val="22"/>
                <w:szCs w:val="22"/>
              </w:rPr>
            </w:pPr>
            <w:r w:rsidRPr="00383D41">
              <w:rPr>
                <w:sz w:val="22"/>
                <w:szCs w:val="22"/>
              </w:rPr>
              <w:t>Agree</w:t>
            </w:r>
          </w:p>
        </w:tc>
        <w:tc>
          <w:tcPr>
            <w:tcW w:w="4489" w:type="dxa"/>
          </w:tcPr>
          <w:p w:rsidR="000B704D" w:rsidRPr="00383D41" w:rsidRDefault="00871C9D" w:rsidP="00657197">
            <w:pPr>
              <w:pStyle w:val="BodyText"/>
              <w:cnfStyle w:val="000000100000" w:firstRow="0" w:lastRow="0" w:firstColumn="0" w:lastColumn="0" w:oddVBand="0" w:evenVBand="0" w:oddHBand="1" w:evenHBand="0" w:firstRowFirstColumn="0" w:firstRowLastColumn="0" w:lastRowFirstColumn="0" w:lastRowLastColumn="0"/>
            </w:pPr>
            <w:r w:rsidRPr="00383D41">
              <w:t xml:space="preserve">Specific clauses have been included in the Facility Management Agreement </w:t>
            </w:r>
            <w:r w:rsidR="009A1C20" w:rsidRPr="00383D41">
              <w:t xml:space="preserve">and Facility Design Document </w:t>
            </w:r>
            <w:r w:rsidRPr="00383D41">
              <w:t xml:space="preserve">that unambiguously set out the roles and responsibilities of DFAT, GOI and the Managing Contractor in the delivery of the KIAT Facility. </w:t>
            </w:r>
          </w:p>
        </w:tc>
        <w:tc>
          <w:tcPr>
            <w:tcW w:w="3114" w:type="dxa"/>
          </w:tcPr>
          <w:p w:rsidR="000B704D" w:rsidRPr="00383D41" w:rsidRDefault="003F00F2" w:rsidP="00B51530">
            <w:pPr>
              <w:pStyle w:val="BodyText"/>
              <w:cnfStyle w:val="000000100000" w:firstRow="0" w:lastRow="0" w:firstColumn="0" w:lastColumn="0" w:oddVBand="0" w:evenVBand="0" w:oddHBand="1" w:evenHBand="0" w:firstRowFirstColumn="0" w:firstRowLastColumn="0" w:lastRowFirstColumn="0" w:lastRowLastColumn="0"/>
            </w:pPr>
            <w:r w:rsidRPr="00383D41">
              <w:t>Facility Management Agreement to include responsibilities for DFAT and the Managing Contractor</w:t>
            </w:r>
          </w:p>
        </w:tc>
        <w:tc>
          <w:tcPr>
            <w:tcW w:w="2273" w:type="dxa"/>
          </w:tcPr>
          <w:p w:rsidR="000B704D" w:rsidRPr="00383D41" w:rsidRDefault="003F00F2" w:rsidP="005D6697">
            <w:pPr>
              <w:pStyle w:val="BodyText"/>
              <w:cnfStyle w:val="000000100000" w:firstRow="0" w:lastRow="0" w:firstColumn="0" w:lastColumn="0" w:oddVBand="0" w:evenVBand="0" w:oddHBand="1" w:evenHBand="0" w:firstRowFirstColumn="0" w:firstRowLastColumn="0" w:lastRowFirstColumn="0" w:lastRowLastColumn="0"/>
            </w:pPr>
            <w:r w:rsidRPr="00383D41">
              <w:t>Done</w:t>
            </w:r>
          </w:p>
        </w:tc>
      </w:tr>
      <w:tr w:rsidR="000B704D" w:rsidTr="003F00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rsidR="000B704D" w:rsidRPr="00383D41" w:rsidRDefault="000B704D" w:rsidP="00AF3FC8">
            <w:pPr>
              <w:pStyle w:val="Heading3"/>
              <w:spacing w:before="0"/>
              <w:outlineLvl w:val="2"/>
              <w:rPr>
                <w:sz w:val="22"/>
                <w:szCs w:val="22"/>
              </w:rPr>
            </w:pPr>
            <w:r w:rsidRPr="00383D41">
              <w:rPr>
                <w:sz w:val="22"/>
                <w:szCs w:val="22"/>
              </w:rPr>
              <w:t>Recommendation 6</w:t>
            </w:r>
          </w:p>
          <w:p w:rsidR="000B704D" w:rsidRPr="00383D41" w:rsidRDefault="000B704D" w:rsidP="00383D41">
            <w:pPr>
              <w:pStyle w:val="Heading3"/>
              <w:spacing w:line="240" w:lineRule="auto"/>
              <w:outlineLvl w:val="2"/>
              <w:rPr>
                <w:i/>
                <w:color w:val="auto"/>
                <w:sz w:val="22"/>
                <w:szCs w:val="22"/>
              </w:rPr>
            </w:pPr>
            <w:r w:rsidRPr="00383D41">
              <w:rPr>
                <w:i/>
                <w:color w:val="auto"/>
                <w:sz w:val="22"/>
                <w:szCs w:val="22"/>
              </w:rPr>
              <w:t xml:space="preserve">The incoming team for the next phase of infrastructure investment should explore ways to foster more meaningful involvement of GoI counterparts in activity design, while ensuring appropriate measures are in place to mitigate delays. </w:t>
            </w:r>
          </w:p>
        </w:tc>
        <w:tc>
          <w:tcPr>
            <w:tcW w:w="2171" w:type="dxa"/>
            <w:shd w:val="clear" w:color="auto" w:fill="92D050"/>
          </w:tcPr>
          <w:p w:rsidR="000B704D" w:rsidRPr="00383D41" w:rsidRDefault="006C3ED6" w:rsidP="005D6697">
            <w:pPr>
              <w:pStyle w:val="Heading3"/>
              <w:outlineLvl w:val="2"/>
              <w:cnfStyle w:val="000000010000" w:firstRow="0" w:lastRow="0" w:firstColumn="0" w:lastColumn="0" w:oddVBand="0" w:evenVBand="0" w:oddHBand="0" w:evenHBand="1" w:firstRowFirstColumn="0" w:firstRowLastColumn="0" w:lastRowFirstColumn="0" w:lastRowLastColumn="0"/>
              <w:rPr>
                <w:sz w:val="22"/>
                <w:szCs w:val="22"/>
              </w:rPr>
            </w:pPr>
            <w:r w:rsidRPr="00383D41">
              <w:rPr>
                <w:sz w:val="22"/>
                <w:szCs w:val="22"/>
              </w:rPr>
              <w:t>Agree</w:t>
            </w:r>
          </w:p>
        </w:tc>
        <w:tc>
          <w:tcPr>
            <w:tcW w:w="4489" w:type="dxa"/>
          </w:tcPr>
          <w:p w:rsidR="000B704D" w:rsidRPr="00383D41" w:rsidRDefault="00D07D53" w:rsidP="00871C9D">
            <w:pPr>
              <w:pStyle w:val="BodyText"/>
              <w:cnfStyle w:val="000000010000" w:firstRow="0" w:lastRow="0" w:firstColumn="0" w:lastColumn="0" w:oddVBand="0" w:evenVBand="0" w:oddHBand="0" w:evenHBand="1" w:firstRowFirstColumn="0" w:firstRowLastColumn="0" w:lastRowFirstColumn="0" w:lastRowLastColumn="0"/>
            </w:pPr>
            <w:r w:rsidRPr="00383D41">
              <w:t>The KIAT Facility design document documents a new Activity Design process, which includes specific roles for GOI counterparts in the design process. This process is being further refined in consultation with GoI and is expected to be endorsed at the first KIA</w:t>
            </w:r>
            <w:r w:rsidR="003C19EB" w:rsidRPr="00383D41">
              <w:t>T</w:t>
            </w:r>
            <w:r w:rsidRPr="00383D41">
              <w:t xml:space="preserve"> Management Committee meeting</w:t>
            </w:r>
            <w:r w:rsidR="00871C9D" w:rsidRPr="00383D41">
              <w:t xml:space="preserve"> in October 2017</w:t>
            </w:r>
            <w:r w:rsidRPr="00383D41">
              <w:t>.</w:t>
            </w:r>
          </w:p>
        </w:tc>
        <w:tc>
          <w:tcPr>
            <w:tcW w:w="3114" w:type="dxa"/>
          </w:tcPr>
          <w:p w:rsidR="000B704D" w:rsidRPr="00383D41" w:rsidRDefault="003F00F2" w:rsidP="003F00F2">
            <w:pPr>
              <w:pStyle w:val="BodyText"/>
              <w:numPr>
                <w:ilvl w:val="0"/>
                <w:numId w:val="18"/>
              </w:numPr>
              <w:ind w:left="319" w:hanging="283"/>
              <w:cnfStyle w:val="000000010000" w:firstRow="0" w:lastRow="0" w:firstColumn="0" w:lastColumn="0" w:oddVBand="0" w:evenVBand="0" w:oddHBand="0" w:evenHBand="1" w:firstRowFirstColumn="0" w:firstRowLastColumn="0" w:lastRowFirstColumn="0" w:lastRowLastColumn="0"/>
            </w:pPr>
            <w:r w:rsidRPr="00383D41">
              <w:t>Revised Activity Design Process drafted</w:t>
            </w:r>
          </w:p>
          <w:p w:rsidR="003F00F2" w:rsidRPr="00383D41" w:rsidRDefault="003F00F2" w:rsidP="003F00F2">
            <w:pPr>
              <w:pStyle w:val="BodyText"/>
              <w:numPr>
                <w:ilvl w:val="0"/>
                <w:numId w:val="18"/>
              </w:numPr>
              <w:ind w:left="319" w:hanging="283"/>
              <w:cnfStyle w:val="000000010000" w:firstRow="0" w:lastRow="0" w:firstColumn="0" w:lastColumn="0" w:oddVBand="0" w:evenVBand="0" w:oddHBand="0" w:evenHBand="1" w:firstRowFirstColumn="0" w:firstRowLastColumn="0" w:lastRowFirstColumn="0" w:lastRowLastColumn="0"/>
            </w:pPr>
            <w:r w:rsidRPr="00383D41">
              <w:t>Activity Design Process endorsed by KIAT Management Committee</w:t>
            </w:r>
          </w:p>
        </w:tc>
        <w:tc>
          <w:tcPr>
            <w:tcW w:w="2273" w:type="dxa"/>
          </w:tcPr>
          <w:p w:rsidR="000B704D" w:rsidRPr="00383D41" w:rsidRDefault="003F00F2" w:rsidP="005D6697">
            <w:pPr>
              <w:pStyle w:val="BodyText"/>
              <w:cnfStyle w:val="000000010000" w:firstRow="0" w:lastRow="0" w:firstColumn="0" w:lastColumn="0" w:oddVBand="0" w:evenVBand="0" w:oddHBand="0" w:evenHBand="1" w:firstRowFirstColumn="0" w:firstRowLastColumn="0" w:lastRowFirstColumn="0" w:lastRowLastColumn="0"/>
            </w:pPr>
            <w:r w:rsidRPr="00383D41">
              <w:t>October 2017</w:t>
            </w:r>
          </w:p>
        </w:tc>
      </w:tr>
      <w:tr w:rsidR="000B704D" w:rsidTr="003F0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rsidR="000B704D" w:rsidRPr="00383D41" w:rsidRDefault="000B704D" w:rsidP="00AF3FC8">
            <w:pPr>
              <w:pStyle w:val="Heading3"/>
              <w:spacing w:before="0"/>
              <w:outlineLvl w:val="2"/>
              <w:rPr>
                <w:sz w:val="22"/>
                <w:szCs w:val="22"/>
              </w:rPr>
            </w:pPr>
            <w:r w:rsidRPr="00383D41">
              <w:rPr>
                <w:sz w:val="22"/>
                <w:szCs w:val="22"/>
              </w:rPr>
              <w:t>Recommendation 7</w:t>
            </w:r>
          </w:p>
          <w:p w:rsidR="000B704D" w:rsidRPr="00383D41" w:rsidRDefault="000B704D" w:rsidP="00383D41">
            <w:pPr>
              <w:pStyle w:val="Heading3"/>
              <w:spacing w:line="240" w:lineRule="auto"/>
              <w:outlineLvl w:val="2"/>
              <w:rPr>
                <w:i/>
                <w:color w:val="auto"/>
                <w:sz w:val="22"/>
                <w:szCs w:val="22"/>
              </w:rPr>
            </w:pPr>
            <w:r w:rsidRPr="00383D41">
              <w:rPr>
                <w:i/>
                <w:color w:val="auto"/>
                <w:sz w:val="22"/>
                <w:szCs w:val="22"/>
              </w:rPr>
              <w:t xml:space="preserve">Procurement for large-scale technical assistance projects should favour firms rather than teams of individually hired consultants. Within consultants’ teams the comparative advantages of having fewer full-time individual team members versus a larger number of intermittent advisers should be assessed. The preferences of counterpart agencies should be considered. </w:t>
            </w:r>
          </w:p>
        </w:tc>
        <w:tc>
          <w:tcPr>
            <w:tcW w:w="2171" w:type="dxa"/>
            <w:shd w:val="clear" w:color="auto" w:fill="92D050"/>
          </w:tcPr>
          <w:p w:rsidR="000B704D" w:rsidRPr="00383D41" w:rsidRDefault="006C3ED6" w:rsidP="005D6697">
            <w:pPr>
              <w:pStyle w:val="Heading3"/>
              <w:outlineLvl w:val="2"/>
              <w:cnfStyle w:val="000000100000" w:firstRow="0" w:lastRow="0" w:firstColumn="0" w:lastColumn="0" w:oddVBand="0" w:evenVBand="0" w:oddHBand="1" w:evenHBand="0" w:firstRowFirstColumn="0" w:firstRowLastColumn="0" w:lastRowFirstColumn="0" w:lastRowLastColumn="0"/>
              <w:rPr>
                <w:sz w:val="22"/>
                <w:szCs w:val="22"/>
              </w:rPr>
            </w:pPr>
            <w:r w:rsidRPr="00383D41">
              <w:rPr>
                <w:sz w:val="22"/>
                <w:szCs w:val="22"/>
              </w:rPr>
              <w:t>Agree</w:t>
            </w:r>
          </w:p>
        </w:tc>
        <w:tc>
          <w:tcPr>
            <w:tcW w:w="4489" w:type="dxa"/>
          </w:tcPr>
          <w:p w:rsidR="000B704D" w:rsidRPr="00383D41" w:rsidRDefault="003C19EB" w:rsidP="005D6697">
            <w:pPr>
              <w:pStyle w:val="BodyText"/>
              <w:cnfStyle w:val="000000100000" w:firstRow="0" w:lastRow="0" w:firstColumn="0" w:lastColumn="0" w:oddVBand="0" w:evenVBand="0" w:oddHBand="1" w:evenHBand="0" w:firstRowFirstColumn="0" w:firstRowLastColumn="0" w:lastRowFirstColumn="0" w:lastRowLastColumn="0"/>
            </w:pPr>
            <w:r w:rsidRPr="00383D41">
              <w:t>The KIAT Facility Design Document specifically recommends the use of firms rather than team</w:t>
            </w:r>
            <w:r w:rsidR="00B11873" w:rsidRPr="00383D41">
              <w:t>s</w:t>
            </w:r>
            <w:r w:rsidRPr="00383D41">
              <w:t xml:space="preserve"> of individually hired consultants</w:t>
            </w:r>
            <w:r w:rsidR="00B11873" w:rsidRPr="00383D41">
              <w:t>. Consideration of the structuring of individual activities will be included in the activity design process.</w:t>
            </w:r>
          </w:p>
        </w:tc>
        <w:tc>
          <w:tcPr>
            <w:tcW w:w="3114" w:type="dxa"/>
          </w:tcPr>
          <w:p w:rsidR="003F00F2" w:rsidRPr="00383D41" w:rsidRDefault="003F00F2" w:rsidP="003F00F2">
            <w:pPr>
              <w:pStyle w:val="BodyText"/>
              <w:numPr>
                <w:ilvl w:val="0"/>
                <w:numId w:val="19"/>
              </w:numPr>
              <w:ind w:left="319" w:hanging="283"/>
              <w:cnfStyle w:val="000000100000" w:firstRow="0" w:lastRow="0" w:firstColumn="0" w:lastColumn="0" w:oddVBand="0" w:evenVBand="0" w:oddHBand="1" w:evenHBand="0" w:firstRowFirstColumn="0" w:firstRowLastColumn="0" w:lastRowFirstColumn="0" w:lastRowLastColumn="0"/>
            </w:pPr>
            <w:r w:rsidRPr="00383D41">
              <w:t>Activity Design Process Endorsed</w:t>
            </w:r>
          </w:p>
          <w:p w:rsidR="000B704D" w:rsidRPr="00383D41" w:rsidRDefault="003F00F2" w:rsidP="003F00F2">
            <w:pPr>
              <w:pStyle w:val="BodyText"/>
              <w:numPr>
                <w:ilvl w:val="0"/>
                <w:numId w:val="19"/>
              </w:numPr>
              <w:ind w:left="319" w:hanging="283"/>
              <w:cnfStyle w:val="000000100000" w:firstRow="0" w:lastRow="0" w:firstColumn="0" w:lastColumn="0" w:oddVBand="0" w:evenVBand="0" w:oddHBand="1" w:evenHBand="0" w:firstRowFirstColumn="0" w:firstRowLastColumn="0" w:lastRowFirstColumn="0" w:lastRowLastColumn="0"/>
            </w:pPr>
            <w:r w:rsidRPr="00383D41">
              <w:t xml:space="preserve">Procurement Policy set out in Facility Operations Manual </w:t>
            </w:r>
          </w:p>
        </w:tc>
        <w:tc>
          <w:tcPr>
            <w:tcW w:w="2273" w:type="dxa"/>
          </w:tcPr>
          <w:p w:rsidR="000B704D" w:rsidRPr="00383D41" w:rsidRDefault="003F00F2" w:rsidP="005D6697">
            <w:pPr>
              <w:pStyle w:val="BodyText"/>
              <w:cnfStyle w:val="000000100000" w:firstRow="0" w:lastRow="0" w:firstColumn="0" w:lastColumn="0" w:oddVBand="0" w:evenVBand="0" w:oddHBand="1" w:evenHBand="0" w:firstRowFirstColumn="0" w:firstRowLastColumn="0" w:lastRowFirstColumn="0" w:lastRowLastColumn="0"/>
            </w:pPr>
            <w:r w:rsidRPr="00383D41">
              <w:t>October 2017</w:t>
            </w:r>
          </w:p>
        </w:tc>
      </w:tr>
      <w:tr w:rsidR="000B704D" w:rsidTr="003F00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rsidR="000B704D" w:rsidRPr="00383D41" w:rsidRDefault="000B704D" w:rsidP="00AF3FC8">
            <w:pPr>
              <w:pStyle w:val="Heading3"/>
              <w:spacing w:before="0"/>
              <w:outlineLvl w:val="2"/>
              <w:rPr>
                <w:sz w:val="22"/>
                <w:szCs w:val="22"/>
              </w:rPr>
            </w:pPr>
            <w:r w:rsidRPr="00383D41">
              <w:rPr>
                <w:sz w:val="22"/>
                <w:szCs w:val="22"/>
              </w:rPr>
              <w:t>Recommendation 8</w:t>
            </w:r>
          </w:p>
          <w:p w:rsidR="000B704D" w:rsidRPr="00383D41" w:rsidRDefault="000B704D" w:rsidP="00383D41">
            <w:pPr>
              <w:pStyle w:val="Heading3"/>
              <w:spacing w:line="240" w:lineRule="auto"/>
              <w:outlineLvl w:val="2"/>
              <w:rPr>
                <w:i/>
                <w:color w:val="auto"/>
                <w:sz w:val="22"/>
                <w:szCs w:val="22"/>
              </w:rPr>
            </w:pPr>
            <w:r w:rsidRPr="00383D41">
              <w:rPr>
                <w:i/>
                <w:color w:val="auto"/>
                <w:sz w:val="22"/>
                <w:szCs w:val="22"/>
              </w:rPr>
              <w:t xml:space="preserve">DFAT should consider the merits of establishing an independent (or quasi-independent) M&amp;E contractor to oversee both operational and strategic performance management across the infrastructure portfolio. Such an arrangement should provide greater regularity than was achieved with the IAT and could conduct annual facility assessments. </w:t>
            </w:r>
          </w:p>
        </w:tc>
        <w:tc>
          <w:tcPr>
            <w:tcW w:w="2171" w:type="dxa"/>
            <w:shd w:val="clear" w:color="auto" w:fill="FFC000"/>
          </w:tcPr>
          <w:p w:rsidR="000B704D" w:rsidRPr="00383D41" w:rsidRDefault="006C059A" w:rsidP="005D6697">
            <w:pPr>
              <w:pStyle w:val="Heading3"/>
              <w:outlineLvl w:val="2"/>
              <w:cnfStyle w:val="000000010000" w:firstRow="0" w:lastRow="0" w:firstColumn="0" w:lastColumn="0" w:oddVBand="0" w:evenVBand="0" w:oddHBand="0" w:evenHBand="1" w:firstRowFirstColumn="0" w:firstRowLastColumn="0" w:lastRowFirstColumn="0" w:lastRowLastColumn="0"/>
              <w:rPr>
                <w:sz w:val="22"/>
                <w:szCs w:val="22"/>
              </w:rPr>
            </w:pPr>
            <w:r w:rsidRPr="00383D41">
              <w:rPr>
                <w:sz w:val="22"/>
                <w:szCs w:val="22"/>
              </w:rPr>
              <w:t>Agree in part</w:t>
            </w:r>
          </w:p>
        </w:tc>
        <w:tc>
          <w:tcPr>
            <w:tcW w:w="4489" w:type="dxa"/>
          </w:tcPr>
          <w:p w:rsidR="000B704D" w:rsidRPr="00383D41" w:rsidRDefault="00187A24" w:rsidP="005D6697">
            <w:pPr>
              <w:pStyle w:val="BodyText"/>
              <w:cnfStyle w:val="000000010000" w:firstRow="0" w:lastRow="0" w:firstColumn="0" w:lastColumn="0" w:oddVBand="0" w:evenVBand="0" w:oddHBand="0" w:evenHBand="1" w:firstRowFirstColumn="0" w:firstRowLastColumn="0" w:lastRowFirstColumn="0" w:lastRowLastColumn="0"/>
            </w:pPr>
            <w:r w:rsidRPr="00383D41">
              <w:t>Although we agree with the benefits of a whole of life M&amp;E program with more regular assessment, our preference is for the KIAT to undertake regular M&amp;E using the resources of the facility with these findings to be audited by an independent M&amp;E specialist. Given the current diversity of the infrastructure portfolio, we are not convinced of the merits of trying to integrate M&amp;E arrangements on a portfolio-wide basis</w:t>
            </w:r>
            <w:r w:rsidR="009A1C20" w:rsidRPr="00383D41">
              <w:t>, however we will continue to draw on the resources of DFAT’s Quality Investment Support Services arrangement to augment the facility’s in-house M&amp;E capability.</w:t>
            </w:r>
          </w:p>
        </w:tc>
        <w:tc>
          <w:tcPr>
            <w:tcW w:w="3114" w:type="dxa"/>
          </w:tcPr>
          <w:p w:rsidR="000B704D" w:rsidRPr="00383D41" w:rsidRDefault="003F00F2" w:rsidP="005D6697">
            <w:pPr>
              <w:pStyle w:val="BodyText"/>
              <w:cnfStyle w:val="000000010000" w:firstRow="0" w:lastRow="0" w:firstColumn="0" w:lastColumn="0" w:oddVBand="0" w:evenVBand="0" w:oddHBand="0" w:evenHBand="1" w:firstRowFirstColumn="0" w:firstRowLastColumn="0" w:lastRowFirstColumn="0" w:lastRowLastColumn="0"/>
            </w:pPr>
            <w:r w:rsidRPr="00383D41">
              <w:t>KIAT Facility to procure independent M&amp;E audit function</w:t>
            </w:r>
          </w:p>
        </w:tc>
        <w:tc>
          <w:tcPr>
            <w:tcW w:w="2273" w:type="dxa"/>
          </w:tcPr>
          <w:p w:rsidR="000B704D" w:rsidRPr="00383D41" w:rsidRDefault="003F00F2" w:rsidP="005D6697">
            <w:pPr>
              <w:pStyle w:val="BodyText"/>
              <w:cnfStyle w:val="000000010000" w:firstRow="0" w:lastRow="0" w:firstColumn="0" w:lastColumn="0" w:oddVBand="0" w:evenVBand="0" w:oddHBand="0" w:evenHBand="1" w:firstRowFirstColumn="0" w:firstRowLastColumn="0" w:lastRowFirstColumn="0" w:lastRowLastColumn="0"/>
            </w:pPr>
            <w:r w:rsidRPr="00383D41">
              <w:t>December 2017</w:t>
            </w:r>
          </w:p>
        </w:tc>
      </w:tr>
      <w:tr w:rsidR="000B704D" w:rsidTr="003F0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rsidR="000B704D" w:rsidRPr="00383D41" w:rsidRDefault="000B704D" w:rsidP="000B704D">
            <w:pPr>
              <w:pStyle w:val="Heading3"/>
              <w:spacing w:before="0"/>
              <w:outlineLvl w:val="2"/>
              <w:rPr>
                <w:sz w:val="22"/>
                <w:szCs w:val="22"/>
              </w:rPr>
            </w:pPr>
            <w:r w:rsidRPr="00383D41">
              <w:rPr>
                <w:sz w:val="22"/>
                <w:szCs w:val="22"/>
              </w:rPr>
              <w:t>Recommendation 9</w:t>
            </w:r>
          </w:p>
          <w:p w:rsidR="000B704D" w:rsidRPr="00383D41" w:rsidRDefault="000B704D" w:rsidP="00383D41">
            <w:pPr>
              <w:pStyle w:val="Heading3"/>
              <w:spacing w:line="240" w:lineRule="auto"/>
              <w:outlineLvl w:val="2"/>
              <w:rPr>
                <w:i/>
                <w:color w:val="auto"/>
                <w:sz w:val="22"/>
                <w:szCs w:val="22"/>
              </w:rPr>
            </w:pPr>
            <w:r w:rsidRPr="00383D41">
              <w:rPr>
                <w:i/>
                <w:color w:val="auto"/>
                <w:sz w:val="22"/>
                <w:szCs w:val="22"/>
              </w:rPr>
              <w:t xml:space="preserve">The incoming team for the new phase of infrastructure investment should examine ways of making gender equality and social inclusion a more prominent part of the program, including assessing the overall contribution of the facility to improving equality in Indonesia. </w:t>
            </w:r>
          </w:p>
        </w:tc>
        <w:tc>
          <w:tcPr>
            <w:tcW w:w="2171" w:type="dxa"/>
            <w:shd w:val="clear" w:color="auto" w:fill="92D050"/>
          </w:tcPr>
          <w:p w:rsidR="000B704D" w:rsidRPr="00383D41" w:rsidRDefault="006C3ED6" w:rsidP="005D6697">
            <w:pPr>
              <w:pStyle w:val="Heading3"/>
              <w:outlineLvl w:val="2"/>
              <w:cnfStyle w:val="000000100000" w:firstRow="0" w:lastRow="0" w:firstColumn="0" w:lastColumn="0" w:oddVBand="0" w:evenVBand="0" w:oddHBand="1" w:evenHBand="0" w:firstRowFirstColumn="0" w:firstRowLastColumn="0" w:lastRowFirstColumn="0" w:lastRowLastColumn="0"/>
              <w:rPr>
                <w:sz w:val="22"/>
                <w:szCs w:val="22"/>
              </w:rPr>
            </w:pPr>
            <w:r w:rsidRPr="00383D41">
              <w:rPr>
                <w:sz w:val="22"/>
                <w:szCs w:val="22"/>
              </w:rPr>
              <w:t>Agree</w:t>
            </w:r>
          </w:p>
        </w:tc>
        <w:tc>
          <w:tcPr>
            <w:tcW w:w="4489" w:type="dxa"/>
          </w:tcPr>
          <w:p w:rsidR="000B704D" w:rsidRPr="00383D41" w:rsidRDefault="00187A24" w:rsidP="00187A24">
            <w:pPr>
              <w:pStyle w:val="BodyText"/>
              <w:cnfStyle w:val="000000100000" w:firstRow="0" w:lastRow="0" w:firstColumn="0" w:lastColumn="0" w:oddVBand="0" w:evenVBand="0" w:oddHBand="1" w:evenHBand="0" w:firstRowFirstColumn="0" w:firstRowLastColumn="0" w:lastRowFirstColumn="0" w:lastRowLastColumn="0"/>
            </w:pPr>
            <w:r w:rsidRPr="00383D41">
              <w:t>Gender equality and social inclusion have been fully integrated into the program logic of the new KIAT facility. This increased emphasis has also led to the recruitment of a full-time Deputy Director of Gender and Social Inclusion for the facility.</w:t>
            </w:r>
          </w:p>
        </w:tc>
        <w:tc>
          <w:tcPr>
            <w:tcW w:w="3114" w:type="dxa"/>
          </w:tcPr>
          <w:p w:rsidR="000B704D" w:rsidRPr="00383D41" w:rsidRDefault="003F00F2" w:rsidP="005D6697">
            <w:pPr>
              <w:pStyle w:val="BodyText"/>
              <w:cnfStyle w:val="000000100000" w:firstRow="0" w:lastRow="0" w:firstColumn="0" w:lastColumn="0" w:oddVBand="0" w:evenVBand="0" w:oddHBand="1" w:evenHBand="0" w:firstRowFirstColumn="0" w:firstRowLastColumn="0" w:lastRowFirstColumn="0" w:lastRowLastColumn="0"/>
            </w:pPr>
            <w:r w:rsidRPr="00383D41">
              <w:t xml:space="preserve">Gender and Social Inclusion Deputy Director position established </w:t>
            </w:r>
          </w:p>
        </w:tc>
        <w:tc>
          <w:tcPr>
            <w:tcW w:w="2273" w:type="dxa"/>
          </w:tcPr>
          <w:p w:rsidR="000B704D" w:rsidRPr="00383D41" w:rsidRDefault="003F00F2" w:rsidP="005D6697">
            <w:pPr>
              <w:pStyle w:val="BodyText"/>
              <w:cnfStyle w:val="000000100000" w:firstRow="0" w:lastRow="0" w:firstColumn="0" w:lastColumn="0" w:oddVBand="0" w:evenVBand="0" w:oddHBand="1" w:evenHBand="0" w:firstRowFirstColumn="0" w:firstRowLastColumn="0" w:lastRowFirstColumn="0" w:lastRowLastColumn="0"/>
            </w:pPr>
            <w:r w:rsidRPr="00383D41">
              <w:t>Done</w:t>
            </w:r>
          </w:p>
        </w:tc>
      </w:tr>
      <w:tr w:rsidR="000B704D" w:rsidTr="003F00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rsidR="000B704D" w:rsidRPr="00383D41" w:rsidRDefault="000B704D" w:rsidP="000B704D">
            <w:pPr>
              <w:pStyle w:val="Heading3"/>
              <w:spacing w:before="0"/>
              <w:outlineLvl w:val="2"/>
              <w:rPr>
                <w:sz w:val="22"/>
                <w:szCs w:val="22"/>
              </w:rPr>
            </w:pPr>
            <w:r w:rsidRPr="00383D41">
              <w:rPr>
                <w:sz w:val="22"/>
                <w:szCs w:val="22"/>
              </w:rPr>
              <w:t>Recommendation 10</w:t>
            </w:r>
          </w:p>
          <w:p w:rsidR="000B704D" w:rsidRPr="00383D41" w:rsidRDefault="000B704D" w:rsidP="00383D41">
            <w:pPr>
              <w:pStyle w:val="Heading3"/>
              <w:spacing w:line="240" w:lineRule="auto"/>
              <w:outlineLvl w:val="2"/>
              <w:rPr>
                <w:i/>
                <w:color w:val="auto"/>
                <w:sz w:val="22"/>
                <w:szCs w:val="22"/>
              </w:rPr>
            </w:pPr>
            <w:r w:rsidRPr="00383D41">
              <w:rPr>
                <w:i/>
                <w:color w:val="auto"/>
                <w:sz w:val="22"/>
                <w:szCs w:val="22"/>
              </w:rPr>
              <w:t xml:space="preserve">The incoming team for the new phase of infrastructure investment should detail the basis for engagement and collaboration with the MDBs. The impact of the ADB’s Engineering Services projects on demand for Australian support should be assessed. </w:t>
            </w:r>
          </w:p>
        </w:tc>
        <w:tc>
          <w:tcPr>
            <w:tcW w:w="2171" w:type="dxa"/>
            <w:shd w:val="clear" w:color="auto" w:fill="92D050"/>
          </w:tcPr>
          <w:p w:rsidR="000B704D" w:rsidRPr="00383D41" w:rsidRDefault="006C3ED6" w:rsidP="005D6697">
            <w:pPr>
              <w:pStyle w:val="Heading3"/>
              <w:outlineLvl w:val="2"/>
              <w:cnfStyle w:val="000000010000" w:firstRow="0" w:lastRow="0" w:firstColumn="0" w:lastColumn="0" w:oddVBand="0" w:evenVBand="0" w:oddHBand="0" w:evenHBand="1" w:firstRowFirstColumn="0" w:firstRowLastColumn="0" w:lastRowFirstColumn="0" w:lastRowLastColumn="0"/>
              <w:rPr>
                <w:sz w:val="22"/>
                <w:szCs w:val="22"/>
              </w:rPr>
            </w:pPr>
            <w:r w:rsidRPr="00383D41">
              <w:rPr>
                <w:sz w:val="22"/>
                <w:szCs w:val="22"/>
              </w:rPr>
              <w:t>Agree</w:t>
            </w:r>
          </w:p>
        </w:tc>
        <w:tc>
          <w:tcPr>
            <w:tcW w:w="4489" w:type="dxa"/>
          </w:tcPr>
          <w:p w:rsidR="000B704D" w:rsidRPr="00383D41" w:rsidRDefault="00635677" w:rsidP="00B51530">
            <w:pPr>
              <w:pStyle w:val="BodyText"/>
              <w:cnfStyle w:val="000000010000" w:firstRow="0" w:lastRow="0" w:firstColumn="0" w:lastColumn="0" w:oddVBand="0" w:evenVBand="0" w:oddHBand="0" w:evenHBand="1" w:firstRowFirstColumn="0" w:firstRowLastColumn="0" w:lastRowFirstColumn="0" w:lastRowLastColumn="0"/>
            </w:pPr>
            <w:r w:rsidRPr="00383D41">
              <w:t>Engagement and cooperation with the multilateral banks has been fully integrated into the design of the new KIAT facility. This increased emphasis has led to the recruitment of a full-time Deputy Director for Private Sector and Multilateral Engagement</w:t>
            </w:r>
            <w:r w:rsidR="00B51530">
              <w:t xml:space="preserve"> whose responsibilities include ensuring Australian development investments complement those of the multilateral development banks</w:t>
            </w:r>
            <w:r w:rsidRPr="00383D41">
              <w:t>.</w:t>
            </w:r>
          </w:p>
        </w:tc>
        <w:tc>
          <w:tcPr>
            <w:tcW w:w="3114" w:type="dxa"/>
          </w:tcPr>
          <w:p w:rsidR="000B704D" w:rsidRPr="00383D41" w:rsidRDefault="003F00F2" w:rsidP="005D6697">
            <w:pPr>
              <w:pStyle w:val="BodyText"/>
              <w:cnfStyle w:val="000000010000" w:firstRow="0" w:lastRow="0" w:firstColumn="0" w:lastColumn="0" w:oddVBand="0" w:evenVBand="0" w:oddHBand="0" w:evenHBand="1" w:firstRowFirstColumn="0" w:firstRowLastColumn="0" w:lastRowFirstColumn="0" w:lastRowLastColumn="0"/>
            </w:pPr>
            <w:r w:rsidRPr="00383D41">
              <w:t>Director for Private Sector and Multilateral Engagement position established</w:t>
            </w:r>
          </w:p>
        </w:tc>
        <w:tc>
          <w:tcPr>
            <w:tcW w:w="2273" w:type="dxa"/>
          </w:tcPr>
          <w:p w:rsidR="000B704D" w:rsidRPr="00383D41" w:rsidRDefault="003F00F2" w:rsidP="005D6697">
            <w:pPr>
              <w:pStyle w:val="BodyText"/>
              <w:cnfStyle w:val="000000010000" w:firstRow="0" w:lastRow="0" w:firstColumn="0" w:lastColumn="0" w:oddVBand="0" w:evenVBand="0" w:oddHBand="0" w:evenHBand="1" w:firstRowFirstColumn="0" w:firstRowLastColumn="0" w:lastRowFirstColumn="0" w:lastRowLastColumn="0"/>
            </w:pPr>
            <w:r w:rsidRPr="00383D41">
              <w:t>Done</w:t>
            </w:r>
          </w:p>
        </w:tc>
      </w:tr>
      <w:tr w:rsidR="000B704D" w:rsidTr="003F0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rsidR="000B704D" w:rsidRPr="00383D41" w:rsidRDefault="000B704D" w:rsidP="000B704D">
            <w:pPr>
              <w:pStyle w:val="Heading3"/>
              <w:spacing w:before="0"/>
              <w:outlineLvl w:val="2"/>
              <w:rPr>
                <w:sz w:val="22"/>
                <w:szCs w:val="22"/>
              </w:rPr>
            </w:pPr>
            <w:r w:rsidRPr="00383D41">
              <w:rPr>
                <w:sz w:val="22"/>
                <w:szCs w:val="22"/>
              </w:rPr>
              <w:t>Recommendation 11</w:t>
            </w:r>
          </w:p>
          <w:p w:rsidR="000B704D" w:rsidRPr="00383D41" w:rsidRDefault="000B704D" w:rsidP="00383D41">
            <w:pPr>
              <w:pStyle w:val="Heading3"/>
              <w:spacing w:line="240" w:lineRule="auto"/>
              <w:outlineLvl w:val="2"/>
              <w:rPr>
                <w:i/>
                <w:color w:val="auto"/>
                <w:sz w:val="22"/>
                <w:szCs w:val="22"/>
              </w:rPr>
            </w:pPr>
            <w:r w:rsidRPr="00383D41">
              <w:rPr>
                <w:i/>
                <w:color w:val="auto"/>
                <w:sz w:val="22"/>
                <w:szCs w:val="22"/>
              </w:rPr>
              <w:t xml:space="preserve">DFAT should convene regular sector coordination meetings involving the IndII FMC, relevant IndII sub-contractors and the MDBs to promote greater alignment and resolve any issues that may arise within the sector. </w:t>
            </w:r>
          </w:p>
        </w:tc>
        <w:tc>
          <w:tcPr>
            <w:tcW w:w="2171" w:type="dxa"/>
            <w:shd w:val="clear" w:color="auto" w:fill="92D050"/>
          </w:tcPr>
          <w:p w:rsidR="000B704D" w:rsidRPr="00383D41" w:rsidRDefault="006C3ED6" w:rsidP="005D6697">
            <w:pPr>
              <w:pStyle w:val="Heading3"/>
              <w:outlineLvl w:val="2"/>
              <w:cnfStyle w:val="000000100000" w:firstRow="0" w:lastRow="0" w:firstColumn="0" w:lastColumn="0" w:oddVBand="0" w:evenVBand="0" w:oddHBand="1" w:evenHBand="0" w:firstRowFirstColumn="0" w:firstRowLastColumn="0" w:lastRowFirstColumn="0" w:lastRowLastColumn="0"/>
              <w:rPr>
                <w:sz w:val="22"/>
                <w:szCs w:val="22"/>
              </w:rPr>
            </w:pPr>
            <w:r w:rsidRPr="00383D41">
              <w:rPr>
                <w:sz w:val="22"/>
                <w:szCs w:val="22"/>
              </w:rPr>
              <w:t>Agree</w:t>
            </w:r>
          </w:p>
        </w:tc>
        <w:tc>
          <w:tcPr>
            <w:tcW w:w="4489" w:type="dxa"/>
          </w:tcPr>
          <w:p w:rsidR="000B704D" w:rsidRPr="00383D41" w:rsidRDefault="008504EF" w:rsidP="008504EF">
            <w:pPr>
              <w:pStyle w:val="BodyText"/>
              <w:cnfStyle w:val="000000100000" w:firstRow="0" w:lastRow="0" w:firstColumn="0" w:lastColumn="0" w:oddVBand="0" w:evenVBand="0" w:oddHBand="1" w:evenHBand="0" w:firstRowFirstColumn="0" w:firstRowLastColumn="0" w:lastRowFirstColumn="0" w:lastRowLastColumn="0"/>
              <w:rPr>
                <w:i/>
              </w:rPr>
            </w:pPr>
            <w:r w:rsidRPr="00383D41">
              <w:rPr>
                <w:i/>
              </w:rPr>
              <w:t>DFAT has been holding ad-hoc coordination meetings between KIAT and the multilateral banks based on new proposal development. Longer term coordination between the new Facility Management Contractor, Sub-contractors and the multilateral banks has been assigned to the Deputy Director for Private Sector and Multilateral Engagement. The final schedule for these coordination meetings will be established once this position has been mobilised</w:t>
            </w:r>
          </w:p>
        </w:tc>
        <w:tc>
          <w:tcPr>
            <w:tcW w:w="3114" w:type="dxa"/>
          </w:tcPr>
          <w:p w:rsidR="000B704D" w:rsidRPr="00383D41" w:rsidRDefault="008504EF" w:rsidP="005D6697">
            <w:pPr>
              <w:pStyle w:val="BodyText"/>
              <w:cnfStyle w:val="000000100000" w:firstRow="0" w:lastRow="0" w:firstColumn="0" w:lastColumn="0" w:oddVBand="0" w:evenVBand="0" w:oddHBand="1" w:evenHBand="0" w:firstRowFirstColumn="0" w:firstRowLastColumn="0" w:lastRowFirstColumn="0" w:lastRowLastColumn="0"/>
            </w:pPr>
            <w:r w:rsidRPr="00383D41">
              <w:t>Arrange regular coordination meetings with KIAT, sub-contractors and multilateral banks</w:t>
            </w:r>
          </w:p>
        </w:tc>
        <w:tc>
          <w:tcPr>
            <w:tcW w:w="2273" w:type="dxa"/>
          </w:tcPr>
          <w:p w:rsidR="000B704D" w:rsidRPr="00383D41" w:rsidRDefault="008504EF" w:rsidP="005D6697">
            <w:pPr>
              <w:pStyle w:val="BodyText"/>
              <w:cnfStyle w:val="000000100000" w:firstRow="0" w:lastRow="0" w:firstColumn="0" w:lastColumn="0" w:oddVBand="0" w:evenVBand="0" w:oddHBand="1" w:evenHBand="0" w:firstRowFirstColumn="0" w:firstRowLastColumn="0" w:lastRowFirstColumn="0" w:lastRowLastColumn="0"/>
            </w:pPr>
            <w:r w:rsidRPr="00383D41">
              <w:t>December 2017</w:t>
            </w:r>
          </w:p>
        </w:tc>
      </w:tr>
      <w:tr w:rsidR="000B704D" w:rsidTr="003F00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rsidR="000B704D" w:rsidRPr="00383D41" w:rsidRDefault="000B704D" w:rsidP="000B704D">
            <w:pPr>
              <w:pStyle w:val="Heading3"/>
              <w:spacing w:before="0"/>
              <w:outlineLvl w:val="2"/>
              <w:rPr>
                <w:sz w:val="22"/>
                <w:szCs w:val="22"/>
              </w:rPr>
            </w:pPr>
            <w:r w:rsidRPr="00383D41">
              <w:rPr>
                <w:sz w:val="22"/>
                <w:szCs w:val="22"/>
              </w:rPr>
              <w:t>Recommendation 12</w:t>
            </w:r>
          </w:p>
          <w:p w:rsidR="000B704D" w:rsidRPr="00383D41" w:rsidRDefault="000B704D" w:rsidP="00383D41">
            <w:pPr>
              <w:pStyle w:val="Heading3"/>
              <w:spacing w:line="240" w:lineRule="auto"/>
              <w:outlineLvl w:val="2"/>
              <w:rPr>
                <w:i/>
                <w:color w:val="auto"/>
                <w:sz w:val="22"/>
                <w:szCs w:val="22"/>
              </w:rPr>
            </w:pPr>
            <w:r w:rsidRPr="00383D41">
              <w:rPr>
                <w:i/>
                <w:color w:val="auto"/>
                <w:sz w:val="22"/>
                <w:szCs w:val="22"/>
              </w:rPr>
              <w:t xml:space="preserve">DFAT should continue to support GoI (Bappenas, MoF and MoPWH) with infrastructure project preparation and designs to acceptable bankable standards. </w:t>
            </w:r>
          </w:p>
        </w:tc>
        <w:tc>
          <w:tcPr>
            <w:tcW w:w="2171" w:type="dxa"/>
            <w:shd w:val="clear" w:color="auto" w:fill="92D050"/>
          </w:tcPr>
          <w:p w:rsidR="000B704D" w:rsidRPr="00383D41" w:rsidRDefault="006C3ED6" w:rsidP="005D6697">
            <w:pPr>
              <w:pStyle w:val="Heading3"/>
              <w:outlineLvl w:val="2"/>
              <w:cnfStyle w:val="000000010000" w:firstRow="0" w:lastRow="0" w:firstColumn="0" w:lastColumn="0" w:oddVBand="0" w:evenVBand="0" w:oddHBand="0" w:evenHBand="1" w:firstRowFirstColumn="0" w:firstRowLastColumn="0" w:lastRowFirstColumn="0" w:lastRowLastColumn="0"/>
              <w:rPr>
                <w:sz w:val="22"/>
                <w:szCs w:val="22"/>
              </w:rPr>
            </w:pPr>
            <w:r w:rsidRPr="00383D41">
              <w:rPr>
                <w:sz w:val="22"/>
                <w:szCs w:val="22"/>
              </w:rPr>
              <w:t>Agree</w:t>
            </w:r>
          </w:p>
        </w:tc>
        <w:tc>
          <w:tcPr>
            <w:tcW w:w="4489" w:type="dxa"/>
          </w:tcPr>
          <w:p w:rsidR="000B704D" w:rsidRPr="00383D41" w:rsidRDefault="003F00F2" w:rsidP="005D6697">
            <w:pPr>
              <w:pStyle w:val="BodyText"/>
              <w:cnfStyle w:val="000000010000" w:firstRow="0" w:lastRow="0" w:firstColumn="0" w:lastColumn="0" w:oddVBand="0" w:evenVBand="0" w:oddHBand="0" w:evenHBand="1" w:firstRowFirstColumn="0" w:firstRowLastColumn="0" w:lastRowFirstColumn="0" w:lastRowLastColumn="0"/>
            </w:pPr>
            <w:r w:rsidRPr="00383D41">
              <w:t>KIAT has been established with a core complement of activities focussed on partnering with GOI agencies including Bappenas, MoF and MoPWH to inprove the quality of project preparation.</w:t>
            </w:r>
          </w:p>
        </w:tc>
        <w:tc>
          <w:tcPr>
            <w:tcW w:w="3114" w:type="dxa"/>
          </w:tcPr>
          <w:p w:rsidR="000B704D" w:rsidRPr="00383D41" w:rsidRDefault="0072535A" w:rsidP="0072535A">
            <w:pPr>
              <w:pStyle w:val="BodyText"/>
              <w:numPr>
                <w:ilvl w:val="0"/>
                <w:numId w:val="21"/>
              </w:numPr>
              <w:ind w:left="319" w:hanging="283"/>
              <w:cnfStyle w:val="000000010000" w:firstRow="0" w:lastRow="0" w:firstColumn="0" w:lastColumn="0" w:oddVBand="0" w:evenVBand="0" w:oddHBand="0" w:evenHBand="1" w:firstRowFirstColumn="0" w:firstRowLastColumn="0" w:lastRowFirstColumn="0" w:lastRowLastColumn="0"/>
            </w:pPr>
            <w:r w:rsidRPr="00383D41">
              <w:t>Existing activities with GOI counterpart agencies transitioned to KIAT facility</w:t>
            </w:r>
          </w:p>
          <w:p w:rsidR="0072535A" w:rsidRPr="00383D41" w:rsidRDefault="0072535A" w:rsidP="0072535A">
            <w:pPr>
              <w:pStyle w:val="BodyText"/>
              <w:numPr>
                <w:ilvl w:val="0"/>
                <w:numId w:val="21"/>
              </w:numPr>
              <w:ind w:left="319" w:hanging="283"/>
              <w:cnfStyle w:val="000000010000" w:firstRow="0" w:lastRow="0" w:firstColumn="0" w:lastColumn="0" w:oddVBand="0" w:evenVBand="0" w:oddHBand="0" w:evenHBand="1" w:firstRowFirstColumn="0" w:firstRowLastColumn="0" w:lastRowFirstColumn="0" w:lastRowLastColumn="0"/>
            </w:pPr>
            <w:r w:rsidRPr="00383D41">
              <w:t>New activities designed and approved</w:t>
            </w:r>
          </w:p>
        </w:tc>
        <w:tc>
          <w:tcPr>
            <w:tcW w:w="2273" w:type="dxa"/>
          </w:tcPr>
          <w:p w:rsidR="000B704D" w:rsidRPr="00383D41" w:rsidRDefault="0072535A" w:rsidP="005D6697">
            <w:pPr>
              <w:pStyle w:val="BodyText"/>
              <w:cnfStyle w:val="000000010000" w:firstRow="0" w:lastRow="0" w:firstColumn="0" w:lastColumn="0" w:oddVBand="0" w:evenVBand="0" w:oddHBand="0" w:evenHBand="1" w:firstRowFirstColumn="0" w:firstRowLastColumn="0" w:lastRowFirstColumn="0" w:lastRowLastColumn="0"/>
            </w:pPr>
            <w:r w:rsidRPr="00383D41">
              <w:t>October 2017</w:t>
            </w:r>
          </w:p>
        </w:tc>
      </w:tr>
      <w:tr w:rsidR="000B704D" w:rsidTr="003F0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rsidR="000B704D" w:rsidRPr="00383D41" w:rsidRDefault="000B704D" w:rsidP="000B704D">
            <w:pPr>
              <w:pStyle w:val="Heading3"/>
              <w:spacing w:before="0"/>
              <w:outlineLvl w:val="2"/>
              <w:rPr>
                <w:sz w:val="22"/>
                <w:szCs w:val="22"/>
              </w:rPr>
            </w:pPr>
            <w:r w:rsidRPr="00383D41">
              <w:rPr>
                <w:sz w:val="22"/>
                <w:szCs w:val="22"/>
              </w:rPr>
              <w:t>Recommendation 13</w:t>
            </w:r>
          </w:p>
          <w:p w:rsidR="000B704D" w:rsidRPr="00383D41" w:rsidRDefault="000B704D" w:rsidP="00383D41">
            <w:pPr>
              <w:pStyle w:val="Heading3"/>
              <w:spacing w:line="240" w:lineRule="auto"/>
              <w:outlineLvl w:val="2"/>
              <w:rPr>
                <w:i/>
                <w:color w:val="auto"/>
                <w:sz w:val="22"/>
                <w:szCs w:val="22"/>
              </w:rPr>
            </w:pPr>
            <w:r w:rsidRPr="00383D41">
              <w:rPr>
                <w:i/>
                <w:color w:val="auto"/>
                <w:sz w:val="22"/>
                <w:szCs w:val="22"/>
              </w:rPr>
              <w:t xml:space="preserve">The incoming team for the new phase of infrastructure investment should consider ways to strengthen the local consulting industry in relation to project preparation and design. </w:t>
            </w:r>
          </w:p>
        </w:tc>
        <w:tc>
          <w:tcPr>
            <w:tcW w:w="2171" w:type="dxa"/>
            <w:shd w:val="clear" w:color="auto" w:fill="92D050"/>
          </w:tcPr>
          <w:p w:rsidR="000B704D" w:rsidRPr="00383D41" w:rsidRDefault="006C3ED6" w:rsidP="005D6697">
            <w:pPr>
              <w:pStyle w:val="Heading3"/>
              <w:outlineLvl w:val="2"/>
              <w:cnfStyle w:val="000000100000" w:firstRow="0" w:lastRow="0" w:firstColumn="0" w:lastColumn="0" w:oddVBand="0" w:evenVBand="0" w:oddHBand="1" w:evenHBand="0" w:firstRowFirstColumn="0" w:firstRowLastColumn="0" w:lastRowFirstColumn="0" w:lastRowLastColumn="0"/>
              <w:rPr>
                <w:sz w:val="22"/>
                <w:szCs w:val="22"/>
              </w:rPr>
            </w:pPr>
            <w:r w:rsidRPr="00383D41">
              <w:rPr>
                <w:sz w:val="22"/>
                <w:szCs w:val="22"/>
              </w:rPr>
              <w:t>Agree</w:t>
            </w:r>
          </w:p>
        </w:tc>
        <w:tc>
          <w:tcPr>
            <w:tcW w:w="4489" w:type="dxa"/>
          </w:tcPr>
          <w:p w:rsidR="00635677" w:rsidRPr="00383D41" w:rsidRDefault="00635677" w:rsidP="00635677">
            <w:pPr>
              <w:pStyle w:val="Default"/>
              <w:cnfStyle w:val="000000100000" w:firstRow="0" w:lastRow="0" w:firstColumn="0" w:lastColumn="0" w:oddVBand="0" w:evenVBand="0" w:oddHBand="1" w:evenHBand="0" w:firstRowFirstColumn="0" w:firstRowLastColumn="0" w:lastRowFirstColumn="0" w:lastRowLastColumn="0"/>
              <w:rPr>
                <w:rFonts w:eastAsiaTheme="minorHAnsi" w:cstheme="minorBidi"/>
                <w:i/>
                <w:color w:val="495965" w:themeColor="text2"/>
                <w:sz w:val="22"/>
                <w:szCs w:val="22"/>
                <w:lang w:val="en-GB" w:eastAsia="en-US"/>
              </w:rPr>
            </w:pPr>
            <w:r w:rsidRPr="00383D41">
              <w:rPr>
                <w:rFonts w:eastAsiaTheme="minorHAnsi" w:cstheme="minorBidi"/>
                <w:color w:val="495965" w:themeColor="text2"/>
                <w:sz w:val="22"/>
                <w:szCs w:val="22"/>
                <w:lang w:val="en-GB" w:eastAsia="en-US"/>
              </w:rPr>
              <w:t xml:space="preserve">The KIAT Facility Design Document incorporates a specific focus to </w:t>
            </w:r>
          </w:p>
          <w:p w:rsidR="000B704D" w:rsidRPr="00383D41" w:rsidRDefault="00635677" w:rsidP="0096630A">
            <w:pPr>
              <w:suppressAutoHyphens w:val="0"/>
              <w:autoSpaceDE w:val="0"/>
              <w:autoSpaceDN w:val="0"/>
              <w:adjustRightInd w:val="0"/>
              <w:spacing w:before="0" w:after="0" w:line="240" w:lineRule="auto"/>
              <w:cnfStyle w:val="000000100000" w:firstRow="0" w:lastRow="0" w:firstColumn="0" w:lastColumn="0" w:oddVBand="0" w:evenVBand="0" w:oddHBand="1" w:evenHBand="0" w:firstRowFirstColumn="0" w:firstRowLastColumn="0" w:lastRowFirstColumn="0" w:lastRowLastColumn="0"/>
            </w:pPr>
            <w:r w:rsidRPr="00383D41">
              <w:rPr>
                <w:i/>
              </w:rPr>
              <w:t>review and help improve institutional arrangements for GOI and the private sector to effectively collaborate on infrastructure policy and market reform measures</w:t>
            </w:r>
            <w:r w:rsidR="008504EF" w:rsidRPr="00383D41">
              <w:t xml:space="preserve"> </w:t>
            </w:r>
            <w:r w:rsidRPr="00383D41">
              <w:t>as part of its first outcome - Improved policy and regulatory framework. This outcome is the responsibility of the Deputy Director for Private Sector and Multilateral Engagement</w:t>
            </w:r>
            <w:r w:rsidR="0096630A" w:rsidRPr="00383D41">
              <w:t xml:space="preserve"> and will be expanded upon in the first year workplan</w:t>
            </w:r>
            <w:r w:rsidRPr="00383D41">
              <w:t>.</w:t>
            </w:r>
          </w:p>
        </w:tc>
        <w:tc>
          <w:tcPr>
            <w:tcW w:w="3114" w:type="dxa"/>
          </w:tcPr>
          <w:p w:rsidR="000B704D" w:rsidRPr="00383D41" w:rsidRDefault="0040020A" w:rsidP="0040020A">
            <w:pPr>
              <w:pStyle w:val="BodyText"/>
              <w:numPr>
                <w:ilvl w:val="0"/>
                <w:numId w:val="22"/>
              </w:numPr>
              <w:cnfStyle w:val="000000100000" w:firstRow="0" w:lastRow="0" w:firstColumn="0" w:lastColumn="0" w:oddVBand="0" w:evenVBand="0" w:oddHBand="1" w:evenHBand="0" w:firstRowFirstColumn="0" w:firstRowLastColumn="0" w:lastRowFirstColumn="0" w:lastRowLastColumn="0"/>
            </w:pPr>
            <w:r w:rsidRPr="00383D41">
              <w:t>Opportunities to strengthen the local consulting industry to be developed during the first year of KIAT operations</w:t>
            </w:r>
          </w:p>
        </w:tc>
        <w:tc>
          <w:tcPr>
            <w:tcW w:w="2273" w:type="dxa"/>
          </w:tcPr>
          <w:p w:rsidR="000B704D" w:rsidRPr="00383D41" w:rsidRDefault="0040020A" w:rsidP="005D6697">
            <w:pPr>
              <w:pStyle w:val="BodyText"/>
              <w:cnfStyle w:val="000000100000" w:firstRow="0" w:lastRow="0" w:firstColumn="0" w:lastColumn="0" w:oddVBand="0" w:evenVBand="0" w:oddHBand="1" w:evenHBand="0" w:firstRowFirstColumn="0" w:firstRowLastColumn="0" w:lastRowFirstColumn="0" w:lastRowLastColumn="0"/>
            </w:pPr>
            <w:r w:rsidRPr="00383D41">
              <w:t>July 2018</w:t>
            </w:r>
          </w:p>
        </w:tc>
      </w:tr>
      <w:tr w:rsidR="0040020A" w:rsidTr="003F00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rsidR="0040020A" w:rsidRPr="00383D41" w:rsidRDefault="0040020A" w:rsidP="000B704D">
            <w:pPr>
              <w:pStyle w:val="Heading3"/>
              <w:spacing w:before="0"/>
              <w:outlineLvl w:val="2"/>
              <w:rPr>
                <w:sz w:val="22"/>
                <w:szCs w:val="22"/>
              </w:rPr>
            </w:pPr>
            <w:r w:rsidRPr="00383D41">
              <w:rPr>
                <w:sz w:val="22"/>
                <w:szCs w:val="22"/>
              </w:rPr>
              <w:t>Recommendation 14</w:t>
            </w:r>
          </w:p>
          <w:p w:rsidR="0040020A" w:rsidRPr="00383D41" w:rsidRDefault="0040020A" w:rsidP="00383D41">
            <w:pPr>
              <w:pStyle w:val="Heading3"/>
              <w:spacing w:line="240" w:lineRule="auto"/>
              <w:outlineLvl w:val="2"/>
              <w:rPr>
                <w:i/>
                <w:color w:val="auto"/>
                <w:sz w:val="22"/>
                <w:szCs w:val="22"/>
              </w:rPr>
            </w:pPr>
            <w:r w:rsidRPr="00383D41">
              <w:rPr>
                <w:rFonts w:cs="Times New Roman"/>
                <w:i/>
                <w:color w:val="auto"/>
                <w:sz w:val="22"/>
                <w:szCs w:val="22"/>
              </w:rPr>
              <w:t xml:space="preserve">Establish a Steering Committee comprising only DFAT (Minister Counsellor) and a Bappenas official (Echelon 1) to meet as required to make critical decisions about sector priorities, resource allocation and the strategic agenda. </w:t>
            </w:r>
          </w:p>
        </w:tc>
        <w:tc>
          <w:tcPr>
            <w:tcW w:w="2171" w:type="dxa"/>
            <w:shd w:val="clear" w:color="auto" w:fill="92D050"/>
          </w:tcPr>
          <w:p w:rsidR="0040020A" w:rsidRPr="00383D41" w:rsidRDefault="0040020A" w:rsidP="005D6697">
            <w:pPr>
              <w:pStyle w:val="Heading3"/>
              <w:outlineLvl w:val="2"/>
              <w:cnfStyle w:val="000000010000" w:firstRow="0" w:lastRow="0" w:firstColumn="0" w:lastColumn="0" w:oddVBand="0" w:evenVBand="0" w:oddHBand="0" w:evenHBand="1" w:firstRowFirstColumn="0" w:firstRowLastColumn="0" w:lastRowFirstColumn="0" w:lastRowLastColumn="0"/>
              <w:rPr>
                <w:sz w:val="22"/>
                <w:szCs w:val="22"/>
              </w:rPr>
            </w:pPr>
            <w:r w:rsidRPr="00383D41">
              <w:rPr>
                <w:sz w:val="22"/>
                <w:szCs w:val="22"/>
              </w:rPr>
              <w:t>Agree</w:t>
            </w:r>
          </w:p>
        </w:tc>
        <w:tc>
          <w:tcPr>
            <w:tcW w:w="4489" w:type="dxa"/>
          </w:tcPr>
          <w:p w:rsidR="0040020A" w:rsidRPr="00383D41" w:rsidRDefault="0040020A" w:rsidP="0096630A">
            <w:pPr>
              <w:pStyle w:val="BodyText"/>
              <w:cnfStyle w:val="000000010000" w:firstRow="0" w:lastRow="0" w:firstColumn="0" w:lastColumn="0" w:oddVBand="0" w:evenVBand="0" w:oddHBand="0" w:evenHBand="1" w:firstRowFirstColumn="0" w:firstRowLastColumn="0" w:lastRowFirstColumn="0" w:lastRowLastColumn="0"/>
            </w:pPr>
            <w:r w:rsidRPr="00383D41">
              <w:t>The Management Committee for the new KIAT Infrastructure Facility has been revised to a more streamlined membership consisting of only DFAT (Minister Counsellor) and the Bappenas Deputy for Infrastructure (Echelon 1)</w:t>
            </w:r>
            <w:r w:rsidR="0096630A" w:rsidRPr="00383D41">
              <w:t xml:space="preserve"> supported by an advisory service to evaluate and assess proposals.</w:t>
            </w:r>
          </w:p>
        </w:tc>
        <w:tc>
          <w:tcPr>
            <w:tcW w:w="3114" w:type="dxa"/>
          </w:tcPr>
          <w:p w:rsidR="0040020A" w:rsidRPr="00383D41" w:rsidRDefault="0040020A" w:rsidP="005D6697">
            <w:pPr>
              <w:pStyle w:val="BodyText"/>
              <w:cnfStyle w:val="000000010000" w:firstRow="0" w:lastRow="0" w:firstColumn="0" w:lastColumn="0" w:oddVBand="0" w:evenVBand="0" w:oddHBand="0" w:evenHBand="1" w:firstRowFirstColumn="0" w:firstRowLastColumn="0" w:lastRowFirstColumn="0" w:lastRowLastColumn="0"/>
            </w:pPr>
            <w:r w:rsidRPr="00383D41">
              <w:t>Incorporated in KIAT Facility Design Document</w:t>
            </w:r>
          </w:p>
        </w:tc>
        <w:tc>
          <w:tcPr>
            <w:tcW w:w="2273" w:type="dxa"/>
          </w:tcPr>
          <w:p w:rsidR="0040020A" w:rsidRPr="00383D41" w:rsidRDefault="0040020A" w:rsidP="005D6697">
            <w:pPr>
              <w:pStyle w:val="BodyText"/>
              <w:cnfStyle w:val="000000010000" w:firstRow="0" w:lastRow="0" w:firstColumn="0" w:lastColumn="0" w:oddVBand="0" w:evenVBand="0" w:oddHBand="0" w:evenHBand="1" w:firstRowFirstColumn="0" w:firstRowLastColumn="0" w:lastRowFirstColumn="0" w:lastRowLastColumn="0"/>
            </w:pPr>
            <w:r w:rsidRPr="00383D41">
              <w:t>Done</w:t>
            </w:r>
          </w:p>
        </w:tc>
      </w:tr>
      <w:tr w:rsidR="0040020A" w:rsidTr="003F0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rsidR="0040020A" w:rsidRPr="00383D41" w:rsidRDefault="0040020A" w:rsidP="000B704D">
            <w:pPr>
              <w:pStyle w:val="Heading3"/>
              <w:spacing w:before="0"/>
              <w:outlineLvl w:val="2"/>
              <w:rPr>
                <w:sz w:val="22"/>
                <w:szCs w:val="22"/>
              </w:rPr>
            </w:pPr>
            <w:r w:rsidRPr="00383D41">
              <w:rPr>
                <w:sz w:val="22"/>
                <w:szCs w:val="22"/>
              </w:rPr>
              <w:t>Recommendation 15</w:t>
            </w:r>
          </w:p>
          <w:p w:rsidR="0040020A" w:rsidRPr="00383D41" w:rsidRDefault="0040020A" w:rsidP="00383D41">
            <w:pPr>
              <w:pStyle w:val="Heading3"/>
              <w:spacing w:line="240" w:lineRule="auto"/>
              <w:outlineLvl w:val="2"/>
              <w:rPr>
                <w:i/>
                <w:color w:val="auto"/>
                <w:sz w:val="22"/>
                <w:szCs w:val="22"/>
              </w:rPr>
            </w:pPr>
            <w:r w:rsidRPr="00383D41">
              <w:rPr>
                <w:rFonts w:cs="Times New Roman"/>
                <w:i/>
                <w:color w:val="auto"/>
                <w:sz w:val="22"/>
                <w:szCs w:val="22"/>
              </w:rPr>
              <w:t xml:space="preserve">Maintain the sectoral Technical Committees but with a focus on concept development and approvals. Membership would comprise DFAT (First/Second Secretary) and Echelon 2 officials from Bappenas and the relevant technical ministry. </w:t>
            </w:r>
          </w:p>
        </w:tc>
        <w:tc>
          <w:tcPr>
            <w:tcW w:w="2171" w:type="dxa"/>
            <w:shd w:val="clear" w:color="auto" w:fill="FFC000"/>
          </w:tcPr>
          <w:p w:rsidR="0040020A" w:rsidRPr="00383D41" w:rsidRDefault="006C059A" w:rsidP="005D6697">
            <w:pPr>
              <w:pStyle w:val="Heading3"/>
              <w:outlineLvl w:val="2"/>
              <w:cnfStyle w:val="000000100000" w:firstRow="0" w:lastRow="0" w:firstColumn="0" w:lastColumn="0" w:oddVBand="0" w:evenVBand="0" w:oddHBand="1" w:evenHBand="0" w:firstRowFirstColumn="0" w:firstRowLastColumn="0" w:lastRowFirstColumn="0" w:lastRowLastColumn="0"/>
              <w:rPr>
                <w:sz w:val="22"/>
                <w:szCs w:val="22"/>
              </w:rPr>
            </w:pPr>
            <w:r w:rsidRPr="00383D41">
              <w:rPr>
                <w:sz w:val="22"/>
                <w:szCs w:val="22"/>
              </w:rPr>
              <w:t>Agree in part</w:t>
            </w:r>
          </w:p>
        </w:tc>
        <w:tc>
          <w:tcPr>
            <w:tcW w:w="4489" w:type="dxa"/>
          </w:tcPr>
          <w:p w:rsidR="0040020A" w:rsidRPr="00383D41" w:rsidRDefault="0040020A" w:rsidP="00635677">
            <w:pPr>
              <w:pStyle w:val="BodyText"/>
              <w:cnfStyle w:val="000000100000" w:firstRow="0" w:lastRow="0" w:firstColumn="0" w:lastColumn="0" w:oddVBand="0" w:evenVBand="0" w:oddHBand="1" w:evenHBand="0" w:firstRowFirstColumn="0" w:firstRowLastColumn="0" w:lastRowFirstColumn="0" w:lastRowLastColumn="0"/>
            </w:pPr>
            <w:r w:rsidRPr="00383D41">
              <w:t>Whilst we acknowledge the valuable contribution made by the sectoral Technical Committees, given the breadth of scope of the new KIAT Infrastructure Facility, we believe a more appropriate response is for ad-hoc committee to be convened by KIAT’s Embedded Lead Advisers. This approach provides greater flexibility and acknowledges the challenges of expanding the breadth of ministries and counterparts we are working with</w:t>
            </w:r>
          </w:p>
        </w:tc>
        <w:tc>
          <w:tcPr>
            <w:tcW w:w="3114" w:type="dxa"/>
          </w:tcPr>
          <w:p w:rsidR="0040020A" w:rsidRPr="00383D41" w:rsidRDefault="0040020A" w:rsidP="0040020A">
            <w:pPr>
              <w:pStyle w:val="BodyText"/>
              <w:numPr>
                <w:ilvl w:val="0"/>
                <w:numId w:val="18"/>
              </w:numPr>
              <w:ind w:left="319" w:hanging="283"/>
              <w:cnfStyle w:val="000000100000" w:firstRow="0" w:lastRow="0" w:firstColumn="0" w:lastColumn="0" w:oddVBand="0" w:evenVBand="0" w:oddHBand="1" w:evenHBand="0" w:firstRowFirstColumn="0" w:firstRowLastColumn="0" w:lastRowFirstColumn="0" w:lastRowLastColumn="0"/>
            </w:pPr>
            <w:r w:rsidRPr="00383D41">
              <w:t>Concept development processes will form part of the Revised Activity Design Process</w:t>
            </w:r>
          </w:p>
          <w:p w:rsidR="0040020A" w:rsidRPr="00383D41" w:rsidRDefault="0040020A" w:rsidP="0040020A">
            <w:pPr>
              <w:pStyle w:val="BodyText"/>
              <w:numPr>
                <w:ilvl w:val="0"/>
                <w:numId w:val="18"/>
              </w:numPr>
              <w:ind w:left="319" w:hanging="283"/>
              <w:cnfStyle w:val="000000100000" w:firstRow="0" w:lastRow="0" w:firstColumn="0" w:lastColumn="0" w:oddVBand="0" w:evenVBand="0" w:oddHBand="1" w:evenHBand="0" w:firstRowFirstColumn="0" w:firstRowLastColumn="0" w:lastRowFirstColumn="0" w:lastRowLastColumn="0"/>
            </w:pPr>
            <w:r w:rsidRPr="00383D41">
              <w:t>Activity Design Process endorsed by KIAT Management Committee</w:t>
            </w:r>
          </w:p>
        </w:tc>
        <w:tc>
          <w:tcPr>
            <w:tcW w:w="2273" w:type="dxa"/>
          </w:tcPr>
          <w:p w:rsidR="0040020A" w:rsidRPr="00383D41" w:rsidRDefault="0040020A" w:rsidP="005D6697">
            <w:pPr>
              <w:pStyle w:val="BodyText"/>
              <w:cnfStyle w:val="000000100000" w:firstRow="0" w:lastRow="0" w:firstColumn="0" w:lastColumn="0" w:oddVBand="0" w:evenVBand="0" w:oddHBand="1" w:evenHBand="0" w:firstRowFirstColumn="0" w:firstRowLastColumn="0" w:lastRowFirstColumn="0" w:lastRowLastColumn="0"/>
            </w:pPr>
            <w:r w:rsidRPr="00383D41">
              <w:t>October 2017</w:t>
            </w:r>
          </w:p>
        </w:tc>
      </w:tr>
      <w:tr w:rsidR="0040020A" w:rsidTr="006C05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rsidR="0040020A" w:rsidRPr="00383D41" w:rsidRDefault="0040020A" w:rsidP="006C3ED6">
            <w:pPr>
              <w:pStyle w:val="Heading3"/>
              <w:spacing w:before="0"/>
              <w:outlineLvl w:val="2"/>
              <w:rPr>
                <w:sz w:val="22"/>
                <w:szCs w:val="22"/>
              </w:rPr>
            </w:pPr>
            <w:r w:rsidRPr="00383D41">
              <w:rPr>
                <w:sz w:val="22"/>
                <w:szCs w:val="22"/>
              </w:rPr>
              <w:t>Recommendation 16</w:t>
            </w:r>
          </w:p>
          <w:p w:rsidR="0040020A" w:rsidRPr="00383D41" w:rsidRDefault="0040020A" w:rsidP="005D6697">
            <w:pPr>
              <w:pStyle w:val="BodyText"/>
              <w:rPr>
                <w:i/>
                <w:color w:val="auto"/>
              </w:rPr>
            </w:pPr>
            <w:r w:rsidRPr="00383D41">
              <w:rPr>
                <w:rFonts w:asciiTheme="majorHAnsi" w:eastAsiaTheme="majorEastAsia" w:hAnsiTheme="majorHAnsi" w:cs="Times New Roman"/>
                <w:bCs/>
                <w:i/>
                <w:color w:val="auto"/>
                <w:lang w:val="en-AU"/>
              </w:rPr>
              <w:t>Establish an Implementation Council (or sectoral Councils) comprising relevant technical agency officials, academics and/or private sector representative (as recommended by the Technical Committees) to have oversight of implementation, facilitate inter-agency coordination, and to make routine tactical decisions. The ambit of the Implementation Councils would be to troubleshoot and advise on issues constraining implementation progress.</w:t>
            </w:r>
            <w:r w:rsidRPr="00383D41">
              <w:rPr>
                <w:rFonts w:cs="Times New Roman"/>
                <w:i/>
                <w:color w:val="auto"/>
              </w:rPr>
              <w:t xml:space="preserve"> </w:t>
            </w:r>
          </w:p>
        </w:tc>
        <w:tc>
          <w:tcPr>
            <w:tcW w:w="2171" w:type="dxa"/>
            <w:shd w:val="clear" w:color="auto" w:fill="FFC000"/>
            <w:hideMark/>
          </w:tcPr>
          <w:p w:rsidR="0040020A" w:rsidRPr="00383D41" w:rsidRDefault="006C059A" w:rsidP="006C059A">
            <w:pPr>
              <w:pStyle w:val="Heading3"/>
              <w:spacing w:before="0"/>
              <w:outlineLvl w:val="2"/>
              <w:cnfStyle w:val="000000010000" w:firstRow="0" w:lastRow="0" w:firstColumn="0" w:lastColumn="0" w:oddVBand="0" w:evenVBand="0" w:oddHBand="0" w:evenHBand="1" w:firstRowFirstColumn="0" w:firstRowLastColumn="0" w:lastRowFirstColumn="0" w:lastRowLastColumn="0"/>
              <w:rPr>
                <w:sz w:val="22"/>
                <w:szCs w:val="22"/>
              </w:rPr>
            </w:pPr>
            <w:r w:rsidRPr="00383D41">
              <w:rPr>
                <w:sz w:val="22"/>
                <w:szCs w:val="22"/>
              </w:rPr>
              <w:t>Agree in part</w:t>
            </w:r>
          </w:p>
        </w:tc>
        <w:tc>
          <w:tcPr>
            <w:tcW w:w="4489" w:type="dxa"/>
          </w:tcPr>
          <w:p w:rsidR="0040020A" w:rsidRPr="00383D41" w:rsidRDefault="00E173FE" w:rsidP="00E173FE">
            <w:pPr>
              <w:pStyle w:val="BodyText"/>
              <w:cnfStyle w:val="000000010000" w:firstRow="0" w:lastRow="0" w:firstColumn="0" w:lastColumn="0" w:oddVBand="0" w:evenVBand="0" w:oddHBand="0" w:evenHBand="1" w:firstRowFirstColumn="0" w:firstRowLastColumn="0" w:lastRowFirstColumn="0" w:lastRowLastColumn="0"/>
            </w:pPr>
            <w:r w:rsidRPr="00383D41">
              <w:t xml:space="preserve">Whilst we agree with the recommendation to establish bodies responsible for overseeing the implementation of activities, our preference is to </w:t>
            </w:r>
            <w:r w:rsidR="0096630A" w:rsidRPr="00383D41">
              <w:t xml:space="preserve">utilise existing GOI management structures where they exist and </w:t>
            </w:r>
            <w:r w:rsidRPr="00383D41">
              <w:t>adopt p</w:t>
            </w:r>
            <w:r w:rsidR="0096630A" w:rsidRPr="00383D41">
              <w:t xml:space="preserve">roject boards for each activity, </w:t>
            </w:r>
            <w:r w:rsidRPr="00383D41">
              <w:t>rather than sectoral based councils. This will enable us to align activity governance arrangements with existing partner agency structures.</w:t>
            </w:r>
          </w:p>
        </w:tc>
        <w:tc>
          <w:tcPr>
            <w:tcW w:w="3114" w:type="dxa"/>
          </w:tcPr>
          <w:p w:rsidR="0040020A" w:rsidRPr="00383D41" w:rsidRDefault="00E173FE" w:rsidP="00E173FE">
            <w:pPr>
              <w:pStyle w:val="BodyText"/>
              <w:cnfStyle w:val="000000010000" w:firstRow="0" w:lastRow="0" w:firstColumn="0" w:lastColumn="0" w:oddVBand="0" w:evenVBand="0" w:oddHBand="0" w:evenHBand="1" w:firstRowFirstColumn="0" w:firstRowLastColumn="0" w:lastRowFirstColumn="0" w:lastRowLastColumn="0"/>
            </w:pPr>
            <w:r w:rsidRPr="00383D41">
              <w:t>All activity designs are to include specific information on activity governance arrangements including owners, sponsors, delivery and board members</w:t>
            </w:r>
          </w:p>
        </w:tc>
        <w:tc>
          <w:tcPr>
            <w:tcW w:w="2273" w:type="dxa"/>
          </w:tcPr>
          <w:p w:rsidR="0040020A" w:rsidRPr="00383D41" w:rsidRDefault="00E173FE" w:rsidP="005D6697">
            <w:pPr>
              <w:pStyle w:val="BodyText"/>
              <w:cnfStyle w:val="000000010000" w:firstRow="0" w:lastRow="0" w:firstColumn="0" w:lastColumn="0" w:oddVBand="0" w:evenVBand="0" w:oddHBand="0" w:evenHBand="1" w:firstRowFirstColumn="0" w:firstRowLastColumn="0" w:lastRowFirstColumn="0" w:lastRowLastColumn="0"/>
            </w:pPr>
            <w:r w:rsidRPr="00383D41">
              <w:t>October 2017</w:t>
            </w:r>
          </w:p>
        </w:tc>
      </w:tr>
      <w:tr w:rsidR="0040020A" w:rsidTr="003F0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rsidR="0040020A" w:rsidRPr="00383D41" w:rsidRDefault="0040020A" w:rsidP="006C3ED6">
            <w:pPr>
              <w:pStyle w:val="Heading3"/>
              <w:spacing w:before="0"/>
              <w:outlineLvl w:val="2"/>
              <w:rPr>
                <w:sz w:val="22"/>
                <w:szCs w:val="22"/>
              </w:rPr>
            </w:pPr>
            <w:r w:rsidRPr="00383D41">
              <w:rPr>
                <w:sz w:val="22"/>
                <w:szCs w:val="22"/>
              </w:rPr>
              <w:t>Recommendation 17</w:t>
            </w:r>
          </w:p>
          <w:p w:rsidR="0040020A" w:rsidRPr="00383D41" w:rsidRDefault="0040020A" w:rsidP="00383D41">
            <w:pPr>
              <w:pStyle w:val="Heading3"/>
              <w:spacing w:line="240" w:lineRule="auto"/>
              <w:outlineLvl w:val="2"/>
              <w:rPr>
                <w:i/>
                <w:color w:val="auto"/>
                <w:sz w:val="22"/>
                <w:szCs w:val="22"/>
              </w:rPr>
            </w:pPr>
            <w:r w:rsidRPr="00383D41">
              <w:rPr>
                <w:rFonts w:ascii="Calibri" w:hAnsi="Calibri"/>
                <w:i/>
                <w:color w:val="auto"/>
                <w:sz w:val="22"/>
                <w:szCs w:val="22"/>
                <w:lang w:eastAsia="en-AU"/>
              </w:rPr>
              <w:t>All governance bodies should be supported with clearly articulated Terms of Reference, and to the extent possible, with performance measures.</w:t>
            </w:r>
          </w:p>
        </w:tc>
        <w:tc>
          <w:tcPr>
            <w:tcW w:w="2171" w:type="dxa"/>
            <w:shd w:val="clear" w:color="auto" w:fill="92D050"/>
          </w:tcPr>
          <w:p w:rsidR="0040020A" w:rsidRPr="00383D41" w:rsidRDefault="0040020A" w:rsidP="005D6697">
            <w:pPr>
              <w:pStyle w:val="Heading3"/>
              <w:outlineLvl w:val="2"/>
              <w:cnfStyle w:val="000000100000" w:firstRow="0" w:lastRow="0" w:firstColumn="0" w:lastColumn="0" w:oddVBand="0" w:evenVBand="0" w:oddHBand="1" w:evenHBand="0" w:firstRowFirstColumn="0" w:firstRowLastColumn="0" w:lastRowFirstColumn="0" w:lastRowLastColumn="0"/>
              <w:rPr>
                <w:sz w:val="22"/>
                <w:szCs w:val="22"/>
              </w:rPr>
            </w:pPr>
            <w:r w:rsidRPr="00383D41">
              <w:rPr>
                <w:sz w:val="22"/>
                <w:szCs w:val="22"/>
              </w:rPr>
              <w:t>Agree</w:t>
            </w:r>
          </w:p>
        </w:tc>
        <w:tc>
          <w:tcPr>
            <w:tcW w:w="4489" w:type="dxa"/>
          </w:tcPr>
          <w:p w:rsidR="0040020A" w:rsidRPr="00B51530" w:rsidRDefault="006730A1" w:rsidP="00B51530">
            <w:pPr>
              <w:pStyle w:val="BodyText"/>
              <w:cnfStyle w:val="000000100000" w:firstRow="0" w:lastRow="0" w:firstColumn="0" w:lastColumn="0" w:oddVBand="0" w:evenVBand="0" w:oddHBand="1" w:evenHBand="0" w:firstRowFirstColumn="0" w:firstRowLastColumn="0" w:lastRowFirstColumn="0" w:lastRowLastColumn="0"/>
            </w:pPr>
            <w:r w:rsidRPr="00383D41">
              <w:t>THE KIAT Facility Design Document specifies that</w:t>
            </w:r>
            <w:r w:rsidRPr="00383D41">
              <w:rPr>
                <w:i/>
              </w:rPr>
              <w:t xml:space="preserve"> KIAT will be governed by a Management Committee comprising representation from DFAT and Bappenas </w:t>
            </w:r>
            <w:r w:rsidR="00B51530">
              <w:rPr>
                <w:i/>
              </w:rPr>
              <w:t>.</w:t>
            </w:r>
            <w:r w:rsidRPr="00383D41">
              <w:t xml:space="preserve"> The </w:t>
            </w:r>
            <w:r w:rsidRPr="00383D41">
              <w:rPr>
                <w:i/>
              </w:rPr>
              <w:t>Management Committee will meet at least six-monthly, and is the decision making body on KIAT strategy and budget allocations. It will review progress against KIAT outcomes and other measures of performance, review and approve annual strategic plans and budgets, and help coordinate inputs from other GOI and GOA agencies.</w:t>
            </w:r>
            <w:r w:rsidR="00B51530">
              <w:rPr>
                <w:i/>
              </w:rPr>
              <w:t xml:space="preserve"> </w:t>
            </w:r>
            <w:r w:rsidR="00B51530">
              <w:t>The KIAT Facility Director will be responsible for monitoring the performance and effectiveness of the Management Committee.</w:t>
            </w:r>
          </w:p>
        </w:tc>
        <w:tc>
          <w:tcPr>
            <w:tcW w:w="3114" w:type="dxa"/>
          </w:tcPr>
          <w:p w:rsidR="0040020A" w:rsidRPr="00383D41" w:rsidRDefault="006730A1" w:rsidP="005D6697">
            <w:pPr>
              <w:pStyle w:val="BodyText"/>
              <w:cnfStyle w:val="000000100000" w:firstRow="0" w:lastRow="0" w:firstColumn="0" w:lastColumn="0" w:oddVBand="0" w:evenVBand="0" w:oddHBand="1" w:evenHBand="0" w:firstRowFirstColumn="0" w:firstRowLastColumn="0" w:lastRowFirstColumn="0" w:lastRowLastColumn="0"/>
            </w:pPr>
            <w:r w:rsidRPr="00383D41">
              <w:t>Terms of reference for the Management Committee</w:t>
            </w:r>
            <w:r w:rsidR="00BE7E26" w:rsidRPr="00383D41">
              <w:t xml:space="preserve"> including performance measures</w:t>
            </w:r>
            <w:r w:rsidRPr="00383D41">
              <w:t xml:space="preserve"> will be drafted by KIAT and submitted for approval at the first Management Committee meeting</w:t>
            </w:r>
          </w:p>
        </w:tc>
        <w:tc>
          <w:tcPr>
            <w:tcW w:w="2273" w:type="dxa"/>
          </w:tcPr>
          <w:p w:rsidR="0040020A" w:rsidRPr="00383D41" w:rsidRDefault="006730A1" w:rsidP="005D6697">
            <w:pPr>
              <w:pStyle w:val="BodyText"/>
              <w:cnfStyle w:val="000000100000" w:firstRow="0" w:lastRow="0" w:firstColumn="0" w:lastColumn="0" w:oddVBand="0" w:evenVBand="0" w:oddHBand="1" w:evenHBand="0" w:firstRowFirstColumn="0" w:firstRowLastColumn="0" w:lastRowFirstColumn="0" w:lastRowLastColumn="0"/>
            </w:pPr>
            <w:r w:rsidRPr="00383D41">
              <w:t>October 2017</w:t>
            </w:r>
          </w:p>
        </w:tc>
      </w:tr>
    </w:tbl>
    <w:p w:rsidR="00C10415" w:rsidRDefault="00C10415" w:rsidP="00C10415">
      <w:pPr>
        <w:pStyle w:val="BodyText"/>
        <w:rPr>
          <w:rFonts w:ascii="Franklin Gothic Book" w:hAnsi="Franklin Gothic Book"/>
          <w:color w:val="000000" w:themeColor="text1"/>
          <w:sz w:val="21"/>
        </w:rPr>
      </w:pPr>
    </w:p>
    <w:p w:rsidR="00C10415" w:rsidRDefault="00C10415" w:rsidP="00C10415">
      <w:pPr>
        <w:pStyle w:val="BodyText"/>
        <w:rPr>
          <w:rFonts w:ascii="Franklin Gothic Book" w:hAnsi="Franklin Gothic Book"/>
          <w:color w:val="000000" w:themeColor="text1"/>
          <w:sz w:val="21"/>
        </w:rPr>
      </w:pPr>
    </w:p>
    <w:p w:rsidR="00C10415" w:rsidRDefault="00C10415" w:rsidP="00C10415"/>
    <w:bookmarkEnd w:id="1"/>
    <w:p w:rsidR="00C10415" w:rsidRPr="00C10415" w:rsidRDefault="00C10415" w:rsidP="00C10415">
      <w:pPr>
        <w:rPr>
          <w:lang w:val="en-AU"/>
        </w:rPr>
      </w:pPr>
    </w:p>
    <w:sectPr w:rsidR="00C10415" w:rsidRPr="00C10415" w:rsidSect="009E5A52">
      <w:footerReference w:type="default" r:id="rId11"/>
      <w:headerReference w:type="first" r:id="rId12"/>
      <w:footerReference w:type="first" r:id="rId13"/>
      <w:pgSz w:w="16838" w:h="11906" w:orient="landscape" w:code="9"/>
      <w:pgMar w:top="1134" w:right="1985"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CB5" w:rsidRDefault="006B3CB5" w:rsidP="003A5358">
      <w:r>
        <w:separator/>
      </w:r>
    </w:p>
  </w:endnote>
  <w:endnote w:type="continuationSeparator" w:id="0">
    <w:p w:rsidR="006B3CB5" w:rsidRDefault="006B3CB5"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1B9" w:rsidRDefault="007451B9" w:rsidP="00AF3FC8">
    <w:pPr>
      <w:pStyle w:val="Classification"/>
    </w:pPr>
    <w:r>
      <w:rPr>
        <w:noProof/>
        <w:lang w:val="en-AU" w:eastAsia="en-AU"/>
      </w:rPr>
      <w:drawing>
        <wp:anchor distT="0" distB="0" distL="114300" distR="114300" simplePos="0" relativeHeight="251657216" behindDoc="1" locked="0" layoutInCell="1" allowOverlap="1" wp14:anchorId="232EE034" wp14:editId="585BDE84">
          <wp:simplePos x="0" y="0"/>
          <wp:positionH relativeFrom="page">
            <wp:posOffset>723900</wp:posOffset>
          </wp:positionH>
          <wp:positionV relativeFrom="page">
            <wp:posOffset>10156190</wp:posOffset>
          </wp:positionV>
          <wp:extent cx="6119495" cy="382270"/>
          <wp:effectExtent l="0" t="0" r="0" b="0"/>
          <wp:wrapNone/>
          <wp:docPr id="49" name="Picture 49"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PT-Aqua-H1-1st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119495" cy="382270"/>
                  </a:xfrm>
                  <a:prstGeom prst="rect">
                    <a:avLst/>
                  </a:prstGeom>
                </pic:spPr>
              </pic:pic>
            </a:graphicData>
          </a:graphic>
          <wp14:sizeRelH relativeFrom="margin">
            <wp14:pctWidth>0</wp14:pctWidth>
          </wp14:sizeRelH>
          <wp14:sizeRelV relativeFrom="margin">
            <wp14:pctHeight>0</wp14:pctHeight>
          </wp14:sizeRelV>
        </wp:anchor>
      </w:drawing>
    </w:r>
    <w:r>
      <w:tab/>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C6638F">
      <w:rPr>
        <w:rStyle w:val="PageNumber"/>
        <w:noProof/>
      </w:rPr>
      <w:t>8</w:t>
    </w:r>
    <w:r w:rsidRPr="00B92E1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1B9" w:rsidRDefault="007451B9" w:rsidP="003A5358">
    <w:pPr>
      <w:pStyle w:val="Footer"/>
    </w:pPr>
    <w:r>
      <w:rPr>
        <w:noProof/>
        <w:lang w:val="en-AU" w:eastAsia="en-AU"/>
      </w:rPr>
      <w:drawing>
        <wp:anchor distT="0" distB="0" distL="114300" distR="114300" simplePos="0" relativeHeight="251663360" behindDoc="1" locked="0" layoutInCell="1" allowOverlap="1" wp14:anchorId="0BC4A3D8" wp14:editId="11CE5A2E">
          <wp:simplePos x="0" y="0"/>
          <wp:positionH relativeFrom="page">
            <wp:posOffset>723900</wp:posOffset>
          </wp:positionH>
          <wp:positionV relativeFrom="page">
            <wp:posOffset>10149840</wp:posOffset>
          </wp:positionV>
          <wp:extent cx="6119495" cy="382270"/>
          <wp:effectExtent l="0" t="0" r="0" b="0"/>
          <wp:wrapNone/>
          <wp:docPr id="51" name="Picture 51"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PT-Aqua-H1-1st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119495" cy="382270"/>
                  </a:xfrm>
                  <a:prstGeom prst="rect">
                    <a:avLst/>
                  </a:prstGeom>
                </pic:spPr>
              </pic:pic>
            </a:graphicData>
          </a:graphic>
          <wp14:sizeRelH relativeFrom="margin">
            <wp14:pctWidth>0</wp14:pctWidth>
          </wp14:sizeRelH>
          <wp14:sizeRelV relativeFrom="margin">
            <wp14:pctHeight>0</wp14:pctHeight>
          </wp14:sizeRelV>
        </wp:anchor>
      </w:drawing>
    </w:r>
    <w:r>
      <w:tab/>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sidR="00FE1FAA">
      <w:rPr>
        <w:rStyle w:val="PageNumber"/>
        <w:noProof/>
      </w:rPr>
      <w:t>1</w:t>
    </w:r>
    <w:r w:rsidRPr="00F5404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CB5" w:rsidRPr="008C5A0E" w:rsidRDefault="006B3CB5" w:rsidP="003A5358">
      <w:pPr>
        <w:pStyle w:val="FootnoteSeparator"/>
      </w:pPr>
    </w:p>
  </w:footnote>
  <w:footnote w:type="continuationSeparator" w:id="0">
    <w:p w:rsidR="006B3CB5" w:rsidRDefault="006B3CB5"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1B9" w:rsidRDefault="007451B9" w:rsidP="003A5358">
    <w:pPr>
      <w:pStyle w:val="Header"/>
    </w:pPr>
    <w:r>
      <w:rPr>
        <w:noProof/>
        <w:lang w:val="en-AU" w:eastAsia="en-AU"/>
      </w:rPr>
      <w:drawing>
        <wp:anchor distT="0" distB="0" distL="114300" distR="114300" simplePos="0" relativeHeight="251666432" behindDoc="1" locked="0" layoutInCell="1" allowOverlap="1" wp14:anchorId="57744D8F" wp14:editId="7FC08823">
          <wp:simplePos x="0" y="0"/>
          <wp:positionH relativeFrom="page">
            <wp:posOffset>180975</wp:posOffset>
          </wp:positionH>
          <wp:positionV relativeFrom="page">
            <wp:posOffset>180975</wp:posOffset>
          </wp:positionV>
          <wp:extent cx="7200900" cy="942975"/>
          <wp:effectExtent l="0" t="0" r="0" b="9525"/>
          <wp:wrapNone/>
          <wp:docPr id="50" name="Picture 50"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PT-Aqua-H1-1stPageHeader.png"/>
                  <pic:cNvPicPr/>
                </pic:nvPicPr>
                <pic:blipFill>
                  <a:blip r:embed="rId1">
                    <a:extLst>
                      <a:ext uri="{28A0092B-C50C-407E-A947-70E740481C1C}">
                        <a14:useLocalDpi xmlns:a14="http://schemas.microsoft.com/office/drawing/2010/main" val="0"/>
                      </a:ext>
                    </a:extLst>
                  </a:blip>
                  <a:stretch>
                    <a:fillRect/>
                  </a:stretch>
                </pic:blipFill>
                <pic:spPr>
                  <a:xfrm>
                    <a:off x="0" y="0"/>
                    <a:ext cx="7200000" cy="94285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179B"/>
    <w:multiLevelType w:val="hybridMultilevel"/>
    <w:tmpl w:val="774C0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3D7532"/>
    <w:multiLevelType w:val="hybridMultilevel"/>
    <w:tmpl w:val="7AC07B9C"/>
    <w:lvl w:ilvl="0" w:tplc="04429664">
      <w:start w:val="1"/>
      <w:numFmt w:val="lowerLetter"/>
      <w:pStyle w:val="ListNumber2"/>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4621CE7"/>
    <w:multiLevelType w:val="hybridMultilevel"/>
    <w:tmpl w:val="2760E9F8"/>
    <w:lvl w:ilvl="0" w:tplc="8ECE1B78">
      <w:start w:val="1"/>
      <w:numFmt w:val="bullet"/>
      <w:pStyle w:val="TableListBullet2"/>
      <w:lvlText w:val="»"/>
      <w:lvlJc w:val="left"/>
      <w:pPr>
        <w:ind w:left="587" w:hanging="360"/>
      </w:pPr>
      <w:rPr>
        <w:rFonts w:ascii="Times New Roman" w:hAnsi="Times New Roman" w:cs="Times New Roman" w:hint="default"/>
      </w:rPr>
    </w:lvl>
    <w:lvl w:ilvl="1" w:tplc="947E372C">
      <w:start w:val="1"/>
      <w:numFmt w:val="bullet"/>
      <w:lvlText w:val="o"/>
      <w:lvlJc w:val="left"/>
      <w:pPr>
        <w:tabs>
          <w:tab w:val="num" w:pos="1440"/>
        </w:tabs>
        <w:ind w:left="1440" w:hanging="360"/>
      </w:pPr>
      <w:rPr>
        <w:rFonts w:ascii="Courier New" w:hAnsi="Courier New" w:cs="Wingdings" w:hint="default"/>
      </w:rPr>
    </w:lvl>
    <w:lvl w:ilvl="2" w:tplc="EB360BC2">
      <w:start w:val="1"/>
      <w:numFmt w:val="bullet"/>
      <w:lvlText w:val=""/>
      <w:lvlJc w:val="left"/>
      <w:pPr>
        <w:tabs>
          <w:tab w:val="num" w:pos="2160"/>
        </w:tabs>
        <w:ind w:left="2160" w:hanging="360"/>
      </w:pPr>
      <w:rPr>
        <w:rFonts w:ascii="Wingdings" w:hAnsi="Wingdings" w:hint="default"/>
      </w:rPr>
    </w:lvl>
    <w:lvl w:ilvl="3" w:tplc="870C39C6">
      <w:start w:val="1"/>
      <w:numFmt w:val="bullet"/>
      <w:lvlText w:val=""/>
      <w:lvlJc w:val="left"/>
      <w:pPr>
        <w:tabs>
          <w:tab w:val="num" w:pos="2880"/>
        </w:tabs>
        <w:ind w:left="2880" w:hanging="360"/>
      </w:pPr>
      <w:rPr>
        <w:rFonts w:ascii="Symbol" w:hAnsi="Symbol" w:hint="default"/>
      </w:rPr>
    </w:lvl>
    <w:lvl w:ilvl="4" w:tplc="C75CAEA6">
      <w:start w:val="1"/>
      <w:numFmt w:val="bullet"/>
      <w:lvlText w:val="o"/>
      <w:lvlJc w:val="left"/>
      <w:pPr>
        <w:tabs>
          <w:tab w:val="num" w:pos="3600"/>
        </w:tabs>
        <w:ind w:left="3600" w:hanging="360"/>
      </w:pPr>
      <w:rPr>
        <w:rFonts w:ascii="Courier New" w:hAnsi="Courier New" w:cs="Wingdings" w:hint="default"/>
      </w:rPr>
    </w:lvl>
    <w:lvl w:ilvl="5" w:tplc="A10E0402">
      <w:start w:val="1"/>
      <w:numFmt w:val="bullet"/>
      <w:lvlText w:val=""/>
      <w:lvlJc w:val="left"/>
      <w:pPr>
        <w:tabs>
          <w:tab w:val="num" w:pos="4320"/>
        </w:tabs>
        <w:ind w:left="4320" w:hanging="360"/>
      </w:pPr>
      <w:rPr>
        <w:rFonts w:ascii="Wingdings" w:hAnsi="Wingdings" w:hint="default"/>
      </w:rPr>
    </w:lvl>
    <w:lvl w:ilvl="6" w:tplc="2C5E5F06">
      <w:start w:val="1"/>
      <w:numFmt w:val="bullet"/>
      <w:lvlText w:val=""/>
      <w:lvlJc w:val="left"/>
      <w:pPr>
        <w:tabs>
          <w:tab w:val="num" w:pos="5040"/>
        </w:tabs>
        <w:ind w:left="5040" w:hanging="360"/>
      </w:pPr>
      <w:rPr>
        <w:rFonts w:ascii="Symbol" w:hAnsi="Symbol" w:hint="default"/>
      </w:rPr>
    </w:lvl>
    <w:lvl w:ilvl="7" w:tplc="F404DE94">
      <w:start w:val="1"/>
      <w:numFmt w:val="bullet"/>
      <w:lvlText w:val="o"/>
      <w:lvlJc w:val="left"/>
      <w:pPr>
        <w:tabs>
          <w:tab w:val="num" w:pos="5760"/>
        </w:tabs>
        <w:ind w:left="5760" w:hanging="360"/>
      </w:pPr>
      <w:rPr>
        <w:rFonts w:ascii="Courier New" w:hAnsi="Courier New" w:cs="Wingdings" w:hint="default"/>
      </w:rPr>
    </w:lvl>
    <w:lvl w:ilvl="8" w:tplc="8B221DA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177B7DD8"/>
    <w:multiLevelType w:val="hybridMultilevel"/>
    <w:tmpl w:val="AB264564"/>
    <w:lvl w:ilvl="0" w:tplc="731A1E60">
      <w:start w:val="1"/>
      <w:numFmt w:val="lowerLetter"/>
      <w:pStyle w:val="TableListNumber2"/>
      <w:lvlText w:val="%1."/>
      <w:lvlJc w:val="left"/>
      <w:pPr>
        <w:ind w:left="587" w:hanging="360"/>
      </w:pPr>
    </w:lvl>
    <w:lvl w:ilvl="1" w:tplc="EB583B20">
      <w:start w:val="1"/>
      <w:numFmt w:val="lowerLetter"/>
      <w:lvlText w:val="%2."/>
      <w:lvlJc w:val="left"/>
      <w:pPr>
        <w:tabs>
          <w:tab w:val="num" w:pos="1440"/>
        </w:tabs>
        <w:ind w:left="1440" w:hanging="360"/>
      </w:pPr>
    </w:lvl>
    <w:lvl w:ilvl="2" w:tplc="B5E21B8A">
      <w:start w:val="1"/>
      <w:numFmt w:val="lowerRoman"/>
      <w:lvlText w:val="%3."/>
      <w:lvlJc w:val="right"/>
      <w:pPr>
        <w:tabs>
          <w:tab w:val="num" w:pos="2160"/>
        </w:tabs>
        <w:ind w:left="2160" w:hanging="180"/>
      </w:pPr>
    </w:lvl>
    <w:lvl w:ilvl="3" w:tplc="017C68B8">
      <w:start w:val="1"/>
      <w:numFmt w:val="decimal"/>
      <w:lvlText w:val="%4."/>
      <w:lvlJc w:val="left"/>
      <w:pPr>
        <w:tabs>
          <w:tab w:val="num" w:pos="2880"/>
        </w:tabs>
        <w:ind w:left="2880" w:hanging="360"/>
      </w:pPr>
    </w:lvl>
    <w:lvl w:ilvl="4" w:tplc="D1789FF6">
      <w:start w:val="1"/>
      <w:numFmt w:val="lowerLetter"/>
      <w:lvlText w:val="%5."/>
      <w:lvlJc w:val="left"/>
      <w:pPr>
        <w:tabs>
          <w:tab w:val="num" w:pos="3600"/>
        </w:tabs>
        <w:ind w:left="3600" w:hanging="360"/>
      </w:pPr>
    </w:lvl>
    <w:lvl w:ilvl="5" w:tplc="105ACA1A">
      <w:start w:val="1"/>
      <w:numFmt w:val="lowerRoman"/>
      <w:lvlText w:val="%6."/>
      <w:lvlJc w:val="right"/>
      <w:pPr>
        <w:tabs>
          <w:tab w:val="num" w:pos="4320"/>
        </w:tabs>
        <w:ind w:left="4320" w:hanging="180"/>
      </w:pPr>
    </w:lvl>
    <w:lvl w:ilvl="6" w:tplc="EF6CA31C">
      <w:start w:val="1"/>
      <w:numFmt w:val="decimal"/>
      <w:lvlText w:val="%7."/>
      <w:lvlJc w:val="left"/>
      <w:pPr>
        <w:tabs>
          <w:tab w:val="num" w:pos="5040"/>
        </w:tabs>
        <w:ind w:left="5040" w:hanging="360"/>
      </w:pPr>
    </w:lvl>
    <w:lvl w:ilvl="7" w:tplc="FD7C2C44">
      <w:start w:val="1"/>
      <w:numFmt w:val="lowerLetter"/>
      <w:lvlText w:val="%8."/>
      <w:lvlJc w:val="left"/>
      <w:pPr>
        <w:tabs>
          <w:tab w:val="num" w:pos="5760"/>
        </w:tabs>
        <w:ind w:left="5760" w:hanging="360"/>
      </w:pPr>
    </w:lvl>
    <w:lvl w:ilvl="8" w:tplc="A68E2E52">
      <w:start w:val="1"/>
      <w:numFmt w:val="lowerRoman"/>
      <w:lvlText w:val="%9."/>
      <w:lvlJc w:val="right"/>
      <w:pPr>
        <w:tabs>
          <w:tab w:val="num" w:pos="6480"/>
        </w:tabs>
        <w:ind w:left="6480" w:hanging="180"/>
      </w:pPr>
    </w:lvl>
  </w:abstractNum>
  <w:abstractNum w:abstractNumId="6" w15:restartNumberingAfterBreak="0">
    <w:nsid w:val="180665BC"/>
    <w:multiLevelType w:val="hybridMultilevel"/>
    <w:tmpl w:val="28E67FD2"/>
    <w:lvl w:ilvl="0" w:tplc="E95294B4">
      <w:start w:val="1"/>
      <w:numFmt w:val="decimal"/>
      <w:pStyle w:val="ListNumber"/>
      <w:lvlText w:val="%1."/>
      <w:lvlJc w:val="left"/>
      <w:pPr>
        <w:ind w:left="360" w:hanging="360"/>
      </w:pPr>
    </w:lvl>
    <w:lvl w:ilvl="1" w:tplc="1AC44F52">
      <w:start w:val="1"/>
      <w:numFmt w:val="lowerLetter"/>
      <w:lvlText w:val="%2."/>
      <w:lvlJc w:val="left"/>
      <w:pPr>
        <w:tabs>
          <w:tab w:val="num" w:pos="1440"/>
        </w:tabs>
        <w:ind w:left="1440" w:hanging="360"/>
      </w:pPr>
    </w:lvl>
    <w:lvl w:ilvl="2" w:tplc="80663A2E">
      <w:start w:val="1"/>
      <w:numFmt w:val="lowerRoman"/>
      <w:lvlText w:val="%3."/>
      <w:lvlJc w:val="right"/>
      <w:pPr>
        <w:tabs>
          <w:tab w:val="num" w:pos="2160"/>
        </w:tabs>
        <w:ind w:left="2160" w:hanging="180"/>
      </w:pPr>
    </w:lvl>
    <w:lvl w:ilvl="3" w:tplc="7494D2F4">
      <w:start w:val="1"/>
      <w:numFmt w:val="decimal"/>
      <w:lvlText w:val="%4."/>
      <w:lvlJc w:val="left"/>
      <w:pPr>
        <w:tabs>
          <w:tab w:val="num" w:pos="2880"/>
        </w:tabs>
        <w:ind w:left="2880" w:hanging="360"/>
      </w:pPr>
    </w:lvl>
    <w:lvl w:ilvl="4" w:tplc="5824E6D8">
      <w:start w:val="1"/>
      <w:numFmt w:val="lowerLetter"/>
      <w:lvlText w:val="%5."/>
      <w:lvlJc w:val="left"/>
      <w:pPr>
        <w:tabs>
          <w:tab w:val="num" w:pos="3600"/>
        </w:tabs>
        <w:ind w:left="3600" w:hanging="360"/>
      </w:pPr>
    </w:lvl>
    <w:lvl w:ilvl="5" w:tplc="9E0A90D6">
      <w:start w:val="1"/>
      <w:numFmt w:val="lowerRoman"/>
      <w:lvlText w:val="%6."/>
      <w:lvlJc w:val="right"/>
      <w:pPr>
        <w:tabs>
          <w:tab w:val="num" w:pos="4320"/>
        </w:tabs>
        <w:ind w:left="4320" w:hanging="180"/>
      </w:pPr>
    </w:lvl>
    <w:lvl w:ilvl="6" w:tplc="D8F6E7D8">
      <w:start w:val="1"/>
      <w:numFmt w:val="decimal"/>
      <w:lvlText w:val="%7."/>
      <w:lvlJc w:val="left"/>
      <w:pPr>
        <w:tabs>
          <w:tab w:val="num" w:pos="5040"/>
        </w:tabs>
        <w:ind w:left="5040" w:hanging="360"/>
      </w:pPr>
    </w:lvl>
    <w:lvl w:ilvl="7" w:tplc="CB6C9680">
      <w:start w:val="1"/>
      <w:numFmt w:val="lowerLetter"/>
      <w:lvlText w:val="%8."/>
      <w:lvlJc w:val="left"/>
      <w:pPr>
        <w:tabs>
          <w:tab w:val="num" w:pos="5760"/>
        </w:tabs>
        <w:ind w:left="5760" w:hanging="360"/>
      </w:pPr>
    </w:lvl>
    <w:lvl w:ilvl="8" w:tplc="11204952">
      <w:start w:val="1"/>
      <w:numFmt w:val="lowerRoman"/>
      <w:lvlText w:val="%9."/>
      <w:lvlJc w:val="right"/>
      <w:pPr>
        <w:tabs>
          <w:tab w:val="num" w:pos="6480"/>
        </w:tabs>
        <w:ind w:left="6480" w:hanging="180"/>
      </w:pPr>
    </w:lvl>
  </w:abstractNum>
  <w:abstractNum w:abstractNumId="7" w15:restartNumberingAfterBreak="0">
    <w:nsid w:val="2B9B159F"/>
    <w:multiLevelType w:val="multilevel"/>
    <w:tmpl w:val="3BBAD900"/>
    <w:styleLink w:val="HeadingsList"/>
    <w:lvl w:ilvl="0">
      <w:start w:val="1"/>
      <w:numFmt w:val="decimal"/>
      <w:pStyle w:val="Heading1Numberedsmallspaceafter"/>
      <w:suff w:val="space"/>
      <w:lvlText w:val="%1."/>
      <w:lvlJc w:val="left"/>
      <w:pPr>
        <w:ind w:left="0" w:firstLine="0"/>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CE03691"/>
    <w:multiLevelType w:val="hybridMultilevel"/>
    <w:tmpl w:val="3A4C0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472778"/>
    <w:multiLevelType w:val="hybridMultilevel"/>
    <w:tmpl w:val="9AF4E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598A5214"/>
    <w:multiLevelType w:val="hybridMultilevel"/>
    <w:tmpl w:val="7884C832"/>
    <w:lvl w:ilvl="0" w:tplc="07522316">
      <w:start w:val="1"/>
      <w:numFmt w:val="decimal"/>
      <w:pStyle w:val="TableListNumber"/>
      <w:lvlText w:val="%1."/>
      <w:lvlJc w:val="left"/>
      <w:pPr>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5D56043A"/>
    <w:multiLevelType w:val="multilevel"/>
    <w:tmpl w:val="69AEB596"/>
    <w:numStyleLink w:val="BulletsList"/>
  </w:abstractNum>
  <w:abstractNum w:abstractNumId="1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66C55035"/>
    <w:multiLevelType w:val="hybridMultilevel"/>
    <w:tmpl w:val="70ACFA88"/>
    <w:lvl w:ilvl="0" w:tplc="E63E98D4">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start w:val="1"/>
      <w:numFmt w:val="bullet"/>
      <w:lvlText w:val="o"/>
      <w:lvlJc w:val="left"/>
      <w:pPr>
        <w:tabs>
          <w:tab w:val="num" w:pos="1440"/>
        </w:tabs>
        <w:ind w:left="1440" w:hanging="360"/>
      </w:pPr>
      <w:rPr>
        <w:rFonts w:ascii="Courier New" w:hAnsi="Courier New" w:cs="Wingdings" w:hint="default"/>
      </w:rPr>
    </w:lvl>
    <w:lvl w:ilvl="2" w:tplc="99748D30">
      <w:start w:val="1"/>
      <w:numFmt w:val="bullet"/>
      <w:lvlText w:val=""/>
      <w:lvlJc w:val="left"/>
      <w:pPr>
        <w:tabs>
          <w:tab w:val="num" w:pos="2160"/>
        </w:tabs>
        <w:ind w:left="2160" w:hanging="360"/>
      </w:pPr>
      <w:rPr>
        <w:rFonts w:ascii="Wingdings" w:hAnsi="Wingdings" w:hint="default"/>
      </w:rPr>
    </w:lvl>
    <w:lvl w:ilvl="3" w:tplc="0DF60BFA">
      <w:start w:val="1"/>
      <w:numFmt w:val="bullet"/>
      <w:lvlText w:val=""/>
      <w:lvlJc w:val="left"/>
      <w:pPr>
        <w:tabs>
          <w:tab w:val="num" w:pos="2880"/>
        </w:tabs>
        <w:ind w:left="2880" w:hanging="360"/>
      </w:pPr>
      <w:rPr>
        <w:rFonts w:ascii="Symbol" w:hAnsi="Symbol" w:hint="default"/>
      </w:rPr>
    </w:lvl>
    <w:lvl w:ilvl="4" w:tplc="DD4E902C">
      <w:start w:val="1"/>
      <w:numFmt w:val="bullet"/>
      <w:lvlText w:val="o"/>
      <w:lvlJc w:val="left"/>
      <w:pPr>
        <w:tabs>
          <w:tab w:val="num" w:pos="3600"/>
        </w:tabs>
        <w:ind w:left="3600" w:hanging="360"/>
      </w:pPr>
      <w:rPr>
        <w:rFonts w:ascii="Courier New" w:hAnsi="Courier New" w:cs="Wingdings" w:hint="default"/>
      </w:rPr>
    </w:lvl>
    <w:lvl w:ilvl="5" w:tplc="64B02D42">
      <w:start w:val="1"/>
      <w:numFmt w:val="bullet"/>
      <w:lvlText w:val=""/>
      <w:lvlJc w:val="left"/>
      <w:pPr>
        <w:tabs>
          <w:tab w:val="num" w:pos="4320"/>
        </w:tabs>
        <w:ind w:left="4320" w:hanging="360"/>
      </w:pPr>
      <w:rPr>
        <w:rFonts w:ascii="Wingdings" w:hAnsi="Wingdings" w:hint="default"/>
      </w:rPr>
    </w:lvl>
    <w:lvl w:ilvl="6" w:tplc="88A247DA">
      <w:start w:val="1"/>
      <w:numFmt w:val="bullet"/>
      <w:lvlText w:val=""/>
      <w:lvlJc w:val="left"/>
      <w:pPr>
        <w:tabs>
          <w:tab w:val="num" w:pos="5040"/>
        </w:tabs>
        <w:ind w:left="5040" w:hanging="360"/>
      </w:pPr>
      <w:rPr>
        <w:rFonts w:ascii="Symbol" w:hAnsi="Symbol" w:hint="default"/>
      </w:rPr>
    </w:lvl>
    <w:lvl w:ilvl="7" w:tplc="01FC8B3C">
      <w:start w:val="1"/>
      <w:numFmt w:val="bullet"/>
      <w:lvlText w:val="o"/>
      <w:lvlJc w:val="left"/>
      <w:pPr>
        <w:tabs>
          <w:tab w:val="num" w:pos="5760"/>
        </w:tabs>
        <w:ind w:left="5760" w:hanging="360"/>
      </w:pPr>
      <w:rPr>
        <w:rFonts w:ascii="Courier New" w:hAnsi="Courier New" w:cs="Wingdings" w:hint="default"/>
      </w:rPr>
    </w:lvl>
    <w:lvl w:ilvl="8" w:tplc="0FF81D96">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FB4624"/>
    <w:multiLevelType w:val="hybridMultilevel"/>
    <w:tmpl w:val="1BD4F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0E2ABC"/>
    <w:multiLevelType w:val="multilevel"/>
    <w:tmpl w:val="3BBAD900"/>
    <w:numStyleLink w:val="HeadingsList"/>
  </w:abstractNum>
  <w:abstractNum w:abstractNumId="17" w15:restartNumberingAfterBreak="0">
    <w:nsid w:val="6FD92CCF"/>
    <w:multiLevelType w:val="hybridMultilevel"/>
    <w:tmpl w:val="5C9C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D3875F" w:themeColor="accent1"/>
      </w:rPr>
    </w:lvl>
    <w:lvl w:ilvl="1">
      <w:start w:val="1"/>
      <w:numFmt w:val="bullet"/>
      <w:pStyle w:val="Bullet2"/>
      <w:lvlText w:val="–"/>
      <w:lvlJc w:val="left"/>
      <w:pPr>
        <w:tabs>
          <w:tab w:val="num" w:pos="568"/>
        </w:tabs>
        <w:ind w:left="568" w:hanging="284"/>
      </w:pPr>
      <w:rPr>
        <w:rFonts w:ascii="Arial" w:hAnsi="Arial" w:hint="default"/>
        <w:color w:val="D3875F" w:themeColor="accent1"/>
      </w:rPr>
    </w:lvl>
    <w:lvl w:ilvl="2">
      <w:start w:val="1"/>
      <w:numFmt w:val="bullet"/>
      <w:pStyle w:val="Bullet3"/>
      <w:lvlText w:val="»"/>
      <w:lvlJc w:val="left"/>
      <w:pPr>
        <w:tabs>
          <w:tab w:val="num" w:pos="852"/>
        </w:tabs>
        <w:ind w:left="852" w:hanging="285"/>
      </w:pPr>
      <w:rPr>
        <w:rFonts w:ascii="Arial" w:hAnsi="Arial" w:hint="default"/>
        <w:color w:val="D3875F"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9" w15:restartNumberingAfterBreak="0">
    <w:nsid w:val="792E3E94"/>
    <w:multiLevelType w:val="hybridMultilevel"/>
    <w:tmpl w:val="452C085C"/>
    <w:lvl w:ilvl="0" w:tplc="EF448EE4">
      <w:start w:val="1"/>
      <w:numFmt w:val="bullet"/>
      <w:pStyle w:val="Box2Bullet"/>
      <w:lvlText w:val=""/>
      <w:lvlJc w:val="left"/>
      <w:pPr>
        <w:ind w:left="64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8"/>
  </w:num>
  <w:num w:numId="2">
    <w:abstractNumId w:val="2"/>
  </w:num>
  <w:num w:numId="3">
    <w:abstractNumId w:val="7"/>
  </w:num>
  <w:num w:numId="4">
    <w:abstractNumId w:val="10"/>
  </w:num>
  <w:num w:numId="5">
    <w:abstractNumId w:val="13"/>
  </w:num>
  <w:num w:numId="6">
    <w:abstractNumId w:val="2"/>
  </w:num>
  <w:num w:numId="7">
    <w:abstractNumId w:val="4"/>
  </w:num>
  <w:num w:numId="8">
    <w:abstractNumId w:val="1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6"/>
  </w:num>
  <w:num w:numId="17">
    <w:abstractNumId w:val="17"/>
  </w:num>
  <w:num w:numId="18">
    <w:abstractNumId w:val="0"/>
  </w:num>
  <w:num w:numId="19">
    <w:abstractNumId w:val="9"/>
  </w:num>
  <w:num w:numId="20">
    <w:abstractNumId w:val="1"/>
  </w:num>
  <w:num w:numId="21">
    <w:abstractNumId w:val="8"/>
  </w:num>
  <w:num w:numId="22">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4F6"/>
    <w:rsid w:val="00013F0E"/>
    <w:rsid w:val="0001666A"/>
    <w:rsid w:val="0001758F"/>
    <w:rsid w:val="0002080A"/>
    <w:rsid w:val="0002336C"/>
    <w:rsid w:val="00023734"/>
    <w:rsid w:val="00025D1E"/>
    <w:rsid w:val="00027287"/>
    <w:rsid w:val="0002782F"/>
    <w:rsid w:val="000356C3"/>
    <w:rsid w:val="00040A8B"/>
    <w:rsid w:val="00046139"/>
    <w:rsid w:val="00047307"/>
    <w:rsid w:val="000524C5"/>
    <w:rsid w:val="00054E4D"/>
    <w:rsid w:val="00057479"/>
    <w:rsid w:val="00060073"/>
    <w:rsid w:val="00061316"/>
    <w:rsid w:val="00064004"/>
    <w:rsid w:val="00065A13"/>
    <w:rsid w:val="00067916"/>
    <w:rsid w:val="000972FD"/>
    <w:rsid w:val="000A7FA1"/>
    <w:rsid w:val="000B3155"/>
    <w:rsid w:val="000B321A"/>
    <w:rsid w:val="000B5035"/>
    <w:rsid w:val="000B704D"/>
    <w:rsid w:val="000C3638"/>
    <w:rsid w:val="000D53CF"/>
    <w:rsid w:val="000E79F6"/>
    <w:rsid w:val="000F12F0"/>
    <w:rsid w:val="000F2A97"/>
    <w:rsid w:val="00101A68"/>
    <w:rsid w:val="001042D1"/>
    <w:rsid w:val="00105094"/>
    <w:rsid w:val="001055F8"/>
    <w:rsid w:val="0011276D"/>
    <w:rsid w:val="001250CF"/>
    <w:rsid w:val="00125E4E"/>
    <w:rsid w:val="0013615E"/>
    <w:rsid w:val="00141E3E"/>
    <w:rsid w:val="00146016"/>
    <w:rsid w:val="0015356B"/>
    <w:rsid w:val="001541EA"/>
    <w:rsid w:val="00156A3D"/>
    <w:rsid w:val="00157C34"/>
    <w:rsid w:val="00157CF5"/>
    <w:rsid w:val="00176E78"/>
    <w:rsid w:val="00177828"/>
    <w:rsid w:val="00184D0D"/>
    <w:rsid w:val="00187A24"/>
    <w:rsid w:val="00196DE3"/>
    <w:rsid w:val="001A79DE"/>
    <w:rsid w:val="001C013B"/>
    <w:rsid w:val="001C2CE5"/>
    <w:rsid w:val="001C5C4C"/>
    <w:rsid w:val="001C6232"/>
    <w:rsid w:val="001C7935"/>
    <w:rsid w:val="001D36D7"/>
    <w:rsid w:val="001D4767"/>
    <w:rsid w:val="001D663E"/>
    <w:rsid w:val="001E0D37"/>
    <w:rsid w:val="001E1DC0"/>
    <w:rsid w:val="00203BF7"/>
    <w:rsid w:val="0022167B"/>
    <w:rsid w:val="0022186C"/>
    <w:rsid w:val="0023481D"/>
    <w:rsid w:val="00234A59"/>
    <w:rsid w:val="00235580"/>
    <w:rsid w:val="00237852"/>
    <w:rsid w:val="00240892"/>
    <w:rsid w:val="0024653B"/>
    <w:rsid w:val="00253405"/>
    <w:rsid w:val="002563EE"/>
    <w:rsid w:val="002573DB"/>
    <w:rsid w:val="00260099"/>
    <w:rsid w:val="002607B0"/>
    <w:rsid w:val="00271503"/>
    <w:rsid w:val="00272B56"/>
    <w:rsid w:val="00276B76"/>
    <w:rsid w:val="00283EFE"/>
    <w:rsid w:val="0028602A"/>
    <w:rsid w:val="00286EDD"/>
    <w:rsid w:val="002921CE"/>
    <w:rsid w:val="0029542A"/>
    <w:rsid w:val="002B1079"/>
    <w:rsid w:val="002B22C4"/>
    <w:rsid w:val="002C0C6F"/>
    <w:rsid w:val="002C1EB6"/>
    <w:rsid w:val="002D43C3"/>
    <w:rsid w:val="002D484F"/>
    <w:rsid w:val="002D5825"/>
    <w:rsid w:val="002F1BDC"/>
    <w:rsid w:val="002F2E68"/>
    <w:rsid w:val="002F782D"/>
    <w:rsid w:val="003002C0"/>
    <w:rsid w:val="00301144"/>
    <w:rsid w:val="00302E4B"/>
    <w:rsid w:val="0031097F"/>
    <w:rsid w:val="0031432C"/>
    <w:rsid w:val="003148B7"/>
    <w:rsid w:val="003158C3"/>
    <w:rsid w:val="00317188"/>
    <w:rsid w:val="003274CD"/>
    <w:rsid w:val="00332FA2"/>
    <w:rsid w:val="00333252"/>
    <w:rsid w:val="00333501"/>
    <w:rsid w:val="00337B31"/>
    <w:rsid w:val="00337D35"/>
    <w:rsid w:val="00343E2A"/>
    <w:rsid w:val="003447EF"/>
    <w:rsid w:val="003457C4"/>
    <w:rsid w:val="003508A8"/>
    <w:rsid w:val="0035119D"/>
    <w:rsid w:val="0035513B"/>
    <w:rsid w:val="00355610"/>
    <w:rsid w:val="003567C7"/>
    <w:rsid w:val="00363B3C"/>
    <w:rsid w:val="003653B1"/>
    <w:rsid w:val="00367856"/>
    <w:rsid w:val="00383B26"/>
    <w:rsid w:val="00383D41"/>
    <w:rsid w:val="00392BFF"/>
    <w:rsid w:val="003A5358"/>
    <w:rsid w:val="003A5CD1"/>
    <w:rsid w:val="003B4F12"/>
    <w:rsid w:val="003B7805"/>
    <w:rsid w:val="003C19EB"/>
    <w:rsid w:val="003D4F79"/>
    <w:rsid w:val="003D7D08"/>
    <w:rsid w:val="003D7F56"/>
    <w:rsid w:val="003E038E"/>
    <w:rsid w:val="003E0442"/>
    <w:rsid w:val="003E32FA"/>
    <w:rsid w:val="003F00F2"/>
    <w:rsid w:val="003F163B"/>
    <w:rsid w:val="003F2F48"/>
    <w:rsid w:val="003F3DE0"/>
    <w:rsid w:val="003F525E"/>
    <w:rsid w:val="0040020A"/>
    <w:rsid w:val="0041430C"/>
    <w:rsid w:val="004144E9"/>
    <w:rsid w:val="004203A3"/>
    <w:rsid w:val="0042098F"/>
    <w:rsid w:val="004215E7"/>
    <w:rsid w:val="004230ED"/>
    <w:rsid w:val="00423F31"/>
    <w:rsid w:val="0042455D"/>
    <w:rsid w:val="00425CB9"/>
    <w:rsid w:val="00426C51"/>
    <w:rsid w:val="004270F9"/>
    <w:rsid w:val="00427B4D"/>
    <w:rsid w:val="00431899"/>
    <w:rsid w:val="00436291"/>
    <w:rsid w:val="00437A5A"/>
    <w:rsid w:val="00463B5E"/>
    <w:rsid w:val="00467695"/>
    <w:rsid w:val="0047483B"/>
    <w:rsid w:val="0047491E"/>
    <w:rsid w:val="004778BE"/>
    <w:rsid w:val="0048174A"/>
    <w:rsid w:val="00481CA0"/>
    <w:rsid w:val="00486804"/>
    <w:rsid w:val="00486BA0"/>
    <w:rsid w:val="00495F8E"/>
    <w:rsid w:val="004971E7"/>
    <w:rsid w:val="004A3947"/>
    <w:rsid w:val="004B3775"/>
    <w:rsid w:val="004B4297"/>
    <w:rsid w:val="004D0AEE"/>
    <w:rsid w:val="004D336E"/>
    <w:rsid w:val="004D633C"/>
    <w:rsid w:val="004E058F"/>
    <w:rsid w:val="004E3B87"/>
    <w:rsid w:val="004E7E9F"/>
    <w:rsid w:val="004F2CEC"/>
    <w:rsid w:val="00501EA3"/>
    <w:rsid w:val="0050405D"/>
    <w:rsid w:val="00510562"/>
    <w:rsid w:val="00510921"/>
    <w:rsid w:val="00510AD3"/>
    <w:rsid w:val="00513348"/>
    <w:rsid w:val="00521B2A"/>
    <w:rsid w:val="00526FF2"/>
    <w:rsid w:val="00533B5D"/>
    <w:rsid w:val="00534683"/>
    <w:rsid w:val="00534BE6"/>
    <w:rsid w:val="00536F42"/>
    <w:rsid w:val="00552BFE"/>
    <w:rsid w:val="005536C4"/>
    <w:rsid w:val="0056172E"/>
    <w:rsid w:val="0057225D"/>
    <w:rsid w:val="00580BDB"/>
    <w:rsid w:val="0058458D"/>
    <w:rsid w:val="0058530D"/>
    <w:rsid w:val="00595EC5"/>
    <w:rsid w:val="00596DED"/>
    <w:rsid w:val="005A3526"/>
    <w:rsid w:val="005B583F"/>
    <w:rsid w:val="005C18AC"/>
    <w:rsid w:val="005C4B23"/>
    <w:rsid w:val="005C70FA"/>
    <w:rsid w:val="005D0990"/>
    <w:rsid w:val="005D1E4D"/>
    <w:rsid w:val="005D6697"/>
    <w:rsid w:val="005E295B"/>
    <w:rsid w:val="005F0701"/>
    <w:rsid w:val="005F1D57"/>
    <w:rsid w:val="005F2DF9"/>
    <w:rsid w:val="00617926"/>
    <w:rsid w:val="006222A8"/>
    <w:rsid w:val="00623BA1"/>
    <w:rsid w:val="00627558"/>
    <w:rsid w:val="006346BC"/>
    <w:rsid w:val="00635677"/>
    <w:rsid w:val="00655169"/>
    <w:rsid w:val="00655F60"/>
    <w:rsid w:val="00657197"/>
    <w:rsid w:val="0065749D"/>
    <w:rsid w:val="00660AF5"/>
    <w:rsid w:val="00661748"/>
    <w:rsid w:val="00663BB9"/>
    <w:rsid w:val="0066652A"/>
    <w:rsid w:val="006730A1"/>
    <w:rsid w:val="00682167"/>
    <w:rsid w:val="00686E76"/>
    <w:rsid w:val="00687B3B"/>
    <w:rsid w:val="006922D7"/>
    <w:rsid w:val="006955FB"/>
    <w:rsid w:val="006B0E2A"/>
    <w:rsid w:val="006B3CB5"/>
    <w:rsid w:val="006C059A"/>
    <w:rsid w:val="006C3042"/>
    <w:rsid w:val="006C3ED6"/>
    <w:rsid w:val="006C42AF"/>
    <w:rsid w:val="006C483E"/>
    <w:rsid w:val="006D3831"/>
    <w:rsid w:val="006E2A12"/>
    <w:rsid w:val="006F0606"/>
    <w:rsid w:val="006F682D"/>
    <w:rsid w:val="00700B3A"/>
    <w:rsid w:val="00706FDE"/>
    <w:rsid w:val="007071DB"/>
    <w:rsid w:val="0071086E"/>
    <w:rsid w:val="00710AC4"/>
    <w:rsid w:val="00711D8E"/>
    <w:rsid w:val="00712672"/>
    <w:rsid w:val="00716B8C"/>
    <w:rsid w:val="007217E9"/>
    <w:rsid w:val="007217FC"/>
    <w:rsid w:val="0072535A"/>
    <w:rsid w:val="00731A39"/>
    <w:rsid w:val="00732CA1"/>
    <w:rsid w:val="00734E3F"/>
    <w:rsid w:val="00736985"/>
    <w:rsid w:val="007451B9"/>
    <w:rsid w:val="00745DF5"/>
    <w:rsid w:val="00747FC3"/>
    <w:rsid w:val="00750DBA"/>
    <w:rsid w:val="007538A5"/>
    <w:rsid w:val="00756044"/>
    <w:rsid w:val="0075794C"/>
    <w:rsid w:val="00761FBB"/>
    <w:rsid w:val="00774489"/>
    <w:rsid w:val="007806BC"/>
    <w:rsid w:val="00780CC3"/>
    <w:rsid w:val="00785854"/>
    <w:rsid w:val="007903D7"/>
    <w:rsid w:val="00794DDF"/>
    <w:rsid w:val="00794E78"/>
    <w:rsid w:val="0079738A"/>
    <w:rsid w:val="007A011C"/>
    <w:rsid w:val="007A34B5"/>
    <w:rsid w:val="007A7373"/>
    <w:rsid w:val="007B42BF"/>
    <w:rsid w:val="007B6200"/>
    <w:rsid w:val="007B634D"/>
    <w:rsid w:val="007C42D8"/>
    <w:rsid w:val="007D5DCF"/>
    <w:rsid w:val="007D60CC"/>
    <w:rsid w:val="007E2357"/>
    <w:rsid w:val="007E2535"/>
    <w:rsid w:val="007E3380"/>
    <w:rsid w:val="007F3395"/>
    <w:rsid w:val="007F3779"/>
    <w:rsid w:val="00801B9F"/>
    <w:rsid w:val="00806503"/>
    <w:rsid w:val="00806757"/>
    <w:rsid w:val="00823FC8"/>
    <w:rsid w:val="0082741E"/>
    <w:rsid w:val="00834336"/>
    <w:rsid w:val="00840942"/>
    <w:rsid w:val="0085011E"/>
    <w:rsid w:val="008504EF"/>
    <w:rsid w:val="00871C9D"/>
    <w:rsid w:val="00875F79"/>
    <w:rsid w:val="008830D2"/>
    <w:rsid w:val="00892441"/>
    <w:rsid w:val="008A0512"/>
    <w:rsid w:val="008A217A"/>
    <w:rsid w:val="008A2D70"/>
    <w:rsid w:val="008B24F6"/>
    <w:rsid w:val="008B3A67"/>
    <w:rsid w:val="008C455D"/>
    <w:rsid w:val="008C4569"/>
    <w:rsid w:val="008C5A0E"/>
    <w:rsid w:val="008C7184"/>
    <w:rsid w:val="008E032F"/>
    <w:rsid w:val="008F4066"/>
    <w:rsid w:val="008F4A4D"/>
    <w:rsid w:val="008F516A"/>
    <w:rsid w:val="009057EA"/>
    <w:rsid w:val="00924EB1"/>
    <w:rsid w:val="00961895"/>
    <w:rsid w:val="0096630A"/>
    <w:rsid w:val="00971905"/>
    <w:rsid w:val="009767DC"/>
    <w:rsid w:val="00982A5F"/>
    <w:rsid w:val="009946C6"/>
    <w:rsid w:val="009A1C20"/>
    <w:rsid w:val="009A1EE6"/>
    <w:rsid w:val="009A4CDE"/>
    <w:rsid w:val="009A60A0"/>
    <w:rsid w:val="009B12CA"/>
    <w:rsid w:val="009B4D3B"/>
    <w:rsid w:val="009C0928"/>
    <w:rsid w:val="009C6BCD"/>
    <w:rsid w:val="009C6D70"/>
    <w:rsid w:val="009D3402"/>
    <w:rsid w:val="009D7407"/>
    <w:rsid w:val="009E0866"/>
    <w:rsid w:val="009E25BF"/>
    <w:rsid w:val="009E5A52"/>
    <w:rsid w:val="009F5228"/>
    <w:rsid w:val="009F62E3"/>
    <w:rsid w:val="009F6423"/>
    <w:rsid w:val="00A02111"/>
    <w:rsid w:val="00A04166"/>
    <w:rsid w:val="00A060EF"/>
    <w:rsid w:val="00A06BE8"/>
    <w:rsid w:val="00A13E4D"/>
    <w:rsid w:val="00A1561E"/>
    <w:rsid w:val="00A161CD"/>
    <w:rsid w:val="00A24100"/>
    <w:rsid w:val="00A2486C"/>
    <w:rsid w:val="00A24A62"/>
    <w:rsid w:val="00A3022D"/>
    <w:rsid w:val="00A3043C"/>
    <w:rsid w:val="00A31C9F"/>
    <w:rsid w:val="00A33827"/>
    <w:rsid w:val="00A33A72"/>
    <w:rsid w:val="00A3732B"/>
    <w:rsid w:val="00A376D2"/>
    <w:rsid w:val="00A4144F"/>
    <w:rsid w:val="00A44AC6"/>
    <w:rsid w:val="00A51B45"/>
    <w:rsid w:val="00A5609A"/>
    <w:rsid w:val="00A61D28"/>
    <w:rsid w:val="00A6241D"/>
    <w:rsid w:val="00A62CC4"/>
    <w:rsid w:val="00A65F96"/>
    <w:rsid w:val="00A745FC"/>
    <w:rsid w:val="00A75A27"/>
    <w:rsid w:val="00A90510"/>
    <w:rsid w:val="00A93C3A"/>
    <w:rsid w:val="00A940AA"/>
    <w:rsid w:val="00A952F7"/>
    <w:rsid w:val="00AB388E"/>
    <w:rsid w:val="00AC164A"/>
    <w:rsid w:val="00AC34D5"/>
    <w:rsid w:val="00AC4620"/>
    <w:rsid w:val="00AC5C34"/>
    <w:rsid w:val="00AC5DC8"/>
    <w:rsid w:val="00AE3E05"/>
    <w:rsid w:val="00AF2050"/>
    <w:rsid w:val="00AF3FC8"/>
    <w:rsid w:val="00AF5A66"/>
    <w:rsid w:val="00AF6D5E"/>
    <w:rsid w:val="00B03CA8"/>
    <w:rsid w:val="00B11873"/>
    <w:rsid w:val="00B13B4F"/>
    <w:rsid w:val="00B13C94"/>
    <w:rsid w:val="00B15FC6"/>
    <w:rsid w:val="00B34059"/>
    <w:rsid w:val="00B35911"/>
    <w:rsid w:val="00B50F8E"/>
    <w:rsid w:val="00B51530"/>
    <w:rsid w:val="00B54DD8"/>
    <w:rsid w:val="00B55E19"/>
    <w:rsid w:val="00B6075D"/>
    <w:rsid w:val="00B66BDC"/>
    <w:rsid w:val="00B6782A"/>
    <w:rsid w:val="00B71158"/>
    <w:rsid w:val="00B76749"/>
    <w:rsid w:val="00B76C71"/>
    <w:rsid w:val="00B851FD"/>
    <w:rsid w:val="00B92E1E"/>
    <w:rsid w:val="00BA2303"/>
    <w:rsid w:val="00BA31A7"/>
    <w:rsid w:val="00BA4B6D"/>
    <w:rsid w:val="00BA5D1A"/>
    <w:rsid w:val="00BA6D67"/>
    <w:rsid w:val="00BB19CD"/>
    <w:rsid w:val="00BB26C5"/>
    <w:rsid w:val="00BB567A"/>
    <w:rsid w:val="00BC25E7"/>
    <w:rsid w:val="00BD0B99"/>
    <w:rsid w:val="00BE0891"/>
    <w:rsid w:val="00BE1FFF"/>
    <w:rsid w:val="00BE7E26"/>
    <w:rsid w:val="00BF14D0"/>
    <w:rsid w:val="00BF27EF"/>
    <w:rsid w:val="00BF29D2"/>
    <w:rsid w:val="00BF3A17"/>
    <w:rsid w:val="00BF4DE6"/>
    <w:rsid w:val="00BF57D1"/>
    <w:rsid w:val="00C00C98"/>
    <w:rsid w:val="00C04CAA"/>
    <w:rsid w:val="00C0613F"/>
    <w:rsid w:val="00C10415"/>
    <w:rsid w:val="00C16478"/>
    <w:rsid w:val="00C33A9C"/>
    <w:rsid w:val="00C3731C"/>
    <w:rsid w:val="00C40091"/>
    <w:rsid w:val="00C42CDE"/>
    <w:rsid w:val="00C63EE9"/>
    <w:rsid w:val="00C65C11"/>
    <w:rsid w:val="00C6638F"/>
    <w:rsid w:val="00C86007"/>
    <w:rsid w:val="00C96797"/>
    <w:rsid w:val="00CA37B1"/>
    <w:rsid w:val="00CA6EC9"/>
    <w:rsid w:val="00CB1959"/>
    <w:rsid w:val="00CC18E5"/>
    <w:rsid w:val="00CC431B"/>
    <w:rsid w:val="00CC531A"/>
    <w:rsid w:val="00CD2F34"/>
    <w:rsid w:val="00CD60B1"/>
    <w:rsid w:val="00CD70FF"/>
    <w:rsid w:val="00CE2F1B"/>
    <w:rsid w:val="00CE321B"/>
    <w:rsid w:val="00CF280B"/>
    <w:rsid w:val="00D018D0"/>
    <w:rsid w:val="00D0296C"/>
    <w:rsid w:val="00D042D3"/>
    <w:rsid w:val="00D07D53"/>
    <w:rsid w:val="00D07E78"/>
    <w:rsid w:val="00D12225"/>
    <w:rsid w:val="00D12D89"/>
    <w:rsid w:val="00D17E7D"/>
    <w:rsid w:val="00D203EB"/>
    <w:rsid w:val="00D2248F"/>
    <w:rsid w:val="00D22A81"/>
    <w:rsid w:val="00D40C15"/>
    <w:rsid w:val="00D41E2A"/>
    <w:rsid w:val="00D44758"/>
    <w:rsid w:val="00D44F25"/>
    <w:rsid w:val="00D500E9"/>
    <w:rsid w:val="00D509F3"/>
    <w:rsid w:val="00D5556A"/>
    <w:rsid w:val="00D57616"/>
    <w:rsid w:val="00D61576"/>
    <w:rsid w:val="00D65170"/>
    <w:rsid w:val="00D9353F"/>
    <w:rsid w:val="00DA024F"/>
    <w:rsid w:val="00DB0239"/>
    <w:rsid w:val="00DB6402"/>
    <w:rsid w:val="00DB792F"/>
    <w:rsid w:val="00DC5265"/>
    <w:rsid w:val="00DD420C"/>
    <w:rsid w:val="00DD44EA"/>
    <w:rsid w:val="00E03461"/>
    <w:rsid w:val="00E03E92"/>
    <w:rsid w:val="00E04AC1"/>
    <w:rsid w:val="00E10987"/>
    <w:rsid w:val="00E1612F"/>
    <w:rsid w:val="00E16D17"/>
    <w:rsid w:val="00E173FE"/>
    <w:rsid w:val="00E26E94"/>
    <w:rsid w:val="00E3368B"/>
    <w:rsid w:val="00E357B7"/>
    <w:rsid w:val="00E377D5"/>
    <w:rsid w:val="00E37B70"/>
    <w:rsid w:val="00E41B0A"/>
    <w:rsid w:val="00E4629C"/>
    <w:rsid w:val="00E53800"/>
    <w:rsid w:val="00E55AF3"/>
    <w:rsid w:val="00E6081F"/>
    <w:rsid w:val="00E62377"/>
    <w:rsid w:val="00E62925"/>
    <w:rsid w:val="00E6753E"/>
    <w:rsid w:val="00E8026F"/>
    <w:rsid w:val="00E82491"/>
    <w:rsid w:val="00E82F47"/>
    <w:rsid w:val="00E839A4"/>
    <w:rsid w:val="00E86EFA"/>
    <w:rsid w:val="00E91D1D"/>
    <w:rsid w:val="00E928D7"/>
    <w:rsid w:val="00E9392A"/>
    <w:rsid w:val="00EA04B2"/>
    <w:rsid w:val="00EA0BCE"/>
    <w:rsid w:val="00EA20F3"/>
    <w:rsid w:val="00EA3CFE"/>
    <w:rsid w:val="00EA5EDD"/>
    <w:rsid w:val="00EA7640"/>
    <w:rsid w:val="00EB6875"/>
    <w:rsid w:val="00ED43D1"/>
    <w:rsid w:val="00ED5255"/>
    <w:rsid w:val="00ED75E2"/>
    <w:rsid w:val="00EE0D33"/>
    <w:rsid w:val="00EE4EE1"/>
    <w:rsid w:val="00EF23EA"/>
    <w:rsid w:val="00EF4574"/>
    <w:rsid w:val="00EF75BF"/>
    <w:rsid w:val="00F001F8"/>
    <w:rsid w:val="00F14C4A"/>
    <w:rsid w:val="00F1611E"/>
    <w:rsid w:val="00F20E5E"/>
    <w:rsid w:val="00F2684E"/>
    <w:rsid w:val="00F4791C"/>
    <w:rsid w:val="00F50744"/>
    <w:rsid w:val="00F5404C"/>
    <w:rsid w:val="00F6098C"/>
    <w:rsid w:val="00F62971"/>
    <w:rsid w:val="00F63911"/>
    <w:rsid w:val="00F66D0E"/>
    <w:rsid w:val="00F729EF"/>
    <w:rsid w:val="00F77CAE"/>
    <w:rsid w:val="00F8555B"/>
    <w:rsid w:val="00F958AE"/>
    <w:rsid w:val="00F96BB9"/>
    <w:rsid w:val="00FA6261"/>
    <w:rsid w:val="00FB7242"/>
    <w:rsid w:val="00FC1DEF"/>
    <w:rsid w:val="00FC750D"/>
    <w:rsid w:val="00FD1DF4"/>
    <w:rsid w:val="00FD22B7"/>
    <w:rsid w:val="00FD4C8E"/>
    <w:rsid w:val="00FE1FAA"/>
    <w:rsid w:val="00FE6D51"/>
    <w:rsid w:val="00FE7052"/>
    <w:rsid w:val="00FF4B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9" w:unhideWhenUsed="1" w:qFormat="1"/>
    <w:lsdException w:name="heading 5" w:locked="0" w:semiHidden="1" w:uiPriority="0" w:unhideWhenUsed="1" w:qFormat="1"/>
    <w:lsdException w:name="heading 6" w:locked="0" w:semiHidden="1" w:uiPriority="0"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nhideWhenUsed="1"/>
    <w:lsdException w:name="toc 7" w:locked="0" w:semiHidden="1"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locked="0" w:semiHidden="1" w:uiPriority="0" w:unhideWhenUsed="1"/>
    <w:lsdException w:name="endnote reference" w:locked="0" w:semiHidden="1" w:uiPriority="0"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B5035"/>
    <w:pPr>
      <w:suppressAutoHyphens/>
      <w:spacing w:before="120" w:after="60" w:line="260" w:lineRule="atLeast"/>
    </w:pPr>
    <w:rPr>
      <w:color w:val="495965" w:themeColor="text2"/>
      <w:lang w:val="en-GB"/>
    </w:rPr>
  </w:style>
  <w:style w:type="paragraph" w:styleId="Heading1">
    <w:name w:val="heading 1"/>
    <w:basedOn w:val="Normal"/>
    <w:next w:val="Normal"/>
    <w:link w:val="Heading1Char"/>
    <w:qFormat/>
    <w:rsid w:val="00E10987"/>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Heading1"/>
    <w:next w:val="Normal"/>
    <w:link w:val="Heading2Char"/>
    <w:unhideWhenUsed/>
    <w:qFormat/>
    <w:rsid w:val="00E10987"/>
    <w:pPr>
      <w:spacing w:before="480" w:after="120"/>
      <w:outlineLvl w:val="1"/>
    </w:pPr>
    <w:rPr>
      <w:b w:val="0"/>
      <w:bCs w:val="0"/>
      <w:color w:val="495965" w:themeColor="text2"/>
      <w:szCs w:val="26"/>
    </w:rPr>
  </w:style>
  <w:style w:type="paragraph" w:styleId="Heading3">
    <w:name w:val="heading 3"/>
    <w:basedOn w:val="Heading2"/>
    <w:next w:val="Normal"/>
    <w:link w:val="Heading3Char"/>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nhideWhenUsed/>
    <w:qFormat/>
    <w:rsid w:val="00501EA3"/>
    <w:pPr>
      <w:spacing w:line="200" w:lineRule="atLeast"/>
      <w:outlineLvl w:val="4"/>
    </w:pPr>
    <w:rPr>
      <w:b/>
      <w:sz w:val="16"/>
    </w:rPr>
  </w:style>
  <w:style w:type="paragraph" w:styleId="Heading6">
    <w:name w:val="heading 6"/>
    <w:basedOn w:val="Heading5"/>
    <w:next w:val="Normal"/>
    <w:link w:val="Heading6Char"/>
    <w:unhideWhenUsed/>
    <w:qFormat/>
    <w:rsid w:val="00501EA3"/>
    <w:pPr>
      <w:spacing w:before="40"/>
      <w:outlineLvl w:val="5"/>
    </w:pPr>
    <w:rPr>
      <w:b w:val="0"/>
      <w:color w:val="773E21" w:themeColor="accent1" w:themeShade="7F"/>
      <w:sz w:val="22"/>
    </w:rPr>
  </w:style>
  <w:style w:type="paragraph" w:styleId="Heading7">
    <w:name w:val="heading 7"/>
    <w:basedOn w:val="Heading6"/>
    <w:next w:val="Normal"/>
    <w:link w:val="Heading7Char"/>
    <w:uiPriority w:val="99"/>
    <w:unhideWhenUsed/>
    <w:qFormat/>
    <w:locked/>
    <w:rsid w:val="00501EA3"/>
    <w:pPr>
      <w:outlineLvl w:val="6"/>
    </w:pPr>
    <w:rPr>
      <w:i/>
      <w:iCs w:val="0"/>
    </w:rPr>
  </w:style>
  <w:style w:type="paragraph" w:styleId="Heading8">
    <w:name w:val="heading 8"/>
    <w:basedOn w:val="Heading7"/>
    <w:next w:val="Normal"/>
    <w:link w:val="Heading8Char"/>
    <w:uiPriority w:val="9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987"/>
    <w:rPr>
      <w:rFonts w:asciiTheme="majorHAnsi" w:eastAsiaTheme="majorEastAsia" w:hAnsiTheme="majorHAnsi" w:cstheme="majorBidi"/>
      <w:b/>
      <w:bCs/>
      <w:caps/>
      <w:color w:val="FFFFFF" w:themeColor="background1"/>
      <w:sz w:val="38"/>
      <w:szCs w:val="28"/>
      <w:lang w:val="en-GB"/>
    </w:rPr>
  </w:style>
  <w:style w:type="character" w:customStyle="1" w:styleId="Heading2Char">
    <w:name w:val="Heading 2 Char"/>
    <w:basedOn w:val="DefaultParagraphFont"/>
    <w:link w:val="Heading2"/>
    <w:rsid w:val="00E10987"/>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99"/>
    <w:qFormat/>
    <w:rsid w:val="00E03461"/>
    <w:pPr>
      <w:numPr>
        <w:ilvl w:val="1"/>
      </w:numPr>
      <w:spacing w:before="120" w:line="280" w:lineRule="atLeast"/>
      <w:outlineLvl w:val="9"/>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99"/>
    <w:rsid w:val="00E03461"/>
    <w:rPr>
      <w:rFonts w:eastAsiaTheme="majorEastAsia" w:cstheme="majorBidi"/>
      <w:bCs/>
      <w:iCs/>
      <w:color w:val="FFFFFF" w:themeColor="background1"/>
      <w:kern w:val="28"/>
      <w:sz w:val="24"/>
      <w:szCs w:val="24"/>
    </w:rPr>
  </w:style>
  <w:style w:type="paragraph" w:customStyle="1" w:styleId="Bullet1">
    <w:name w:val="Bullet 1"/>
    <w:basedOn w:val="Normal"/>
    <w:qFormat/>
    <w:rsid w:val="00D44758"/>
    <w:pPr>
      <w:numPr>
        <w:numId w:val="15"/>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2Numbered">
    <w:name w:val="Heading 2 Numbered"/>
    <w:basedOn w:val="Heading2"/>
    <w:next w:val="Normal"/>
    <w:qFormat/>
    <w:rsid w:val="006D3831"/>
    <w:pPr>
      <w:numPr>
        <w:ilvl w:val="1"/>
        <w:numId w:val="16"/>
      </w:numPr>
      <w:spacing w:after="60"/>
    </w:pPr>
    <w:rPr>
      <w:bCs/>
    </w:rPr>
  </w:style>
  <w:style w:type="paragraph" w:customStyle="1" w:styleId="Heading3Numbered">
    <w:name w:val="Heading 3 Numbered"/>
    <w:basedOn w:val="Heading3"/>
    <w:next w:val="Normal"/>
    <w:qFormat/>
    <w:rsid w:val="006D3831"/>
    <w:pPr>
      <w:numPr>
        <w:ilvl w:val="2"/>
        <w:numId w:val="16"/>
      </w:numPr>
      <w:spacing w:before="300" w:after="60"/>
    </w:pPr>
    <w:rPr>
      <w:szCs w:val="22"/>
      <w:lang w:val="en-GB"/>
    </w:rPr>
  </w:style>
  <w:style w:type="numbering" w:customStyle="1" w:styleId="BulletsList">
    <w:name w:val="Bullets List"/>
    <w:uiPriority w:val="99"/>
    <w:rsid w:val="00D4475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6D3831"/>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875F79"/>
    <w:pPr>
      <w:pBdr>
        <w:top w:val="single" w:sz="4" w:space="6" w:color="D3875F" w:themeColor="accent1"/>
        <w:between w:val="single" w:sz="4" w:space="6" w:color="D3875F" w:themeColor="accent1"/>
      </w:pBdr>
      <w:tabs>
        <w:tab w:val="left" w:pos="680"/>
        <w:tab w:val="right" w:pos="9639"/>
      </w:tabs>
      <w:spacing w:after="100" w:line="320" w:lineRule="atLeast"/>
    </w:pPr>
    <w:rPr>
      <w:b/>
      <w:caps/>
      <w:color w:val="D3875F" w:themeColor="accent1"/>
      <w:sz w:val="26"/>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9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9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E10987"/>
    <w:pPr>
      <w:spacing w:before="400" w:after="400" w:line="280" w:lineRule="exact"/>
    </w:pPr>
    <w:rPr>
      <w:b/>
      <w:caps/>
      <w:color w:val="D3875F" w:themeColor="accent1"/>
      <w:sz w:val="28"/>
    </w:rPr>
  </w:style>
  <w:style w:type="table" w:styleId="TableGrid">
    <w:name w:val="Table Grid"/>
    <w:basedOn w:val="TableNormal"/>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3A5CD1"/>
    <w:rPr>
      <w:rFonts w:asciiTheme="minorHAnsi" w:hAnsiTheme="minorHAnsi" w:cs="MuseoSans-500"/>
      <w:color w:val="495965" w:themeColor="text2"/>
      <w:u w:val="single" w:color="495965" w:themeColor="text2"/>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D9353F"/>
    <w:rPr>
      <w:b/>
      <w:bCs/>
      <w:color w:val="495965" w:themeColor="text2"/>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99"/>
    <w:unhideWhenUsed/>
    <w:qFormat/>
    <w:rsid w:val="00B15FC6"/>
    <w:pPr>
      <w:keepNext/>
      <w:spacing w:before="240" w:after="120" w:line="240" w:lineRule="atLeast"/>
      <w:contextualSpacing/>
    </w:pPr>
    <w:rPr>
      <w:b/>
      <w:iCs/>
      <w:sz w:val="20"/>
      <w:szCs w:val="18"/>
    </w:rPr>
  </w:style>
  <w:style w:type="paragraph" w:styleId="Footer">
    <w:name w:val="footer"/>
    <w:basedOn w:val="Normal"/>
    <w:link w:val="FooterChar"/>
    <w:uiPriority w:val="99"/>
    <w:unhideWhenUsed/>
    <w:rsid w:val="002921CE"/>
    <w:pPr>
      <w:tabs>
        <w:tab w:val="right" w:pos="9356"/>
        <w:tab w:val="center" w:pos="10036"/>
      </w:tabs>
      <w:spacing w:before="0" w:after="0" w:line="220" w:lineRule="atLeast"/>
      <w:ind w:left="284" w:right="-567"/>
    </w:pPr>
    <w:rPr>
      <w:color w:val="FFFFFF" w:themeColor="background1"/>
      <w:sz w:val="14"/>
    </w:rPr>
  </w:style>
  <w:style w:type="character" w:customStyle="1" w:styleId="FooterChar">
    <w:name w:val="Footer Char"/>
    <w:basedOn w:val="DefaultParagraphFont"/>
    <w:link w:val="Footer"/>
    <w:uiPriority w:val="99"/>
    <w:rsid w:val="002921CE"/>
    <w:rPr>
      <w:color w:val="FFFFFF" w:themeColor="background1"/>
      <w:sz w:val="14"/>
      <w:lang w:val="en-GB"/>
    </w:rPr>
  </w:style>
  <w:style w:type="character" w:customStyle="1" w:styleId="Heading6Char">
    <w:name w:val="Heading 6 Char"/>
    <w:basedOn w:val="DefaultParagraphFont"/>
    <w:link w:val="Heading6"/>
    <w:rsid w:val="00501EA3"/>
    <w:rPr>
      <w:rFonts w:asciiTheme="majorHAnsi" w:eastAsiaTheme="majorEastAsia" w:hAnsiTheme="majorHAnsi" w:cstheme="majorBidi"/>
      <w:bCs/>
      <w:iCs/>
      <w:color w:val="773E21" w:themeColor="accent1" w:themeShade="7F"/>
      <w:szCs w:val="26"/>
    </w:rPr>
  </w:style>
  <w:style w:type="character" w:customStyle="1" w:styleId="Heading7Char">
    <w:name w:val="Heading 7 Char"/>
    <w:basedOn w:val="DefaultParagraphFont"/>
    <w:link w:val="Heading7"/>
    <w:uiPriority w:val="99"/>
    <w:rsid w:val="00501EA3"/>
    <w:rPr>
      <w:rFonts w:asciiTheme="majorHAnsi" w:eastAsiaTheme="majorEastAsia" w:hAnsiTheme="majorHAnsi" w:cstheme="majorBidi"/>
      <w:bCs/>
      <w:i/>
      <w:color w:val="773E21" w:themeColor="accent1" w:themeShade="7F"/>
      <w:szCs w:val="26"/>
    </w:rPr>
  </w:style>
  <w:style w:type="character" w:customStyle="1" w:styleId="Heading8Char">
    <w:name w:val="Heading 8 Char"/>
    <w:basedOn w:val="DefaultParagraphFont"/>
    <w:link w:val="Heading8"/>
    <w:uiPriority w:val="9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9"/>
    <w:semiHidden/>
    <w:rsid w:val="00501EA3"/>
    <w:rPr>
      <w:rFonts w:asciiTheme="majorHAnsi" w:eastAsiaTheme="majorEastAsia" w:hAnsiTheme="majorHAnsi" w:cstheme="majorBidi"/>
      <w:bCs/>
      <w:iCs/>
      <w:color w:val="272727" w:themeColor="text1" w:themeTint="D8"/>
      <w:sz w:val="21"/>
      <w:szCs w:val="21"/>
    </w:rPr>
  </w:style>
  <w:style w:type="character" w:styleId="PageNumber">
    <w:name w:val="page number"/>
    <w:basedOn w:val="DefaultParagraphFont"/>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uiPriority w:val="99"/>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1D4767"/>
    <w:pPr>
      <w:spacing w:before="60"/>
    </w:pPr>
    <w:rPr>
      <w:rFonts w:ascii="Calibri" w:hAnsi="Calibri"/>
      <w:b/>
      <w:color w:val="FFFFFF" w:themeColor="background1"/>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D3875F" w:themeColor="accent1"/>
          <w:bottom w:val="single" w:sz="4" w:space="0" w:color="D3875F" w:themeColor="accent1"/>
          <w:insideH w:val="single" w:sz="4" w:space="0" w:color="D3875F" w:themeColor="accent1"/>
        </w:tcBorders>
        <w:shd w:val="clear" w:color="auto" w:fill="D3875F"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F6E6DE" w:themeFill="accent1" w:themeFillTint="33"/>
      </w:tcPr>
    </w:tblStylePr>
    <w:tblStylePr w:type="band2Vert">
      <w:tblPr/>
      <w:tcPr>
        <w:shd w:val="clear" w:color="auto" w:fill="EDCEBE" w:themeFill="accent1" w:themeFillTint="66"/>
      </w:tcPr>
    </w:tblStylePr>
    <w:tblStylePr w:type="band1Horz">
      <w:tblPr/>
      <w:tcPr>
        <w:shd w:val="clear" w:color="auto" w:fill="F6E6DE" w:themeFill="accent1" w:themeFillTint="33"/>
      </w:tcPr>
    </w:tblStylePr>
    <w:tblStylePr w:type="band2Horz">
      <w:tblPr/>
      <w:tcPr>
        <w:shd w:val="clear" w:color="auto" w:fill="EDCEBE" w:themeFill="accent1" w:themeFillTint="66"/>
      </w:tcPr>
    </w:tblStylePr>
  </w:style>
  <w:style w:type="paragraph" w:customStyle="1" w:styleId="Heading1smallspaceafter">
    <w:name w:val="Heading 1 small space after"/>
    <w:basedOn w:val="Heading1"/>
    <w:qFormat/>
    <w:rsid w:val="00E10987"/>
    <w:pPr>
      <w:spacing w:after="600"/>
    </w:pPr>
    <w:rPr>
      <w:color w:val="49596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qFormat/>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96797"/>
    <w:pPr>
      <w:pBdr>
        <w:top w:val="single" w:sz="4" w:space="14" w:color="F6E6DE" w:themeColor="accent1" w:themeTint="33"/>
        <w:left w:val="single" w:sz="4" w:space="14" w:color="F6E6DE" w:themeColor="accent1" w:themeTint="33"/>
        <w:bottom w:val="single" w:sz="4" w:space="14" w:color="F6E6DE" w:themeColor="accent1" w:themeTint="33"/>
        <w:right w:val="single" w:sz="4" w:space="14" w:color="F6E6DE" w:themeColor="accent1" w:themeTint="33"/>
      </w:pBdr>
      <w:shd w:val="clear" w:color="auto" w:fill="F6E6DE" w:themeFill="accent1" w:themeFillTint="33"/>
      <w:spacing w:after="80"/>
      <w:ind w:left="284" w:right="284"/>
    </w:pPr>
    <w:rPr>
      <w:lang w:val="en-AU"/>
    </w:rPr>
  </w:style>
  <w:style w:type="paragraph" w:customStyle="1" w:styleId="Box1Heading">
    <w:name w:val="Box 1 Heading"/>
    <w:basedOn w:val="Box1Text"/>
    <w:qFormat/>
    <w:rsid w:val="00B15FC6"/>
    <w:pPr>
      <w:keepNext/>
      <w:spacing w:before="180" w:line="300" w:lineRule="atLeast"/>
    </w:pPr>
    <w:rPr>
      <w:b/>
      <w:sz w:val="26"/>
    </w:rPr>
  </w:style>
  <w:style w:type="paragraph" w:customStyle="1" w:styleId="Box2Text">
    <w:name w:val="Box 2 Text"/>
    <w:basedOn w:val="Box1Text"/>
    <w:qFormat/>
    <w:rsid w:val="0057225D"/>
    <w:pPr>
      <w:pBdr>
        <w:top w:val="single" w:sz="4" w:space="14" w:color="ECEDED"/>
        <w:left w:val="single" w:sz="4" w:space="14" w:color="ECEDED"/>
        <w:bottom w:val="single" w:sz="4" w:space="14" w:color="ECEDED"/>
        <w:right w:val="single" w:sz="4" w:space="14" w:color="ECEDED"/>
      </w:pBdr>
      <w:shd w:val="clear" w:color="auto" w:fill="ECEDED"/>
    </w:pPr>
  </w:style>
  <w:style w:type="paragraph" w:customStyle="1" w:styleId="Box2Heading">
    <w:name w:val="Box 2 Heading"/>
    <w:basedOn w:val="Box2Text"/>
    <w:qFormat/>
    <w:rsid w:val="00B15FC6"/>
    <w:pPr>
      <w:keepNext/>
      <w:spacing w:before="180" w:line="300" w:lineRule="atLeast"/>
    </w:pPr>
    <w:rPr>
      <w:b/>
      <w:sz w:val="26"/>
    </w:rPr>
  </w:style>
  <w:style w:type="paragraph" w:customStyle="1" w:styleId="Box1Bullet">
    <w:name w:val="Box 1 Bullet"/>
    <w:basedOn w:val="Box1Text"/>
    <w:qFormat/>
    <w:rsid w:val="00C16478"/>
    <w:pPr>
      <w:numPr>
        <w:numId w:val="7"/>
      </w:numPr>
      <w:ind w:left="454" w:hanging="170"/>
    </w:pPr>
  </w:style>
  <w:style w:type="paragraph" w:customStyle="1" w:styleId="Box2Bullet">
    <w:name w:val="Box 2 Bullet"/>
    <w:basedOn w:val="Box2Text"/>
    <w:qFormat/>
    <w:rsid w:val="00AC5DC8"/>
    <w:pPr>
      <w:numPr>
        <w:numId w:val="8"/>
      </w:numPr>
      <w:tabs>
        <w:tab w:val="left" w:pos="1247"/>
        <w:tab w:val="left" w:pos="1531"/>
      </w:tabs>
      <w:spacing w:before="60" w:after="60"/>
      <w:ind w:left="454" w:hanging="170"/>
    </w:pPr>
  </w:style>
  <w:style w:type="paragraph" w:styleId="ListParagraph">
    <w:name w:val="List Paragraph"/>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Normal"/>
    <w:qFormat/>
    <w:rsid w:val="006D3831"/>
    <w:pPr>
      <w:keepNext/>
      <w:keepLines/>
      <w:numPr>
        <w:numId w:val="16"/>
      </w:numPr>
      <w:spacing w:before="300" w:after="600" w:line="240" w:lineRule="auto"/>
      <w:contextualSpacing/>
      <w:outlineLvl w:val="0"/>
    </w:pPr>
    <w:rPr>
      <w:rFonts w:asciiTheme="majorHAnsi" w:eastAsiaTheme="majorEastAsia" w:hAnsiTheme="majorHAnsi" w:cstheme="majorBidi"/>
      <w:b/>
      <w:bCs/>
      <w:caps/>
      <w:sz w:val="38"/>
      <w:szCs w:val="28"/>
    </w:rPr>
  </w:style>
  <w:style w:type="character" w:styleId="CommentReference">
    <w:name w:val="annotation reference"/>
    <w:basedOn w:val="DefaultParagraphFont"/>
    <w:semiHidden/>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D3875F"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character" w:styleId="FollowedHyperlink">
    <w:name w:val="FollowedHyperlink"/>
    <w:semiHidden/>
    <w:unhideWhenUsed/>
    <w:rsid w:val="00D44758"/>
    <w:rPr>
      <w:strike w:val="0"/>
      <w:dstrike w:val="0"/>
      <w:color w:val="333399"/>
      <w:u w:val="none"/>
      <w:effect w:val="none"/>
    </w:rPr>
  </w:style>
  <w:style w:type="paragraph" w:styleId="NormalWeb">
    <w:name w:val="Normal (Web)"/>
    <w:basedOn w:val="Normal"/>
    <w:uiPriority w:val="99"/>
    <w:unhideWhenUsed/>
    <w:rsid w:val="00D44758"/>
    <w:pPr>
      <w:suppressAutoHyphens w:val="0"/>
      <w:spacing w:before="240" w:after="240" w:line="240" w:lineRule="auto"/>
    </w:pPr>
    <w:rPr>
      <w:rFonts w:ascii="Times New Roman" w:eastAsia="Times New Roman" w:hAnsi="Times New Roman" w:cs="Times New Roman"/>
      <w:color w:val="auto"/>
      <w:sz w:val="24"/>
      <w:szCs w:val="24"/>
      <w:lang w:val="en-AU" w:eastAsia="en-AU"/>
    </w:rPr>
  </w:style>
  <w:style w:type="paragraph" w:styleId="EndnoteText">
    <w:name w:val="endnote text"/>
    <w:basedOn w:val="Normal"/>
    <w:link w:val="EndnoteTextChar"/>
    <w:uiPriority w:val="99"/>
    <w:semiHidden/>
    <w:unhideWhenUsed/>
    <w:rsid w:val="00D44758"/>
    <w:pPr>
      <w:suppressAutoHyphens w:val="0"/>
      <w:spacing w:before="0" w:after="160" w:line="240" w:lineRule="auto"/>
    </w:pPr>
    <w:rPr>
      <w:rFonts w:ascii="Franklin Gothic Book" w:eastAsia="Times New Roman" w:hAnsi="Franklin Gothic Book" w:cs="Times New Roman"/>
      <w:color w:val="auto"/>
      <w:sz w:val="20"/>
      <w:szCs w:val="20"/>
      <w:lang w:val="en-AU" w:eastAsia="en-AU"/>
    </w:rPr>
  </w:style>
  <w:style w:type="character" w:customStyle="1" w:styleId="EndnoteTextChar">
    <w:name w:val="Endnote Text Char"/>
    <w:basedOn w:val="DefaultParagraphFont"/>
    <w:link w:val="EndnoteText"/>
    <w:uiPriority w:val="99"/>
    <w:semiHidden/>
    <w:rsid w:val="00D44758"/>
    <w:rPr>
      <w:rFonts w:ascii="Franklin Gothic Book" w:eastAsia="Times New Roman" w:hAnsi="Franklin Gothic Book" w:cs="Times New Roman"/>
      <w:sz w:val="20"/>
      <w:szCs w:val="20"/>
      <w:lang w:eastAsia="en-AU"/>
    </w:rPr>
  </w:style>
  <w:style w:type="paragraph" w:styleId="ListBullet">
    <w:name w:val="List Bullet"/>
    <w:basedOn w:val="BodyText"/>
    <w:uiPriority w:val="99"/>
    <w:semiHidden/>
    <w:unhideWhenUsed/>
    <w:qFormat/>
    <w:locked/>
    <w:rsid w:val="00D44758"/>
    <w:pPr>
      <w:suppressAutoHyphens w:val="0"/>
      <w:spacing w:before="80" w:after="120" w:line="360" w:lineRule="auto"/>
      <w:ind w:left="360" w:hanging="360"/>
    </w:pPr>
    <w:rPr>
      <w:rFonts w:ascii="Franklin Gothic Book" w:eastAsia="Times New Roman" w:hAnsi="Franklin Gothic Book" w:cs="Times New Roman"/>
      <w:color w:val="auto"/>
      <w:sz w:val="21"/>
      <w:szCs w:val="24"/>
      <w:lang w:val="en-AU" w:eastAsia="en-AU"/>
    </w:rPr>
  </w:style>
  <w:style w:type="paragraph" w:styleId="ListNumber">
    <w:name w:val="List Number"/>
    <w:basedOn w:val="ListBullet"/>
    <w:uiPriority w:val="99"/>
    <w:semiHidden/>
    <w:unhideWhenUsed/>
    <w:qFormat/>
    <w:locked/>
    <w:rsid w:val="00D44758"/>
    <w:pPr>
      <w:numPr>
        <w:numId w:val="9"/>
      </w:numPr>
      <w:ind w:left="284" w:hanging="284"/>
    </w:pPr>
  </w:style>
  <w:style w:type="paragraph" w:styleId="ListBullet2">
    <w:name w:val="List Bullet 2"/>
    <w:basedOn w:val="ListBullet"/>
    <w:uiPriority w:val="99"/>
    <w:semiHidden/>
    <w:unhideWhenUsed/>
    <w:qFormat/>
    <w:locked/>
    <w:rsid w:val="00D44758"/>
    <w:pPr>
      <w:ind w:left="568" w:hanging="284"/>
    </w:pPr>
  </w:style>
  <w:style w:type="paragraph" w:styleId="ListBullet3">
    <w:name w:val="List Bullet 3"/>
    <w:basedOn w:val="ListBullet2"/>
    <w:uiPriority w:val="99"/>
    <w:semiHidden/>
    <w:unhideWhenUsed/>
    <w:qFormat/>
    <w:locked/>
    <w:rsid w:val="00D44758"/>
    <w:pPr>
      <w:ind w:left="851"/>
      <w:contextualSpacing/>
    </w:pPr>
  </w:style>
  <w:style w:type="paragraph" w:styleId="ListNumber2">
    <w:name w:val="List Number 2"/>
    <w:basedOn w:val="ListNumber"/>
    <w:uiPriority w:val="99"/>
    <w:semiHidden/>
    <w:unhideWhenUsed/>
    <w:qFormat/>
    <w:locked/>
    <w:rsid w:val="00D44758"/>
    <w:pPr>
      <w:numPr>
        <w:numId w:val="10"/>
      </w:numPr>
      <w:ind w:left="568" w:hanging="284"/>
    </w:pPr>
  </w:style>
  <w:style w:type="paragraph" w:styleId="ListNumber3">
    <w:name w:val="List Number 3"/>
    <w:basedOn w:val="ListNumber2"/>
    <w:uiPriority w:val="99"/>
    <w:semiHidden/>
    <w:unhideWhenUsed/>
    <w:locked/>
    <w:rsid w:val="00D44758"/>
    <w:pPr>
      <w:numPr>
        <w:numId w:val="0"/>
      </w:numPr>
      <w:ind w:left="851" w:hanging="284"/>
      <w:contextualSpacing/>
    </w:pPr>
  </w:style>
  <w:style w:type="paragraph" w:styleId="Date">
    <w:name w:val="Date"/>
    <w:basedOn w:val="Subtitle"/>
    <w:next w:val="Normal"/>
    <w:link w:val="DateChar"/>
    <w:uiPriority w:val="99"/>
    <w:semiHidden/>
    <w:unhideWhenUsed/>
    <w:rsid w:val="00D44758"/>
    <w:pPr>
      <w:keepNext w:val="0"/>
      <w:keepLines w:val="0"/>
      <w:numPr>
        <w:ilvl w:val="0"/>
      </w:numPr>
      <w:suppressAutoHyphens w:val="0"/>
      <w:spacing w:before="240" w:after="600" w:line="380" w:lineRule="atLeast"/>
      <w:ind w:left="709" w:right="-624"/>
      <w:contextualSpacing w:val="0"/>
    </w:pPr>
    <w:rPr>
      <w:rFonts w:asciiTheme="majorHAnsi" w:eastAsia="Times New Roman" w:hAnsiTheme="majorHAnsi" w:cs="Times New Roman"/>
      <w:bCs w:val="0"/>
      <w:iCs w:val="0"/>
      <w:noProof/>
      <w:color w:val="FFFFFF"/>
      <w:lang w:val="en-US"/>
    </w:rPr>
  </w:style>
  <w:style w:type="character" w:customStyle="1" w:styleId="DateChar">
    <w:name w:val="Date Char"/>
    <w:basedOn w:val="DefaultParagraphFont"/>
    <w:link w:val="Date"/>
    <w:uiPriority w:val="99"/>
    <w:semiHidden/>
    <w:rsid w:val="00D44758"/>
    <w:rPr>
      <w:rFonts w:asciiTheme="majorHAnsi" w:eastAsia="Times New Roman" w:hAnsiTheme="majorHAnsi" w:cs="Times New Roman"/>
      <w:noProof/>
      <w:color w:val="FFFFFF"/>
      <w:kern w:val="28"/>
      <w:sz w:val="24"/>
      <w:szCs w:val="24"/>
      <w:lang w:val="en-US"/>
    </w:rPr>
  </w:style>
  <w:style w:type="paragraph" w:styleId="Revision">
    <w:name w:val="Revision"/>
    <w:uiPriority w:val="99"/>
    <w:semiHidden/>
    <w:rsid w:val="00D44758"/>
    <w:pPr>
      <w:spacing w:after="0" w:line="240" w:lineRule="auto"/>
    </w:pPr>
    <w:rPr>
      <w:rFonts w:ascii="Franklin Gothic Book" w:eastAsia="Times New Roman" w:hAnsi="Franklin Gothic Book" w:cs="Times New Roman"/>
      <w:sz w:val="21"/>
      <w:szCs w:val="24"/>
      <w:lang w:eastAsia="en-AU"/>
    </w:rPr>
  </w:style>
  <w:style w:type="character" w:customStyle="1" w:styleId="ListParagraphChar">
    <w:name w:val="List Paragraph Char"/>
    <w:basedOn w:val="DefaultParagraphFont"/>
    <w:link w:val="ListParagraph"/>
    <w:uiPriority w:val="34"/>
    <w:locked/>
    <w:rsid w:val="00D44758"/>
    <w:rPr>
      <w:color w:val="495965" w:themeColor="text2"/>
      <w:lang w:val="en-GB"/>
    </w:rPr>
  </w:style>
  <w:style w:type="paragraph" w:customStyle="1" w:styleId="Reference">
    <w:name w:val="Reference"/>
    <w:basedOn w:val="BodyText"/>
    <w:uiPriority w:val="99"/>
    <w:rsid w:val="00D44758"/>
    <w:pPr>
      <w:keepLines/>
      <w:suppressAutoHyphens w:val="0"/>
      <w:spacing w:before="60"/>
      <w:ind w:left="284" w:hanging="284"/>
    </w:pPr>
    <w:rPr>
      <w:rFonts w:ascii="Franklin Gothic Book" w:eastAsia="Times New Roman" w:hAnsi="Franklin Gothic Book" w:cs="Times New Roman"/>
      <w:color w:val="auto"/>
      <w:sz w:val="17"/>
      <w:szCs w:val="17"/>
      <w:lang w:val="en-AU" w:eastAsia="en-AU"/>
    </w:rPr>
  </w:style>
  <w:style w:type="paragraph" w:customStyle="1" w:styleId="Contents">
    <w:name w:val="Contents"/>
    <w:basedOn w:val="Normal"/>
    <w:next w:val="BodyText"/>
    <w:uiPriority w:val="99"/>
    <w:semiHidden/>
    <w:rsid w:val="00D44758"/>
    <w:pPr>
      <w:pageBreakBefore/>
      <w:suppressAutoHyphens w:val="0"/>
      <w:spacing w:before="0" w:after="1860" w:line="540" w:lineRule="exact"/>
    </w:pPr>
    <w:rPr>
      <w:rFonts w:ascii="Arial" w:eastAsia="Times New Roman" w:hAnsi="Arial" w:cs="Times New Roman"/>
      <w:color w:val="AD495D"/>
      <w:kern w:val="28"/>
      <w:sz w:val="50"/>
      <w:szCs w:val="50"/>
      <w:lang w:val="en-AU" w:eastAsia="en-AU"/>
    </w:rPr>
  </w:style>
  <w:style w:type="paragraph" w:customStyle="1" w:styleId="Reporttype">
    <w:name w:val="Report type"/>
    <w:basedOn w:val="BodyText"/>
    <w:uiPriority w:val="99"/>
    <w:semiHidden/>
    <w:rsid w:val="00D44758"/>
    <w:pPr>
      <w:suppressAutoHyphens w:val="0"/>
      <w:spacing w:before="80" w:after="160" w:line="400" w:lineRule="atLeast"/>
    </w:pPr>
    <w:rPr>
      <w:rFonts w:ascii="Arial" w:eastAsia="Times New Roman" w:hAnsi="Arial" w:cs="Times New Roman"/>
      <w:color w:val="00467F"/>
      <w:spacing w:val="-2"/>
      <w:sz w:val="36"/>
      <w:szCs w:val="36"/>
      <w:lang w:val="en-AU" w:eastAsia="en-AU"/>
    </w:rPr>
  </w:style>
  <w:style w:type="paragraph" w:customStyle="1" w:styleId="Invisiblepara">
    <w:name w:val="Invisible para"/>
    <w:basedOn w:val="Normal"/>
    <w:uiPriority w:val="99"/>
    <w:semiHidden/>
    <w:rsid w:val="00D44758"/>
    <w:pPr>
      <w:keepNext/>
      <w:suppressAutoHyphens w:val="0"/>
      <w:spacing w:before="320" w:after="160" w:line="80" w:lineRule="exact"/>
    </w:pPr>
    <w:rPr>
      <w:rFonts w:ascii="Franklin Gothic Book" w:eastAsia="Times New Roman" w:hAnsi="Franklin Gothic Book" w:cs="Times New Roman"/>
      <w:color w:val="auto"/>
      <w:sz w:val="21"/>
      <w:szCs w:val="20"/>
      <w:lang w:val="en-AU" w:eastAsia="en-AU"/>
    </w:rPr>
  </w:style>
  <w:style w:type="paragraph" w:customStyle="1" w:styleId="Source">
    <w:name w:val="Source"/>
    <w:basedOn w:val="Normal"/>
    <w:next w:val="BodyText"/>
    <w:uiPriority w:val="99"/>
    <w:rsid w:val="00D44758"/>
    <w:pPr>
      <w:suppressAutoHyphens w:val="0"/>
      <w:spacing w:before="60" w:after="240" w:line="180" w:lineRule="atLeast"/>
    </w:pPr>
    <w:rPr>
      <w:rFonts w:ascii="Franklin Gothic Book" w:eastAsia="Calibri" w:hAnsi="Franklin Gothic Book" w:cs="Times New Roman"/>
      <w:color w:val="auto"/>
      <w:sz w:val="16"/>
      <w:szCs w:val="16"/>
      <w:lang w:val="en-AU"/>
    </w:rPr>
  </w:style>
  <w:style w:type="paragraph" w:customStyle="1" w:styleId="TableListBullet">
    <w:name w:val="Table List Bullet"/>
    <w:basedOn w:val="TableText"/>
    <w:uiPriority w:val="99"/>
    <w:rsid w:val="00D44758"/>
    <w:pPr>
      <w:framePr w:hSpace="0" w:wrap="auto" w:vAnchor="margin" w:hAnchor="text" w:yAlign="inline"/>
      <w:numPr>
        <w:numId w:val="11"/>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ChartText">
    <w:name w:val="Chart Text"/>
    <w:basedOn w:val="BodyText"/>
    <w:uiPriority w:val="99"/>
    <w:semiHidden/>
    <w:rsid w:val="00D44758"/>
    <w:pPr>
      <w:suppressAutoHyphens w:val="0"/>
      <w:spacing w:before="100" w:after="160" w:line="190" w:lineRule="exact"/>
    </w:pPr>
    <w:rPr>
      <w:rFonts w:ascii="Arial" w:eastAsia="Times New Roman" w:hAnsi="Arial" w:cs="Times New Roman"/>
      <w:color w:val="auto"/>
      <w:sz w:val="17"/>
      <w:szCs w:val="24"/>
      <w:lang w:val="en-AU" w:eastAsia="en-AU"/>
    </w:rPr>
  </w:style>
  <w:style w:type="paragraph" w:customStyle="1" w:styleId="ChartBoldText">
    <w:name w:val="Chart Bold Text"/>
    <w:basedOn w:val="ChartText"/>
    <w:next w:val="ChartText"/>
    <w:uiPriority w:val="99"/>
    <w:semiHidden/>
    <w:rsid w:val="00D44758"/>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D44758"/>
    <w:pPr>
      <w:spacing w:line="210" w:lineRule="exact"/>
    </w:pPr>
    <w:rPr>
      <w:caps/>
      <w:sz w:val="19"/>
    </w:rPr>
  </w:style>
  <w:style w:type="paragraph" w:customStyle="1" w:styleId="ChartListBullet">
    <w:name w:val="Chart List Bullet"/>
    <w:basedOn w:val="TableListBullet"/>
    <w:uiPriority w:val="99"/>
    <w:semiHidden/>
    <w:rsid w:val="00D44758"/>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D44758"/>
    <w:p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D44758"/>
    <w:pPr>
      <w:tabs>
        <w:tab w:val="num" w:pos="227"/>
      </w:tabs>
      <w:spacing w:before="60"/>
      <w:ind w:left="227" w:hanging="227"/>
    </w:pPr>
  </w:style>
  <w:style w:type="paragraph" w:customStyle="1" w:styleId="CharChar">
    <w:name w:val="Char Char"/>
    <w:basedOn w:val="Normal"/>
    <w:uiPriority w:val="99"/>
    <w:semiHidden/>
    <w:rsid w:val="0001666A"/>
  </w:style>
  <w:style w:type="paragraph" w:customStyle="1" w:styleId="Client">
    <w:name w:val="Client"/>
    <w:basedOn w:val="Normal"/>
    <w:uiPriority w:val="99"/>
    <w:semiHidden/>
    <w:rsid w:val="00D44758"/>
    <w:pPr>
      <w:suppressAutoHyphens w:val="0"/>
      <w:spacing w:before="180" w:after="160"/>
      <w:ind w:left="2410" w:right="-199"/>
    </w:pPr>
    <w:rPr>
      <w:rFonts w:ascii="Helvetica" w:eastAsia="Times New Roman" w:hAnsi="Helvetica" w:cs="Times New Roman"/>
      <w:noProof/>
      <w:color w:val="auto"/>
      <w:spacing w:val="-2"/>
      <w:kern w:val="28"/>
      <w:sz w:val="20"/>
      <w:szCs w:val="20"/>
      <w:lang w:val="en-US"/>
    </w:rPr>
  </w:style>
  <w:style w:type="paragraph" w:customStyle="1" w:styleId="TableHeading1">
    <w:name w:val="Table Heading 1"/>
    <w:basedOn w:val="Normal"/>
    <w:next w:val="TableText"/>
    <w:uiPriority w:val="99"/>
    <w:qFormat/>
    <w:rsid w:val="00D44758"/>
    <w:pPr>
      <w:suppressAutoHyphens w:val="0"/>
      <w:spacing w:after="160" w:line="240" w:lineRule="auto"/>
    </w:pPr>
    <w:rPr>
      <w:rFonts w:ascii="Franklin Gothic Book" w:eastAsia="Times New Roman" w:hAnsi="Franklin Gothic Book" w:cs="Times New Roman"/>
      <w:b/>
      <w:noProof/>
      <w:color w:val="auto"/>
      <w:sz w:val="24"/>
      <w:szCs w:val="24"/>
      <w:lang w:val="en-AU" w:eastAsia="en-AU"/>
    </w:rPr>
  </w:style>
  <w:style w:type="paragraph" w:customStyle="1" w:styleId="TableHeading2">
    <w:name w:val="Table Heading 2"/>
    <w:basedOn w:val="Normal"/>
    <w:next w:val="TableText"/>
    <w:uiPriority w:val="99"/>
    <w:qFormat/>
    <w:rsid w:val="00D44758"/>
    <w:pPr>
      <w:suppressAutoHyphens w:val="0"/>
      <w:spacing w:before="80" w:after="120" w:line="240" w:lineRule="auto"/>
    </w:pPr>
    <w:rPr>
      <w:rFonts w:ascii="Franklin Gothic Book" w:eastAsia="Times New Roman" w:hAnsi="Franklin Gothic Book" w:cs="Times New Roman"/>
      <w:b/>
      <w:i/>
      <w:noProof/>
      <w:color w:val="auto"/>
      <w:sz w:val="21"/>
      <w:szCs w:val="24"/>
      <w:lang w:val="en-AU" w:eastAsia="en-AU"/>
    </w:rPr>
  </w:style>
  <w:style w:type="character" w:customStyle="1" w:styleId="TableListBullet2Char">
    <w:name w:val="Table List Bullet 2 Char"/>
    <w:link w:val="TableListBullet2"/>
    <w:uiPriority w:val="99"/>
    <w:locked/>
    <w:rsid w:val="00D44758"/>
    <w:rPr>
      <w:rFonts w:ascii="Franklin Gothic Book" w:hAnsi="Franklin Gothic Book"/>
      <w:noProof/>
      <w:sz w:val="21"/>
      <w:szCs w:val="24"/>
    </w:rPr>
  </w:style>
  <w:style w:type="paragraph" w:customStyle="1" w:styleId="TableListBullet2">
    <w:name w:val="Table List Bullet 2"/>
    <w:basedOn w:val="TableListBullet"/>
    <w:link w:val="TableListBullet2Char"/>
    <w:uiPriority w:val="99"/>
    <w:rsid w:val="00D44758"/>
    <w:pPr>
      <w:numPr>
        <w:numId w:val="12"/>
      </w:numPr>
      <w:ind w:left="568" w:hanging="284"/>
    </w:pPr>
    <w:rPr>
      <w:rFonts w:eastAsiaTheme="minorHAnsi" w:cstheme="minorBidi"/>
      <w:lang w:eastAsia="en-US"/>
    </w:rPr>
  </w:style>
  <w:style w:type="paragraph" w:customStyle="1" w:styleId="TableListNumber">
    <w:name w:val="Table List Number"/>
    <w:basedOn w:val="TableText"/>
    <w:uiPriority w:val="99"/>
    <w:rsid w:val="00D44758"/>
    <w:pPr>
      <w:framePr w:hSpace="0" w:wrap="auto" w:vAnchor="margin" w:hAnchor="text" w:yAlign="inline"/>
      <w:numPr>
        <w:numId w:val="13"/>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TableListNumber2">
    <w:name w:val="Table List Number 2"/>
    <w:basedOn w:val="TableListNumber"/>
    <w:uiPriority w:val="99"/>
    <w:rsid w:val="00D44758"/>
    <w:pPr>
      <w:numPr>
        <w:numId w:val="14"/>
      </w:numPr>
      <w:ind w:left="568" w:hanging="284"/>
    </w:pPr>
  </w:style>
  <w:style w:type="paragraph" w:customStyle="1" w:styleId="Blurb">
    <w:name w:val="Blurb"/>
    <w:basedOn w:val="Normal"/>
    <w:uiPriority w:val="99"/>
    <w:semiHidden/>
    <w:rsid w:val="00D44758"/>
    <w:pPr>
      <w:suppressAutoHyphens w:val="0"/>
      <w:spacing w:before="180" w:after="0" w:line="240" w:lineRule="auto"/>
    </w:pPr>
    <w:rPr>
      <w:rFonts w:ascii="Franklin Gothic Book" w:eastAsia="Times New Roman" w:hAnsi="Franklin Gothic Book" w:cs="Times New Roman"/>
      <w:color w:val="FFFFFF"/>
      <w:sz w:val="21"/>
      <w:szCs w:val="24"/>
      <w:lang w:val="en-AU" w:eastAsia="en-AU"/>
    </w:rPr>
  </w:style>
  <w:style w:type="paragraph" w:customStyle="1" w:styleId="Figure">
    <w:name w:val="Figure"/>
    <w:basedOn w:val="Normal"/>
    <w:next w:val="BodyText"/>
    <w:uiPriority w:val="99"/>
    <w:qFormat/>
    <w:rsid w:val="00E03461"/>
    <w:pPr>
      <w:suppressLineNumbers/>
      <w:tabs>
        <w:tab w:val="left" w:pos="993"/>
      </w:tabs>
      <w:spacing w:after="240" w:line="240" w:lineRule="atLeast"/>
    </w:pPr>
    <w:rPr>
      <w:rFonts w:asciiTheme="majorHAnsi" w:eastAsia="Times New Roman" w:hAnsiTheme="majorHAnsi" w:cs="Arial"/>
      <w:color w:val="595959" w:themeColor="text1" w:themeTint="A6"/>
      <w:kern w:val="28"/>
      <w:sz w:val="20"/>
      <w:lang w:val="en-AU" w:eastAsia="zh-CN"/>
    </w:rPr>
  </w:style>
  <w:style w:type="paragraph" w:customStyle="1" w:styleId="Appendix">
    <w:name w:val="Appendix"/>
    <w:basedOn w:val="Normal"/>
    <w:uiPriority w:val="99"/>
    <w:semiHidden/>
    <w:rsid w:val="00D44758"/>
    <w:pPr>
      <w:framePr w:wrap="around" w:vAnchor="text" w:hAnchor="text" w:y="1"/>
      <w:suppressAutoHyphens w:val="0"/>
      <w:spacing w:before="0" w:after="160" w:line="240" w:lineRule="auto"/>
    </w:pPr>
    <w:rPr>
      <w:rFonts w:ascii="Franklin Gothic Medium" w:eastAsia="Times New Roman" w:hAnsi="Franklin Gothic Medium" w:cs="Times New Roman"/>
      <w:color w:val="7E6D5F"/>
      <w:sz w:val="32"/>
      <w:szCs w:val="32"/>
      <w:lang w:val="en-AU" w:eastAsia="en-AU"/>
    </w:rPr>
  </w:style>
  <w:style w:type="paragraph" w:customStyle="1" w:styleId="CharChar1">
    <w:name w:val="Char Char1"/>
    <w:basedOn w:val="Normal"/>
    <w:uiPriority w:val="99"/>
    <w:semiHidden/>
    <w:rsid w:val="00D44758"/>
    <w:pPr>
      <w:suppressAutoHyphens w:val="0"/>
      <w:spacing w:before="180" w:after="160" w:line="280" w:lineRule="atLeast"/>
    </w:pPr>
    <w:rPr>
      <w:rFonts w:ascii="Arial" w:eastAsia="Times New Roman" w:hAnsi="Arial" w:cs="Times New Roman"/>
      <w:color w:val="auto"/>
      <w:szCs w:val="20"/>
      <w:lang w:val="en-AU"/>
    </w:rPr>
  </w:style>
  <w:style w:type="paragraph" w:customStyle="1" w:styleId="Heading7unnumbered">
    <w:name w:val="Heading 7 unnumbered"/>
    <w:basedOn w:val="Heading7"/>
    <w:next w:val="BodyText"/>
    <w:uiPriority w:val="99"/>
    <w:semiHidden/>
    <w:rsid w:val="00D44758"/>
    <w:pPr>
      <w:keepLines w:val="0"/>
      <w:suppressLineNumbers/>
      <w:spacing w:before="80" w:after="160" w:line="360" w:lineRule="auto"/>
      <w:contextualSpacing w:val="0"/>
    </w:pPr>
    <w:rPr>
      <w:rFonts w:ascii="Franklin Gothic Book" w:eastAsia="Times New Roman" w:hAnsi="Franklin Gothic Book" w:cs="Times New Roman"/>
      <w:b/>
      <w:bCs w:val="0"/>
      <w:i w:val="0"/>
      <w:color w:val="auto"/>
      <w:sz w:val="21"/>
      <w:szCs w:val="24"/>
      <w:lang w:eastAsia="en-AU"/>
    </w:rPr>
  </w:style>
  <w:style w:type="paragraph" w:customStyle="1" w:styleId="TableName">
    <w:name w:val="Table Name"/>
    <w:basedOn w:val="BodyText"/>
    <w:next w:val="Figure"/>
    <w:uiPriority w:val="99"/>
    <w:rsid w:val="00D44758"/>
    <w:pPr>
      <w:suppressAutoHyphens w:val="0"/>
      <w:spacing w:before="80" w:after="120" w:line="240" w:lineRule="exact"/>
    </w:pPr>
    <w:rPr>
      <w:rFonts w:ascii="Franklin Gothic Book" w:eastAsia="Times New Roman" w:hAnsi="Franklin Gothic Book" w:cs="Times New Roman"/>
      <w:color w:val="595959" w:themeColor="text1" w:themeTint="A6"/>
      <w:sz w:val="20"/>
      <w:szCs w:val="24"/>
      <w:lang w:val="en-AU" w:eastAsia="en-AU"/>
    </w:rPr>
  </w:style>
  <w:style w:type="paragraph" w:customStyle="1" w:styleId="BodyTextsinglespacing">
    <w:name w:val="Body Text single spacing"/>
    <w:basedOn w:val="BodyText"/>
    <w:uiPriority w:val="99"/>
    <w:rsid w:val="00D44758"/>
    <w:pPr>
      <w:suppressAutoHyphens w:val="0"/>
      <w:spacing w:before="80" w:after="160" w:line="240" w:lineRule="auto"/>
    </w:pPr>
    <w:rPr>
      <w:rFonts w:ascii="Franklin Gothic Book" w:eastAsia="Times New Roman" w:hAnsi="Franklin Gothic Book" w:cs="Times New Roman"/>
      <w:noProof/>
      <w:color w:val="auto"/>
      <w:sz w:val="21"/>
      <w:szCs w:val="24"/>
      <w:lang w:val="en-AU" w:eastAsia="en-AU"/>
    </w:rPr>
  </w:style>
  <w:style w:type="paragraph" w:customStyle="1" w:styleId="Default">
    <w:name w:val="Default"/>
    <w:rsid w:val="00D44758"/>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TableTextEntries">
    <w:name w:val="Table Text Entries"/>
    <w:basedOn w:val="Normal"/>
    <w:uiPriority w:val="99"/>
    <w:rsid w:val="00710AC4"/>
    <w:pPr>
      <w:keepLines/>
      <w:suppressAutoHyphens w:val="0"/>
      <w:spacing w:before="40" w:after="40" w:line="200" w:lineRule="atLeast"/>
    </w:pPr>
    <w:rPr>
      <w:rFonts w:ascii="Franklin Gothic Book" w:eastAsia="Times New Roman" w:hAnsi="Franklin Gothic Book"/>
      <w:iCs/>
      <w:color w:val="auto"/>
      <w:sz w:val="17"/>
      <w:szCs w:val="17"/>
      <w:lang w:val="en-AU"/>
    </w:rPr>
  </w:style>
  <w:style w:type="character" w:styleId="EndnoteReference">
    <w:name w:val="endnote reference"/>
    <w:basedOn w:val="DefaultParagraphFont"/>
    <w:semiHidden/>
    <w:unhideWhenUsed/>
    <w:rsid w:val="00D44758"/>
    <w:rPr>
      <w:vertAlign w:val="superscript"/>
    </w:rPr>
  </w:style>
  <w:style w:type="character" w:customStyle="1" w:styleId="Subtitlebox">
    <w:name w:val="Subtitle box"/>
    <w:aliases w:val="figure &amp; table,chart &amp; table"/>
    <w:semiHidden/>
    <w:rsid w:val="00D44758"/>
    <w:rPr>
      <w:rFonts w:ascii="Franklin Gothic Book" w:hAnsi="Franklin Gothic Book" w:hint="default"/>
      <w:color w:val="auto"/>
      <w:sz w:val="17"/>
      <w:szCs w:val="17"/>
    </w:rPr>
  </w:style>
  <w:style w:type="table" w:customStyle="1" w:styleId="DFATtable">
    <w:name w:val="DFAT table"/>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bottom w:val="single" w:sz="8" w:space="0" w:color="D9D9D9" w:themeColor="background1" w:themeShade="D9"/>
        <w:insideH w:val="single" w:sz="8" w:space="0" w:color="D9D9D9" w:themeColor="background1" w:themeShade="D9"/>
      </w:tblBorders>
      <w:tblCellMar>
        <w:top w:w="85" w:type="dxa"/>
        <w:left w:w="85" w:type="dxa"/>
        <w:right w:w="85" w:type="dxa"/>
      </w:tblCellMar>
    </w:tblPr>
    <w:tblStylePr w:type="firstRow">
      <w:pPr>
        <w:jc w:val="left"/>
      </w:pPr>
      <w:tblPr/>
      <w:tcPr>
        <w:shd w:val="clear" w:color="auto" w:fill="D9D9D9" w:themeFill="background1" w:themeFillShade="D9"/>
      </w:tcPr>
    </w:tblStylePr>
  </w:style>
  <w:style w:type="table" w:customStyle="1" w:styleId="DFATAdditionalInfo">
    <w:name w:val="DFAT Additional Info"/>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blBorders>
      <w:tblCellMar>
        <w:left w:w="142" w:type="dxa"/>
        <w:right w:w="142" w:type="dxa"/>
      </w:tblCellMar>
    </w:tblPr>
  </w:style>
  <w:style w:type="paragraph" w:customStyle="1" w:styleId="TableHeading1Centred">
    <w:name w:val="Table Heading 1 Centred"/>
    <w:basedOn w:val="TableHeading1"/>
    <w:uiPriority w:val="99"/>
    <w:rsid w:val="00D44758"/>
    <w:pPr>
      <w:jc w:val="center"/>
    </w:pPr>
  </w:style>
  <w:style w:type="paragraph" w:customStyle="1" w:styleId="Heading3-Lineabove">
    <w:name w:val="Heading 3 - Line above"/>
    <w:basedOn w:val="Heading3"/>
    <w:qFormat/>
    <w:rsid w:val="00D44758"/>
    <w:pPr>
      <w:pBdr>
        <w:top w:val="single" w:sz="4" w:space="6" w:color="D3875F" w:themeColor="accent1"/>
      </w:pBdr>
      <w:spacing w:before="320" w:line="320" w:lineRule="atLeast"/>
    </w:pPr>
    <w:rPr>
      <w:b/>
      <w:color w:val="D3875F" w:themeColor="accent1"/>
      <w:sz w:val="26"/>
    </w:rPr>
  </w:style>
  <w:style w:type="paragraph" w:styleId="DocumentMap">
    <w:name w:val="Document Map"/>
    <w:basedOn w:val="Normal"/>
    <w:link w:val="DocumentMapChar"/>
    <w:uiPriority w:val="99"/>
    <w:semiHidden/>
    <w:unhideWhenUsed/>
    <w:locked/>
    <w:rsid w:val="00DC5265"/>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C5265"/>
    <w:rPr>
      <w:rFonts w:ascii="Times New Roman" w:hAnsi="Times New Roman" w:cs="Times New Roman"/>
      <w:color w:val="495965" w:themeColor="text2"/>
      <w:sz w:val="24"/>
      <w:szCs w:val="24"/>
      <w:lang w:val="en-GB"/>
    </w:rPr>
  </w:style>
  <w:style w:type="paragraph" w:customStyle="1" w:styleId="MessageBox1Textwithindent">
    <w:name w:val="Message Box 1 Text with indent"/>
    <w:basedOn w:val="Box1Text"/>
    <w:qFormat/>
    <w:rsid w:val="00C96797"/>
    <w:pPr>
      <w:ind w:left="1248" w:hanging="964"/>
    </w:pPr>
  </w:style>
  <w:style w:type="paragraph" w:customStyle="1" w:styleId="MessageBox2Textwithindent">
    <w:name w:val="Message Box 2 Text with indent"/>
    <w:basedOn w:val="Box2Text"/>
    <w:qFormat/>
    <w:rsid w:val="00C96797"/>
    <w:pPr>
      <w:ind w:left="1248" w:hanging="964"/>
    </w:pPr>
  </w:style>
  <w:style w:type="paragraph" w:customStyle="1" w:styleId="MessageBox1Headingwithindent">
    <w:name w:val="Message Box 1 Heading with indent"/>
    <w:basedOn w:val="Box1Heading"/>
    <w:qFormat/>
    <w:rsid w:val="00C96797"/>
    <w:pPr>
      <w:spacing w:before="40"/>
      <w:ind w:left="1248" w:hanging="964"/>
    </w:pPr>
  </w:style>
  <w:style w:type="paragraph" w:customStyle="1" w:styleId="MessageBox2Headingwithindent">
    <w:name w:val="Message Box 2 Heading with indent"/>
    <w:basedOn w:val="Box2Heading"/>
    <w:qFormat/>
    <w:rsid w:val="00D5556A"/>
    <w:pPr>
      <w:spacing w:before="40"/>
      <w:ind w:left="1248" w:hanging="964"/>
    </w:pPr>
  </w:style>
  <w:style w:type="paragraph" w:styleId="IntenseQuote">
    <w:name w:val="Intense Quote"/>
    <w:basedOn w:val="Normal"/>
    <w:next w:val="Normal"/>
    <w:link w:val="IntenseQuoteChar"/>
    <w:uiPriority w:val="30"/>
    <w:qFormat/>
    <w:locked/>
    <w:rsid w:val="00C10415"/>
    <w:pPr>
      <w:pBdr>
        <w:bottom w:val="single" w:sz="4" w:space="4" w:color="D3875F" w:themeColor="accent1"/>
      </w:pBdr>
      <w:spacing w:before="200" w:after="280"/>
      <w:ind w:left="936" w:right="936"/>
    </w:pPr>
    <w:rPr>
      <w:b/>
      <w:bCs/>
      <w:i/>
      <w:iCs/>
      <w:color w:val="D3875F" w:themeColor="accent1"/>
    </w:rPr>
  </w:style>
  <w:style w:type="character" w:customStyle="1" w:styleId="IntenseQuoteChar">
    <w:name w:val="Intense Quote Char"/>
    <w:basedOn w:val="DefaultParagraphFont"/>
    <w:link w:val="IntenseQuote"/>
    <w:uiPriority w:val="30"/>
    <w:rsid w:val="00C10415"/>
    <w:rPr>
      <w:b/>
      <w:bCs/>
      <w:i/>
      <w:iCs/>
      <w:color w:val="D3875F" w:themeColor="accent1"/>
      <w:lang w:val="en-GB"/>
    </w:rPr>
  </w:style>
  <w:style w:type="table" w:customStyle="1" w:styleId="ODETable">
    <w:name w:val="ODE Table"/>
    <w:basedOn w:val="TableNormal"/>
    <w:uiPriority w:val="99"/>
    <w:rsid w:val="00C10415"/>
    <w:pPr>
      <w:spacing w:after="0" w:line="240" w:lineRule="auto"/>
    </w:pPr>
    <w:rPr>
      <w:rFonts w:ascii="Courier" w:eastAsia="Times New Roman" w:hAnsi="Courier" w:cs="Times New Roman"/>
      <w:sz w:val="20"/>
      <w:szCs w:val="20"/>
      <w:lang w:eastAsia="en-AU"/>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FFF799" w:themeFill="accent4"/>
    </w:tcPr>
    <w:tblStylePr w:type="firstRow">
      <w:tblPr/>
      <w:tcPr>
        <w:shd w:val="clear" w:color="auto" w:fill="65C5B4" w:themeFill="accen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 w:id="747270227">
      <w:bodyDiv w:val="1"/>
      <w:marLeft w:val="0"/>
      <w:marRight w:val="0"/>
      <w:marTop w:val="0"/>
      <w:marBottom w:val="0"/>
      <w:divBdr>
        <w:top w:val="none" w:sz="0" w:space="0" w:color="auto"/>
        <w:left w:val="none" w:sz="0" w:space="0" w:color="auto"/>
        <w:bottom w:val="none" w:sz="0" w:space="0" w:color="auto"/>
        <w:right w:val="none" w:sz="0" w:space="0" w:color="auto"/>
      </w:divBdr>
    </w:div>
    <w:div w:id="1106345324">
      <w:bodyDiv w:val="1"/>
      <w:marLeft w:val="0"/>
      <w:marRight w:val="0"/>
      <w:marTop w:val="0"/>
      <w:marBottom w:val="0"/>
      <w:divBdr>
        <w:top w:val="none" w:sz="0" w:space="0" w:color="auto"/>
        <w:left w:val="none" w:sz="0" w:space="0" w:color="auto"/>
        <w:bottom w:val="none" w:sz="0" w:space="0" w:color="auto"/>
        <w:right w:val="none" w:sz="0" w:space="0" w:color="auto"/>
      </w:divBdr>
    </w:div>
    <w:div w:id="1519468274">
      <w:bodyDiv w:val="1"/>
      <w:marLeft w:val="0"/>
      <w:marRight w:val="0"/>
      <w:marTop w:val="0"/>
      <w:marBottom w:val="0"/>
      <w:divBdr>
        <w:top w:val="none" w:sz="0" w:space="0" w:color="auto"/>
        <w:left w:val="none" w:sz="0" w:space="0" w:color="auto"/>
        <w:bottom w:val="none" w:sz="0" w:space="0" w:color="auto"/>
        <w:right w:val="none" w:sz="0" w:space="0" w:color="auto"/>
      </w:divBdr>
    </w:div>
    <w:div w:id="1794784877">
      <w:bodyDiv w:val="1"/>
      <w:marLeft w:val="0"/>
      <w:marRight w:val="0"/>
      <w:marTop w:val="0"/>
      <w:marBottom w:val="0"/>
      <w:divBdr>
        <w:top w:val="none" w:sz="0" w:space="0" w:color="auto"/>
        <w:left w:val="none" w:sz="0" w:space="0" w:color="auto"/>
        <w:bottom w:val="none" w:sz="0" w:space="0" w:color="auto"/>
        <w:right w:val="none" w:sz="0" w:space="0" w:color="auto"/>
      </w:divBdr>
    </w:div>
    <w:div w:id="1996641461">
      <w:bodyDiv w:val="1"/>
      <w:marLeft w:val="0"/>
      <w:marRight w:val="0"/>
      <w:marTop w:val="0"/>
      <w:marBottom w:val="0"/>
      <w:divBdr>
        <w:top w:val="none" w:sz="0" w:space="0" w:color="auto"/>
        <w:left w:val="none" w:sz="0" w:space="0" w:color="auto"/>
        <w:bottom w:val="none" w:sz="0" w:space="0" w:color="auto"/>
        <w:right w:val="none" w:sz="0" w:space="0" w:color="auto"/>
      </w:divBdr>
      <w:divsChild>
        <w:div w:id="2050569263">
          <w:marLeft w:val="0"/>
          <w:marRight w:val="0"/>
          <w:marTop w:val="0"/>
          <w:marBottom w:val="0"/>
          <w:divBdr>
            <w:top w:val="none" w:sz="0" w:space="0" w:color="auto"/>
            <w:left w:val="none" w:sz="0" w:space="0" w:color="auto"/>
            <w:bottom w:val="none" w:sz="0" w:space="0" w:color="auto"/>
            <w:right w:val="none" w:sz="0" w:space="0" w:color="auto"/>
          </w:divBdr>
          <w:divsChild>
            <w:div w:id="1689983905">
              <w:marLeft w:val="0"/>
              <w:marRight w:val="0"/>
              <w:marTop w:val="0"/>
              <w:marBottom w:val="0"/>
              <w:divBdr>
                <w:top w:val="none" w:sz="0" w:space="0" w:color="auto"/>
                <w:left w:val="none" w:sz="0" w:space="0" w:color="auto"/>
                <w:bottom w:val="none" w:sz="0" w:space="0" w:color="auto"/>
                <w:right w:val="none" w:sz="0" w:space="0" w:color="auto"/>
              </w:divBdr>
              <w:divsChild>
                <w:div w:id="97675981">
                  <w:marLeft w:val="0"/>
                  <w:marRight w:val="0"/>
                  <w:marTop w:val="375"/>
                  <w:marBottom w:val="375"/>
                  <w:divBdr>
                    <w:top w:val="none" w:sz="0" w:space="0" w:color="auto"/>
                    <w:left w:val="none" w:sz="0" w:space="0" w:color="auto"/>
                    <w:bottom w:val="none" w:sz="0" w:space="0" w:color="auto"/>
                    <w:right w:val="none" w:sz="0" w:space="0" w:color="auto"/>
                  </w:divBdr>
                  <w:divsChild>
                    <w:div w:id="386346568">
                      <w:marLeft w:val="0"/>
                      <w:marRight w:val="0"/>
                      <w:marTop w:val="0"/>
                      <w:marBottom w:val="0"/>
                      <w:divBdr>
                        <w:top w:val="none" w:sz="0" w:space="0" w:color="auto"/>
                        <w:left w:val="none" w:sz="0" w:space="0" w:color="auto"/>
                        <w:bottom w:val="none" w:sz="0" w:space="0" w:color="auto"/>
                        <w:right w:val="none" w:sz="0" w:space="0" w:color="auto"/>
                      </w:divBdr>
                      <w:divsChild>
                        <w:div w:id="1898860947">
                          <w:marLeft w:val="0"/>
                          <w:marRight w:val="0"/>
                          <w:marTop w:val="0"/>
                          <w:marBottom w:val="0"/>
                          <w:divBdr>
                            <w:top w:val="none" w:sz="0" w:space="0" w:color="auto"/>
                            <w:left w:val="none" w:sz="0" w:space="0" w:color="auto"/>
                            <w:bottom w:val="none" w:sz="0" w:space="0" w:color="auto"/>
                            <w:right w:val="none" w:sz="0" w:space="0" w:color="auto"/>
                          </w:divBdr>
                          <w:divsChild>
                            <w:div w:id="1082292889">
                              <w:marLeft w:val="0"/>
                              <w:marRight w:val="0"/>
                              <w:marTop w:val="0"/>
                              <w:marBottom w:val="0"/>
                              <w:divBdr>
                                <w:top w:val="none" w:sz="0" w:space="0" w:color="auto"/>
                                <w:left w:val="none" w:sz="0" w:space="0" w:color="auto"/>
                                <w:bottom w:val="none" w:sz="0" w:space="0" w:color="auto"/>
                                <w:right w:val="none" w:sz="0" w:space="0" w:color="auto"/>
                              </w:divBdr>
                              <w:divsChild>
                                <w:div w:id="1769615849">
                                  <w:marLeft w:val="0"/>
                                  <w:marRight w:val="0"/>
                                  <w:marTop w:val="0"/>
                                  <w:marBottom w:val="0"/>
                                  <w:divBdr>
                                    <w:top w:val="none" w:sz="0" w:space="0" w:color="auto"/>
                                    <w:left w:val="none" w:sz="0" w:space="0" w:color="auto"/>
                                    <w:bottom w:val="none" w:sz="0" w:space="0" w:color="auto"/>
                                    <w:right w:val="none" w:sz="0" w:space="0" w:color="auto"/>
                                  </w:divBdr>
                                  <w:divsChild>
                                    <w:div w:id="1217282449">
                                      <w:marLeft w:val="0"/>
                                      <w:marRight w:val="0"/>
                                      <w:marTop w:val="0"/>
                                      <w:marBottom w:val="0"/>
                                      <w:divBdr>
                                        <w:top w:val="none" w:sz="0" w:space="0" w:color="auto"/>
                                        <w:left w:val="none" w:sz="0" w:space="0" w:color="auto"/>
                                        <w:bottom w:val="none" w:sz="0" w:space="0" w:color="auto"/>
                                        <w:right w:val="none" w:sz="0" w:space="0" w:color="auto"/>
                                      </w:divBdr>
                                      <w:divsChild>
                                        <w:div w:id="164133531">
                                          <w:marLeft w:val="0"/>
                                          <w:marRight w:val="0"/>
                                          <w:marTop w:val="0"/>
                                          <w:marBottom w:val="0"/>
                                          <w:divBdr>
                                            <w:top w:val="none" w:sz="0" w:space="0" w:color="auto"/>
                                            <w:left w:val="none" w:sz="0" w:space="0" w:color="auto"/>
                                            <w:bottom w:val="none" w:sz="0" w:space="0" w:color="auto"/>
                                            <w:right w:val="none" w:sz="0" w:space="0" w:color="auto"/>
                                          </w:divBdr>
                                          <w:divsChild>
                                            <w:div w:id="5399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APG Orange">
      <a:dk1>
        <a:sysClr val="windowText" lastClr="000000"/>
      </a:dk1>
      <a:lt1>
        <a:sysClr val="window" lastClr="FFFFFF"/>
      </a:lt1>
      <a:dk2>
        <a:srgbClr val="495965"/>
      </a:dk2>
      <a:lt2>
        <a:srgbClr val="D8DCDB"/>
      </a:lt2>
      <a:accent1>
        <a:srgbClr val="D3875F"/>
      </a:accent1>
      <a:accent2>
        <a:srgbClr val="65C5B4"/>
      </a:accent2>
      <a:accent3>
        <a:srgbClr val="ACD08C"/>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CE7F4-573C-4789-934F-66CCEAF95ECA}"/>
</file>

<file path=customXml/itemProps2.xml><?xml version="1.0" encoding="utf-8"?>
<ds:datastoreItem xmlns:ds="http://schemas.openxmlformats.org/officeDocument/2006/customXml" ds:itemID="{5E274E80-0690-47D1-A3F1-7E2C5B57B20B}"/>
</file>

<file path=customXml/itemProps3.xml><?xml version="1.0" encoding="utf-8"?>
<ds:datastoreItem xmlns:ds="http://schemas.openxmlformats.org/officeDocument/2006/customXml" ds:itemID="{A71ABB76-9922-443C-B56E-B8760C787A1B}"/>
</file>

<file path=customXml/itemProps4.xml><?xml version="1.0" encoding="utf-8"?>
<ds:datastoreItem xmlns:ds="http://schemas.openxmlformats.org/officeDocument/2006/customXml" ds:itemID="{AC2262C1-3914-4AF7-A39C-7A7A091CEEB9}"/>
</file>

<file path=docProps/app.xml><?xml version="1.0" encoding="utf-8"?>
<Properties xmlns="http://schemas.openxmlformats.org/officeDocument/2006/extended-properties" xmlns:vt="http://schemas.openxmlformats.org/officeDocument/2006/docPropsVTypes">
  <Template>Normal.dotm</Template>
  <TotalTime>0</TotalTime>
  <Pages>2</Pages>
  <Words>2147</Words>
  <Characters>12239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2017-09-11T07:27:00Z</dcterms:created>
  <dcterms:modified xsi:type="dcterms:W3CDTF">2017-09-13T04:56:00Z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520140ca-80ce-4220-91a6-fc700f2d3f28</vt:lpwstr>
  </property>
  <property fmtid="{D5CDD505-2E9C-101B-9397-08002B2CF9AE}" pid="3" name="hptrimrecordref">
    <vt:lpwstr/>
  </property>
  <property fmtid="{D5CDD505-2E9C-101B-9397-08002B2CF9AE}" pid="4" name="ResponsibleBranch">
    <vt:lpwstr>216</vt:lpwstr>
  </property>
  <property fmtid="{D5CDD505-2E9C-101B-9397-08002B2CF9AE}" pid="5" name="ContentTypeId">
    <vt:lpwstr>0x01010050F19AC2165D2E47A5E6B7F563E4CF00</vt:lpwstr>
  </property>
  <property fmtid="{D5CDD505-2E9C-101B-9397-08002B2CF9AE}" pid="6" name="hptrimdataset">
    <vt:lpwstr>CH</vt:lpwstr>
  </property>
  <property fmtid="{D5CDD505-2E9C-101B-9397-08002B2CF9AE}" pid="7" name="hptrimfileref">
    <vt:lpwstr>17/5175#1</vt:lpwstr>
  </property>
  <property fmtid="{D5CDD505-2E9C-101B-9397-08002B2CF9AE}" pid="8" name="xDateCurrencyReview">
    <vt:lpwstr>2015-02-24T13:00:00+00:00</vt:lpwstr>
  </property>
  <property fmtid="{D5CDD505-2E9C-101B-9397-08002B2CF9AE}" pid="9" name="SEC">
    <vt:lpwstr>UNCLASSIFIED</vt:lpwstr>
  </property>
  <property fmtid="{D5CDD505-2E9C-101B-9397-08002B2CF9AE}" pid="10" name="DLM">
    <vt:lpwstr>No DLM</vt:lpwstr>
  </property>
  <property fmtid="{D5CDD505-2E9C-101B-9397-08002B2CF9AE}" pid="11" name="Order">
    <vt:r8>1120300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ies>
</file>