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BB1" w:rsidRPr="008D5133" w:rsidRDefault="00B04BB1" w:rsidP="008D5133">
      <w:pPr>
        <w:pStyle w:val="Heading1"/>
        <w:rPr>
          <w:b/>
          <w:bCs/>
        </w:rPr>
      </w:pPr>
      <w:r w:rsidRPr="008D5133">
        <w:rPr>
          <w:b/>
          <w:bCs/>
        </w:rPr>
        <w:t xml:space="preserve">Six Year Evaluation of Pacific Women Shaping Pacific Development - Management Response </w:t>
      </w:r>
    </w:p>
    <w:p w:rsidR="00B04BB1" w:rsidRPr="008D5133" w:rsidRDefault="00B04BB1" w:rsidP="008D5133">
      <w:pPr>
        <w:pStyle w:val="Heading2"/>
      </w:pPr>
      <w:r w:rsidRPr="008D5133">
        <w:t xml:space="preserve">Summary </w:t>
      </w:r>
    </w:p>
    <w:p w:rsidR="00B04BB1" w:rsidRDefault="00B04BB1" w:rsidP="00B04BB1">
      <w:pPr>
        <w:pStyle w:val="PacificWomenstyle-body"/>
        <w:rPr>
          <w:rFonts w:asciiTheme="minorHAnsi" w:eastAsia="MS Mincho" w:hAnsiTheme="minorHAnsi" w:cstheme="minorHAnsi"/>
          <w:color w:val="000000"/>
          <w:sz w:val="24"/>
          <w:szCs w:val="24"/>
        </w:rPr>
      </w:pPr>
      <w:r>
        <w:rPr>
          <w:rFonts w:asciiTheme="minorHAnsi" w:eastAsia="MS Mincho" w:hAnsiTheme="minorHAnsi" w:cstheme="minorHAnsi"/>
          <w:color w:val="000000"/>
          <w:sz w:val="24"/>
          <w:szCs w:val="24"/>
        </w:rPr>
        <w:t>Australia’s Department of Foreign Affairs and Trade (DFAT) welcomes this evaluation and agrees with the overall conclusion of that the Pacific Women Shaping Development (</w:t>
      </w:r>
      <w:r w:rsidRPr="00553647">
        <w:rPr>
          <w:rFonts w:asciiTheme="minorHAnsi" w:eastAsia="MS Mincho" w:hAnsiTheme="minorHAnsi" w:cstheme="minorHAnsi"/>
          <w:i/>
          <w:color w:val="000000"/>
          <w:sz w:val="24"/>
          <w:szCs w:val="24"/>
        </w:rPr>
        <w:t>Pacific Women</w:t>
      </w:r>
      <w:r>
        <w:rPr>
          <w:rFonts w:asciiTheme="minorHAnsi" w:eastAsia="MS Mincho" w:hAnsiTheme="minorHAnsi" w:cstheme="minorHAnsi"/>
          <w:color w:val="000000"/>
          <w:sz w:val="24"/>
          <w:szCs w:val="24"/>
        </w:rPr>
        <w:t xml:space="preserve">) program “has broadened the reach of the Australian aid program to vulnerable women and girls and is supporting key civil society and women’s organisations in the Pacific. The long-term nature of funding has raised public awareness on gender equality and women’s empowerment; and the program is an asset to Australia’s partnership with Pacific governments. The work should be continued and further developed going forward”.  </w:t>
      </w:r>
    </w:p>
    <w:p w:rsidR="00B04BB1" w:rsidRDefault="00B04BB1" w:rsidP="00B04BB1">
      <w:pPr>
        <w:pStyle w:val="PacificWomenstyle-body"/>
        <w:rPr>
          <w:rFonts w:asciiTheme="minorHAnsi" w:eastAsia="MS Mincho" w:hAnsiTheme="minorHAnsi" w:cstheme="minorHAnsi"/>
          <w:color w:val="000000"/>
          <w:sz w:val="24"/>
          <w:szCs w:val="24"/>
        </w:rPr>
      </w:pPr>
      <w:r>
        <w:rPr>
          <w:rFonts w:asciiTheme="minorHAnsi" w:eastAsia="MS Mincho" w:hAnsiTheme="minorHAnsi" w:cstheme="minorHAnsi"/>
          <w:color w:val="000000"/>
          <w:sz w:val="24"/>
          <w:szCs w:val="24"/>
        </w:rPr>
        <w:t xml:space="preserve">However, the operating </w:t>
      </w:r>
      <w:r w:rsidRPr="00393F12">
        <w:rPr>
          <w:rFonts w:asciiTheme="minorHAnsi" w:eastAsia="MS Mincho" w:hAnsiTheme="minorHAnsi" w:cstheme="minorHAnsi"/>
          <w:color w:val="000000"/>
          <w:sz w:val="24"/>
          <w:szCs w:val="24"/>
        </w:rPr>
        <w:t>context for a</w:t>
      </w:r>
      <w:r>
        <w:rPr>
          <w:rFonts w:asciiTheme="minorHAnsi" w:eastAsia="MS Mincho" w:hAnsiTheme="minorHAnsi" w:cstheme="minorHAnsi"/>
          <w:color w:val="000000"/>
          <w:sz w:val="24"/>
          <w:szCs w:val="24"/>
        </w:rPr>
        <w:t>dvancing</w:t>
      </w:r>
      <w:r w:rsidRPr="00393F12">
        <w:rPr>
          <w:rFonts w:asciiTheme="minorHAnsi" w:eastAsia="MS Mincho" w:hAnsiTheme="minorHAnsi" w:cstheme="minorHAnsi"/>
          <w:color w:val="000000"/>
          <w:sz w:val="24"/>
          <w:szCs w:val="24"/>
        </w:rPr>
        <w:t xml:space="preserve"> gender equality in the Pacific has changed since the evaluation was undertaken in late 2019</w:t>
      </w:r>
      <w:r>
        <w:rPr>
          <w:rFonts w:asciiTheme="minorHAnsi" w:eastAsia="MS Mincho" w:hAnsiTheme="minorHAnsi" w:cstheme="minorHAnsi"/>
          <w:color w:val="000000"/>
          <w:sz w:val="24"/>
          <w:szCs w:val="24"/>
        </w:rPr>
        <w:t>.  In March 2020,</w:t>
      </w:r>
      <w:r w:rsidRPr="00393F12">
        <w:rPr>
          <w:rFonts w:asciiTheme="minorHAnsi" w:eastAsia="MS Mincho" w:hAnsiTheme="minorHAnsi" w:cstheme="minorHAnsi"/>
          <w:color w:val="000000"/>
          <w:sz w:val="24"/>
          <w:szCs w:val="24"/>
        </w:rPr>
        <w:t xml:space="preserve"> </w:t>
      </w:r>
      <w:r>
        <w:rPr>
          <w:rFonts w:asciiTheme="minorHAnsi" w:eastAsia="MS Mincho" w:hAnsiTheme="minorHAnsi" w:cstheme="minorHAnsi"/>
          <w:color w:val="000000"/>
          <w:sz w:val="24"/>
          <w:szCs w:val="24"/>
        </w:rPr>
        <w:t xml:space="preserve">COVID-19 was declared </w:t>
      </w:r>
      <w:r w:rsidRPr="00393F12">
        <w:rPr>
          <w:rFonts w:asciiTheme="minorHAnsi" w:eastAsia="MS Mincho" w:hAnsiTheme="minorHAnsi" w:cstheme="minorHAnsi"/>
          <w:color w:val="000000"/>
          <w:sz w:val="24"/>
          <w:szCs w:val="24"/>
        </w:rPr>
        <w:t xml:space="preserve">a global pandemic </w:t>
      </w:r>
      <w:r>
        <w:rPr>
          <w:rFonts w:asciiTheme="minorHAnsi" w:eastAsia="MS Mincho" w:hAnsiTheme="minorHAnsi" w:cstheme="minorHAnsi"/>
          <w:color w:val="000000"/>
          <w:sz w:val="24"/>
          <w:szCs w:val="24"/>
        </w:rPr>
        <w:t xml:space="preserve">and has subsequently had a significant and disproportionate health, economic and social impact on women and girls, deepening already high levels of inequality in the region. This is recognised in Australia’s new development policy, </w:t>
      </w:r>
      <w:hyperlink r:id="rId6" w:history="1">
        <w:r w:rsidRPr="00AC4607">
          <w:rPr>
            <w:rStyle w:val="Hyperlink"/>
            <w:rFonts w:eastAsia="MS Mincho" w:cstheme="minorHAnsi"/>
            <w:color w:val="0070C0"/>
            <w:sz w:val="24"/>
            <w:szCs w:val="24"/>
          </w:rPr>
          <w:t>Partnerships for Recovery: Australia’s COVID-19 Development Response</w:t>
        </w:r>
      </w:hyperlink>
      <w:r w:rsidRPr="00AC4607">
        <w:rPr>
          <w:rFonts w:asciiTheme="minorHAnsi" w:eastAsia="MS Mincho" w:hAnsiTheme="minorHAnsi" w:cstheme="minorHAnsi"/>
          <w:color w:val="0070C0"/>
          <w:sz w:val="24"/>
          <w:szCs w:val="24"/>
        </w:rPr>
        <w:t xml:space="preserve"> </w:t>
      </w:r>
      <w:r>
        <w:rPr>
          <w:rFonts w:asciiTheme="minorHAnsi" w:eastAsia="MS Mincho" w:hAnsiTheme="minorHAnsi" w:cstheme="minorHAnsi"/>
          <w:color w:val="000000"/>
          <w:sz w:val="24"/>
          <w:szCs w:val="24"/>
        </w:rPr>
        <w:t>which outlines a strong focus on supporting women and girls’ health, safety, economic security and leadership over the next two years.</w:t>
      </w:r>
    </w:p>
    <w:p w:rsidR="00B04BB1" w:rsidRDefault="00B04BB1" w:rsidP="00B04BB1">
      <w:pPr>
        <w:pStyle w:val="PacificWomenstyle-body"/>
        <w:rPr>
          <w:rFonts w:asciiTheme="minorHAnsi" w:eastAsia="MS Mincho" w:hAnsiTheme="minorHAnsi" w:cstheme="minorHAnsi"/>
          <w:color w:val="000000"/>
          <w:sz w:val="24"/>
          <w:szCs w:val="24"/>
        </w:rPr>
      </w:pPr>
      <w:r>
        <w:rPr>
          <w:rFonts w:asciiTheme="minorHAnsi" w:eastAsia="MS Mincho" w:hAnsiTheme="minorHAnsi" w:cstheme="minorHAnsi"/>
          <w:color w:val="000000"/>
          <w:sz w:val="24"/>
          <w:szCs w:val="24"/>
        </w:rPr>
        <w:t xml:space="preserve">DFAT has commenced the design for a new gender equality program that will be the successor to </w:t>
      </w:r>
      <w:r w:rsidRPr="00553647">
        <w:rPr>
          <w:rFonts w:asciiTheme="minorHAnsi" w:eastAsia="MS Mincho" w:hAnsiTheme="minorHAnsi" w:cstheme="minorHAnsi"/>
          <w:i/>
          <w:color w:val="000000"/>
          <w:sz w:val="24"/>
          <w:szCs w:val="24"/>
        </w:rPr>
        <w:t>Pacific Women</w:t>
      </w:r>
      <w:r>
        <w:rPr>
          <w:rFonts w:asciiTheme="minorHAnsi" w:eastAsia="MS Mincho" w:hAnsiTheme="minorHAnsi" w:cstheme="minorHAnsi"/>
          <w:color w:val="000000"/>
          <w:sz w:val="24"/>
          <w:szCs w:val="24"/>
        </w:rPr>
        <w:t xml:space="preserve">.  The design team has read the evaluation and is now looking at how Australian support can best respond to emerging needs created by the pandemic, in line with </w:t>
      </w:r>
      <w:r w:rsidRPr="005034D3">
        <w:rPr>
          <w:rFonts w:asciiTheme="minorHAnsi" w:eastAsia="MS Mincho" w:hAnsiTheme="minorHAnsi" w:cstheme="minorHAnsi"/>
          <w:i/>
          <w:color w:val="000000"/>
          <w:sz w:val="24"/>
          <w:szCs w:val="24"/>
        </w:rPr>
        <w:t>Partnerships for Recovery</w:t>
      </w:r>
      <w:r>
        <w:rPr>
          <w:rFonts w:asciiTheme="minorHAnsi" w:eastAsia="MS Mincho" w:hAnsiTheme="minorHAnsi" w:cstheme="minorHAnsi"/>
          <w:color w:val="000000"/>
          <w:sz w:val="24"/>
          <w:szCs w:val="24"/>
        </w:rPr>
        <w:t xml:space="preserve">, while also recognising and responding to longer-term challenges such as unequal gender norms. The new program will build on the strong foundations of </w:t>
      </w:r>
      <w:r w:rsidRPr="001A5884">
        <w:rPr>
          <w:rFonts w:asciiTheme="minorHAnsi" w:eastAsia="MS Mincho" w:hAnsiTheme="minorHAnsi" w:cstheme="minorHAnsi"/>
          <w:i/>
          <w:color w:val="000000"/>
          <w:sz w:val="24"/>
          <w:szCs w:val="24"/>
        </w:rPr>
        <w:t>Pacific Women</w:t>
      </w:r>
      <w:r>
        <w:rPr>
          <w:rFonts w:asciiTheme="minorHAnsi" w:eastAsia="MS Mincho" w:hAnsiTheme="minorHAnsi" w:cstheme="minorHAnsi"/>
          <w:color w:val="000000"/>
          <w:sz w:val="24"/>
          <w:szCs w:val="24"/>
        </w:rPr>
        <w:t xml:space="preserve">, including its early steps to respond to COVID-19, and will seek to further strengthen Australia’s partnerships with regional and local organisations.  </w:t>
      </w:r>
    </w:p>
    <w:p w:rsidR="00A41A52" w:rsidRDefault="00B04BB1" w:rsidP="00B04BB1">
      <w:pPr>
        <w:rPr>
          <w:rFonts w:eastAsia="MS Mincho" w:cstheme="minorHAnsi"/>
          <w:color w:val="000000"/>
          <w:sz w:val="24"/>
          <w:szCs w:val="24"/>
        </w:rPr>
      </w:pPr>
      <w:r>
        <w:rPr>
          <w:rFonts w:eastAsia="MS Mincho" w:cstheme="minorHAnsi"/>
          <w:color w:val="000000"/>
          <w:sz w:val="24"/>
          <w:szCs w:val="24"/>
        </w:rPr>
        <w:t xml:space="preserve">DFAT has agreed in full </w:t>
      </w:r>
      <w:r w:rsidRPr="009105DF">
        <w:rPr>
          <w:rFonts w:eastAsia="MS Mincho" w:cstheme="minorHAnsi"/>
          <w:color w:val="000000"/>
          <w:sz w:val="24"/>
          <w:szCs w:val="24"/>
        </w:rPr>
        <w:t xml:space="preserve">to </w:t>
      </w:r>
      <w:r w:rsidR="00A41A52">
        <w:rPr>
          <w:rFonts w:eastAsia="MS Mincho" w:cstheme="minorHAnsi"/>
          <w:color w:val="000000"/>
          <w:sz w:val="24"/>
          <w:szCs w:val="24"/>
        </w:rPr>
        <w:t>seven</w:t>
      </w:r>
      <w:r w:rsidRPr="009105DF">
        <w:rPr>
          <w:rFonts w:eastAsia="MS Mincho" w:cstheme="minorHAnsi"/>
          <w:color w:val="000000"/>
          <w:sz w:val="24"/>
          <w:szCs w:val="24"/>
        </w:rPr>
        <w:t xml:space="preserve"> out of 10 recommendations and agreed in part to </w:t>
      </w:r>
      <w:r w:rsidR="00A41A52">
        <w:rPr>
          <w:rFonts w:eastAsia="MS Mincho" w:cstheme="minorHAnsi"/>
          <w:color w:val="000000"/>
          <w:sz w:val="24"/>
          <w:szCs w:val="24"/>
        </w:rPr>
        <w:t>the remaining three.  These last three</w:t>
      </w:r>
      <w:r w:rsidRPr="009105DF">
        <w:rPr>
          <w:rFonts w:eastAsia="MS Mincho" w:cstheme="minorHAnsi"/>
          <w:color w:val="000000"/>
          <w:sz w:val="24"/>
          <w:szCs w:val="24"/>
        </w:rPr>
        <w:t xml:space="preserve"> recommendations require further consideration as part of the new program design</w:t>
      </w:r>
      <w:r w:rsidR="00BE10E1">
        <w:rPr>
          <w:rFonts w:eastAsia="MS Mincho" w:cstheme="minorHAnsi"/>
          <w:color w:val="000000"/>
          <w:sz w:val="24"/>
          <w:szCs w:val="24"/>
        </w:rPr>
        <w:t>.</w:t>
      </w:r>
    </w:p>
    <w:p w:rsidR="00A41A52" w:rsidRDefault="00A41A52" w:rsidP="00A41A52">
      <w:r>
        <w:br w:type="page"/>
      </w:r>
    </w:p>
    <w:p w:rsidR="00A41A52" w:rsidRPr="00FB47A0" w:rsidRDefault="00A41A52" w:rsidP="008D5133">
      <w:pPr>
        <w:pStyle w:val="Heading3"/>
      </w:pPr>
      <w:r w:rsidRPr="00FB47A0">
        <w:lastRenderedPageBreak/>
        <w:t xml:space="preserve">Individual management response to the recommendations </w:t>
      </w:r>
    </w:p>
    <w:tbl>
      <w:tblPr>
        <w:tblStyle w:val="TableGrid"/>
        <w:tblW w:w="0" w:type="auto"/>
        <w:tblLook w:val="04A0" w:firstRow="1" w:lastRow="0" w:firstColumn="1" w:lastColumn="0" w:noHBand="0" w:noVBand="1"/>
      </w:tblPr>
      <w:tblGrid>
        <w:gridCol w:w="4957"/>
        <w:gridCol w:w="1417"/>
        <w:gridCol w:w="4333"/>
        <w:gridCol w:w="1696"/>
        <w:gridCol w:w="1545"/>
      </w:tblGrid>
      <w:tr w:rsidR="005751CB" w:rsidTr="008D5133">
        <w:trPr>
          <w:trHeight w:val="494"/>
          <w:tblHeader/>
        </w:trPr>
        <w:tc>
          <w:tcPr>
            <w:tcW w:w="4957" w:type="dxa"/>
          </w:tcPr>
          <w:p w:rsidR="00A41A52" w:rsidRPr="00A41A52" w:rsidRDefault="00A41A52" w:rsidP="00A41A52">
            <w:pPr>
              <w:pStyle w:val="BodyText"/>
              <w:rPr>
                <w:b/>
                <w:color w:val="auto"/>
                <w:sz w:val="24"/>
                <w:szCs w:val="24"/>
              </w:rPr>
            </w:pPr>
            <w:r w:rsidRPr="00A41A52">
              <w:rPr>
                <w:b/>
                <w:color w:val="auto"/>
              </w:rPr>
              <w:t>Recommendation</w:t>
            </w:r>
          </w:p>
        </w:tc>
        <w:tc>
          <w:tcPr>
            <w:tcW w:w="1417" w:type="dxa"/>
          </w:tcPr>
          <w:p w:rsidR="00A41A52" w:rsidRPr="00A41A52" w:rsidRDefault="00A41A52" w:rsidP="00A41A52">
            <w:pPr>
              <w:pStyle w:val="BodyText"/>
              <w:rPr>
                <w:b/>
                <w:color w:val="auto"/>
                <w:sz w:val="24"/>
                <w:szCs w:val="24"/>
              </w:rPr>
            </w:pPr>
            <w:r w:rsidRPr="00A41A52">
              <w:rPr>
                <w:b/>
                <w:color w:val="auto"/>
              </w:rPr>
              <w:t>Response</w:t>
            </w:r>
          </w:p>
        </w:tc>
        <w:tc>
          <w:tcPr>
            <w:tcW w:w="4333" w:type="dxa"/>
          </w:tcPr>
          <w:p w:rsidR="00A41A52" w:rsidRPr="00A41A52" w:rsidRDefault="00A41A52" w:rsidP="00A41A52">
            <w:pPr>
              <w:pStyle w:val="TableHeaderRow"/>
              <w:rPr>
                <w:color w:val="auto"/>
              </w:rPr>
            </w:pPr>
            <w:r w:rsidRPr="00A41A52">
              <w:rPr>
                <w:color w:val="auto"/>
              </w:rPr>
              <w:t xml:space="preserve">Explanation </w:t>
            </w:r>
          </w:p>
        </w:tc>
        <w:tc>
          <w:tcPr>
            <w:tcW w:w="1696" w:type="dxa"/>
          </w:tcPr>
          <w:p w:rsidR="00A41A52" w:rsidRPr="00A41A52" w:rsidRDefault="00A41A52" w:rsidP="00A41A52">
            <w:pPr>
              <w:pStyle w:val="BodyText"/>
              <w:rPr>
                <w:b/>
                <w:color w:val="auto"/>
                <w:sz w:val="24"/>
                <w:szCs w:val="24"/>
              </w:rPr>
            </w:pPr>
            <w:r w:rsidRPr="00A41A52">
              <w:rPr>
                <w:b/>
                <w:color w:val="auto"/>
              </w:rPr>
              <w:t>Action plan</w:t>
            </w:r>
          </w:p>
        </w:tc>
        <w:tc>
          <w:tcPr>
            <w:tcW w:w="1545" w:type="dxa"/>
          </w:tcPr>
          <w:p w:rsidR="00A41A52" w:rsidRPr="00A41A52" w:rsidRDefault="00A41A52" w:rsidP="00A41A52">
            <w:pPr>
              <w:pStyle w:val="TableHeaderRow"/>
              <w:rPr>
                <w:color w:val="auto"/>
              </w:rPr>
            </w:pPr>
            <w:r w:rsidRPr="00A41A52">
              <w:rPr>
                <w:color w:val="auto"/>
              </w:rPr>
              <w:t>Timeframe</w:t>
            </w:r>
          </w:p>
          <w:p w:rsidR="00A41A52" w:rsidRPr="00A41A52" w:rsidRDefault="00A41A52" w:rsidP="00A41A52">
            <w:pPr>
              <w:pStyle w:val="BodyText"/>
              <w:rPr>
                <w:b/>
                <w:color w:val="auto"/>
                <w:sz w:val="24"/>
                <w:szCs w:val="24"/>
              </w:rPr>
            </w:pPr>
          </w:p>
        </w:tc>
      </w:tr>
      <w:tr w:rsidR="005751CB" w:rsidTr="00452D8A">
        <w:tc>
          <w:tcPr>
            <w:tcW w:w="4957" w:type="dxa"/>
          </w:tcPr>
          <w:p w:rsidR="00BB501D" w:rsidRPr="00FA41C2" w:rsidRDefault="00BB501D" w:rsidP="00BB501D">
            <w:pPr>
              <w:pStyle w:val="BodyText"/>
              <w:rPr>
                <w:i/>
                <w:color w:val="auto"/>
                <w:sz w:val="24"/>
                <w:szCs w:val="24"/>
              </w:rPr>
            </w:pPr>
            <w:r w:rsidRPr="00FA41C2">
              <w:rPr>
                <w:b/>
                <w:color w:val="auto"/>
                <w:sz w:val="24"/>
                <w:szCs w:val="24"/>
              </w:rPr>
              <w:t>Recommendation I:</w:t>
            </w:r>
            <w:r w:rsidRPr="00FA41C2">
              <w:rPr>
                <w:i/>
                <w:color w:val="auto"/>
                <w:sz w:val="24"/>
                <w:szCs w:val="24"/>
              </w:rPr>
              <w:t xml:space="preserve"> </w:t>
            </w:r>
            <w:r>
              <w:rPr>
                <w:i/>
                <w:color w:val="auto"/>
                <w:sz w:val="24"/>
                <w:szCs w:val="24"/>
              </w:rPr>
              <w:br/>
            </w:r>
            <w:r w:rsidRPr="00FA41C2">
              <w:rPr>
                <w:i/>
                <w:color w:val="auto"/>
                <w:sz w:val="24"/>
                <w:szCs w:val="24"/>
              </w:rPr>
              <w:t xml:space="preserve">The Australian support for women’s empowerment and gender equality, particularly those activities implemented through Pacific organisations, should be maintained. </w:t>
            </w:r>
          </w:p>
          <w:p w:rsidR="00A41A52" w:rsidRDefault="00A41A52" w:rsidP="00A41A52">
            <w:pPr>
              <w:pStyle w:val="BodyText"/>
              <w:rPr>
                <w:b/>
                <w:color w:val="auto"/>
                <w:sz w:val="24"/>
                <w:szCs w:val="24"/>
              </w:rPr>
            </w:pPr>
          </w:p>
        </w:tc>
        <w:tc>
          <w:tcPr>
            <w:tcW w:w="1417" w:type="dxa"/>
          </w:tcPr>
          <w:p w:rsidR="00A41A52" w:rsidRPr="00D86AC7" w:rsidRDefault="00AE7F91" w:rsidP="00A41A52">
            <w:pPr>
              <w:pStyle w:val="BodyText"/>
              <w:rPr>
                <w:color w:val="auto"/>
                <w:sz w:val="24"/>
                <w:szCs w:val="24"/>
              </w:rPr>
            </w:pPr>
            <w:r w:rsidRPr="00D86AC7">
              <w:rPr>
                <w:color w:val="auto"/>
                <w:sz w:val="24"/>
                <w:szCs w:val="24"/>
              </w:rPr>
              <w:t>Agree in part</w:t>
            </w:r>
          </w:p>
        </w:tc>
        <w:tc>
          <w:tcPr>
            <w:tcW w:w="4333" w:type="dxa"/>
          </w:tcPr>
          <w:p w:rsidR="00A41A52" w:rsidRDefault="00AE7F91" w:rsidP="00A41A52">
            <w:pPr>
              <w:pStyle w:val="BodyText"/>
              <w:rPr>
                <w:b/>
                <w:color w:val="auto"/>
                <w:sz w:val="24"/>
                <w:szCs w:val="24"/>
              </w:rPr>
            </w:pPr>
            <w:r w:rsidRPr="00FA41C2">
              <w:rPr>
                <w:color w:val="auto"/>
                <w:sz w:val="24"/>
                <w:szCs w:val="24"/>
              </w:rPr>
              <w:t>Agree that Australia’s support for women’s empowerment and gender equality should be maintained, and where possible this will include activities implemented through Pacific organisations.  The intent of the new design is to continue delivery of essential services for women and girls.  However, the design will also need to examine whether existing activities remain relevant to the changed regional context, and how Australian support will be delivered through global, regional and bilateral programs.</w:t>
            </w:r>
          </w:p>
        </w:tc>
        <w:tc>
          <w:tcPr>
            <w:tcW w:w="1696" w:type="dxa"/>
          </w:tcPr>
          <w:p w:rsidR="00A41A52" w:rsidRDefault="00F43CF4" w:rsidP="00A41A52">
            <w:pPr>
              <w:pStyle w:val="BodyText"/>
              <w:rPr>
                <w:b/>
                <w:color w:val="auto"/>
                <w:sz w:val="24"/>
                <w:szCs w:val="24"/>
              </w:rPr>
            </w:pPr>
            <w:r w:rsidRPr="00FA41C2">
              <w:rPr>
                <w:color w:val="auto"/>
                <w:sz w:val="24"/>
                <w:szCs w:val="24"/>
              </w:rPr>
              <w:t>To be pursued through the design process.</w:t>
            </w:r>
          </w:p>
        </w:tc>
        <w:tc>
          <w:tcPr>
            <w:tcW w:w="1545" w:type="dxa"/>
          </w:tcPr>
          <w:p w:rsidR="00A41A52" w:rsidRPr="00F43CF4" w:rsidRDefault="00F43CF4" w:rsidP="00A41A52">
            <w:pPr>
              <w:pStyle w:val="BodyText"/>
              <w:rPr>
                <w:color w:val="auto"/>
                <w:sz w:val="24"/>
                <w:szCs w:val="24"/>
              </w:rPr>
            </w:pPr>
            <w:r w:rsidRPr="00F43CF4">
              <w:rPr>
                <w:color w:val="auto"/>
                <w:sz w:val="24"/>
                <w:szCs w:val="24"/>
              </w:rPr>
              <w:t>By February 2021</w:t>
            </w:r>
          </w:p>
        </w:tc>
      </w:tr>
      <w:tr w:rsidR="005751CB" w:rsidTr="00452D8A">
        <w:tc>
          <w:tcPr>
            <w:tcW w:w="4957" w:type="dxa"/>
          </w:tcPr>
          <w:p w:rsidR="00A41A52" w:rsidRDefault="00251144" w:rsidP="00A41A52">
            <w:pPr>
              <w:pStyle w:val="BodyText"/>
              <w:rPr>
                <w:b/>
                <w:color w:val="auto"/>
                <w:sz w:val="24"/>
                <w:szCs w:val="24"/>
              </w:rPr>
            </w:pPr>
            <w:r w:rsidRPr="00FA41C2">
              <w:rPr>
                <w:b/>
                <w:color w:val="auto"/>
                <w:sz w:val="24"/>
                <w:szCs w:val="24"/>
              </w:rPr>
              <w:t>Recommendation II:</w:t>
            </w:r>
            <w:r w:rsidRPr="00FA41C2">
              <w:rPr>
                <w:i/>
                <w:color w:val="auto"/>
                <w:sz w:val="24"/>
                <w:szCs w:val="24"/>
              </w:rPr>
              <w:t xml:space="preserve"> </w:t>
            </w:r>
            <w:r>
              <w:rPr>
                <w:i/>
                <w:color w:val="auto"/>
                <w:sz w:val="24"/>
                <w:szCs w:val="24"/>
              </w:rPr>
              <w:br/>
            </w:r>
            <w:r w:rsidRPr="00FA41C2">
              <w:rPr>
                <w:i/>
                <w:color w:val="auto"/>
                <w:sz w:val="24"/>
                <w:szCs w:val="24"/>
              </w:rPr>
              <w:t>Redesign Australia’s support for women’s empowerment and gender equality in the Pacific, making use of a co-design process that identifies and addresses the interests and objectives of the Australian Government and National governments and women’s organisations in the Pacific.</w:t>
            </w:r>
          </w:p>
        </w:tc>
        <w:tc>
          <w:tcPr>
            <w:tcW w:w="1417" w:type="dxa"/>
          </w:tcPr>
          <w:p w:rsidR="00A41A52" w:rsidRPr="00CE12BA" w:rsidRDefault="00CE12BA" w:rsidP="00A41A52">
            <w:pPr>
              <w:pStyle w:val="BodyText"/>
              <w:rPr>
                <w:color w:val="auto"/>
                <w:sz w:val="24"/>
                <w:szCs w:val="24"/>
              </w:rPr>
            </w:pPr>
            <w:r w:rsidRPr="00CE12BA">
              <w:rPr>
                <w:color w:val="auto"/>
                <w:sz w:val="24"/>
                <w:szCs w:val="24"/>
              </w:rPr>
              <w:t>Agree</w:t>
            </w:r>
          </w:p>
        </w:tc>
        <w:tc>
          <w:tcPr>
            <w:tcW w:w="4333" w:type="dxa"/>
          </w:tcPr>
          <w:p w:rsidR="00A41A52" w:rsidRDefault="00A41A52" w:rsidP="00A41A52">
            <w:pPr>
              <w:pStyle w:val="BodyText"/>
              <w:rPr>
                <w:b/>
                <w:color w:val="auto"/>
                <w:sz w:val="24"/>
                <w:szCs w:val="24"/>
              </w:rPr>
            </w:pPr>
          </w:p>
        </w:tc>
        <w:tc>
          <w:tcPr>
            <w:tcW w:w="1696" w:type="dxa"/>
          </w:tcPr>
          <w:p w:rsidR="00A41A52" w:rsidRDefault="00B604E0" w:rsidP="00A41A52">
            <w:pPr>
              <w:pStyle w:val="BodyText"/>
              <w:rPr>
                <w:b/>
                <w:color w:val="auto"/>
                <w:sz w:val="24"/>
                <w:szCs w:val="24"/>
              </w:rPr>
            </w:pPr>
            <w:r w:rsidRPr="00B604E0">
              <w:rPr>
                <w:color w:val="auto"/>
                <w:sz w:val="24"/>
                <w:szCs w:val="24"/>
              </w:rPr>
              <w:t>To be pursued through the design process</w:t>
            </w:r>
          </w:p>
        </w:tc>
        <w:tc>
          <w:tcPr>
            <w:tcW w:w="1545" w:type="dxa"/>
          </w:tcPr>
          <w:p w:rsidR="00A41A52" w:rsidRDefault="00D86AC7" w:rsidP="00A41A52">
            <w:pPr>
              <w:pStyle w:val="BodyText"/>
              <w:rPr>
                <w:b/>
                <w:color w:val="auto"/>
                <w:sz w:val="24"/>
                <w:szCs w:val="24"/>
              </w:rPr>
            </w:pPr>
            <w:r w:rsidRPr="00F43CF4">
              <w:rPr>
                <w:color w:val="auto"/>
                <w:sz w:val="24"/>
                <w:szCs w:val="24"/>
              </w:rPr>
              <w:t>By February 2021</w:t>
            </w:r>
          </w:p>
        </w:tc>
      </w:tr>
    </w:tbl>
    <w:p w:rsidR="00452D8A" w:rsidRDefault="00452D8A">
      <w:r>
        <w:br w:type="page"/>
      </w:r>
    </w:p>
    <w:tbl>
      <w:tblPr>
        <w:tblStyle w:val="TableGrid"/>
        <w:tblW w:w="0" w:type="auto"/>
        <w:tblLook w:val="04A0" w:firstRow="1" w:lastRow="0" w:firstColumn="1" w:lastColumn="0" w:noHBand="0" w:noVBand="1"/>
      </w:tblPr>
      <w:tblGrid>
        <w:gridCol w:w="4957"/>
        <w:gridCol w:w="1417"/>
        <w:gridCol w:w="4333"/>
        <w:gridCol w:w="1696"/>
        <w:gridCol w:w="1545"/>
      </w:tblGrid>
      <w:tr w:rsidR="005751CB" w:rsidTr="00452D8A">
        <w:trPr>
          <w:trHeight w:val="580"/>
        </w:trPr>
        <w:tc>
          <w:tcPr>
            <w:tcW w:w="4957" w:type="dxa"/>
          </w:tcPr>
          <w:p w:rsidR="00A41A52" w:rsidRDefault="00562BD5" w:rsidP="00A41A52">
            <w:pPr>
              <w:pStyle w:val="BodyText"/>
              <w:rPr>
                <w:b/>
                <w:color w:val="auto"/>
                <w:sz w:val="24"/>
                <w:szCs w:val="24"/>
              </w:rPr>
            </w:pPr>
            <w:r>
              <w:rPr>
                <w:b/>
                <w:color w:val="auto"/>
                <w:sz w:val="24"/>
                <w:szCs w:val="24"/>
              </w:rPr>
              <w:lastRenderedPageBreak/>
              <w:t>Recommendation</w:t>
            </w:r>
          </w:p>
        </w:tc>
        <w:tc>
          <w:tcPr>
            <w:tcW w:w="1417" w:type="dxa"/>
          </w:tcPr>
          <w:p w:rsidR="00A41A52" w:rsidRPr="00BE10E1" w:rsidRDefault="00562BD5" w:rsidP="00A41A52">
            <w:pPr>
              <w:pStyle w:val="BodyText"/>
              <w:rPr>
                <w:b/>
                <w:color w:val="auto"/>
                <w:sz w:val="24"/>
                <w:szCs w:val="24"/>
              </w:rPr>
            </w:pPr>
            <w:r w:rsidRPr="00BE10E1">
              <w:rPr>
                <w:b/>
                <w:color w:val="auto"/>
                <w:sz w:val="24"/>
                <w:szCs w:val="24"/>
              </w:rPr>
              <w:t>Response</w:t>
            </w:r>
          </w:p>
        </w:tc>
        <w:tc>
          <w:tcPr>
            <w:tcW w:w="4333" w:type="dxa"/>
          </w:tcPr>
          <w:p w:rsidR="00A41A52" w:rsidRDefault="00562BD5" w:rsidP="00A41A52">
            <w:pPr>
              <w:pStyle w:val="BodyText"/>
              <w:rPr>
                <w:b/>
                <w:color w:val="auto"/>
                <w:sz w:val="24"/>
                <w:szCs w:val="24"/>
              </w:rPr>
            </w:pPr>
            <w:r>
              <w:rPr>
                <w:b/>
                <w:color w:val="auto"/>
                <w:sz w:val="24"/>
                <w:szCs w:val="24"/>
              </w:rPr>
              <w:t>Explanation</w:t>
            </w:r>
          </w:p>
        </w:tc>
        <w:tc>
          <w:tcPr>
            <w:tcW w:w="1696" w:type="dxa"/>
          </w:tcPr>
          <w:p w:rsidR="00A41A52" w:rsidRDefault="00562BD5" w:rsidP="00A41A52">
            <w:pPr>
              <w:pStyle w:val="BodyText"/>
              <w:rPr>
                <w:b/>
                <w:color w:val="auto"/>
                <w:sz w:val="24"/>
                <w:szCs w:val="24"/>
              </w:rPr>
            </w:pPr>
            <w:r>
              <w:rPr>
                <w:b/>
                <w:color w:val="auto"/>
                <w:sz w:val="24"/>
                <w:szCs w:val="24"/>
              </w:rPr>
              <w:t>Action plan</w:t>
            </w:r>
          </w:p>
        </w:tc>
        <w:tc>
          <w:tcPr>
            <w:tcW w:w="1545" w:type="dxa"/>
          </w:tcPr>
          <w:p w:rsidR="00A41A52" w:rsidRDefault="00562BD5" w:rsidP="00A41A52">
            <w:pPr>
              <w:pStyle w:val="BodyText"/>
              <w:rPr>
                <w:b/>
                <w:color w:val="auto"/>
                <w:sz w:val="24"/>
                <w:szCs w:val="24"/>
              </w:rPr>
            </w:pPr>
            <w:r>
              <w:rPr>
                <w:b/>
                <w:color w:val="auto"/>
                <w:sz w:val="24"/>
                <w:szCs w:val="24"/>
              </w:rPr>
              <w:t>Timeframe</w:t>
            </w:r>
          </w:p>
        </w:tc>
      </w:tr>
      <w:tr w:rsidR="00452D8A" w:rsidTr="00452D8A">
        <w:trPr>
          <w:trHeight w:val="2060"/>
        </w:trPr>
        <w:tc>
          <w:tcPr>
            <w:tcW w:w="4957" w:type="dxa"/>
          </w:tcPr>
          <w:p w:rsidR="00452D8A" w:rsidRDefault="00562BD5" w:rsidP="00A41A52">
            <w:pPr>
              <w:pStyle w:val="BodyText"/>
              <w:rPr>
                <w:b/>
                <w:color w:val="auto"/>
                <w:sz w:val="24"/>
                <w:szCs w:val="24"/>
              </w:rPr>
            </w:pPr>
            <w:r w:rsidRPr="00FA41C2">
              <w:rPr>
                <w:b/>
                <w:color w:val="auto"/>
                <w:sz w:val="24"/>
                <w:szCs w:val="24"/>
              </w:rPr>
              <w:t>Recommendation III:</w:t>
            </w:r>
            <w:r>
              <w:rPr>
                <w:b/>
                <w:color w:val="auto"/>
                <w:sz w:val="24"/>
                <w:szCs w:val="24"/>
              </w:rPr>
              <w:br/>
            </w:r>
            <w:r w:rsidR="00452D8A" w:rsidRPr="00FA41C2">
              <w:rPr>
                <w:i/>
                <w:color w:val="auto"/>
                <w:sz w:val="24"/>
                <w:szCs w:val="24"/>
              </w:rPr>
              <w:t>Australia’s future support to gender equality and women’s empowerment in the Pacific should continue to include a comprehensive approach including women’s leadership, economic empowerment, ending violence against women and increasing agency as outcomes.</w:t>
            </w:r>
          </w:p>
        </w:tc>
        <w:tc>
          <w:tcPr>
            <w:tcW w:w="1417" w:type="dxa"/>
          </w:tcPr>
          <w:p w:rsidR="00452D8A" w:rsidRPr="00CE12BA" w:rsidRDefault="00A74A98" w:rsidP="00A41A52">
            <w:pPr>
              <w:pStyle w:val="BodyText"/>
              <w:rPr>
                <w:color w:val="auto"/>
                <w:sz w:val="24"/>
                <w:szCs w:val="24"/>
              </w:rPr>
            </w:pPr>
            <w:r>
              <w:rPr>
                <w:color w:val="auto"/>
                <w:sz w:val="24"/>
                <w:szCs w:val="24"/>
              </w:rPr>
              <w:t>Agree</w:t>
            </w:r>
          </w:p>
        </w:tc>
        <w:tc>
          <w:tcPr>
            <w:tcW w:w="4333" w:type="dxa"/>
          </w:tcPr>
          <w:p w:rsidR="00452D8A" w:rsidRDefault="00562BD5" w:rsidP="00A41A52">
            <w:pPr>
              <w:pStyle w:val="BodyText"/>
              <w:rPr>
                <w:color w:val="auto"/>
                <w:sz w:val="24"/>
                <w:szCs w:val="24"/>
              </w:rPr>
            </w:pPr>
            <w:r w:rsidRPr="00FA41C2">
              <w:rPr>
                <w:color w:val="auto"/>
                <w:sz w:val="24"/>
                <w:szCs w:val="24"/>
              </w:rPr>
              <w:t xml:space="preserve">Agree, noting that the new program will </w:t>
            </w:r>
            <w:r w:rsidR="00452D8A" w:rsidRPr="00FA41C2">
              <w:rPr>
                <w:color w:val="auto"/>
                <w:sz w:val="24"/>
                <w:szCs w:val="24"/>
              </w:rPr>
              <w:t>be aligned to Partnerships for Recovery and also cover women and girls health.</w:t>
            </w:r>
          </w:p>
        </w:tc>
        <w:tc>
          <w:tcPr>
            <w:tcW w:w="1696" w:type="dxa"/>
          </w:tcPr>
          <w:p w:rsidR="00452D8A" w:rsidRDefault="00562BD5" w:rsidP="00A41A52">
            <w:pPr>
              <w:pStyle w:val="BodyText"/>
              <w:rPr>
                <w:color w:val="auto"/>
                <w:sz w:val="24"/>
                <w:szCs w:val="24"/>
              </w:rPr>
            </w:pPr>
            <w:r w:rsidRPr="00B604E0">
              <w:rPr>
                <w:color w:val="auto"/>
                <w:sz w:val="24"/>
                <w:szCs w:val="24"/>
              </w:rPr>
              <w:t xml:space="preserve">To be pursued </w:t>
            </w:r>
            <w:r w:rsidR="00452D8A" w:rsidRPr="00B604E0">
              <w:rPr>
                <w:color w:val="auto"/>
                <w:sz w:val="24"/>
                <w:szCs w:val="24"/>
              </w:rPr>
              <w:t>through the design process</w:t>
            </w:r>
          </w:p>
        </w:tc>
        <w:tc>
          <w:tcPr>
            <w:tcW w:w="1545" w:type="dxa"/>
          </w:tcPr>
          <w:p w:rsidR="00452D8A" w:rsidRDefault="00562BD5" w:rsidP="00A41A52">
            <w:pPr>
              <w:pStyle w:val="BodyText"/>
              <w:rPr>
                <w:color w:val="auto"/>
                <w:sz w:val="24"/>
                <w:szCs w:val="24"/>
              </w:rPr>
            </w:pPr>
            <w:r w:rsidRPr="00F43CF4">
              <w:rPr>
                <w:color w:val="auto"/>
                <w:sz w:val="24"/>
                <w:szCs w:val="24"/>
              </w:rPr>
              <w:t xml:space="preserve">By February </w:t>
            </w:r>
            <w:r w:rsidR="00452D8A" w:rsidRPr="00F43CF4">
              <w:rPr>
                <w:color w:val="auto"/>
                <w:sz w:val="24"/>
                <w:szCs w:val="24"/>
              </w:rPr>
              <w:t>2021</w:t>
            </w:r>
          </w:p>
        </w:tc>
      </w:tr>
      <w:tr w:rsidR="005751CB" w:rsidTr="00452D8A">
        <w:tc>
          <w:tcPr>
            <w:tcW w:w="4957" w:type="dxa"/>
          </w:tcPr>
          <w:p w:rsidR="00CE12BA" w:rsidRPr="00FA41C2" w:rsidRDefault="00CE12BA" w:rsidP="00CE12BA">
            <w:pPr>
              <w:pStyle w:val="BodyText"/>
              <w:rPr>
                <w:i/>
                <w:color w:val="auto"/>
                <w:sz w:val="24"/>
                <w:szCs w:val="24"/>
              </w:rPr>
            </w:pPr>
            <w:r w:rsidRPr="00FA41C2">
              <w:rPr>
                <w:b/>
                <w:color w:val="auto"/>
                <w:sz w:val="24"/>
                <w:szCs w:val="24"/>
              </w:rPr>
              <w:t>Recommendation IV</w:t>
            </w:r>
            <w:r w:rsidRPr="00FA41C2">
              <w:rPr>
                <w:color w:val="auto"/>
                <w:sz w:val="24"/>
                <w:szCs w:val="24"/>
              </w:rPr>
              <w:t xml:space="preserve">: </w:t>
            </w:r>
            <w:r>
              <w:rPr>
                <w:color w:val="auto"/>
                <w:sz w:val="24"/>
                <w:szCs w:val="24"/>
              </w:rPr>
              <w:br/>
            </w:r>
            <w:r w:rsidRPr="00FA41C2">
              <w:rPr>
                <w:i/>
                <w:color w:val="auto"/>
                <w:sz w:val="24"/>
                <w:szCs w:val="24"/>
              </w:rPr>
              <w:t xml:space="preserve">The ongoing program of support should continue to support local organisations providing holistic care for survivors of violence; ramp up efforts to address disability issues and maintain attention to violence prevention. </w:t>
            </w:r>
          </w:p>
          <w:p w:rsidR="00A41A52" w:rsidRDefault="00A41A52" w:rsidP="00A41A52">
            <w:pPr>
              <w:pStyle w:val="BodyText"/>
              <w:rPr>
                <w:b/>
                <w:color w:val="auto"/>
                <w:sz w:val="24"/>
                <w:szCs w:val="24"/>
              </w:rPr>
            </w:pPr>
          </w:p>
        </w:tc>
        <w:tc>
          <w:tcPr>
            <w:tcW w:w="1417" w:type="dxa"/>
          </w:tcPr>
          <w:p w:rsidR="00A41A52" w:rsidRPr="00CE12BA" w:rsidRDefault="00CE12BA" w:rsidP="00A41A52">
            <w:pPr>
              <w:pStyle w:val="BodyText"/>
              <w:rPr>
                <w:color w:val="auto"/>
                <w:sz w:val="24"/>
                <w:szCs w:val="24"/>
              </w:rPr>
            </w:pPr>
            <w:r w:rsidRPr="00CE12BA">
              <w:rPr>
                <w:color w:val="auto"/>
                <w:sz w:val="24"/>
                <w:szCs w:val="24"/>
              </w:rPr>
              <w:t>Agree</w:t>
            </w:r>
          </w:p>
        </w:tc>
        <w:tc>
          <w:tcPr>
            <w:tcW w:w="4333" w:type="dxa"/>
          </w:tcPr>
          <w:p w:rsidR="00A41A52" w:rsidRDefault="00A41A52" w:rsidP="00A41A52">
            <w:pPr>
              <w:pStyle w:val="BodyText"/>
              <w:rPr>
                <w:b/>
                <w:color w:val="auto"/>
                <w:sz w:val="24"/>
                <w:szCs w:val="24"/>
              </w:rPr>
            </w:pPr>
          </w:p>
        </w:tc>
        <w:tc>
          <w:tcPr>
            <w:tcW w:w="1696" w:type="dxa"/>
          </w:tcPr>
          <w:p w:rsidR="00A41A52" w:rsidRDefault="00B604E0" w:rsidP="00A41A52">
            <w:pPr>
              <w:pStyle w:val="BodyText"/>
              <w:rPr>
                <w:b/>
                <w:color w:val="auto"/>
                <w:sz w:val="24"/>
                <w:szCs w:val="24"/>
              </w:rPr>
            </w:pPr>
            <w:r w:rsidRPr="00B604E0">
              <w:rPr>
                <w:color w:val="auto"/>
                <w:sz w:val="24"/>
                <w:szCs w:val="24"/>
              </w:rPr>
              <w:t>To be pursued through the design process</w:t>
            </w:r>
          </w:p>
        </w:tc>
        <w:tc>
          <w:tcPr>
            <w:tcW w:w="1545" w:type="dxa"/>
          </w:tcPr>
          <w:p w:rsidR="00A41A52" w:rsidRDefault="00D86AC7" w:rsidP="00A41A52">
            <w:pPr>
              <w:pStyle w:val="BodyText"/>
              <w:rPr>
                <w:b/>
                <w:color w:val="auto"/>
                <w:sz w:val="24"/>
                <w:szCs w:val="24"/>
              </w:rPr>
            </w:pPr>
            <w:r w:rsidRPr="00F43CF4">
              <w:rPr>
                <w:color w:val="auto"/>
                <w:sz w:val="24"/>
                <w:szCs w:val="24"/>
              </w:rPr>
              <w:t>By February 2021</w:t>
            </w:r>
          </w:p>
        </w:tc>
      </w:tr>
      <w:tr w:rsidR="005751CB" w:rsidTr="00452D8A">
        <w:tc>
          <w:tcPr>
            <w:tcW w:w="4957" w:type="dxa"/>
          </w:tcPr>
          <w:p w:rsidR="00CE12BA" w:rsidRPr="00FA41C2" w:rsidRDefault="00CE12BA" w:rsidP="00CE12BA">
            <w:pPr>
              <w:pStyle w:val="BodyText"/>
              <w:rPr>
                <w:i/>
                <w:color w:val="auto"/>
                <w:sz w:val="24"/>
                <w:szCs w:val="24"/>
              </w:rPr>
            </w:pPr>
            <w:r w:rsidRPr="00FA41C2">
              <w:rPr>
                <w:b/>
                <w:color w:val="auto"/>
                <w:sz w:val="24"/>
                <w:szCs w:val="24"/>
              </w:rPr>
              <w:t>Recommendation V:</w:t>
            </w:r>
            <w:r w:rsidRPr="00FA41C2">
              <w:rPr>
                <w:color w:val="auto"/>
                <w:sz w:val="24"/>
                <w:szCs w:val="24"/>
              </w:rPr>
              <w:t xml:space="preserve"> </w:t>
            </w:r>
            <w:r>
              <w:rPr>
                <w:color w:val="auto"/>
                <w:sz w:val="24"/>
                <w:szCs w:val="24"/>
              </w:rPr>
              <w:br/>
            </w:r>
            <w:r w:rsidRPr="00FA41C2">
              <w:rPr>
                <w:i/>
                <w:color w:val="auto"/>
                <w:sz w:val="24"/>
                <w:szCs w:val="24"/>
              </w:rPr>
              <w:t>The ongoing program of support should build on the evidence base of promising practices in women’s economic empowerment and leadership, through sharing of evidence and further development of these approaches.</w:t>
            </w:r>
          </w:p>
          <w:p w:rsidR="00A41A52" w:rsidRDefault="00A41A52" w:rsidP="00A41A52">
            <w:pPr>
              <w:pStyle w:val="BodyText"/>
              <w:rPr>
                <w:b/>
                <w:color w:val="auto"/>
                <w:sz w:val="24"/>
                <w:szCs w:val="24"/>
              </w:rPr>
            </w:pPr>
          </w:p>
        </w:tc>
        <w:tc>
          <w:tcPr>
            <w:tcW w:w="1417" w:type="dxa"/>
          </w:tcPr>
          <w:p w:rsidR="00A41A52" w:rsidRPr="00CE12BA" w:rsidRDefault="00CE12BA" w:rsidP="00A41A52">
            <w:pPr>
              <w:pStyle w:val="BodyText"/>
              <w:rPr>
                <w:color w:val="auto"/>
                <w:sz w:val="24"/>
                <w:szCs w:val="24"/>
              </w:rPr>
            </w:pPr>
            <w:r w:rsidRPr="00CE12BA">
              <w:rPr>
                <w:color w:val="auto"/>
                <w:sz w:val="24"/>
                <w:szCs w:val="24"/>
              </w:rPr>
              <w:t>Agree</w:t>
            </w:r>
          </w:p>
        </w:tc>
        <w:tc>
          <w:tcPr>
            <w:tcW w:w="4333" w:type="dxa"/>
          </w:tcPr>
          <w:p w:rsidR="00A41A52" w:rsidRDefault="00A41A52" w:rsidP="00A41A52">
            <w:pPr>
              <w:pStyle w:val="BodyText"/>
              <w:rPr>
                <w:b/>
                <w:color w:val="auto"/>
                <w:sz w:val="24"/>
                <w:szCs w:val="24"/>
              </w:rPr>
            </w:pPr>
          </w:p>
        </w:tc>
        <w:tc>
          <w:tcPr>
            <w:tcW w:w="1696" w:type="dxa"/>
          </w:tcPr>
          <w:p w:rsidR="00A41A52" w:rsidRDefault="00B604E0" w:rsidP="00A41A52">
            <w:pPr>
              <w:pStyle w:val="BodyText"/>
              <w:rPr>
                <w:b/>
                <w:color w:val="auto"/>
                <w:sz w:val="24"/>
                <w:szCs w:val="24"/>
              </w:rPr>
            </w:pPr>
            <w:r w:rsidRPr="00B604E0">
              <w:rPr>
                <w:color w:val="auto"/>
                <w:sz w:val="24"/>
                <w:szCs w:val="24"/>
              </w:rPr>
              <w:t>To be pursued through the design process</w:t>
            </w:r>
          </w:p>
        </w:tc>
        <w:tc>
          <w:tcPr>
            <w:tcW w:w="1545" w:type="dxa"/>
          </w:tcPr>
          <w:p w:rsidR="00A41A52" w:rsidRDefault="00D86AC7" w:rsidP="00A41A52">
            <w:pPr>
              <w:pStyle w:val="BodyText"/>
              <w:rPr>
                <w:b/>
                <w:color w:val="auto"/>
                <w:sz w:val="24"/>
                <w:szCs w:val="24"/>
              </w:rPr>
            </w:pPr>
            <w:r w:rsidRPr="00F43CF4">
              <w:rPr>
                <w:color w:val="auto"/>
                <w:sz w:val="24"/>
                <w:szCs w:val="24"/>
              </w:rPr>
              <w:t>By February 2021</w:t>
            </w:r>
          </w:p>
        </w:tc>
      </w:tr>
    </w:tbl>
    <w:p w:rsidR="00452D8A" w:rsidRDefault="00452D8A">
      <w:r>
        <w:br w:type="page"/>
      </w:r>
    </w:p>
    <w:tbl>
      <w:tblPr>
        <w:tblStyle w:val="TableGrid"/>
        <w:tblW w:w="0" w:type="auto"/>
        <w:tblLook w:val="04A0" w:firstRow="1" w:lastRow="0" w:firstColumn="1" w:lastColumn="0" w:noHBand="0" w:noVBand="1"/>
      </w:tblPr>
      <w:tblGrid>
        <w:gridCol w:w="4957"/>
        <w:gridCol w:w="1417"/>
        <w:gridCol w:w="4333"/>
        <w:gridCol w:w="1696"/>
        <w:gridCol w:w="1545"/>
      </w:tblGrid>
      <w:tr w:rsidR="00562BD5" w:rsidTr="00562BD5">
        <w:trPr>
          <w:trHeight w:val="530"/>
        </w:trPr>
        <w:tc>
          <w:tcPr>
            <w:tcW w:w="4957" w:type="dxa"/>
          </w:tcPr>
          <w:p w:rsidR="00562BD5" w:rsidRPr="00BE10E1" w:rsidRDefault="00562BD5" w:rsidP="00562BD5">
            <w:pPr>
              <w:pStyle w:val="BodyText"/>
              <w:rPr>
                <w:b/>
                <w:color w:val="auto"/>
                <w:sz w:val="24"/>
                <w:szCs w:val="24"/>
              </w:rPr>
            </w:pPr>
            <w:r w:rsidRPr="00BE10E1">
              <w:rPr>
                <w:b/>
                <w:color w:val="auto"/>
                <w:sz w:val="24"/>
                <w:szCs w:val="24"/>
              </w:rPr>
              <w:lastRenderedPageBreak/>
              <w:t>Recommendation</w:t>
            </w:r>
          </w:p>
        </w:tc>
        <w:tc>
          <w:tcPr>
            <w:tcW w:w="1417" w:type="dxa"/>
          </w:tcPr>
          <w:p w:rsidR="00562BD5" w:rsidRPr="00BE10E1" w:rsidRDefault="00562BD5" w:rsidP="00562BD5">
            <w:pPr>
              <w:pStyle w:val="BodyText"/>
              <w:rPr>
                <w:b/>
                <w:color w:val="auto"/>
                <w:sz w:val="24"/>
                <w:szCs w:val="24"/>
              </w:rPr>
            </w:pPr>
            <w:r w:rsidRPr="00BE10E1">
              <w:rPr>
                <w:b/>
                <w:color w:val="auto"/>
                <w:sz w:val="24"/>
                <w:szCs w:val="24"/>
              </w:rPr>
              <w:t>Response</w:t>
            </w:r>
          </w:p>
        </w:tc>
        <w:tc>
          <w:tcPr>
            <w:tcW w:w="4333" w:type="dxa"/>
          </w:tcPr>
          <w:p w:rsidR="00562BD5" w:rsidRDefault="00562BD5" w:rsidP="00562BD5">
            <w:pPr>
              <w:pStyle w:val="BodyText"/>
              <w:rPr>
                <w:b/>
                <w:color w:val="auto"/>
                <w:sz w:val="24"/>
                <w:szCs w:val="24"/>
              </w:rPr>
            </w:pPr>
            <w:r>
              <w:rPr>
                <w:b/>
                <w:color w:val="auto"/>
                <w:sz w:val="24"/>
                <w:szCs w:val="24"/>
              </w:rPr>
              <w:t>Explanation</w:t>
            </w:r>
          </w:p>
        </w:tc>
        <w:tc>
          <w:tcPr>
            <w:tcW w:w="1696" w:type="dxa"/>
          </w:tcPr>
          <w:p w:rsidR="00562BD5" w:rsidRDefault="00562BD5" w:rsidP="00562BD5">
            <w:pPr>
              <w:pStyle w:val="BodyText"/>
              <w:rPr>
                <w:b/>
                <w:color w:val="auto"/>
                <w:sz w:val="24"/>
                <w:szCs w:val="24"/>
              </w:rPr>
            </w:pPr>
            <w:r>
              <w:rPr>
                <w:b/>
                <w:color w:val="auto"/>
                <w:sz w:val="24"/>
                <w:szCs w:val="24"/>
              </w:rPr>
              <w:t>Action plan</w:t>
            </w:r>
          </w:p>
        </w:tc>
        <w:tc>
          <w:tcPr>
            <w:tcW w:w="1545" w:type="dxa"/>
          </w:tcPr>
          <w:p w:rsidR="00562BD5" w:rsidRDefault="00562BD5" w:rsidP="00562BD5">
            <w:pPr>
              <w:pStyle w:val="BodyText"/>
              <w:rPr>
                <w:b/>
                <w:color w:val="auto"/>
                <w:sz w:val="24"/>
                <w:szCs w:val="24"/>
              </w:rPr>
            </w:pPr>
            <w:r>
              <w:rPr>
                <w:b/>
                <w:color w:val="auto"/>
                <w:sz w:val="24"/>
                <w:szCs w:val="24"/>
              </w:rPr>
              <w:t>Timeframe</w:t>
            </w:r>
          </w:p>
        </w:tc>
      </w:tr>
      <w:tr w:rsidR="00562BD5" w:rsidTr="00452D8A">
        <w:trPr>
          <w:trHeight w:val="3110"/>
        </w:trPr>
        <w:tc>
          <w:tcPr>
            <w:tcW w:w="4957" w:type="dxa"/>
          </w:tcPr>
          <w:p w:rsidR="00562BD5" w:rsidRDefault="00562BD5" w:rsidP="00562BD5">
            <w:pPr>
              <w:pStyle w:val="BodyText"/>
              <w:rPr>
                <w:b/>
                <w:color w:val="auto"/>
                <w:sz w:val="24"/>
                <w:szCs w:val="24"/>
              </w:rPr>
            </w:pPr>
            <w:r w:rsidRPr="00FA41C2">
              <w:rPr>
                <w:b/>
                <w:color w:val="auto"/>
                <w:sz w:val="24"/>
                <w:szCs w:val="24"/>
              </w:rPr>
              <w:t>Recommendation VI:</w:t>
            </w:r>
          </w:p>
          <w:p w:rsidR="00562BD5" w:rsidRPr="00FA41C2" w:rsidRDefault="00562BD5" w:rsidP="00562BD5">
            <w:pPr>
              <w:pStyle w:val="BodyText"/>
              <w:rPr>
                <w:i/>
                <w:color w:val="auto"/>
                <w:sz w:val="24"/>
                <w:szCs w:val="24"/>
              </w:rPr>
            </w:pPr>
            <w:r w:rsidRPr="00FA41C2">
              <w:rPr>
                <w:i/>
                <w:color w:val="auto"/>
                <w:sz w:val="24"/>
                <w:szCs w:val="24"/>
              </w:rPr>
              <w:t xml:space="preserve">Pacific Women’s convening role in countries with national governments, donors, civil society organisation and donor programs should be developed further. Work should be undertaken to ensure that core program lessons are integrated into DFAT Pacific bilateral programs and are positioned to influence the work of other donors in-country. </w:t>
            </w:r>
          </w:p>
          <w:p w:rsidR="00562BD5" w:rsidRDefault="00562BD5" w:rsidP="00562BD5">
            <w:pPr>
              <w:pStyle w:val="BodyText"/>
              <w:rPr>
                <w:b/>
                <w:color w:val="auto"/>
                <w:sz w:val="24"/>
                <w:szCs w:val="24"/>
              </w:rPr>
            </w:pPr>
          </w:p>
        </w:tc>
        <w:tc>
          <w:tcPr>
            <w:tcW w:w="1417" w:type="dxa"/>
          </w:tcPr>
          <w:p w:rsidR="00562BD5" w:rsidRDefault="00562BD5" w:rsidP="00562BD5">
            <w:pPr>
              <w:pStyle w:val="BodyText"/>
              <w:rPr>
                <w:color w:val="auto"/>
                <w:sz w:val="24"/>
                <w:szCs w:val="24"/>
              </w:rPr>
            </w:pPr>
            <w:r w:rsidRPr="007419BF">
              <w:rPr>
                <w:color w:val="auto"/>
                <w:sz w:val="24"/>
                <w:szCs w:val="24"/>
              </w:rPr>
              <w:t>Agree</w:t>
            </w:r>
          </w:p>
        </w:tc>
        <w:tc>
          <w:tcPr>
            <w:tcW w:w="4333" w:type="dxa"/>
          </w:tcPr>
          <w:p w:rsidR="00562BD5" w:rsidRDefault="00562BD5" w:rsidP="00562BD5">
            <w:pPr>
              <w:pStyle w:val="BodyText"/>
              <w:rPr>
                <w:b/>
                <w:color w:val="auto"/>
                <w:sz w:val="24"/>
                <w:szCs w:val="24"/>
              </w:rPr>
            </w:pPr>
          </w:p>
        </w:tc>
        <w:tc>
          <w:tcPr>
            <w:tcW w:w="1696" w:type="dxa"/>
          </w:tcPr>
          <w:p w:rsidR="00562BD5" w:rsidRDefault="00562BD5" w:rsidP="00562BD5">
            <w:pPr>
              <w:pStyle w:val="BodyText"/>
              <w:rPr>
                <w:color w:val="auto"/>
                <w:sz w:val="24"/>
                <w:szCs w:val="24"/>
              </w:rPr>
            </w:pPr>
            <w:r w:rsidRPr="00B604E0">
              <w:rPr>
                <w:color w:val="auto"/>
                <w:sz w:val="24"/>
                <w:szCs w:val="24"/>
              </w:rPr>
              <w:t>To be pursued through the design process</w:t>
            </w:r>
          </w:p>
        </w:tc>
        <w:tc>
          <w:tcPr>
            <w:tcW w:w="1545" w:type="dxa"/>
          </w:tcPr>
          <w:p w:rsidR="00562BD5" w:rsidRDefault="00562BD5" w:rsidP="00562BD5">
            <w:pPr>
              <w:pStyle w:val="BodyText"/>
              <w:rPr>
                <w:color w:val="auto"/>
                <w:sz w:val="24"/>
                <w:szCs w:val="24"/>
              </w:rPr>
            </w:pPr>
            <w:r w:rsidRPr="00F43CF4">
              <w:rPr>
                <w:color w:val="auto"/>
                <w:sz w:val="24"/>
                <w:szCs w:val="24"/>
              </w:rPr>
              <w:t>By February 2021</w:t>
            </w:r>
          </w:p>
        </w:tc>
      </w:tr>
      <w:tr w:rsidR="00562BD5" w:rsidTr="00452D8A">
        <w:tc>
          <w:tcPr>
            <w:tcW w:w="4957" w:type="dxa"/>
          </w:tcPr>
          <w:p w:rsidR="00562BD5" w:rsidRPr="00FA41C2" w:rsidRDefault="00562BD5" w:rsidP="00562BD5">
            <w:pPr>
              <w:pStyle w:val="BodyText"/>
              <w:rPr>
                <w:i/>
                <w:color w:val="auto"/>
                <w:sz w:val="24"/>
                <w:szCs w:val="24"/>
              </w:rPr>
            </w:pPr>
            <w:r w:rsidRPr="00FB47A0">
              <w:rPr>
                <w:b/>
                <w:color w:val="auto"/>
                <w:sz w:val="24"/>
                <w:szCs w:val="24"/>
              </w:rPr>
              <w:t>Recommendation VII:</w:t>
            </w:r>
            <w:r w:rsidRPr="00FA41C2">
              <w:rPr>
                <w:color w:val="auto"/>
                <w:sz w:val="24"/>
                <w:szCs w:val="24"/>
              </w:rPr>
              <w:t xml:space="preserve"> </w:t>
            </w:r>
            <w:r>
              <w:rPr>
                <w:color w:val="auto"/>
                <w:sz w:val="24"/>
                <w:szCs w:val="24"/>
              </w:rPr>
              <w:br/>
            </w:r>
            <w:r w:rsidRPr="00FA41C2">
              <w:rPr>
                <w:i/>
                <w:color w:val="auto"/>
                <w:sz w:val="24"/>
                <w:szCs w:val="24"/>
              </w:rPr>
              <w:t xml:space="preserve">The redevelopment of the modality for future support should give explicit attention to the mutual and different interests and objectives of Australia and other stakeholders. The systems and procedures underpinning any future support should be transparent and well communicated to all stakeholders. </w:t>
            </w:r>
          </w:p>
          <w:p w:rsidR="00562BD5" w:rsidRDefault="00562BD5" w:rsidP="00562BD5">
            <w:pPr>
              <w:pStyle w:val="BodyText"/>
              <w:rPr>
                <w:b/>
                <w:color w:val="auto"/>
                <w:sz w:val="24"/>
                <w:szCs w:val="24"/>
              </w:rPr>
            </w:pPr>
          </w:p>
        </w:tc>
        <w:tc>
          <w:tcPr>
            <w:tcW w:w="1417" w:type="dxa"/>
          </w:tcPr>
          <w:p w:rsidR="00562BD5" w:rsidRPr="00A74A98" w:rsidRDefault="00A74A98" w:rsidP="00562BD5">
            <w:pPr>
              <w:pStyle w:val="BodyText"/>
              <w:rPr>
                <w:color w:val="auto"/>
                <w:sz w:val="24"/>
                <w:szCs w:val="24"/>
              </w:rPr>
            </w:pPr>
            <w:bookmarkStart w:id="0" w:name="_GoBack"/>
            <w:r w:rsidRPr="00A74A98">
              <w:rPr>
                <w:color w:val="auto"/>
                <w:sz w:val="24"/>
                <w:szCs w:val="24"/>
              </w:rPr>
              <w:t>Agree</w:t>
            </w:r>
            <w:bookmarkEnd w:id="0"/>
          </w:p>
        </w:tc>
        <w:tc>
          <w:tcPr>
            <w:tcW w:w="4333" w:type="dxa"/>
          </w:tcPr>
          <w:p w:rsidR="00562BD5" w:rsidRDefault="00562BD5" w:rsidP="00562BD5">
            <w:pPr>
              <w:pStyle w:val="BodyText"/>
              <w:rPr>
                <w:b/>
                <w:color w:val="auto"/>
                <w:sz w:val="24"/>
                <w:szCs w:val="24"/>
              </w:rPr>
            </w:pPr>
          </w:p>
        </w:tc>
        <w:tc>
          <w:tcPr>
            <w:tcW w:w="1696" w:type="dxa"/>
          </w:tcPr>
          <w:p w:rsidR="00562BD5" w:rsidRDefault="00562BD5" w:rsidP="00562BD5">
            <w:pPr>
              <w:pStyle w:val="BodyText"/>
              <w:rPr>
                <w:b/>
                <w:color w:val="auto"/>
                <w:sz w:val="24"/>
                <w:szCs w:val="24"/>
              </w:rPr>
            </w:pPr>
            <w:r w:rsidRPr="00B604E0">
              <w:rPr>
                <w:color w:val="auto"/>
                <w:sz w:val="24"/>
                <w:szCs w:val="24"/>
              </w:rPr>
              <w:t>To be pursued through the design process</w:t>
            </w:r>
          </w:p>
        </w:tc>
        <w:tc>
          <w:tcPr>
            <w:tcW w:w="1545" w:type="dxa"/>
          </w:tcPr>
          <w:p w:rsidR="00562BD5" w:rsidRDefault="00562BD5" w:rsidP="00562BD5">
            <w:pPr>
              <w:pStyle w:val="BodyText"/>
              <w:rPr>
                <w:b/>
                <w:color w:val="auto"/>
                <w:sz w:val="24"/>
                <w:szCs w:val="24"/>
              </w:rPr>
            </w:pPr>
            <w:r w:rsidRPr="00F43CF4">
              <w:rPr>
                <w:color w:val="auto"/>
                <w:sz w:val="24"/>
                <w:szCs w:val="24"/>
              </w:rPr>
              <w:t>By February 2021</w:t>
            </w:r>
          </w:p>
        </w:tc>
      </w:tr>
      <w:tr w:rsidR="00562BD5" w:rsidTr="00452D8A">
        <w:tc>
          <w:tcPr>
            <w:tcW w:w="4957" w:type="dxa"/>
          </w:tcPr>
          <w:p w:rsidR="00562BD5" w:rsidRPr="00FA41C2" w:rsidRDefault="00562BD5" w:rsidP="00562BD5">
            <w:pPr>
              <w:pStyle w:val="BodyText"/>
              <w:rPr>
                <w:i/>
                <w:color w:val="auto"/>
                <w:sz w:val="24"/>
                <w:szCs w:val="24"/>
              </w:rPr>
            </w:pPr>
            <w:r w:rsidRPr="00FB47A0">
              <w:rPr>
                <w:b/>
                <w:color w:val="auto"/>
                <w:sz w:val="24"/>
                <w:szCs w:val="24"/>
              </w:rPr>
              <w:t>Recommendation VIII:</w:t>
            </w:r>
            <w:r w:rsidRPr="00FA41C2">
              <w:rPr>
                <w:color w:val="auto"/>
                <w:sz w:val="24"/>
                <w:szCs w:val="24"/>
              </w:rPr>
              <w:t xml:space="preserve"> </w:t>
            </w:r>
            <w:r>
              <w:rPr>
                <w:color w:val="auto"/>
                <w:sz w:val="24"/>
                <w:szCs w:val="24"/>
              </w:rPr>
              <w:br/>
            </w:r>
            <w:r w:rsidRPr="00FA41C2">
              <w:rPr>
                <w:i/>
                <w:color w:val="auto"/>
                <w:sz w:val="24"/>
                <w:szCs w:val="24"/>
              </w:rPr>
              <w:t>Strengthen the strategic leadership of the program by transitioning program management and oversight from DFAT in Canberra to the Pacific Regional office in Fiji.</w:t>
            </w:r>
          </w:p>
          <w:p w:rsidR="00562BD5" w:rsidRDefault="00562BD5" w:rsidP="00562BD5">
            <w:pPr>
              <w:pStyle w:val="BodyText"/>
              <w:rPr>
                <w:b/>
                <w:color w:val="auto"/>
                <w:sz w:val="24"/>
                <w:szCs w:val="24"/>
              </w:rPr>
            </w:pPr>
          </w:p>
        </w:tc>
        <w:tc>
          <w:tcPr>
            <w:tcW w:w="1417" w:type="dxa"/>
          </w:tcPr>
          <w:p w:rsidR="00562BD5" w:rsidRPr="00B65D2A" w:rsidRDefault="00562BD5" w:rsidP="00562BD5">
            <w:pPr>
              <w:pStyle w:val="BodyText"/>
              <w:rPr>
                <w:color w:val="auto"/>
                <w:sz w:val="24"/>
                <w:szCs w:val="24"/>
              </w:rPr>
            </w:pPr>
            <w:r w:rsidRPr="00B65D2A">
              <w:rPr>
                <w:color w:val="auto"/>
                <w:sz w:val="24"/>
                <w:szCs w:val="24"/>
              </w:rPr>
              <w:t>Agree</w:t>
            </w:r>
          </w:p>
        </w:tc>
        <w:tc>
          <w:tcPr>
            <w:tcW w:w="4333" w:type="dxa"/>
          </w:tcPr>
          <w:p w:rsidR="00562BD5" w:rsidRDefault="00562BD5" w:rsidP="00562BD5">
            <w:pPr>
              <w:pStyle w:val="BodyText"/>
              <w:rPr>
                <w:b/>
                <w:color w:val="auto"/>
                <w:sz w:val="24"/>
                <w:szCs w:val="24"/>
              </w:rPr>
            </w:pPr>
          </w:p>
        </w:tc>
        <w:tc>
          <w:tcPr>
            <w:tcW w:w="1696" w:type="dxa"/>
          </w:tcPr>
          <w:p w:rsidR="00562BD5" w:rsidRPr="00FA41C2" w:rsidRDefault="00562BD5" w:rsidP="00562BD5">
            <w:pPr>
              <w:pStyle w:val="BodyText"/>
              <w:rPr>
                <w:color w:val="auto"/>
                <w:sz w:val="24"/>
                <w:szCs w:val="24"/>
              </w:rPr>
            </w:pPr>
            <w:r w:rsidRPr="00FA41C2">
              <w:rPr>
                <w:color w:val="auto"/>
                <w:sz w:val="24"/>
                <w:szCs w:val="24"/>
              </w:rPr>
              <w:t>This has been completed.</w:t>
            </w:r>
          </w:p>
        </w:tc>
        <w:tc>
          <w:tcPr>
            <w:tcW w:w="1545" w:type="dxa"/>
          </w:tcPr>
          <w:p w:rsidR="00562BD5" w:rsidRDefault="00562BD5" w:rsidP="00562BD5">
            <w:pPr>
              <w:pStyle w:val="BodyText"/>
              <w:rPr>
                <w:b/>
                <w:color w:val="auto"/>
                <w:sz w:val="24"/>
                <w:szCs w:val="24"/>
              </w:rPr>
            </w:pPr>
            <w:r w:rsidRPr="00FA41C2">
              <w:rPr>
                <w:color w:val="auto"/>
                <w:sz w:val="24"/>
                <w:szCs w:val="24"/>
              </w:rPr>
              <w:t>Completed in May 2020.</w:t>
            </w:r>
          </w:p>
        </w:tc>
      </w:tr>
      <w:tr w:rsidR="00BE10E1" w:rsidTr="00562BD5">
        <w:trPr>
          <w:trHeight w:val="490"/>
        </w:trPr>
        <w:tc>
          <w:tcPr>
            <w:tcW w:w="4957" w:type="dxa"/>
          </w:tcPr>
          <w:p w:rsidR="00BE10E1" w:rsidRDefault="00BE10E1" w:rsidP="00BE10E1">
            <w:pPr>
              <w:pStyle w:val="BodyText"/>
              <w:rPr>
                <w:b/>
                <w:color w:val="auto"/>
                <w:sz w:val="24"/>
                <w:szCs w:val="24"/>
              </w:rPr>
            </w:pPr>
            <w:r>
              <w:rPr>
                <w:b/>
                <w:color w:val="auto"/>
                <w:sz w:val="24"/>
                <w:szCs w:val="24"/>
              </w:rPr>
              <w:lastRenderedPageBreak/>
              <w:t>Recommendation</w:t>
            </w:r>
          </w:p>
        </w:tc>
        <w:tc>
          <w:tcPr>
            <w:tcW w:w="1417" w:type="dxa"/>
          </w:tcPr>
          <w:p w:rsidR="00BE10E1" w:rsidRPr="00BE10E1" w:rsidRDefault="00BE10E1" w:rsidP="00BE10E1">
            <w:pPr>
              <w:pStyle w:val="BodyText"/>
              <w:rPr>
                <w:b/>
                <w:color w:val="auto"/>
                <w:sz w:val="24"/>
                <w:szCs w:val="24"/>
              </w:rPr>
            </w:pPr>
            <w:r w:rsidRPr="00BE10E1">
              <w:rPr>
                <w:b/>
                <w:color w:val="auto"/>
                <w:sz w:val="24"/>
                <w:szCs w:val="24"/>
              </w:rPr>
              <w:t>Response</w:t>
            </w:r>
          </w:p>
        </w:tc>
        <w:tc>
          <w:tcPr>
            <w:tcW w:w="4333" w:type="dxa"/>
          </w:tcPr>
          <w:p w:rsidR="00BE10E1" w:rsidRDefault="00BE10E1" w:rsidP="00BE10E1">
            <w:pPr>
              <w:pStyle w:val="BodyText"/>
              <w:rPr>
                <w:b/>
                <w:color w:val="auto"/>
                <w:sz w:val="24"/>
                <w:szCs w:val="24"/>
              </w:rPr>
            </w:pPr>
            <w:r>
              <w:rPr>
                <w:b/>
                <w:color w:val="auto"/>
                <w:sz w:val="24"/>
                <w:szCs w:val="24"/>
              </w:rPr>
              <w:t>Explanation</w:t>
            </w:r>
          </w:p>
        </w:tc>
        <w:tc>
          <w:tcPr>
            <w:tcW w:w="1696" w:type="dxa"/>
          </w:tcPr>
          <w:p w:rsidR="00BE10E1" w:rsidRDefault="00BE10E1" w:rsidP="00BE10E1">
            <w:pPr>
              <w:pStyle w:val="BodyText"/>
              <w:rPr>
                <w:b/>
                <w:color w:val="auto"/>
                <w:sz w:val="24"/>
                <w:szCs w:val="24"/>
              </w:rPr>
            </w:pPr>
            <w:r>
              <w:rPr>
                <w:b/>
                <w:color w:val="auto"/>
                <w:sz w:val="24"/>
                <w:szCs w:val="24"/>
              </w:rPr>
              <w:t>Action plan</w:t>
            </w:r>
          </w:p>
        </w:tc>
        <w:tc>
          <w:tcPr>
            <w:tcW w:w="1545" w:type="dxa"/>
          </w:tcPr>
          <w:p w:rsidR="00BE10E1" w:rsidRDefault="00BE10E1" w:rsidP="00BE10E1">
            <w:pPr>
              <w:pStyle w:val="BodyText"/>
              <w:rPr>
                <w:b/>
                <w:color w:val="auto"/>
                <w:sz w:val="24"/>
                <w:szCs w:val="24"/>
              </w:rPr>
            </w:pPr>
            <w:r>
              <w:rPr>
                <w:b/>
                <w:color w:val="auto"/>
                <w:sz w:val="24"/>
                <w:szCs w:val="24"/>
              </w:rPr>
              <w:t>Timeframe</w:t>
            </w:r>
          </w:p>
        </w:tc>
      </w:tr>
      <w:tr w:rsidR="00BE10E1" w:rsidTr="00452D8A">
        <w:trPr>
          <w:trHeight w:val="2740"/>
        </w:trPr>
        <w:tc>
          <w:tcPr>
            <w:tcW w:w="4957" w:type="dxa"/>
          </w:tcPr>
          <w:p w:rsidR="00BE10E1" w:rsidRDefault="00BE10E1" w:rsidP="00BE10E1">
            <w:pPr>
              <w:pStyle w:val="BodyText"/>
              <w:rPr>
                <w:b/>
                <w:i/>
                <w:color w:val="auto"/>
                <w:sz w:val="24"/>
                <w:szCs w:val="24"/>
              </w:rPr>
            </w:pPr>
            <w:r w:rsidRPr="00B604E0">
              <w:rPr>
                <w:b/>
                <w:i/>
                <w:color w:val="auto"/>
                <w:sz w:val="24"/>
                <w:szCs w:val="24"/>
              </w:rPr>
              <w:t>Recommendation IX:</w:t>
            </w:r>
            <w:r>
              <w:rPr>
                <w:b/>
                <w:i/>
                <w:color w:val="auto"/>
                <w:sz w:val="24"/>
                <w:szCs w:val="24"/>
              </w:rPr>
              <w:br/>
            </w:r>
            <w:r w:rsidRPr="00B604E0">
              <w:rPr>
                <w:i/>
                <w:color w:val="auto"/>
                <w:sz w:val="24"/>
                <w:szCs w:val="24"/>
              </w:rPr>
              <w:t>Capacity building work should be strengthened and extended during the last phase of the program and in any future program support, with a view to better enabling  DFT Posts, Pacific Women partners and government departments to both understand and address the challenges for gender equality and women’s empowerment in the Pacific.</w:t>
            </w:r>
          </w:p>
        </w:tc>
        <w:tc>
          <w:tcPr>
            <w:tcW w:w="1417" w:type="dxa"/>
          </w:tcPr>
          <w:p w:rsidR="00BE10E1" w:rsidRDefault="00BE10E1" w:rsidP="00BE10E1">
            <w:pPr>
              <w:pStyle w:val="BodyText"/>
              <w:rPr>
                <w:color w:val="auto"/>
                <w:sz w:val="24"/>
                <w:szCs w:val="24"/>
              </w:rPr>
            </w:pPr>
            <w:r>
              <w:rPr>
                <w:color w:val="auto"/>
                <w:sz w:val="24"/>
                <w:szCs w:val="24"/>
              </w:rPr>
              <w:t xml:space="preserve">Agree in </w:t>
            </w:r>
            <w:r w:rsidRPr="007419BF">
              <w:rPr>
                <w:color w:val="auto"/>
                <w:sz w:val="24"/>
                <w:szCs w:val="24"/>
              </w:rPr>
              <w:t>part</w:t>
            </w:r>
          </w:p>
        </w:tc>
        <w:tc>
          <w:tcPr>
            <w:tcW w:w="4333" w:type="dxa"/>
          </w:tcPr>
          <w:p w:rsidR="00BE10E1" w:rsidRDefault="00BE10E1" w:rsidP="00BE10E1">
            <w:pPr>
              <w:pStyle w:val="BodyText"/>
              <w:rPr>
                <w:color w:val="auto"/>
                <w:sz w:val="24"/>
                <w:szCs w:val="24"/>
              </w:rPr>
            </w:pPr>
            <w:r w:rsidRPr="00FA41C2">
              <w:rPr>
                <w:color w:val="auto"/>
                <w:sz w:val="24"/>
                <w:szCs w:val="24"/>
              </w:rPr>
              <w:t>This recommendation is being examined through the design process, and may be applied differently to bilateral and regional elements of Australia’s support.</w:t>
            </w:r>
          </w:p>
        </w:tc>
        <w:tc>
          <w:tcPr>
            <w:tcW w:w="1696" w:type="dxa"/>
          </w:tcPr>
          <w:p w:rsidR="00BE10E1" w:rsidRDefault="00BE10E1" w:rsidP="00BE10E1">
            <w:pPr>
              <w:pStyle w:val="BodyText"/>
              <w:rPr>
                <w:color w:val="auto"/>
                <w:sz w:val="24"/>
                <w:szCs w:val="24"/>
              </w:rPr>
            </w:pPr>
            <w:r w:rsidRPr="00B604E0">
              <w:rPr>
                <w:color w:val="auto"/>
                <w:sz w:val="24"/>
                <w:szCs w:val="24"/>
              </w:rPr>
              <w:t>To be pursued through the design process</w:t>
            </w:r>
          </w:p>
        </w:tc>
        <w:tc>
          <w:tcPr>
            <w:tcW w:w="1545" w:type="dxa"/>
          </w:tcPr>
          <w:p w:rsidR="00BE10E1" w:rsidRDefault="00BE10E1" w:rsidP="00BE10E1">
            <w:pPr>
              <w:pStyle w:val="BodyText"/>
              <w:rPr>
                <w:color w:val="auto"/>
                <w:sz w:val="24"/>
                <w:szCs w:val="24"/>
              </w:rPr>
            </w:pPr>
            <w:r w:rsidRPr="00F43CF4">
              <w:rPr>
                <w:color w:val="auto"/>
                <w:sz w:val="24"/>
                <w:szCs w:val="24"/>
              </w:rPr>
              <w:t>By February 2021</w:t>
            </w:r>
          </w:p>
        </w:tc>
      </w:tr>
      <w:tr w:rsidR="00BE10E1" w:rsidTr="00452D8A">
        <w:tc>
          <w:tcPr>
            <w:tcW w:w="4957" w:type="dxa"/>
          </w:tcPr>
          <w:p w:rsidR="00BE10E1" w:rsidRPr="00FA41C2" w:rsidRDefault="00BE10E1" w:rsidP="00BE10E1">
            <w:pPr>
              <w:pStyle w:val="BodyText"/>
              <w:rPr>
                <w:i/>
                <w:color w:val="auto"/>
                <w:sz w:val="24"/>
                <w:szCs w:val="24"/>
              </w:rPr>
            </w:pPr>
            <w:r w:rsidRPr="00FB47A0">
              <w:rPr>
                <w:b/>
                <w:color w:val="auto"/>
                <w:sz w:val="24"/>
                <w:szCs w:val="24"/>
              </w:rPr>
              <w:t>Recommendation X:</w:t>
            </w:r>
            <w:r w:rsidRPr="00FA41C2">
              <w:rPr>
                <w:color w:val="auto"/>
                <w:sz w:val="24"/>
                <w:szCs w:val="24"/>
              </w:rPr>
              <w:t xml:space="preserve"> </w:t>
            </w:r>
            <w:r>
              <w:rPr>
                <w:color w:val="auto"/>
                <w:sz w:val="24"/>
                <w:szCs w:val="24"/>
              </w:rPr>
              <w:br/>
            </w:r>
            <w:r w:rsidRPr="00FA41C2">
              <w:rPr>
                <w:i/>
                <w:color w:val="auto"/>
                <w:sz w:val="24"/>
                <w:szCs w:val="24"/>
              </w:rPr>
              <w:t xml:space="preserve">The Pacific Women Advisory Board and leaders of Pacific women’s organisations including faith-based organisations, should provide strategic oversight for the proposed redesign process. </w:t>
            </w:r>
          </w:p>
          <w:p w:rsidR="00BE10E1" w:rsidRPr="00FA41C2" w:rsidRDefault="00BE10E1" w:rsidP="00BE10E1">
            <w:pPr>
              <w:pStyle w:val="BodyText"/>
              <w:rPr>
                <w:i/>
                <w:color w:val="auto"/>
                <w:sz w:val="24"/>
                <w:szCs w:val="24"/>
              </w:rPr>
            </w:pPr>
            <w:r w:rsidRPr="00FA41C2">
              <w:rPr>
                <w:i/>
                <w:color w:val="auto"/>
                <w:sz w:val="24"/>
                <w:szCs w:val="24"/>
              </w:rPr>
              <w:t>The roles for these leaders within any future program of support should be explicitly identified in the new design.</w:t>
            </w:r>
          </w:p>
          <w:p w:rsidR="00BE10E1" w:rsidRPr="00FA41C2" w:rsidRDefault="00BE10E1" w:rsidP="00BE10E1">
            <w:pPr>
              <w:pStyle w:val="BodyText"/>
              <w:rPr>
                <w:i/>
                <w:color w:val="auto"/>
                <w:sz w:val="24"/>
                <w:szCs w:val="24"/>
              </w:rPr>
            </w:pPr>
            <w:r w:rsidRPr="00FA41C2">
              <w:rPr>
                <w:i/>
                <w:color w:val="auto"/>
                <w:sz w:val="24"/>
                <w:szCs w:val="24"/>
              </w:rPr>
              <w:t>In line with further development of the current capacity building strategy, future programming should continue to focus on building the capacity of Pacific women leaders at multiple levels, in government, community and the private sector.</w:t>
            </w:r>
          </w:p>
          <w:p w:rsidR="00BE10E1" w:rsidRDefault="00BE10E1" w:rsidP="00BE10E1">
            <w:pPr>
              <w:pStyle w:val="BodyText"/>
              <w:rPr>
                <w:b/>
                <w:color w:val="auto"/>
                <w:sz w:val="24"/>
                <w:szCs w:val="24"/>
              </w:rPr>
            </w:pPr>
          </w:p>
        </w:tc>
        <w:tc>
          <w:tcPr>
            <w:tcW w:w="1417" w:type="dxa"/>
          </w:tcPr>
          <w:p w:rsidR="00BE10E1" w:rsidRPr="00B45E5C" w:rsidRDefault="00BE10E1" w:rsidP="00BE10E1">
            <w:pPr>
              <w:pStyle w:val="BodyText"/>
              <w:rPr>
                <w:color w:val="auto"/>
                <w:sz w:val="24"/>
                <w:szCs w:val="24"/>
              </w:rPr>
            </w:pPr>
            <w:r w:rsidRPr="00B45E5C">
              <w:rPr>
                <w:color w:val="auto"/>
                <w:sz w:val="24"/>
                <w:szCs w:val="24"/>
              </w:rPr>
              <w:t>Agree in part</w:t>
            </w:r>
          </w:p>
        </w:tc>
        <w:tc>
          <w:tcPr>
            <w:tcW w:w="4333" w:type="dxa"/>
          </w:tcPr>
          <w:p w:rsidR="00BE10E1" w:rsidRDefault="00BE10E1" w:rsidP="00BE10E1">
            <w:pPr>
              <w:pStyle w:val="BodyText"/>
              <w:rPr>
                <w:b/>
                <w:color w:val="auto"/>
                <w:sz w:val="24"/>
                <w:szCs w:val="24"/>
              </w:rPr>
            </w:pPr>
            <w:r w:rsidRPr="00FA41C2">
              <w:rPr>
                <w:color w:val="auto"/>
                <w:sz w:val="24"/>
                <w:szCs w:val="24"/>
              </w:rPr>
              <w:t>Agree that the role for an Advisory Board and Pacific leaders should be identified in the new design.  The Pacific Women Advisory Board is providing strategic advice throughout the design.  Programming to build the capacity of Pacific women leaders will be considered through the design process.</w:t>
            </w:r>
          </w:p>
        </w:tc>
        <w:tc>
          <w:tcPr>
            <w:tcW w:w="1696" w:type="dxa"/>
          </w:tcPr>
          <w:p w:rsidR="00BE10E1" w:rsidRDefault="00BE10E1" w:rsidP="00BE10E1">
            <w:pPr>
              <w:pStyle w:val="BodyText"/>
              <w:rPr>
                <w:b/>
                <w:color w:val="auto"/>
                <w:sz w:val="24"/>
                <w:szCs w:val="24"/>
              </w:rPr>
            </w:pPr>
            <w:r w:rsidRPr="00B604E0">
              <w:rPr>
                <w:color w:val="auto"/>
                <w:sz w:val="24"/>
                <w:szCs w:val="24"/>
              </w:rPr>
              <w:t>To be pursued through the design process</w:t>
            </w:r>
          </w:p>
        </w:tc>
        <w:tc>
          <w:tcPr>
            <w:tcW w:w="1545" w:type="dxa"/>
          </w:tcPr>
          <w:p w:rsidR="00BE10E1" w:rsidRPr="00F43CF4" w:rsidRDefault="00BE10E1" w:rsidP="00BE10E1">
            <w:pPr>
              <w:pStyle w:val="BodyText"/>
              <w:rPr>
                <w:color w:val="auto"/>
                <w:sz w:val="24"/>
                <w:szCs w:val="24"/>
              </w:rPr>
            </w:pPr>
            <w:r w:rsidRPr="00F43CF4">
              <w:rPr>
                <w:color w:val="auto"/>
                <w:sz w:val="24"/>
                <w:szCs w:val="24"/>
              </w:rPr>
              <w:t>By February 2021</w:t>
            </w:r>
          </w:p>
        </w:tc>
      </w:tr>
    </w:tbl>
    <w:p w:rsidR="00157FC4" w:rsidRDefault="00157FC4" w:rsidP="00B04BB1"/>
    <w:sectPr w:rsidR="00157FC4" w:rsidSect="00A41A5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26D" w:rsidRDefault="0062726D" w:rsidP="0062726D">
      <w:pPr>
        <w:spacing w:before="0" w:after="0" w:line="240" w:lineRule="auto"/>
      </w:pPr>
      <w:r>
        <w:separator/>
      </w:r>
    </w:p>
  </w:endnote>
  <w:endnote w:type="continuationSeparator" w:id="0">
    <w:p w:rsidR="0062726D" w:rsidRDefault="0062726D" w:rsidP="006272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26D" w:rsidRDefault="0062726D" w:rsidP="0062726D">
      <w:pPr>
        <w:spacing w:before="0" w:after="0" w:line="240" w:lineRule="auto"/>
      </w:pPr>
      <w:r>
        <w:separator/>
      </w:r>
    </w:p>
  </w:footnote>
  <w:footnote w:type="continuationSeparator" w:id="0">
    <w:p w:rsidR="0062726D" w:rsidRDefault="0062726D" w:rsidP="0062726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B1"/>
    <w:rsid w:val="00157FC4"/>
    <w:rsid w:val="00223505"/>
    <w:rsid w:val="00251144"/>
    <w:rsid w:val="00447681"/>
    <w:rsid w:val="00452D8A"/>
    <w:rsid w:val="00562BD5"/>
    <w:rsid w:val="005751CB"/>
    <w:rsid w:val="005815C5"/>
    <w:rsid w:val="005D7F2D"/>
    <w:rsid w:val="0062726D"/>
    <w:rsid w:val="007419BF"/>
    <w:rsid w:val="008D5133"/>
    <w:rsid w:val="008E2C73"/>
    <w:rsid w:val="009C603A"/>
    <w:rsid w:val="009C67D9"/>
    <w:rsid w:val="00A41A52"/>
    <w:rsid w:val="00A74A98"/>
    <w:rsid w:val="00AE7F91"/>
    <w:rsid w:val="00B04BB1"/>
    <w:rsid w:val="00B45E5C"/>
    <w:rsid w:val="00B47BDF"/>
    <w:rsid w:val="00B604E0"/>
    <w:rsid w:val="00B65D2A"/>
    <w:rsid w:val="00BB501D"/>
    <w:rsid w:val="00BE10E1"/>
    <w:rsid w:val="00C14758"/>
    <w:rsid w:val="00C34E6E"/>
    <w:rsid w:val="00CE12BA"/>
    <w:rsid w:val="00D86AC7"/>
    <w:rsid w:val="00E07B29"/>
    <w:rsid w:val="00F43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9D0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BB1"/>
    <w:pPr>
      <w:suppressAutoHyphens/>
      <w:spacing w:before="120" w:after="60" w:line="260" w:lineRule="atLeast"/>
    </w:pPr>
    <w:rPr>
      <w:color w:val="44546A" w:themeColor="text2"/>
      <w:lang w:val="en-GB"/>
    </w:rPr>
  </w:style>
  <w:style w:type="paragraph" w:styleId="Heading1">
    <w:name w:val="heading 1"/>
    <w:basedOn w:val="Heading3"/>
    <w:next w:val="Normal"/>
    <w:link w:val="Heading1Char"/>
    <w:uiPriority w:val="9"/>
    <w:qFormat/>
    <w:rsid w:val="008D5133"/>
    <w:pPr>
      <w:outlineLvl w:val="0"/>
    </w:pPr>
    <w:rPr>
      <w:b w:val="0"/>
      <w:color w:val="auto"/>
    </w:rPr>
  </w:style>
  <w:style w:type="paragraph" w:styleId="Heading2">
    <w:name w:val="heading 2"/>
    <w:basedOn w:val="Normal"/>
    <w:next w:val="Normal"/>
    <w:link w:val="Heading2Char"/>
    <w:uiPriority w:val="9"/>
    <w:unhideWhenUsed/>
    <w:qFormat/>
    <w:rsid w:val="008D5133"/>
    <w:pPr>
      <w:keepNext/>
      <w:keepLines/>
      <w:spacing w:before="480" w:after="120" w:line="360" w:lineRule="atLeast"/>
      <w:contextualSpacing/>
      <w:outlineLvl w:val="1"/>
    </w:pPr>
    <w:rPr>
      <w:rFonts w:asciiTheme="majorHAnsi" w:eastAsiaTheme="majorEastAsia" w:hAnsiTheme="majorHAnsi" w:cstheme="majorBidi"/>
      <w:b/>
      <w:bCs/>
      <w:color w:val="auto"/>
      <w:sz w:val="30"/>
      <w:szCs w:val="26"/>
      <w:lang w:val="en-AU"/>
    </w:rPr>
  </w:style>
  <w:style w:type="paragraph" w:styleId="Heading3">
    <w:name w:val="heading 3"/>
    <w:basedOn w:val="Heading2"/>
    <w:next w:val="Normal"/>
    <w:link w:val="Heading3Char"/>
    <w:unhideWhenUsed/>
    <w:qFormat/>
    <w:rsid w:val="00B04BB1"/>
    <w:pPr>
      <w:outlineLvl w:val="2"/>
    </w:pPr>
    <w:rPr>
      <w:bCs w:val="0"/>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04BB1"/>
    <w:rPr>
      <w:rFonts w:asciiTheme="majorHAnsi" w:eastAsiaTheme="majorEastAsia" w:hAnsiTheme="majorHAnsi" w:cstheme="majorBidi"/>
      <w:bCs/>
      <w:color w:val="44546A" w:themeColor="text2"/>
      <w:sz w:val="30"/>
      <w:szCs w:val="26"/>
    </w:rPr>
  </w:style>
  <w:style w:type="character" w:styleId="Hyperlink">
    <w:name w:val="Hyperlink"/>
    <w:basedOn w:val="DefaultParagraphFont"/>
    <w:uiPriority w:val="99"/>
    <w:rsid w:val="00B04BB1"/>
    <w:rPr>
      <w:rFonts w:asciiTheme="minorHAnsi" w:hAnsiTheme="minorHAnsi" w:cs="MuseoSans-500"/>
      <w:color w:val="44546A" w:themeColor="text2"/>
      <w:u w:val="single" w:color="44546A" w:themeColor="text2"/>
    </w:rPr>
  </w:style>
  <w:style w:type="paragraph" w:customStyle="1" w:styleId="PacificWomenstyle-body">
    <w:name w:val="Pacific Women style - body"/>
    <w:basedOn w:val="Normal"/>
    <w:link w:val="PacificWomenstyle-bodyChar"/>
    <w:autoRedefine/>
    <w:qFormat/>
    <w:rsid w:val="00B04BB1"/>
    <w:pPr>
      <w:suppressAutoHyphens w:val="0"/>
      <w:spacing w:after="120" w:line="240" w:lineRule="atLeast"/>
    </w:pPr>
    <w:rPr>
      <w:rFonts w:ascii="Arial" w:eastAsia="Calibri" w:hAnsi="Arial" w:cs="Calibri"/>
      <w:color w:val="auto"/>
      <w:sz w:val="20"/>
      <w:szCs w:val="20"/>
      <w:lang w:val="en-AU" w:eastAsia="en-AU"/>
    </w:rPr>
  </w:style>
  <w:style w:type="character" w:customStyle="1" w:styleId="PacificWomenstyle-bodyChar">
    <w:name w:val="Pacific Women style - body Char"/>
    <w:basedOn w:val="DefaultParagraphFont"/>
    <w:link w:val="PacificWomenstyle-body"/>
    <w:rsid w:val="00B04BB1"/>
    <w:rPr>
      <w:rFonts w:ascii="Arial" w:eastAsia="Calibri" w:hAnsi="Arial" w:cs="Calibri"/>
      <w:sz w:val="20"/>
      <w:szCs w:val="20"/>
      <w:lang w:eastAsia="en-AU"/>
    </w:rPr>
  </w:style>
  <w:style w:type="character" w:customStyle="1" w:styleId="Heading2Char">
    <w:name w:val="Heading 2 Char"/>
    <w:basedOn w:val="DefaultParagraphFont"/>
    <w:link w:val="Heading2"/>
    <w:uiPriority w:val="9"/>
    <w:rsid w:val="008D5133"/>
    <w:rPr>
      <w:rFonts w:asciiTheme="majorHAnsi" w:eastAsiaTheme="majorEastAsia" w:hAnsiTheme="majorHAnsi" w:cstheme="majorBidi"/>
      <w:b/>
      <w:bCs/>
      <w:sz w:val="30"/>
      <w:szCs w:val="26"/>
    </w:rPr>
  </w:style>
  <w:style w:type="paragraph" w:customStyle="1" w:styleId="TableHeaderRow">
    <w:name w:val="Table Header Row"/>
    <w:basedOn w:val="Normal"/>
    <w:qFormat/>
    <w:rsid w:val="00A41A52"/>
    <w:pPr>
      <w:spacing w:before="60"/>
    </w:pPr>
    <w:rPr>
      <w:rFonts w:ascii="Calibri" w:hAnsi="Calibri"/>
      <w:b/>
      <w:color w:val="FFFFFF" w:themeColor="background1"/>
      <w:szCs w:val="21"/>
    </w:rPr>
  </w:style>
  <w:style w:type="table" w:customStyle="1" w:styleId="DFATTable1">
    <w:name w:val="DFAT Table 1"/>
    <w:basedOn w:val="TableNormal"/>
    <w:uiPriority w:val="99"/>
    <w:rsid w:val="00A41A5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A41A52"/>
  </w:style>
  <w:style w:type="character" w:customStyle="1" w:styleId="BodyTextChar">
    <w:name w:val="Body Text Char"/>
    <w:basedOn w:val="DefaultParagraphFont"/>
    <w:link w:val="BodyText"/>
    <w:uiPriority w:val="99"/>
    <w:rsid w:val="00A41A52"/>
    <w:rPr>
      <w:color w:val="44546A" w:themeColor="text2"/>
      <w:lang w:val="en-GB"/>
    </w:rPr>
  </w:style>
  <w:style w:type="table" w:styleId="TableGrid">
    <w:name w:val="Table Grid"/>
    <w:basedOn w:val="TableNormal"/>
    <w:uiPriority w:val="39"/>
    <w:rsid w:val="00A4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5133"/>
    <w:rPr>
      <w:rFonts w:asciiTheme="majorHAnsi" w:eastAsiaTheme="majorEastAsia" w:hAnsiTheme="majorHAnsi" w:cstheme="majorBidi"/>
      <w:b/>
      <w:bCs/>
      <w:sz w:val="30"/>
      <w:szCs w:val="26"/>
    </w:rPr>
  </w:style>
  <w:style w:type="paragraph" w:styleId="Header">
    <w:name w:val="header"/>
    <w:basedOn w:val="Normal"/>
    <w:link w:val="HeaderChar"/>
    <w:uiPriority w:val="99"/>
    <w:unhideWhenUsed/>
    <w:rsid w:val="006272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2726D"/>
    <w:rPr>
      <w:color w:val="44546A" w:themeColor="text2"/>
      <w:lang w:val="en-GB"/>
    </w:rPr>
  </w:style>
  <w:style w:type="paragraph" w:styleId="Footer">
    <w:name w:val="footer"/>
    <w:basedOn w:val="Normal"/>
    <w:link w:val="FooterChar"/>
    <w:uiPriority w:val="99"/>
    <w:unhideWhenUsed/>
    <w:rsid w:val="006272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2726D"/>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fat.gov.au/publications/aid/partnerships-recovery-australias-covid-19-development-respons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Six Year Evaluation of Pacific Women Shaping Pacific Development - Management Response</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Year Evaluation of Pacific Women Shaping Pacific Development - Management Response</dc:title>
  <dc:subject/>
  <dc:creator/>
  <cp:keywords/>
  <dc:description/>
  <cp:lastModifiedBy/>
  <cp:revision>1</cp:revision>
  <dcterms:created xsi:type="dcterms:W3CDTF">2020-11-19T00:53:00Z</dcterms:created>
  <dcterms:modified xsi:type="dcterms:W3CDTF">2020-11-19T01:09:00Z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5d909e1e-8313-4c66-b958-1fc490941b16</vt:lpwstr>
  </property>
  <property fmtid="{D5CDD505-2E9C-101B-9397-08002B2CF9AE}" pid="3" name="SEC">
    <vt:lpwstr>OFFICIAL</vt:lpwstr>
  </property>
</Properties>
</file>