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3CF9" w14:textId="2BB91B57" w:rsidR="006453D6" w:rsidRPr="00431622" w:rsidRDefault="002D371A" w:rsidP="007B4BCA">
      <w:pPr>
        <w:pStyle w:val="Heading1"/>
        <w:jc w:val="both"/>
        <w:rPr>
          <w:b/>
          <w:bCs/>
          <w:sz w:val="24"/>
          <w:szCs w:val="24"/>
        </w:rPr>
      </w:pPr>
      <w:r w:rsidRPr="00431622">
        <w:rPr>
          <w:b/>
          <w:bCs/>
          <w:sz w:val="24"/>
          <w:szCs w:val="24"/>
        </w:rPr>
        <w:t xml:space="preserve">Final </w:t>
      </w:r>
      <w:r w:rsidR="0060798B" w:rsidRPr="00431622">
        <w:rPr>
          <w:b/>
          <w:bCs/>
          <w:sz w:val="24"/>
          <w:szCs w:val="24"/>
        </w:rPr>
        <w:t xml:space="preserve">Independent </w:t>
      </w:r>
      <w:r w:rsidRPr="00431622">
        <w:rPr>
          <w:b/>
          <w:bCs/>
          <w:sz w:val="24"/>
          <w:szCs w:val="24"/>
        </w:rPr>
        <w:t xml:space="preserve">Evaluation of the Pacific Fiscal Budget Support Package 2020-2023 </w:t>
      </w:r>
    </w:p>
    <w:p w14:paraId="7D0EDD35" w14:textId="77777777" w:rsidR="006453D6" w:rsidRDefault="006453D6" w:rsidP="007B4BCA">
      <w:pPr>
        <w:spacing w:after="0" w:line="240" w:lineRule="auto"/>
        <w:jc w:val="both"/>
        <w:rPr>
          <w:sz w:val="24"/>
          <w:szCs w:val="24"/>
        </w:rPr>
      </w:pPr>
    </w:p>
    <w:p w14:paraId="7D31E38D" w14:textId="2EB4E354" w:rsidR="00285C22" w:rsidRPr="00431622" w:rsidRDefault="006453D6" w:rsidP="007B4BCA">
      <w:pPr>
        <w:spacing w:after="0" w:line="240" w:lineRule="auto"/>
        <w:jc w:val="both"/>
        <w:rPr>
          <w:sz w:val="24"/>
          <w:szCs w:val="24"/>
        </w:rPr>
      </w:pPr>
      <w:r w:rsidRPr="00431622">
        <w:rPr>
          <w:sz w:val="24"/>
          <w:szCs w:val="24"/>
        </w:rPr>
        <w:t xml:space="preserve">The Department of Foreign Affairs and </w:t>
      </w:r>
      <w:r w:rsidR="0060798B" w:rsidRPr="00431622">
        <w:rPr>
          <w:sz w:val="24"/>
          <w:szCs w:val="24"/>
        </w:rPr>
        <w:t>T</w:t>
      </w:r>
      <w:r w:rsidRPr="00431622">
        <w:rPr>
          <w:sz w:val="24"/>
          <w:szCs w:val="24"/>
        </w:rPr>
        <w:t>rade</w:t>
      </w:r>
      <w:r w:rsidR="0060798B" w:rsidRPr="00431622">
        <w:rPr>
          <w:sz w:val="24"/>
          <w:szCs w:val="24"/>
        </w:rPr>
        <w:t xml:space="preserve"> (DFAT)</w:t>
      </w:r>
      <w:r w:rsidRPr="00431622">
        <w:rPr>
          <w:sz w:val="24"/>
          <w:szCs w:val="24"/>
        </w:rPr>
        <w:t xml:space="preserve"> thanks</w:t>
      </w:r>
      <w:r w:rsidR="00EF51DC" w:rsidRPr="00431622">
        <w:rPr>
          <w:sz w:val="24"/>
          <w:szCs w:val="24"/>
        </w:rPr>
        <w:t xml:space="preserve"> </w:t>
      </w:r>
      <w:r w:rsidRPr="00431622">
        <w:rPr>
          <w:sz w:val="24"/>
          <w:szCs w:val="24"/>
        </w:rPr>
        <w:t>the Pacific COVID-19 Fiscal Budget Support (FBS) package</w:t>
      </w:r>
      <w:r w:rsidR="00EF51DC" w:rsidRPr="00431622">
        <w:rPr>
          <w:sz w:val="24"/>
          <w:szCs w:val="24"/>
        </w:rPr>
        <w:t xml:space="preserve"> independent evaluation team</w:t>
      </w:r>
      <w:r w:rsidRPr="00431622">
        <w:rPr>
          <w:sz w:val="24"/>
          <w:szCs w:val="24"/>
        </w:rPr>
        <w:t>.</w:t>
      </w:r>
      <w:r w:rsidR="00EF51DC" w:rsidRPr="00431622">
        <w:rPr>
          <w:sz w:val="24"/>
          <w:szCs w:val="24"/>
        </w:rPr>
        <w:t xml:space="preserve"> </w:t>
      </w:r>
      <w:r w:rsidRPr="00431622">
        <w:rPr>
          <w:sz w:val="24"/>
          <w:szCs w:val="24"/>
        </w:rPr>
        <w:t>Th</w:t>
      </w:r>
      <w:r w:rsidR="00285C22" w:rsidRPr="00431622">
        <w:rPr>
          <w:sz w:val="24"/>
          <w:szCs w:val="24"/>
        </w:rPr>
        <w:t>e independent</w:t>
      </w:r>
      <w:r w:rsidRPr="00431622">
        <w:rPr>
          <w:sz w:val="24"/>
          <w:szCs w:val="24"/>
        </w:rPr>
        <w:t xml:space="preserve"> evaluation was commissioned by DFAT in mid-2023 </w:t>
      </w:r>
      <w:r w:rsidR="00285C22" w:rsidRPr="00431622">
        <w:rPr>
          <w:sz w:val="24"/>
          <w:szCs w:val="24"/>
        </w:rPr>
        <w:t xml:space="preserve">and authored by Equity Economics. The evaluation assessed the </w:t>
      </w:r>
      <w:r w:rsidRPr="00431622">
        <w:rPr>
          <w:sz w:val="24"/>
          <w:szCs w:val="24"/>
        </w:rPr>
        <w:t>effectiveness, efficiency, sustainability, gender equality and disability inclusion of the FBS</w:t>
      </w:r>
      <w:r w:rsidR="00F75836" w:rsidRPr="00431622">
        <w:rPr>
          <w:sz w:val="24"/>
          <w:szCs w:val="24"/>
        </w:rPr>
        <w:t xml:space="preserve"> across</w:t>
      </w:r>
      <w:r w:rsidR="00285C22" w:rsidRPr="00431622">
        <w:rPr>
          <w:sz w:val="24"/>
          <w:szCs w:val="24"/>
        </w:rPr>
        <w:t xml:space="preserve"> 12 countries: Fiji, Papua New Guinea (PNG), Tonga, Samoa, Solomon Islands, Vanuatu, Kiribati, Federated States of Micronesia (FSM), Republic of the Marshall Islands (RMI), Nauru, </w:t>
      </w:r>
      <w:proofErr w:type="gramStart"/>
      <w:r w:rsidR="00285C22" w:rsidRPr="00431622">
        <w:rPr>
          <w:sz w:val="24"/>
          <w:szCs w:val="24"/>
        </w:rPr>
        <w:t>Tuvalu</w:t>
      </w:r>
      <w:proofErr w:type="gramEnd"/>
      <w:r w:rsidR="00285C22" w:rsidRPr="00431622">
        <w:rPr>
          <w:sz w:val="24"/>
          <w:szCs w:val="24"/>
        </w:rPr>
        <w:t xml:space="preserve"> and Timor-Leste. </w:t>
      </w:r>
    </w:p>
    <w:p w14:paraId="62C00BFB" w14:textId="77777777" w:rsidR="00285C22" w:rsidRPr="00431622" w:rsidRDefault="00285C22" w:rsidP="007B4BCA">
      <w:pPr>
        <w:spacing w:after="0" w:line="240" w:lineRule="auto"/>
        <w:jc w:val="both"/>
        <w:rPr>
          <w:sz w:val="24"/>
          <w:szCs w:val="24"/>
        </w:rPr>
      </w:pPr>
    </w:p>
    <w:p w14:paraId="48CA054F" w14:textId="38AC11F5" w:rsidR="00285C22" w:rsidRPr="00431622" w:rsidRDefault="00285C22" w:rsidP="007B4BCA">
      <w:pPr>
        <w:jc w:val="both"/>
        <w:rPr>
          <w:sz w:val="24"/>
          <w:szCs w:val="24"/>
        </w:rPr>
      </w:pPr>
      <w:proofErr w:type="gramStart"/>
      <w:r w:rsidRPr="00431622">
        <w:rPr>
          <w:sz w:val="24"/>
          <w:szCs w:val="24"/>
        </w:rPr>
        <w:t>Overall</w:t>
      </w:r>
      <w:proofErr w:type="gramEnd"/>
      <w:r w:rsidRPr="00431622">
        <w:rPr>
          <w:sz w:val="24"/>
          <w:szCs w:val="24"/>
        </w:rPr>
        <w:t xml:space="preserve"> the evaluation assessed FBS as effective, efficient and sustainable. Gender equality objectives were assessed as ‘adequate’ and disability equity objectives were assessed as ‘less than adequate’. </w:t>
      </w:r>
      <w:r w:rsidR="00F75836" w:rsidRPr="00431622">
        <w:rPr>
          <w:sz w:val="24"/>
          <w:szCs w:val="24"/>
        </w:rPr>
        <w:t>The evaluation found that the FBS made efficient use of time and resources</w:t>
      </w:r>
      <w:r w:rsidR="00EF51DC" w:rsidRPr="00431622">
        <w:rPr>
          <w:sz w:val="24"/>
          <w:szCs w:val="24"/>
        </w:rPr>
        <w:t>. It also concluded</w:t>
      </w:r>
      <w:r w:rsidRPr="00431622">
        <w:rPr>
          <w:rFonts w:ascii="Open Sans Light" w:eastAsia="Open Sans Light" w:hAnsi="Open Sans Light" w:cs="Open Sans Light"/>
          <w:b/>
          <w:bCs/>
        </w:rPr>
        <w:t xml:space="preserve">: </w:t>
      </w:r>
    </w:p>
    <w:p w14:paraId="093A76FA" w14:textId="53615D48" w:rsidR="00285C22" w:rsidRPr="00431622" w:rsidRDefault="00EF51DC" w:rsidP="007B4BCA">
      <w:pPr>
        <w:pStyle w:val="COREBodyCopyGeneral"/>
        <w:ind w:left="720"/>
        <w:jc w:val="both"/>
        <w:rPr>
          <w:i/>
          <w:iCs/>
          <w:color w:val="auto"/>
          <w:sz w:val="24"/>
          <w:szCs w:val="24"/>
        </w:rPr>
      </w:pPr>
      <w:r w:rsidRPr="00431622">
        <w:rPr>
          <w:i/>
          <w:iCs/>
          <w:color w:val="auto"/>
          <w:sz w:val="24"/>
          <w:szCs w:val="24"/>
        </w:rPr>
        <w:t>FBS c</w:t>
      </w:r>
      <w:r w:rsidR="00285C22" w:rsidRPr="00431622">
        <w:rPr>
          <w:i/>
          <w:iCs/>
          <w:color w:val="auto"/>
          <w:sz w:val="24"/>
          <w:szCs w:val="24"/>
        </w:rPr>
        <w:t>ontributed to stability by injecting budget support at a critical time for maintaining economic confidence and financial stability across the Pacific region. In some instances, significant economic and social reforms were achieved. The FBS opened opportunities for policy dialogue, particularly where there were existing bilateral reform agendas or when Australia had existing mechanisms to build upon.</w:t>
      </w:r>
    </w:p>
    <w:p w14:paraId="10B4BD6E" w14:textId="77777777" w:rsidR="00F75836" w:rsidRPr="00431622" w:rsidRDefault="00F75836" w:rsidP="007B4BCA">
      <w:pPr>
        <w:spacing w:after="0" w:line="240" w:lineRule="auto"/>
        <w:jc w:val="both"/>
        <w:rPr>
          <w:sz w:val="24"/>
          <w:szCs w:val="24"/>
        </w:rPr>
      </w:pPr>
    </w:p>
    <w:p w14:paraId="67AF59BC" w14:textId="042418E8" w:rsidR="00EF51DC" w:rsidRPr="00431622" w:rsidRDefault="00F75836" w:rsidP="007B4BCA">
      <w:pPr>
        <w:jc w:val="both"/>
        <w:rPr>
          <w:sz w:val="24"/>
          <w:szCs w:val="24"/>
        </w:rPr>
      </w:pPr>
      <w:r w:rsidRPr="00431622">
        <w:rPr>
          <w:sz w:val="24"/>
          <w:szCs w:val="24"/>
        </w:rPr>
        <w:t xml:space="preserve">DFAT accepts the </w:t>
      </w:r>
      <w:r w:rsidR="00EF51DC" w:rsidRPr="00431622">
        <w:rPr>
          <w:sz w:val="24"/>
          <w:szCs w:val="24"/>
        </w:rPr>
        <w:t>e</w:t>
      </w:r>
      <w:r w:rsidRPr="00431622">
        <w:rPr>
          <w:sz w:val="24"/>
          <w:szCs w:val="24"/>
        </w:rPr>
        <w:t xml:space="preserve">valuation findings and agrees with </w:t>
      </w:r>
      <w:proofErr w:type="gramStart"/>
      <w:r w:rsidRPr="00431622">
        <w:rPr>
          <w:sz w:val="24"/>
          <w:szCs w:val="24"/>
        </w:rPr>
        <w:t>the majority of</w:t>
      </w:r>
      <w:proofErr w:type="gramEnd"/>
      <w:r w:rsidRPr="00431622">
        <w:rPr>
          <w:sz w:val="24"/>
          <w:szCs w:val="24"/>
        </w:rPr>
        <w:t xml:space="preserve"> recommendations. </w:t>
      </w:r>
      <w:r w:rsidR="0060798B" w:rsidRPr="00431622">
        <w:rPr>
          <w:sz w:val="24"/>
          <w:szCs w:val="24"/>
        </w:rPr>
        <w:t xml:space="preserve"> </w:t>
      </w:r>
      <w:r w:rsidRPr="00431622">
        <w:rPr>
          <w:sz w:val="24"/>
          <w:szCs w:val="24"/>
        </w:rPr>
        <w:t xml:space="preserve">Several of the findings and recommendations are consistent with the 2022 </w:t>
      </w:r>
      <w:r w:rsidR="00431622" w:rsidRPr="00431622">
        <w:rPr>
          <w:sz w:val="24"/>
          <w:szCs w:val="24"/>
        </w:rPr>
        <w:t>m</w:t>
      </w:r>
      <w:r w:rsidRPr="00431622">
        <w:rPr>
          <w:sz w:val="24"/>
          <w:szCs w:val="24"/>
        </w:rPr>
        <w:t>id-term review</w:t>
      </w:r>
      <w:r w:rsidR="0060798B" w:rsidRPr="00431622">
        <w:rPr>
          <w:sz w:val="24"/>
          <w:szCs w:val="24"/>
        </w:rPr>
        <w:t xml:space="preserve"> which were</w:t>
      </w:r>
      <w:r w:rsidR="00EF51DC" w:rsidRPr="00431622">
        <w:rPr>
          <w:sz w:val="24"/>
          <w:szCs w:val="24"/>
        </w:rPr>
        <w:t xml:space="preserve"> partially</w:t>
      </w:r>
      <w:r w:rsidR="0060798B" w:rsidRPr="00431622">
        <w:rPr>
          <w:sz w:val="24"/>
          <w:szCs w:val="24"/>
        </w:rPr>
        <w:t xml:space="preserve"> implemented</w:t>
      </w:r>
      <w:r w:rsidR="00EF51DC" w:rsidRPr="00431622">
        <w:rPr>
          <w:sz w:val="24"/>
          <w:szCs w:val="24"/>
        </w:rPr>
        <w:t xml:space="preserve"> in the remaining life of the FBS with resources available</w:t>
      </w:r>
      <w:r w:rsidR="0060798B" w:rsidRPr="00431622">
        <w:rPr>
          <w:sz w:val="24"/>
          <w:szCs w:val="24"/>
        </w:rPr>
        <w:t>.</w:t>
      </w:r>
      <w:r w:rsidRPr="00431622">
        <w:rPr>
          <w:sz w:val="24"/>
          <w:szCs w:val="24"/>
        </w:rPr>
        <w:t xml:space="preserve"> </w:t>
      </w:r>
    </w:p>
    <w:p w14:paraId="5EA5DA6C" w14:textId="43D66075" w:rsidR="0060798B" w:rsidRPr="00431622" w:rsidRDefault="0060798B" w:rsidP="007B4BCA">
      <w:pPr>
        <w:jc w:val="both"/>
        <w:rPr>
          <w:sz w:val="24"/>
          <w:szCs w:val="24"/>
        </w:rPr>
      </w:pPr>
      <w:r w:rsidRPr="00431622">
        <w:rPr>
          <w:sz w:val="24"/>
          <w:szCs w:val="24"/>
        </w:rPr>
        <w:t xml:space="preserve">COVID-19 </w:t>
      </w:r>
      <w:r w:rsidR="00EF51DC" w:rsidRPr="00431622">
        <w:rPr>
          <w:sz w:val="24"/>
          <w:szCs w:val="24"/>
        </w:rPr>
        <w:t xml:space="preserve">presented </w:t>
      </w:r>
      <w:r w:rsidRPr="00431622">
        <w:rPr>
          <w:sz w:val="24"/>
          <w:szCs w:val="24"/>
        </w:rPr>
        <w:t xml:space="preserve">major difficulties and congratulations </w:t>
      </w:r>
      <w:r w:rsidR="00EF51DC" w:rsidRPr="00431622">
        <w:rPr>
          <w:sz w:val="24"/>
          <w:szCs w:val="24"/>
        </w:rPr>
        <w:t>must</w:t>
      </w:r>
      <w:r w:rsidRPr="00431622">
        <w:rPr>
          <w:sz w:val="24"/>
          <w:szCs w:val="24"/>
        </w:rPr>
        <w:t xml:space="preserve"> go to the officers</w:t>
      </w:r>
      <w:r w:rsidR="00EF51DC" w:rsidRPr="00431622">
        <w:rPr>
          <w:sz w:val="24"/>
          <w:szCs w:val="24"/>
        </w:rPr>
        <w:t xml:space="preserve"> at post and partner Government</w:t>
      </w:r>
      <w:r w:rsidRPr="00431622">
        <w:rPr>
          <w:sz w:val="24"/>
          <w:szCs w:val="24"/>
        </w:rPr>
        <w:t xml:space="preserve"> that</w:t>
      </w:r>
      <w:r w:rsidR="00EF51DC" w:rsidRPr="00431622">
        <w:rPr>
          <w:sz w:val="24"/>
          <w:szCs w:val="24"/>
        </w:rPr>
        <w:t xml:space="preserve"> were core to this program achieving its objectives </w:t>
      </w:r>
      <w:r w:rsidRPr="00431622">
        <w:rPr>
          <w:sz w:val="24"/>
          <w:szCs w:val="24"/>
        </w:rPr>
        <w:t xml:space="preserve">in the context of the </w:t>
      </w:r>
      <w:r w:rsidR="00EF51DC" w:rsidRPr="00431622">
        <w:rPr>
          <w:sz w:val="24"/>
          <w:szCs w:val="24"/>
        </w:rPr>
        <w:t>uncertain and</w:t>
      </w:r>
      <w:r w:rsidRPr="00431622">
        <w:rPr>
          <w:sz w:val="24"/>
          <w:szCs w:val="24"/>
        </w:rPr>
        <w:t xml:space="preserve"> </w:t>
      </w:r>
      <w:r w:rsidR="00EF51DC" w:rsidRPr="00431622">
        <w:rPr>
          <w:sz w:val="24"/>
          <w:szCs w:val="24"/>
        </w:rPr>
        <w:t xml:space="preserve">difficult </w:t>
      </w:r>
      <w:r w:rsidRPr="00431622">
        <w:rPr>
          <w:sz w:val="24"/>
          <w:szCs w:val="24"/>
        </w:rPr>
        <w:t>operating environment.</w:t>
      </w:r>
    </w:p>
    <w:p w14:paraId="58B5252E" w14:textId="5E625A0D" w:rsidR="0060798B" w:rsidRPr="00431622" w:rsidRDefault="00F75836" w:rsidP="007B4BCA">
      <w:pPr>
        <w:jc w:val="both"/>
        <w:rPr>
          <w:sz w:val="24"/>
          <w:szCs w:val="24"/>
        </w:rPr>
      </w:pPr>
      <w:r w:rsidRPr="00431622">
        <w:rPr>
          <w:sz w:val="24"/>
          <w:szCs w:val="24"/>
        </w:rPr>
        <w:t xml:space="preserve">This final independent evaluation </w:t>
      </w:r>
      <w:r w:rsidR="007B4BCA" w:rsidRPr="00431622">
        <w:rPr>
          <w:sz w:val="24"/>
          <w:szCs w:val="24"/>
        </w:rPr>
        <w:t xml:space="preserve">was written in </w:t>
      </w:r>
      <w:r w:rsidRPr="00431622">
        <w:rPr>
          <w:sz w:val="24"/>
          <w:szCs w:val="24"/>
        </w:rPr>
        <w:t xml:space="preserve">parallel to the design of </w:t>
      </w:r>
      <w:r w:rsidR="007B4BCA" w:rsidRPr="00431622">
        <w:rPr>
          <w:sz w:val="24"/>
          <w:szCs w:val="24"/>
        </w:rPr>
        <w:t xml:space="preserve">a new direct financing fund to support Pacific’s recovery </w:t>
      </w:r>
      <w:r w:rsidR="0060798B" w:rsidRPr="00431622">
        <w:rPr>
          <w:sz w:val="24"/>
          <w:szCs w:val="24"/>
        </w:rPr>
        <w:t>and build on the results achieved by the FBS program</w:t>
      </w:r>
      <w:r w:rsidRPr="00431622">
        <w:rPr>
          <w:sz w:val="24"/>
          <w:szCs w:val="24"/>
        </w:rPr>
        <w:t xml:space="preserve">. </w:t>
      </w:r>
      <w:r w:rsidR="0060798B" w:rsidRPr="00431622">
        <w:rPr>
          <w:sz w:val="24"/>
          <w:szCs w:val="24"/>
        </w:rPr>
        <w:t>Many of the findings and recommendations of this evaluation have been integrated into those design</w:t>
      </w:r>
      <w:r w:rsidR="00EF51DC" w:rsidRPr="00431622">
        <w:rPr>
          <w:sz w:val="24"/>
          <w:szCs w:val="24"/>
        </w:rPr>
        <w:t xml:space="preserve"> processes, </w:t>
      </w:r>
      <w:r w:rsidR="0060798B" w:rsidRPr="00431622">
        <w:rPr>
          <w:sz w:val="24"/>
          <w:szCs w:val="24"/>
        </w:rPr>
        <w:t xml:space="preserve">including findings on how to improve </w:t>
      </w:r>
      <w:r w:rsidR="00EF51DC" w:rsidRPr="00431622">
        <w:rPr>
          <w:sz w:val="24"/>
          <w:szCs w:val="24"/>
        </w:rPr>
        <w:t xml:space="preserve">ultimate </w:t>
      </w:r>
      <w:r w:rsidR="0060798B" w:rsidRPr="00431622">
        <w:rPr>
          <w:sz w:val="24"/>
          <w:szCs w:val="24"/>
        </w:rPr>
        <w:t xml:space="preserve">impacts for </w:t>
      </w:r>
      <w:r w:rsidR="00EF51DC" w:rsidRPr="00431622">
        <w:rPr>
          <w:sz w:val="24"/>
          <w:szCs w:val="24"/>
        </w:rPr>
        <w:t>women and girls, diverse genders, people with disabilities and other socially marginalised groups</w:t>
      </w:r>
      <w:r w:rsidR="0060798B" w:rsidRPr="00431622">
        <w:rPr>
          <w:sz w:val="24"/>
          <w:szCs w:val="24"/>
        </w:rPr>
        <w:t xml:space="preserve">. At the time of writing this management response, much of this design work was ongoing or pending. </w:t>
      </w:r>
      <w:r w:rsidRPr="00431622">
        <w:rPr>
          <w:sz w:val="24"/>
          <w:szCs w:val="24"/>
        </w:rPr>
        <w:t xml:space="preserve"> </w:t>
      </w:r>
    </w:p>
    <w:p w14:paraId="61CADA96" w14:textId="7C44065D" w:rsidR="0060798B" w:rsidRPr="00431622" w:rsidRDefault="0060798B" w:rsidP="007B4BCA">
      <w:pPr>
        <w:jc w:val="both"/>
        <w:rPr>
          <w:b/>
          <w:bCs/>
          <w:sz w:val="24"/>
          <w:szCs w:val="24"/>
        </w:rPr>
      </w:pPr>
      <w:r w:rsidRPr="00431622">
        <w:rPr>
          <w:sz w:val="24"/>
          <w:szCs w:val="24"/>
        </w:rPr>
        <w:t xml:space="preserve">In response to the evaluation recommendations, the following management response has been agreed and accepted by DFAT leadership.   </w:t>
      </w:r>
    </w:p>
    <w:p w14:paraId="4CACAEA5" w14:textId="77777777" w:rsidR="00B33175" w:rsidRPr="00431622" w:rsidRDefault="00B33175" w:rsidP="002305A8">
      <w:pPr>
        <w:spacing w:after="0" w:line="240" w:lineRule="auto"/>
        <w:rPr>
          <w:sz w:val="20"/>
          <w:szCs w:val="20"/>
        </w:rPr>
      </w:pPr>
    </w:p>
    <w:p w14:paraId="27E6815B" w14:textId="77777777" w:rsidR="00431622" w:rsidRDefault="00431622" w:rsidP="007B4BCA">
      <w:pPr>
        <w:spacing w:after="0" w:line="240" w:lineRule="auto"/>
        <w:jc w:val="both"/>
        <w:rPr>
          <w:b/>
          <w:bCs/>
        </w:rPr>
        <w:sectPr w:rsidR="00431622" w:rsidSect="002A4F00">
          <w:footerReference w:type="default" r:id="rId8"/>
          <w:pgSz w:w="11906" w:h="16838"/>
          <w:pgMar w:top="1440" w:right="1440" w:bottom="1440" w:left="1440" w:header="708" w:footer="708" w:gutter="0"/>
          <w:cols w:space="708"/>
          <w:docGrid w:linePitch="360"/>
        </w:sectPr>
      </w:pPr>
    </w:p>
    <w:p w14:paraId="51824392" w14:textId="4857DCB3" w:rsidR="00072D29" w:rsidRPr="00431622" w:rsidRDefault="00072D29" w:rsidP="007B4BCA">
      <w:pPr>
        <w:spacing w:after="0" w:line="240" w:lineRule="auto"/>
        <w:jc w:val="both"/>
        <w:rPr>
          <w:rFonts w:cstheme="minorHAnsi"/>
          <w:iCs/>
          <w:lang w:eastAsia="en-GB"/>
        </w:rPr>
      </w:pPr>
      <w:r w:rsidRPr="00431622">
        <w:rPr>
          <w:b/>
          <w:bCs/>
        </w:rPr>
        <w:lastRenderedPageBreak/>
        <w:t xml:space="preserve">DFAT’s response to the independent evaluation: </w:t>
      </w:r>
      <w:r w:rsidRPr="00431622">
        <w:t>DFAT accepts the independent evaluation’s findings and agrees</w:t>
      </w:r>
      <w:r w:rsidR="00EF51DC" w:rsidRPr="00431622">
        <w:t xml:space="preserve"> or partially agrees with the evaluations</w:t>
      </w:r>
      <w:r w:rsidRPr="00431622">
        <w:t xml:space="preserve"> </w:t>
      </w:r>
      <w:r w:rsidR="000D62F2" w:rsidRPr="00431622">
        <w:t>11 recommendations</w:t>
      </w:r>
      <w:r w:rsidR="00EF51DC" w:rsidRPr="00431622">
        <w:t xml:space="preserve">. </w:t>
      </w:r>
    </w:p>
    <w:p w14:paraId="15B41175" w14:textId="77777777" w:rsidR="008117A2" w:rsidRPr="00431622" w:rsidRDefault="008117A2" w:rsidP="002305A8">
      <w:pPr>
        <w:spacing w:after="0" w:line="240" w:lineRule="auto"/>
        <w:rPr>
          <w:rFonts w:cstheme="minorHAnsi"/>
          <w:iCs/>
          <w:lang w:eastAsia="en-GB"/>
        </w:rPr>
      </w:pPr>
    </w:p>
    <w:tbl>
      <w:tblPr>
        <w:tblStyle w:val="TableGrid"/>
        <w:tblW w:w="0" w:type="auto"/>
        <w:tblLook w:val="04A0" w:firstRow="1" w:lastRow="0" w:firstColumn="1" w:lastColumn="0" w:noHBand="0" w:noVBand="1"/>
      </w:tblPr>
      <w:tblGrid>
        <w:gridCol w:w="704"/>
        <w:gridCol w:w="6804"/>
        <w:gridCol w:w="6379"/>
      </w:tblGrid>
      <w:tr w:rsidR="009B3204" w:rsidRPr="00431622" w14:paraId="37CB1247" w14:textId="77777777" w:rsidTr="005414E2">
        <w:trPr>
          <w:tblHeader/>
        </w:trPr>
        <w:tc>
          <w:tcPr>
            <w:tcW w:w="704" w:type="dxa"/>
            <w:shd w:val="clear" w:color="auto" w:fill="B4C6E7" w:themeFill="accent1" w:themeFillTint="66"/>
          </w:tcPr>
          <w:p w14:paraId="58E47FFA" w14:textId="57C897B6" w:rsidR="009B3204" w:rsidRPr="00431622" w:rsidRDefault="00EF51DC" w:rsidP="00FE4FE3">
            <w:pPr>
              <w:textAlignment w:val="baseline"/>
              <w:rPr>
                <w:rFonts w:cstheme="minorHAnsi"/>
                <w:b/>
                <w:bCs/>
                <w:iCs/>
                <w:lang w:eastAsia="en-GB"/>
              </w:rPr>
            </w:pPr>
            <w:r w:rsidRPr="00431622">
              <w:rPr>
                <w:rFonts w:cstheme="minorHAnsi"/>
                <w:b/>
                <w:bCs/>
                <w:iCs/>
                <w:lang w:eastAsia="en-GB"/>
              </w:rPr>
              <w:t>#</w:t>
            </w:r>
          </w:p>
        </w:tc>
        <w:tc>
          <w:tcPr>
            <w:tcW w:w="6804" w:type="dxa"/>
            <w:shd w:val="clear" w:color="auto" w:fill="B4C6E7" w:themeFill="accent1" w:themeFillTint="66"/>
          </w:tcPr>
          <w:p w14:paraId="3F764CF5" w14:textId="648E7774" w:rsidR="009B3204" w:rsidRPr="00431622" w:rsidRDefault="00EF51DC" w:rsidP="002305A8">
            <w:pPr>
              <w:rPr>
                <w:rFonts w:cstheme="minorHAnsi"/>
                <w:b/>
                <w:bCs/>
                <w:iCs/>
                <w:lang w:eastAsia="en-GB"/>
              </w:rPr>
            </w:pPr>
            <w:r w:rsidRPr="00431622">
              <w:rPr>
                <w:rFonts w:cstheme="minorHAnsi"/>
                <w:b/>
                <w:bCs/>
                <w:iCs/>
                <w:lang w:eastAsia="en-GB"/>
              </w:rPr>
              <w:t>Recommendation</w:t>
            </w:r>
          </w:p>
        </w:tc>
        <w:tc>
          <w:tcPr>
            <w:tcW w:w="6379" w:type="dxa"/>
            <w:shd w:val="clear" w:color="auto" w:fill="B4C6E7" w:themeFill="accent1" w:themeFillTint="66"/>
          </w:tcPr>
          <w:p w14:paraId="38733BD4" w14:textId="4231E0F2" w:rsidR="009B3204" w:rsidRPr="00431622" w:rsidRDefault="00EF51DC" w:rsidP="002305A8">
            <w:pPr>
              <w:rPr>
                <w:rFonts w:cstheme="minorHAnsi"/>
                <w:b/>
                <w:bCs/>
                <w:iCs/>
                <w:lang w:eastAsia="en-GB"/>
              </w:rPr>
            </w:pPr>
            <w:r w:rsidRPr="00431622">
              <w:rPr>
                <w:rFonts w:cstheme="minorHAnsi"/>
                <w:b/>
                <w:bCs/>
                <w:iCs/>
                <w:lang w:eastAsia="en-GB"/>
              </w:rPr>
              <w:t>Management Response</w:t>
            </w:r>
          </w:p>
        </w:tc>
      </w:tr>
      <w:tr w:rsidR="00EF51DC" w:rsidRPr="00431622" w14:paraId="7218ABA9" w14:textId="77777777" w:rsidTr="00431622">
        <w:tc>
          <w:tcPr>
            <w:tcW w:w="704" w:type="dxa"/>
          </w:tcPr>
          <w:p w14:paraId="5AC23CE2" w14:textId="1D6E1A27" w:rsidR="00EF51DC" w:rsidRPr="00431622" w:rsidRDefault="00EF51DC" w:rsidP="00EF51DC">
            <w:pPr>
              <w:textAlignment w:val="baseline"/>
              <w:rPr>
                <w:rFonts w:cstheme="minorHAnsi"/>
                <w:iCs/>
                <w:lang w:eastAsia="en-GB"/>
              </w:rPr>
            </w:pPr>
            <w:r w:rsidRPr="00431622">
              <w:rPr>
                <w:rFonts w:cstheme="minorHAnsi"/>
                <w:iCs/>
                <w:lang w:eastAsia="en-GB"/>
              </w:rPr>
              <w:t>1.</w:t>
            </w:r>
          </w:p>
        </w:tc>
        <w:tc>
          <w:tcPr>
            <w:tcW w:w="6804" w:type="dxa"/>
            <w:shd w:val="clear" w:color="auto" w:fill="auto"/>
          </w:tcPr>
          <w:p w14:paraId="23EDF9D3" w14:textId="77777777" w:rsidR="00EF51DC" w:rsidRPr="00431622" w:rsidRDefault="00EF51DC" w:rsidP="00EF51DC">
            <w:pPr>
              <w:textAlignment w:val="baseline"/>
              <w:rPr>
                <w:rFonts w:cstheme="minorHAnsi"/>
                <w:iCs/>
                <w:lang w:eastAsia="en-GB"/>
              </w:rPr>
            </w:pPr>
            <w:bookmarkStart w:id="0" w:name="OLE_LINK1"/>
            <w:bookmarkStart w:id="1" w:name="OLE_LINK5"/>
            <w:r w:rsidRPr="00431622">
              <w:rPr>
                <w:rFonts w:cstheme="minorHAnsi"/>
                <w:iCs/>
                <w:lang w:eastAsia="en-GB"/>
              </w:rPr>
              <w:t xml:space="preserve">Budget support should be considered as part of DFAT’s development toolkit where appropriate. </w:t>
            </w:r>
            <w:bookmarkEnd w:id="0"/>
            <w:bookmarkEnd w:id="1"/>
          </w:p>
          <w:p w14:paraId="68A68DD4" w14:textId="77777777" w:rsidR="00EF51DC" w:rsidRPr="00431622" w:rsidRDefault="00EF51DC" w:rsidP="00EF51DC">
            <w:pPr>
              <w:textAlignment w:val="baseline"/>
              <w:rPr>
                <w:rFonts w:cstheme="minorHAnsi"/>
                <w:iCs/>
                <w:lang w:eastAsia="en-GB"/>
              </w:rPr>
            </w:pPr>
          </w:p>
        </w:tc>
        <w:tc>
          <w:tcPr>
            <w:tcW w:w="6379" w:type="dxa"/>
          </w:tcPr>
          <w:p w14:paraId="589BF527" w14:textId="7B95DB35" w:rsidR="00EF51DC" w:rsidRPr="00431622" w:rsidRDefault="00EF51DC" w:rsidP="00EF51DC">
            <w:pPr>
              <w:rPr>
                <w:rFonts w:cstheme="minorHAnsi"/>
                <w:iCs/>
                <w:lang w:eastAsia="en-GB"/>
              </w:rPr>
            </w:pPr>
            <w:r w:rsidRPr="00431622">
              <w:rPr>
                <w:rFonts w:cstheme="minorHAnsi"/>
                <w:iCs/>
                <w:lang w:eastAsia="en-GB"/>
              </w:rPr>
              <w:t>Agree. Several Australian posts in the Pacific are in the process of designing or commencing a new range of direct financing packages to support ongoing recovery efforts.</w:t>
            </w:r>
          </w:p>
        </w:tc>
      </w:tr>
      <w:tr w:rsidR="00EF51DC" w:rsidRPr="00431622" w14:paraId="2E78B2C0" w14:textId="77777777" w:rsidTr="00431622">
        <w:tc>
          <w:tcPr>
            <w:tcW w:w="704" w:type="dxa"/>
          </w:tcPr>
          <w:p w14:paraId="3709D76E" w14:textId="359003E9" w:rsidR="00EF51DC" w:rsidRPr="00431622" w:rsidRDefault="00EF51DC" w:rsidP="00EF51DC">
            <w:pPr>
              <w:textAlignment w:val="baseline"/>
              <w:rPr>
                <w:rFonts w:cstheme="minorHAnsi"/>
                <w:iCs/>
                <w:lang w:eastAsia="en-GB"/>
              </w:rPr>
            </w:pPr>
            <w:r w:rsidRPr="00431622">
              <w:rPr>
                <w:rFonts w:cstheme="minorHAnsi"/>
                <w:iCs/>
                <w:lang w:eastAsia="en-GB"/>
              </w:rPr>
              <w:t>2.</w:t>
            </w:r>
          </w:p>
        </w:tc>
        <w:tc>
          <w:tcPr>
            <w:tcW w:w="6804" w:type="dxa"/>
            <w:shd w:val="clear" w:color="auto" w:fill="auto"/>
          </w:tcPr>
          <w:p w14:paraId="10AACA8B" w14:textId="15BBD875" w:rsidR="00EF51DC" w:rsidRPr="00431622" w:rsidRDefault="00EF51DC" w:rsidP="007B4BCA">
            <w:pPr>
              <w:textAlignment w:val="baseline"/>
              <w:rPr>
                <w:rFonts w:cstheme="minorHAnsi"/>
                <w:iCs/>
                <w:lang w:eastAsia="en-GB"/>
              </w:rPr>
            </w:pPr>
            <w:r w:rsidRPr="00431622">
              <w:rPr>
                <w:rFonts w:cstheme="minorHAnsi"/>
                <w:iCs/>
                <w:lang w:eastAsia="en-GB"/>
              </w:rPr>
              <w:t>DFAT should carefully consider the following preconditions to guide budget support allocation decisions alongside guidance provided in DFAT’s Budget Support Framework Document, published 2023.</w:t>
            </w:r>
          </w:p>
          <w:p w14:paraId="0328DEA9" w14:textId="30504447" w:rsidR="00EF51DC" w:rsidRPr="00431622" w:rsidRDefault="00EF51DC" w:rsidP="00EF51DC">
            <w:pPr>
              <w:pStyle w:val="ListParagraph"/>
              <w:numPr>
                <w:ilvl w:val="0"/>
                <w:numId w:val="18"/>
              </w:numPr>
              <w:textAlignment w:val="baseline"/>
              <w:rPr>
                <w:rFonts w:cstheme="minorHAnsi"/>
                <w:iCs/>
                <w:lang w:eastAsia="en-GB"/>
              </w:rPr>
            </w:pPr>
            <w:r w:rsidRPr="00431622">
              <w:rPr>
                <w:rFonts w:cstheme="minorHAnsi"/>
                <w:iCs/>
                <w:lang w:eastAsia="en-GB"/>
              </w:rPr>
              <w:t xml:space="preserve">Post capacity to implement budget support with DFAT Canberra </w:t>
            </w:r>
            <w:proofErr w:type="gramStart"/>
            <w:r w:rsidRPr="00431622">
              <w:rPr>
                <w:rFonts w:cstheme="minorHAnsi"/>
                <w:iCs/>
                <w:lang w:eastAsia="en-GB"/>
              </w:rPr>
              <w:t>support;</w:t>
            </w:r>
            <w:proofErr w:type="gramEnd"/>
          </w:p>
          <w:p w14:paraId="51F2BAA8" w14:textId="77777777" w:rsidR="00EF51DC" w:rsidRPr="00431622" w:rsidRDefault="00EF51DC" w:rsidP="00EF51DC">
            <w:pPr>
              <w:pStyle w:val="ListParagraph"/>
              <w:numPr>
                <w:ilvl w:val="0"/>
                <w:numId w:val="18"/>
              </w:numPr>
              <w:textAlignment w:val="baseline"/>
              <w:rPr>
                <w:rFonts w:cstheme="minorHAnsi"/>
                <w:iCs/>
                <w:lang w:eastAsia="en-GB"/>
              </w:rPr>
            </w:pPr>
            <w:r w:rsidRPr="00431622">
              <w:rPr>
                <w:rFonts w:cstheme="minorHAnsi"/>
                <w:iCs/>
                <w:lang w:eastAsia="en-GB"/>
              </w:rPr>
              <w:t>Partner government commitment and capacity to engage with budget support, and to report and monitor (with DFAT if required</w:t>
            </w:r>
            <w:proofErr w:type="gramStart"/>
            <w:r w:rsidRPr="00431622">
              <w:rPr>
                <w:rFonts w:cstheme="minorHAnsi"/>
                <w:iCs/>
                <w:lang w:eastAsia="en-GB"/>
              </w:rPr>
              <w:t>);</w:t>
            </w:r>
            <w:proofErr w:type="gramEnd"/>
            <w:r w:rsidRPr="00431622">
              <w:rPr>
                <w:rFonts w:cstheme="minorHAnsi"/>
                <w:iCs/>
                <w:lang w:eastAsia="en-GB"/>
              </w:rPr>
              <w:t xml:space="preserve"> </w:t>
            </w:r>
          </w:p>
          <w:p w14:paraId="67EFA0E3" w14:textId="77777777" w:rsidR="00EF51DC" w:rsidRPr="00431622" w:rsidRDefault="00EF51DC" w:rsidP="00EF51DC">
            <w:pPr>
              <w:pStyle w:val="ListParagraph"/>
              <w:numPr>
                <w:ilvl w:val="0"/>
                <w:numId w:val="18"/>
              </w:numPr>
              <w:textAlignment w:val="baseline"/>
              <w:rPr>
                <w:rFonts w:cstheme="minorHAnsi"/>
                <w:iCs/>
                <w:lang w:eastAsia="en-GB"/>
              </w:rPr>
            </w:pPr>
            <w:r w:rsidRPr="00431622">
              <w:rPr>
                <w:rFonts w:cstheme="minorHAnsi"/>
                <w:iCs/>
                <w:lang w:eastAsia="en-GB"/>
              </w:rPr>
              <w:t>Alignment with existing Australian investments, and</w:t>
            </w:r>
          </w:p>
          <w:p w14:paraId="179F5E44" w14:textId="545C595E" w:rsidR="00EF51DC" w:rsidRPr="00431622" w:rsidRDefault="00EF51DC" w:rsidP="007B4BCA">
            <w:pPr>
              <w:pStyle w:val="ListParagraph"/>
              <w:numPr>
                <w:ilvl w:val="0"/>
                <w:numId w:val="18"/>
              </w:numPr>
              <w:textAlignment w:val="baseline"/>
              <w:rPr>
                <w:rFonts w:cstheme="minorHAnsi"/>
                <w:iCs/>
                <w:lang w:eastAsia="en-GB"/>
              </w:rPr>
            </w:pPr>
            <w:r w:rsidRPr="00431622">
              <w:rPr>
                <w:rFonts w:cstheme="minorHAnsi"/>
                <w:iCs/>
                <w:lang w:eastAsia="en-GB"/>
              </w:rPr>
              <w:t>Alignment with multi-donor dialogues or other programs where appropriate.</w:t>
            </w:r>
          </w:p>
        </w:tc>
        <w:tc>
          <w:tcPr>
            <w:tcW w:w="6379" w:type="dxa"/>
          </w:tcPr>
          <w:p w14:paraId="57F0083B" w14:textId="6ED9C9A5" w:rsidR="00EF51DC" w:rsidRPr="00431622" w:rsidRDefault="00EF51DC" w:rsidP="00EF51DC">
            <w:pPr>
              <w:rPr>
                <w:rFonts w:cstheme="minorHAnsi"/>
                <w:iCs/>
                <w:lang w:eastAsia="en-GB"/>
              </w:rPr>
            </w:pPr>
            <w:r w:rsidRPr="00431622">
              <w:rPr>
                <w:rFonts w:cstheme="minorHAnsi"/>
                <w:iCs/>
                <w:lang w:eastAsia="en-GB"/>
              </w:rPr>
              <w:t xml:space="preserve">Agree. Preconditions are necessary to ensure strong alignment of policy interests and incentives to ensure maximisation of development outcomes. </w:t>
            </w:r>
          </w:p>
        </w:tc>
      </w:tr>
      <w:tr w:rsidR="00EF51DC" w:rsidRPr="00431622" w14:paraId="74536EE8" w14:textId="77777777" w:rsidTr="00431622">
        <w:tc>
          <w:tcPr>
            <w:tcW w:w="704" w:type="dxa"/>
          </w:tcPr>
          <w:p w14:paraId="3470086E" w14:textId="63978AA4" w:rsidR="00EF51DC" w:rsidRPr="00431622" w:rsidRDefault="00EF51DC" w:rsidP="00EF51DC">
            <w:pPr>
              <w:textAlignment w:val="baseline"/>
              <w:rPr>
                <w:rFonts w:cstheme="minorHAnsi"/>
                <w:iCs/>
                <w:lang w:eastAsia="en-GB"/>
              </w:rPr>
            </w:pPr>
            <w:r w:rsidRPr="00431622">
              <w:rPr>
                <w:rFonts w:cstheme="minorHAnsi"/>
                <w:iCs/>
                <w:lang w:eastAsia="en-GB"/>
              </w:rPr>
              <w:t>3.</w:t>
            </w:r>
          </w:p>
        </w:tc>
        <w:tc>
          <w:tcPr>
            <w:tcW w:w="6804" w:type="dxa"/>
            <w:shd w:val="clear" w:color="auto" w:fill="auto"/>
          </w:tcPr>
          <w:p w14:paraId="65DCE001" w14:textId="1C6B992A" w:rsidR="00EF51DC" w:rsidRPr="00431622" w:rsidRDefault="00EF51DC" w:rsidP="007B4BCA">
            <w:pPr>
              <w:textAlignment w:val="baseline"/>
              <w:rPr>
                <w:rFonts w:cstheme="minorHAnsi"/>
                <w:iCs/>
                <w:lang w:eastAsia="en-GB"/>
              </w:rPr>
            </w:pPr>
            <w:r w:rsidRPr="00431622">
              <w:rPr>
                <w:rFonts w:cstheme="minorHAnsi"/>
                <w:iCs/>
                <w:lang w:eastAsia="en-GB"/>
              </w:rPr>
              <w:t>DFAT should build staff capability for budget support through:</w:t>
            </w:r>
          </w:p>
          <w:p w14:paraId="658A825E" w14:textId="6C5D487F" w:rsidR="00EF51DC" w:rsidRPr="00431622" w:rsidRDefault="00EF51DC" w:rsidP="00EF51DC">
            <w:pPr>
              <w:pStyle w:val="ListParagraph"/>
              <w:numPr>
                <w:ilvl w:val="0"/>
                <w:numId w:val="17"/>
              </w:numPr>
              <w:textAlignment w:val="baseline"/>
              <w:rPr>
                <w:rFonts w:cstheme="minorHAnsi"/>
                <w:iCs/>
                <w:lang w:eastAsia="en-GB"/>
              </w:rPr>
            </w:pPr>
            <w:r w:rsidRPr="00431622">
              <w:rPr>
                <w:rFonts w:cstheme="minorHAnsi"/>
                <w:iCs/>
                <w:lang w:eastAsia="en-GB"/>
              </w:rPr>
              <w:t xml:space="preserve">Basic training on public financial management, </w:t>
            </w:r>
            <w:proofErr w:type="gramStart"/>
            <w:r w:rsidRPr="00431622">
              <w:rPr>
                <w:rFonts w:cstheme="minorHAnsi"/>
                <w:iCs/>
                <w:lang w:eastAsia="en-GB"/>
              </w:rPr>
              <w:t>risk</w:t>
            </w:r>
            <w:proofErr w:type="gramEnd"/>
            <w:r w:rsidRPr="00431622">
              <w:rPr>
                <w:rFonts w:cstheme="minorHAnsi"/>
                <w:iCs/>
                <w:lang w:eastAsia="en-GB"/>
              </w:rPr>
              <w:t xml:space="preserve"> and budget support for relevant Posted staff. </w:t>
            </w:r>
          </w:p>
          <w:p w14:paraId="0DB84198" w14:textId="77777777" w:rsidR="00EF51DC" w:rsidRPr="00431622" w:rsidRDefault="00EF51DC" w:rsidP="00EF51DC">
            <w:pPr>
              <w:pStyle w:val="ListParagraph"/>
              <w:numPr>
                <w:ilvl w:val="0"/>
                <w:numId w:val="17"/>
              </w:numPr>
              <w:textAlignment w:val="baseline"/>
              <w:rPr>
                <w:rFonts w:cstheme="minorHAnsi"/>
                <w:iCs/>
                <w:lang w:eastAsia="en-GB"/>
              </w:rPr>
            </w:pPr>
            <w:r w:rsidRPr="00431622">
              <w:rPr>
                <w:rFonts w:cstheme="minorHAnsi"/>
                <w:iCs/>
                <w:lang w:eastAsia="en-GB"/>
              </w:rPr>
              <w:t>A better resourced PFM/macroeconomic unit within DFAT to support Posts manage and implement budget support and other related PFM reforms.</w:t>
            </w:r>
          </w:p>
          <w:p w14:paraId="676E3821" w14:textId="5C6CA76D" w:rsidR="00EF51DC" w:rsidRPr="00431622" w:rsidRDefault="00EF51DC" w:rsidP="007B4BCA">
            <w:pPr>
              <w:pStyle w:val="ListParagraph"/>
              <w:numPr>
                <w:ilvl w:val="0"/>
                <w:numId w:val="17"/>
              </w:numPr>
              <w:textAlignment w:val="baseline"/>
              <w:rPr>
                <w:rFonts w:cstheme="minorHAnsi"/>
                <w:iCs/>
                <w:lang w:eastAsia="en-GB"/>
              </w:rPr>
            </w:pPr>
            <w:r w:rsidRPr="00431622">
              <w:rPr>
                <w:rFonts w:cstheme="minorHAnsi"/>
                <w:iCs/>
                <w:lang w:eastAsia="en-GB"/>
              </w:rPr>
              <w:t>Investment in highly skilled local staff, who can play vital roles in budget support implementation and help overcome loss of knowledge through staff turnover.</w:t>
            </w:r>
          </w:p>
        </w:tc>
        <w:tc>
          <w:tcPr>
            <w:tcW w:w="6379" w:type="dxa"/>
          </w:tcPr>
          <w:p w14:paraId="58C7DEDF" w14:textId="77777777" w:rsidR="00EF51DC" w:rsidRPr="00431622" w:rsidRDefault="00EF51DC" w:rsidP="00EF51DC">
            <w:pPr>
              <w:rPr>
                <w:rFonts w:cstheme="minorHAnsi"/>
                <w:iCs/>
                <w:lang w:eastAsia="en-GB"/>
              </w:rPr>
            </w:pPr>
            <w:r w:rsidRPr="00431622">
              <w:rPr>
                <w:rFonts w:cstheme="minorHAnsi"/>
                <w:iCs/>
                <w:lang w:eastAsia="en-GB"/>
              </w:rPr>
              <w:t xml:space="preserve">Partially agree. Ongoing discussions are continuing in relation to DFAT’s broader 10-year Capability Building Framework. </w:t>
            </w:r>
          </w:p>
          <w:p w14:paraId="11A17F71" w14:textId="77777777" w:rsidR="00EF51DC" w:rsidRPr="00431622" w:rsidRDefault="00EF51DC" w:rsidP="00EF51DC">
            <w:pPr>
              <w:rPr>
                <w:rFonts w:cstheme="minorHAnsi"/>
                <w:iCs/>
                <w:lang w:eastAsia="en-GB"/>
              </w:rPr>
            </w:pPr>
          </w:p>
          <w:p w14:paraId="5030495F" w14:textId="595FAF44" w:rsidR="00EF51DC" w:rsidRPr="00431622" w:rsidRDefault="00EF51DC" w:rsidP="00EF51DC">
            <w:pPr>
              <w:rPr>
                <w:rFonts w:cstheme="minorHAnsi"/>
                <w:iCs/>
                <w:lang w:eastAsia="en-GB"/>
              </w:rPr>
            </w:pPr>
            <w:r w:rsidRPr="00431622">
              <w:rPr>
                <w:rFonts w:cstheme="minorHAnsi"/>
                <w:iCs/>
                <w:lang w:eastAsia="en-GB"/>
              </w:rPr>
              <w:t xml:space="preserve">Public financial management and advanced budget analysis training is available for pre-posted officers and continues to be rolled out to Australian posts in the Pacific on an ongoing basis. </w:t>
            </w:r>
          </w:p>
          <w:p w14:paraId="3A0945C1" w14:textId="77777777" w:rsidR="00EF51DC" w:rsidRPr="00431622" w:rsidRDefault="00EF51DC" w:rsidP="00EF51DC">
            <w:pPr>
              <w:rPr>
                <w:rFonts w:cstheme="minorHAnsi"/>
                <w:iCs/>
                <w:lang w:eastAsia="en-GB"/>
              </w:rPr>
            </w:pPr>
          </w:p>
          <w:p w14:paraId="0A6C35AA" w14:textId="2C42EFA4" w:rsidR="00EF51DC" w:rsidRPr="00431622" w:rsidRDefault="00EF51DC" w:rsidP="00EF51DC">
            <w:pPr>
              <w:rPr>
                <w:rFonts w:cstheme="minorHAnsi"/>
                <w:iCs/>
                <w:lang w:eastAsia="en-GB"/>
              </w:rPr>
            </w:pPr>
            <w:r w:rsidRPr="00431622">
              <w:rPr>
                <w:rFonts w:cstheme="minorHAnsi"/>
                <w:iCs/>
                <w:lang w:eastAsia="en-GB"/>
              </w:rPr>
              <w:t>OTP is also establishing a community of practice to support connection between DFAT and OTP’s economic unit, upskilling of officers managing budget support programs, and support sharing of lessons between different development contexts.</w:t>
            </w:r>
          </w:p>
        </w:tc>
      </w:tr>
      <w:tr w:rsidR="00EF51DC" w:rsidRPr="00431622" w14:paraId="1312F478" w14:textId="77777777" w:rsidTr="00431622">
        <w:tc>
          <w:tcPr>
            <w:tcW w:w="704" w:type="dxa"/>
          </w:tcPr>
          <w:p w14:paraId="251F8363" w14:textId="364F72D8" w:rsidR="00EF51DC" w:rsidRPr="00431622" w:rsidRDefault="00EF51DC" w:rsidP="00EF51DC">
            <w:pPr>
              <w:textAlignment w:val="baseline"/>
              <w:rPr>
                <w:rFonts w:cstheme="minorHAnsi"/>
                <w:iCs/>
                <w:lang w:eastAsia="en-GB"/>
              </w:rPr>
            </w:pPr>
            <w:r w:rsidRPr="00431622">
              <w:rPr>
                <w:rFonts w:cstheme="minorHAnsi"/>
                <w:iCs/>
                <w:lang w:eastAsia="en-GB"/>
              </w:rPr>
              <w:t>4.</w:t>
            </w:r>
          </w:p>
        </w:tc>
        <w:tc>
          <w:tcPr>
            <w:tcW w:w="6804" w:type="dxa"/>
            <w:shd w:val="clear" w:color="auto" w:fill="auto"/>
          </w:tcPr>
          <w:p w14:paraId="3FD2A44E" w14:textId="7EA688C0" w:rsidR="00EF51DC" w:rsidRPr="00431622" w:rsidRDefault="00EF51DC" w:rsidP="007B4BCA">
            <w:pPr>
              <w:textAlignment w:val="baseline"/>
              <w:rPr>
                <w:rFonts w:cstheme="minorHAnsi"/>
                <w:iCs/>
                <w:lang w:eastAsia="en-GB"/>
              </w:rPr>
            </w:pPr>
            <w:r w:rsidRPr="00431622">
              <w:rPr>
                <w:rFonts w:cstheme="minorHAnsi"/>
                <w:iCs/>
                <w:lang w:eastAsia="en-GB"/>
              </w:rPr>
              <w:t>DFAT should continue to support a mix of general budget support and earmarked support and results of their ongoing implementation should be monitored closely to gauge effectiveness in different contexts.</w:t>
            </w:r>
          </w:p>
        </w:tc>
        <w:tc>
          <w:tcPr>
            <w:tcW w:w="6379" w:type="dxa"/>
          </w:tcPr>
          <w:p w14:paraId="0EF61F14" w14:textId="3AB1B3A4" w:rsidR="00EF51DC" w:rsidRPr="00431622" w:rsidRDefault="00EF51DC" w:rsidP="00EF51DC">
            <w:pPr>
              <w:rPr>
                <w:rFonts w:cstheme="minorHAnsi"/>
                <w:iCs/>
                <w:lang w:eastAsia="en-GB"/>
              </w:rPr>
            </w:pPr>
            <w:r w:rsidRPr="00431622">
              <w:rPr>
                <w:rFonts w:cstheme="minorHAnsi"/>
                <w:iCs/>
                <w:lang w:eastAsia="en-GB"/>
              </w:rPr>
              <w:t xml:space="preserve">Agree. Substantial results were achieved by FBS through both general budget support and earmarked funding. Retaining high degrees of flexibility is important to ensure interventions are suited </w:t>
            </w:r>
            <w:r w:rsidRPr="00431622">
              <w:rPr>
                <w:rFonts w:cstheme="minorHAnsi"/>
                <w:iCs/>
                <w:lang w:eastAsia="en-GB"/>
              </w:rPr>
              <w:lastRenderedPageBreak/>
              <w:t xml:space="preserve">to different Pacific contexts and to maximise the value and impacts of Australia’s direct fiscal support. </w:t>
            </w:r>
          </w:p>
        </w:tc>
      </w:tr>
      <w:tr w:rsidR="00EF51DC" w:rsidRPr="00431622" w14:paraId="411124DD" w14:textId="77777777" w:rsidTr="00431622">
        <w:tc>
          <w:tcPr>
            <w:tcW w:w="704" w:type="dxa"/>
          </w:tcPr>
          <w:p w14:paraId="313CBCF9" w14:textId="52305DA6" w:rsidR="00EF51DC" w:rsidRPr="00431622" w:rsidRDefault="00EF51DC" w:rsidP="00EF51DC">
            <w:pPr>
              <w:textAlignment w:val="baseline"/>
              <w:rPr>
                <w:rFonts w:cstheme="minorHAnsi"/>
                <w:iCs/>
                <w:lang w:eastAsia="en-GB"/>
              </w:rPr>
            </w:pPr>
            <w:r w:rsidRPr="00431622">
              <w:rPr>
                <w:rFonts w:cstheme="minorHAnsi"/>
                <w:iCs/>
                <w:lang w:eastAsia="en-GB"/>
              </w:rPr>
              <w:lastRenderedPageBreak/>
              <w:t>5.</w:t>
            </w:r>
          </w:p>
        </w:tc>
        <w:tc>
          <w:tcPr>
            <w:tcW w:w="6804" w:type="dxa"/>
            <w:shd w:val="clear" w:color="auto" w:fill="auto"/>
          </w:tcPr>
          <w:p w14:paraId="59396DE5" w14:textId="6076AEFF" w:rsidR="00EF51DC" w:rsidRPr="00431622" w:rsidRDefault="00EF51DC" w:rsidP="007B4BCA">
            <w:pPr>
              <w:textAlignment w:val="baseline"/>
              <w:rPr>
                <w:rFonts w:cstheme="minorHAnsi"/>
                <w:iCs/>
                <w:lang w:eastAsia="en-GB"/>
              </w:rPr>
            </w:pPr>
            <w:r w:rsidRPr="00431622">
              <w:rPr>
                <w:rFonts w:cstheme="minorHAnsi"/>
                <w:iCs/>
                <w:lang w:eastAsia="en-GB"/>
              </w:rPr>
              <w:t>DFAT should monitor fiduciary risks and broader risks pertaining to budget support more closely going forward. Assigning responsibility for activities to mitigate fiduciary risk at each Post is recommended. Maintenance of country-level risk and safeguard registers and regular political economy analyses should be considered.</w:t>
            </w:r>
          </w:p>
        </w:tc>
        <w:tc>
          <w:tcPr>
            <w:tcW w:w="6379" w:type="dxa"/>
          </w:tcPr>
          <w:p w14:paraId="0B39BCEA" w14:textId="53921456" w:rsidR="00EF51DC" w:rsidRPr="00431622" w:rsidRDefault="00EF51DC" w:rsidP="00EF51DC">
            <w:pPr>
              <w:rPr>
                <w:rFonts w:cstheme="minorHAnsi"/>
                <w:iCs/>
                <w:lang w:eastAsia="en-GB"/>
              </w:rPr>
            </w:pPr>
            <w:r w:rsidRPr="00431622">
              <w:rPr>
                <w:rFonts w:cstheme="minorHAnsi"/>
                <w:iCs/>
                <w:lang w:eastAsia="en-GB"/>
              </w:rPr>
              <w:t xml:space="preserve">Agree. All future direct financing interventions are to apply DFAT’s new risk management policies which includes intervention-level risk and safeguard screening and maintenance of risk registers. The importance of political economy analysis is outlined in DFAT’s Design Standards which apply to all future direct financing interventions.  </w:t>
            </w:r>
          </w:p>
        </w:tc>
      </w:tr>
      <w:tr w:rsidR="00EF51DC" w:rsidRPr="00431622" w14:paraId="57ACA52C" w14:textId="77777777" w:rsidTr="00431622">
        <w:tc>
          <w:tcPr>
            <w:tcW w:w="704" w:type="dxa"/>
          </w:tcPr>
          <w:p w14:paraId="314E3BB0" w14:textId="2DA32B7A" w:rsidR="00EF51DC" w:rsidRPr="00431622" w:rsidRDefault="00EF51DC" w:rsidP="00EF51DC">
            <w:pPr>
              <w:textAlignment w:val="baseline"/>
              <w:rPr>
                <w:rFonts w:cstheme="minorHAnsi"/>
                <w:iCs/>
                <w:lang w:eastAsia="en-GB"/>
              </w:rPr>
            </w:pPr>
            <w:r w:rsidRPr="00431622">
              <w:rPr>
                <w:rFonts w:cstheme="minorHAnsi"/>
                <w:iCs/>
                <w:lang w:eastAsia="en-GB"/>
              </w:rPr>
              <w:t>6.</w:t>
            </w:r>
          </w:p>
        </w:tc>
        <w:tc>
          <w:tcPr>
            <w:tcW w:w="6804" w:type="dxa"/>
            <w:shd w:val="clear" w:color="auto" w:fill="auto"/>
          </w:tcPr>
          <w:p w14:paraId="49C0138B" w14:textId="60992539" w:rsidR="00EF51DC" w:rsidRPr="00431622" w:rsidRDefault="00EF51DC" w:rsidP="007B4BCA">
            <w:pPr>
              <w:textAlignment w:val="baseline"/>
              <w:rPr>
                <w:rFonts w:cstheme="minorHAnsi"/>
                <w:iCs/>
                <w:lang w:eastAsia="en-GB"/>
              </w:rPr>
            </w:pPr>
            <w:r w:rsidRPr="00431622">
              <w:rPr>
                <w:rFonts w:cstheme="minorHAnsi"/>
                <w:iCs/>
                <w:lang w:eastAsia="en-GB"/>
              </w:rPr>
              <w:t>DFAT should couple budget support with parallel support from other development programs and technical advice.  </w:t>
            </w:r>
          </w:p>
        </w:tc>
        <w:tc>
          <w:tcPr>
            <w:tcW w:w="6379" w:type="dxa"/>
          </w:tcPr>
          <w:p w14:paraId="68BA8C7E" w14:textId="03F9DEB2" w:rsidR="00EF51DC" w:rsidRPr="00431622" w:rsidRDefault="00EF51DC" w:rsidP="00EF51DC">
            <w:pPr>
              <w:rPr>
                <w:rFonts w:cstheme="minorHAnsi"/>
                <w:iCs/>
                <w:lang w:eastAsia="en-GB"/>
              </w:rPr>
            </w:pPr>
            <w:r w:rsidRPr="00431622">
              <w:rPr>
                <w:rFonts w:cstheme="minorHAnsi"/>
                <w:iCs/>
                <w:lang w:eastAsia="en-GB"/>
              </w:rPr>
              <w:t xml:space="preserve">Agree. Harmonising and leveraging benefits from other development programs is critical to maintain results from future direct financing programs. </w:t>
            </w:r>
          </w:p>
        </w:tc>
      </w:tr>
      <w:tr w:rsidR="00EF51DC" w:rsidRPr="00431622" w14:paraId="7347638E" w14:textId="77777777" w:rsidTr="00431622">
        <w:tc>
          <w:tcPr>
            <w:tcW w:w="704" w:type="dxa"/>
          </w:tcPr>
          <w:p w14:paraId="47B0A4E8" w14:textId="793298B4" w:rsidR="00EF51DC" w:rsidRPr="00431622" w:rsidRDefault="00EF51DC" w:rsidP="00EF51DC">
            <w:pPr>
              <w:textAlignment w:val="baseline"/>
              <w:rPr>
                <w:rFonts w:cstheme="minorHAnsi"/>
                <w:iCs/>
                <w:lang w:eastAsia="en-GB"/>
              </w:rPr>
            </w:pPr>
            <w:r w:rsidRPr="00431622">
              <w:rPr>
                <w:rFonts w:cstheme="minorHAnsi"/>
                <w:iCs/>
                <w:lang w:eastAsia="en-GB"/>
              </w:rPr>
              <w:t xml:space="preserve">7. </w:t>
            </w:r>
          </w:p>
        </w:tc>
        <w:tc>
          <w:tcPr>
            <w:tcW w:w="6804" w:type="dxa"/>
            <w:shd w:val="clear" w:color="auto" w:fill="auto"/>
          </w:tcPr>
          <w:p w14:paraId="3A599A91" w14:textId="0E64D721" w:rsidR="00EF51DC" w:rsidRPr="00431622" w:rsidRDefault="00EF51DC" w:rsidP="007B4BCA">
            <w:pPr>
              <w:textAlignment w:val="baseline"/>
              <w:rPr>
                <w:rFonts w:cstheme="minorHAnsi"/>
                <w:iCs/>
                <w:lang w:eastAsia="en-GB"/>
              </w:rPr>
            </w:pPr>
            <w:r w:rsidRPr="00431622">
              <w:rPr>
                <w:rFonts w:cstheme="minorHAnsi"/>
                <w:iCs/>
                <w:lang w:eastAsia="en-GB"/>
              </w:rPr>
              <w:t>DFAT should work with multilaterals and other donors where they are already delivering budget support, noting there may be times when it is appropriate for Australia to unilaterally provide budget support.</w:t>
            </w:r>
          </w:p>
        </w:tc>
        <w:tc>
          <w:tcPr>
            <w:tcW w:w="6379" w:type="dxa"/>
          </w:tcPr>
          <w:p w14:paraId="1A8B7655" w14:textId="532E55E9" w:rsidR="00EF51DC" w:rsidRPr="00431622" w:rsidRDefault="00EF51DC" w:rsidP="00EF51DC">
            <w:pPr>
              <w:rPr>
                <w:rFonts w:cstheme="minorHAnsi"/>
                <w:iCs/>
                <w:lang w:eastAsia="en-GB"/>
              </w:rPr>
            </w:pPr>
            <w:r w:rsidRPr="00431622">
              <w:rPr>
                <w:rFonts w:cstheme="minorHAnsi"/>
                <w:iCs/>
                <w:lang w:eastAsia="en-GB"/>
              </w:rPr>
              <w:t xml:space="preserve">Agree. Harmonising activities and policy dialogue with multilaterals and other donors providing budget support helps to improve development impact. Australia can also support partner Governments by supporting coordination mechanisms. </w:t>
            </w:r>
          </w:p>
        </w:tc>
      </w:tr>
      <w:tr w:rsidR="00EF51DC" w:rsidRPr="00431622" w14:paraId="4A2964A1" w14:textId="77777777" w:rsidTr="00431622">
        <w:tc>
          <w:tcPr>
            <w:tcW w:w="704" w:type="dxa"/>
          </w:tcPr>
          <w:p w14:paraId="1DAD48E2" w14:textId="4678F2AB" w:rsidR="00EF51DC" w:rsidRPr="00431622" w:rsidRDefault="00EF51DC" w:rsidP="00EF51DC">
            <w:pPr>
              <w:textAlignment w:val="baseline"/>
              <w:rPr>
                <w:rFonts w:cstheme="minorHAnsi"/>
                <w:iCs/>
                <w:lang w:eastAsia="en-GB"/>
              </w:rPr>
            </w:pPr>
            <w:r w:rsidRPr="00431622">
              <w:rPr>
                <w:rFonts w:cstheme="minorHAnsi"/>
                <w:iCs/>
                <w:lang w:eastAsia="en-GB"/>
              </w:rPr>
              <w:t xml:space="preserve">8. </w:t>
            </w:r>
          </w:p>
        </w:tc>
        <w:tc>
          <w:tcPr>
            <w:tcW w:w="6804" w:type="dxa"/>
            <w:shd w:val="clear" w:color="auto" w:fill="auto"/>
          </w:tcPr>
          <w:p w14:paraId="14C34622" w14:textId="180C5976" w:rsidR="00EF51DC" w:rsidRPr="00431622" w:rsidRDefault="00EF51DC" w:rsidP="007B4BCA">
            <w:pPr>
              <w:textAlignment w:val="baseline"/>
              <w:rPr>
                <w:rFonts w:cstheme="minorHAnsi"/>
                <w:iCs/>
                <w:lang w:eastAsia="en-GB"/>
              </w:rPr>
            </w:pPr>
            <w:r w:rsidRPr="00431622">
              <w:rPr>
                <w:rFonts w:cstheme="minorHAnsi"/>
                <w:iCs/>
                <w:lang w:eastAsia="en-GB"/>
              </w:rPr>
              <w:t>DFAT should implement budget support through multiyear commitments. Multiyear commitments would allow for greater forward planning, and it is recommended that more certainty is provided on the quantum of funds from year to year.</w:t>
            </w:r>
          </w:p>
        </w:tc>
        <w:tc>
          <w:tcPr>
            <w:tcW w:w="6379" w:type="dxa"/>
          </w:tcPr>
          <w:p w14:paraId="22665075" w14:textId="78F4EE34" w:rsidR="00EF51DC" w:rsidRPr="00431622" w:rsidRDefault="00EF51DC" w:rsidP="00EF51DC">
            <w:pPr>
              <w:rPr>
                <w:rFonts w:cstheme="minorHAnsi"/>
                <w:iCs/>
                <w:lang w:eastAsia="en-GB"/>
              </w:rPr>
            </w:pPr>
            <w:r w:rsidRPr="00431622">
              <w:rPr>
                <w:rFonts w:cstheme="minorHAnsi"/>
                <w:iCs/>
                <w:lang w:eastAsia="en-GB"/>
              </w:rPr>
              <w:t xml:space="preserve">Partially agree. Australia recognises Pacific partners’ preference for multi-year commitments to support budget planning, longer term reform agendas and stability but notes the need for multi-year commitments to remain subject to Australian annual budget approval processes and </w:t>
            </w:r>
            <w:proofErr w:type="gramStart"/>
            <w:r w:rsidR="00B52FD6">
              <w:rPr>
                <w:rFonts w:cstheme="minorHAnsi"/>
                <w:iCs/>
                <w:lang w:eastAsia="en-GB"/>
              </w:rPr>
              <w:t>a number of</w:t>
            </w:r>
            <w:proofErr w:type="gramEnd"/>
            <w:r w:rsidR="00B52FD6">
              <w:rPr>
                <w:rFonts w:cstheme="minorHAnsi"/>
                <w:iCs/>
                <w:lang w:eastAsia="en-GB"/>
              </w:rPr>
              <w:t xml:space="preserve"> country specific </w:t>
            </w:r>
            <w:r w:rsidR="00540FB3">
              <w:rPr>
                <w:rFonts w:cstheme="minorHAnsi"/>
                <w:iCs/>
                <w:lang w:eastAsia="en-GB"/>
              </w:rPr>
              <w:t>factors</w:t>
            </w:r>
            <w:r w:rsidR="00B52FD6">
              <w:rPr>
                <w:rFonts w:cstheme="minorHAnsi"/>
                <w:iCs/>
                <w:lang w:eastAsia="en-GB"/>
              </w:rPr>
              <w:t>.</w:t>
            </w:r>
            <w:r w:rsidRPr="00431622">
              <w:rPr>
                <w:rFonts w:cstheme="minorHAnsi"/>
                <w:iCs/>
                <w:lang w:eastAsia="en-GB"/>
              </w:rPr>
              <w:t xml:space="preserve"> </w:t>
            </w:r>
          </w:p>
        </w:tc>
      </w:tr>
      <w:tr w:rsidR="00EF51DC" w:rsidRPr="00431622" w14:paraId="2D4BE237" w14:textId="77777777" w:rsidTr="00431622">
        <w:tc>
          <w:tcPr>
            <w:tcW w:w="704" w:type="dxa"/>
          </w:tcPr>
          <w:p w14:paraId="57D4B3EB" w14:textId="1895BA99" w:rsidR="00EF51DC" w:rsidRPr="00431622" w:rsidRDefault="00EF51DC" w:rsidP="00EF51DC">
            <w:pPr>
              <w:textAlignment w:val="baseline"/>
              <w:rPr>
                <w:rFonts w:cstheme="minorHAnsi"/>
                <w:iCs/>
                <w:lang w:eastAsia="en-GB"/>
              </w:rPr>
            </w:pPr>
            <w:r w:rsidRPr="00431622">
              <w:rPr>
                <w:rFonts w:cstheme="minorHAnsi"/>
                <w:iCs/>
                <w:lang w:eastAsia="en-GB"/>
              </w:rPr>
              <w:t xml:space="preserve">9. </w:t>
            </w:r>
          </w:p>
        </w:tc>
        <w:tc>
          <w:tcPr>
            <w:tcW w:w="6804" w:type="dxa"/>
            <w:shd w:val="clear" w:color="auto" w:fill="auto"/>
          </w:tcPr>
          <w:p w14:paraId="59C389E3" w14:textId="449AE5D7" w:rsidR="00EF51DC" w:rsidRPr="00431622" w:rsidRDefault="00EF51DC" w:rsidP="007B4BCA">
            <w:pPr>
              <w:textAlignment w:val="baseline"/>
              <w:rPr>
                <w:rFonts w:cstheme="minorHAnsi"/>
                <w:iCs/>
                <w:lang w:eastAsia="en-GB"/>
              </w:rPr>
            </w:pPr>
            <w:r w:rsidRPr="00431622">
              <w:rPr>
                <w:rFonts w:cstheme="minorHAnsi"/>
                <w:iCs/>
                <w:lang w:eastAsia="en-GB"/>
              </w:rPr>
              <w:t xml:space="preserve">To support GEDSI outcomes, the following actions by DFAT Posts are recommended: </w:t>
            </w:r>
          </w:p>
          <w:p w14:paraId="3D8D9D9C" w14:textId="67D08EBC" w:rsidR="00EF51DC" w:rsidRPr="00431622" w:rsidRDefault="00EF51DC" w:rsidP="007B4BCA">
            <w:pPr>
              <w:pStyle w:val="ListParagraph"/>
              <w:numPr>
                <w:ilvl w:val="0"/>
                <w:numId w:val="16"/>
              </w:numPr>
              <w:textAlignment w:val="baseline"/>
              <w:rPr>
                <w:rFonts w:cstheme="minorHAnsi"/>
                <w:iCs/>
                <w:lang w:eastAsia="en-GB"/>
              </w:rPr>
            </w:pPr>
            <w:r w:rsidRPr="00431622">
              <w:rPr>
                <w:rFonts w:cstheme="minorHAnsi"/>
                <w:iCs/>
                <w:lang w:eastAsia="en-GB"/>
              </w:rPr>
              <w:t>Consultation with women’s groups, government ministries for women, and people with disabilities and their organisations at least annually to understand the impacts of budget support and bring these voices to policy dialogue with partner governments as appropriate.</w:t>
            </w:r>
          </w:p>
          <w:p w14:paraId="7CE442D5" w14:textId="599CB4AE" w:rsidR="00EF51DC" w:rsidRPr="00431622" w:rsidRDefault="00EF51DC" w:rsidP="00EF51DC">
            <w:pPr>
              <w:pStyle w:val="ListParagraph"/>
              <w:numPr>
                <w:ilvl w:val="0"/>
                <w:numId w:val="16"/>
              </w:numPr>
              <w:textAlignment w:val="baseline"/>
              <w:rPr>
                <w:rFonts w:cstheme="minorHAnsi"/>
                <w:iCs/>
                <w:lang w:eastAsia="en-GB"/>
              </w:rPr>
            </w:pPr>
            <w:r w:rsidRPr="00431622">
              <w:rPr>
                <w:rFonts w:cstheme="minorHAnsi"/>
                <w:iCs/>
                <w:lang w:eastAsia="en-GB"/>
              </w:rPr>
              <w:t xml:space="preserve">Prioritising GEDSI in policy dialogue, identifying initial steps if needed (e.g. sex-disaggregated data) which can grow into larger efforts over time. In many countries, greater ambition is possible, informed by Post mapping partner government policy commitments (including use of material already available such as </w:t>
            </w:r>
            <w:r w:rsidRPr="00431622">
              <w:rPr>
                <w:rFonts w:cstheme="minorHAnsi"/>
                <w:iCs/>
                <w:lang w:eastAsia="en-GB"/>
              </w:rPr>
              <w:lastRenderedPageBreak/>
              <w:t xml:space="preserve">GEDSI Fast Facts, and where relevant, country-level GEDSI strategies and focal points). </w:t>
            </w:r>
          </w:p>
          <w:p w14:paraId="5BE4EB6D" w14:textId="77777777" w:rsidR="00EF51DC" w:rsidRPr="00431622" w:rsidRDefault="00EF51DC" w:rsidP="00EF51DC">
            <w:pPr>
              <w:pStyle w:val="ListParagraph"/>
              <w:numPr>
                <w:ilvl w:val="0"/>
                <w:numId w:val="16"/>
              </w:numPr>
              <w:textAlignment w:val="baseline"/>
              <w:rPr>
                <w:rFonts w:cstheme="minorHAnsi"/>
                <w:iCs/>
                <w:lang w:eastAsia="en-GB"/>
              </w:rPr>
            </w:pPr>
            <w:r w:rsidRPr="00431622">
              <w:rPr>
                <w:rFonts w:cstheme="minorHAnsi"/>
                <w:iCs/>
                <w:lang w:eastAsia="en-GB"/>
              </w:rPr>
              <w:t xml:space="preserve">Risk monitoring regularly with measures to address GEDSI risks (including failing to achieve GEDSI outcomes and/or causing harm). </w:t>
            </w:r>
          </w:p>
          <w:p w14:paraId="78288CC9" w14:textId="77777777" w:rsidR="00EF51DC" w:rsidRPr="00431622" w:rsidRDefault="00EF51DC" w:rsidP="00EF51DC">
            <w:pPr>
              <w:pStyle w:val="ListParagraph"/>
              <w:numPr>
                <w:ilvl w:val="0"/>
                <w:numId w:val="16"/>
              </w:numPr>
              <w:textAlignment w:val="baseline"/>
              <w:rPr>
                <w:rFonts w:cstheme="minorHAnsi"/>
                <w:iCs/>
                <w:lang w:eastAsia="en-GB"/>
              </w:rPr>
            </w:pPr>
            <w:r w:rsidRPr="00431622">
              <w:rPr>
                <w:rFonts w:cstheme="minorHAnsi"/>
                <w:iCs/>
                <w:lang w:eastAsia="en-GB"/>
              </w:rPr>
              <w:t xml:space="preserve">Data disaggregated by sex and disability proactively raised with government partners at the outset, and discussing ways to support this as necessary. </w:t>
            </w:r>
          </w:p>
          <w:p w14:paraId="51FD5F38" w14:textId="77777777" w:rsidR="00EF51DC" w:rsidRPr="00431622" w:rsidRDefault="00EF51DC" w:rsidP="00EF51DC">
            <w:pPr>
              <w:pStyle w:val="ListParagraph"/>
              <w:numPr>
                <w:ilvl w:val="0"/>
                <w:numId w:val="16"/>
              </w:numPr>
              <w:textAlignment w:val="baseline"/>
              <w:rPr>
                <w:rFonts w:cstheme="minorHAnsi"/>
                <w:iCs/>
                <w:lang w:eastAsia="en-GB"/>
              </w:rPr>
            </w:pPr>
            <w:r w:rsidRPr="00431622">
              <w:rPr>
                <w:rFonts w:cstheme="minorHAnsi"/>
                <w:iCs/>
                <w:lang w:eastAsia="en-GB"/>
              </w:rPr>
              <w:t>Program objective and/or narrative around targeting 'vulnerable groups' is replaced with 'women and girls, diverse genders, people with disabilities and other socially marginalised groups’ to prompt specific measures.</w:t>
            </w:r>
          </w:p>
          <w:p w14:paraId="3106634F" w14:textId="5FC58D28" w:rsidR="00EF51DC" w:rsidRPr="00431622" w:rsidRDefault="00EF51DC" w:rsidP="007B4BCA">
            <w:pPr>
              <w:pStyle w:val="ListParagraph"/>
              <w:numPr>
                <w:ilvl w:val="0"/>
                <w:numId w:val="16"/>
              </w:numPr>
              <w:textAlignment w:val="baseline"/>
              <w:rPr>
                <w:rFonts w:cstheme="minorHAnsi"/>
                <w:iCs/>
                <w:lang w:eastAsia="en-GB"/>
              </w:rPr>
            </w:pPr>
            <w:r w:rsidRPr="00431622">
              <w:rPr>
                <w:rFonts w:cstheme="minorHAnsi"/>
                <w:iCs/>
                <w:lang w:eastAsia="en-GB"/>
              </w:rPr>
              <w:t xml:space="preserve">Earmarked/bilateral budget funding and technical assistance to support GEDSI outcomes explored, alongside strengthening policy dialogue with partner governments and multilaterals for advancing GEDSI. </w:t>
            </w:r>
          </w:p>
        </w:tc>
        <w:tc>
          <w:tcPr>
            <w:tcW w:w="6379" w:type="dxa"/>
          </w:tcPr>
          <w:p w14:paraId="5D1C99FA" w14:textId="343F6029" w:rsidR="00EF51DC" w:rsidRPr="00431622" w:rsidRDefault="00EF51DC" w:rsidP="00EF51DC">
            <w:pPr>
              <w:rPr>
                <w:rFonts w:cstheme="minorHAnsi"/>
                <w:iCs/>
                <w:lang w:eastAsia="en-GB"/>
              </w:rPr>
            </w:pPr>
            <w:r w:rsidRPr="00431622">
              <w:rPr>
                <w:rFonts w:cstheme="minorHAnsi"/>
                <w:iCs/>
                <w:lang w:eastAsia="en-GB"/>
              </w:rPr>
              <w:lastRenderedPageBreak/>
              <w:t>Agree. These actions will be undertaken and monitored through the ongoing design and inception of new direct financing arrangements</w:t>
            </w:r>
            <w:r w:rsidR="00540FB3">
              <w:rPr>
                <w:rFonts w:cstheme="minorHAnsi"/>
                <w:iCs/>
                <w:lang w:eastAsia="en-GB"/>
              </w:rPr>
              <w:t xml:space="preserve"> in a way that aligns </w:t>
            </w:r>
            <w:r w:rsidR="00147668">
              <w:rPr>
                <w:rFonts w:cstheme="minorHAnsi"/>
                <w:iCs/>
                <w:lang w:eastAsia="en-GB"/>
              </w:rPr>
              <w:t xml:space="preserve">with </w:t>
            </w:r>
            <w:r w:rsidR="007F54E7">
              <w:rPr>
                <w:rFonts w:cstheme="minorHAnsi"/>
                <w:iCs/>
                <w:lang w:eastAsia="en-GB"/>
              </w:rPr>
              <w:t>existing mechanisms and is non duplicative</w:t>
            </w:r>
            <w:r w:rsidRPr="00431622">
              <w:rPr>
                <w:rFonts w:cstheme="minorHAnsi"/>
                <w:iCs/>
                <w:lang w:eastAsia="en-GB"/>
              </w:rPr>
              <w:t xml:space="preserve">. </w:t>
            </w:r>
          </w:p>
        </w:tc>
      </w:tr>
      <w:tr w:rsidR="00EF51DC" w:rsidRPr="00431622" w14:paraId="22A95693" w14:textId="77777777" w:rsidTr="00431622">
        <w:tc>
          <w:tcPr>
            <w:tcW w:w="704" w:type="dxa"/>
          </w:tcPr>
          <w:p w14:paraId="2C6EBC4E" w14:textId="2C81A2EB" w:rsidR="00EF51DC" w:rsidRPr="00431622" w:rsidRDefault="00EF51DC" w:rsidP="00EF51DC">
            <w:pPr>
              <w:textAlignment w:val="baseline"/>
              <w:rPr>
                <w:rFonts w:cstheme="minorHAnsi"/>
                <w:iCs/>
                <w:lang w:eastAsia="en-GB"/>
              </w:rPr>
            </w:pPr>
            <w:r w:rsidRPr="00431622">
              <w:rPr>
                <w:rFonts w:cstheme="minorHAnsi"/>
                <w:iCs/>
                <w:lang w:eastAsia="en-GB"/>
              </w:rPr>
              <w:t>10.</w:t>
            </w:r>
          </w:p>
        </w:tc>
        <w:tc>
          <w:tcPr>
            <w:tcW w:w="6804" w:type="dxa"/>
            <w:shd w:val="clear" w:color="auto" w:fill="auto"/>
          </w:tcPr>
          <w:p w14:paraId="53321C04" w14:textId="5DE5CDEA" w:rsidR="00EF51DC" w:rsidRPr="00431622" w:rsidRDefault="00EF51DC" w:rsidP="007B4BCA">
            <w:pPr>
              <w:textAlignment w:val="baseline"/>
              <w:rPr>
                <w:rFonts w:cstheme="minorHAnsi"/>
                <w:iCs/>
                <w:lang w:eastAsia="en-GB"/>
              </w:rPr>
            </w:pPr>
            <w:r w:rsidRPr="00431622">
              <w:rPr>
                <w:rFonts w:cstheme="minorHAnsi"/>
                <w:iCs/>
                <w:lang w:eastAsia="en-GB"/>
              </w:rPr>
              <w:t>DFAT should implement stronger MEL requirements to continue to demonstrate the case for budget support and assess its contribution to desired outcomes. High quality country-level PAFs that are jointly agreed with partner governments are recommended for earmarked budget support. JPRMs can be effective mechanisms for general budget support but Posts need to be proactive in monitoring impacts on the ground.</w:t>
            </w:r>
          </w:p>
        </w:tc>
        <w:tc>
          <w:tcPr>
            <w:tcW w:w="6379" w:type="dxa"/>
          </w:tcPr>
          <w:p w14:paraId="44699C98" w14:textId="2D00D548" w:rsidR="00EF51DC" w:rsidRPr="00431622" w:rsidRDefault="00EF51DC" w:rsidP="00EF51DC">
            <w:pPr>
              <w:rPr>
                <w:rFonts w:cstheme="minorHAnsi"/>
                <w:iCs/>
                <w:lang w:eastAsia="en-GB"/>
              </w:rPr>
            </w:pPr>
            <w:r w:rsidRPr="00431622">
              <w:rPr>
                <w:rFonts w:cstheme="minorHAnsi"/>
                <w:iCs/>
                <w:lang w:eastAsia="en-GB"/>
              </w:rPr>
              <w:t xml:space="preserve">Partially agree. All future ongoing direct financing investments will be guided by high quality performance assessment frameworks and MEL Plan with dedicated resources for monitoring and evaluation as per DFAT’s Design and Monitoring, Evaluation and Learning Standard. </w:t>
            </w:r>
          </w:p>
        </w:tc>
      </w:tr>
      <w:tr w:rsidR="00EF51DC" w:rsidRPr="00431622" w14:paraId="61F76CEB" w14:textId="77777777" w:rsidTr="00431622">
        <w:tc>
          <w:tcPr>
            <w:tcW w:w="704" w:type="dxa"/>
          </w:tcPr>
          <w:p w14:paraId="7AFE7EA5" w14:textId="1C27B40F" w:rsidR="00EF51DC" w:rsidRPr="00431622" w:rsidRDefault="00EF51DC" w:rsidP="00EF51DC">
            <w:pPr>
              <w:textAlignment w:val="baseline"/>
              <w:rPr>
                <w:rFonts w:cstheme="minorHAnsi"/>
                <w:iCs/>
                <w:lang w:eastAsia="en-GB"/>
              </w:rPr>
            </w:pPr>
            <w:r w:rsidRPr="00431622">
              <w:rPr>
                <w:rFonts w:cstheme="minorHAnsi"/>
                <w:iCs/>
                <w:lang w:eastAsia="en-GB"/>
              </w:rPr>
              <w:t>11.</w:t>
            </w:r>
          </w:p>
        </w:tc>
        <w:tc>
          <w:tcPr>
            <w:tcW w:w="6804" w:type="dxa"/>
            <w:shd w:val="clear" w:color="auto" w:fill="auto"/>
          </w:tcPr>
          <w:p w14:paraId="271E2AA6" w14:textId="01C63391" w:rsidR="00EF51DC" w:rsidRPr="00431622" w:rsidRDefault="00EF51DC" w:rsidP="007B4BCA">
            <w:pPr>
              <w:textAlignment w:val="baseline"/>
              <w:rPr>
                <w:rFonts w:ascii="Open Sans Light" w:eastAsia="Times New Roman" w:hAnsi="Open Sans Light" w:cs="Open Sans Light"/>
                <w:b/>
                <w:bCs/>
                <w:color w:val="4D4D4F"/>
                <w:lang w:eastAsia="en-GB"/>
              </w:rPr>
            </w:pPr>
            <w:r w:rsidRPr="00431622">
              <w:rPr>
                <w:rFonts w:cstheme="minorHAnsi"/>
                <w:iCs/>
                <w:lang w:eastAsia="en-GB"/>
              </w:rPr>
              <w:t>DFAT should keep open the options of designing and implementing budget support programs at both regional and bilateral levels.</w:t>
            </w:r>
          </w:p>
        </w:tc>
        <w:tc>
          <w:tcPr>
            <w:tcW w:w="6379" w:type="dxa"/>
          </w:tcPr>
          <w:p w14:paraId="4B56F4BA" w14:textId="5A343A18" w:rsidR="00EF51DC" w:rsidRPr="00431622" w:rsidRDefault="00D2758E" w:rsidP="007B4BCA">
            <w:pPr>
              <w:spacing w:before="120" w:after="160"/>
              <w:rPr>
                <w:rFonts w:cstheme="minorHAnsi"/>
                <w:iCs/>
                <w:lang w:eastAsia="en-GB"/>
              </w:rPr>
            </w:pPr>
            <w:r>
              <w:rPr>
                <w:rFonts w:cstheme="minorHAnsi"/>
                <w:iCs/>
                <w:lang w:eastAsia="en-GB"/>
              </w:rPr>
              <w:t>A</w:t>
            </w:r>
            <w:r w:rsidR="00EF51DC" w:rsidRPr="00431622">
              <w:rPr>
                <w:rFonts w:cstheme="minorHAnsi"/>
                <w:iCs/>
                <w:lang w:eastAsia="en-GB"/>
              </w:rPr>
              <w:t xml:space="preserve">gree. DFAT agrees that future packages of direct budget support should be designed and implemented at posts. We also agree with the need to harness multi-country benefits, including policy guidance, technical support and lesson sharing which is best led by Canberra-based teams. </w:t>
            </w:r>
            <w:r w:rsidR="002D197C">
              <w:rPr>
                <w:rFonts w:cstheme="minorHAnsi"/>
                <w:iCs/>
                <w:lang w:eastAsia="en-GB"/>
              </w:rPr>
              <w:t xml:space="preserve">We will continue to monitor. </w:t>
            </w:r>
            <w:r w:rsidR="00EF51DC" w:rsidRPr="00431622">
              <w:rPr>
                <w:rFonts w:cstheme="minorHAnsi"/>
                <w:iCs/>
                <w:lang w:eastAsia="en-GB"/>
              </w:rPr>
              <w:t xml:space="preserve"> </w:t>
            </w:r>
          </w:p>
        </w:tc>
      </w:tr>
    </w:tbl>
    <w:p w14:paraId="4BC450BA" w14:textId="00B47B73" w:rsidR="001166F9" w:rsidRPr="00431622" w:rsidRDefault="001166F9" w:rsidP="007B4BCA">
      <w:pPr>
        <w:spacing w:after="0" w:line="240" w:lineRule="auto"/>
        <w:rPr>
          <w:sz w:val="20"/>
          <w:szCs w:val="20"/>
        </w:rPr>
      </w:pPr>
    </w:p>
    <w:sectPr w:rsidR="001166F9" w:rsidRPr="00431622" w:rsidSect="004316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8E90" w14:textId="77777777" w:rsidR="008F5BF0" w:rsidRDefault="008F5BF0" w:rsidP="00E10E5D">
      <w:pPr>
        <w:spacing w:after="0" w:line="240" w:lineRule="auto"/>
      </w:pPr>
      <w:r>
        <w:separator/>
      </w:r>
    </w:p>
  </w:endnote>
  <w:endnote w:type="continuationSeparator" w:id="0">
    <w:p w14:paraId="7C0AF033" w14:textId="77777777" w:rsidR="008F5BF0" w:rsidRDefault="008F5BF0" w:rsidP="00E10E5D">
      <w:pPr>
        <w:spacing w:after="0" w:line="240" w:lineRule="auto"/>
      </w:pPr>
      <w:r>
        <w:continuationSeparator/>
      </w:r>
    </w:p>
  </w:endnote>
  <w:endnote w:type="continuationNotice" w:id="1">
    <w:p w14:paraId="0B2B4BA6" w14:textId="77777777" w:rsidR="008F5BF0" w:rsidRDefault="008F5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7859"/>
      <w:docPartObj>
        <w:docPartGallery w:val="Page Numbers (Bottom of Page)"/>
        <w:docPartUnique/>
      </w:docPartObj>
    </w:sdtPr>
    <w:sdtEndPr>
      <w:rPr>
        <w:noProof/>
      </w:rPr>
    </w:sdtEndPr>
    <w:sdtContent>
      <w:p w14:paraId="757B9FC8" w14:textId="4B8730DD" w:rsidR="00EF51DC" w:rsidRDefault="00EF51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A69DC" w14:textId="77777777" w:rsidR="00EF51DC" w:rsidRDefault="00EF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5D89" w14:textId="77777777" w:rsidR="008F5BF0" w:rsidRDefault="008F5BF0" w:rsidP="00E10E5D">
      <w:pPr>
        <w:spacing w:after="0" w:line="240" w:lineRule="auto"/>
      </w:pPr>
      <w:r>
        <w:separator/>
      </w:r>
    </w:p>
  </w:footnote>
  <w:footnote w:type="continuationSeparator" w:id="0">
    <w:p w14:paraId="1C16ED9F" w14:textId="77777777" w:rsidR="008F5BF0" w:rsidRDefault="008F5BF0" w:rsidP="00E10E5D">
      <w:pPr>
        <w:spacing w:after="0" w:line="240" w:lineRule="auto"/>
      </w:pPr>
      <w:r>
        <w:continuationSeparator/>
      </w:r>
    </w:p>
  </w:footnote>
  <w:footnote w:type="continuationNotice" w:id="1">
    <w:p w14:paraId="33AE3B31" w14:textId="77777777" w:rsidR="008F5BF0" w:rsidRDefault="008F5B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057"/>
    <w:multiLevelType w:val="hybridMultilevel"/>
    <w:tmpl w:val="5DD04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D45F4A"/>
    <w:multiLevelType w:val="hybridMultilevel"/>
    <w:tmpl w:val="2C063B0E"/>
    <w:lvl w:ilvl="0" w:tplc="BCB85F58">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E1611"/>
    <w:multiLevelType w:val="hybridMultilevel"/>
    <w:tmpl w:val="8CFABA32"/>
    <w:lvl w:ilvl="0" w:tplc="948E74D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768BB"/>
    <w:multiLevelType w:val="hybridMultilevel"/>
    <w:tmpl w:val="3AEAA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CC3D97"/>
    <w:multiLevelType w:val="multilevel"/>
    <w:tmpl w:val="2AD0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A7B87"/>
    <w:multiLevelType w:val="hybridMultilevel"/>
    <w:tmpl w:val="8FAAD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39095E"/>
    <w:multiLevelType w:val="hybridMultilevel"/>
    <w:tmpl w:val="3BF6D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CB938E2"/>
    <w:multiLevelType w:val="hybridMultilevel"/>
    <w:tmpl w:val="C8004E84"/>
    <w:lvl w:ilvl="0" w:tplc="08090001">
      <w:start w:val="1"/>
      <w:numFmt w:val="bullet"/>
      <w:lvlText w:val=""/>
      <w:lvlJc w:val="left"/>
      <w:pPr>
        <w:ind w:left="340" w:hanging="360"/>
      </w:pPr>
      <w:rPr>
        <w:rFonts w:ascii="Symbol" w:hAnsi="Symbol" w:hint="default"/>
      </w:rPr>
    </w:lvl>
    <w:lvl w:ilvl="1" w:tplc="08090003">
      <w:start w:val="1"/>
      <w:numFmt w:val="bullet"/>
      <w:lvlText w:val="o"/>
      <w:lvlJc w:val="left"/>
      <w:pPr>
        <w:ind w:left="1060" w:hanging="360"/>
      </w:pPr>
      <w:rPr>
        <w:rFonts w:ascii="Courier New" w:hAnsi="Courier New" w:cs="Courier New" w:hint="default"/>
      </w:rPr>
    </w:lvl>
    <w:lvl w:ilvl="2" w:tplc="08090005">
      <w:start w:val="1"/>
      <w:numFmt w:val="bullet"/>
      <w:lvlText w:val=""/>
      <w:lvlJc w:val="left"/>
      <w:pPr>
        <w:ind w:left="1780" w:hanging="360"/>
      </w:pPr>
      <w:rPr>
        <w:rFonts w:ascii="Wingdings" w:hAnsi="Wingdings" w:hint="default"/>
      </w:rPr>
    </w:lvl>
    <w:lvl w:ilvl="3" w:tplc="08090001">
      <w:start w:val="1"/>
      <w:numFmt w:val="bullet"/>
      <w:lvlText w:val=""/>
      <w:lvlJc w:val="left"/>
      <w:pPr>
        <w:ind w:left="2500" w:hanging="360"/>
      </w:pPr>
      <w:rPr>
        <w:rFonts w:ascii="Symbol" w:hAnsi="Symbol" w:hint="default"/>
      </w:rPr>
    </w:lvl>
    <w:lvl w:ilvl="4" w:tplc="08090003">
      <w:start w:val="1"/>
      <w:numFmt w:val="bullet"/>
      <w:lvlText w:val="o"/>
      <w:lvlJc w:val="left"/>
      <w:pPr>
        <w:ind w:left="3220" w:hanging="360"/>
      </w:pPr>
      <w:rPr>
        <w:rFonts w:ascii="Courier New" w:hAnsi="Courier New" w:cs="Courier New" w:hint="default"/>
      </w:rPr>
    </w:lvl>
    <w:lvl w:ilvl="5" w:tplc="08090005">
      <w:start w:val="1"/>
      <w:numFmt w:val="bullet"/>
      <w:lvlText w:val=""/>
      <w:lvlJc w:val="left"/>
      <w:pPr>
        <w:ind w:left="3940" w:hanging="360"/>
      </w:pPr>
      <w:rPr>
        <w:rFonts w:ascii="Wingdings" w:hAnsi="Wingdings" w:hint="default"/>
      </w:rPr>
    </w:lvl>
    <w:lvl w:ilvl="6" w:tplc="08090001">
      <w:start w:val="1"/>
      <w:numFmt w:val="bullet"/>
      <w:lvlText w:val=""/>
      <w:lvlJc w:val="left"/>
      <w:pPr>
        <w:ind w:left="4660" w:hanging="360"/>
      </w:pPr>
      <w:rPr>
        <w:rFonts w:ascii="Symbol" w:hAnsi="Symbol" w:hint="default"/>
      </w:rPr>
    </w:lvl>
    <w:lvl w:ilvl="7" w:tplc="08090003">
      <w:start w:val="1"/>
      <w:numFmt w:val="bullet"/>
      <w:lvlText w:val="o"/>
      <w:lvlJc w:val="left"/>
      <w:pPr>
        <w:ind w:left="5380" w:hanging="360"/>
      </w:pPr>
      <w:rPr>
        <w:rFonts w:ascii="Courier New" w:hAnsi="Courier New" w:cs="Courier New" w:hint="default"/>
      </w:rPr>
    </w:lvl>
    <w:lvl w:ilvl="8" w:tplc="08090005">
      <w:start w:val="1"/>
      <w:numFmt w:val="bullet"/>
      <w:lvlText w:val=""/>
      <w:lvlJc w:val="left"/>
      <w:pPr>
        <w:ind w:left="6100" w:hanging="360"/>
      </w:pPr>
      <w:rPr>
        <w:rFonts w:ascii="Wingdings" w:hAnsi="Wingdings" w:hint="default"/>
      </w:rPr>
    </w:lvl>
  </w:abstractNum>
  <w:abstractNum w:abstractNumId="8" w15:restartNumberingAfterBreak="0">
    <w:nsid w:val="40217B44"/>
    <w:multiLevelType w:val="hybridMultilevel"/>
    <w:tmpl w:val="7AE06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396784B"/>
    <w:multiLevelType w:val="multilevel"/>
    <w:tmpl w:val="6F9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98402"/>
    <w:multiLevelType w:val="hybridMultilevel"/>
    <w:tmpl w:val="FFFFFFFF"/>
    <w:lvl w:ilvl="0" w:tplc="0BBEFB4C">
      <w:start w:val="1"/>
      <w:numFmt w:val="bullet"/>
      <w:lvlText w:val="·"/>
      <w:lvlJc w:val="left"/>
      <w:pPr>
        <w:ind w:left="720" w:hanging="360"/>
      </w:pPr>
      <w:rPr>
        <w:rFonts w:ascii="Symbol" w:hAnsi="Symbol" w:hint="default"/>
      </w:rPr>
    </w:lvl>
    <w:lvl w:ilvl="1" w:tplc="1F508BDE">
      <w:start w:val="1"/>
      <w:numFmt w:val="bullet"/>
      <w:lvlText w:val="o"/>
      <w:lvlJc w:val="left"/>
      <w:pPr>
        <w:ind w:left="1440" w:hanging="360"/>
      </w:pPr>
      <w:rPr>
        <w:rFonts w:ascii="Courier New" w:hAnsi="Courier New" w:cs="Times New Roman" w:hint="default"/>
      </w:rPr>
    </w:lvl>
    <w:lvl w:ilvl="2" w:tplc="4D88B032">
      <w:start w:val="1"/>
      <w:numFmt w:val="bullet"/>
      <w:lvlText w:val=""/>
      <w:lvlJc w:val="left"/>
      <w:pPr>
        <w:ind w:left="2160" w:hanging="360"/>
      </w:pPr>
      <w:rPr>
        <w:rFonts w:ascii="Wingdings" w:hAnsi="Wingdings" w:hint="default"/>
      </w:rPr>
    </w:lvl>
    <w:lvl w:ilvl="3" w:tplc="13981BAA">
      <w:start w:val="1"/>
      <w:numFmt w:val="bullet"/>
      <w:lvlText w:val=""/>
      <w:lvlJc w:val="left"/>
      <w:pPr>
        <w:ind w:left="2880" w:hanging="360"/>
      </w:pPr>
      <w:rPr>
        <w:rFonts w:ascii="Symbol" w:hAnsi="Symbol" w:hint="default"/>
      </w:rPr>
    </w:lvl>
    <w:lvl w:ilvl="4" w:tplc="BCF6C082">
      <w:start w:val="1"/>
      <w:numFmt w:val="bullet"/>
      <w:lvlText w:val="o"/>
      <w:lvlJc w:val="left"/>
      <w:pPr>
        <w:ind w:left="3600" w:hanging="360"/>
      </w:pPr>
      <w:rPr>
        <w:rFonts w:ascii="Courier New" w:hAnsi="Courier New" w:cs="Times New Roman" w:hint="default"/>
      </w:rPr>
    </w:lvl>
    <w:lvl w:ilvl="5" w:tplc="C71AA768">
      <w:start w:val="1"/>
      <w:numFmt w:val="bullet"/>
      <w:lvlText w:val=""/>
      <w:lvlJc w:val="left"/>
      <w:pPr>
        <w:ind w:left="4320" w:hanging="360"/>
      </w:pPr>
      <w:rPr>
        <w:rFonts w:ascii="Wingdings" w:hAnsi="Wingdings" w:hint="default"/>
      </w:rPr>
    </w:lvl>
    <w:lvl w:ilvl="6" w:tplc="B642A928">
      <w:start w:val="1"/>
      <w:numFmt w:val="bullet"/>
      <w:lvlText w:val=""/>
      <w:lvlJc w:val="left"/>
      <w:pPr>
        <w:ind w:left="5040" w:hanging="360"/>
      </w:pPr>
      <w:rPr>
        <w:rFonts w:ascii="Symbol" w:hAnsi="Symbol" w:hint="default"/>
      </w:rPr>
    </w:lvl>
    <w:lvl w:ilvl="7" w:tplc="E0360B3A">
      <w:start w:val="1"/>
      <w:numFmt w:val="bullet"/>
      <w:lvlText w:val="o"/>
      <w:lvlJc w:val="left"/>
      <w:pPr>
        <w:ind w:left="5760" w:hanging="360"/>
      </w:pPr>
      <w:rPr>
        <w:rFonts w:ascii="Courier New" w:hAnsi="Courier New" w:cs="Times New Roman" w:hint="default"/>
      </w:rPr>
    </w:lvl>
    <w:lvl w:ilvl="8" w:tplc="1F2422BC">
      <w:start w:val="1"/>
      <w:numFmt w:val="bullet"/>
      <w:lvlText w:val=""/>
      <w:lvlJc w:val="left"/>
      <w:pPr>
        <w:ind w:left="6480" w:hanging="360"/>
      </w:pPr>
      <w:rPr>
        <w:rFonts w:ascii="Wingdings" w:hAnsi="Wingdings" w:hint="default"/>
      </w:rPr>
    </w:lvl>
  </w:abstractNum>
  <w:abstractNum w:abstractNumId="11" w15:restartNumberingAfterBreak="0">
    <w:nsid w:val="5C014C84"/>
    <w:multiLevelType w:val="hybridMultilevel"/>
    <w:tmpl w:val="B8F4DB3A"/>
    <w:lvl w:ilvl="0" w:tplc="BA98DDF6">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9171A"/>
    <w:multiLevelType w:val="multilevel"/>
    <w:tmpl w:val="EA32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14143"/>
    <w:multiLevelType w:val="hybridMultilevel"/>
    <w:tmpl w:val="BE64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8974F1"/>
    <w:multiLevelType w:val="hybridMultilevel"/>
    <w:tmpl w:val="394A2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D26EF8"/>
    <w:multiLevelType w:val="multilevel"/>
    <w:tmpl w:val="F0D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E7F36"/>
    <w:multiLevelType w:val="multilevel"/>
    <w:tmpl w:val="063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079FB"/>
    <w:multiLevelType w:val="hybridMultilevel"/>
    <w:tmpl w:val="2BD61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28518">
    <w:abstractNumId w:val="3"/>
  </w:num>
  <w:num w:numId="2" w16cid:durableId="607004474">
    <w:abstractNumId w:val="4"/>
  </w:num>
  <w:num w:numId="3" w16cid:durableId="845822041">
    <w:abstractNumId w:val="9"/>
  </w:num>
  <w:num w:numId="4" w16cid:durableId="1463109289">
    <w:abstractNumId w:val="17"/>
  </w:num>
  <w:num w:numId="5" w16cid:durableId="586112979">
    <w:abstractNumId w:val="13"/>
  </w:num>
  <w:num w:numId="6" w16cid:durableId="2110352508">
    <w:abstractNumId w:val="8"/>
  </w:num>
  <w:num w:numId="7" w16cid:durableId="86659559">
    <w:abstractNumId w:val="0"/>
  </w:num>
  <w:num w:numId="8" w16cid:durableId="1179395297">
    <w:abstractNumId w:val="7"/>
  </w:num>
  <w:num w:numId="9" w16cid:durableId="1786120830">
    <w:abstractNumId w:val="16"/>
  </w:num>
  <w:num w:numId="10" w16cid:durableId="1017003227">
    <w:abstractNumId w:val="12"/>
  </w:num>
  <w:num w:numId="11" w16cid:durableId="1434740031">
    <w:abstractNumId w:val="15"/>
  </w:num>
  <w:num w:numId="12" w16cid:durableId="2060745318">
    <w:abstractNumId w:val="14"/>
  </w:num>
  <w:num w:numId="13" w16cid:durableId="1495102320">
    <w:abstractNumId w:val="5"/>
  </w:num>
  <w:num w:numId="14" w16cid:durableId="1343237840">
    <w:abstractNumId w:val="6"/>
  </w:num>
  <w:num w:numId="15" w16cid:durableId="296302144">
    <w:abstractNumId w:val="10"/>
  </w:num>
  <w:num w:numId="16" w16cid:durableId="2026007971">
    <w:abstractNumId w:val="1"/>
  </w:num>
  <w:num w:numId="17" w16cid:durableId="945503311">
    <w:abstractNumId w:val="11"/>
  </w:num>
  <w:num w:numId="18" w16cid:durableId="211886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D7"/>
    <w:rsid w:val="00015999"/>
    <w:rsid w:val="00044153"/>
    <w:rsid w:val="000559C3"/>
    <w:rsid w:val="00072D29"/>
    <w:rsid w:val="00076378"/>
    <w:rsid w:val="00080729"/>
    <w:rsid w:val="00081554"/>
    <w:rsid w:val="00084E92"/>
    <w:rsid w:val="0009298C"/>
    <w:rsid w:val="000A33D1"/>
    <w:rsid w:val="000D3BF1"/>
    <w:rsid w:val="000D5A6B"/>
    <w:rsid w:val="000D62F2"/>
    <w:rsid w:val="00110248"/>
    <w:rsid w:val="001166F9"/>
    <w:rsid w:val="00121F38"/>
    <w:rsid w:val="00132A6E"/>
    <w:rsid w:val="00147668"/>
    <w:rsid w:val="001828D6"/>
    <w:rsid w:val="001B3790"/>
    <w:rsid w:val="001B7437"/>
    <w:rsid w:val="001F12C0"/>
    <w:rsid w:val="00200B36"/>
    <w:rsid w:val="002305A8"/>
    <w:rsid w:val="002330BC"/>
    <w:rsid w:val="0024736C"/>
    <w:rsid w:val="002655AA"/>
    <w:rsid w:val="00284C0D"/>
    <w:rsid w:val="00284DCD"/>
    <w:rsid w:val="00285C22"/>
    <w:rsid w:val="00287A52"/>
    <w:rsid w:val="00295C13"/>
    <w:rsid w:val="00295C33"/>
    <w:rsid w:val="00296B2B"/>
    <w:rsid w:val="002A2CC3"/>
    <w:rsid w:val="002A4F00"/>
    <w:rsid w:val="002A5EF4"/>
    <w:rsid w:val="002B26B3"/>
    <w:rsid w:val="002C61CB"/>
    <w:rsid w:val="002D197C"/>
    <w:rsid w:val="002D371A"/>
    <w:rsid w:val="002E19A3"/>
    <w:rsid w:val="002F10EB"/>
    <w:rsid w:val="003205B2"/>
    <w:rsid w:val="003342AB"/>
    <w:rsid w:val="00335D78"/>
    <w:rsid w:val="00343065"/>
    <w:rsid w:val="00353C86"/>
    <w:rsid w:val="0035577D"/>
    <w:rsid w:val="00357124"/>
    <w:rsid w:val="00361777"/>
    <w:rsid w:val="003656EE"/>
    <w:rsid w:val="0038642A"/>
    <w:rsid w:val="00397AD3"/>
    <w:rsid w:val="003B632D"/>
    <w:rsid w:val="003C0D8A"/>
    <w:rsid w:val="003C191B"/>
    <w:rsid w:val="003E644F"/>
    <w:rsid w:val="0040185C"/>
    <w:rsid w:val="00407E93"/>
    <w:rsid w:val="00416CF2"/>
    <w:rsid w:val="00425D7C"/>
    <w:rsid w:val="00431622"/>
    <w:rsid w:val="0044766A"/>
    <w:rsid w:val="004604E9"/>
    <w:rsid w:val="00490543"/>
    <w:rsid w:val="004A4653"/>
    <w:rsid w:val="004C6FC1"/>
    <w:rsid w:val="004D6EC3"/>
    <w:rsid w:val="004E39B5"/>
    <w:rsid w:val="005068C8"/>
    <w:rsid w:val="005140C9"/>
    <w:rsid w:val="00540FB3"/>
    <w:rsid w:val="005414E2"/>
    <w:rsid w:val="00546341"/>
    <w:rsid w:val="00563E29"/>
    <w:rsid w:val="00565F8D"/>
    <w:rsid w:val="0057151B"/>
    <w:rsid w:val="00571761"/>
    <w:rsid w:val="005736BC"/>
    <w:rsid w:val="005820E2"/>
    <w:rsid w:val="00591102"/>
    <w:rsid w:val="00593B47"/>
    <w:rsid w:val="005978F8"/>
    <w:rsid w:val="005A304C"/>
    <w:rsid w:val="005B32AC"/>
    <w:rsid w:val="005D1E54"/>
    <w:rsid w:val="0060798B"/>
    <w:rsid w:val="00623573"/>
    <w:rsid w:val="006453D6"/>
    <w:rsid w:val="006470D0"/>
    <w:rsid w:val="0067711E"/>
    <w:rsid w:val="006771AA"/>
    <w:rsid w:val="006A14EF"/>
    <w:rsid w:val="006B3133"/>
    <w:rsid w:val="006C4049"/>
    <w:rsid w:val="006D21FE"/>
    <w:rsid w:val="006E6B44"/>
    <w:rsid w:val="0070139D"/>
    <w:rsid w:val="00701F5B"/>
    <w:rsid w:val="007373A9"/>
    <w:rsid w:val="007451C0"/>
    <w:rsid w:val="007525B7"/>
    <w:rsid w:val="00753A04"/>
    <w:rsid w:val="00757445"/>
    <w:rsid w:val="0076018A"/>
    <w:rsid w:val="00760215"/>
    <w:rsid w:val="007613B1"/>
    <w:rsid w:val="00783A34"/>
    <w:rsid w:val="007B1C7E"/>
    <w:rsid w:val="007B4BCA"/>
    <w:rsid w:val="007F54E7"/>
    <w:rsid w:val="007F7BCE"/>
    <w:rsid w:val="008012BB"/>
    <w:rsid w:val="0081005F"/>
    <w:rsid w:val="008117A2"/>
    <w:rsid w:val="008219A3"/>
    <w:rsid w:val="008232E1"/>
    <w:rsid w:val="00826319"/>
    <w:rsid w:val="008664C5"/>
    <w:rsid w:val="008740B0"/>
    <w:rsid w:val="008743E9"/>
    <w:rsid w:val="0088466F"/>
    <w:rsid w:val="008851F2"/>
    <w:rsid w:val="008A7CF0"/>
    <w:rsid w:val="008E4F35"/>
    <w:rsid w:val="008E57B2"/>
    <w:rsid w:val="008E5C7E"/>
    <w:rsid w:val="008F5BF0"/>
    <w:rsid w:val="0090061A"/>
    <w:rsid w:val="009235E6"/>
    <w:rsid w:val="00931B5E"/>
    <w:rsid w:val="00936A32"/>
    <w:rsid w:val="009475AA"/>
    <w:rsid w:val="00961D51"/>
    <w:rsid w:val="00975506"/>
    <w:rsid w:val="00997A44"/>
    <w:rsid w:val="009A2991"/>
    <w:rsid w:val="009A3F67"/>
    <w:rsid w:val="009B1AA2"/>
    <w:rsid w:val="009B3204"/>
    <w:rsid w:val="009D51D5"/>
    <w:rsid w:val="009D7CF6"/>
    <w:rsid w:val="00A17850"/>
    <w:rsid w:val="00A25358"/>
    <w:rsid w:val="00A31D10"/>
    <w:rsid w:val="00A334FF"/>
    <w:rsid w:val="00A3394F"/>
    <w:rsid w:val="00A350A8"/>
    <w:rsid w:val="00A3613C"/>
    <w:rsid w:val="00A574D7"/>
    <w:rsid w:val="00A70A85"/>
    <w:rsid w:val="00AA09B6"/>
    <w:rsid w:val="00AD66AE"/>
    <w:rsid w:val="00AE46AE"/>
    <w:rsid w:val="00AE5F9B"/>
    <w:rsid w:val="00B03A5C"/>
    <w:rsid w:val="00B11035"/>
    <w:rsid w:val="00B1182D"/>
    <w:rsid w:val="00B235B5"/>
    <w:rsid w:val="00B33175"/>
    <w:rsid w:val="00B41041"/>
    <w:rsid w:val="00B44D69"/>
    <w:rsid w:val="00B52FD6"/>
    <w:rsid w:val="00B67443"/>
    <w:rsid w:val="00BC2C14"/>
    <w:rsid w:val="00C2420F"/>
    <w:rsid w:val="00C33D45"/>
    <w:rsid w:val="00C47F3B"/>
    <w:rsid w:val="00C65A6E"/>
    <w:rsid w:val="00C70730"/>
    <w:rsid w:val="00C712D7"/>
    <w:rsid w:val="00C76F2D"/>
    <w:rsid w:val="00C92A6D"/>
    <w:rsid w:val="00C97B77"/>
    <w:rsid w:val="00CE1FEE"/>
    <w:rsid w:val="00D2594B"/>
    <w:rsid w:val="00D2758E"/>
    <w:rsid w:val="00D357B0"/>
    <w:rsid w:val="00D50E44"/>
    <w:rsid w:val="00D547CC"/>
    <w:rsid w:val="00D6151A"/>
    <w:rsid w:val="00D66C29"/>
    <w:rsid w:val="00DA2485"/>
    <w:rsid w:val="00DB2A15"/>
    <w:rsid w:val="00DD1FEC"/>
    <w:rsid w:val="00DE2075"/>
    <w:rsid w:val="00DE364E"/>
    <w:rsid w:val="00DF41C7"/>
    <w:rsid w:val="00E10E5D"/>
    <w:rsid w:val="00E13178"/>
    <w:rsid w:val="00E14064"/>
    <w:rsid w:val="00E14A7C"/>
    <w:rsid w:val="00E254DC"/>
    <w:rsid w:val="00E30D84"/>
    <w:rsid w:val="00E429F4"/>
    <w:rsid w:val="00E51B31"/>
    <w:rsid w:val="00E53D35"/>
    <w:rsid w:val="00E53D7D"/>
    <w:rsid w:val="00E6617C"/>
    <w:rsid w:val="00E85AC9"/>
    <w:rsid w:val="00E872D2"/>
    <w:rsid w:val="00E95696"/>
    <w:rsid w:val="00EA26A4"/>
    <w:rsid w:val="00EA4B6C"/>
    <w:rsid w:val="00EB6CC5"/>
    <w:rsid w:val="00EF13EC"/>
    <w:rsid w:val="00EF51DC"/>
    <w:rsid w:val="00F02707"/>
    <w:rsid w:val="00F06F7B"/>
    <w:rsid w:val="00F17610"/>
    <w:rsid w:val="00F232EE"/>
    <w:rsid w:val="00F2488C"/>
    <w:rsid w:val="00F2738A"/>
    <w:rsid w:val="00F47032"/>
    <w:rsid w:val="00F52052"/>
    <w:rsid w:val="00F5790C"/>
    <w:rsid w:val="00F64CCD"/>
    <w:rsid w:val="00F74A8E"/>
    <w:rsid w:val="00F75836"/>
    <w:rsid w:val="00F82A30"/>
    <w:rsid w:val="00F942B7"/>
    <w:rsid w:val="00FA391A"/>
    <w:rsid w:val="00FA41DD"/>
    <w:rsid w:val="00FB0FEB"/>
    <w:rsid w:val="00FB1C4C"/>
    <w:rsid w:val="00FC49D6"/>
    <w:rsid w:val="00FC5C42"/>
    <w:rsid w:val="00FE4FE3"/>
    <w:rsid w:val="00FE5A72"/>
    <w:rsid w:val="00FE7C36"/>
    <w:rsid w:val="5772D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4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A4F0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790"/>
    <w:rPr>
      <w:color w:val="0563C1"/>
      <w:u w:val="single"/>
    </w:rPr>
  </w:style>
  <w:style w:type="character" w:styleId="UnresolvedMention">
    <w:name w:val="Unresolved Mention"/>
    <w:basedOn w:val="DefaultParagraphFont"/>
    <w:uiPriority w:val="99"/>
    <w:semiHidden/>
    <w:unhideWhenUsed/>
    <w:rsid w:val="00F02707"/>
    <w:rPr>
      <w:color w:val="605E5C"/>
      <w:shd w:val="clear" w:color="auto" w:fill="E1DFDD"/>
    </w:rPr>
  </w:style>
  <w:style w:type="character" w:customStyle="1" w:styleId="Heading1Char">
    <w:name w:val="Heading 1 Char"/>
    <w:basedOn w:val="DefaultParagraphFont"/>
    <w:link w:val="Heading1"/>
    <w:uiPriority w:val="9"/>
    <w:rsid w:val="00284D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4DC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F41C7"/>
    <w:rPr>
      <w:color w:val="954F72" w:themeColor="followedHyperlink"/>
      <w:u w:val="single"/>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C2420F"/>
    <w:pPr>
      <w:ind w:left="720"/>
      <w:contextualSpacing/>
    </w:pPr>
  </w:style>
  <w:style w:type="paragraph" w:styleId="FootnoteText">
    <w:name w:val="footnote text"/>
    <w:basedOn w:val="Normal"/>
    <w:link w:val="FootnoteTextChar"/>
    <w:uiPriority w:val="99"/>
    <w:semiHidden/>
    <w:unhideWhenUsed/>
    <w:rsid w:val="00E30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D84"/>
    <w:rPr>
      <w:sz w:val="20"/>
      <w:szCs w:val="20"/>
    </w:rPr>
  </w:style>
  <w:style w:type="character" w:styleId="FootnoteReference">
    <w:name w:val="footnote reference"/>
    <w:basedOn w:val="DefaultParagraphFont"/>
    <w:uiPriority w:val="99"/>
    <w:semiHidden/>
    <w:unhideWhenUsed/>
    <w:rsid w:val="00E30D84"/>
    <w:rPr>
      <w:vertAlign w:val="superscript"/>
    </w:rPr>
  </w:style>
  <w:style w:type="paragraph" w:styleId="Header">
    <w:name w:val="header"/>
    <w:basedOn w:val="Normal"/>
    <w:link w:val="HeaderChar"/>
    <w:uiPriority w:val="99"/>
    <w:unhideWhenUsed/>
    <w:rsid w:val="00E30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84"/>
  </w:style>
  <w:style w:type="paragraph" w:styleId="Footer">
    <w:name w:val="footer"/>
    <w:basedOn w:val="Normal"/>
    <w:link w:val="FooterChar"/>
    <w:uiPriority w:val="99"/>
    <w:unhideWhenUsed/>
    <w:rsid w:val="00E30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84"/>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2A4F00"/>
  </w:style>
  <w:style w:type="paragraph" w:customStyle="1" w:styleId="COREBodyCopyGeneral">
    <w:name w:val="CORE Body Copy General"/>
    <w:basedOn w:val="Normal"/>
    <w:qFormat/>
    <w:rsid w:val="002A4F00"/>
    <w:pPr>
      <w:spacing w:after="120" w:line="250" w:lineRule="atLeast"/>
    </w:pPr>
    <w:rPr>
      <w:rFonts w:cs="Times New Roman (Body CS)"/>
      <w:color w:val="FFFFFF" w:themeColor="background1"/>
      <w:sz w:val="20"/>
      <w:lang w:val="en-US"/>
    </w:rPr>
  </w:style>
  <w:style w:type="paragraph" w:customStyle="1" w:styleId="COREBodyCopyIntroPara">
    <w:name w:val="CORE Body Copy Intro Para"/>
    <w:basedOn w:val="Heading6"/>
    <w:qFormat/>
    <w:rsid w:val="002A4F00"/>
    <w:pPr>
      <w:keepNext w:val="0"/>
      <w:keepLines w:val="0"/>
      <w:spacing w:before="0" w:after="200" w:line="250" w:lineRule="exact"/>
    </w:pPr>
    <w:rPr>
      <w:rFonts w:eastAsiaTheme="minorHAnsi" w:cs="Times New Roman (Body CS)"/>
      <w:b/>
      <w:bCs/>
      <w:i/>
      <w:color w:val="44546A" w:themeColor="text2"/>
      <w:szCs w:val="20"/>
      <w:lang w:val="en-US"/>
    </w:rPr>
  </w:style>
  <w:style w:type="table" w:styleId="GridTable4-Accent5">
    <w:name w:val="Grid Table 4 Accent 5"/>
    <w:basedOn w:val="TableNormal"/>
    <w:uiPriority w:val="49"/>
    <w:rsid w:val="002A4F00"/>
    <w:pPr>
      <w:spacing w:after="0" w:line="240" w:lineRule="auto"/>
    </w:pPr>
    <w:rPr>
      <w:lang w:val="en-US"/>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6Char">
    <w:name w:val="Heading 6 Char"/>
    <w:basedOn w:val="DefaultParagraphFont"/>
    <w:link w:val="Heading6"/>
    <w:uiPriority w:val="9"/>
    <w:semiHidden/>
    <w:rsid w:val="002A4F00"/>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6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7A2"/>
    <w:pPr>
      <w:spacing w:after="0" w:line="240" w:lineRule="auto"/>
    </w:pPr>
  </w:style>
  <w:style w:type="character" w:customStyle="1" w:styleId="ui-provider">
    <w:name w:val="ui-provider"/>
    <w:basedOn w:val="DefaultParagraphFont"/>
    <w:rsid w:val="000D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51">
      <w:bodyDiv w:val="1"/>
      <w:marLeft w:val="0"/>
      <w:marRight w:val="0"/>
      <w:marTop w:val="0"/>
      <w:marBottom w:val="0"/>
      <w:divBdr>
        <w:top w:val="none" w:sz="0" w:space="0" w:color="auto"/>
        <w:left w:val="none" w:sz="0" w:space="0" w:color="auto"/>
        <w:bottom w:val="none" w:sz="0" w:space="0" w:color="auto"/>
        <w:right w:val="none" w:sz="0" w:space="0" w:color="auto"/>
      </w:divBdr>
    </w:div>
    <w:div w:id="147400613">
      <w:bodyDiv w:val="1"/>
      <w:marLeft w:val="0"/>
      <w:marRight w:val="0"/>
      <w:marTop w:val="0"/>
      <w:marBottom w:val="0"/>
      <w:divBdr>
        <w:top w:val="none" w:sz="0" w:space="0" w:color="auto"/>
        <w:left w:val="none" w:sz="0" w:space="0" w:color="auto"/>
        <w:bottom w:val="none" w:sz="0" w:space="0" w:color="auto"/>
        <w:right w:val="none" w:sz="0" w:space="0" w:color="auto"/>
      </w:divBdr>
    </w:div>
    <w:div w:id="148597190">
      <w:bodyDiv w:val="1"/>
      <w:marLeft w:val="0"/>
      <w:marRight w:val="0"/>
      <w:marTop w:val="0"/>
      <w:marBottom w:val="0"/>
      <w:divBdr>
        <w:top w:val="none" w:sz="0" w:space="0" w:color="auto"/>
        <w:left w:val="none" w:sz="0" w:space="0" w:color="auto"/>
        <w:bottom w:val="none" w:sz="0" w:space="0" w:color="auto"/>
        <w:right w:val="none" w:sz="0" w:space="0" w:color="auto"/>
      </w:divBdr>
    </w:div>
    <w:div w:id="208228543">
      <w:bodyDiv w:val="1"/>
      <w:marLeft w:val="0"/>
      <w:marRight w:val="0"/>
      <w:marTop w:val="0"/>
      <w:marBottom w:val="0"/>
      <w:divBdr>
        <w:top w:val="none" w:sz="0" w:space="0" w:color="auto"/>
        <w:left w:val="none" w:sz="0" w:space="0" w:color="auto"/>
        <w:bottom w:val="none" w:sz="0" w:space="0" w:color="auto"/>
        <w:right w:val="none" w:sz="0" w:space="0" w:color="auto"/>
      </w:divBdr>
    </w:div>
    <w:div w:id="251401997">
      <w:bodyDiv w:val="1"/>
      <w:marLeft w:val="0"/>
      <w:marRight w:val="0"/>
      <w:marTop w:val="0"/>
      <w:marBottom w:val="0"/>
      <w:divBdr>
        <w:top w:val="none" w:sz="0" w:space="0" w:color="auto"/>
        <w:left w:val="none" w:sz="0" w:space="0" w:color="auto"/>
        <w:bottom w:val="none" w:sz="0" w:space="0" w:color="auto"/>
        <w:right w:val="none" w:sz="0" w:space="0" w:color="auto"/>
      </w:divBdr>
    </w:div>
    <w:div w:id="433601384">
      <w:bodyDiv w:val="1"/>
      <w:marLeft w:val="0"/>
      <w:marRight w:val="0"/>
      <w:marTop w:val="0"/>
      <w:marBottom w:val="0"/>
      <w:divBdr>
        <w:top w:val="none" w:sz="0" w:space="0" w:color="auto"/>
        <w:left w:val="none" w:sz="0" w:space="0" w:color="auto"/>
        <w:bottom w:val="none" w:sz="0" w:space="0" w:color="auto"/>
        <w:right w:val="none" w:sz="0" w:space="0" w:color="auto"/>
      </w:divBdr>
    </w:div>
    <w:div w:id="531456539">
      <w:bodyDiv w:val="1"/>
      <w:marLeft w:val="0"/>
      <w:marRight w:val="0"/>
      <w:marTop w:val="0"/>
      <w:marBottom w:val="0"/>
      <w:divBdr>
        <w:top w:val="none" w:sz="0" w:space="0" w:color="auto"/>
        <w:left w:val="none" w:sz="0" w:space="0" w:color="auto"/>
        <w:bottom w:val="none" w:sz="0" w:space="0" w:color="auto"/>
        <w:right w:val="none" w:sz="0" w:space="0" w:color="auto"/>
      </w:divBdr>
    </w:div>
    <w:div w:id="574365943">
      <w:bodyDiv w:val="1"/>
      <w:marLeft w:val="0"/>
      <w:marRight w:val="0"/>
      <w:marTop w:val="0"/>
      <w:marBottom w:val="0"/>
      <w:divBdr>
        <w:top w:val="none" w:sz="0" w:space="0" w:color="auto"/>
        <w:left w:val="none" w:sz="0" w:space="0" w:color="auto"/>
        <w:bottom w:val="none" w:sz="0" w:space="0" w:color="auto"/>
        <w:right w:val="none" w:sz="0" w:space="0" w:color="auto"/>
      </w:divBdr>
    </w:div>
    <w:div w:id="668677007">
      <w:bodyDiv w:val="1"/>
      <w:marLeft w:val="0"/>
      <w:marRight w:val="0"/>
      <w:marTop w:val="0"/>
      <w:marBottom w:val="0"/>
      <w:divBdr>
        <w:top w:val="none" w:sz="0" w:space="0" w:color="auto"/>
        <w:left w:val="none" w:sz="0" w:space="0" w:color="auto"/>
        <w:bottom w:val="none" w:sz="0" w:space="0" w:color="auto"/>
        <w:right w:val="none" w:sz="0" w:space="0" w:color="auto"/>
      </w:divBdr>
    </w:div>
    <w:div w:id="795180383">
      <w:bodyDiv w:val="1"/>
      <w:marLeft w:val="0"/>
      <w:marRight w:val="0"/>
      <w:marTop w:val="0"/>
      <w:marBottom w:val="0"/>
      <w:divBdr>
        <w:top w:val="none" w:sz="0" w:space="0" w:color="auto"/>
        <w:left w:val="none" w:sz="0" w:space="0" w:color="auto"/>
        <w:bottom w:val="none" w:sz="0" w:space="0" w:color="auto"/>
        <w:right w:val="none" w:sz="0" w:space="0" w:color="auto"/>
      </w:divBdr>
    </w:div>
    <w:div w:id="804934579">
      <w:bodyDiv w:val="1"/>
      <w:marLeft w:val="0"/>
      <w:marRight w:val="0"/>
      <w:marTop w:val="0"/>
      <w:marBottom w:val="0"/>
      <w:divBdr>
        <w:top w:val="none" w:sz="0" w:space="0" w:color="auto"/>
        <w:left w:val="none" w:sz="0" w:space="0" w:color="auto"/>
        <w:bottom w:val="none" w:sz="0" w:space="0" w:color="auto"/>
        <w:right w:val="none" w:sz="0" w:space="0" w:color="auto"/>
      </w:divBdr>
    </w:div>
    <w:div w:id="853491727">
      <w:bodyDiv w:val="1"/>
      <w:marLeft w:val="0"/>
      <w:marRight w:val="0"/>
      <w:marTop w:val="0"/>
      <w:marBottom w:val="0"/>
      <w:divBdr>
        <w:top w:val="none" w:sz="0" w:space="0" w:color="auto"/>
        <w:left w:val="none" w:sz="0" w:space="0" w:color="auto"/>
        <w:bottom w:val="none" w:sz="0" w:space="0" w:color="auto"/>
        <w:right w:val="none" w:sz="0" w:space="0" w:color="auto"/>
      </w:divBdr>
    </w:div>
    <w:div w:id="950480772">
      <w:bodyDiv w:val="1"/>
      <w:marLeft w:val="0"/>
      <w:marRight w:val="0"/>
      <w:marTop w:val="0"/>
      <w:marBottom w:val="0"/>
      <w:divBdr>
        <w:top w:val="none" w:sz="0" w:space="0" w:color="auto"/>
        <w:left w:val="none" w:sz="0" w:space="0" w:color="auto"/>
        <w:bottom w:val="none" w:sz="0" w:space="0" w:color="auto"/>
        <w:right w:val="none" w:sz="0" w:space="0" w:color="auto"/>
      </w:divBdr>
    </w:div>
    <w:div w:id="1010765539">
      <w:bodyDiv w:val="1"/>
      <w:marLeft w:val="0"/>
      <w:marRight w:val="0"/>
      <w:marTop w:val="0"/>
      <w:marBottom w:val="0"/>
      <w:divBdr>
        <w:top w:val="none" w:sz="0" w:space="0" w:color="auto"/>
        <w:left w:val="none" w:sz="0" w:space="0" w:color="auto"/>
        <w:bottom w:val="none" w:sz="0" w:space="0" w:color="auto"/>
        <w:right w:val="none" w:sz="0" w:space="0" w:color="auto"/>
      </w:divBdr>
    </w:div>
    <w:div w:id="1202983916">
      <w:bodyDiv w:val="1"/>
      <w:marLeft w:val="0"/>
      <w:marRight w:val="0"/>
      <w:marTop w:val="0"/>
      <w:marBottom w:val="0"/>
      <w:divBdr>
        <w:top w:val="none" w:sz="0" w:space="0" w:color="auto"/>
        <w:left w:val="none" w:sz="0" w:space="0" w:color="auto"/>
        <w:bottom w:val="none" w:sz="0" w:space="0" w:color="auto"/>
        <w:right w:val="none" w:sz="0" w:space="0" w:color="auto"/>
      </w:divBdr>
    </w:div>
    <w:div w:id="1266840160">
      <w:bodyDiv w:val="1"/>
      <w:marLeft w:val="0"/>
      <w:marRight w:val="0"/>
      <w:marTop w:val="0"/>
      <w:marBottom w:val="0"/>
      <w:divBdr>
        <w:top w:val="none" w:sz="0" w:space="0" w:color="auto"/>
        <w:left w:val="none" w:sz="0" w:space="0" w:color="auto"/>
        <w:bottom w:val="none" w:sz="0" w:space="0" w:color="auto"/>
        <w:right w:val="none" w:sz="0" w:space="0" w:color="auto"/>
      </w:divBdr>
    </w:div>
    <w:div w:id="1376850278">
      <w:bodyDiv w:val="1"/>
      <w:marLeft w:val="0"/>
      <w:marRight w:val="0"/>
      <w:marTop w:val="0"/>
      <w:marBottom w:val="0"/>
      <w:divBdr>
        <w:top w:val="none" w:sz="0" w:space="0" w:color="auto"/>
        <w:left w:val="none" w:sz="0" w:space="0" w:color="auto"/>
        <w:bottom w:val="none" w:sz="0" w:space="0" w:color="auto"/>
        <w:right w:val="none" w:sz="0" w:space="0" w:color="auto"/>
      </w:divBdr>
    </w:div>
    <w:div w:id="1404185998">
      <w:bodyDiv w:val="1"/>
      <w:marLeft w:val="0"/>
      <w:marRight w:val="0"/>
      <w:marTop w:val="0"/>
      <w:marBottom w:val="0"/>
      <w:divBdr>
        <w:top w:val="none" w:sz="0" w:space="0" w:color="auto"/>
        <w:left w:val="none" w:sz="0" w:space="0" w:color="auto"/>
        <w:bottom w:val="none" w:sz="0" w:space="0" w:color="auto"/>
        <w:right w:val="none" w:sz="0" w:space="0" w:color="auto"/>
      </w:divBdr>
    </w:div>
    <w:div w:id="1540168633">
      <w:bodyDiv w:val="1"/>
      <w:marLeft w:val="0"/>
      <w:marRight w:val="0"/>
      <w:marTop w:val="0"/>
      <w:marBottom w:val="0"/>
      <w:divBdr>
        <w:top w:val="none" w:sz="0" w:space="0" w:color="auto"/>
        <w:left w:val="none" w:sz="0" w:space="0" w:color="auto"/>
        <w:bottom w:val="none" w:sz="0" w:space="0" w:color="auto"/>
        <w:right w:val="none" w:sz="0" w:space="0" w:color="auto"/>
      </w:divBdr>
    </w:div>
    <w:div w:id="1552963552">
      <w:bodyDiv w:val="1"/>
      <w:marLeft w:val="0"/>
      <w:marRight w:val="0"/>
      <w:marTop w:val="0"/>
      <w:marBottom w:val="0"/>
      <w:divBdr>
        <w:top w:val="none" w:sz="0" w:space="0" w:color="auto"/>
        <w:left w:val="none" w:sz="0" w:space="0" w:color="auto"/>
        <w:bottom w:val="none" w:sz="0" w:space="0" w:color="auto"/>
        <w:right w:val="none" w:sz="0" w:space="0" w:color="auto"/>
      </w:divBdr>
    </w:div>
    <w:div w:id="1696686611">
      <w:bodyDiv w:val="1"/>
      <w:marLeft w:val="0"/>
      <w:marRight w:val="0"/>
      <w:marTop w:val="0"/>
      <w:marBottom w:val="0"/>
      <w:divBdr>
        <w:top w:val="none" w:sz="0" w:space="0" w:color="auto"/>
        <w:left w:val="none" w:sz="0" w:space="0" w:color="auto"/>
        <w:bottom w:val="none" w:sz="0" w:space="0" w:color="auto"/>
        <w:right w:val="none" w:sz="0" w:space="0" w:color="auto"/>
      </w:divBdr>
    </w:div>
    <w:div w:id="1806199981">
      <w:bodyDiv w:val="1"/>
      <w:marLeft w:val="0"/>
      <w:marRight w:val="0"/>
      <w:marTop w:val="0"/>
      <w:marBottom w:val="0"/>
      <w:divBdr>
        <w:top w:val="none" w:sz="0" w:space="0" w:color="auto"/>
        <w:left w:val="none" w:sz="0" w:space="0" w:color="auto"/>
        <w:bottom w:val="none" w:sz="0" w:space="0" w:color="auto"/>
        <w:right w:val="none" w:sz="0" w:space="0" w:color="auto"/>
      </w:divBdr>
    </w:div>
    <w:div w:id="1834755445">
      <w:bodyDiv w:val="1"/>
      <w:marLeft w:val="0"/>
      <w:marRight w:val="0"/>
      <w:marTop w:val="0"/>
      <w:marBottom w:val="0"/>
      <w:divBdr>
        <w:top w:val="none" w:sz="0" w:space="0" w:color="auto"/>
        <w:left w:val="none" w:sz="0" w:space="0" w:color="auto"/>
        <w:bottom w:val="none" w:sz="0" w:space="0" w:color="auto"/>
        <w:right w:val="none" w:sz="0" w:space="0" w:color="auto"/>
      </w:divBdr>
    </w:div>
    <w:div w:id="1902673592">
      <w:bodyDiv w:val="1"/>
      <w:marLeft w:val="0"/>
      <w:marRight w:val="0"/>
      <w:marTop w:val="0"/>
      <w:marBottom w:val="0"/>
      <w:divBdr>
        <w:top w:val="none" w:sz="0" w:space="0" w:color="auto"/>
        <w:left w:val="none" w:sz="0" w:space="0" w:color="auto"/>
        <w:bottom w:val="none" w:sz="0" w:space="0" w:color="auto"/>
        <w:right w:val="none" w:sz="0" w:space="0" w:color="auto"/>
      </w:divBdr>
    </w:div>
    <w:div w:id="21067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D6EF-400E-43F4-A27C-4964DA6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8509</Characters>
  <Application>Microsoft Office Word</Application>
  <DocSecurity>0</DocSecurity>
  <Lines>182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Links>
    <vt:vector size="48" baseType="variant">
      <vt:variant>
        <vt:i4>5242911</vt:i4>
      </vt:variant>
      <vt:variant>
        <vt:i4>18</vt:i4>
      </vt:variant>
      <vt:variant>
        <vt:i4>0</vt:i4>
      </vt:variant>
      <vt:variant>
        <vt:i4>5</vt:i4>
      </vt:variant>
      <vt:variant>
        <vt:lpwstr>https://www.dfat.gov.au/publications/development/australia-balochistan-agribusiness-program-phase-2-implemented-food-and-agriculture-organisation-united-nations-1145m-over-2017-2020</vt:lpwstr>
      </vt:variant>
      <vt:variant>
        <vt:lpwstr/>
      </vt:variant>
      <vt:variant>
        <vt:i4>3604543</vt:i4>
      </vt:variant>
      <vt:variant>
        <vt:i4>15</vt:i4>
      </vt:variant>
      <vt:variant>
        <vt:i4>0</vt:i4>
      </vt:variant>
      <vt:variant>
        <vt:i4>5</vt:i4>
      </vt:variant>
      <vt:variant>
        <vt:lpwstr>https://www.dfat.gov.au/about-us/publications/Pages/evaluation-of-australian-red-cross-humanitarian-partnership-2015-19</vt:lpwstr>
      </vt:variant>
      <vt:variant>
        <vt:lpwstr/>
      </vt:variant>
      <vt:variant>
        <vt:i4>8323109</vt:i4>
      </vt:variant>
      <vt:variant>
        <vt:i4>12</vt:i4>
      </vt:variant>
      <vt:variant>
        <vt:i4>0</vt:i4>
      </vt:variant>
      <vt:variant>
        <vt:i4>5</vt:i4>
      </vt:variant>
      <vt:variant>
        <vt:lpwstr>https://www.dfat.gov.au/about-us/publications/Pages/markets-for-change-independent-mid-term-review-2018</vt:lpwstr>
      </vt:variant>
      <vt:variant>
        <vt:lpwstr/>
      </vt:variant>
      <vt:variant>
        <vt:i4>1572952</vt:i4>
      </vt:variant>
      <vt:variant>
        <vt:i4>9</vt:i4>
      </vt:variant>
      <vt:variant>
        <vt:i4>0</vt:i4>
      </vt:variant>
      <vt:variant>
        <vt:i4>5</vt:i4>
      </vt:variant>
      <vt:variant>
        <vt:lpwstr>https://www.dfat.gov.au/about-us/publications/Pages/mid-term-evaluation-strengthening-pre-service-teacher-education-myanmar-stem-project-and-dfat-management-response</vt:lpwstr>
      </vt:variant>
      <vt:variant>
        <vt:lpwstr/>
      </vt:variant>
      <vt:variant>
        <vt:i4>1835101</vt:i4>
      </vt:variant>
      <vt:variant>
        <vt:i4>6</vt:i4>
      </vt:variant>
      <vt:variant>
        <vt:i4>0</vt:i4>
      </vt:variant>
      <vt:variant>
        <vt:i4>5</vt:i4>
      </vt:variant>
      <vt:variant>
        <vt:lpwstr>https://www.dfat.gov.au/about-us/publications/Pages/access-to-quality-education-program-end-of-program-evaluation-report-and-management-response</vt:lpwstr>
      </vt:variant>
      <vt:variant>
        <vt:lpwstr/>
      </vt:variant>
      <vt:variant>
        <vt:i4>1572891</vt:i4>
      </vt:variant>
      <vt:variant>
        <vt:i4>3</vt:i4>
      </vt:variant>
      <vt:variant>
        <vt:i4>0</vt:i4>
      </vt:variant>
      <vt:variant>
        <vt:i4>5</vt:i4>
      </vt:variant>
      <vt:variant>
        <vt:lpwstr>https://www.dfat.gov.au/publications/development/pacific-financial-technical-assistance-centre-mid-term-evaluation-report-and-management-response</vt:lpwstr>
      </vt:variant>
      <vt:variant>
        <vt:lpwstr/>
      </vt:variant>
      <vt:variant>
        <vt:i4>7012386</vt:i4>
      </vt:variant>
      <vt:variant>
        <vt:i4>0</vt:i4>
      </vt:variant>
      <vt:variant>
        <vt:i4>0</vt:i4>
      </vt:variant>
      <vt:variant>
        <vt:i4>5</vt:i4>
      </vt:variant>
      <vt:variant>
        <vt:lpwstr>https://www.dfat.gov.au/development/how-we-measure-performance/other-work/good-practice-evaluation-products</vt:lpwstr>
      </vt:variant>
      <vt:variant>
        <vt:lpwstr/>
      </vt:variant>
      <vt:variant>
        <vt:i4>1966190</vt:i4>
      </vt:variant>
      <vt:variant>
        <vt:i4>0</vt:i4>
      </vt:variant>
      <vt:variant>
        <vt:i4>0</vt:i4>
      </vt:variant>
      <vt:variant>
        <vt:i4>5</vt:i4>
      </vt:variant>
      <vt:variant>
        <vt:lpwstr>mailto:developmentevaluation@dfat.gov.au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Independent Evaluation of the Pacific Fiscal Budget Support Package 2020-2023</dc:title>
  <dc:subject/>
  <dc:creator/>
  <cp:keywords>[SEC=OFFICIAL]</cp:keywords>
  <dc:description/>
  <cp:lastModifiedBy/>
  <cp:revision>1</cp:revision>
  <dcterms:created xsi:type="dcterms:W3CDTF">2024-09-10T23:37:00Z</dcterms:created>
  <dcterms:modified xsi:type="dcterms:W3CDTF">2024-09-10T23:38:00Z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v=2022.1;a=SHA256;h=3B6F15D92C77C82855840B4A56273ED7FB6C2527CA8E632727B3E8957A2F6CFE</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34BBBB0B153449399D7545FB11AA1417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2022-06-02T06:01:32Z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3A1B96507C28F23D5BE4CC17B23C05FB</vt:lpwstr>
  </property>
  <property fmtid="{D5CDD505-2E9C-101B-9397-08002B2CF9AE}" pid="20" name="PM_Hash_Salt">
    <vt:lpwstr>0AE77FFD424FAF5ABC739CACB2107B99</vt:lpwstr>
  </property>
  <property fmtid="{D5CDD505-2E9C-101B-9397-08002B2CF9AE}" pid="21" name="PM_Hash_SHA1">
    <vt:lpwstr>0BD108CDA700C44BA41454C1E76174D71E95FEE0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