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C5C9" w14:textId="203F6402" w:rsidR="00A274ED" w:rsidRPr="007C157A" w:rsidRDefault="00A274ED" w:rsidP="007C157A">
      <w:pPr>
        <w:suppressAutoHyphens w:val="0"/>
        <w:spacing w:before="0" w:after="120" w:line="440" w:lineRule="atLeast"/>
        <w:rPr>
          <w:rStyle w:val="Heading1Char"/>
          <w:rFonts w:asciiTheme="majorHAnsi" w:hAnsiTheme="majorHAnsi" w:cs="Arial"/>
          <w:bCs w:val="0"/>
          <w:color w:val="FF0000"/>
          <w:sz w:val="22"/>
          <w:szCs w:val="21"/>
        </w:rPr>
      </w:pPr>
      <w:r w:rsidRPr="008A51A6">
        <w:rPr>
          <w:b/>
          <w:noProof/>
          <w:lang w:val="en-AU" w:eastAsia="en-AU"/>
        </w:rPr>
        <w:drawing>
          <wp:inline distT="0" distB="0" distL="0" distR="0" wp14:anchorId="206C0A30" wp14:editId="6BCF900D">
            <wp:extent cx="3166110" cy="553720"/>
            <wp:effectExtent l="0" t="0" r="0" b="0"/>
            <wp:docPr id="42" name="Picture 42" descr="Australian Government Department of Foreign Affairs and Trad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ustralian Government Department of Foreign Affairs and Trade cres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EE260" w14:textId="77777777" w:rsidR="007C157A" w:rsidRPr="00574344" w:rsidRDefault="007C157A" w:rsidP="00A274ED">
      <w:pPr>
        <w:pStyle w:val="SpacebeforeTitle"/>
        <w:tabs>
          <w:tab w:val="left" w:pos="1114"/>
          <w:tab w:val="left" w:pos="2205"/>
        </w:tabs>
        <w:spacing w:after="0"/>
        <w:rPr>
          <w:rStyle w:val="Heading1Char"/>
          <w:sz w:val="22"/>
          <w:szCs w:val="22"/>
        </w:rPr>
      </w:pPr>
    </w:p>
    <w:p w14:paraId="4EFE84D6" w14:textId="133BC384" w:rsidR="00A274ED" w:rsidRPr="00CA7BEF" w:rsidRDefault="00945C9F" w:rsidP="00A274ED">
      <w:pPr>
        <w:pStyle w:val="SpacebeforeTitle"/>
        <w:tabs>
          <w:tab w:val="left" w:pos="1114"/>
          <w:tab w:val="left" w:pos="2205"/>
        </w:tabs>
        <w:spacing w:after="0"/>
        <w:rPr>
          <w:b/>
          <w:sz w:val="36"/>
          <w:szCs w:val="36"/>
        </w:rPr>
      </w:pPr>
      <w:r w:rsidRPr="000F3962">
        <w:rPr>
          <w:rStyle w:val="Heading1Char"/>
          <w:b/>
          <w:bCs w:val="0"/>
        </w:rPr>
        <w:t>MANAGEMENT RESPONSE</w:t>
      </w:r>
      <w:r>
        <w:rPr>
          <w:rStyle w:val="Heading1Char"/>
        </w:rPr>
        <w:t xml:space="preserve"> to the </w:t>
      </w:r>
      <w:r w:rsidR="00943639">
        <w:rPr>
          <w:rStyle w:val="Heading1Char"/>
        </w:rPr>
        <w:t xml:space="preserve">Strategic </w:t>
      </w:r>
      <w:r w:rsidR="00424D2D">
        <w:rPr>
          <w:rStyle w:val="Heading1Char"/>
        </w:rPr>
        <w:t>Review</w:t>
      </w:r>
      <w:r w:rsidR="00A274ED">
        <w:rPr>
          <w:rStyle w:val="Heading1Char"/>
        </w:rPr>
        <w:t xml:space="preserve"> of </w:t>
      </w:r>
      <w:r w:rsidR="00A274ED" w:rsidRPr="00A110EC">
        <w:rPr>
          <w:rStyle w:val="Heading1Char"/>
        </w:rPr>
        <w:t>Australia</w:t>
      </w:r>
      <w:r>
        <w:rPr>
          <w:rStyle w:val="Heading1Char"/>
        </w:rPr>
        <w:t xml:space="preserve">’s </w:t>
      </w:r>
      <w:r w:rsidRPr="00945C9F">
        <w:rPr>
          <w:rStyle w:val="Heading1Char"/>
        </w:rPr>
        <w:t xml:space="preserve">Occupied Palestinian Territories Humanitarian and Development Program </w:t>
      </w:r>
    </w:p>
    <w:p w14:paraId="2DE0B9C8" w14:textId="4830B03F" w:rsidR="001674BE" w:rsidRDefault="00A274ED" w:rsidP="00A274ED">
      <w:pPr>
        <w:tabs>
          <w:tab w:val="left" w:pos="284"/>
        </w:tabs>
        <w:suppressAutoHyphens w:val="0"/>
        <w:spacing w:line="280" w:lineRule="exact"/>
        <w:rPr>
          <w:rFonts w:ascii="Calibri" w:eastAsia="Calibri" w:hAnsi="Calibri"/>
        </w:rPr>
      </w:pPr>
      <w:r>
        <w:t xml:space="preserve">In </w:t>
      </w:r>
      <w:r w:rsidR="001D3CEB">
        <w:t>June</w:t>
      </w:r>
      <w:r>
        <w:t xml:space="preserve"> 202</w:t>
      </w:r>
      <w:r w:rsidR="009F147E">
        <w:t>3</w:t>
      </w:r>
      <w:r>
        <w:t>, DFAT commissioned an</w:t>
      </w:r>
      <w:r w:rsidRPr="00CB2D43">
        <w:t xml:space="preserve"> independent </w:t>
      </w:r>
      <w:r w:rsidR="00424D2D">
        <w:t>review</w:t>
      </w:r>
      <w:r>
        <w:t xml:space="preserve"> of </w:t>
      </w:r>
      <w:r w:rsidR="00856882">
        <w:rPr>
          <w:rFonts w:ascii="Calibri" w:eastAsia="Calibri" w:hAnsi="Calibri"/>
        </w:rPr>
        <w:t xml:space="preserve">Australia’s humanitarian assistance and development program </w:t>
      </w:r>
      <w:r w:rsidR="00363867">
        <w:rPr>
          <w:rFonts w:ascii="Calibri" w:eastAsia="Calibri" w:hAnsi="Calibri"/>
        </w:rPr>
        <w:t>in the Occupied Palestinian Territories (OPT</w:t>
      </w:r>
      <w:r w:rsidR="005B4874">
        <w:rPr>
          <w:rFonts w:ascii="Calibri" w:eastAsia="Calibri" w:hAnsi="Calibri"/>
        </w:rPr>
        <w:t>s</w:t>
      </w:r>
      <w:r w:rsidR="00363867">
        <w:rPr>
          <w:rFonts w:ascii="Calibri" w:eastAsia="Calibri" w:hAnsi="Calibri"/>
        </w:rPr>
        <w:t>)</w:t>
      </w:r>
      <w:r w:rsidR="00DB659C">
        <w:rPr>
          <w:rFonts w:ascii="Calibri" w:eastAsia="Calibri" w:hAnsi="Calibri"/>
        </w:rPr>
        <w:t xml:space="preserve">, with the in-country component </w:t>
      </w:r>
      <w:r w:rsidR="00592813">
        <w:rPr>
          <w:rFonts w:ascii="Calibri" w:eastAsia="Calibri" w:hAnsi="Calibri"/>
        </w:rPr>
        <w:t>occurring</w:t>
      </w:r>
      <w:r w:rsidR="00DB659C">
        <w:rPr>
          <w:rFonts w:ascii="Calibri" w:eastAsia="Calibri" w:hAnsi="Calibri"/>
        </w:rPr>
        <w:t xml:space="preserve"> in September 2023.</w:t>
      </w:r>
      <w:r w:rsidR="007A0D19">
        <w:rPr>
          <w:rFonts w:ascii="Calibri" w:eastAsia="Calibri" w:hAnsi="Calibri"/>
        </w:rPr>
        <w:t xml:space="preserve"> </w:t>
      </w:r>
      <w:r w:rsidR="001674BE">
        <w:rPr>
          <w:rFonts w:ascii="Calibri" w:eastAsia="Calibri" w:hAnsi="Calibri"/>
        </w:rPr>
        <w:t>One month later, in October 2023, the Israel-Hamas conflict started</w:t>
      </w:r>
      <w:r w:rsidR="00363867">
        <w:rPr>
          <w:rFonts w:ascii="Calibri" w:eastAsia="Calibri" w:hAnsi="Calibri"/>
        </w:rPr>
        <w:t xml:space="preserve">. </w:t>
      </w:r>
    </w:p>
    <w:p w14:paraId="153AF743" w14:textId="31CB8C98" w:rsidR="00A274ED" w:rsidRDefault="00363867" w:rsidP="00A274ED">
      <w:pPr>
        <w:tabs>
          <w:tab w:val="left" w:pos="284"/>
        </w:tabs>
        <w:suppressAutoHyphens w:val="0"/>
        <w:spacing w:line="280" w:lineRule="exact"/>
      </w:pPr>
      <w:r>
        <w:rPr>
          <w:rFonts w:ascii="Calibri" w:eastAsia="Calibri" w:hAnsi="Calibri"/>
        </w:rPr>
        <w:t xml:space="preserve">The </w:t>
      </w:r>
      <w:r w:rsidR="00F31FE7">
        <w:rPr>
          <w:rFonts w:ascii="Calibri" w:eastAsia="Calibri" w:hAnsi="Calibri"/>
        </w:rPr>
        <w:t xml:space="preserve">review was intended to provide </w:t>
      </w:r>
      <w:r w:rsidR="00A35F0D">
        <w:rPr>
          <w:rFonts w:ascii="Calibri" w:eastAsia="Calibri" w:hAnsi="Calibri"/>
        </w:rPr>
        <w:t>both an important accountability mechanism to DFAT, as well as to provide evidence that will support the further development of DFAT’s humanitarian/development approach to the OPT.</w:t>
      </w:r>
      <w:r w:rsidR="00A35F0D" w:rsidRPr="00CB2D43">
        <w:t xml:space="preserve"> </w:t>
      </w:r>
      <w:r w:rsidR="00A274ED">
        <w:t xml:space="preserve">The evaluation report was completed in </w:t>
      </w:r>
      <w:r w:rsidR="005A6CA9">
        <w:t>November</w:t>
      </w:r>
      <w:r w:rsidR="00A274ED">
        <w:t xml:space="preserve"> 202</w:t>
      </w:r>
      <w:r w:rsidR="005A6CA9">
        <w:t>3</w:t>
      </w:r>
      <w:r w:rsidR="00A274ED">
        <w:t xml:space="preserve"> and includes a number of useful findings and practical recommendations </w:t>
      </w:r>
      <w:r w:rsidR="005A6CA9">
        <w:t xml:space="preserve">which helped inform Australia’s emergency response to the Israel-Hamas conflict and will be used </w:t>
      </w:r>
      <w:r w:rsidR="00A274ED">
        <w:t xml:space="preserve">to help inform </w:t>
      </w:r>
      <w:r w:rsidR="005A6CA9">
        <w:t>future programming</w:t>
      </w:r>
      <w:r w:rsidR="00A274ED">
        <w:t xml:space="preserve">. </w:t>
      </w:r>
    </w:p>
    <w:p w14:paraId="122C7FF0" w14:textId="16EEE664" w:rsidR="00A274ED" w:rsidRDefault="00A274ED" w:rsidP="00A274ED">
      <w:pPr>
        <w:tabs>
          <w:tab w:val="left" w:pos="284"/>
        </w:tabs>
        <w:suppressAutoHyphens w:val="0"/>
        <w:spacing w:line="280" w:lineRule="exact"/>
      </w:pPr>
      <w:r>
        <w:t>DFAT agrees with all recommendations</w:t>
      </w:r>
      <w:r w:rsidR="0078309D">
        <w:t xml:space="preserve"> in-principle</w:t>
      </w:r>
      <w:r w:rsidR="00E05E94">
        <w:t xml:space="preserve">, noting that no decision has </w:t>
      </w:r>
      <w:r w:rsidR="00326407">
        <w:t xml:space="preserve">yet </w:t>
      </w:r>
      <w:r w:rsidR="00E05E94">
        <w:t xml:space="preserve">been made </w:t>
      </w:r>
      <w:r w:rsidR="00343642">
        <w:t xml:space="preserve">on </w:t>
      </w:r>
      <w:r w:rsidR="00B36DE0">
        <w:t xml:space="preserve">the </w:t>
      </w:r>
      <w:r w:rsidR="00C77E43">
        <w:t>design</w:t>
      </w:r>
      <w:r w:rsidR="003625C6">
        <w:t xml:space="preserve"> or scope</w:t>
      </w:r>
      <w:r w:rsidR="00C77E43">
        <w:t xml:space="preserve"> of </w:t>
      </w:r>
      <w:r w:rsidR="00E70D10">
        <w:t>the</w:t>
      </w:r>
      <w:r w:rsidR="00C77E43">
        <w:t xml:space="preserve"> future program</w:t>
      </w:r>
      <w:r>
        <w:t>.</w:t>
      </w:r>
    </w:p>
    <w:p w14:paraId="7287AF72" w14:textId="58E5FBE5" w:rsidR="002E775C" w:rsidRPr="002E775C" w:rsidRDefault="00A274ED" w:rsidP="00C3725F">
      <w:pPr>
        <w:pStyle w:val="Heading2"/>
        <w:spacing w:after="0"/>
      </w:pPr>
      <w:r>
        <w:t xml:space="preserve">End of Program Evaluation </w:t>
      </w:r>
      <w:r w:rsidRPr="00F641F0">
        <w:t>Recommendations</w:t>
      </w:r>
      <w:r>
        <w:t xml:space="preserve"> and Management Response</w:t>
      </w:r>
    </w:p>
    <w:tbl>
      <w:tblPr>
        <w:tblStyle w:val="TableGrid"/>
        <w:tblW w:w="13183" w:type="dxa"/>
        <w:tblInd w:w="-147" w:type="dxa"/>
        <w:tblLook w:val="04A0" w:firstRow="1" w:lastRow="0" w:firstColumn="1" w:lastColumn="0" w:noHBand="0" w:noVBand="1"/>
      </w:tblPr>
      <w:tblGrid>
        <w:gridCol w:w="4843"/>
        <w:gridCol w:w="1130"/>
        <w:gridCol w:w="3055"/>
        <w:gridCol w:w="2940"/>
        <w:gridCol w:w="1215"/>
      </w:tblGrid>
      <w:tr w:rsidR="003B3A2E" w:rsidRPr="00CA7BEF" w14:paraId="4D32A11E" w14:textId="77777777" w:rsidTr="00323F9C">
        <w:trPr>
          <w:tblHeader/>
        </w:trPr>
        <w:tc>
          <w:tcPr>
            <w:tcW w:w="4843" w:type="dxa"/>
          </w:tcPr>
          <w:p w14:paraId="15020196" w14:textId="77777777" w:rsidR="00A274ED" w:rsidRPr="009A3080" w:rsidRDefault="00A274ED" w:rsidP="006F09D0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bookmarkStart w:id="0" w:name="_Hlk122611377"/>
            <w:r w:rsidRPr="009A3080">
              <w:rPr>
                <w:rFonts w:cstheme="minorHAnsi"/>
                <w:b/>
                <w:bCs/>
                <w:iCs/>
                <w:color w:val="auto"/>
              </w:rPr>
              <w:t>Recommendation</w:t>
            </w:r>
          </w:p>
        </w:tc>
        <w:tc>
          <w:tcPr>
            <w:tcW w:w="1130" w:type="dxa"/>
          </w:tcPr>
          <w:p w14:paraId="0903A2F3" w14:textId="77777777" w:rsidR="00A274ED" w:rsidRPr="009A3080" w:rsidRDefault="00A274ED" w:rsidP="006F09D0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r w:rsidRPr="009A3080">
              <w:rPr>
                <w:rFonts w:cstheme="minorHAnsi"/>
                <w:b/>
                <w:bCs/>
                <w:iCs/>
                <w:color w:val="auto"/>
              </w:rPr>
              <w:t>Response</w:t>
            </w:r>
          </w:p>
        </w:tc>
        <w:tc>
          <w:tcPr>
            <w:tcW w:w="3055" w:type="dxa"/>
          </w:tcPr>
          <w:p w14:paraId="6B8EF461" w14:textId="77777777" w:rsidR="00A274ED" w:rsidRPr="009A3080" w:rsidRDefault="00A274ED" w:rsidP="006F09D0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r w:rsidRPr="009A3080">
              <w:rPr>
                <w:rFonts w:cstheme="minorHAnsi"/>
                <w:b/>
                <w:bCs/>
                <w:iCs/>
                <w:color w:val="auto"/>
              </w:rPr>
              <w:t>Explanation</w:t>
            </w:r>
          </w:p>
        </w:tc>
        <w:tc>
          <w:tcPr>
            <w:tcW w:w="2940" w:type="dxa"/>
          </w:tcPr>
          <w:p w14:paraId="66421E9A" w14:textId="77777777" w:rsidR="00A274ED" w:rsidRPr="009A3080" w:rsidRDefault="00A274ED" w:rsidP="006F09D0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r w:rsidRPr="009A3080">
              <w:rPr>
                <w:rFonts w:cstheme="minorHAnsi"/>
                <w:b/>
                <w:bCs/>
                <w:iCs/>
                <w:color w:val="auto"/>
              </w:rPr>
              <w:t>Action Plan</w:t>
            </w:r>
          </w:p>
        </w:tc>
        <w:tc>
          <w:tcPr>
            <w:tcW w:w="1215" w:type="dxa"/>
          </w:tcPr>
          <w:p w14:paraId="119CF368" w14:textId="77777777" w:rsidR="00A274ED" w:rsidRPr="009A3080" w:rsidRDefault="00A274ED" w:rsidP="006F09D0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</w:rPr>
            </w:pPr>
            <w:r w:rsidRPr="009A3080">
              <w:rPr>
                <w:rFonts w:cstheme="minorHAnsi"/>
                <w:b/>
                <w:bCs/>
                <w:iCs/>
                <w:color w:val="auto"/>
              </w:rPr>
              <w:t>Timeframe</w:t>
            </w:r>
          </w:p>
        </w:tc>
      </w:tr>
      <w:bookmarkEnd w:id="0"/>
      <w:tr w:rsidR="00D26EF3" w:rsidRPr="00CA7BEF" w14:paraId="3D2E4506" w14:textId="77777777" w:rsidTr="00131C30">
        <w:tc>
          <w:tcPr>
            <w:tcW w:w="4843" w:type="dxa"/>
          </w:tcPr>
          <w:p w14:paraId="2B43EC9B" w14:textId="55EBFD19" w:rsidR="00D26EF3" w:rsidRPr="00211FF9" w:rsidRDefault="001D3CEB" w:rsidP="00D26EF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Focus on two pillars – humanitarian and resilience </w:t>
            </w:r>
            <w:r w:rsidRPr="008E5208">
              <w:rPr>
                <w:b/>
                <w:bCs/>
              </w:rPr>
              <w:t>in line with Australia’s International Development Policy; and advance these priorities with partners through a nexus approach that supports both humanitarian and development investments</w:t>
            </w:r>
            <w:r w:rsidR="00D26EF3" w:rsidRPr="00211FF9">
              <w:rPr>
                <w:b/>
                <w:bCs/>
              </w:rPr>
              <w:t xml:space="preserve">. </w:t>
            </w:r>
          </w:p>
        </w:tc>
        <w:tc>
          <w:tcPr>
            <w:tcW w:w="1130" w:type="dxa"/>
            <w:shd w:val="clear" w:color="auto" w:fill="auto"/>
          </w:tcPr>
          <w:p w14:paraId="67D8C80E" w14:textId="77777777" w:rsidR="00D26EF3" w:rsidRPr="003726E4" w:rsidRDefault="00D26EF3" w:rsidP="00D26EF3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  <w:r w:rsidRPr="003726E4"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  <w:t>Agree</w:t>
            </w:r>
          </w:p>
          <w:p w14:paraId="027FA173" w14:textId="77777777" w:rsidR="00D26EF3" w:rsidRPr="003726E4" w:rsidRDefault="00D26EF3" w:rsidP="00D26EF3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055" w:type="dxa"/>
          </w:tcPr>
          <w:p w14:paraId="33272672" w14:textId="65AA3598" w:rsidR="00D26EF3" w:rsidRPr="00201429" w:rsidRDefault="00D26EF3" w:rsidP="00452C81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DFAT recognises the suggested sectoral </w:t>
            </w:r>
            <w:r w:rsidR="000E06EE">
              <w:rPr>
                <w:rFonts w:cstheme="minorHAnsi"/>
                <w:iCs/>
                <w:color w:val="auto"/>
                <w:sz w:val="20"/>
                <w:szCs w:val="20"/>
              </w:rPr>
              <w:t xml:space="preserve">approach 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>for the OPT program. DFAT agrees that continued focus on humanitarian with some resilience programming is appropriate. Flexibility remains important to support the changing situation</w:t>
            </w:r>
            <w:r w:rsidR="000E06EE">
              <w:rPr>
                <w:rFonts w:cstheme="minorHAnsi"/>
                <w:iCs/>
                <w:color w:val="auto"/>
                <w:sz w:val="20"/>
                <w:szCs w:val="20"/>
              </w:rPr>
              <w:t xml:space="preserve">, however </w:t>
            </w:r>
            <w:proofErr w:type="gramStart"/>
            <w:r w:rsidR="000E06EE">
              <w:rPr>
                <w:rFonts w:cstheme="minorHAnsi"/>
                <w:iCs/>
                <w:color w:val="auto"/>
                <w:sz w:val="20"/>
                <w:szCs w:val="20"/>
              </w:rPr>
              <w:t>longer term</w:t>
            </w:r>
            <w:proofErr w:type="gramEnd"/>
            <w:r w:rsidR="000E06EE">
              <w:rPr>
                <w:rFonts w:cstheme="minorHAnsi"/>
                <w:iCs/>
                <w:color w:val="auto"/>
                <w:sz w:val="20"/>
                <w:szCs w:val="20"/>
              </w:rPr>
              <w:t xml:space="preserve"> programming also allows stronger risk management and more effective shaping of program outcomes in line with Australia’s International Development Policy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. Responsiveness and effectiveness 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lastRenderedPageBreak/>
              <w:t>remain important.</w:t>
            </w:r>
            <w:r w:rsidR="00452C81">
              <w:rPr>
                <w:rFonts w:cstheme="minorHAnsi"/>
                <w:iCs/>
                <w:color w:val="auto"/>
                <w:sz w:val="20"/>
                <w:szCs w:val="20"/>
              </w:rPr>
              <w:t xml:space="preserve"> Given the situation in Gaza and the fluid environment across the OPTS, the program may develop rapidly and there may be a focus on other areas for intervention if </w:t>
            </w:r>
            <w:proofErr w:type="gramStart"/>
            <w:r w:rsidR="00452C81">
              <w:rPr>
                <w:rFonts w:cstheme="minorHAnsi"/>
                <w:iCs/>
                <w:color w:val="auto"/>
                <w:sz w:val="20"/>
                <w:szCs w:val="20"/>
              </w:rPr>
              <w:t>required,.</w:t>
            </w:r>
            <w:proofErr w:type="gramEnd"/>
            <w:r w:rsidR="00452C81">
              <w:rPr>
                <w:rFonts w:cstheme="minorHAnsi"/>
                <w:i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</w:tcPr>
          <w:p w14:paraId="7FFAC2F2" w14:textId="0182E179" w:rsidR="00D26EF3" w:rsidRDefault="00D26EF3" w:rsidP="000E06EE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lastRenderedPageBreak/>
              <w:t>This recommendation will be considered as part of DFAT’s design for the next phase of the program</w:t>
            </w:r>
            <w:r w:rsidR="000E06EE">
              <w:rPr>
                <w:rFonts w:cstheme="minorHAnsi"/>
                <w:iCs/>
                <w:color w:val="auto"/>
                <w:sz w:val="20"/>
                <w:szCs w:val="20"/>
              </w:rPr>
              <w:t>, including the objectives of the Development Partnership Plan when published,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and is informing emergency programming during the Hamas-Israel conflict.  </w:t>
            </w:r>
          </w:p>
          <w:p w14:paraId="5215AE75" w14:textId="77777777" w:rsidR="00D26EF3" w:rsidRPr="00CA7BEF" w:rsidRDefault="00D26EF3" w:rsidP="00D26EF3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4D291C0" w14:textId="28E3D9C7" w:rsidR="00D26EF3" w:rsidRDefault="00D26EF3" w:rsidP="00D26EF3">
            <w:pPr>
              <w:spacing w:line="240" w:lineRule="auto"/>
              <w:jc w:val="center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2024</w:t>
            </w:r>
            <w:r w:rsidR="006E5658">
              <w:rPr>
                <w:rFonts w:cstheme="minorHAnsi"/>
                <w:iCs/>
                <w:color w:val="auto"/>
                <w:sz w:val="20"/>
                <w:szCs w:val="20"/>
              </w:rPr>
              <w:t>-25</w:t>
            </w:r>
          </w:p>
        </w:tc>
      </w:tr>
      <w:tr w:rsidR="00D26EF3" w:rsidRPr="00CA7BEF" w14:paraId="05AFD590" w14:textId="77777777" w:rsidTr="00131C30">
        <w:tc>
          <w:tcPr>
            <w:tcW w:w="4843" w:type="dxa"/>
          </w:tcPr>
          <w:p w14:paraId="331ABB97" w14:textId="5D4566FC" w:rsidR="00D26EF3" w:rsidRPr="009C5017" w:rsidRDefault="009C5017" w:rsidP="009C5017">
            <w:pPr>
              <w:pStyle w:val="ListParagraph"/>
              <w:numPr>
                <w:ilvl w:val="1"/>
                <w:numId w:val="1"/>
              </w:numPr>
              <w:suppressAutoHyphens w:val="0"/>
              <w:spacing w:before="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Engage stakeholders and constituents in a design process to select implementing partners for future activities. </w:t>
            </w:r>
          </w:p>
        </w:tc>
        <w:tc>
          <w:tcPr>
            <w:tcW w:w="1130" w:type="dxa"/>
            <w:shd w:val="clear" w:color="auto" w:fill="auto"/>
          </w:tcPr>
          <w:p w14:paraId="239B637A" w14:textId="794F135E" w:rsidR="00D26EF3" w:rsidRPr="003726E4" w:rsidRDefault="00131C30" w:rsidP="00D26EF3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  <w:t>Noted</w:t>
            </w:r>
          </w:p>
        </w:tc>
        <w:tc>
          <w:tcPr>
            <w:tcW w:w="3055" w:type="dxa"/>
          </w:tcPr>
          <w:p w14:paraId="1B440E13" w14:textId="3AF601C5" w:rsidR="00D26EF3" w:rsidRPr="00201429" w:rsidRDefault="009C5017" w:rsidP="00D26EF3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DFAT agrees in-principle that a competitive design process would be </w:t>
            </w:r>
            <w:proofErr w:type="gramStart"/>
            <w:r>
              <w:rPr>
                <w:rFonts w:cstheme="minorHAnsi"/>
                <w:iCs/>
                <w:color w:val="auto"/>
                <w:sz w:val="20"/>
                <w:szCs w:val="20"/>
              </w:rPr>
              <w:t>beneficial</w:t>
            </w:r>
            <w:proofErr w:type="gramEnd"/>
            <w:r w:rsidR="00E80E34">
              <w:rPr>
                <w:rFonts w:cstheme="minorHAnsi"/>
                <w:iCs/>
                <w:color w:val="auto"/>
                <w:sz w:val="20"/>
                <w:szCs w:val="20"/>
              </w:rPr>
              <w:t xml:space="preserve"> but </w:t>
            </w:r>
            <w:r w:rsidR="00FA634A">
              <w:rPr>
                <w:rFonts w:cstheme="minorHAnsi"/>
                <w:iCs/>
                <w:color w:val="auto"/>
                <w:sz w:val="20"/>
                <w:szCs w:val="20"/>
              </w:rPr>
              <w:t>this will need to take into account security considerations and Australia’s counter-terrorism requirements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. DFAT has expanded the number of partners it is working with as a result of the Gaza crisis, including renewing its partnership with UNICEF and working with UNFPA. </w:t>
            </w:r>
          </w:p>
        </w:tc>
        <w:tc>
          <w:tcPr>
            <w:tcW w:w="2940" w:type="dxa"/>
          </w:tcPr>
          <w:p w14:paraId="7037E2A3" w14:textId="1F133CE1" w:rsidR="00D26EF3" w:rsidRDefault="009C5017" w:rsidP="00452C81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DFAT’s current focus is on consolidating existing partnerships</w:t>
            </w:r>
            <w:r w:rsidR="006E5658">
              <w:rPr>
                <w:rFonts w:cstheme="minorHAnsi"/>
                <w:iCs/>
                <w:color w:val="auto"/>
                <w:sz w:val="20"/>
                <w:szCs w:val="20"/>
              </w:rPr>
              <w:t xml:space="preserve"> through multi-year funding</w:t>
            </w:r>
            <w:r w:rsidR="00452C81">
              <w:rPr>
                <w:rFonts w:cstheme="minorHAnsi"/>
                <w:iCs/>
                <w:color w:val="auto"/>
                <w:sz w:val="20"/>
                <w:szCs w:val="20"/>
              </w:rPr>
              <w:t xml:space="preserve"> and where relevant, new investments will be in line with the Development Partnership Plan and any new program designs. </w:t>
            </w:r>
          </w:p>
          <w:p w14:paraId="233247A6" w14:textId="3E94EE8D" w:rsidR="00D26EF3" w:rsidRDefault="00D26EF3" w:rsidP="00D26EF3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</w:t>
            </w:r>
          </w:p>
          <w:p w14:paraId="56C15B3F" w14:textId="0669699F" w:rsidR="00D26EF3" w:rsidRPr="00CA7BEF" w:rsidRDefault="00D26EF3" w:rsidP="00D26EF3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</w:tcPr>
          <w:p w14:paraId="52D66364" w14:textId="6B12D2DA" w:rsidR="00D26EF3" w:rsidRPr="00CA7BEF" w:rsidRDefault="00D26EF3" w:rsidP="00D26EF3">
            <w:pPr>
              <w:spacing w:line="240" w:lineRule="auto"/>
              <w:jc w:val="center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2024</w:t>
            </w:r>
            <w:r w:rsidR="009C5017">
              <w:rPr>
                <w:rFonts w:cstheme="minorHAnsi"/>
                <w:iCs/>
                <w:color w:val="auto"/>
                <w:sz w:val="20"/>
                <w:szCs w:val="20"/>
              </w:rPr>
              <w:t>-25</w:t>
            </w:r>
          </w:p>
        </w:tc>
      </w:tr>
      <w:tr w:rsidR="00D26EF3" w:rsidRPr="00CA7BEF" w14:paraId="084E9DD4" w14:textId="77777777" w:rsidTr="00131C30">
        <w:tc>
          <w:tcPr>
            <w:tcW w:w="4843" w:type="dxa"/>
          </w:tcPr>
          <w:p w14:paraId="45A0ADCF" w14:textId="4C9ADA26" w:rsidR="00D26EF3" w:rsidRPr="00AC3E9B" w:rsidRDefault="00D26EF3" w:rsidP="00D26EF3">
            <w:pPr>
              <w:pStyle w:val="ListParagraph"/>
              <w:numPr>
                <w:ilvl w:val="1"/>
                <w:numId w:val="1"/>
              </w:numPr>
              <w:suppressAutoHyphens w:val="0"/>
              <w:spacing w:before="0" w:after="0" w:line="240" w:lineRule="auto"/>
              <w:rPr>
                <w:b/>
                <w:bCs/>
                <w:color w:val="auto"/>
                <w:lang w:val="en-AU"/>
              </w:rPr>
            </w:pPr>
            <w:r>
              <w:rPr>
                <w:b/>
                <w:bCs/>
              </w:rPr>
              <w:t>In line with Australia’s enhanced gender equality requirements for ODA investments what potential partners/investment platforms will enable gender to be effectively integrated or mainstreamed into future investments?</w:t>
            </w:r>
            <w:r w:rsidRPr="00AC3E9B">
              <w:rPr>
                <w:b/>
                <w:bCs/>
              </w:rPr>
              <w:t xml:space="preserve">  </w:t>
            </w:r>
          </w:p>
        </w:tc>
        <w:tc>
          <w:tcPr>
            <w:tcW w:w="1130" w:type="dxa"/>
            <w:shd w:val="clear" w:color="auto" w:fill="auto"/>
          </w:tcPr>
          <w:p w14:paraId="4038B664" w14:textId="77777777" w:rsidR="00D26EF3" w:rsidRPr="003726E4" w:rsidRDefault="00D26EF3" w:rsidP="00D26EF3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  <w:r w:rsidRPr="003726E4"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  <w:t>Agree</w:t>
            </w:r>
          </w:p>
          <w:p w14:paraId="5AB9EC26" w14:textId="77777777" w:rsidR="00D26EF3" w:rsidRPr="003726E4" w:rsidRDefault="00D26EF3" w:rsidP="00D26EF3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055" w:type="dxa"/>
          </w:tcPr>
          <w:p w14:paraId="29A55522" w14:textId="73D7D068" w:rsidR="00D26EF3" w:rsidRPr="00201429" w:rsidRDefault="006E5658" w:rsidP="00D26EF3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DFAT is establishing partnerships with UNICEF and UNFPA to focus on gender-sensitive and transformative programming</w:t>
            </w:r>
            <w:r w:rsidR="00D26EF3">
              <w:rPr>
                <w:rFonts w:cstheme="minorHAnsi"/>
                <w:i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940" w:type="dxa"/>
          </w:tcPr>
          <w:p w14:paraId="69E8E485" w14:textId="77777777" w:rsidR="00D26EF3" w:rsidRDefault="00D26EF3" w:rsidP="00D26EF3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This recommendation will be considered as part of DFAT’s design for the next phase of the program and is informing emergency programming during the Hamas-Israel conflict.  </w:t>
            </w:r>
          </w:p>
          <w:p w14:paraId="451C12BE" w14:textId="5AD2F409" w:rsidR="00D26EF3" w:rsidRPr="00CA7BEF" w:rsidRDefault="00D26EF3" w:rsidP="00D26EF3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</w:tcPr>
          <w:p w14:paraId="6107EE52" w14:textId="4669FA49" w:rsidR="00D26EF3" w:rsidRDefault="00D26EF3" w:rsidP="00D26EF3">
            <w:pPr>
              <w:spacing w:line="240" w:lineRule="auto"/>
              <w:jc w:val="center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2024</w:t>
            </w:r>
            <w:r w:rsidR="006E5658">
              <w:rPr>
                <w:rFonts w:cstheme="minorHAnsi"/>
                <w:iCs/>
                <w:color w:val="auto"/>
                <w:sz w:val="20"/>
                <w:szCs w:val="20"/>
              </w:rPr>
              <w:t>-25</w:t>
            </w:r>
          </w:p>
        </w:tc>
      </w:tr>
      <w:tr w:rsidR="003B3A2E" w:rsidRPr="00CA7BEF" w14:paraId="6B76AAE9" w14:textId="77777777" w:rsidTr="00131C30">
        <w:tc>
          <w:tcPr>
            <w:tcW w:w="4843" w:type="dxa"/>
          </w:tcPr>
          <w:p w14:paraId="4B097FEB" w14:textId="11B3D4E4" w:rsidR="00A274ED" w:rsidRPr="007A0F13" w:rsidRDefault="006E5658" w:rsidP="007A0F13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Mainstream</w:t>
            </w:r>
            <w:r w:rsidRPr="009416A8">
              <w:rPr>
                <w:b/>
                <w:bCs/>
              </w:rPr>
              <w:t xml:space="preserve"> climate change interventions into future investments</w:t>
            </w:r>
          </w:p>
        </w:tc>
        <w:tc>
          <w:tcPr>
            <w:tcW w:w="1130" w:type="dxa"/>
            <w:shd w:val="clear" w:color="auto" w:fill="auto"/>
          </w:tcPr>
          <w:p w14:paraId="467D3329" w14:textId="1A0DCA6E" w:rsidR="00A274ED" w:rsidRPr="003726E4" w:rsidRDefault="00A274ED" w:rsidP="006F09D0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  <w:r w:rsidRPr="003726E4"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  <w:t>Agree</w:t>
            </w:r>
          </w:p>
          <w:p w14:paraId="4C208F19" w14:textId="77777777" w:rsidR="00A274ED" w:rsidRPr="003726E4" w:rsidRDefault="00A274ED" w:rsidP="006F09D0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3055" w:type="dxa"/>
          </w:tcPr>
          <w:p w14:paraId="727D52A3" w14:textId="2561574F" w:rsidR="008E6236" w:rsidRDefault="004A70D7" w:rsidP="00701366">
            <w:pPr>
              <w:spacing w:line="240" w:lineRule="auto"/>
              <w:rPr>
                <w:rFonts w:cs="Source Sans Pro"/>
                <w:color w:val="000000"/>
                <w:sz w:val="20"/>
                <w:szCs w:val="20"/>
              </w:rPr>
            </w:pPr>
            <w:r>
              <w:rPr>
                <w:rFonts w:cs="Source Sans Pro"/>
                <w:color w:val="000000"/>
                <w:sz w:val="20"/>
                <w:szCs w:val="20"/>
              </w:rPr>
              <w:t>DFAT agrees</w:t>
            </w:r>
            <w:r w:rsidR="007B6371">
              <w:rPr>
                <w:rFonts w:cs="Source Sans Pro"/>
                <w:color w:val="000000"/>
                <w:sz w:val="20"/>
                <w:szCs w:val="20"/>
              </w:rPr>
              <w:t xml:space="preserve"> in principle with </w:t>
            </w:r>
            <w:r w:rsidR="00756DA0">
              <w:rPr>
                <w:rFonts w:cs="Source Sans Pro"/>
                <w:color w:val="000000"/>
                <w:sz w:val="20"/>
                <w:szCs w:val="20"/>
              </w:rPr>
              <w:t>mainstream</w:t>
            </w:r>
            <w:r w:rsidR="007B6371">
              <w:rPr>
                <w:rFonts w:cs="Source Sans Pro"/>
                <w:color w:val="000000"/>
                <w:sz w:val="20"/>
                <w:szCs w:val="20"/>
              </w:rPr>
              <w:t>ing</w:t>
            </w:r>
            <w:r w:rsidR="00756DA0">
              <w:rPr>
                <w:rFonts w:cs="Source Sans Pro"/>
                <w:color w:val="000000"/>
                <w:sz w:val="20"/>
                <w:szCs w:val="20"/>
              </w:rPr>
              <w:t xml:space="preserve"> climate change and to look</w:t>
            </w:r>
            <w:r w:rsidR="007B6371">
              <w:rPr>
                <w:rFonts w:cs="Source Sans Pro"/>
                <w:color w:val="000000"/>
                <w:sz w:val="20"/>
                <w:szCs w:val="20"/>
              </w:rPr>
              <w:t>ing</w:t>
            </w:r>
            <w:r w:rsidR="00756DA0">
              <w:rPr>
                <w:rFonts w:cs="Source Sans Pro"/>
                <w:color w:val="000000"/>
                <w:sz w:val="20"/>
                <w:szCs w:val="20"/>
              </w:rPr>
              <w:t xml:space="preserve"> at increasing the proportion of Australia Awards scholarships for climate change</w:t>
            </w:r>
            <w:r w:rsidR="00D26EF3">
              <w:rPr>
                <w:rFonts w:cs="Source Sans Pro"/>
                <w:color w:val="000000"/>
                <w:sz w:val="20"/>
                <w:szCs w:val="20"/>
              </w:rPr>
              <w:t xml:space="preserve"> courses</w:t>
            </w:r>
            <w:r w:rsidR="004D3C2B">
              <w:rPr>
                <w:rFonts w:cs="Source Sans Pro"/>
                <w:color w:val="000000"/>
                <w:sz w:val="20"/>
                <w:szCs w:val="20"/>
              </w:rPr>
              <w:t xml:space="preserve">, </w:t>
            </w:r>
            <w:r w:rsidR="001357C9">
              <w:rPr>
                <w:rFonts w:cs="Source Sans Pro"/>
                <w:color w:val="000000"/>
                <w:sz w:val="20"/>
                <w:szCs w:val="20"/>
              </w:rPr>
              <w:t xml:space="preserve">while taking into account broader needs given the </w:t>
            </w:r>
            <w:r w:rsidR="00425CF8">
              <w:rPr>
                <w:rFonts w:cs="Source Sans Pro"/>
                <w:color w:val="000000"/>
                <w:sz w:val="20"/>
                <w:szCs w:val="20"/>
              </w:rPr>
              <w:t>current conflict environment</w:t>
            </w:r>
            <w:r w:rsidR="00701366">
              <w:rPr>
                <w:rFonts w:cs="Source Sans Pro"/>
                <w:color w:val="000000"/>
                <w:sz w:val="20"/>
                <w:szCs w:val="20"/>
              </w:rPr>
              <w:t xml:space="preserve">. </w:t>
            </w:r>
          </w:p>
          <w:p w14:paraId="69BF0DD0" w14:textId="6F1394C1" w:rsidR="00A274ED" w:rsidRPr="005A2DD9" w:rsidRDefault="00A274ED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2940" w:type="dxa"/>
          </w:tcPr>
          <w:p w14:paraId="3A376371" w14:textId="75F5C4F7" w:rsidR="00D26EF3" w:rsidRDefault="00D26EF3" w:rsidP="00D26EF3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This recommendation will be considered as part of DFAT’s design for the next phase of the program</w:t>
            </w:r>
            <w:r w:rsidR="00452C81">
              <w:rPr>
                <w:rFonts w:cstheme="minorHAnsi"/>
                <w:iCs/>
                <w:color w:val="auto"/>
                <w:sz w:val="20"/>
                <w:szCs w:val="20"/>
              </w:rPr>
              <w:t xml:space="preserve"> and through the Development Partnership Plan for the OPTs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.  </w:t>
            </w:r>
          </w:p>
          <w:p w14:paraId="4EB94A4E" w14:textId="0995284A" w:rsidR="00A274ED" w:rsidRPr="00CA7BEF" w:rsidRDefault="00A274ED" w:rsidP="006F09D0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</w:tcPr>
          <w:p w14:paraId="35647F5C" w14:textId="395D96AA" w:rsidR="00A274ED" w:rsidRPr="00CA7BEF" w:rsidRDefault="00A274ED" w:rsidP="009B674C">
            <w:pPr>
              <w:spacing w:line="240" w:lineRule="auto"/>
              <w:jc w:val="center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2024</w:t>
            </w:r>
            <w:r w:rsidR="006E5658">
              <w:rPr>
                <w:rFonts w:cstheme="minorHAnsi"/>
                <w:iCs/>
                <w:color w:val="auto"/>
                <w:sz w:val="20"/>
                <w:szCs w:val="20"/>
              </w:rPr>
              <w:t>-25</w:t>
            </w:r>
          </w:p>
        </w:tc>
      </w:tr>
      <w:tr w:rsidR="003B3A2E" w:rsidRPr="00CA7BEF" w14:paraId="1A5CB3C9" w14:textId="77777777" w:rsidTr="00131C30">
        <w:tc>
          <w:tcPr>
            <w:tcW w:w="4843" w:type="dxa"/>
          </w:tcPr>
          <w:p w14:paraId="42879937" w14:textId="6DD64B00" w:rsidR="00A274ED" w:rsidRPr="00DA6CC7" w:rsidRDefault="006E13AE" w:rsidP="00A274ED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/>
                <w:bCs/>
                <w:color w:val="auto"/>
                <w:sz w:val="20"/>
                <w:szCs w:val="20"/>
                <w:lang w:val="en-AU"/>
              </w:rPr>
            </w:pPr>
            <w:r>
              <w:rPr>
                <w:b/>
                <w:bCs/>
              </w:rPr>
              <w:lastRenderedPageBreak/>
              <w:t>Move to</w:t>
            </w:r>
            <w:r w:rsidR="00AA5087">
              <w:rPr>
                <w:b/>
                <w:bCs/>
              </w:rPr>
              <w:t xml:space="preserve"> multi-year funding in the fluid and fragile context of the Occupied Palestinian Territories</w:t>
            </w:r>
            <w:r w:rsidR="00A274ED">
              <w:rPr>
                <w:b/>
                <w:bCs/>
              </w:rPr>
              <w:t>.</w:t>
            </w:r>
          </w:p>
        </w:tc>
        <w:tc>
          <w:tcPr>
            <w:tcW w:w="1130" w:type="dxa"/>
            <w:shd w:val="clear" w:color="auto" w:fill="auto"/>
          </w:tcPr>
          <w:p w14:paraId="670DB476" w14:textId="77777777" w:rsidR="00A274ED" w:rsidRPr="003726E4" w:rsidRDefault="00A274ED" w:rsidP="006F09D0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  <w:r w:rsidRPr="003726E4"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3055" w:type="dxa"/>
          </w:tcPr>
          <w:p w14:paraId="13D0F8C6" w14:textId="5955CFDB" w:rsidR="00A274ED" w:rsidRPr="00CA7BEF" w:rsidRDefault="00701366" w:rsidP="006F09D0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DFAT agrees </w:t>
            </w:r>
            <w:r w:rsidR="009B674C">
              <w:rPr>
                <w:rFonts w:cstheme="minorHAnsi"/>
                <w:iCs/>
                <w:color w:val="auto"/>
                <w:sz w:val="20"/>
                <w:szCs w:val="20"/>
              </w:rPr>
              <w:t>to move to multi-year funding in the next phase of the program</w:t>
            </w:r>
            <w:r w:rsidR="00B4088A">
              <w:rPr>
                <w:rFonts w:cstheme="minorHAnsi"/>
                <w:iCs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940" w:type="dxa"/>
          </w:tcPr>
          <w:p w14:paraId="5EB81927" w14:textId="40134C1F" w:rsidR="00B4088A" w:rsidRDefault="00B4088A" w:rsidP="00B4088A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This recommendation will be considered as part of DFAT’s design for the next phase of the program</w:t>
            </w:r>
            <w:r w:rsidR="00452C81">
              <w:rPr>
                <w:rFonts w:cstheme="minorHAnsi"/>
                <w:iCs/>
                <w:color w:val="auto"/>
                <w:sz w:val="20"/>
                <w:szCs w:val="20"/>
              </w:rPr>
              <w:t xml:space="preserve"> and through the Development Partnership Plan for the OPTs.  </w:t>
            </w: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  </w:t>
            </w:r>
          </w:p>
          <w:p w14:paraId="52E4789A" w14:textId="2A822AFE" w:rsidR="00A274ED" w:rsidRPr="00CA7BEF" w:rsidRDefault="00A274ED" w:rsidP="006F09D0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</w:tcPr>
          <w:p w14:paraId="21F3A063" w14:textId="11B225AF" w:rsidR="00A274ED" w:rsidRPr="00CA7BEF" w:rsidRDefault="00A274ED" w:rsidP="00B4088A">
            <w:pPr>
              <w:spacing w:line="240" w:lineRule="auto"/>
              <w:jc w:val="center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2024</w:t>
            </w:r>
            <w:r w:rsidR="006E5658">
              <w:rPr>
                <w:rFonts w:cstheme="minorHAnsi"/>
                <w:iCs/>
                <w:color w:val="auto"/>
                <w:sz w:val="20"/>
                <w:szCs w:val="20"/>
              </w:rPr>
              <w:t>-25</w:t>
            </w:r>
          </w:p>
        </w:tc>
      </w:tr>
      <w:tr w:rsidR="00D810EC" w:rsidRPr="00CA7BEF" w14:paraId="43179BD8" w14:textId="77777777" w:rsidTr="00131C30">
        <w:tc>
          <w:tcPr>
            <w:tcW w:w="4843" w:type="dxa"/>
          </w:tcPr>
          <w:p w14:paraId="51648739" w14:textId="48584754" w:rsidR="00D810EC" w:rsidRDefault="00D810EC" w:rsidP="00D810EC">
            <w:pPr>
              <w:pStyle w:val="ListParagraph"/>
              <w:numPr>
                <w:ilvl w:val="1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Maintain the high levels of attention to risk management in humanitarian and development investments. </w:t>
            </w:r>
          </w:p>
        </w:tc>
        <w:tc>
          <w:tcPr>
            <w:tcW w:w="1130" w:type="dxa"/>
            <w:shd w:val="clear" w:color="auto" w:fill="auto"/>
          </w:tcPr>
          <w:p w14:paraId="18A46CB4" w14:textId="0FF66E1A" w:rsidR="00D810EC" w:rsidRPr="003726E4" w:rsidRDefault="00D810EC" w:rsidP="00D810EC">
            <w:pPr>
              <w:spacing w:line="240" w:lineRule="auto"/>
              <w:jc w:val="center"/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color w:val="auto"/>
                <w:sz w:val="20"/>
                <w:szCs w:val="20"/>
              </w:rPr>
              <w:t>Agree</w:t>
            </w:r>
          </w:p>
        </w:tc>
        <w:tc>
          <w:tcPr>
            <w:tcW w:w="3055" w:type="dxa"/>
          </w:tcPr>
          <w:p w14:paraId="76EAE471" w14:textId="409EEEF5" w:rsidR="00D810EC" w:rsidRDefault="00D810EC" w:rsidP="00D810EC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DFAT agrees to continue the high levels of attention to risk management and will maintain sufficient resourcing to ensure risk management processes are followed. </w:t>
            </w:r>
          </w:p>
        </w:tc>
        <w:tc>
          <w:tcPr>
            <w:tcW w:w="2940" w:type="dxa"/>
          </w:tcPr>
          <w:p w14:paraId="7BB72204" w14:textId="77777777" w:rsidR="00D810EC" w:rsidRDefault="00D810EC" w:rsidP="00D810EC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 xml:space="preserve">This recommendation will be considered as part of DFAT’s design for the next phase of the program and is informing emergency programming during the Hamas-Israel conflict.  </w:t>
            </w:r>
          </w:p>
          <w:p w14:paraId="2C4AC5F4" w14:textId="77777777" w:rsidR="00D810EC" w:rsidRDefault="00D810EC" w:rsidP="00D810EC">
            <w:pPr>
              <w:spacing w:line="240" w:lineRule="auto"/>
              <w:rPr>
                <w:rFonts w:cstheme="minorHAnsi"/>
                <w:iCs/>
                <w:color w:val="auto"/>
                <w:sz w:val="20"/>
                <w:szCs w:val="20"/>
              </w:rPr>
            </w:pPr>
          </w:p>
        </w:tc>
        <w:tc>
          <w:tcPr>
            <w:tcW w:w="1215" w:type="dxa"/>
          </w:tcPr>
          <w:p w14:paraId="4B98E1B4" w14:textId="60C5968D" w:rsidR="00D810EC" w:rsidRDefault="00D810EC" w:rsidP="001D3CEB">
            <w:pPr>
              <w:spacing w:line="240" w:lineRule="auto"/>
              <w:jc w:val="center"/>
              <w:rPr>
                <w:rFonts w:cstheme="minorHAnsi"/>
                <w:iCs/>
                <w:color w:val="auto"/>
                <w:sz w:val="20"/>
                <w:szCs w:val="20"/>
              </w:rPr>
            </w:pPr>
            <w:r>
              <w:rPr>
                <w:rFonts w:cstheme="minorHAnsi"/>
                <w:iCs/>
                <w:color w:val="auto"/>
                <w:sz w:val="20"/>
                <w:szCs w:val="20"/>
              </w:rPr>
              <w:t>2024</w:t>
            </w:r>
            <w:r w:rsidR="006E5658">
              <w:rPr>
                <w:rFonts w:cstheme="minorHAnsi"/>
                <w:iCs/>
                <w:color w:val="auto"/>
                <w:sz w:val="20"/>
                <w:szCs w:val="20"/>
              </w:rPr>
              <w:t>-25</w:t>
            </w:r>
          </w:p>
        </w:tc>
      </w:tr>
    </w:tbl>
    <w:p w14:paraId="43CE4B7B" w14:textId="77777777" w:rsidR="00E50E15" w:rsidRDefault="00E50E15" w:rsidP="00AA5087">
      <w:pPr>
        <w:pStyle w:val="Heading3"/>
        <w:spacing w:before="240" w:after="120"/>
      </w:pPr>
    </w:p>
    <w:sectPr w:rsidR="00E50E15" w:rsidSect="00A274ED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134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7FC3" w14:textId="77777777" w:rsidR="00715D20" w:rsidRDefault="00715D20">
      <w:pPr>
        <w:spacing w:before="0" w:after="0" w:line="240" w:lineRule="auto"/>
      </w:pPr>
      <w:r>
        <w:separator/>
      </w:r>
    </w:p>
  </w:endnote>
  <w:endnote w:type="continuationSeparator" w:id="0">
    <w:p w14:paraId="03C7B937" w14:textId="77777777" w:rsidR="00715D20" w:rsidRDefault="00715D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D9C37" w14:textId="77777777" w:rsidR="006E5658" w:rsidRDefault="006E5658">
    <w:pPr>
      <w:pStyle w:val="Footer"/>
      <w:jc w:val="right"/>
    </w:pPr>
  </w:p>
  <w:p w14:paraId="525EBC1A" w14:textId="77777777" w:rsidR="006E5658" w:rsidRPr="00FC322F" w:rsidRDefault="006E5658" w:rsidP="00FC322F">
    <w:pPr>
      <w:pStyle w:val="Footer"/>
      <w:rPr>
        <w:b/>
      </w:rPr>
    </w:pPr>
  </w:p>
  <w:p w14:paraId="17630E49" w14:textId="77777777" w:rsidR="006E5658" w:rsidRDefault="006E56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013D" w14:textId="77777777" w:rsidR="00715D20" w:rsidRDefault="00715D20">
      <w:pPr>
        <w:spacing w:before="0" w:after="0" w:line="240" w:lineRule="auto"/>
      </w:pPr>
      <w:r>
        <w:separator/>
      </w:r>
    </w:p>
  </w:footnote>
  <w:footnote w:type="continuationSeparator" w:id="0">
    <w:p w14:paraId="0F605C3A" w14:textId="77777777" w:rsidR="00715D20" w:rsidRDefault="00715D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EFF9" w14:textId="77777777" w:rsidR="006E5658" w:rsidRDefault="006E5658">
    <w:pPr>
      <w:pStyle w:val="Header"/>
    </w:pPr>
  </w:p>
  <w:p w14:paraId="291E1161" w14:textId="77777777" w:rsidR="006E5658" w:rsidRDefault="006E5658"/>
  <w:p w14:paraId="018D7BA0" w14:textId="77777777" w:rsidR="006E5658" w:rsidRPr="000854FD" w:rsidRDefault="00A274ED" w:rsidP="002D5B25">
    <w:pPr>
      <w:pStyle w:val="Header"/>
    </w:pPr>
    <w:r w:rsidRPr="00943730">
      <w:rPr>
        <w:noProof/>
        <w:lang w:val="en-AU" w:eastAsia="en-AU"/>
      </w:rPr>
      <w:drawing>
        <wp:inline distT="0" distB="0" distL="0" distR="0" wp14:anchorId="44EF77D8" wp14:editId="31D5788E">
          <wp:extent cx="10658475" cy="10692765"/>
          <wp:effectExtent l="0" t="0" r="9525" b="0"/>
          <wp:docPr id="22" name="Picture 2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8475" cy="1069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C643F" w14:textId="77777777" w:rsidR="006E5658" w:rsidRDefault="006E5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024" w14:textId="77777777" w:rsidR="006E5658" w:rsidRDefault="00A274ED" w:rsidP="00CA7BEF">
    <w:pPr>
      <w:pStyle w:val="Header"/>
      <w:tabs>
        <w:tab w:val="clear" w:pos="4513"/>
        <w:tab w:val="clear" w:pos="9026"/>
        <w:tab w:val="left" w:pos="5430"/>
      </w:tabs>
      <w:ind w:left="0"/>
    </w:pPr>
    <w:r w:rsidRPr="00943730"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1" wp14:anchorId="657EB1C8" wp14:editId="4877297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0048875" cy="7753350"/>
          <wp:effectExtent l="0" t="0" r="952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8875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4D9D1" w14:textId="77777777" w:rsidR="006E5658" w:rsidRPr="00943730" w:rsidRDefault="00A274ED" w:rsidP="00943730">
    <w:pPr>
      <w:pStyle w:val="Header"/>
    </w:pPr>
    <w:r w:rsidRPr="00943730">
      <w:rPr>
        <w:noProof/>
        <w:lang w:val="en-AU" w:eastAsia="en-AU"/>
      </w:rPr>
      <w:drawing>
        <wp:inline distT="0" distB="0" distL="0" distR="0" wp14:anchorId="1E7E6B9C" wp14:editId="72F30E0B">
          <wp:extent cx="10668000" cy="10692130"/>
          <wp:effectExtent l="0" t="0" r="0" b="0"/>
          <wp:docPr id="24" name="Picture 24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0" cy="10692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69050422" w14:textId="77777777" w:rsidR="006E5658" w:rsidRDefault="006E56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5013C"/>
    <w:multiLevelType w:val="multilevel"/>
    <w:tmpl w:val="4FACF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EDD66AA"/>
    <w:multiLevelType w:val="multilevel"/>
    <w:tmpl w:val="AB76433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015645220">
    <w:abstractNumId w:val="0"/>
  </w:num>
  <w:num w:numId="2" w16cid:durableId="66448030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071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4ED"/>
    <w:rsid w:val="0001066C"/>
    <w:rsid w:val="000252E2"/>
    <w:rsid w:val="0005250D"/>
    <w:rsid w:val="0005340A"/>
    <w:rsid w:val="00062EA0"/>
    <w:rsid w:val="00071A34"/>
    <w:rsid w:val="00080176"/>
    <w:rsid w:val="00080B06"/>
    <w:rsid w:val="00085352"/>
    <w:rsid w:val="00094CDF"/>
    <w:rsid w:val="00095976"/>
    <w:rsid w:val="000A255E"/>
    <w:rsid w:val="000C7329"/>
    <w:rsid w:val="000E06EE"/>
    <w:rsid w:val="00130C61"/>
    <w:rsid w:val="00131C30"/>
    <w:rsid w:val="001357C9"/>
    <w:rsid w:val="001367D4"/>
    <w:rsid w:val="001643C8"/>
    <w:rsid w:val="001674BE"/>
    <w:rsid w:val="00175C1B"/>
    <w:rsid w:val="00186946"/>
    <w:rsid w:val="00191BA2"/>
    <w:rsid w:val="001B25A4"/>
    <w:rsid w:val="001B427B"/>
    <w:rsid w:val="001D1264"/>
    <w:rsid w:val="001D3343"/>
    <w:rsid w:val="001D3CEB"/>
    <w:rsid w:val="001F1262"/>
    <w:rsid w:val="00211FF9"/>
    <w:rsid w:val="002312F5"/>
    <w:rsid w:val="00242430"/>
    <w:rsid w:val="00245C9A"/>
    <w:rsid w:val="00246184"/>
    <w:rsid w:val="0025365B"/>
    <w:rsid w:val="0026002A"/>
    <w:rsid w:val="00260619"/>
    <w:rsid w:val="00261D6B"/>
    <w:rsid w:val="0026285F"/>
    <w:rsid w:val="00277FA0"/>
    <w:rsid w:val="00287659"/>
    <w:rsid w:val="002A5696"/>
    <w:rsid w:val="002B545E"/>
    <w:rsid w:val="002B5550"/>
    <w:rsid w:val="002C5A4D"/>
    <w:rsid w:val="002C62BD"/>
    <w:rsid w:val="002D3B52"/>
    <w:rsid w:val="002E56A8"/>
    <w:rsid w:val="002E775C"/>
    <w:rsid w:val="002F0F30"/>
    <w:rsid w:val="00316281"/>
    <w:rsid w:val="00323F9C"/>
    <w:rsid w:val="00324166"/>
    <w:rsid w:val="00326407"/>
    <w:rsid w:val="0033176E"/>
    <w:rsid w:val="00343642"/>
    <w:rsid w:val="0034394C"/>
    <w:rsid w:val="00344519"/>
    <w:rsid w:val="003523E3"/>
    <w:rsid w:val="00355E6B"/>
    <w:rsid w:val="003625C6"/>
    <w:rsid w:val="00363867"/>
    <w:rsid w:val="00365EE7"/>
    <w:rsid w:val="00376DAF"/>
    <w:rsid w:val="003B3A2E"/>
    <w:rsid w:val="003B5B32"/>
    <w:rsid w:val="003C01E0"/>
    <w:rsid w:val="003C2B17"/>
    <w:rsid w:val="003F1C21"/>
    <w:rsid w:val="003F56D7"/>
    <w:rsid w:val="003F7C21"/>
    <w:rsid w:val="00404832"/>
    <w:rsid w:val="00406753"/>
    <w:rsid w:val="00424D2D"/>
    <w:rsid w:val="00425CF8"/>
    <w:rsid w:val="00452C81"/>
    <w:rsid w:val="00452C8C"/>
    <w:rsid w:val="00461E5E"/>
    <w:rsid w:val="00485BF6"/>
    <w:rsid w:val="00487BAB"/>
    <w:rsid w:val="00487C86"/>
    <w:rsid w:val="00492FD0"/>
    <w:rsid w:val="004A2C33"/>
    <w:rsid w:val="004A70D7"/>
    <w:rsid w:val="004C0CF2"/>
    <w:rsid w:val="004C757D"/>
    <w:rsid w:val="004D22F5"/>
    <w:rsid w:val="004D357A"/>
    <w:rsid w:val="004D3C2B"/>
    <w:rsid w:val="004E4CD0"/>
    <w:rsid w:val="004F0D16"/>
    <w:rsid w:val="0050696D"/>
    <w:rsid w:val="00525EE9"/>
    <w:rsid w:val="00532A8F"/>
    <w:rsid w:val="00550168"/>
    <w:rsid w:val="00567889"/>
    <w:rsid w:val="00570C01"/>
    <w:rsid w:val="00574344"/>
    <w:rsid w:val="00592813"/>
    <w:rsid w:val="005A080F"/>
    <w:rsid w:val="005A1D15"/>
    <w:rsid w:val="005A608B"/>
    <w:rsid w:val="005A6CA9"/>
    <w:rsid w:val="005B4874"/>
    <w:rsid w:val="005E294C"/>
    <w:rsid w:val="005F66EC"/>
    <w:rsid w:val="005F732E"/>
    <w:rsid w:val="0060141B"/>
    <w:rsid w:val="00617BC6"/>
    <w:rsid w:val="00623838"/>
    <w:rsid w:val="00624C12"/>
    <w:rsid w:val="00625A13"/>
    <w:rsid w:val="00644BF7"/>
    <w:rsid w:val="006638B6"/>
    <w:rsid w:val="0067095F"/>
    <w:rsid w:val="00673957"/>
    <w:rsid w:val="00676DC9"/>
    <w:rsid w:val="006B193A"/>
    <w:rsid w:val="006C6290"/>
    <w:rsid w:val="006C62A8"/>
    <w:rsid w:val="006C7F9A"/>
    <w:rsid w:val="006D3B75"/>
    <w:rsid w:val="006E13AE"/>
    <w:rsid w:val="006E5658"/>
    <w:rsid w:val="00701366"/>
    <w:rsid w:val="007108DE"/>
    <w:rsid w:val="00715D20"/>
    <w:rsid w:val="00735D29"/>
    <w:rsid w:val="00737B1D"/>
    <w:rsid w:val="00742010"/>
    <w:rsid w:val="00756DA0"/>
    <w:rsid w:val="0078309D"/>
    <w:rsid w:val="00795FF5"/>
    <w:rsid w:val="007A0D19"/>
    <w:rsid w:val="007A0F13"/>
    <w:rsid w:val="007B6371"/>
    <w:rsid w:val="007C157A"/>
    <w:rsid w:val="00813007"/>
    <w:rsid w:val="0081356B"/>
    <w:rsid w:val="00816068"/>
    <w:rsid w:val="00817F54"/>
    <w:rsid w:val="00826DC5"/>
    <w:rsid w:val="00856882"/>
    <w:rsid w:val="00857832"/>
    <w:rsid w:val="00882919"/>
    <w:rsid w:val="00890DC1"/>
    <w:rsid w:val="00891927"/>
    <w:rsid w:val="00897199"/>
    <w:rsid w:val="008E3791"/>
    <w:rsid w:val="008E6236"/>
    <w:rsid w:val="008F0E34"/>
    <w:rsid w:val="008F2CBD"/>
    <w:rsid w:val="00912AE6"/>
    <w:rsid w:val="00926D4D"/>
    <w:rsid w:val="00934E72"/>
    <w:rsid w:val="00935AB4"/>
    <w:rsid w:val="00943639"/>
    <w:rsid w:val="00945C9F"/>
    <w:rsid w:val="00946437"/>
    <w:rsid w:val="009762B4"/>
    <w:rsid w:val="009908B2"/>
    <w:rsid w:val="009914D7"/>
    <w:rsid w:val="009930F3"/>
    <w:rsid w:val="009A3080"/>
    <w:rsid w:val="009A5EEA"/>
    <w:rsid w:val="009B674C"/>
    <w:rsid w:val="009C1607"/>
    <w:rsid w:val="009C5017"/>
    <w:rsid w:val="009F147E"/>
    <w:rsid w:val="009F323A"/>
    <w:rsid w:val="009F6333"/>
    <w:rsid w:val="00A04BE6"/>
    <w:rsid w:val="00A25324"/>
    <w:rsid w:val="00A274ED"/>
    <w:rsid w:val="00A35F0D"/>
    <w:rsid w:val="00A366C2"/>
    <w:rsid w:val="00A43482"/>
    <w:rsid w:val="00A43CC8"/>
    <w:rsid w:val="00A5026C"/>
    <w:rsid w:val="00A515E1"/>
    <w:rsid w:val="00A556E1"/>
    <w:rsid w:val="00A832E7"/>
    <w:rsid w:val="00A85758"/>
    <w:rsid w:val="00AA5087"/>
    <w:rsid w:val="00AB2A76"/>
    <w:rsid w:val="00AB42BF"/>
    <w:rsid w:val="00AB5927"/>
    <w:rsid w:val="00AC3E9B"/>
    <w:rsid w:val="00AC5EAC"/>
    <w:rsid w:val="00AD6564"/>
    <w:rsid w:val="00AE06AC"/>
    <w:rsid w:val="00AE2BA5"/>
    <w:rsid w:val="00AE38FB"/>
    <w:rsid w:val="00B02DA2"/>
    <w:rsid w:val="00B11911"/>
    <w:rsid w:val="00B151A3"/>
    <w:rsid w:val="00B15D32"/>
    <w:rsid w:val="00B1741B"/>
    <w:rsid w:val="00B17848"/>
    <w:rsid w:val="00B32938"/>
    <w:rsid w:val="00B36DE0"/>
    <w:rsid w:val="00B4088A"/>
    <w:rsid w:val="00B469B2"/>
    <w:rsid w:val="00B46C33"/>
    <w:rsid w:val="00B54DBC"/>
    <w:rsid w:val="00B87ABE"/>
    <w:rsid w:val="00B94D4B"/>
    <w:rsid w:val="00BA3810"/>
    <w:rsid w:val="00BA5144"/>
    <w:rsid w:val="00BA5AC7"/>
    <w:rsid w:val="00BA78A6"/>
    <w:rsid w:val="00BC520D"/>
    <w:rsid w:val="00BF7BB2"/>
    <w:rsid w:val="00C0379C"/>
    <w:rsid w:val="00C12C25"/>
    <w:rsid w:val="00C140CA"/>
    <w:rsid w:val="00C14328"/>
    <w:rsid w:val="00C26A3F"/>
    <w:rsid w:val="00C3725F"/>
    <w:rsid w:val="00C40E9C"/>
    <w:rsid w:val="00C63C30"/>
    <w:rsid w:val="00C77026"/>
    <w:rsid w:val="00C77E43"/>
    <w:rsid w:val="00C81A15"/>
    <w:rsid w:val="00C8582A"/>
    <w:rsid w:val="00CA3FBE"/>
    <w:rsid w:val="00CD4C6D"/>
    <w:rsid w:val="00D24E49"/>
    <w:rsid w:val="00D26EF3"/>
    <w:rsid w:val="00D37702"/>
    <w:rsid w:val="00D66818"/>
    <w:rsid w:val="00D75AC1"/>
    <w:rsid w:val="00D810EC"/>
    <w:rsid w:val="00D8124C"/>
    <w:rsid w:val="00DA49A6"/>
    <w:rsid w:val="00DB4DB3"/>
    <w:rsid w:val="00DB659C"/>
    <w:rsid w:val="00DC694C"/>
    <w:rsid w:val="00DC7437"/>
    <w:rsid w:val="00DD256A"/>
    <w:rsid w:val="00DF063C"/>
    <w:rsid w:val="00DF38BF"/>
    <w:rsid w:val="00DF7892"/>
    <w:rsid w:val="00E05E94"/>
    <w:rsid w:val="00E34E50"/>
    <w:rsid w:val="00E50E15"/>
    <w:rsid w:val="00E56C94"/>
    <w:rsid w:val="00E56FF9"/>
    <w:rsid w:val="00E57400"/>
    <w:rsid w:val="00E70D10"/>
    <w:rsid w:val="00E768E7"/>
    <w:rsid w:val="00E80E34"/>
    <w:rsid w:val="00E845CE"/>
    <w:rsid w:val="00E90B25"/>
    <w:rsid w:val="00E979D3"/>
    <w:rsid w:val="00EA6057"/>
    <w:rsid w:val="00EB0B31"/>
    <w:rsid w:val="00EB1CB5"/>
    <w:rsid w:val="00EC0920"/>
    <w:rsid w:val="00ED054D"/>
    <w:rsid w:val="00EE2AF0"/>
    <w:rsid w:val="00EE5726"/>
    <w:rsid w:val="00EF0D62"/>
    <w:rsid w:val="00EF337D"/>
    <w:rsid w:val="00F02241"/>
    <w:rsid w:val="00F0563D"/>
    <w:rsid w:val="00F05705"/>
    <w:rsid w:val="00F214F6"/>
    <w:rsid w:val="00F31FE7"/>
    <w:rsid w:val="00F679E1"/>
    <w:rsid w:val="00F8199E"/>
    <w:rsid w:val="00F852B7"/>
    <w:rsid w:val="00F85C2B"/>
    <w:rsid w:val="00F95779"/>
    <w:rsid w:val="00FA38C7"/>
    <w:rsid w:val="00FA634A"/>
    <w:rsid w:val="00FB78F8"/>
    <w:rsid w:val="00FD44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B13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ED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1">
    <w:name w:val="heading 1"/>
    <w:basedOn w:val="SpacebeforeTitle"/>
    <w:next w:val="Normal"/>
    <w:link w:val="Heading1Char"/>
    <w:uiPriority w:val="9"/>
    <w:qFormat/>
    <w:rsid w:val="00A274ED"/>
    <w:pPr>
      <w:tabs>
        <w:tab w:val="left" w:pos="1114"/>
        <w:tab w:val="left" w:pos="2205"/>
      </w:tabs>
      <w:spacing w:after="0"/>
      <w:outlineLvl w:val="0"/>
    </w:pPr>
    <w:rPr>
      <w:bCs/>
      <w:sz w:val="36"/>
      <w:szCs w:val="36"/>
    </w:rPr>
  </w:style>
  <w:style w:type="paragraph" w:styleId="Heading2">
    <w:name w:val="heading 2"/>
    <w:basedOn w:val="SpacebeforeTitle"/>
    <w:next w:val="Normal"/>
    <w:link w:val="Heading2Char"/>
    <w:uiPriority w:val="9"/>
    <w:unhideWhenUsed/>
    <w:qFormat/>
    <w:rsid w:val="00A274ED"/>
    <w:pPr>
      <w:tabs>
        <w:tab w:val="left" w:pos="1114"/>
        <w:tab w:val="left" w:pos="2205"/>
      </w:tabs>
      <w:spacing w:after="240"/>
      <w:outlineLvl w:val="1"/>
    </w:pPr>
    <w:rPr>
      <w:rFonts w:cstheme="minorHAnsi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7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4ED"/>
    <w:rPr>
      <w:bCs/>
      <w:color w:val="44546A" w:themeColor="text2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274ED"/>
    <w:rPr>
      <w:rFonts w:cstheme="minorHAnsi"/>
      <w:b/>
      <w:bCs/>
      <w:iCs/>
      <w:color w:val="44546A" w:themeColor="text2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74ED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274ED"/>
    <w:rPr>
      <w:b/>
      <w:caps/>
      <w:color w:val="FFFFFF" w:themeColor="background1"/>
      <w:sz w:val="20"/>
      <w:lang w:val="en-GB"/>
    </w:rPr>
  </w:style>
  <w:style w:type="table" w:styleId="TableGrid">
    <w:name w:val="Table Grid"/>
    <w:basedOn w:val="TableNormal"/>
    <w:uiPriority w:val="59"/>
    <w:rsid w:val="00A2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274ED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A274ED"/>
    <w:rPr>
      <w:color w:val="FFFFFF" w:themeColor="background1"/>
      <w:lang w:val="en-GB"/>
    </w:rPr>
  </w:style>
  <w:style w:type="paragraph" w:customStyle="1" w:styleId="SpacebeforeTitle">
    <w:name w:val="Space before Title"/>
    <w:basedOn w:val="Normal"/>
    <w:qFormat/>
    <w:rsid w:val="00A274ED"/>
    <w:pPr>
      <w:spacing w:after="900"/>
    </w:p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出段落1"/>
    <w:basedOn w:val="Normal"/>
    <w:link w:val="ListParagraphChar"/>
    <w:uiPriority w:val="34"/>
    <w:qFormat/>
    <w:rsid w:val="00A274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3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3B9"/>
    <w:rPr>
      <w:color w:val="44546A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3B9"/>
    <w:rPr>
      <w:b/>
      <w:bCs/>
      <w:color w:val="44546A" w:themeColor="text2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2E77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link w:val="ListParagraph"/>
    <w:uiPriority w:val="34"/>
    <w:qFormat/>
    <w:locked/>
    <w:rsid w:val="00AC3E9B"/>
    <w:rPr>
      <w:color w:val="44546A" w:themeColor="text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6E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6EE"/>
    <w:rPr>
      <w:rFonts w:ascii="Segoe UI" w:hAnsi="Segoe UI" w:cs="Segoe UI"/>
      <w:color w:val="44546A" w:themeColor="text2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6C6290"/>
    <w:pPr>
      <w:spacing w:after="0" w:line="240" w:lineRule="auto"/>
    </w:pPr>
    <w:rPr>
      <w:color w:val="44546A" w:themeColor="text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4106</Characters>
  <Application>Microsoft Office Word</Application>
  <DocSecurity>4</DocSecurity>
  <Lines>156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Response to the Strategic Review of Australia’s Occupied Palestinian Territories Humanitarian and Development Program</dc:title>
  <dc:subject/>
  <dc:creator/>
  <cp:keywords>[SEC=OFFICIAL]</cp:keywords>
  <dc:description/>
  <cp:lastModifiedBy/>
  <cp:revision>1</cp:revision>
  <dcterms:created xsi:type="dcterms:W3CDTF">2024-08-09T02:47:00Z</dcterms:created>
  <dcterms:modified xsi:type="dcterms:W3CDTF">2024-08-09T02:47:00Z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gov.au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v=2022.1;a=SHA256;h=D11DB6D54C1696B3B0433C8F648B33E336212BACC73EE9277224379C8EA8D2F5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2023-10-31T03:17:56Z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E5329D78ADFF18985C404F3A4015F7B7C209C4C5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5101D5F882FF43988D399FFC764D024A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C427463A240001568B1E728057080C091949066E05DD342FA6B5B9F6FF33F8D6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9E33FC8F457962975B143EA4136299C5</vt:lpwstr>
  </property>
  <property fmtid="{D5CDD505-2E9C-101B-9397-08002B2CF9AE}" pid="25" name="PM_Hash_Salt">
    <vt:lpwstr>8084287E93B86FC916C0A1BCED86DBBE</vt:lpwstr>
  </property>
  <property fmtid="{D5CDD505-2E9C-101B-9397-08002B2CF9AE}" pid="26" name="PM_Hash_SHA1">
    <vt:lpwstr>97EB212049F117224FBFCFFE884F56978B6A9FDE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</Properties>
</file>