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672E" w14:textId="5F09E4BA" w:rsidR="008630C8" w:rsidRDefault="00F72EC0" w:rsidP="00F72EC0">
      <w:pPr>
        <w:pStyle w:val="Heading1"/>
      </w:pPr>
      <w:r w:rsidRPr="00F72EC0">
        <w:t>DFAT’s Management Response to the Mid-Term Review of the South Asia Water Security Initiative (SAWASI)</w:t>
      </w:r>
    </w:p>
    <w:p w14:paraId="248DF79F" w14:textId="13BF68E9" w:rsidR="00F72EC0" w:rsidRDefault="00F72EC0" w:rsidP="00F72EC0">
      <w:pPr>
        <w:pStyle w:val="Heading2"/>
      </w:pPr>
      <w:r>
        <w:t>Context</w:t>
      </w:r>
    </w:p>
    <w:p w14:paraId="76F9E156" w14:textId="35BA9B57" w:rsidR="00F72EC0" w:rsidRPr="00F72EC0" w:rsidRDefault="00F72EC0" w:rsidP="00F72EC0">
      <w:pPr>
        <w:rPr>
          <w:sz w:val="22"/>
          <w:szCs w:val="22"/>
        </w:rPr>
      </w:pPr>
      <w:r w:rsidRPr="00596369">
        <w:rPr>
          <w:sz w:val="22"/>
          <w:szCs w:val="22"/>
        </w:rPr>
        <w:t>Australia’s</w:t>
      </w:r>
      <w:r w:rsidRPr="00F72EC0">
        <w:rPr>
          <w:sz w:val="22"/>
          <w:szCs w:val="22"/>
        </w:rPr>
        <w:t xml:space="preserve"> $20 million (202</w:t>
      </w:r>
      <w:r w:rsidR="00E22B54" w:rsidRPr="0030199A">
        <w:rPr>
          <w:sz w:val="22"/>
          <w:szCs w:val="22"/>
        </w:rPr>
        <w:t>1</w:t>
      </w:r>
      <w:r w:rsidRPr="00F72EC0">
        <w:rPr>
          <w:sz w:val="22"/>
          <w:szCs w:val="22"/>
        </w:rPr>
        <w:t>-2025) South Asia Water Security Initiative (SAWASI) aims to strengthen urban water governance and improve access to safe water and sanitation services for disadvantaged communities in South Asian cities, particularly women and girls. The initiative builds on Australia’s previous investments in water infrastructure and governance, focusing on enhancing the capacity of local governments and service providers to deliver sustainable water services</w:t>
      </w:r>
      <w:r w:rsidR="001F51A8">
        <w:rPr>
          <w:sz w:val="22"/>
          <w:szCs w:val="22"/>
        </w:rPr>
        <w:t xml:space="preserve"> </w:t>
      </w:r>
      <w:r w:rsidR="00BC5C2C">
        <w:rPr>
          <w:sz w:val="22"/>
          <w:szCs w:val="22"/>
        </w:rPr>
        <w:t>with a</w:t>
      </w:r>
      <w:r w:rsidR="00930724">
        <w:rPr>
          <w:sz w:val="22"/>
          <w:szCs w:val="22"/>
        </w:rPr>
        <w:t>n</w:t>
      </w:r>
      <w:r w:rsidR="00BC5C2C">
        <w:rPr>
          <w:sz w:val="22"/>
          <w:szCs w:val="22"/>
        </w:rPr>
        <w:t xml:space="preserve"> </w:t>
      </w:r>
      <w:r w:rsidR="00930724">
        <w:rPr>
          <w:sz w:val="22"/>
          <w:szCs w:val="22"/>
        </w:rPr>
        <w:t>emphasis</w:t>
      </w:r>
      <w:r w:rsidR="00BC5C2C">
        <w:rPr>
          <w:sz w:val="22"/>
          <w:szCs w:val="22"/>
        </w:rPr>
        <w:t xml:space="preserve"> </w:t>
      </w:r>
      <w:r w:rsidR="009712EA">
        <w:rPr>
          <w:sz w:val="22"/>
          <w:szCs w:val="22"/>
        </w:rPr>
        <w:t>o</w:t>
      </w:r>
      <w:r w:rsidR="00930724">
        <w:rPr>
          <w:sz w:val="22"/>
          <w:szCs w:val="22"/>
        </w:rPr>
        <w:t>n</w:t>
      </w:r>
      <w:r w:rsidR="007B664C">
        <w:rPr>
          <w:sz w:val="22"/>
          <w:szCs w:val="22"/>
        </w:rPr>
        <w:t xml:space="preserve"> </w:t>
      </w:r>
      <w:r w:rsidR="00596369">
        <w:rPr>
          <w:sz w:val="22"/>
          <w:szCs w:val="22"/>
        </w:rPr>
        <w:t xml:space="preserve">promoting </w:t>
      </w:r>
      <w:r w:rsidR="007B664C" w:rsidRPr="007B664C">
        <w:rPr>
          <w:sz w:val="22"/>
          <w:szCs w:val="22"/>
          <w:lang w:val="en-GB"/>
        </w:rPr>
        <w:t>Australian expertise in urban water management and water sensitive cities (WSC).</w:t>
      </w:r>
      <w:r w:rsidR="007B664C">
        <w:rPr>
          <w:sz w:val="22"/>
          <w:szCs w:val="22"/>
        </w:rPr>
        <w:t xml:space="preserve"> </w:t>
      </w:r>
    </w:p>
    <w:p w14:paraId="60CCA0CB" w14:textId="7DF304FF" w:rsidR="005B7A88" w:rsidRDefault="00B551C0" w:rsidP="00F72EC0">
      <w:pPr>
        <w:rPr>
          <w:sz w:val="22"/>
          <w:szCs w:val="22"/>
        </w:rPr>
      </w:pPr>
      <w:r>
        <w:rPr>
          <w:sz w:val="22"/>
          <w:szCs w:val="22"/>
        </w:rPr>
        <w:t>The program consists of three</w:t>
      </w:r>
      <w:r w:rsidR="003C06E9">
        <w:rPr>
          <w:sz w:val="22"/>
          <w:szCs w:val="22"/>
        </w:rPr>
        <w:t xml:space="preserve"> </w:t>
      </w:r>
      <w:r>
        <w:rPr>
          <w:sz w:val="22"/>
          <w:szCs w:val="22"/>
        </w:rPr>
        <w:t xml:space="preserve">components: </w:t>
      </w:r>
    </w:p>
    <w:p w14:paraId="650B416D" w14:textId="6F13A165" w:rsidR="00E85A26" w:rsidRDefault="00171475" w:rsidP="004671E5">
      <w:pPr>
        <w:pStyle w:val="ListParagraph"/>
        <w:numPr>
          <w:ilvl w:val="0"/>
          <w:numId w:val="10"/>
        </w:numPr>
        <w:rPr>
          <w:sz w:val="22"/>
          <w:szCs w:val="22"/>
        </w:rPr>
      </w:pPr>
      <w:r w:rsidRPr="00A67DD8">
        <w:rPr>
          <w:sz w:val="22"/>
          <w:szCs w:val="22"/>
        </w:rPr>
        <w:t>Community Demonstration Projects (CDPs)</w:t>
      </w:r>
      <w:r w:rsidRPr="004671E5">
        <w:t xml:space="preserve"> </w:t>
      </w:r>
      <w:r w:rsidR="00E85A26">
        <w:t xml:space="preserve">- </w:t>
      </w:r>
      <w:r w:rsidRPr="00A67DD8">
        <w:rPr>
          <w:sz w:val="22"/>
          <w:szCs w:val="22"/>
        </w:rPr>
        <w:t xml:space="preserve">in four disadvantaged communities in </w:t>
      </w:r>
      <w:r w:rsidR="003A59BE">
        <w:rPr>
          <w:sz w:val="22"/>
          <w:szCs w:val="22"/>
        </w:rPr>
        <w:t xml:space="preserve">India and </w:t>
      </w:r>
      <w:r w:rsidRPr="00A67DD8">
        <w:rPr>
          <w:sz w:val="22"/>
          <w:szCs w:val="22"/>
        </w:rPr>
        <w:t xml:space="preserve">Pakistan </w:t>
      </w:r>
      <w:r w:rsidR="00346F3A">
        <w:rPr>
          <w:sz w:val="22"/>
          <w:szCs w:val="22"/>
        </w:rPr>
        <w:t xml:space="preserve">using </w:t>
      </w:r>
      <w:r w:rsidR="003A59BE">
        <w:rPr>
          <w:sz w:val="22"/>
          <w:szCs w:val="22"/>
        </w:rPr>
        <w:t xml:space="preserve">a </w:t>
      </w:r>
      <w:r w:rsidR="00346F3A">
        <w:rPr>
          <w:sz w:val="22"/>
          <w:szCs w:val="22"/>
        </w:rPr>
        <w:t xml:space="preserve">WSC approach </w:t>
      </w:r>
      <w:r w:rsidRPr="00A67DD8">
        <w:rPr>
          <w:sz w:val="22"/>
          <w:szCs w:val="22"/>
        </w:rPr>
        <w:t xml:space="preserve">to improve water and sanitation security at household level. </w:t>
      </w:r>
    </w:p>
    <w:p w14:paraId="5794FE5B" w14:textId="5F239C25" w:rsidR="0016017D" w:rsidRDefault="00E139DF" w:rsidP="004671E5">
      <w:pPr>
        <w:pStyle w:val="ListParagraph"/>
        <w:numPr>
          <w:ilvl w:val="0"/>
          <w:numId w:val="10"/>
        </w:numPr>
        <w:rPr>
          <w:sz w:val="22"/>
          <w:szCs w:val="22"/>
        </w:rPr>
      </w:pPr>
      <w:r>
        <w:rPr>
          <w:sz w:val="22"/>
          <w:szCs w:val="22"/>
        </w:rPr>
        <w:t>Demand-driven, government-to-government t</w:t>
      </w:r>
      <w:r w:rsidR="00171475" w:rsidRPr="00A67DD8">
        <w:rPr>
          <w:sz w:val="22"/>
          <w:szCs w:val="22"/>
        </w:rPr>
        <w:t xml:space="preserve">echnical </w:t>
      </w:r>
      <w:r>
        <w:rPr>
          <w:sz w:val="22"/>
          <w:szCs w:val="22"/>
        </w:rPr>
        <w:t>a</w:t>
      </w:r>
      <w:r w:rsidR="00171475" w:rsidRPr="00A67DD8">
        <w:rPr>
          <w:sz w:val="22"/>
          <w:szCs w:val="22"/>
        </w:rPr>
        <w:t xml:space="preserve">ssistance (TA) </w:t>
      </w:r>
      <w:r w:rsidR="00E940AE">
        <w:rPr>
          <w:sz w:val="22"/>
          <w:szCs w:val="22"/>
        </w:rPr>
        <w:t>–</w:t>
      </w:r>
      <w:r w:rsidR="00596369">
        <w:rPr>
          <w:sz w:val="22"/>
          <w:szCs w:val="22"/>
        </w:rPr>
        <w:t xml:space="preserve"> </w:t>
      </w:r>
      <w:r w:rsidR="00171475" w:rsidRPr="00A67DD8">
        <w:rPr>
          <w:sz w:val="22"/>
          <w:szCs w:val="22"/>
        </w:rPr>
        <w:t xml:space="preserve">to address </w:t>
      </w:r>
      <w:r w:rsidR="005F428F">
        <w:rPr>
          <w:sz w:val="22"/>
          <w:szCs w:val="22"/>
        </w:rPr>
        <w:t xml:space="preserve">key </w:t>
      </w:r>
      <w:r w:rsidR="00171475" w:rsidRPr="00A67DD8">
        <w:rPr>
          <w:sz w:val="22"/>
          <w:szCs w:val="22"/>
        </w:rPr>
        <w:t>urban water management issues</w:t>
      </w:r>
      <w:r w:rsidR="005F428F">
        <w:rPr>
          <w:sz w:val="22"/>
          <w:szCs w:val="22"/>
        </w:rPr>
        <w:t xml:space="preserve"> </w:t>
      </w:r>
      <w:r w:rsidR="00596369">
        <w:rPr>
          <w:sz w:val="22"/>
          <w:szCs w:val="22"/>
        </w:rPr>
        <w:t>in</w:t>
      </w:r>
      <w:r w:rsidR="00171475" w:rsidRPr="00A67DD8">
        <w:rPr>
          <w:sz w:val="22"/>
          <w:szCs w:val="22"/>
        </w:rPr>
        <w:t xml:space="preserve"> India, </w:t>
      </w:r>
      <w:r w:rsidR="003A59BE" w:rsidRPr="00A67DD8">
        <w:rPr>
          <w:sz w:val="22"/>
          <w:szCs w:val="22"/>
        </w:rPr>
        <w:t xml:space="preserve">Nepal </w:t>
      </w:r>
      <w:r w:rsidR="003A59BE">
        <w:rPr>
          <w:sz w:val="22"/>
          <w:szCs w:val="22"/>
        </w:rPr>
        <w:t xml:space="preserve">and </w:t>
      </w:r>
      <w:r w:rsidR="00171475" w:rsidRPr="00A67DD8">
        <w:rPr>
          <w:sz w:val="22"/>
          <w:szCs w:val="22"/>
        </w:rPr>
        <w:t xml:space="preserve">Pakistan. </w:t>
      </w:r>
    </w:p>
    <w:p w14:paraId="6B4687A4" w14:textId="5C7ADD70" w:rsidR="00F72EC0" w:rsidRPr="00A67DD8" w:rsidRDefault="005F428F" w:rsidP="00A67DD8">
      <w:pPr>
        <w:pStyle w:val="ListParagraph"/>
        <w:numPr>
          <w:ilvl w:val="0"/>
          <w:numId w:val="10"/>
        </w:numPr>
        <w:rPr>
          <w:sz w:val="22"/>
          <w:szCs w:val="22"/>
        </w:rPr>
      </w:pPr>
      <w:r>
        <w:rPr>
          <w:sz w:val="22"/>
          <w:szCs w:val="22"/>
        </w:rPr>
        <w:t xml:space="preserve">Learning </w:t>
      </w:r>
      <w:r w:rsidR="00D236DB">
        <w:rPr>
          <w:sz w:val="22"/>
          <w:szCs w:val="22"/>
        </w:rPr>
        <w:t>workshops –</w:t>
      </w:r>
      <w:r w:rsidR="00596369">
        <w:rPr>
          <w:sz w:val="22"/>
          <w:szCs w:val="22"/>
        </w:rPr>
        <w:t xml:space="preserve"> </w:t>
      </w:r>
      <w:r w:rsidR="00A14E8F" w:rsidRPr="00A67DD8">
        <w:rPr>
          <w:sz w:val="22"/>
          <w:szCs w:val="22"/>
        </w:rPr>
        <w:t xml:space="preserve">to </w:t>
      </w:r>
      <w:r w:rsidR="00EA06E1">
        <w:rPr>
          <w:sz w:val="22"/>
          <w:szCs w:val="22"/>
        </w:rPr>
        <w:t>promote</w:t>
      </w:r>
      <w:r w:rsidR="006B00E2" w:rsidRPr="00A67DD8">
        <w:rPr>
          <w:sz w:val="22"/>
          <w:szCs w:val="22"/>
        </w:rPr>
        <w:t xml:space="preserve"> program-wide </w:t>
      </w:r>
      <w:r w:rsidR="00EA06E1">
        <w:rPr>
          <w:sz w:val="22"/>
          <w:szCs w:val="22"/>
        </w:rPr>
        <w:t>collaboration</w:t>
      </w:r>
      <w:r w:rsidR="006D2C6F">
        <w:rPr>
          <w:sz w:val="22"/>
          <w:szCs w:val="22"/>
        </w:rPr>
        <w:t xml:space="preserve">, dialogue </w:t>
      </w:r>
      <w:r w:rsidR="006B00E2" w:rsidRPr="00A67DD8">
        <w:rPr>
          <w:sz w:val="22"/>
          <w:szCs w:val="22"/>
        </w:rPr>
        <w:t xml:space="preserve">and </w:t>
      </w:r>
      <w:r w:rsidR="00486B88">
        <w:rPr>
          <w:sz w:val="22"/>
          <w:szCs w:val="22"/>
        </w:rPr>
        <w:t xml:space="preserve">sharing of </w:t>
      </w:r>
      <w:r w:rsidR="00F25DC2">
        <w:rPr>
          <w:sz w:val="22"/>
          <w:szCs w:val="22"/>
        </w:rPr>
        <w:t xml:space="preserve">best practices and </w:t>
      </w:r>
      <w:r w:rsidR="006B00E2" w:rsidRPr="00A67DD8">
        <w:rPr>
          <w:sz w:val="22"/>
          <w:szCs w:val="22"/>
        </w:rPr>
        <w:t>learning</w:t>
      </w:r>
      <w:r w:rsidR="00A14E8F" w:rsidRPr="00A67DD8">
        <w:rPr>
          <w:sz w:val="22"/>
          <w:szCs w:val="22"/>
        </w:rPr>
        <w:t xml:space="preserve"> </w:t>
      </w:r>
      <w:r w:rsidR="00904186">
        <w:rPr>
          <w:sz w:val="22"/>
          <w:szCs w:val="22"/>
        </w:rPr>
        <w:t xml:space="preserve">related to </w:t>
      </w:r>
      <w:r w:rsidR="00AE0414">
        <w:rPr>
          <w:sz w:val="22"/>
          <w:szCs w:val="22"/>
        </w:rPr>
        <w:t>WSC</w:t>
      </w:r>
      <w:r w:rsidR="00A14E8F" w:rsidRPr="00A67DD8">
        <w:rPr>
          <w:sz w:val="22"/>
          <w:szCs w:val="22"/>
        </w:rPr>
        <w:t>.</w:t>
      </w:r>
    </w:p>
    <w:p w14:paraId="77DE06EE" w14:textId="55E802D3" w:rsidR="00737B61" w:rsidRDefault="00E137EC" w:rsidP="00A14E8F">
      <w:pPr>
        <w:pStyle w:val="Heading2"/>
        <w:rPr>
          <w:sz w:val="22"/>
          <w:szCs w:val="22"/>
        </w:rPr>
      </w:pPr>
      <w:r w:rsidRPr="00737B61">
        <w:rPr>
          <w:rFonts w:asciiTheme="minorHAnsi" w:eastAsiaTheme="minorHAnsi" w:hAnsiTheme="minorHAnsi" w:cstheme="minorBidi"/>
          <w:color w:val="auto"/>
          <w:sz w:val="22"/>
          <w:szCs w:val="22"/>
        </w:rPr>
        <w:t>An independent</w:t>
      </w:r>
      <w:r w:rsidR="00DA2933" w:rsidRPr="00737B61">
        <w:rPr>
          <w:rFonts w:asciiTheme="minorHAnsi" w:eastAsiaTheme="minorHAnsi" w:hAnsiTheme="minorHAnsi" w:cstheme="minorBidi"/>
          <w:color w:val="auto"/>
          <w:sz w:val="22"/>
          <w:szCs w:val="22"/>
        </w:rPr>
        <w:t xml:space="preserve"> contractor </w:t>
      </w:r>
      <w:r w:rsidR="003A59BE">
        <w:rPr>
          <w:rFonts w:asciiTheme="minorHAnsi" w:eastAsiaTheme="minorHAnsi" w:hAnsiTheme="minorHAnsi" w:cstheme="minorBidi"/>
          <w:color w:val="auto"/>
          <w:sz w:val="22"/>
          <w:szCs w:val="22"/>
        </w:rPr>
        <w:t xml:space="preserve">was also </w:t>
      </w:r>
      <w:r w:rsidR="00BE6EE3" w:rsidRPr="00737B61">
        <w:rPr>
          <w:rFonts w:asciiTheme="minorHAnsi" w:eastAsiaTheme="minorHAnsi" w:hAnsiTheme="minorHAnsi" w:cstheme="minorBidi"/>
          <w:color w:val="auto"/>
          <w:sz w:val="22"/>
          <w:szCs w:val="22"/>
        </w:rPr>
        <w:t>engaged to pr</w:t>
      </w:r>
      <w:r w:rsidR="00DA2933" w:rsidRPr="00737B61">
        <w:rPr>
          <w:rFonts w:asciiTheme="minorHAnsi" w:eastAsiaTheme="minorHAnsi" w:hAnsiTheme="minorHAnsi" w:cstheme="minorBidi"/>
          <w:color w:val="auto"/>
          <w:sz w:val="22"/>
          <w:szCs w:val="22"/>
        </w:rPr>
        <w:t>ovide monitoring evaluation and learning services</w:t>
      </w:r>
      <w:r w:rsidR="003A59BE">
        <w:rPr>
          <w:rFonts w:asciiTheme="minorHAnsi" w:eastAsiaTheme="minorHAnsi" w:hAnsiTheme="minorHAnsi" w:cstheme="minorBidi"/>
          <w:color w:val="auto"/>
          <w:sz w:val="22"/>
          <w:szCs w:val="22"/>
        </w:rPr>
        <w:t>.</w:t>
      </w:r>
    </w:p>
    <w:p w14:paraId="2406A94B" w14:textId="631D58A1" w:rsidR="00A14E8F" w:rsidRDefault="00A14E8F" w:rsidP="00A14E8F">
      <w:pPr>
        <w:pStyle w:val="Heading2"/>
      </w:pPr>
      <w:r>
        <w:t xml:space="preserve">The mid-term review </w:t>
      </w:r>
    </w:p>
    <w:p w14:paraId="76EC3C8C" w14:textId="098072DE" w:rsidR="00596369" w:rsidRDefault="00A14E8F" w:rsidP="00A14E8F">
      <w:pPr>
        <w:rPr>
          <w:sz w:val="22"/>
          <w:szCs w:val="22"/>
        </w:rPr>
      </w:pPr>
      <w:r w:rsidRPr="00A14E8F">
        <w:rPr>
          <w:sz w:val="22"/>
          <w:szCs w:val="22"/>
        </w:rPr>
        <w:t>The mid-term review (MTR) was conducted</w:t>
      </w:r>
      <w:r w:rsidRPr="0030199A">
        <w:rPr>
          <w:sz w:val="22"/>
          <w:szCs w:val="22"/>
        </w:rPr>
        <w:t xml:space="preserve"> by FH Designs</w:t>
      </w:r>
      <w:r w:rsidRPr="00A14E8F">
        <w:rPr>
          <w:sz w:val="22"/>
          <w:szCs w:val="22"/>
        </w:rPr>
        <w:t xml:space="preserve"> to assess the program's performance and progress towards its </w:t>
      </w:r>
      <w:r w:rsidR="00302946" w:rsidRPr="00A14E8F">
        <w:rPr>
          <w:sz w:val="22"/>
          <w:szCs w:val="22"/>
        </w:rPr>
        <w:t>objectives</w:t>
      </w:r>
      <w:r w:rsidR="00302946">
        <w:rPr>
          <w:sz w:val="22"/>
          <w:szCs w:val="22"/>
        </w:rPr>
        <w:t>, and</w:t>
      </w:r>
      <w:r w:rsidR="00A25042">
        <w:rPr>
          <w:sz w:val="22"/>
          <w:szCs w:val="22"/>
        </w:rPr>
        <w:t xml:space="preserve"> </w:t>
      </w:r>
      <w:r w:rsidR="006E388A">
        <w:rPr>
          <w:sz w:val="22"/>
          <w:szCs w:val="22"/>
        </w:rPr>
        <w:t xml:space="preserve">to </w:t>
      </w:r>
      <w:r w:rsidR="00E05D29">
        <w:rPr>
          <w:sz w:val="22"/>
          <w:szCs w:val="22"/>
        </w:rPr>
        <w:t>identify areas for improvement</w:t>
      </w:r>
      <w:r w:rsidRPr="00A14E8F">
        <w:rPr>
          <w:sz w:val="22"/>
          <w:szCs w:val="22"/>
        </w:rPr>
        <w:t xml:space="preserve">. </w:t>
      </w:r>
      <w:r w:rsidR="00596369">
        <w:rPr>
          <w:sz w:val="22"/>
          <w:szCs w:val="22"/>
        </w:rPr>
        <w:t xml:space="preserve">The review team visited project sites </w:t>
      </w:r>
      <w:r w:rsidR="000C0835">
        <w:rPr>
          <w:sz w:val="22"/>
          <w:szCs w:val="22"/>
        </w:rPr>
        <w:t>in India</w:t>
      </w:r>
      <w:r w:rsidR="003A59BE">
        <w:rPr>
          <w:sz w:val="22"/>
          <w:szCs w:val="22"/>
        </w:rPr>
        <w:t xml:space="preserve"> and Pakistan,</w:t>
      </w:r>
      <w:r w:rsidR="000C0835">
        <w:rPr>
          <w:sz w:val="22"/>
          <w:szCs w:val="22"/>
        </w:rPr>
        <w:t xml:space="preserve"> </w:t>
      </w:r>
      <w:r w:rsidR="00596369">
        <w:rPr>
          <w:sz w:val="22"/>
          <w:szCs w:val="22"/>
        </w:rPr>
        <w:t xml:space="preserve">and </w:t>
      </w:r>
      <w:r w:rsidR="00227107">
        <w:rPr>
          <w:sz w:val="22"/>
          <w:szCs w:val="22"/>
        </w:rPr>
        <w:t>interviewed</w:t>
      </w:r>
      <w:r w:rsidR="00596369">
        <w:rPr>
          <w:sz w:val="22"/>
          <w:szCs w:val="22"/>
        </w:rPr>
        <w:t xml:space="preserve"> key stakeholders in the region</w:t>
      </w:r>
      <w:r w:rsidR="006B75B8">
        <w:rPr>
          <w:sz w:val="22"/>
          <w:szCs w:val="22"/>
        </w:rPr>
        <w:t xml:space="preserve"> face to face and </w:t>
      </w:r>
      <w:r w:rsidR="003A59BE">
        <w:rPr>
          <w:sz w:val="22"/>
          <w:szCs w:val="22"/>
        </w:rPr>
        <w:t>virtually</w:t>
      </w:r>
      <w:r w:rsidR="00E12B29">
        <w:rPr>
          <w:sz w:val="22"/>
          <w:szCs w:val="22"/>
        </w:rPr>
        <w:t xml:space="preserve">. </w:t>
      </w:r>
      <w:r w:rsidR="007379E0">
        <w:rPr>
          <w:sz w:val="22"/>
          <w:szCs w:val="22"/>
        </w:rPr>
        <w:t xml:space="preserve"> </w:t>
      </w:r>
      <w:r w:rsidR="00596369">
        <w:rPr>
          <w:sz w:val="22"/>
          <w:szCs w:val="22"/>
        </w:rPr>
        <w:t xml:space="preserve">The team did not visit </w:t>
      </w:r>
      <w:r w:rsidR="00FB5218">
        <w:rPr>
          <w:sz w:val="22"/>
          <w:szCs w:val="22"/>
        </w:rPr>
        <w:t xml:space="preserve">Nepal </w:t>
      </w:r>
      <w:r w:rsidR="00596369">
        <w:rPr>
          <w:sz w:val="22"/>
          <w:szCs w:val="22"/>
        </w:rPr>
        <w:t>as th</w:t>
      </w:r>
      <w:r w:rsidR="006C737C">
        <w:rPr>
          <w:sz w:val="22"/>
          <w:szCs w:val="22"/>
        </w:rPr>
        <w:t>e</w:t>
      </w:r>
      <w:r w:rsidR="00596369">
        <w:rPr>
          <w:sz w:val="22"/>
          <w:szCs w:val="22"/>
        </w:rPr>
        <w:t xml:space="preserve"> project was in </w:t>
      </w:r>
      <w:r w:rsidR="003A59BE">
        <w:rPr>
          <w:sz w:val="22"/>
          <w:szCs w:val="22"/>
        </w:rPr>
        <w:t>the</w:t>
      </w:r>
      <w:r w:rsidR="00FB5218">
        <w:rPr>
          <w:sz w:val="22"/>
          <w:szCs w:val="22"/>
        </w:rPr>
        <w:t xml:space="preserve"> early</w:t>
      </w:r>
      <w:r w:rsidR="003A6DD7">
        <w:rPr>
          <w:sz w:val="22"/>
          <w:szCs w:val="22"/>
        </w:rPr>
        <w:t xml:space="preserve"> stage</w:t>
      </w:r>
      <w:r w:rsidR="003A59BE">
        <w:rPr>
          <w:sz w:val="22"/>
          <w:szCs w:val="22"/>
        </w:rPr>
        <w:t>s</w:t>
      </w:r>
      <w:r w:rsidR="003A6DD7">
        <w:rPr>
          <w:sz w:val="22"/>
          <w:szCs w:val="22"/>
        </w:rPr>
        <w:t xml:space="preserve"> of implementation</w:t>
      </w:r>
      <w:r w:rsidR="00BA6F62">
        <w:rPr>
          <w:sz w:val="22"/>
          <w:szCs w:val="22"/>
        </w:rPr>
        <w:t xml:space="preserve">. </w:t>
      </w:r>
    </w:p>
    <w:p w14:paraId="532B231A" w14:textId="25B9AA63" w:rsidR="003A59BE" w:rsidRDefault="00853BF1" w:rsidP="00330C3A">
      <w:pPr>
        <w:rPr>
          <w:sz w:val="22"/>
          <w:szCs w:val="22"/>
        </w:rPr>
      </w:pPr>
      <w:r>
        <w:rPr>
          <w:sz w:val="22"/>
          <w:szCs w:val="22"/>
        </w:rPr>
        <w:t>Overall, t</w:t>
      </w:r>
      <w:r w:rsidR="00A96982">
        <w:rPr>
          <w:sz w:val="22"/>
          <w:szCs w:val="22"/>
        </w:rPr>
        <w:t xml:space="preserve">he MTR </w:t>
      </w:r>
      <w:r>
        <w:rPr>
          <w:sz w:val="22"/>
          <w:szCs w:val="22"/>
        </w:rPr>
        <w:t xml:space="preserve">report </w:t>
      </w:r>
      <w:r w:rsidR="000345FC">
        <w:rPr>
          <w:sz w:val="22"/>
          <w:szCs w:val="22"/>
        </w:rPr>
        <w:t xml:space="preserve">found </w:t>
      </w:r>
      <w:r w:rsidR="00895F90">
        <w:rPr>
          <w:sz w:val="22"/>
          <w:szCs w:val="22"/>
        </w:rPr>
        <w:t xml:space="preserve">that </w:t>
      </w:r>
      <w:r w:rsidR="005545AF">
        <w:rPr>
          <w:sz w:val="22"/>
          <w:szCs w:val="22"/>
        </w:rPr>
        <w:t>rather than</w:t>
      </w:r>
      <w:r w:rsidR="007658B6">
        <w:rPr>
          <w:sz w:val="22"/>
          <w:szCs w:val="22"/>
        </w:rPr>
        <w:t xml:space="preserve"> being </w:t>
      </w:r>
      <w:r w:rsidR="00690D7E">
        <w:rPr>
          <w:sz w:val="22"/>
          <w:szCs w:val="22"/>
        </w:rPr>
        <w:t>a</w:t>
      </w:r>
      <w:r w:rsidR="007658B6">
        <w:rPr>
          <w:sz w:val="22"/>
          <w:szCs w:val="22"/>
        </w:rPr>
        <w:t xml:space="preserve"> regional program</w:t>
      </w:r>
      <w:r w:rsidR="00984C4A">
        <w:rPr>
          <w:sz w:val="22"/>
          <w:szCs w:val="22"/>
        </w:rPr>
        <w:t xml:space="preserve"> </w:t>
      </w:r>
      <w:r w:rsidR="00796B0F">
        <w:rPr>
          <w:sz w:val="22"/>
          <w:szCs w:val="22"/>
        </w:rPr>
        <w:t xml:space="preserve">as intended </w:t>
      </w:r>
      <w:r w:rsidR="00984C4A">
        <w:rPr>
          <w:sz w:val="22"/>
          <w:szCs w:val="22"/>
        </w:rPr>
        <w:t xml:space="preserve">by </w:t>
      </w:r>
      <w:r w:rsidR="00454AFB">
        <w:rPr>
          <w:sz w:val="22"/>
          <w:szCs w:val="22"/>
        </w:rPr>
        <w:t>design</w:t>
      </w:r>
      <w:r w:rsidR="007658B6">
        <w:rPr>
          <w:sz w:val="22"/>
          <w:szCs w:val="22"/>
        </w:rPr>
        <w:t xml:space="preserve">, </w:t>
      </w:r>
      <w:r w:rsidR="00895F90">
        <w:rPr>
          <w:sz w:val="22"/>
          <w:szCs w:val="22"/>
        </w:rPr>
        <w:t>SAWASI</w:t>
      </w:r>
      <w:r w:rsidR="003A1432">
        <w:rPr>
          <w:sz w:val="22"/>
          <w:szCs w:val="22"/>
        </w:rPr>
        <w:t xml:space="preserve"> </w:t>
      </w:r>
      <w:r w:rsidR="00596369">
        <w:rPr>
          <w:sz w:val="22"/>
          <w:szCs w:val="22"/>
        </w:rPr>
        <w:t>was</w:t>
      </w:r>
      <w:r w:rsidR="003A1432">
        <w:rPr>
          <w:sz w:val="22"/>
          <w:szCs w:val="22"/>
        </w:rPr>
        <w:t xml:space="preserve"> a multi-country funding mechanism</w:t>
      </w:r>
      <w:r w:rsidR="00690D7E">
        <w:rPr>
          <w:sz w:val="22"/>
          <w:szCs w:val="22"/>
        </w:rPr>
        <w:t xml:space="preserve"> </w:t>
      </w:r>
      <w:r w:rsidR="000575BA">
        <w:rPr>
          <w:sz w:val="22"/>
          <w:szCs w:val="22"/>
        </w:rPr>
        <w:t>in three South Asian countries</w:t>
      </w:r>
      <w:r w:rsidR="00233278">
        <w:rPr>
          <w:sz w:val="22"/>
          <w:szCs w:val="22"/>
        </w:rPr>
        <w:t xml:space="preserve">, unified </w:t>
      </w:r>
      <w:r w:rsidR="00ED2ADF">
        <w:rPr>
          <w:sz w:val="22"/>
          <w:szCs w:val="22"/>
        </w:rPr>
        <w:t xml:space="preserve">loosely by variable applications of </w:t>
      </w:r>
      <w:r w:rsidR="003A59BE">
        <w:rPr>
          <w:sz w:val="22"/>
          <w:szCs w:val="22"/>
        </w:rPr>
        <w:t xml:space="preserve">the </w:t>
      </w:r>
      <w:r w:rsidR="00ED2ADF">
        <w:rPr>
          <w:sz w:val="22"/>
          <w:szCs w:val="22"/>
        </w:rPr>
        <w:t xml:space="preserve">WSC concept, and supported by one </w:t>
      </w:r>
      <w:r w:rsidR="00984C4A">
        <w:rPr>
          <w:sz w:val="22"/>
          <w:szCs w:val="22"/>
        </w:rPr>
        <w:t xml:space="preserve">regional workshop. </w:t>
      </w:r>
      <w:r w:rsidR="005E7DC1">
        <w:rPr>
          <w:sz w:val="22"/>
          <w:szCs w:val="22"/>
        </w:rPr>
        <w:t xml:space="preserve">While both </w:t>
      </w:r>
      <w:r w:rsidR="003C76F3">
        <w:rPr>
          <w:sz w:val="22"/>
          <w:szCs w:val="22"/>
        </w:rPr>
        <w:t>CDPs</w:t>
      </w:r>
      <w:r w:rsidR="00EF4781">
        <w:rPr>
          <w:sz w:val="22"/>
          <w:szCs w:val="22"/>
        </w:rPr>
        <w:t xml:space="preserve"> ha</w:t>
      </w:r>
      <w:r w:rsidR="003A59BE">
        <w:rPr>
          <w:sz w:val="22"/>
          <w:szCs w:val="22"/>
        </w:rPr>
        <w:t>d</w:t>
      </w:r>
      <w:r w:rsidR="00EF4781">
        <w:rPr>
          <w:sz w:val="22"/>
          <w:szCs w:val="22"/>
        </w:rPr>
        <w:t xml:space="preserve"> responded to community needs, </w:t>
      </w:r>
      <w:r w:rsidR="00A878FA">
        <w:rPr>
          <w:sz w:val="22"/>
          <w:szCs w:val="22"/>
        </w:rPr>
        <w:t xml:space="preserve">including </w:t>
      </w:r>
      <w:r w:rsidR="00697A8B">
        <w:rPr>
          <w:sz w:val="22"/>
          <w:szCs w:val="22"/>
        </w:rPr>
        <w:t>foster</w:t>
      </w:r>
      <w:r w:rsidR="003A59BE">
        <w:rPr>
          <w:sz w:val="22"/>
          <w:szCs w:val="22"/>
        </w:rPr>
        <w:t>ing</w:t>
      </w:r>
      <w:r w:rsidR="00697A8B">
        <w:rPr>
          <w:sz w:val="22"/>
          <w:szCs w:val="22"/>
        </w:rPr>
        <w:t xml:space="preserve"> the empowerment of women to participate meaningfully in community-level management, </w:t>
      </w:r>
      <w:r w:rsidR="00EF4781">
        <w:rPr>
          <w:sz w:val="22"/>
          <w:szCs w:val="22"/>
        </w:rPr>
        <w:t xml:space="preserve">the India CDP </w:t>
      </w:r>
      <w:r w:rsidR="003A59BE">
        <w:rPr>
          <w:sz w:val="22"/>
          <w:szCs w:val="22"/>
        </w:rPr>
        <w:t xml:space="preserve">was around </w:t>
      </w:r>
      <w:r w:rsidR="003B7C87">
        <w:rPr>
          <w:sz w:val="22"/>
          <w:szCs w:val="22"/>
        </w:rPr>
        <w:t xml:space="preserve">18 months behind schedule. </w:t>
      </w:r>
      <w:r w:rsidR="00650474">
        <w:rPr>
          <w:sz w:val="22"/>
          <w:szCs w:val="22"/>
        </w:rPr>
        <w:t>I</w:t>
      </w:r>
      <w:r w:rsidR="004D171F">
        <w:rPr>
          <w:sz w:val="22"/>
          <w:szCs w:val="22"/>
        </w:rPr>
        <w:t xml:space="preserve">t </w:t>
      </w:r>
      <w:r w:rsidR="003A59BE">
        <w:rPr>
          <w:sz w:val="22"/>
          <w:szCs w:val="22"/>
        </w:rPr>
        <w:t>was also</w:t>
      </w:r>
      <w:r w:rsidR="004D171F">
        <w:rPr>
          <w:sz w:val="22"/>
          <w:szCs w:val="22"/>
        </w:rPr>
        <w:t xml:space="preserve"> challenging for both CDPs </w:t>
      </w:r>
      <w:r w:rsidR="00413127">
        <w:rPr>
          <w:sz w:val="22"/>
          <w:szCs w:val="22"/>
        </w:rPr>
        <w:t xml:space="preserve">to replicate and maintain sustainability </w:t>
      </w:r>
      <w:r w:rsidR="00C5056F">
        <w:rPr>
          <w:sz w:val="22"/>
          <w:szCs w:val="22"/>
        </w:rPr>
        <w:t xml:space="preserve">of </w:t>
      </w:r>
      <w:r w:rsidR="005A37A5">
        <w:rPr>
          <w:sz w:val="22"/>
          <w:szCs w:val="22"/>
        </w:rPr>
        <w:t>project</w:t>
      </w:r>
      <w:r w:rsidR="00C5056F">
        <w:rPr>
          <w:sz w:val="22"/>
          <w:szCs w:val="22"/>
        </w:rPr>
        <w:t xml:space="preserve"> successes and interventions. </w:t>
      </w:r>
      <w:r w:rsidR="00555566">
        <w:rPr>
          <w:sz w:val="22"/>
          <w:szCs w:val="22"/>
        </w:rPr>
        <w:t xml:space="preserve"> </w:t>
      </w:r>
    </w:p>
    <w:p w14:paraId="5FF6DDED" w14:textId="720B342E" w:rsidR="003A59BE" w:rsidRDefault="001B2F13" w:rsidP="00330C3A">
      <w:pPr>
        <w:rPr>
          <w:sz w:val="22"/>
          <w:szCs w:val="22"/>
        </w:rPr>
      </w:pPr>
      <w:r>
        <w:rPr>
          <w:sz w:val="22"/>
          <w:szCs w:val="22"/>
        </w:rPr>
        <w:t>The TA investments h</w:t>
      </w:r>
      <w:r w:rsidR="003A59BE">
        <w:rPr>
          <w:sz w:val="22"/>
          <w:szCs w:val="22"/>
        </w:rPr>
        <w:t>ad</w:t>
      </w:r>
      <w:r w:rsidR="0090009A">
        <w:rPr>
          <w:sz w:val="22"/>
          <w:szCs w:val="22"/>
        </w:rPr>
        <w:t xml:space="preserve"> delivered important and potentially strategic results in their respective contexts, but collectively </w:t>
      </w:r>
      <w:r w:rsidR="00567F68">
        <w:rPr>
          <w:sz w:val="22"/>
          <w:szCs w:val="22"/>
        </w:rPr>
        <w:t>ha</w:t>
      </w:r>
      <w:r w:rsidR="003A59BE">
        <w:rPr>
          <w:sz w:val="22"/>
          <w:szCs w:val="22"/>
        </w:rPr>
        <w:t>d</w:t>
      </w:r>
      <w:r w:rsidR="00567F68">
        <w:rPr>
          <w:sz w:val="22"/>
          <w:szCs w:val="22"/>
        </w:rPr>
        <w:t xml:space="preserve"> not contributed to the wider intent of the SAWASI regional modality </w:t>
      </w:r>
      <w:r w:rsidR="00BB56B1">
        <w:rPr>
          <w:sz w:val="22"/>
          <w:szCs w:val="22"/>
        </w:rPr>
        <w:t>and ha</w:t>
      </w:r>
      <w:r w:rsidR="003A59BE">
        <w:rPr>
          <w:sz w:val="22"/>
          <w:szCs w:val="22"/>
        </w:rPr>
        <w:t>d</w:t>
      </w:r>
      <w:r w:rsidR="00BB56B1">
        <w:rPr>
          <w:sz w:val="22"/>
          <w:szCs w:val="22"/>
        </w:rPr>
        <w:t xml:space="preserve"> not explicitly promoted WSC </w:t>
      </w:r>
      <w:r w:rsidR="003A25DF">
        <w:rPr>
          <w:sz w:val="22"/>
          <w:szCs w:val="22"/>
        </w:rPr>
        <w:t>with a discrete</w:t>
      </w:r>
      <w:r w:rsidR="0098409D">
        <w:rPr>
          <w:sz w:val="22"/>
          <w:szCs w:val="22"/>
        </w:rPr>
        <w:t xml:space="preserve"> </w:t>
      </w:r>
      <w:r w:rsidR="00FF04C9">
        <w:rPr>
          <w:sz w:val="22"/>
          <w:szCs w:val="22"/>
        </w:rPr>
        <w:t xml:space="preserve">project </w:t>
      </w:r>
      <w:r w:rsidR="00BB56B1">
        <w:rPr>
          <w:sz w:val="22"/>
          <w:szCs w:val="22"/>
        </w:rPr>
        <w:t>implementation</w:t>
      </w:r>
      <w:r w:rsidR="0098409D">
        <w:rPr>
          <w:sz w:val="22"/>
          <w:szCs w:val="22"/>
        </w:rPr>
        <w:t xml:space="preserve"> </w:t>
      </w:r>
      <w:r w:rsidR="007F7355">
        <w:rPr>
          <w:sz w:val="22"/>
          <w:szCs w:val="22"/>
        </w:rPr>
        <w:t xml:space="preserve">approach </w:t>
      </w:r>
      <w:r w:rsidR="009F7819">
        <w:rPr>
          <w:sz w:val="22"/>
          <w:szCs w:val="22"/>
        </w:rPr>
        <w:t>independently of CDPs</w:t>
      </w:r>
      <w:r w:rsidR="0028306F">
        <w:rPr>
          <w:sz w:val="22"/>
          <w:szCs w:val="22"/>
        </w:rPr>
        <w:t xml:space="preserve">. </w:t>
      </w:r>
      <w:r w:rsidR="003A59BE">
        <w:rPr>
          <w:sz w:val="22"/>
          <w:szCs w:val="22"/>
        </w:rPr>
        <w:t>No</w:t>
      </w:r>
      <w:r w:rsidR="00591AB5">
        <w:rPr>
          <w:sz w:val="22"/>
          <w:szCs w:val="22"/>
        </w:rPr>
        <w:t xml:space="preserve"> mechanism to foster ongoing </w:t>
      </w:r>
      <w:r w:rsidR="00A41D55">
        <w:rPr>
          <w:sz w:val="22"/>
          <w:szCs w:val="22"/>
        </w:rPr>
        <w:t>collaboration between implementing partners or Australia experts hinder</w:t>
      </w:r>
      <w:r w:rsidR="003A59BE">
        <w:rPr>
          <w:sz w:val="22"/>
          <w:szCs w:val="22"/>
        </w:rPr>
        <w:t>ed</w:t>
      </w:r>
      <w:r w:rsidR="001823B0">
        <w:rPr>
          <w:sz w:val="22"/>
          <w:szCs w:val="22"/>
        </w:rPr>
        <w:t xml:space="preserve"> the value of the regional workshop. </w:t>
      </w:r>
    </w:p>
    <w:p w14:paraId="099A081D" w14:textId="7DBA157C" w:rsidR="00A14E8F" w:rsidRPr="00A14E8F" w:rsidRDefault="003A59BE" w:rsidP="00330C3A">
      <w:pPr>
        <w:rPr>
          <w:sz w:val="22"/>
          <w:szCs w:val="22"/>
        </w:rPr>
      </w:pPr>
      <w:r>
        <w:rPr>
          <w:sz w:val="22"/>
          <w:szCs w:val="22"/>
        </w:rPr>
        <w:lastRenderedPageBreak/>
        <w:t>D</w:t>
      </w:r>
      <w:r w:rsidR="002F212D">
        <w:rPr>
          <w:sz w:val="22"/>
          <w:szCs w:val="22"/>
        </w:rPr>
        <w:t xml:space="preserve">espite </w:t>
      </w:r>
      <w:r w:rsidR="003F2171">
        <w:rPr>
          <w:sz w:val="22"/>
          <w:szCs w:val="22"/>
        </w:rPr>
        <w:t xml:space="preserve">these </w:t>
      </w:r>
      <w:r w:rsidR="002F212D">
        <w:rPr>
          <w:sz w:val="22"/>
          <w:szCs w:val="22"/>
        </w:rPr>
        <w:t xml:space="preserve">shortcomings, </w:t>
      </w:r>
      <w:r w:rsidR="00001BF3">
        <w:rPr>
          <w:sz w:val="22"/>
          <w:szCs w:val="22"/>
        </w:rPr>
        <w:t>programming</w:t>
      </w:r>
      <w:r w:rsidR="00D9632F">
        <w:rPr>
          <w:sz w:val="22"/>
          <w:szCs w:val="22"/>
        </w:rPr>
        <w:t xml:space="preserve"> </w:t>
      </w:r>
      <w:r w:rsidR="00155A30">
        <w:rPr>
          <w:sz w:val="22"/>
          <w:szCs w:val="22"/>
        </w:rPr>
        <w:t>h</w:t>
      </w:r>
      <w:r w:rsidR="003F2171">
        <w:rPr>
          <w:sz w:val="22"/>
          <w:szCs w:val="22"/>
        </w:rPr>
        <w:t>ad</w:t>
      </w:r>
      <w:r w:rsidR="00155A30">
        <w:rPr>
          <w:sz w:val="22"/>
          <w:szCs w:val="22"/>
        </w:rPr>
        <w:t xml:space="preserve"> been </w:t>
      </w:r>
      <w:r w:rsidR="003F2171">
        <w:rPr>
          <w:sz w:val="22"/>
          <w:szCs w:val="22"/>
        </w:rPr>
        <w:t xml:space="preserve">effective and </w:t>
      </w:r>
      <w:r w:rsidR="00155A30">
        <w:rPr>
          <w:sz w:val="22"/>
          <w:szCs w:val="22"/>
        </w:rPr>
        <w:t xml:space="preserve">relevant to local needs and broadly aligned with Australia’s policy settings. </w:t>
      </w:r>
      <w:r w:rsidR="00895F90">
        <w:rPr>
          <w:sz w:val="22"/>
          <w:szCs w:val="22"/>
        </w:rPr>
        <w:t xml:space="preserve"> </w:t>
      </w:r>
      <w:r w:rsidR="00001BF3">
        <w:rPr>
          <w:sz w:val="22"/>
          <w:szCs w:val="22"/>
        </w:rPr>
        <w:t>Project</w:t>
      </w:r>
      <w:r w:rsidR="003F2171">
        <w:rPr>
          <w:sz w:val="22"/>
          <w:szCs w:val="22"/>
        </w:rPr>
        <w:t>s had</w:t>
      </w:r>
      <w:r w:rsidR="00330C3A">
        <w:rPr>
          <w:sz w:val="22"/>
          <w:szCs w:val="22"/>
        </w:rPr>
        <w:t xml:space="preserve"> been well regarded by the respective counterparts and beneficiaries. </w:t>
      </w:r>
    </w:p>
    <w:p w14:paraId="250C265F" w14:textId="77777777" w:rsidR="00BD7651" w:rsidRDefault="00127CCE">
      <w:pPr>
        <w:rPr>
          <w:sz w:val="22"/>
          <w:szCs w:val="22"/>
          <w:lang w:val="en-GB"/>
        </w:rPr>
        <w:sectPr w:rsidR="00BD7651">
          <w:footerReference w:type="default" r:id="rId8"/>
          <w:pgSz w:w="11906" w:h="16838"/>
          <w:pgMar w:top="1440" w:right="1440" w:bottom="1440" w:left="1440" w:header="708" w:footer="708" w:gutter="0"/>
          <w:cols w:space="708"/>
          <w:docGrid w:linePitch="360"/>
        </w:sectPr>
      </w:pPr>
      <w:r w:rsidRPr="00127CCE">
        <w:rPr>
          <w:sz w:val="22"/>
          <w:szCs w:val="22"/>
          <w:lang w:val="en-GB"/>
        </w:rPr>
        <w:t xml:space="preserve">The report represents the independent views of the consultants and not necessarily the views of DFAT or the </w:t>
      </w:r>
      <w:r w:rsidR="00330C3A">
        <w:rPr>
          <w:sz w:val="22"/>
          <w:szCs w:val="22"/>
          <w:lang w:val="en-GB"/>
        </w:rPr>
        <w:t xml:space="preserve">SAWASI </w:t>
      </w:r>
      <w:r w:rsidRPr="00127CCE">
        <w:rPr>
          <w:sz w:val="22"/>
          <w:szCs w:val="22"/>
          <w:lang w:val="en-GB"/>
        </w:rPr>
        <w:t xml:space="preserve">implementing partners. DFAT recognises the importance of its partnership with all implementing partners. DFAT considers this review as an important opportunity to reflect on how </w:t>
      </w:r>
      <w:r w:rsidR="00FC0E1D">
        <w:rPr>
          <w:sz w:val="22"/>
          <w:szCs w:val="22"/>
          <w:lang w:val="en-GB"/>
        </w:rPr>
        <w:t>SAWASI</w:t>
      </w:r>
      <w:r w:rsidRPr="00127CCE">
        <w:rPr>
          <w:sz w:val="22"/>
          <w:szCs w:val="22"/>
          <w:lang w:val="en-GB"/>
        </w:rPr>
        <w:t xml:space="preserve"> can evolve and strengthen in the remaining period of the program. </w:t>
      </w:r>
    </w:p>
    <w:p w14:paraId="42D5E77F" w14:textId="77777777" w:rsidR="00794394" w:rsidRDefault="00794394" w:rsidP="00794394">
      <w:pPr>
        <w:pStyle w:val="Heading2"/>
      </w:pPr>
      <w:r>
        <w:lastRenderedPageBreak/>
        <w:t>Response to recommendations:</w:t>
      </w:r>
    </w:p>
    <w:tbl>
      <w:tblPr>
        <w:tblStyle w:val="TableGrid"/>
        <w:tblW w:w="14297" w:type="dxa"/>
        <w:tblLook w:val="04A0" w:firstRow="1" w:lastRow="0" w:firstColumn="1" w:lastColumn="0" w:noHBand="0" w:noVBand="1"/>
      </w:tblPr>
      <w:tblGrid>
        <w:gridCol w:w="4673"/>
        <w:gridCol w:w="1713"/>
        <w:gridCol w:w="3234"/>
        <w:gridCol w:w="3254"/>
        <w:gridCol w:w="1423"/>
      </w:tblGrid>
      <w:tr w:rsidR="00403755" w:rsidRPr="00BD7651" w14:paraId="45C14C72" w14:textId="77777777" w:rsidTr="00BD7651">
        <w:trPr>
          <w:tblHeader/>
        </w:trPr>
        <w:tc>
          <w:tcPr>
            <w:tcW w:w="4673" w:type="dxa"/>
          </w:tcPr>
          <w:p w14:paraId="2DBCDD31" w14:textId="77777777" w:rsidR="00794394" w:rsidRPr="00BD7651" w:rsidRDefault="00794394" w:rsidP="00A859C3">
            <w:pPr>
              <w:rPr>
                <w:b/>
                <w:bCs/>
                <w:sz w:val="22"/>
                <w:szCs w:val="22"/>
              </w:rPr>
            </w:pPr>
            <w:r w:rsidRPr="00BD7651">
              <w:rPr>
                <w:b/>
                <w:bCs/>
                <w:sz w:val="22"/>
                <w:szCs w:val="22"/>
              </w:rPr>
              <w:t>Recommendation</w:t>
            </w:r>
          </w:p>
        </w:tc>
        <w:tc>
          <w:tcPr>
            <w:tcW w:w="1713" w:type="dxa"/>
          </w:tcPr>
          <w:p w14:paraId="417E5A1F" w14:textId="77777777" w:rsidR="00794394" w:rsidRPr="00BD7651" w:rsidRDefault="00794394" w:rsidP="00A859C3">
            <w:pPr>
              <w:rPr>
                <w:b/>
                <w:bCs/>
                <w:sz w:val="22"/>
                <w:szCs w:val="22"/>
              </w:rPr>
            </w:pPr>
            <w:r w:rsidRPr="00BD7651">
              <w:rPr>
                <w:b/>
                <w:bCs/>
                <w:sz w:val="22"/>
                <w:szCs w:val="22"/>
              </w:rPr>
              <w:t>Response</w:t>
            </w:r>
          </w:p>
        </w:tc>
        <w:tc>
          <w:tcPr>
            <w:tcW w:w="3234" w:type="dxa"/>
          </w:tcPr>
          <w:p w14:paraId="27542F61" w14:textId="77777777" w:rsidR="00794394" w:rsidRPr="00BD7651" w:rsidRDefault="00794394" w:rsidP="00A859C3">
            <w:pPr>
              <w:rPr>
                <w:b/>
                <w:bCs/>
                <w:sz w:val="22"/>
                <w:szCs w:val="22"/>
              </w:rPr>
            </w:pPr>
            <w:r w:rsidRPr="00BD7651">
              <w:rPr>
                <w:b/>
                <w:bCs/>
                <w:sz w:val="22"/>
                <w:szCs w:val="22"/>
              </w:rPr>
              <w:t>Explanation</w:t>
            </w:r>
          </w:p>
        </w:tc>
        <w:tc>
          <w:tcPr>
            <w:tcW w:w="3254" w:type="dxa"/>
          </w:tcPr>
          <w:p w14:paraId="63AA6717" w14:textId="77777777" w:rsidR="00794394" w:rsidRPr="00BD7651" w:rsidRDefault="00794394" w:rsidP="00A859C3">
            <w:pPr>
              <w:rPr>
                <w:b/>
                <w:bCs/>
                <w:sz w:val="22"/>
                <w:szCs w:val="22"/>
              </w:rPr>
            </w:pPr>
            <w:r w:rsidRPr="00BD7651">
              <w:rPr>
                <w:b/>
                <w:bCs/>
                <w:sz w:val="22"/>
                <w:szCs w:val="22"/>
              </w:rPr>
              <w:t>Action Plan</w:t>
            </w:r>
          </w:p>
        </w:tc>
        <w:tc>
          <w:tcPr>
            <w:tcW w:w="1423" w:type="dxa"/>
          </w:tcPr>
          <w:p w14:paraId="1B41C8CE" w14:textId="77777777" w:rsidR="00794394" w:rsidRPr="00BD7651" w:rsidRDefault="00794394" w:rsidP="00A859C3">
            <w:pPr>
              <w:rPr>
                <w:b/>
                <w:bCs/>
                <w:sz w:val="22"/>
                <w:szCs w:val="22"/>
              </w:rPr>
            </w:pPr>
            <w:r w:rsidRPr="00BD7651">
              <w:rPr>
                <w:b/>
                <w:bCs/>
                <w:sz w:val="22"/>
                <w:szCs w:val="22"/>
              </w:rPr>
              <w:t>Timeframe</w:t>
            </w:r>
          </w:p>
        </w:tc>
      </w:tr>
      <w:tr w:rsidR="00403755" w:rsidRPr="0030199A" w14:paraId="649E9222" w14:textId="77777777" w:rsidTr="00BD7651">
        <w:tc>
          <w:tcPr>
            <w:tcW w:w="4673" w:type="dxa"/>
          </w:tcPr>
          <w:p w14:paraId="36B6B8FF" w14:textId="77777777" w:rsidR="0030199A" w:rsidRDefault="00794394" w:rsidP="00794394">
            <w:pPr>
              <w:rPr>
                <w:sz w:val="22"/>
                <w:szCs w:val="22"/>
              </w:rPr>
            </w:pPr>
            <w:r w:rsidRPr="0030199A">
              <w:rPr>
                <w:sz w:val="22"/>
                <w:szCs w:val="22"/>
              </w:rPr>
              <w:t xml:space="preserve">1: </w:t>
            </w:r>
          </w:p>
          <w:p w14:paraId="4E98A7DD" w14:textId="4973BAE5" w:rsidR="00794394" w:rsidRPr="0030199A" w:rsidRDefault="00794394" w:rsidP="00794394">
            <w:pPr>
              <w:rPr>
                <w:sz w:val="22"/>
                <w:szCs w:val="22"/>
              </w:rPr>
            </w:pPr>
            <w:r w:rsidRPr="0030199A">
              <w:rPr>
                <w:sz w:val="22"/>
                <w:szCs w:val="22"/>
              </w:rPr>
              <w:t xml:space="preserve">DFAT should consider negotiating a no-cost-extension with the </w:t>
            </w:r>
            <w:r w:rsidR="00391ACB">
              <w:rPr>
                <w:sz w:val="22"/>
                <w:szCs w:val="22"/>
              </w:rPr>
              <w:t>World Resources Institute (WRI) India</w:t>
            </w:r>
            <w:r w:rsidRPr="0030199A">
              <w:rPr>
                <w:sz w:val="22"/>
                <w:szCs w:val="22"/>
              </w:rPr>
              <w:t xml:space="preserve"> consortium to enable completion of the CDP scope and to position for replication/scale-up with counterparts.</w:t>
            </w:r>
          </w:p>
        </w:tc>
        <w:tc>
          <w:tcPr>
            <w:tcW w:w="1713" w:type="dxa"/>
          </w:tcPr>
          <w:p w14:paraId="516CBB2D" w14:textId="66D724CA" w:rsidR="00794394" w:rsidRPr="0030199A" w:rsidRDefault="00794394" w:rsidP="00A859C3">
            <w:pPr>
              <w:rPr>
                <w:sz w:val="22"/>
                <w:szCs w:val="22"/>
              </w:rPr>
            </w:pPr>
            <w:r w:rsidRPr="0030199A">
              <w:rPr>
                <w:sz w:val="22"/>
                <w:szCs w:val="22"/>
              </w:rPr>
              <w:t>Agreed</w:t>
            </w:r>
          </w:p>
        </w:tc>
        <w:tc>
          <w:tcPr>
            <w:tcW w:w="3234" w:type="dxa"/>
          </w:tcPr>
          <w:p w14:paraId="729EAEF7" w14:textId="73C16F8D" w:rsidR="00794394" w:rsidRPr="0030199A" w:rsidRDefault="005372D3" w:rsidP="00A859C3">
            <w:pPr>
              <w:rPr>
                <w:sz w:val="22"/>
                <w:szCs w:val="22"/>
              </w:rPr>
            </w:pPr>
            <w:r>
              <w:rPr>
                <w:sz w:val="22"/>
                <w:szCs w:val="22"/>
              </w:rPr>
              <w:t>CDP in India ha</w:t>
            </w:r>
            <w:r w:rsidR="00FD6954">
              <w:rPr>
                <w:sz w:val="22"/>
                <w:szCs w:val="22"/>
              </w:rPr>
              <w:t>s</w:t>
            </w:r>
            <w:r>
              <w:rPr>
                <w:sz w:val="22"/>
                <w:szCs w:val="22"/>
              </w:rPr>
              <w:t xml:space="preserve"> faced delays, </w:t>
            </w:r>
            <w:r w:rsidR="00572B9F">
              <w:rPr>
                <w:sz w:val="22"/>
                <w:szCs w:val="22"/>
              </w:rPr>
              <w:t xml:space="preserve">especially </w:t>
            </w:r>
            <w:r w:rsidR="003F2171">
              <w:rPr>
                <w:sz w:val="22"/>
                <w:szCs w:val="22"/>
              </w:rPr>
              <w:t xml:space="preserve">delayed </w:t>
            </w:r>
            <w:r w:rsidR="00A67DF5">
              <w:rPr>
                <w:sz w:val="22"/>
                <w:szCs w:val="22"/>
              </w:rPr>
              <w:t>approval</w:t>
            </w:r>
            <w:r w:rsidR="0004543E">
              <w:rPr>
                <w:sz w:val="22"/>
                <w:szCs w:val="22"/>
              </w:rPr>
              <w:t>s</w:t>
            </w:r>
            <w:r w:rsidR="00A67DF5">
              <w:rPr>
                <w:sz w:val="22"/>
                <w:szCs w:val="22"/>
              </w:rPr>
              <w:t xml:space="preserve"> </w:t>
            </w:r>
            <w:r w:rsidR="00200CA2">
              <w:rPr>
                <w:sz w:val="22"/>
                <w:szCs w:val="22"/>
              </w:rPr>
              <w:t xml:space="preserve">from </w:t>
            </w:r>
            <w:r w:rsidR="0004543E">
              <w:rPr>
                <w:sz w:val="22"/>
                <w:szCs w:val="22"/>
              </w:rPr>
              <w:t xml:space="preserve">local </w:t>
            </w:r>
            <w:r w:rsidR="00200CA2">
              <w:rPr>
                <w:sz w:val="22"/>
                <w:szCs w:val="22"/>
              </w:rPr>
              <w:t>government</w:t>
            </w:r>
            <w:r w:rsidR="0004543E">
              <w:rPr>
                <w:sz w:val="22"/>
                <w:szCs w:val="22"/>
              </w:rPr>
              <w:t>s</w:t>
            </w:r>
            <w:r w:rsidR="00C54902">
              <w:rPr>
                <w:sz w:val="22"/>
                <w:szCs w:val="22"/>
              </w:rPr>
              <w:t xml:space="preserve">. </w:t>
            </w:r>
            <w:r w:rsidR="000A35D1">
              <w:rPr>
                <w:sz w:val="22"/>
                <w:szCs w:val="22"/>
              </w:rPr>
              <w:t>The</w:t>
            </w:r>
            <w:r w:rsidR="003F2171">
              <w:rPr>
                <w:sz w:val="22"/>
                <w:szCs w:val="22"/>
              </w:rPr>
              <w:t>se</w:t>
            </w:r>
            <w:r w:rsidR="000A35D1">
              <w:rPr>
                <w:sz w:val="22"/>
                <w:szCs w:val="22"/>
              </w:rPr>
              <w:t xml:space="preserve"> delay</w:t>
            </w:r>
            <w:r w:rsidR="000B1173">
              <w:rPr>
                <w:sz w:val="22"/>
                <w:szCs w:val="22"/>
              </w:rPr>
              <w:t>s have</w:t>
            </w:r>
            <w:r w:rsidR="000A35D1">
              <w:rPr>
                <w:sz w:val="22"/>
                <w:szCs w:val="22"/>
              </w:rPr>
              <w:t xml:space="preserve"> significant</w:t>
            </w:r>
            <w:r w:rsidR="00892EE2">
              <w:rPr>
                <w:sz w:val="22"/>
                <w:szCs w:val="22"/>
              </w:rPr>
              <w:t>ly</w:t>
            </w:r>
            <w:r w:rsidR="000A35D1">
              <w:rPr>
                <w:sz w:val="22"/>
                <w:szCs w:val="22"/>
              </w:rPr>
              <w:t xml:space="preserve"> impact</w:t>
            </w:r>
            <w:r w:rsidR="00892EE2">
              <w:rPr>
                <w:sz w:val="22"/>
                <w:szCs w:val="22"/>
              </w:rPr>
              <w:t>ed</w:t>
            </w:r>
            <w:r w:rsidR="003F2171">
              <w:rPr>
                <w:sz w:val="22"/>
                <w:szCs w:val="22"/>
              </w:rPr>
              <w:t xml:space="preserve"> the </w:t>
            </w:r>
            <w:r w:rsidR="00A509FC">
              <w:rPr>
                <w:sz w:val="22"/>
                <w:szCs w:val="22"/>
              </w:rPr>
              <w:t>deliver</w:t>
            </w:r>
            <w:r w:rsidR="00B5340F">
              <w:rPr>
                <w:sz w:val="22"/>
                <w:szCs w:val="22"/>
              </w:rPr>
              <w:t>y of</w:t>
            </w:r>
            <w:r w:rsidR="000206B5">
              <w:rPr>
                <w:sz w:val="22"/>
                <w:szCs w:val="22"/>
              </w:rPr>
              <w:t xml:space="preserve"> </w:t>
            </w:r>
            <w:r w:rsidR="003F2171">
              <w:rPr>
                <w:sz w:val="22"/>
                <w:szCs w:val="22"/>
              </w:rPr>
              <w:t xml:space="preserve">necessary </w:t>
            </w:r>
            <w:r w:rsidR="003E39FF">
              <w:rPr>
                <w:sz w:val="22"/>
                <w:szCs w:val="22"/>
              </w:rPr>
              <w:t>infrastructure</w:t>
            </w:r>
            <w:r w:rsidR="0092511E">
              <w:rPr>
                <w:sz w:val="22"/>
                <w:szCs w:val="22"/>
              </w:rPr>
              <w:t>s</w:t>
            </w:r>
            <w:r w:rsidR="003F2171">
              <w:rPr>
                <w:sz w:val="22"/>
                <w:szCs w:val="22"/>
              </w:rPr>
              <w:t xml:space="preserve"> within the </w:t>
            </w:r>
            <w:r w:rsidR="0092511E">
              <w:rPr>
                <w:sz w:val="22"/>
                <w:szCs w:val="22"/>
              </w:rPr>
              <w:t xml:space="preserve">expected </w:t>
            </w:r>
            <w:r w:rsidR="003F2171">
              <w:rPr>
                <w:sz w:val="22"/>
                <w:szCs w:val="22"/>
              </w:rPr>
              <w:t>timeframe</w:t>
            </w:r>
            <w:r w:rsidR="00AA70F8">
              <w:rPr>
                <w:sz w:val="22"/>
                <w:szCs w:val="22"/>
              </w:rPr>
              <w:t xml:space="preserve">. </w:t>
            </w:r>
          </w:p>
        </w:tc>
        <w:tc>
          <w:tcPr>
            <w:tcW w:w="3254" w:type="dxa"/>
          </w:tcPr>
          <w:p w14:paraId="5FE98A71" w14:textId="383A7DE2" w:rsidR="00794394" w:rsidRPr="0030199A" w:rsidRDefault="0030199A" w:rsidP="00A859C3">
            <w:pPr>
              <w:rPr>
                <w:sz w:val="22"/>
                <w:szCs w:val="22"/>
              </w:rPr>
            </w:pPr>
            <w:r w:rsidRPr="0030199A">
              <w:rPr>
                <w:sz w:val="22"/>
                <w:szCs w:val="22"/>
              </w:rPr>
              <w:t>Discussions are underway between DFAT and</w:t>
            </w:r>
            <w:r w:rsidR="00156A3A" w:rsidRPr="0030199A">
              <w:rPr>
                <w:sz w:val="22"/>
                <w:szCs w:val="22"/>
              </w:rPr>
              <w:t xml:space="preserve"> WRI to </w:t>
            </w:r>
            <w:r w:rsidR="002741F1" w:rsidRPr="0030199A">
              <w:rPr>
                <w:sz w:val="22"/>
                <w:szCs w:val="22"/>
              </w:rPr>
              <w:t>negotiate a no-cost extension</w:t>
            </w:r>
            <w:r w:rsidR="00997D46">
              <w:rPr>
                <w:sz w:val="22"/>
                <w:szCs w:val="22"/>
              </w:rPr>
              <w:t xml:space="preserve"> </w:t>
            </w:r>
            <w:r w:rsidR="00D168A9">
              <w:rPr>
                <w:sz w:val="22"/>
                <w:szCs w:val="22"/>
              </w:rPr>
              <w:t xml:space="preserve">of the grant agreement </w:t>
            </w:r>
            <w:r w:rsidR="000206B5">
              <w:rPr>
                <w:sz w:val="22"/>
                <w:szCs w:val="22"/>
              </w:rPr>
              <w:t>to finalise activities</w:t>
            </w:r>
            <w:r w:rsidR="003F2171">
              <w:rPr>
                <w:sz w:val="22"/>
                <w:szCs w:val="22"/>
              </w:rPr>
              <w:t>.</w:t>
            </w:r>
          </w:p>
        </w:tc>
        <w:tc>
          <w:tcPr>
            <w:tcW w:w="1423" w:type="dxa"/>
          </w:tcPr>
          <w:p w14:paraId="49693838" w14:textId="0C5BEDE8" w:rsidR="00794394" w:rsidRPr="0030199A" w:rsidRDefault="00062CA9" w:rsidP="00A859C3">
            <w:pPr>
              <w:rPr>
                <w:sz w:val="22"/>
                <w:szCs w:val="22"/>
              </w:rPr>
            </w:pPr>
            <w:r>
              <w:rPr>
                <w:sz w:val="22"/>
                <w:szCs w:val="22"/>
              </w:rPr>
              <w:t xml:space="preserve">March </w:t>
            </w:r>
            <w:r w:rsidR="000177BE">
              <w:rPr>
                <w:sz w:val="22"/>
                <w:szCs w:val="22"/>
              </w:rPr>
              <w:t>2025.</w:t>
            </w:r>
          </w:p>
        </w:tc>
      </w:tr>
      <w:tr w:rsidR="00403755" w:rsidRPr="0030199A" w14:paraId="7E5CE5DF" w14:textId="77777777" w:rsidTr="00BD7651">
        <w:tc>
          <w:tcPr>
            <w:tcW w:w="4673" w:type="dxa"/>
          </w:tcPr>
          <w:p w14:paraId="347720B3" w14:textId="77777777" w:rsidR="0030199A" w:rsidRDefault="00794394" w:rsidP="00A859C3">
            <w:pPr>
              <w:rPr>
                <w:sz w:val="22"/>
                <w:szCs w:val="22"/>
              </w:rPr>
            </w:pPr>
            <w:r w:rsidRPr="0030199A">
              <w:rPr>
                <w:sz w:val="22"/>
                <w:szCs w:val="22"/>
              </w:rPr>
              <w:t xml:space="preserve">2: </w:t>
            </w:r>
          </w:p>
          <w:p w14:paraId="7271AFF3" w14:textId="0E3AA422" w:rsidR="00794394" w:rsidRPr="0030199A" w:rsidRDefault="00794394" w:rsidP="00A859C3">
            <w:pPr>
              <w:rPr>
                <w:sz w:val="22"/>
                <w:szCs w:val="22"/>
              </w:rPr>
            </w:pPr>
            <w:r w:rsidRPr="0030199A">
              <w:rPr>
                <w:sz w:val="22"/>
                <w:szCs w:val="22"/>
              </w:rPr>
              <w:t>WRI (India) and WWF (Pakistan) should prioritise positioning of successful CDP interventions for replication and/or scale-up by relevant counterparts, including through engaging professional knowledge product and policy advocacy capability</w:t>
            </w:r>
            <w:r w:rsidR="00861541">
              <w:rPr>
                <w:sz w:val="22"/>
                <w:szCs w:val="22"/>
              </w:rPr>
              <w:t>.</w:t>
            </w:r>
          </w:p>
        </w:tc>
        <w:tc>
          <w:tcPr>
            <w:tcW w:w="1713" w:type="dxa"/>
          </w:tcPr>
          <w:p w14:paraId="0E77ECD9" w14:textId="77F9F3B5" w:rsidR="00794394" w:rsidRPr="0030199A" w:rsidRDefault="00794394" w:rsidP="00A859C3">
            <w:pPr>
              <w:rPr>
                <w:sz w:val="22"/>
                <w:szCs w:val="22"/>
              </w:rPr>
            </w:pPr>
            <w:r w:rsidRPr="0030199A">
              <w:rPr>
                <w:sz w:val="22"/>
                <w:szCs w:val="22"/>
              </w:rPr>
              <w:t>Agreed</w:t>
            </w:r>
          </w:p>
        </w:tc>
        <w:tc>
          <w:tcPr>
            <w:tcW w:w="3234" w:type="dxa"/>
          </w:tcPr>
          <w:p w14:paraId="278017B5" w14:textId="3B32E17A" w:rsidR="006D74D7" w:rsidRPr="0030199A" w:rsidRDefault="000E2ABE" w:rsidP="00A859C3">
            <w:pPr>
              <w:rPr>
                <w:sz w:val="22"/>
                <w:szCs w:val="22"/>
              </w:rPr>
            </w:pPr>
            <w:r>
              <w:rPr>
                <w:sz w:val="22"/>
                <w:szCs w:val="22"/>
              </w:rPr>
              <w:t>Although</w:t>
            </w:r>
            <w:r w:rsidR="003F2171">
              <w:rPr>
                <w:sz w:val="22"/>
                <w:szCs w:val="22"/>
              </w:rPr>
              <w:t xml:space="preserve"> </w:t>
            </w:r>
            <w:r>
              <w:rPr>
                <w:sz w:val="22"/>
                <w:szCs w:val="22"/>
              </w:rPr>
              <w:t>r</w:t>
            </w:r>
            <w:r w:rsidR="00753B97">
              <w:rPr>
                <w:sz w:val="22"/>
                <w:szCs w:val="22"/>
              </w:rPr>
              <w:t xml:space="preserve">eplication and/or scale up is not within the current scope of work, replication </w:t>
            </w:r>
            <w:r w:rsidR="006D74D7">
              <w:rPr>
                <w:sz w:val="22"/>
                <w:szCs w:val="22"/>
              </w:rPr>
              <w:t xml:space="preserve">by counterparts </w:t>
            </w:r>
            <w:r w:rsidR="009F467F">
              <w:rPr>
                <w:sz w:val="22"/>
                <w:szCs w:val="22"/>
              </w:rPr>
              <w:t>may be</w:t>
            </w:r>
            <w:r w:rsidR="006D74D7">
              <w:rPr>
                <w:sz w:val="22"/>
                <w:szCs w:val="22"/>
              </w:rPr>
              <w:t xml:space="preserve"> possible. </w:t>
            </w:r>
            <w:r w:rsidR="00CC0361">
              <w:rPr>
                <w:sz w:val="22"/>
                <w:szCs w:val="22"/>
              </w:rPr>
              <w:t xml:space="preserve"> </w:t>
            </w:r>
            <w:r w:rsidR="00C6325E">
              <w:rPr>
                <w:sz w:val="22"/>
                <w:szCs w:val="22"/>
              </w:rPr>
              <w:t xml:space="preserve">DFAT </w:t>
            </w:r>
            <w:r w:rsidR="0046060E">
              <w:rPr>
                <w:sz w:val="22"/>
                <w:szCs w:val="22"/>
              </w:rPr>
              <w:t xml:space="preserve">will </w:t>
            </w:r>
            <w:r w:rsidR="008E6871">
              <w:rPr>
                <w:sz w:val="22"/>
                <w:szCs w:val="22"/>
              </w:rPr>
              <w:t xml:space="preserve">support </w:t>
            </w:r>
            <w:r w:rsidR="000206B5">
              <w:rPr>
                <w:sz w:val="22"/>
                <w:szCs w:val="22"/>
              </w:rPr>
              <w:t>WRI and WWF</w:t>
            </w:r>
            <w:r w:rsidR="003212E1" w:rsidRPr="003212E1">
              <w:rPr>
                <w:sz w:val="22"/>
                <w:szCs w:val="22"/>
              </w:rPr>
              <w:t xml:space="preserve"> </w:t>
            </w:r>
            <w:r w:rsidR="003212E1">
              <w:rPr>
                <w:sz w:val="22"/>
                <w:szCs w:val="22"/>
              </w:rPr>
              <w:t xml:space="preserve">to </w:t>
            </w:r>
            <w:r w:rsidR="003212E1" w:rsidRPr="003212E1">
              <w:rPr>
                <w:sz w:val="22"/>
                <w:szCs w:val="22"/>
              </w:rPr>
              <w:t>create knowledge products and communication material for dissemination and policy advocacy.</w:t>
            </w:r>
          </w:p>
        </w:tc>
        <w:tc>
          <w:tcPr>
            <w:tcW w:w="3254" w:type="dxa"/>
          </w:tcPr>
          <w:p w14:paraId="74DD4690" w14:textId="2A00CD07" w:rsidR="00794394" w:rsidRPr="0030199A" w:rsidRDefault="000206B5" w:rsidP="00A859C3">
            <w:pPr>
              <w:rPr>
                <w:sz w:val="22"/>
                <w:szCs w:val="22"/>
              </w:rPr>
            </w:pPr>
            <w:r>
              <w:rPr>
                <w:sz w:val="22"/>
                <w:szCs w:val="22"/>
              </w:rPr>
              <w:t>WRI and WWF</w:t>
            </w:r>
            <w:r w:rsidR="00076689">
              <w:rPr>
                <w:sz w:val="22"/>
                <w:szCs w:val="22"/>
              </w:rPr>
              <w:t xml:space="preserve"> are developing knowledge products</w:t>
            </w:r>
            <w:r w:rsidR="00A72461">
              <w:rPr>
                <w:sz w:val="22"/>
                <w:szCs w:val="22"/>
              </w:rPr>
              <w:t xml:space="preserve"> and papers </w:t>
            </w:r>
            <w:r w:rsidR="00621C23">
              <w:rPr>
                <w:sz w:val="22"/>
                <w:szCs w:val="22"/>
              </w:rPr>
              <w:t xml:space="preserve">to </w:t>
            </w:r>
            <w:r w:rsidR="007B3F59">
              <w:rPr>
                <w:sz w:val="22"/>
                <w:szCs w:val="22"/>
              </w:rPr>
              <w:t>demonstrate sustainable concepts</w:t>
            </w:r>
            <w:r w:rsidR="007C3AB0">
              <w:rPr>
                <w:sz w:val="22"/>
                <w:szCs w:val="22"/>
              </w:rPr>
              <w:t xml:space="preserve"> and promote replication. </w:t>
            </w:r>
            <w:r w:rsidR="00194090">
              <w:rPr>
                <w:sz w:val="22"/>
                <w:szCs w:val="22"/>
              </w:rPr>
              <w:t xml:space="preserve">DFAT </w:t>
            </w:r>
            <w:r w:rsidR="00D45C30">
              <w:rPr>
                <w:sz w:val="22"/>
                <w:szCs w:val="22"/>
              </w:rPr>
              <w:t>is currently negotiating contract extension</w:t>
            </w:r>
            <w:r w:rsidR="001C1524">
              <w:rPr>
                <w:sz w:val="22"/>
                <w:szCs w:val="22"/>
              </w:rPr>
              <w:t>s</w:t>
            </w:r>
            <w:r w:rsidR="00D45C30">
              <w:rPr>
                <w:sz w:val="22"/>
                <w:szCs w:val="22"/>
              </w:rPr>
              <w:t xml:space="preserve"> </w:t>
            </w:r>
            <w:r w:rsidR="00194090">
              <w:rPr>
                <w:sz w:val="22"/>
                <w:szCs w:val="22"/>
              </w:rPr>
              <w:t xml:space="preserve">with </w:t>
            </w:r>
            <w:r w:rsidR="00E63C03">
              <w:rPr>
                <w:sz w:val="22"/>
                <w:szCs w:val="22"/>
              </w:rPr>
              <w:t xml:space="preserve">both </w:t>
            </w:r>
            <w:r w:rsidR="00660257">
              <w:rPr>
                <w:sz w:val="22"/>
                <w:szCs w:val="22"/>
              </w:rPr>
              <w:t>WRI</w:t>
            </w:r>
            <w:r w:rsidR="000D6ECE">
              <w:rPr>
                <w:sz w:val="22"/>
                <w:szCs w:val="22"/>
              </w:rPr>
              <w:t xml:space="preserve"> and WWF</w:t>
            </w:r>
            <w:r w:rsidR="00660257">
              <w:rPr>
                <w:sz w:val="22"/>
                <w:szCs w:val="22"/>
              </w:rPr>
              <w:t xml:space="preserve"> </w:t>
            </w:r>
            <w:r w:rsidR="005D577F" w:rsidRPr="005D577F">
              <w:rPr>
                <w:sz w:val="22"/>
                <w:szCs w:val="22"/>
              </w:rPr>
              <w:t>to</w:t>
            </w:r>
            <w:r w:rsidR="001C1524">
              <w:rPr>
                <w:sz w:val="22"/>
                <w:szCs w:val="22"/>
              </w:rPr>
              <w:t xml:space="preserve"> deliver this</w:t>
            </w:r>
            <w:r w:rsidR="00CC0361">
              <w:rPr>
                <w:sz w:val="22"/>
                <w:szCs w:val="22"/>
              </w:rPr>
              <w:t xml:space="preserve">. </w:t>
            </w:r>
          </w:p>
        </w:tc>
        <w:tc>
          <w:tcPr>
            <w:tcW w:w="1423" w:type="dxa"/>
          </w:tcPr>
          <w:p w14:paraId="34175677" w14:textId="753220D4" w:rsidR="00794394" w:rsidRPr="0030199A" w:rsidRDefault="007B0564" w:rsidP="00A859C3">
            <w:pPr>
              <w:rPr>
                <w:sz w:val="22"/>
                <w:szCs w:val="22"/>
              </w:rPr>
            </w:pPr>
            <w:r>
              <w:rPr>
                <w:sz w:val="22"/>
                <w:szCs w:val="22"/>
              </w:rPr>
              <w:t xml:space="preserve">Ongoing </w:t>
            </w:r>
            <w:r w:rsidR="00E6294F">
              <w:rPr>
                <w:sz w:val="22"/>
                <w:szCs w:val="22"/>
              </w:rPr>
              <w:t>for the rest of the project period</w:t>
            </w:r>
          </w:p>
        </w:tc>
      </w:tr>
      <w:tr w:rsidR="00403755" w:rsidRPr="0030199A" w14:paraId="22A51203" w14:textId="77777777" w:rsidTr="00BD7651">
        <w:tc>
          <w:tcPr>
            <w:tcW w:w="4673" w:type="dxa"/>
          </w:tcPr>
          <w:p w14:paraId="5FC93802" w14:textId="77777777" w:rsidR="0030199A" w:rsidRDefault="00794394" w:rsidP="00A859C3">
            <w:pPr>
              <w:rPr>
                <w:sz w:val="22"/>
                <w:szCs w:val="22"/>
              </w:rPr>
            </w:pPr>
            <w:r w:rsidRPr="0030199A">
              <w:rPr>
                <w:sz w:val="22"/>
                <w:szCs w:val="22"/>
              </w:rPr>
              <w:t xml:space="preserve">3: </w:t>
            </w:r>
          </w:p>
          <w:p w14:paraId="225441A0" w14:textId="7F621A11" w:rsidR="00794394" w:rsidRPr="0030199A" w:rsidRDefault="00794394" w:rsidP="00A859C3">
            <w:pPr>
              <w:rPr>
                <w:sz w:val="22"/>
                <w:szCs w:val="22"/>
              </w:rPr>
            </w:pPr>
            <w:r w:rsidRPr="0030199A">
              <w:rPr>
                <w:sz w:val="22"/>
                <w:szCs w:val="22"/>
              </w:rPr>
              <w:t>The A</w:t>
            </w:r>
            <w:r w:rsidR="00B90683">
              <w:rPr>
                <w:sz w:val="22"/>
                <w:szCs w:val="22"/>
              </w:rPr>
              <w:t>ustralian High Commission</w:t>
            </w:r>
            <w:r w:rsidRPr="0030199A">
              <w:rPr>
                <w:sz w:val="22"/>
                <w:szCs w:val="22"/>
              </w:rPr>
              <w:t>s</w:t>
            </w:r>
            <w:r w:rsidR="00302C0C">
              <w:rPr>
                <w:sz w:val="22"/>
                <w:szCs w:val="22"/>
              </w:rPr>
              <w:t xml:space="preserve"> (AHCs)</w:t>
            </w:r>
            <w:r w:rsidRPr="0030199A">
              <w:rPr>
                <w:sz w:val="22"/>
                <w:szCs w:val="22"/>
              </w:rPr>
              <w:t xml:space="preserve"> in India and Pakistan should proactively seek out public diplomacy and policy influence opportunities in support of CDP replication </w:t>
            </w:r>
            <w:r w:rsidR="00685FCF" w:rsidRPr="0030199A">
              <w:rPr>
                <w:sz w:val="22"/>
                <w:szCs w:val="22"/>
              </w:rPr>
              <w:t>and</w:t>
            </w:r>
            <w:r w:rsidRPr="0030199A">
              <w:rPr>
                <w:sz w:val="22"/>
                <w:szCs w:val="22"/>
              </w:rPr>
              <w:t xml:space="preserve"> scale-up by government counterparts</w:t>
            </w:r>
            <w:r w:rsidR="005F2CC9">
              <w:rPr>
                <w:sz w:val="22"/>
                <w:szCs w:val="22"/>
              </w:rPr>
              <w:t>.</w:t>
            </w:r>
          </w:p>
        </w:tc>
        <w:tc>
          <w:tcPr>
            <w:tcW w:w="1713" w:type="dxa"/>
          </w:tcPr>
          <w:p w14:paraId="15665252" w14:textId="55366A48" w:rsidR="00794394" w:rsidRPr="0030199A" w:rsidRDefault="00D80D9A" w:rsidP="00A859C3">
            <w:pPr>
              <w:rPr>
                <w:sz w:val="22"/>
                <w:szCs w:val="22"/>
              </w:rPr>
            </w:pPr>
            <w:r>
              <w:rPr>
                <w:sz w:val="22"/>
                <w:szCs w:val="22"/>
              </w:rPr>
              <w:t>Agree</w:t>
            </w:r>
          </w:p>
        </w:tc>
        <w:tc>
          <w:tcPr>
            <w:tcW w:w="3234" w:type="dxa"/>
          </w:tcPr>
          <w:p w14:paraId="7BC49167" w14:textId="7BC658DC" w:rsidR="00794394" w:rsidRPr="0030199A" w:rsidRDefault="00ED62BF" w:rsidP="00A859C3">
            <w:pPr>
              <w:rPr>
                <w:sz w:val="22"/>
                <w:szCs w:val="22"/>
              </w:rPr>
            </w:pPr>
            <w:r>
              <w:rPr>
                <w:sz w:val="22"/>
                <w:szCs w:val="22"/>
              </w:rPr>
              <w:t xml:space="preserve">AHCs can help create an enabling environment for the </w:t>
            </w:r>
            <w:r w:rsidR="00B033AE">
              <w:rPr>
                <w:sz w:val="22"/>
                <w:szCs w:val="22"/>
              </w:rPr>
              <w:t>replication</w:t>
            </w:r>
            <w:r>
              <w:rPr>
                <w:sz w:val="22"/>
                <w:szCs w:val="22"/>
              </w:rPr>
              <w:t xml:space="preserve"> and/or scale up </w:t>
            </w:r>
            <w:r w:rsidR="00B033AE">
              <w:rPr>
                <w:sz w:val="22"/>
                <w:szCs w:val="22"/>
              </w:rPr>
              <w:t>of the successful CDP interventions, by leveraging their diplomatic channels.</w:t>
            </w:r>
          </w:p>
        </w:tc>
        <w:tc>
          <w:tcPr>
            <w:tcW w:w="3254" w:type="dxa"/>
          </w:tcPr>
          <w:p w14:paraId="3B64665C" w14:textId="6912B6B8" w:rsidR="00794394" w:rsidRDefault="001C1524" w:rsidP="00A859C3">
            <w:pPr>
              <w:rPr>
                <w:sz w:val="22"/>
                <w:szCs w:val="22"/>
              </w:rPr>
            </w:pPr>
            <w:r>
              <w:rPr>
                <w:sz w:val="22"/>
                <w:szCs w:val="22"/>
              </w:rPr>
              <w:t>In India</w:t>
            </w:r>
            <w:r w:rsidR="00E6393F">
              <w:rPr>
                <w:sz w:val="22"/>
                <w:szCs w:val="22"/>
              </w:rPr>
              <w:t>,</w:t>
            </w:r>
            <w:r>
              <w:rPr>
                <w:sz w:val="22"/>
                <w:szCs w:val="22"/>
              </w:rPr>
              <w:t xml:space="preserve"> AHC </w:t>
            </w:r>
            <w:r w:rsidR="006B3753" w:rsidRPr="006B3753">
              <w:rPr>
                <w:sz w:val="22"/>
                <w:szCs w:val="22"/>
              </w:rPr>
              <w:t>N</w:t>
            </w:r>
            <w:r w:rsidR="00D80D9A">
              <w:rPr>
                <w:sz w:val="22"/>
                <w:szCs w:val="22"/>
              </w:rPr>
              <w:t>ew Delhi</w:t>
            </w:r>
            <w:r w:rsidR="006B3753" w:rsidRPr="006B3753">
              <w:rPr>
                <w:sz w:val="22"/>
                <w:szCs w:val="22"/>
              </w:rPr>
              <w:t xml:space="preserve"> and WRI will devise a communications plan and calendar with </w:t>
            </w:r>
            <w:r>
              <w:rPr>
                <w:sz w:val="22"/>
                <w:szCs w:val="22"/>
              </w:rPr>
              <w:t xml:space="preserve">a </w:t>
            </w:r>
            <w:r w:rsidR="006B3753" w:rsidRPr="006B3753">
              <w:rPr>
                <w:sz w:val="22"/>
                <w:szCs w:val="22"/>
              </w:rPr>
              <w:t xml:space="preserve">focus on advocacy. </w:t>
            </w:r>
            <w:r>
              <w:rPr>
                <w:sz w:val="22"/>
                <w:szCs w:val="22"/>
              </w:rPr>
              <w:t>The AHC</w:t>
            </w:r>
            <w:r w:rsidR="006B3753" w:rsidRPr="006B3753">
              <w:rPr>
                <w:sz w:val="22"/>
                <w:szCs w:val="22"/>
              </w:rPr>
              <w:t xml:space="preserve"> will explore opportunities for sociali</w:t>
            </w:r>
            <w:r w:rsidR="00BB1808">
              <w:rPr>
                <w:sz w:val="22"/>
                <w:szCs w:val="22"/>
              </w:rPr>
              <w:t>s</w:t>
            </w:r>
            <w:r w:rsidR="006B3753" w:rsidRPr="006B3753">
              <w:rPr>
                <w:sz w:val="22"/>
                <w:szCs w:val="22"/>
              </w:rPr>
              <w:t>ing the knowledge products in forthcoming events.</w:t>
            </w:r>
          </w:p>
          <w:p w14:paraId="436B8543" w14:textId="77777777" w:rsidR="00D80D9A" w:rsidRDefault="00D80D9A" w:rsidP="00A859C3">
            <w:pPr>
              <w:rPr>
                <w:sz w:val="22"/>
                <w:szCs w:val="22"/>
              </w:rPr>
            </w:pPr>
          </w:p>
          <w:p w14:paraId="77A6EBDC" w14:textId="1330CE69" w:rsidR="00D80D9A" w:rsidRPr="0030199A" w:rsidRDefault="00CC4BFD" w:rsidP="00A859C3">
            <w:pPr>
              <w:rPr>
                <w:sz w:val="22"/>
                <w:szCs w:val="22"/>
              </w:rPr>
            </w:pPr>
            <w:r>
              <w:rPr>
                <w:sz w:val="22"/>
                <w:szCs w:val="22"/>
              </w:rPr>
              <w:t>In Pakistan, p</w:t>
            </w:r>
            <w:r w:rsidRPr="00CC4BFD">
              <w:rPr>
                <w:sz w:val="22"/>
                <w:szCs w:val="22"/>
              </w:rPr>
              <w:t xml:space="preserve">ublic diplomacy efforts have been in place since </w:t>
            </w:r>
            <w:r>
              <w:rPr>
                <w:sz w:val="22"/>
                <w:szCs w:val="22"/>
              </w:rPr>
              <w:t>project</w:t>
            </w:r>
            <w:r w:rsidRPr="00CC4BFD">
              <w:rPr>
                <w:sz w:val="22"/>
                <w:szCs w:val="22"/>
              </w:rPr>
              <w:t xml:space="preserve"> inception</w:t>
            </w:r>
            <w:r>
              <w:rPr>
                <w:sz w:val="22"/>
                <w:szCs w:val="22"/>
              </w:rPr>
              <w:t xml:space="preserve">. </w:t>
            </w:r>
            <w:r w:rsidR="001C1524">
              <w:rPr>
                <w:sz w:val="22"/>
                <w:szCs w:val="22"/>
              </w:rPr>
              <w:t xml:space="preserve">AHC </w:t>
            </w:r>
            <w:r w:rsidR="00673342">
              <w:rPr>
                <w:sz w:val="22"/>
                <w:szCs w:val="22"/>
              </w:rPr>
              <w:t xml:space="preserve">Islamabad is </w:t>
            </w:r>
            <w:r w:rsidR="0011613C">
              <w:rPr>
                <w:sz w:val="22"/>
                <w:szCs w:val="22"/>
              </w:rPr>
              <w:t>planning a national-level workshop to e</w:t>
            </w:r>
            <w:r w:rsidR="000A1E7D">
              <w:rPr>
                <w:sz w:val="22"/>
                <w:szCs w:val="22"/>
              </w:rPr>
              <w:t xml:space="preserve">ngage </w:t>
            </w:r>
            <w:r w:rsidR="00A215F5">
              <w:rPr>
                <w:sz w:val="22"/>
                <w:szCs w:val="22"/>
              </w:rPr>
              <w:t>stakeholders</w:t>
            </w:r>
            <w:r w:rsidR="00A639FF">
              <w:rPr>
                <w:sz w:val="22"/>
                <w:szCs w:val="22"/>
              </w:rPr>
              <w:t xml:space="preserve"> including government </w:t>
            </w:r>
            <w:r w:rsidR="000A1E7D">
              <w:rPr>
                <w:sz w:val="22"/>
                <w:szCs w:val="22"/>
              </w:rPr>
              <w:t xml:space="preserve">on </w:t>
            </w:r>
            <w:r w:rsidR="000A1E7D">
              <w:rPr>
                <w:sz w:val="22"/>
                <w:szCs w:val="22"/>
              </w:rPr>
              <w:lastRenderedPageBreak/>
              <w:t>replication and scale-up</w:t>
            </w:r>
            <w:r w:rsidR="007E3EB0">
              <w:rPr>
                <w:sz w:val="22"/>
                <w:szCs w:val="22"/>
              </w:rPr>
              <w:t xml:space="preserve"> </w:t>
            </w:r>
            <w:r w:rsidR="000A1E7D">
              <w:rPr>
                <w:sz w:val="22"/>
                <w:szCs w:val="22"/>
              </w:rPr>
              <w:t>of CDP</w:t>
            </w:r>
            <w:r w:rsidR="007E3EB0">
              <w:rPr>
                <w:sz w:val="22"/>
                <w:szCs w:val="22"/>
              </w:rPr>
              <w:t>s</w:t>
            </w:r>
            <w:r w:rsidR="000206B5">
              <w:rPr>
                <w:sz w:val="22"/>
                <w:szCs w:val="22"/>
              </w:rPr>
              <w:t>,</w:t>
            </w:r>
            <w:r w:rsidR="007E3EB0">
              <w:rPr>
                <w:sz w:val="22"/>
                <w:szCs w:val="22"/>
              </w:rPr>
              <w:t xml:space="preserve"> </w:t>
            </w:r>
            <w:r w:rsidR="000206B5">
              <w:rPr>
                <w:sz w:val="22"/>
                <w:szCs w:val="22"/>
              </w:rPr>
              <w:t xml:space="preserve">and </w:t>
            </w:r>
            <w:r w:rsidR="002F551C">
              <w:rPr>
                <w:sz w:val="22"/>
                <w:szCs w:val="22"/>
              </w:rPr>
              <w:t>promotion of the TA</w:t>
            </w:r>
            <w:r w:rsidR="007E3EB0">
              <w:rPr>
                <w:sz w:val="22"/>
                <w:szCs w:val="22"/>
              </w:rPr>
              <w:t xml:space="preserve"> flood management</w:t>
            </w:r>
            <w:r w:rsidR="002F551C">
              <w:rPr>
                <w:sz w:val="22"/>
                <w:szCs w:val="22"/>
              </w:rPr>
              <w:t xml:space="preserve"> feasibility study findings</w:t>
            </w:r>
            <w:r w:rsidR="007D67D3">
              <w:rPr>
                <w:sz w:val="22"/>
                <w:szCs w:val="22"/>
              </w:rPr>
              <w:t>.</w:t>
            </w:r>
            <w:r w:rsidR="00876DBA">
              <w:rPr>
                <w:sz w:val="22"/>
                <w:szCs w:val="22"/>
              </w:rPr>
              <w:t xml:space="preserve"> </w:t>
            </w:r>
          </w:p>
        </w:tc>
        <w:tc>
          <w:tcPr>
            <w:tcW w:w="1423" w:type="dxa"/>
          </w:tcPr>
          <w:p w14:paraId="3C805762" w14:textId="680BB83B" w:rsidR="00794394" w:rsidRPr="0030199A" w:rsidRDefault="0071754F" w:rsidP="00A859C3">
            <w:pPr>
              <w:rPr>
                <w:sz w:val="22"/>
                <w:szCs w:val="22"/>
              </w:rPr>
            </w:pPr>
            <w:r w:rsidRPr="0071754F">
              <w:rPr>
                <w:sz w:val="22"/>
                <w:szCs w:val="22"/>
              </w:rPr>
              <w:lastRenderedPageBreak/>
              <w:t>Ongoing for the rest of the project period</w:t>
            </w:r>
          </w:p>
        </w:tc>
      </w:tr>
      <w:tr w:rsidR="00403755" w:rsidRPr="0030199A" w14:paraId="3D5F6079" w14:textId="77777777" w:rsidTr="00BD7651">
        <w:tc>
          <w:tcPr>
            <w:tcW w:w="4673" w:type="dxa"/>
          </w:tcPr>
          <w:p w14:paraId="31B0B48A" w14:textId="77777777" w:rsidR="00794394" w:rsidRPr="0030199A" w:rsidRDefault="00794394" w:rsidP="00A859C3">
            <w:pPr>
              <w:rPr>
                <w:sz w:val="22"/>
                <w:szCs w:val="22"/>
              </w:rPr>
            </w:pPr>
            <w:r w:rsidRPr="0030199A">
              <w:rPr>
                <w:sz w:val="22"/>
                <w:szCs w:val="22"/>
              </w:rPr>
              <w:t xml:space="preserve">4: </w:t>
            </w:r>
          </w:p>
          <w:p w14:paraId="7DB9741D" w14:textId="6F1EC498" w:rsidR="00794394" w:rsidRPr="0030199A" w:rsidRDefault="00794394" w:rsidP="00A859C3">
            <w:pPr>
              <w:rPr>
                <w:sz w:val="22"/>
                <w:szCs w:val="22"/>
              </w:rPr>
            </w:pPr>
            <w:r w:rsidRPr="0030199A">
              <w:rPr>
                <w:sz w:val="22"/>
                <w:szCs w:val="22"/>
              </w:rPr>
              <w:t>DFAT should consider rephrasing E</w:t>
            </w:r>
            <w:r w:rsidR="006A7D88">
              <w:rPr>
                <w:sz w:val="22"/>
                <w:szCs w:val="22"/>
              </w:rPr>
              <w:t>nd of Program Outcome (EOPO)</w:t>
            </w:r>
            <w:r w:rsidRPr="0030199A">
              <w:rPr>
                <w:sz w:val="22"/>
                <w:szCs w:val="22"/>
              </w:rPr>
              <w:t xml:space="preserve"> 1 to reflect an </w:t>
            </w:r>
            <w:r w:rsidR="00CA179C" w:rsidRPr="0030199A">
              <w:rPr>
                <w:sz w:val="22"/>
                <w:szCs w:val="22"/>
              </w:rPr>
              <w:t>explicit</w:t>
            </w:r>
            <w:r w:rsidRPr="0030199A">
              <w:rPr>
                <w:sz w:val="22"/>
                <w:szCs w:val="22"/>
              </w:rPr>
              <w:t xml:space="preserve"> contribution to climate resilient cities in support of streamlined international </w:t>
            </w:r>
            <w:r w:rsidR="00CA179C" w:rsidRPr="0030199A">
              <w:rPr>
                <w:sz w:val="22"/>
                <w:szCs w:val="22"/>
              </w:rPr>
              <w:t>climate finance reporting.</w:t>
            </w:r>
          </w:p>
        </w:tc>
        <w:tc>
          <w:tcPr>
            <w:tcW w:w="1713" w:type="dxa"/>
          </w:tcPr>
          <w:p w14:paraId="4EA886ED" w14:textId="77777777" w:rsidR="00794394" w:rsidRPr="0030199A" w:rsidRDefault="00794394" w:rsidP="00A859C3">
            <w:pPr>
              <w:rPr>
                <w:sz w:val="22"/>
                <w:szCs w:val="22"/>
              </w:rPr>
            </w:pPr>
            <w:r w:rsidRPr="0030199A">
              <w:rPr>
                <w:sz w:val="22"/>
                <w:szCs w:val="22"/>
              </w:rPr>
              <w:t xml:space="preserve">Not </w:t>
            </w:r>
          </w:p>
          <w:p w14:paraId="324D1ED2" w14:textId="77777777" w:rsidR="00794394" w:rsidRPr="0030199A" w:rsidRDefault="00794394" w:rsidP="00A859C3">
            <w:pPr>
              <w:rPr>
                <w:sz w:val="22"/>
                <w:szCs w:val="22"/>
              </w:rPr>
            </w:pPr>
            <w:r w:rsidRPr="0030199A">
              <w:rPr>
                <w:sz w:val="22"/>
                <w:szCs w:val="22"/>
              </w:rPr>
              <w:t>Agreed</w:t>
            </w:r>
          </w:p>
        </w:tc>
        <w:tc>
          <w:tcPr>
            <w:tcW w:w="3234" w:type="dxa"/>
          </w:tcPr>
          <w:p w14:paraId="0B2E0CD7" w14:textId="1C84D253" w:rsidR="00794394" w:rsidRPr="0030199A" w:rsidRDefault="00062CA9" w:rsidP="00A859C3">
            <w:pPr>
              <w:rPr>
                <w:sz w:val="22"/>
                <w:szCs w:val="22"/>
              </w:rPr>
            </w:pPr>
            <w:r w:rsidRPr="00062CA9">
              <w:rPr>
                <w:sz w:val="22"/>
                <w:szCs w:val="22"/>
              </w:rPr>
              <w:t xml:space="preserve">As the program is near completion, a redesign or rephrase of EOPO 1 would be time consuming, not practical and could be confusing for stakeholders.  </w:t>
            </w:r>
          </w:p>
        </w:tc>
        <w:tc>
          <w:tcPr>
            <w:tcW w:w="3254" w:type="dxa"/>
          </w:tcPr>
          <w:p w14:paraId="1C2A8082" w14:textId="225F05FF" w:rsidR="00794394" w:rsidRPr="0030199A" w:rsidRDefault="00062CA9" w:rsidP="00A859C3">
            <w:pPr>
              <w:rPr>
                <w:sz w:val="22"/>
                <w:szCs w:val="22"/>
              </w:rPr>
            </w:pPr>
            <w:r>
              <w:rPr>
                <w:sz w:val="22"/>
                <w:szCs w:val="22"/>
              </w:rPr>
              <w:t>Maintain the existing EOPO 1</w:t>
            </w:r>
            <w:r w:rsidR="00D635EC" w:rsidRPr="00D635EC">
              <w:rPr>
                <w:rFonts w:ascii="Calibri" w:eastAsia="Times New Roman" w:hAnsi="Calibri" w:cs="Calibri"/>
                <w:color w:val="1F497D"/>
              </w:rPr>
              <w:t xml:space="preserve"> </w:t>
            </w:r>
            <w:r w:rsidR="00D635EC" w:rsidRPr="00D635EC">
              <w:rPr>
                <w:sz w:val="22"/>
                <w:szCs w:val="22"/>
              </w:rPr>
              <w:t>given climate resilient activities and budget are not new to SAWASI and have already been included in project implementation</w:t>
            </w:r>
            <w:r w:rsidR="0049018C">
              <w:rPr>
                <w:sz w:val="22"/>
                <w:szCs w:val="22"/>
              </w:rPr>
              <w:t>.</w:t>
            </w:r>
          </w:p>
        </w:tc>
        <w:tc>
          <w:tcPr>
            <w:tcW w:w="1423" w:type="dxa"/>
          </w:tcPr>
          <w:p w14:paraId="2590C196" w14:textId="2283B5D6" w:rsidR="00794394" w:rsidRPr="0030199A" w:rsidRDefault="00AA4A2A" w:rsidP="00A859C3">
            <w:pPr>
              <w:rPr>
                <w:sz w:val="22"/>
                <w:szCs w:val="22"/>
              </w:rPr>
            </w:pPr>
            <w:r>
              <w:rPr>
                <w:sz w:val="22"/>
                <w:szCs w:val="22"/>
              </w:rPr>
              <w:t>Not applicable</w:t>
            </w:r>
          </w:p>
        </w:tc>
      </w:tr>
      <w:tr w:rsidR="00403755" w:rsidRPr="0030199A" w14:paraId="37B657D2" w14:textId="77777777" w:rsidTr="00BD7651">
        <w:tc>
          <w:tcPr>
            <w:tcW w:w="4673" w:type="dxa"/>
          </w:tcPr>
          <w:p w14:paraId="0F04D8A7" w14:textId="77777777" w:rsidR="00794394" w:rsidRPr="0030199A" w:rsidRDefault="00794394" w:rsidP="00A859C3">
            <w:pPr>
              <w:rPr>
                <w:sz w:val="22"/>
                <w:szCs w:val="22"/>
              </w:rPr>
            </w:pPr>
            <w:r w:rsidRPr="0030199A">
              <w:rPr>
                <w:sz w:val="22"/>
                <w:szCs w:val="22"/>
              </w:rPr>
              <w:t xml:space="preserve">5: </w:t>
            </w:r>
          </w:p>
          <w:p w14:paraId="370B5003" w14:textId="2F82DDC6" w:rsidR="00794394" w:rsidRPr="0030199A" w:rsidRDefault="00CA179C" w:rsidP="00A859C3">
            <w:pPr>
              <w:rPr>
                <w:sz w:val="22"/>
                <w:szCs w:val="22"/>
              </w:rPr>
            </w:pPr>
            <w:r w:rsidRPr="0030199A">
              <w:rPr>
                <w:sz w:val="22"/>
                <w:szCs w:val="22"/>
              </w:rPr>
              <w:t>AHCs in India and Pakistan should utilise the CDP scale-up advocacy as an opportunity for access and influence with strategic counterparts associated with TA projects, noting the critical issue of water and sanitation for both federal governments, and Australia’s accepted expertise in the sector.</w:t>
            </w:r>
          </w:p>
        </w:tc>
        <w:tc>
          <w:tcPr>
            <w:tcW w:w="1713" w:type="dxa"/>
          </w:tcPr>
          <w:p w14:paraId="4809653F" w14:textId="77777777" w:rsidR="00794394" w:rsidRPr="0030199A" w:rsidRDefault="00794394" w:rsidP="00A859C3">
            <w:pPr>
              <w:rPr>
                <w:sz w:val="22"/>
                <w:szCs w:val="22"/>
              </w:rPr>
            </w:pPr>
            <w:r w:rsidRPr="0030199A">
              <w:rPr>
                <w:sz w:val="22"/>
                <w:szCs w:val="22"/>
              </w:rPr>
              <w:t>Agreed</w:t>
            </w:r>
          </w:p>
        </w:tc>
        <w:tc>
          <w:tcPr>
            <w:tcW w:w="3234" w:type="dxa"/>
          </w:tcPr>
          <w:p w14:paraId="4B39F2B2" w14:textId="752ACEAF" w:rsidR="004E69F4" w:rsidRDefault="003E20F5" w:rsidP="00A859C3">
            <w:pPr>
              <w:rPr>
                <w:sz w:val="22"/>
                <w:szCs w:val="22"/>
              </w:rPr>
            </w:pPr>
            <w:r>
              <w:rPr>
                <w:sz w:val="22"/>
                <w:szCs w:val="22"/>
              </w:rPr>
              <w:t>TA</w:t>
            </w:r>
            <w:r w:rsidR="00CB7C7A">
              <w:rPr>
                <w:sz w:val="22"/>
                <w:szCs w:val="22"/>
              </w:rPr>
              <w:t>s</w:t>
            </w:r>
            <w:r>
              <w:rPr>
                <w:sz w:val="22"/>
                <w:szCs w:val="22"/>
              </w:rPr>
              <w:t xml:space="preserve"> in India and Pakistan ha</w:t>
            </w:r>
            <w:r w:rsidR="00CB7C7A">
              <w:rPr>
                <w:sz w:val="22"/>
                <w:szCs w:val="22"/>
              </w:rPr>
              <w:t>ve</w:t>
            </w:r>
            <w:r>
              <w:rPr>
                <w:sz w:val="22"/>
                <w:szCs w:val="22"/>
              </w:rPr>
              <w:t xml:space="preserve"> been implemented </w:t>
            </w:r>
            <w:r w:rsidR="002A43D8">
              <w:rPr>
                <w:sz w:val="22"/>
                <w:szCs w:val="22"/>
              </w:rPr>
              <w:t xml:space="preserve">independently </w:t>
            </w:r>
            <w:r w:rsidR="00CE5ED7">
              <w:rPr>
                <w:sz w:val="22"/>
                <w:szCs w:val="22"/>
              </w:rPr>
              <w:t xml:space="preserve">and in separate locations </w:t>
            </w:r>
            <w:r w:rsidR="002A43D8">
              <w:rPr>
                <w:sz w:val="22"/>
                <w:szCs w:val="22"/>
              </w:rPr>
              <w:t xml:space="preserve">from CDPs </w:t>
            </w:r>
            <w:r w:rsidR="00595716">
              <w:rPr>
                <w:sz w:val="22"/>
                <w:szCs w:val="22"/>
              </w:rPr>
              <w:t xml:space="preserve">creating </w:t>
            </w:r>
            <w:r w:rsidR="00183BCE">
              <w:rPr>
                <w:sz w:val="22"/>
                <w:szCs w:val="22"/>
              </w:rPr>
              <w:t xml:space="preserve">barriers for </w:t>
            </w:r>
            <w:r w:rsidR="00460B07">
              <w:rPr>
                <w:sz w:val="22"/>
                <w:szCs w:val="22"/>
              </w:rPr>
              <w:t>integration</w:t>
            </w:r>
            <w:r w:rsidR="00BF2530">
              <w:rPr>
                <w:sz w:val="22"/>
                <w:szCs w:val="22"/>
              </w:rPr>
              <w:t xml:space="preserve"> and </w:t>
            </w:r>
            <w:r w:rsidR="00311E71">
              <w:rPr>
                <w:sz w:val="22"/>
                <w:szCs w:val="22"/>
              </w:rPr>
              <w:t>impact</w:t>
            </w:r>
            <w:r w:rsidR="007F1A8E">
              <w:rPr>
                <w:sz w:val="22"/>
                <w:szCs w:val="22"/>
              </w:rPr>
              <w:t xml:space="preserve"> </w:t>
            </w:r>
            <w:r w:rsidR="00BF2530">
              <w:rPr>
                <w:sz w:val="22"/>
                <w:szCs w:val="22"/>
              </w:rPr>
              <w:t>on</w:t>
            </w:r>
            <w:r w:rsidR="007F1A8E">
              <w:rPr>
                <w:sz w:val="22"/>
                <w:szCs w:val="22"/>
              </w:rPr>
              <w:t xml:space="preserve"> national strategic policy and financing. </w:t>
            </w:r>
            <w:r w:rsidR="00460B07">
              <w:rPr>
                <w:sz w:val="22"/>
                <w:szCs w:val="22"/>
              </w:rPr>
              <w:t xml:space="preserve"> </w:t>
            </w:r>
            <w:r w:rsidR="0004434E">
              <w:rPr>
                <w:sz w:val="22"/>
                <w:szCs w:val="22"/>
              </w:rPr>
              <w:t>While t</w:t>
            </w:r>
            <w:r w:rsidR="00A61647">
              <w:rPr>
                <w:sz w:val="22"/>
                <w:szCs w:val="22"/>
              </w:rPr>
              <w:t xml:space="preserve">he TA </w:t>
            </w:r>
            <w:r w:rsidR="00927CE3">
              <w:rPr>
                <w:sz w:val="22"/>
                <w:szCs w:val="22"/>
              </w:rPr>
              <w:t xml:space="preserve">investments </w:t>
            </w:r>
            <w:r w:rsidR="005D0CE4">
              <w:rPr>
                <w:sz w:val="22"/>
                <w:szCs w:val="22"/>
              </w:rPr>
              <w:t xml:space="preserve">in each country </w:t>
            </w:r>
            <w:r w:rsidR="00927CE3">
              <w:rPr>
                <w:sz w:val="22"/>
                <w:szCs w:val="22"/>
              </w:rPr>
              <w:t xml:space="preserve">have delivered important and </w:t>
            </w:r>
            <w:r w:rsidR="001F3547">
              <w:rPr>
                <w:sz w:val="22"/>
                <w:szCs w:val="22"/>
              </w:rPr>
              <w:t xml:space="preserve">strategic results in their respective contexts, collectively </w:t>
            </w:r>
            <w:r w:rsidR="007E3EB0">
              <w:rPr>
                <w:sz w:val="22"/>
                <w:szCs w:val="22"/>
              </w:rPr>
              <w:t xml:space="preserve">they </w:t>
            </w:r>
            <w:r w:rsidR="001F3547">
              <w:rPr>
                <w:sz w:val="22"/>
                <w:szCs w:val="22"/>
              </w:rPr>
              <w:t xml:space="preserve">have not contributed to the wider intent of the SAWSI regional modality. </w:t>
            </w:r>
          </w:p>
          <w:p w14:paraId="1A28F5F0" w14:textId="52F6B1EB" w:rsidR="004E69F4" w:rsidRPr="0030199A" w:rsidRDefault="004E69F4" w:rsidP="00A859C3">
            <w:pPr>
              <w:rPr>
                <w:sz w:val="22"/>
                <w:szCs w:val="22"/>
              </w:rPr>
            </w:pPr>
          </w:p>
        </w:tc>
        <w:tc>
          <w:tcPr>
            <w:tcW w:w="3254" w:type="dxa"/>
          </w:tcPr>
          <w:p w14:paraId="241EFC14" w14:textId="7949C6A4" w:rsidR="00B2127C" w:rsidRDefault="00312675" w:rsidP="00A859C3">
            <w:pPr>
              <w:rPr>
                <w:sz w:val="22"/>
                <w:szCs w:val="22"/>
              </w:rPr>
            </w:pPr>
            <w:r>
              <w:rPr>
                <w:sz w:val="22"/>
                <w:szCs w:val="22"/>
              </w:rPr>
              <w:t>In Pakistan, p</w:t>
            </w:r>
            <w:r w:rsidR="00B2127C">
              <w:rPr>
                <w:sz w:val="22"/>
                <w:szCs w:val="22"/>
              </w:rPr>
              <w:t>ublic diplomacy</w:t>
            </w:r>
            <w:r w:rsidR="00CE6E1C">
              <w:rPr>
                <w:sz w:val="22"/>
                <w:szCs w:val="22"/>
              </w:rPr>
              <w:t xml:space="preserve"> and policy efforts </w:t>
            </w:r>
            <w:r>
              <w:rPr>
                <w:sz w:val="22"/>
                <w:szCs w:val="22"/>
              </w:rPr>
              <w:t xml:space="preserve">have been in place since Project inception. </w:t>
            </w:r>
            <w:r w:rsidR="002342B4">
              <w:rPr>
                <w:sz w:val="22"/>
                <w:szCs w:val="22"/>
              </w:rPr>
              <w:t>N</w:t>
            </w:r>
            <w:r w:rsidR="00482943">
              <w:rPr>
                <w:sz w:val="22"/>
                <w:szCs w:val="22"/>
              </w:rPr>
              <w:t>ational level workshop(s) ha</w:t>
            </w:r>
            <w:r w:rsidR="002342B4">
              <w:rPr>
                <w:sz w:val="22"/>
                <w:szCs w:val="22"/>
              </w:rPr>
              <w:t>ve</w:t>
            </w:r>
            <w:r w:rsidR="00482943">
              <w:rPr>
                <w:sz w:val="22"/>
                <w:szCs w:val="22"/>
              </w:rPr>
              <w:t xml:space="preserve"> </w:t>
            </w:r>
            <w:r w:rsidR="000C7BE6">
              <w:rPr>
                <w:sz w:val="22"/>
                <w:szCs w:val="22"/>
              </w:rPr>
              <w:t xml:space="preserve">been planned to discuss replication and scale up of CDP interventions </w:t>
            </w:r>
            <w:r w:rsidR="00AB4243">
              <w:rPr>
                <w:sz w:val="22"/>
                <w:szCs w:val="22"/>
              </w:rPr>
              <w:t xml:space="preserve">in other cities and target policy makers. </w:t>
            </w:r>
            <w:r w:rsidR="00C331AD">
              <w:rPr>
                <w:sz w:val="22"/>
                <w:szCs w:val="22"/>
              </w:rPr>
              <w:t>The</w:t>
            </w:r>
            <w:r w:rsidR="00665172">
              <w:rPr>
                <w:sz w:val="22"/>
                <w:szCs w:val="22"/>
              </w:rPr>
              <w:t>y</w:t>
            </w:r>
            <w:r w:rsidR="00C331AD">
              <w:rPr>
                <w:sz w:val="22"/>
                <w:szCs w:val="22"/>
              </w:rPr>
              <w:t xml:space="preserve"> will </w:t>
            </w:r>
            <w:r w:rsidR="00C331AD" w:rsidRPr="00C331AD">
              <w:rPr>
                <w:sz w:val="22"/>
                <w:szCs w:val="22"/>
              </w:rPr>
              <w:t xml:space="preserve">also include promotion of the </w:t>
            </w:r>
            <w:r w:rsidR="00C331AD">
              <w:rPr>
                <w:sz w:val="22"/>
                <w:szCs w:val="22"/>
              </w:rPr>
              <w:t xml:space="preserve">TA </w:t>
            </w:r>
            <w:r w:rsidR="00972457" w:rsidRPr="00972457">
              <w:rPr>
                <w:sz w:val="22"/>
                <w:szCs w:val="22"/>
              </w:rPr>
              <w:t xml:space="preserve">feasibility study findings and encourage participation by </w:t>
            </w:r>
            <w:r w:rsidR="00C331AD">
              <w:rPr>
                <w:sz w:val="22"/>
                <w:szCs w:val="22"/>
              </w:rPr>
              <w:t xml:space="preserve">government stakeholders. </w:t>
            </w:r>
          </w:p>
          <w:p w14:paraId="48F17FD0" w14:textId="77777777" w:rsidR="006F5682" w:rsidRDefault="006F5682" w:rsidP="00A859C3">
            <w:pPr>
              <w:rPr>
                <w:sz w:val="22"/>
                <w:szCs w:val="22"/>
              </w:rPr>
            </w:pPr>
          </w:p>
          <w:p w14:paraId="3B9A06B8" w14:textId="081CC4B4" w:rsidR="00794394" w:rsidRPr="0030199A" w:rsidRDefault="007E3EB0" w:rsidP="00A859C3">
            <w:pPr>
              <w:rPr>
                <w:sz w:val="22"/>
                <w:szCs w:val="22"/>
              </w:rPr>
            </w:pPr>
            <w:r>
              <w:rPr>
                <w:sz w:val="22"/>
                <w:szCs w:val="22"/>
              </w:rPr>
              <w:t xml:space="preserve">AHC </w:t>
            </w:r>
            <w:r w:rsidR="00CE6E1C">
              <w:rPr>
                <w:sz w:val="22"/>
                <w:szCs w:val="22"/>
              </w:rPr>
              <w:t xml:space="preserve">New Delhi </w:t>
            </w:r>
            <w:r w:rsidR="00E63734" w:rsidRPr="00E63734">
              <w:rPr>
                <w:sz w:val="22"/>
                <w:szCs w:val="22"/>
              </w:rPr>
              <w:t xml:space="preserve">will </w:t>
            </w:r>
            <w:r w:rsidR="006C19BE">
              <w:rPr>
                <w:sz w:val="22"/>
                <w:szCs w:val="22"/>
              </w:rPr>
              <w:t xml:space="preserve">work with partners to </w:t>
            </w:r>
            <w:r w:rsidR="00E63734" w:rsidRPr="00E63734">
              <w:rPr>
                <w:sz w:val="22"/>
                <w:szCs w:val="22"/>
              </w:rPr>
              <w:t xml:space="preserve">identify relevant opportunities </w:t>
            </w:r>
            <w:r w:rsidR="00742C35">
              <w:rPr>
                <w:sz w:val="22"/>
                <w:szCs w:val="22"/>
              </w:rPr>
              <w:t xml:space="preserve">to share learnings and tools from the CDPs with relevant stakeholders. </w:t>
            </w:r>
          </w:p>
        </w:tc>
        <w:tc>
          <w:tcPr>
            <w:tcW w:w="1423" w:type="dxa"/>
          </w:tcPr>
          <w:p w14:paraId="73F922BB" w14:textId="751C58BE" w:rsidR="00794394" w:rsidRPr="0030199A" w:rsidRDefault="00591854" w:rsidP="00A859C3">
            <w:pPr>
              <w:rPr>
                <w:sz w:val="22"/>
                <w:szCs w:val="22"/>
              </w:rPr>
            </w:pPr>
            <w:r w:rsidRPr="00591854">
              <w:rPr>
                <w:sz w:val="22"/>
                <w:szCs w:val="22"/>
              </w:rPr>
              <w:t>Ongoing for the rest of the project period</w:t>
            </w:r>
          </w:p>
        </w:tc>
      </w:tr>
      <w:tr w:rsidR="00403755" w:rsidRPr="0030199A" w14:paraId="76C31FE5" w14:textId="77777777" w:rsidTr="00BD7651">
        <w:tc>
          <w:tcPr>
            <w:tcW w:w="4673" w:type="dxa"/>
          </w:tcPr>
          <w:p w14:paraId="6953DEBD" w14:textId="77777777" w:rsidR="00794394" w:rsidRPr="0030199A" w:rsidRDefault="00794394" w:rsidP="00A859C3">
            <w:pPr>
              <w:rPr>
                <w:sz w:val="22"/>
                <w:szCs w:val="22"/>
              </w:rPr>
            </w:pPr>
            <w:r w:rsidRPr="0030199A">
              <w:rPr>
                <w:sz w:val="22"/>
                <w:szCs w:val="22"/>
              </w:rPr>
              <w:t xml:space="preserve">6: </w:t>
            </w:r>
          </w:p>
          <w:p w14:paraId="52217B90" w14:textId="2758980A" w:rsidR="00794394" w:rsidRPr="0030199A" w:rsidRDefault="00CA179C" w:rsidP="00A859C3">
            <w:pPr>
              <w:rPr>
                <w:sz w:val="22"/>
                <w:szCs w:val="22"/>
              </w:rPr>
            </w:pPr>
            <w:r w:rsidRPr="0030199A">
              <w:rPr>
                <w:sz w:val="22"/>
                <w:szCs w:val="22"/>
              </w:rPr>
              <w:t xml:space="preserve">DFAT should reconsider the format of a second regional workshop in favour of an in-country project consultations by a Technical Advisory </w:t>
            </w:r>
            <w:r w:rsidRPr="0030199A">
              <w:rPr>
                <w:sz w:val="22"/>
                <w:szCs w:val="22"/>
              </w:rPr>
              <w:lastRenderedPageBreak/>
              <w:t>Group. If a regional workshop is planned, ensure that participants are consulted well ahead of time about their priorities for the workshop.</w:t>
            </w:r>
          </w:p>
        </w:tc>
        <w:tc>
          <w:tcPr>
            <w:tcW w:w="1713" w:type="dxa"/>
          </w:tcPr>
          <w:p w14:paraId="2D619E2C" w14:textId="71F72B42" w:rsidR="00DA6428" w:rsidRDefault="00B57624" w:rsidP="00A859C3">
            <w:pPr>
              <w:rPr>
                <w:sz w:val="22"/>
                <w:szCs w:val="22"/>
              </w:rPr>
            </w:pPr>
            <w:r>
              <w:rPr>
                <w:sz w:val="22"/>
                <w:szCs w:val="22"/>
              </w:rPr>
              <w:lastRenderedPageBreak/>
              <w:t>A</w:t>
            </w:r>
            <w:r w:rsidR="00FD726F">
              <w:rPr>
                <w:sz w:val="22"/>
                <w:szCs w:val="22"/>
              </w:rPr>
              <w:t>greed</w:t>
            </w:r>
          </w:p>
          <w:p w14:paraId="698E2923" w14:textId="2E330B13" w:rsidR="00DA6428" w:rsidRPr="0030199A" w:rsidRDefault="00DA6428" w:rsidP="00A859C3">
            <w:pPr>
              <w:rPr>
                <w:sz w:val="22"/>
                <w:szCs w:val="22"/>
              </w:rPr>
            </w:pPr>
          </w:p>
        </w:tc>
        <w:tc>
          <w:tcPr>
            <w:tcW w:w="3234" w:type="dxa"/>
          </w:tcPr>
          <w:p w14:paraId="19E96E0C" w14:textId="528691EC" w:rsidR="00C52C63" w:rsidRPr="0030199A" w:rsidRDefault="009734EC" w:rsidP="00A859C3">
            <w:pPr>
              <w:rPr>
                <w:sz w:val="22"/>
                <w:szCs w:val="22"/>
              </w:rPr>
            </w:pPr>
            <w:r w:rsidRPr="009734EC">
              <w:rPr>
                <w:sz w:val="22"/>
                <w:szCs w:val="22"/>
              </w:rPr>
              <w:t xml:space="preserve">Given the program is in its last year of implementation, </w:t>
            </w:r>
            <w:r>
              <w:rPr>
                <w:sz w:val="22"/>
                <w:szCs w:val="22"/>
              </w:rPr>
              <w:t>i</w:t>
            </w:r>
            <w:r w:rsidRPr="009734EC">
              <w:rPr>
                <w:sz w:val="22"/>
                <w:szCs w:val="22"/>
              </w:rPr>
              <w:t xml:space="preserve">nstead of conducting a Regional Workshop, DFAT will support </w:t>
            </w:r>
            <w:r w:rsidRPr="009734EC">
              <w:rPr>
                <w:sz w:val="22"/>
                <w:szCs w:val="22"/>
              </w:rPr>
              <w:lastRenderedPageBreak/>
              <w:t>technical advisory visits to India and Pakistan by consultants with facilitation, M&amp;E and WSC technical expertise.</w:t>
            </w:r>
          </w:p>
        </w:tc>
        <w:tc>
          <w:tcPr>
            <w:tcW w:w="3254" w:type="dxa"/>
          </w:tcPr>
          <w:p w14:paraId="35337E87" w14:textId="0956ED65" w:rsidR="00831763" w:rsidRPr="00831763" w:rsidRDefault="00611B17" w:rsidP="001F6645">
            <w:pPr>
              <w:rPr>
                <w:sz w:val="22"/>
                <w:szCs w:val="22"/>
              </w:rPr>
            </w:pPr>
            <w:r>
              <w:rPr>
                <w:sz w:val="22"/>
                <w:szCs w:val="22"/>
              </w:rPr>
              <w:lastRenderedPageBreak/>
              <w:t>The</w:t>
            </w:r>
            <w:r w:rsidR="004607B5">
              <w:rPr>
                <w:sz w:val="22"/>
                <w:szCs w:val="22"/>
              </w:rPr>
              <w:t xml:space="preserve"> </w:t>
            </w:r>
            <w:r w:rsidR="009734EC">
              <w:rPr>
                <w:sz w:val="22"/>
                <w:szCs w:val="22"/>
              </w:rPr>
              <w:t xml:space="preserve">technical advisory </w:t>
            </w:r>
            <w:r w:rsidR="0012105E">
              <w:rPr>
                <w:sz w:val="22"/>
                <w:szCs w:val="22"/>
              </w:rPr>
              <w:t>visit</w:t>
            </w:r>
            <w:r w:rsidR="0006155C">
              <w:rPr>
                <w:sz w:val="22"/>
                <w:szCs w:val="22"/>
              </w:rPr>
              <w:t>s</w:t>
            </w:r>
            <w:r w:rsidR="0012105E">
              <w:rPr>
                <w:sz w:val="22"/>
                <w:szCs w:val="22"/>
              </w:rPr>
              <w:t xml:space="preserve"> </w:t>
            </w:r>
            <w:r w:rsidR="00991D23">
              <w:rPr>
                <w:sz w:val="22"/>
                <w:szCs w:val="22"/>
              </w:rPr>
              <w:t xml:space="preserve">will be </w:t>
            </w:r>
            <w:r w:rsidR="00D71EEB">
              <w:rPr>
                <w:sz w:val="22"/>
                <w:szCs w:val="22"/>
              </w:rPr>
              <w:t xml:space="preserve">country </w:t>
            </w:r>
            <w:r w:rsidR="00991D23">
              <w:rPr>
                <w:sz w:val="22"/>
                <w:szCs w:val="22"/>
              </w:rPr>
              <w:t xml:space="preserve">targeted </w:t>
            </w:r>
            <w:r w:rsidR="00E71879">
              <w:rPr>
                <w:sz w:val="22"/>
                <w:szCs w:val="22"/>
              </w:rPr>
              <w:t>with</w:t>
            </w:r>
            <w:r w:rsidR="00991D23">
              <w:rPr>
                <w:sz w:val="22"/>
                <w:szCs w:val="22"/>
              </w:rPr>
              <w:t xml:space="preserve"> </w:t>
            </w:r>
            <w:r w:rsidR="00776836">
              <w:rPr>
                <w:sz w:val="22"/>
                <w:szCs w:val="22"/>
              </w:rPr>
              <w:t xml:space="preserve">workshops and forums </w:t>
            </w:r>
            <w:r w:rsidR="00D71EEB">
              <w:rPr>
                <w:sz w:val="22"/>
                <w:szCs w:val="22"/>
              </w:rPr>
              <w:t>at national</w:t>
            </w:r>
            <w:r w:rsidR="009C6D9F">
              <w:rPr>
                <w:sz w:val="22"/>
                <w:szCs w:val="22"/>
              </w:rPr>
              <w:t>/local</w:t>
            </w:r>
            <w:r w:rsidR="0006155C">
              <w:rPr>
                <w:sz w:val="22"/>
                <w:szCs w:val="22"/>
              </w:rPr>
              <w:t xml:space="preserve"> working </w:t>
            </w:r>
            <w:r w:rsidR="00D71EEB">
              <w:rPr>
                <w:sz w:val="22"/>
                <w:szCs w:val="22"/>
              </w:rPr>
              <w:t xml:space="preserve">level </w:t>
            </w:r>
            <w:r w:rsidR="00EF70B9">
              <w:rPr>
                <w:sz w:val="22"/>
                <w:szCs w:val="22"/>
              </w:rPr>
              <w:t>to</w:t>
            </w:r>
            <w:r w:rsidR="00776836">
              <w:rPr>
                <w:sz w:val="22"/>
                <w:szCs w:val="22"/>
              </w:rPr>
              <w:t xml:space="preserve"> </w:t>
            </w:r>
            <w:r w:rsidR="00776836">
              <w:rPr>
                <w:sz w:val="22"/>
                <w:szCs w:val="22"/>
              </w:rPr>
              <w:lastRenderedPageBreak/>
              <w:t>m</w:t>
            </w:r>
            <w:r w:rsidR="00831763" w:rsidRPr="002E5645">
              <w:rPr>
                <w:sz w:val="22"/>
                <w:szCs w:val="22"/>
              </w:rPr>
              <w:t>aximise legacy and impact delivered by SAWASI</w:t>
            </w:r>
            <w:r w:rsidR="00EA126C">
              <w:rPr>
                <w:sz w:val="22"/>
                <w:szCs w:val="22"/>
              </w:rPr>
              <w:t xml:space="preserve">, and to assist with </w:t>
            </w:r>
            <w:r w:rsidR="008613B9">
              <w:rPr>
                <w:sz w:val="22"/>
                <w:szCs w:val="22"/>
              </w:rPr>
              <w:t xml:space="preserve">water sensitive approaches promotion and </w:t>
            </w:r>
            <w:r w:rsidR="001F6645">
              <w:rPr>
                <w:sz w:val="22"/>
                <w:szCs w:val="22"/>
              </w:rPr>
              <w:t xml:space="preserve">replication. </w:t>
            </w:r>
            <w:r w:rsidR="00831763" w:rsidRPr="002E5645">
              <w:rPr>
                <w:sz w:val="22"/>
                <w:szCs w:val="22"/>
              </w:rPr>
              <w:t xml:space="preserve"> </w:t>
            </w:r>
          </w:p>
          <w:p w14:paraId="0DC3C61C" w14:textId="77777777" w:rsidR="00896D6D" w:rsidRDefault="00896D6D" w:rsidP="00A859C3">
            <w:pPr>
              <w:rPr>
                <w:sz w:val="22"/>
                <w:szCs w:val="22"/>
              </w:rPr>
            </w:pPr>
          </w:p>
          <w:p w14:paraId="33E19C27" w14:textId="407619AD" w:rsidR="00831763" w:rsidRPr="0030199A" w:rsidRDefault="00225661" w:rsidP="00A859C3">
            <w:pPr>
              <w:rPr>
                <w:sz w:val="22"/>
                <w:szCs w:val="22"/>
              </w:rPr>
            </w:pPr>
            <w:r>
              <w:rPr>
                <w:sz w:val="22"/>
                <w:szCs w:val="22"/>
              </w:rPr>
              <w:t xml:space="preserve">The visits will contribute to work </w:t>
            </w:r>
            <w:r w:rsidR="00880CEE">
              <w:rPr>
                <w:sz w:val="22"/>
                <w:szCs w:val="22"/>
              </w:rPr>
              <w:t>in response to MTR recommendation</w:t>
            </w:r>
            <w:r w:rsidR="006E434C">
              <w:rPr>
                <w:sz w:val="22"/>
                <w:szCs w:val="22"/>
              </w:rPr>
              <w:t xml:space="preserve">s 3, 5 and </w:t>
            </w:r>
            <w:r w:rsidR="00242929">
              <w:rPr>
                <w:sz w:val="22"/>
                <w:szCs w:val="22"/>
              </w:rPr>
              <w:t>8.</w:t>
            </w:r>
          </w:p>
        </w:tc>
        <w:tc>
          <w:tcPr>
            <w:tcW w:w="1423" w:type="dxa"/>
          </w:tcPr>
          <w:p w14:paraId="645A4983" w14:textId="73BB10AC" w:rsidR="00794394" w:rsidRPr="0030199A" w:rsidRDefault="00E71879" w:rsidP="00A859C3">
            <w:pPr>
              <w:rPr>
                <w:sz w:val="22"/>
                <w:szCs w:val="22"/>
              </w:rPr>
            </w:pPr>
            <w:r>
              <w:rPr>
                <w:sz w:val="22"/>
                <w:szCs w:val="22"/>
              </w:rPr>
              <w:lastRenderedPageBreak/>
              <w:t>May</w:t>
            </w:r>
            <w:r w:rsidR="00F75194">
              <w:rPr>
                <w:sz w:val="22"/>
                <w:szCs w:val="22"/>
              </w:rPr>
              <w:t xml:space="preserve"> 2025</w:t>
            </w:r>
          </w:p>
        </w:tc>
      </w:tr>
      <w:tr w:rsidR="00403755" w:rsidRPr="0030199A" w14:paraId="3C94722F" w14:textId="77777777" w:rsidTr="00BD7651">
        <w:tc>
          <w:tcPr>
            <w:tcW w:w="4673" w:type="dxa"/>
          </w:tcPr>
          <w:p w14:paraId="36AB9751" w14:textId="77777777" w:rsidR="00794394" w:rsidRPr="0030199A" w:rsidRDefault="00794394" w:rsidP="00A859C3">
            <w:pPr>
              <w:rPr>
                <w:sz w:val="22"/>
                <w:szCs w:val="22"/>
              </w:rPr>
            </w:pPr>
            <w:r w:rsidRPr="0030199A">
              <w:rPr>
                <w:sz w:val="22"/>
                <w:szCs w:val="22"/>
              </w:rPr>
              <w:t xml:space="preserve">7: </w:t>
            </w:r>
          </w:p>
          <w:p w14:paraId="6F449A7E" w14:textId="750F7160" w:rsidR="00794394" w:rsidRPr="0030199A" w:rsidRDefault="00CA179C" w:rsidP="00A859C3">
            <w:pPr>
              <w:rPr>
                <w:sz w:val="22"/>
                <w:szCs w:val="22"/>
              </w:rPr>
            </w:pPr>
            <w:r w:rsidRPr="0030199A">
              <w:rPr>
                <w:sz w:val="22"/>
                <w:szCs w:val="22"/>
              </w:rPr>
              <w:t>S</w:t>
            </w:r>
            <w:r w:rsidR="001F59D4">
              <w:rPr>
                <w:sz w:val="22"/>
                <w:szCs w:val="22"/>
              </w:rPr>
              <w:t>outh and Central Asia Development Section (SDV)</w:t>
            </w:r>
            <w:r w:rsidRPr="0030199A">
              <w:rPr>
                <w:sz w:val="22"/>
                <w:szCs w:val="22"/>
              </w:rPr>
              <w:t xml:space="preserve"> should consider delegating program administration to AHCs in recognition that SAWASI is in practice a portfolio of bilateral projects, thereby reducing the management burden.</w:t>
            </w:r>
          </w:p>
        </w:tc>
        <w:tc>
          <w:tcPr>
            <w:tcW w:w="1713" w:type="dxa"/>
          </w:tcPr>
          <w:p w14:paraId="35E7C6A4" w14:textId="27E5B2DD" w:rsidR="00794394" w:rsidRPr="0030199A" w:rsidRDefault="00357394" w:rsidP="00A859C3">
            <w:pPr>
              <w:rPr>
                <w:sz w:val="22"/>
                <w:szCs w:val="22"/>
              </w:rPr>
            </w:pPr>
            <w:r w:rsidRPr="0030199A">
              <w:rPr>
                <w:sz w:val="22"/>
                <w:szCs w:val="22"/>
              </w:rPr>
              <w:t>Partially agreed</w:t>
            </w:r>
          </w:p>
        </w:tc>
        <w:tc>
          <w:tcPr>
            <w:tcW w:w="3234" w:type="dxa"/>
          </w:tcPr>
          <w:p w14:paraId="588C8312" w14:textId="68EF44FE" w:rsidR="00B95607" w:rsidRPr="0030199A" w:rsidRDefault="009E71D8" w:rsidP="00A859C3">
            <w:pPr>
              <w:rPr>
                <w:sz w:val="22"/>
                <w:szCs w:val="22"/>
              </w:rPr>
            </w:pPr>
            <w:r w:rsidRPr="009E71D8">
              <w:rPr>
                <w:sz w:val="22"/>
                <w:szCs w:val="22"/>
              </w:rPr>
              <w:t>DFAT SAWASI locally engaged managers in India and Pakistan were recruited as water specialist with job roles focused more on project technical issues. Given the program is more than halfway through, it is not practical and efficient to reposition job roles which involves extensive training and monitoring.</w:t>
            </w:r>
          </w:p>
        </w:tc>
        <w:tc>
          <w:tcPr>
            <w:tcW w:w="3254" w:type="dxa"/>
          </w:tcPr>
          <w:p w14:paraId="075E3C1A" w14:textId="73BF4B86" w:rsidR="00794394" w:rsidRPr="0030199A" w:rsidRDefault="009E71D8" w:rsidP="00A859C3">
            <w:pPr>
              <w:rPr>
                <w:sz w:val="22"/>
                <w:szCs w:val="22"/>
              </w:rPr>
            </w:pPr>
            <w:r>
              <w:rPr>
                <w:sz w:val="22"/>
                <w:szCs w:val="22"/>
              </w:rPr>
              <w:t>While Post has already been taking the lead in project implementation and monitoring</w:t>
            </w:r>
            <w:r w:rsidR="00514B11">
              <w:rPr>
                <w:sz w:val="22"/>
                <w:szCs w:val="22"/>
              </w:rPr>
              <w:t xml:space="preserve">, they </w:t>
            </w:r>
            <w:r w:rsidR="005F662F">
              <w:rPr>
                <w:sz w:val="22"/>
                <w:szCs w:val="22"/>
              </w:rPr>
              <w:t xml:space="preserve">will be involved </w:t>
            </w:r>
            <w:r w:rsidR="00116905">
              <w:rPr>
                <w:sz w:val="22"/>
                <w:szCs w:val="22"/>
              </w:rPr>
              <w:t xml:space="preserve">more </w:t>
            </w:r>
            <w:r w:rsidR="005F662F">
              <w:rPr>
                <w:sz w:val="22"/>
                <w:szCs w:val="22"/>
              </w:rPr>
              <w:t xml:space="preserve">in invoice </w:t>
            </w:r>
            <w:r w:rsidR="00B87D7D">
              <w:rPr>
                <w:sz w:val="22"/>
                <w:szCs w:val="22"/>
              </w:rPr>
              <w:t>and supporting d</w:t>
            </w:r>
            <w:r w:rsidR="00A83136">
              <w:rPr>
                <w:sz w:val="22"/>
                <w:szCs w:val="22"/>
              </w:rPr>
              <w:t xml:space="preserve">ocument </w:t>
            </w:r>
            <w:r w:rsidR="005F662F">
              <w:rPr>
                <w:sz w:val="22"/>
                <w:szCs w:val="22"/>
              </w:rPr>
              <w:t xml:space="preserve">assessment </w:t>
            </w:r>
            <w:r w:rsidR="00116905">
              <w:rPr>
                <w:sz w:val="22"/>
                <w:szCs w:val="22"/>
              </w:rPr>
              <w:t xml:space="preserve">to ensure </w:t>
            </w:r>
            <w:r w:rsidR="00B87D7D">
              <w:rPr>
                <w:sz w:val="22"/>
                <w:szCs w:val="22"/>
              </w:rPr>
              <w:t xml:space="preserve">value for money </w:t>
            </w:r>
            <w:r w:rsidR="00A83136">
              <w:rPr>
                <w:sz w:val="22"/>
                <w:szCs w:val="22"/>
              </w:rPr>
              <w:t>of</w:t>
            </w:r>
            <w:r w:rsidR="00B87D7D">
              <w:rPr>
                <w:sz w:val="22"/>
                <w:szCs w:val="22"/>
              </w:rPr>
              <w:t xml:space="preserve"> project deliverables and </w:t>
            </w:r>
            <w:r w:rsidR="00DA66E9">
              <w:rPr>
                <w:sz w:val="22"/>
                <w:szCs w:val="22"/>
              </w:rPr>
              <w:t>legality</w:t>
            </w:r>
            <w:r w:rsidR="00E3288D">
              <w:rPr>
                <w:sz w:val="22"/>
                <w:szCs w:val="22"/>
              </w:rPr>
              <w:t xml:space="preserve"> of </w:t>
            </w:r>
            <w:r w:rsidR="00B87D7D">
              <w:rPr>
                <w:sz w:val="22"/>
                <w:szCs w:val="22"/>
              </w:rPr>
              <w:t xml:space="preserve">claims. </w:t>
            </w:r>
            <w:r w:rsidR="00AF018B">
              <w:rPr>
                <w:sz w:val="22"/>
                <w:szCs w:val="22"/>
              </w:rPr>
              <w:t xml:space="preserve"> </w:t>
            </w:r>
          </w:p>
        </w:tc>
        <w:tc>
          <w:tcPr>
            <w:tcW w:w="1423" w:type="dxa"/>
          </w:tcPr>
          <w:p w14:paraId="73CDE343" w14:textId="0B6C81FA" w:rsidR="00794394" w:rsidRPr="0030199A" w:rsidRDefault="000D4607" w:rsidP="00A859C3">
            <w:pPr>
              <w:rPr>
                <w:sz w:val="22"/>
                <w:szCs w:val="22"/>
              </w:rPr>
            </w:pPr>
            <w:r w:rsidRPr="000D4607">
              <w:rPr>
                <w:sz w:val="22"/>
                <w:szCs w:val="22"/>
              </w:rPr>
              <w:t>Ongoing for the rest of the project period</w:t>
            </w:r>
          </w:p>
        </w:tc>
      </w:tr>
      <w:tr w:rsidR="00403755" w:rsidRPr="0030199A" w14:paraId="537E6269" w14:textId="77777777" w:rsidTr="00BD7651">
        <w:tc>
          <w:tcPr>
            <w:tcW w:w="4673" w:type="dxa"/>
          </w:tcPr>
          <w:p w14:paraId="25ED3DD5" w14:textId="77777777" w:rsidR="00794394" w:rsidRPr="0030199A" w:rsidRDefault="00794394" w:rsidP="00A859C3">
            <w:pPr>
              <w:rPr>
                <w:sz w:val="22"/>
                <w:szCs w:val="22"/>
              </w:rPr>
            </w:pPr>
            <w:r w:rsidRPr="0030199A">
              <w:rPr>
                <w:sz w:val="22"/>
                <w:szCs w:val="22"/>
              </w:rPr>
              <w:t xml:space="preserve">8: </w:t>
            </w:r>
          </w:p>
          <w:p w14:paraId="4977A0AA" w14:textId="43E640A7" w:rsidR="00794394" w:rsidRPr="0030199A" w:rsidRDefault="00CA179C" w:rsidP="00A859C3">
            <w:pPr>
              <w:rPr>
                <w:sz w:val="22"/>
                <w:szCs w:val="22"/>
              </w:rPr>
            </w:pPr>
            <w:r w:rsidRPr="0030199A">
              <w:rPr>
                <w:sz w:val="22"/>
                <w:szCs w:val="22"/>
              </w:rPr>
              <w:t>DFAT should consider reprioritising the program-wide M</w:t>
            </w:r>
            <w:r w:rsidR="001860D0">
              <w:rPr>
                <w:sz w:val="22"/>
                <w:szCs w:val="22"/>
              </w:rPr>
              <w:t>onitoring and Evaluation (MEL)</w:t>
            </w:r>
            <w:r w:rsidRPr="0030199A">
              <w:rPr>
                <w:sz w:val="22"/>
                <w:szCs w:val="22"/>
              </w:rPr>
              <w:t xml:space="preserve"> budget to streamline implementing partner </w:t>
            </w:r>
            <w:r w:rsidR="001E0899" w:rsidRPr="0030199A">
              <w:rPr>
                <w:sz w:val="22"/>
                <w:szCs w:val="22"/>
              </w:rPr>
              <w:t xml:space="preserve">reporting to AHCs in direct support of </w:t>
            </w:r>
            <w:r w:rsidR="00B26A1B">
              <w:rPr>
                <w:sz w:val="22"/>
                <w:szCs w:val="22"/>
              </w:rPr>
              <w:t>Final Investment Monitoring Report (</w:t>
            </w:r>
            <w:r w:rsidR="001E0899" w:rsidRPr="0030199A">
              <w:rPr>
                <w:sz w:val="22"/>
                <w:szCs w:val="22"/>
              </w:rPr>
              <w:t>FIMR</w:t>
            </w:r>
            <w:r w:rsidR="00B26A1B">
              <w:rPr>
                <w:sz w:val="22"/>
                <w:szCs w:val="22"/>
              </w:rPr>
              <w:t>)</w:t>
            </w:r>
            <w:r w:rsidR="001E0899" w:rsidRPr="0030199A">
              <w:rPr>
                <w:sz w:val="22"/>
                <w:szCs w:val="22"/>
              </w:rPr>
              <w:t xml:space="preserve"> reporting, knowledge product development and policy advocacy.</w:t>
            </w:r>
          </w:p>
        </w:tc>
        <w:tc>
          <w:tcPr>
            <w:tcW w:w="1713" w:type="dxa"/>
          </w:tcPr>
          <w:p w14:paraId="0D5B7C84" w14:textId="5B8B8CDE" w:rsidR="00794394" w:rsidRPr="0030199A" w:rsidRDefault="00403755" w:rsidP="00A859C3">
            <w:pPr>
              <w:rPr>
                <w:sz w:val="22"/>
                <w:szCs w:val="22"/>
              </w:rPr>
            </w:pPr>
            <w:r>
              <w:rPr>
                <w:sz w:val="22"/>
                <w:szCs w:val="22"/>
              </w:rPr>
              <w:t xml:space="preserve">Partially </w:t>
            </w:r>
            <w:r w:rsidR="00357394" w:rsidRPr="0030199A">
              <w:rPr>
                <w:sz w:val="22"/>
                <w:szCs w:val="22"/>
              </w:rPr>
              <w:t>agreed</w:t>
            </w:r>
          </w:p>
        </w:tc>
        <w:tc>
          <w:tcPr>
            <w:tcW w:w="3234" w:type="dxa"/>
          </w:tcPr>
          <w:p w14:paraId="53C14AB2" w14:textId="790DB815" w:rsidR="00147C0A" w:rsidRPr="0030199A" w:rsidRDefault="003D5523" w:rsidP="00A859C3">
            <w:pPr>
              <w:rPr>
                <w:sz w:val="22"/>
                <w:szCs w:val="22"/>
              </w:rPr>
            </w:pPr>
            <w:r>
              <w:rPr>
                <w:sz w:val="22"/>
                <w:szCs w:val="22"/>
              </w:rPr>
              <w:t xml:space="preserve">MEL has </w:t>
            </w:r>
            <w:r w:rsidR="00411839">
              <w:rPr>
                <w:sz w:val="22"/>
                <w:szCs w:val="22"/>
              </w:rPr>
              <w:t>proven to be</w:t>
            </w:r>
            <w:r>
              <w:rPr>
                <w:sz w:val="22"/>
                <w:szCs w:val="22"/>
              </w:rPr>
              <w:t xml:space="preserve"> challenging with </w:t>
            </w:r>
            <w:r w:rsidR="00411839">
              <w:rPr>
                <w:sz w:val="22"/>
                <w:szCs w:val="22"/>
              </w:rPr>
              <w:t xml:space="preserve">an intended </w:t>
            </w:r>
            <w:r w:rsidR="00860AE8">
              <w:rPr>
                <w:sz w:val="22"/>
                <w:szCs w:val="22"/>
              </w:rPr>
              <w:t xml:space="preserve">regional program but </w:t>
            </w:r>
            <w:r w:rsidR="00913D34">
              <w:rPr>
                <w:sz w:val="22"/>
                <w:szCs w:val="22"/>
              </w:rPr>
              <w:t xml:space="preserve">fragmented and independent country specific </w:t>
            </w:r>
            <w:proofErr w:type="gramStart"/>
            <w:r w:rsidR="00B4620A">
              <w:rPr>
                <w:sz w:val="22"/>
                <w:szCs w:val="22"/>
              </w:rPr>
              <w:t>project</w:t>
            </w:r>
            <w:r w:rsidR="00112D19">
              <w:rPr>
                <w:sz w:val="22"/>
                <w:szCs w:val="22"/>
              </w:rPr>
              <w:t>s</w:t>
            </w:r>
            <w:r w:rsidR="00B4620A">
              <w:rPr>
                <w:sz w:val="22"/>
                <w:szCs w:val="22"/>
              </w:rPr>
              <w:t xml:space="preserve"> in reality</w:t>
            </w:r>
            <w:proofErr w:type="gramEnd"/>
            <w:r w:rsidR="00B4620A">
              <w:rPr>
                <w:sz w:val="22"/>
                <w:szCs w:val="22"/>
              </w:rPr>
              <w:t xml:space="preserve">. </w:t>
            </w:r>
          </w:p>
        </w:tc>
        <w:tc>
          <w:tcPr>
            <w:tcW w:w="3254" w:type="dxa"/>
          </w:tcPr>
          <w:p w14:paraId="4292D9E3" w14:textId="58EFF49B" w:rsidR="00794394" w:rsidRPr="0030199A" w:rsidRDefault="00937B81" w:rsidP="00A859C3">
            <w:pPr>
              <w:rPr>
                <w:sz w:val="22"/>
                <w:szCs w:val="22"/>
              </w:rPr>
            </w:pPr>
            <w:r>
              <w:rPr>
                <w:sz w:val="22"/>
                <w:szCs w:val="22"/>
              </w:rPr>
              <w:t>A Gender</w:t>
            </w:r>
            <w:r w:rsidR="00235A41">
              <w:rPr>
                <w:sz w:val="22"/>
                <w:szCs w:val="22"/>
              </w:rPr>
              <w:t xml:space="preserve"> Equality Disability and Social Inclusion </w:t>
            </w:r>
            <w:r w:rsidR="0040054B">
              <w:rPr>
                <w:sz w:val="22"/>
                <w:szCs w:val="22"/>
              </w:rPr>
              <w:t xml:space="preserve">(GEDSI) Action Plan has been prepared </w:t>
            </w:r>
            <w:r w:rsidR="00C62A56">
              <w:rPr>
                <w:sz w:val="22"/>
                <w:szCs w:val="22"/>
              </w:rPr>
              <w:t xml:space="preserve">to </w:t>
            </w:r>
            <w:r w:rsidR="00115654">
              <w:rPr>
                <w:sz w:val="22"/>
                <w:szCs w:val="22"/>
              </w:rPr>
              <w:t xml:space="preserve">set the country context and to </w:t>
            </w:r>
            <w:r w:rsidR="00C62A56">
              <w:rPr>
                <w:sz w:val="22"/>
                <w:szCs w:val="22"/>
              </w:rPr>
              <w:t xml:space="preserve">address some </w:t>
            </w:r>
            <w:r w:rsidR="00334EB4">
              <w:rPr>
                <w:sz w:val="22"/>
                <w:szCs w:val="22"/>
              </w:rPr>
              <w:t xml:space="preserve">of </w:t>
            </w:r>
            <w:r w:rsidR="00C62A56">
              <w:rPr>
                <w:sz w:val="22"/>
                <w:szCs w:val="22"/>
              </w:rPr>
              <w:t xml:space="preserve">the MEL issues </w:t>
            </w:r>
            <w:r w:rsidR="00115654">
              <w:rPr>
                <w:sz w:val="22"/>
                <w:szCs w:val="22"/>
              </w:rPr>
              <w:t>in a practical way</w:t>
            </w:r>
            <w:r w:rsidR="00FB6758">
              <w:rPr>
                <w:sz w:val="22"/>
                <w:szCs w:val="22"/>
              </w:rPr>
              <w:t xml:space="preserve"> including </w:t>
            </w:r>
            <w:r w:rsidR="00C223F6">
              <w:rPr>
                <w:sz w:val="22"/>
                <w:szCs w:val="22"/>
              </w:rPr>
              <w:t xml:space="preserve">setting revised indicators </w:t>
            </w:r>
            <w:r w:rsidR="00F87354">
              <w:rPr>
                <w:sz w:val="22"/>
                <w:szCs w:val="22"/>
              </w:rPr>
              <w:t>to measure GEDSI in a more feasible way</w:t>
            </w:r>
            <w:r w:rsidR="00DB7026">
              <w:rPr>
                <w:sz w:val="22"/>
                <w:szCs w:val="22"/>
              </w:rPr>
              <w:t xml:space="preserve">. The </w:t>
            </w:r>
            <w:r w:rsidR="00DB7026" w:rsidRPr="00DB7026">
              <w:rPr>
                <w:sz w:val="22"/>
                <w:szCs w:val="22"/>
              </w:rPr>
              <w:t>in-country visits to India and Pakistan</w:t>
            </w:r>
            <w:r w:rsidR="00DB7026">
              <w:rPr>
                <w:sz w:val="22"/>
                <w:szCs w:val="22"/>
              </w:rPr>
              <w:t xml:space="preserve"> as outlined under </w:t>
            </w:r>
            <w:r w:rsidR="00E67BA8">
              <w:rPr>
                <w:sz w:val="22"/>
                <w:szCs w:val="22"/>
              </w:rPr>
              <w:t xml:space="preserve">management </w:t>
            </w:r>
            <w:r w:rsidR="00DB7026">
              <w:rPr>
                <w:sz w:val="22"/>
                <w:szCs w:val="22"/>
              </w:rPr>
              <w:t xml:space="preserve">response to recommendation 6 above will </w:t>
            </w:r>
            <w:r w:rsidR="00DB7026">
              <w:rPr>
                <w:sz w:val="22"/>
                <w:szCs w:val="22"/>
              </w:rPr>
              <w:lastRenderedPageBreak/>
              <w:t xml:space="preserve">provide </w:t>
            </w:r>
            <w:r w:rsidR="00C62545">
              <w:rPr>
                <w:sz w:val="22"/>
                <w:szCs w:val="22"/>
              </w:rPr>
              <w:t>suggested actions to improve MEL work</w:t>
            </w:r>
            <w:r w:rsidR="00E67BA8">
              <w:rPr>
                <w:sz w:val="22"/>
                <w:szCs w:val="22"/>
              </w:rPr>
              <w:t xml:space="preserve"> including</w:t>
            </w:r>
            <w:r w:rsidR="007014D0">
              <w:rPr>
                <w:sz w:val="22"/>
                <w:szCs w:val="22"/>
              </w:rPr>
              <w:t xml:space="preserve"> discussion</w:t>
            </w:r>
            <w:r w:rsidR="00C971E0">
              <w:rPr>
                <w:sz w:val="22"/>
                <w:szCs w:val="22"/>
              </w:rPr>
              <w:t xml:space="preserve"> </w:t>
            </w:r>
            <w:r w:rsidR="007240B8">
              <w:rPr>
                <w:sz w:val="22"/>
                <w:szCs w:val="22"/>
              </w:rPr>
              <w:t xml:space="preserve">with Post and grantees </w:t>
            </w:r>
            <w:r w:rsidR="00C971E0">
              <w:rPr>
                <w:sz w:val="22"/>
                <w:szCs w:val="22"/>
              </w:rPr>
              <w:t xml:space="preserve">on </w:t>
            </w:r>
            <w:r w:rsidR="007240B8">
              <w:rPr>
                <w:sz w:val="22"/>
                <w:szCs w:val="22"/>
              </w:rPr>
              <w:t>knowledge</w:t>
            </w:r>
            <w:r w:rsidR="00CB4638">
              <w:rPr>
                <w:sz w:val="22"/>
                <w:szCs w:val="22"/>
              </w:rPr>
              <w:t xml:space="preserve"> and policy advocacy products. </w:t>
            </w:r>
          </w:p>
        </w:tc>
        <w:tc>
          <w:tcPr>
            <w:tcW w:w="1423" w:type="dxa"/>
          </w:tcPr>
          <w:p w14:paraId="65DFBDB9" w14:textId="6F8C95F7" w:rsidR="00794394" w:rsidRPr="0030199A" w:rsidRDefault="005F2CC9" w:rsidP="00A859C3">
            <w:pPr>
              <w:rPr>
                <w:sz w:val="22"/>
                <w:szCs w:val="22"/>
              </w:rPr>
            </w:pPr>
            <w:r>
              <w:rPr>
                <w:sz w:val="22"/>
                <w:szCs w:val="22"/>
              </w:rPr>
              <w:lastRenderedPageBreak/>
              <w:t>February</w:t>
            </w:r>
            <w:r w:rsidR="00C76D3C">
              <w:rPr>
                <w:sz w:val="22"/>
                <w:szCs w:val="22"/>
              </w:rPr>
              <w:t xml:space="preserve"> 2025</w:t>
            </w:r>
          </w:p>
        </w:tc>
      </w:tr>
      <w:tr w:rsidR="00183731" w:rsidRPr="0030199A" w14:paraId="04E48A1D" w14:textId="77777777" w:rsidTr="00BD7651">
        <w:tc>
          <w:tcPr>
            <w:tcW w:w="4673" w:type="dxa"/>
          </w:tcPr>
          <w:p w14:paraId="3B9B01BB" w14:textId="77777777" w:rsidR="00183731" w:rsidRDefault="00183731" w:rsidP="00A859C3">
            <w:pPr>
              <w:rPr>
                <w:sz w:val="22"/>
                <w:szCs w:val="22"/>
              </w:rPr>
            </w:pPr>
            <w:r>
              <w:rPr>
                <w:sz w:val="22"/>
                <w:szCs w:val="22"/>
              </w:rPr>
              <w:t>Note:</w:t>
            </w:r>
          </w:p>
          <w:p w14:paraId="7DDFFC50" w14:textId="6A1D8B26" w:rsidR="00183731" w:rsidRPr="0030199A" w:rsidRDefault="00B53619" w:rsidP="00A859C3">
            <w:pPr>
              <w:rPr>
                <w:sz w:val="22"/>
                <w:szCs w:val="22"/>
              </w:rPr>
            </w:pPr>
            <w:r>
              <w:rPr>
                <w:sz w:val="22"/>
                <w:szCs w:val="22"/>
              </w:rPr>
              <w:t xml:space="preserve">Correction </w:t>
            </w:r>
            <w:r w:rsidR="00134386">
              <w:rPr>
                <w:sz w:val="22"/>
                <w:szCs w:val="22"/>
              </w:rPr>
              <w:t xml:space="preserve">to in-country implementation budget </w:t>
            </w:r>
            <w:r w:rsidR="00CA3140">
              <w:rPr>
                <w:sz w:val="22"/>
                <w:szCs w:val="22"/>
              </w:rPr>
              <w:t xml:space="preserve">in the MTR report. </w:t>
            </w:r>
          </w:p>
        </w:tc>
        <w:tc>
          <w:tcPr>
            <w:tcW w:w="1713" w:type="dxa"/>
          </w:tcPr>
          <w:p w14:paraId="14DF82C0" w14:textId="77777777" w:rsidR="00183731" w:rsidRDefault="00183731" w:rsidP="00A859C3">
            <w:pPr>
              <w:rPr>
                <w:sz w:val="22"/>
                <w:szCs w:val="22"/>
              </w:rPr>
            </w:pPr>
          </w:p>
        </w:tc>
        <w:tc>
          <w:tcPr>
            <w:tcW w:w="3234" w:type="dxa"/>
          </w:tcPr>
          <w:p w14:paraId="5DA7B2A0" w14:textId="6F30027A" w:rsidR="00183731" w:rsidRDefault="00B53619" w:rsidP="00A859C3">
            <w:pPr>
              <w:rPr>
                <w:sz w:val="22"/>
                <w:szCs w:val="22"/>
              </w:rPr>
            </w:pPr>
            <w:r w:rsidRPr="00B53619">
              <w:rPr>
                <w:sz w:val="22"/>
                <w:szCs w:val="22"/>
              </w:rPr>
              <w:t xml:space="preserve">Information provided in </w:t>
            </w:r>
            <w:r w:rsidR="004B0EE7">
              <w:rPr>
                <w:sz w:val="22"/>
                <w:szCs w:val="22"/>
              </w:rPr>
              <w:t>Figure 2</w:t>
            </w:r>
            <w:r w:rsidRPr="00B53619">
              <w:rPr>
                <w:sz w:val="22"/>
                <w:szCs w:val="22"/>
              </w:rPr>
              <w:t xml:space="preserve"> “In-country implementation budget” pie chart on page </w:t>
            </w:r>
            <w:r w:rsidR="00E1752E">
              <w:rPr>
                <w:sz w:val="22"/>
                <w:szCs w:val="22"/>
              </w:rPr>
              <w:t>1</w:t>
            </w:r>
            <w:r w:rsidRPr="00B53619">
              <w:rPr>
                <w:sz w:val="22"/>
                <w:szCs w:val="22"/>
              </w:rPr>
              <w:t>4 of the MTR report is incorrect.</w:t>
            </w:r>
          </w:p>
        </w:tc>
        <w:tc>
          <w:tcPr>
            <w:tcW w:w="3254" w:type="dxa"/>
          </w:tcPr>
          <w:p w14:paraId="1A1BB667" w14:textId="263E4414" w:rsidR="00183731" w:rsidRDefault="00433EF9" w:rsidP="00A859C3">
            <w:pPr>
              <w:rPr>
                <w:sz w:val="22"/>
                <w:szCs w:val="22"/>
              </w:rPr>
            </w:pPr>
            <w:r>
              <w:rPr>
                <w:sz w:val="22"/>
                <w:szCs w:val="22"/>
              </w:rPr>
              <w:t xml:space="preserve">The </w:t>
            </w:r>
            <w:r w:rsidR="00252655">
              <w:rPr>
                <w:sz w:val="22"/>
                <w:szCs w:val="22"/>
              </w:rPr>
              <w:t xml:space="preserve">correct </w:t>
            </w:r>
            <w:r w:rsidR="000E632A">
              <w:rPr>
                <w:sz w:val="22"/>
                <w:szCs w:val="22"/>
              </w:rPr>
              <w:t xml:space="preserve">in-country implementation </w:t>
            </w:r>
            <w:r w:rsidR="00D703B0">
              <w:rPr>
                <w:sz w:val="22"/>
                <w:szCs w:val="22"/>
              </w:rPr>
              <w:t xml:space="preserve">budget </w:t>
            </w:r>
            <w:r w:rsidR="00A32753">
              <w:rPr>
                <w:sz w:val="22"/>
                <w:szCs w:val="22"/>
              </w:rPr>
              <w:t>figures are</w:t>
            </w:r>
            <w:r w:rsidR="00D703B0">
              <w:rPr>
                <w:sz w:val="22"/>
                <w:szCs w:val="22"/>
              </w:rPr>
              <w:t xml:space="preserve"> as below</w:t>
            </w:r>
            <w:r w:rsidR="001F703A">
              <w:rPr>
                <w:sz w:val="22"/>
                <w:szCs w:val="22"/>
              </w:rPr>
              <w:t xml:space="preserve"> (in AUD)</w:t>
            </w:r>
            <w:r w:rsidR="00D703B0">
              <w:rPr>
                <w:sz w:val="22"/>
                <w:szCs w:val="22"/>
              </w:rPr>
              <w:t>:</w:t>
            </w:r>
          </w:p>
          <w:p w14:paraId="3E31CD69" w14:textId="644CFF89" w:rsidR="00B039D1" w:rsidRPr="00C71CEE" w:rsidRDefault="00B039D1" w:rsidP="00C9292F">
            <w:pPr>
              <w:pStyle w:val="ListParagraph"/>
              <w:numPr>
                <w:ilvl w:val="0"/>
                <w:numId w:val="11"/>
              </w:numPr>
              <w:ind w:left="170" w:hanging="170"/>
              <w:rPr>
                <w:sz w:val="22"/>
                <w:szCs w:val="22"/>
              </w:rPr>
            </w:pPr>
            <w:r w:rsidRPr="00C71CEE">
              <w:rPr>
                <w:sz w:val="22"/>
                <w:szCs w:val="22"/>
              </w:rPr>
              <w:t xml:space="preserve">India </w:t>
            </w:r>
            <w:r>
              <w:rPr>
                <w:sz w:val="22"/>
                <w:szCs w:val="22"/>
              </w:rPr>
              <w:t xml:space="preserve">CDP </w:t>
            </w:r>
            <w:r w:rsidR="00D93790">
              <w:rPr>
                <w:sz w:val="22"/>
                <w:szCs w:val="22"/>
              </w:rPr>
              <w:t>–</w:t>
            </w:r>
            <w:r w:rsidR="00AB5479">
              <w:rPr>
                <w:sz w:val="22"/>
                <w:szCs w:val="22"/>
              </w:rPr>
              <w:t xml:space="preserve"> 4</w:t>
            </w:r>
            <w:r w:rsidR="00D93790">
              <w:rPr>
                <w:sz w:val="22"/>
                <w:szCs w:val="22"/>
              </w:rPr>
              <w:t>,966,755</w:t>
            </w:r>
          </w:p>
          <w:p w14:paraId="22157DD6" w14:textId="64517D0C" w:rsidR="00D703B0" w:rsidRPr="00C71CEE" w:rsidRDefault="00D703B0" w:rsidP="00C9292F">
            <w:pPr>
              <w:pStyle w:val="ListParagraph"/>
              <w:numPr>
                <w:ilvl w:val="0"/>
                <w:numId w:val="11"/>
              </w:numPr>
              <w:ind w:left="170" w:hanging="170"/>
              <w:rPr>
                <w:sz w:val="22"/>
                <w:szCs w:val="22"/>
              </w:rPr>
            </w:pPr>
            <w:r w:rsidRPr="00C71CEE">
              <w:rPr>
                <w:sz w:val="22"/>
                <w:szCs w:val="22"/>
              </w:rPr>
              <w:t>Pakistan CDP</w:t>
            </w:r>
            <w:r w:rsidR="00C71CEE" w:rsidRPr="00C71CEE">
              <w:rPr>
                <w:sz w:val="22"/>
                <w:szCs w:val="22"/>
              </w:rPr>
              <w:t xml:space="preserve"> </w:t>
            </w:r>
            <w:r w:rsidR="00FF3B3A">
              <w:rPr>
                <w:sz w:val="22"/>
                <w:szCs w:val="22"/>
              </w:rPr>
              <w:t>– 5</w:t>
            </w:r>
            <w:r w:rsidR="00D93790">
              <w:rPr>
                <w:sz w:val="22"/>
                <w:szCs w:val="22"/>
              </w:rPr>
              <w:t>,000,000</w:t>
            </w:r>
          </w:p>
          <w:p w14:paraId="2D894599" w14:textId="5D6B80B1" w:rsidR="00D703B0" w:rsidRPr="00C71CEE" w:rsidRDefault="00D703B0" w:rsidP="00C9292F">
            <w:pPr>
              <w:pStyle w:val="ListParagraph"/>
              <w:numPr>
                <w:ilvl w:val="0"/>
                <w:numId w:val="11"/>
              </w:numPr>
              <w:ind w:left="170" w:hanging="170"/>
              <w:rPr>
                <w:sz w:val="22"/>
                <w:szCs w:val="22"/>
              </w:rPr>
            </w:pPr>
            <w:r w:rsidRPr="00C71CEE">
              <w:rPr>
                <w:sz w:val="22"/>
                <w:szCs w:val="22"/>
              </w:rPr>
              <w:t>India TA</w:t>
            </w:r>
            <w:r w:rsidR="00C71CEE">
              <w:rPr>
                <w:sz w:val="22"/>
                <w:szCs w:val="22"/>
              </w:rPr>
              <w:t xml:space="preserve"> -</w:t>
            </w:r>
            <w:r w:rsidRPr="00C71CEE">
              <w:rPr>
                <w:sz w:val="22"/>
                <w:szCs w:val="22"/>
              </w:rPr>
              <w:t>4</w:t>
            </w:r>
            <w:r w:rsidR="00252655">
              <w:rPr>
                <w:sz w:val="22"/>
                <w:szCs w:val="22"/>
              </w:rPr>
              <w:t>,000,000</w:t>
            </w:r>
          </w:p>
          <w:p w14:paraId="063FCF2C" w14:textId="1B8307DD" w:rsidR="00D703B0" w:rsidRPr="00C71CEE" w:rsidRDefault="00D703B0" w:rsidP="00C9292F">
            <w:pPr>
              <w:pStyle w:val="ListParagraph"/>
              <w:numPr>
                <w:ilvl w:val="0"/>
                <w:numId w:val="11"/>
              </w:numPr>
              <w:ind w:left="170" w:hanging="170"/>
              <w:rPr>
                <w:sz w:val="22"/>
                <w:szCs w:val="22"/>
              </w:rPr>
            </w:pPr>
            <w:r w:rsidRPr="00C71CEE">
              <w:rPr>
                <w:sz w:val="22"/>
                <w:szCs w:val="22"/>
              </w:rPr>
              <w:t>Pakistan TA</w:t>
            </w:r>
            <w:r w:rsidR="00B32EB2">
              <w:rPr>
                <w:sz w:val="22"/>
                <w:szCs w:val="22"/>
              </w:rPr>
              <w:t xml:space="preserve"> </w:t>
            </w:r>
            <w:r w:rsidR="00942B30">
              <w:rPr>
                <w:sz w:val="22"/>
                <w:szCs w:val="22"/>
              </w:rPr>
              <w:t>– 1</w:t>
            </w:r>
            <w:r w:rsidR="00F053D2">
              <w:rPr>
                <w:sz w:val="22"/>
                <w:szCs w:val="22"/>
              </w:rPr>
              <w:t>,</w:t>
            </w:r>
            <w:r w:rsidR="00942B30">
              <w:rPr>
                <w:sz w:val="22"/>
                <w:szCs w:val="22"/>
              </w:rPr>
              <w:t>1</w:t>
            </w:r>
            <w:r w:rsidR="00252655">
              <w:rPr>
                <w:sz w:val="22"/>
                <w:szCs w:val="22"/>
              </w:rPr>
              <w:t>98</w:t>
            </w:r>
            <w:r w:rsidR="00F053D2">
              <w:rPr>
                <w:sz w:val="22"/>
                <w:szCs w:val="22"/>
              </w:rPr>
              <w:t>,787</w:t>
            </w:r>
          </w:p>
          <w:p w14:paraId="58FB78E0" w14:textId="369035A7" w:rsidR="00D703B0" w:rsidRPr="00C71CEE" w:rsidRDefault="00D703B0" w:rsidP="00C9292F">
            <w:pPr>
              <w:pStyle w:val="ListParagraph"/>
              <w:numPr>
                <w:ilvl w:val="0"/>
                <w:numId w:val="11"/>
              </w:numPr>
              <w:ind w:left="170" w:hanging="170"/>
              <w:rPr>
                <w:sz w:val="22"/>
                <w:szCs w:val="22"/>
              </w:rPr>
            </w:pPr>
            <w:r w:rsidRPr="00C71CEE">
              <w:rPr>
                <w:sz w:val="22"/>
                <w:szCs w:val="22"/>
              </w:rPr>
              <w:t>Nepal TA</w:t>
            </w:r>
            <w:r w:rsidR="00B32EB2">
              <w:rPr>
                <w:sz w:val="22"/>
                <w:szCs w:val="22"/>
              </w:rPr>
              <w:t xml:space="preserve"> -</w:t>
            </w:r>
            <w:r w:rsidR="00F053D2">
              <w:rPr>
                <w:sz w:val="22"/>
                <w:szCs w:val="22"/>
              </w:rPr>
              <w:t>730,130</w:t>
            </w:r>
          </w:p>
          <w:p w14:paraId="6ADDAA49" w14:textId="5E76EDA4" w:rsidR="00D703B0" w:rsidRDefault="00D703B0" w:rsidP="00C9292F">
            <w:pPr>
              <w:pStyle w:val="ListParagraph"/>
              <w:numPr>
                <w:ilvl w:val="0"/>
                <w:numId w:val="11"/>
              </w:numPr>
              <w:ind w:left="170" w:hanging="170"/>
              <w:rPr>
                <w:sz w:val="22"/>
                <w:szCs w:val="22"/>
              </w:rPr>
            </w:pPr>
            <w:r w:rsidRPr="00C71CEE">
              <w:rPr>
                <w:sz w:val="22"/>
                <w:szCs w:val="22"/>
              </w:rPr>
              <w:t>Regional Workshop</w:t>
            </w:r>
            <w:r w:rsidR="00B32EB2">
              <w:rPr>
                <w:sz w:val="22"/>
                <w:szCs w:val="22"/>
              </w:rPr>
              <w:t xml:space="preserve"> </w:t>
            </w:r>
            <w:r w:rsidR="00942B30">
              <w:rPr>
                <w:sz w:val="22"/>
                <w:szCs w:val="22"/>
              </w:rPr>
              <w:t xml:space="preserve">– </w:t>
            </w:r>
            <w:r w:rsidR="00D967FA">
              <w:rPr>
                <w:sz w:val="22"/>
                <w:szCs w:val="22"/>
              </w:rPr>
              <w:t>526,528</w:t>
            </w:r>
          </w:p>
          <w:p w14:paraId="057C8AC8" w14:textId="5D3B7601" w:rsidR="00B32EB2" w:rsidRPr="00C71CEE" w:rsidRDefault="008A187C" w:rsidP="00C9292F">
            <w:pPr>
              <w:pStyle w:val="ListParagraph"/>
              <w:numPr>
                <w:ilvl w:val="0"/>
                <w:numId w:val="11"/>
              </w:numPr>
              <w:ind w:left="170" w:hanging="170"/>
              <w:rPr>
                <w:sz w:val="22"/>
                <w:szCs w:val="22"/>
              </w:rPr>
            </w:pPr>
            <w:r>
              <w:rPr>
                <w:sz w:val="22"/>
                <w:szCs w:val="22"/>
              </w:rPr>
              <w:t xml:space="preserve">SAWASI M&amp;E </w:t>
            </w:r>
            <w:r w:rsidR="00942B30">
              <w:rPr>
                <w:sz w:val="22"/>
                <w:szCs w:val="22"/>
              </w:rPr>
              <w:t>–</w:t>
            </w:r>
            <w:r>
              <w:rPr>
                <w:sz w:val="22"/>
                <w:szCs w:val="22"/>
              </w:rPr>
              <w:t xml:space="preserve"> </w:t>
            </w:r>
            <w:r w:rsidR="00D967FA">
              <w:rPr>
                <w:sz w:val="22"/>
                <w:szCs w:val="22"/>
              </w:rPr>
              <w:t>620,691</w:t>
            </w:r>
          </w:p>
        </w:tc>
        <w:tc>
          <w:tcPr>
            <w:tcW w:w="1423" w:type="dxa"/>
          </w:tcPr>
          <w:p w14:paraId="15E4C84A" w14:textId="77777777" w:rsidR="00183731" w:rsidRDefault="00183731" w:rsidP="00A859C3">
            <w:pPr>
              <w:rPr>
                <w:sz w:val="22"/>
                <w:szCs w:val="22"/>
              </w:rPr>
            </w:pPr>
          </w:p>
        </w:tc>
      </w:tr>
    </w:tbl>
    <w:p w14:paraId="2C65FB59" w14:textId="77777777" w:rsidR="00391ACB" w:rsidRDefault="00391ACB" w:rsidP="00E8532E">
      <w:pPr>
        <w:spacing w:after="0" w:line="240" w:lineRule="auto"/>
      </w:pPr>
    </w:p>
    <w:sectPr w:rsidR="00391ACB" w:rsidSect="00BD76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AB85" w14:textId="77777777" w:rsidR="00DD0DFB" w:rsidRDefault="00DD0DFB" w:rsidP="001C2C64">
      <w:pPr>
        <w:spacing w:after="0" w:line="240" w:lineRule="auto"/>
      </w:pPr>
      <w:r>
        <w:separator/>
      </w:r>
    </w:p>
  </w:endnote>
  <w:endnote w:type="continuationSeparator" w:id="0">
    <w:p w14:paraId="68F9E7DD" w14:textId="77777777" w:rsidR="00DD0DFB" w:rsidRDefault="00DD0DFB" w:rsidP="001C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Bold">
    <w:altName w:val="Calibri"/>
    <w:panose1 w:val="020F070203040403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84230"/>
      <w:docPartObj>
        <w:docPartGallery w:val="Page Numbers (Bottom of Page)"/>
        <w:docPartUnique/>
      </w:docPartObj>
    </w:sdtPr>
    <w:sdtEndPr>
      <w:rPr>
        <w:noProof/>
      </w:rPr>
    </w:sdtEndPr>
    <w:sdtContent>
      <w:p w14:paraId="39816831" w14:textId="2509A1AB" w:rsidR="00A67DD8" w:rsidRDefault="00A67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3D9C4" w14:textId="77777777" w:rsidR="00A67DD8" w:rsidRDefault="00A6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C7C9" w14:textId="77777777" w:rsidR="00DD0DFB" w:rsidRDefault="00DD0DFB" w:rsidP="001C2C64">
      <w:pPr>
        <w:spacing w:after="0" w:line="240" w:lineRule="auto"/>
      </w:pPr>
      <w:r>
        <w:separator/>
      </w:r>
    </w:p>
  </w:footnote>
  <w:footnote w:type="continuationSeparator" w:id="0">
    <w:p w14:paraId="3752EBE8" w14:textId="77777777" w:rsidR="00DD0DFB" w:rsidRDefault="00DD0DFB" w:rsidP="001C2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6CDD"/>
    <w:multiLevelType w:val="hybridMultilevel"/>
    <w:tmpl w:val="FF7E0E62"/>
    <w:lvl w:ilvl="0" w:tplc="31DEA11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CA32C9"/>
    <w:multiLevelType w:val="hybridMultilevel"/>
    <w:tmpl w:val="10C492E0"/>
    <w:lvl w:ilvl="0" w:tplc="402658F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D5C31"/>
    <w:multiLevelType w:val="multilevel"/>
    <w:tmpl w:val="249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CC2E4A"/>
    <w:multiLevelType w:val="hybridMultilevel"/>
    <w:tmpl w:val="F102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0D5171"/>
    <w:multiLevelType w:val="multilevel"/>
    <w:tmpl w:val="4E8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45643"/>
    <w:multiLevelType w:val="multilevel"/>
    <w:tmpl w:val="F3BAE67C"/>
    <w:lvl w:ilvl="0">
      <w:start w:val="1"/>
      <w:numFmt w:val="decimal"/>
      <w:lvlText w:val="%1."/>
      <w:lvlJc w:val="left"/>
      <w:pPr>
        <w:ind w:left="644"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41947E72"/>
    <w:multiLevelType w:val="hybridMultilevel"/>
    <w:tmpl w:val="440AB758"/>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start w:val="1"/>
      <w:numFmt w:val="bullet"/>
      <w:lvlText w:val=""/>
      <w:lvlJc w:val="left"/>
      <w:pPr>
        <w:ind w:left="2203" w:hanging="360"/>
      </w:pPr>
      <w:rPr>
        <w:rFonts w:ascii="Wingdings" w:hAnsi="Wingdings" w:hint="default"/>
      </w:rPr>
    </w:lvl>
    <w:lvl w:ilvl="3" w:tplc="0C090001">
      <w:start w:val="1"/>
      <w:numFmt w:val="bullet"/>
      <w:lvlText w:val=""/>
      <w:lvlJc w:val="left"/>
      <w:pPr>
        <w:ind w:left="2923" w:hanging="360"/>
      </w:pPr>
      <w:rPr>
        <w:rFonts w:ascii="Symbol" w:hAnsi="Symbol" w:hint="default"/>
      </w:rPr>
    </w:lvl>
    <w:lvl w:ilvl="4" w:tplc="0C090003">
      <w:start w:val="1"/>
      <w:numFmt w:val="bullet"/>
      <w:lvlText w:val="o"/>
      <w:lvlJc w:val="left"/>
      <w:pPr>
        <w:ind w:left="3643" w:hanging="360"/>
      </w:pPr>
      <w:rPr>
        <w:rFonts w:ascii="Courier New" w:hAnsi="Courier New" w:cs="Courier New" w:hint="default"/>
      </w:rPr>
    </w:lvl>
    <w:lvl w:ilvl="5" w:tplc="0C090005">
      <w:start w:val="1"/>
      <w:numFmt w:val="bullet"/>
      <w:lvlText w:val=""/>
      <w:lvlJc w:val="left"/>
      <w:pPr>
        <w:ind w:left="4363" w:hanging="360"/>
      </w:pPr>
      <w:rPr>
        <w:rFonts w:ascii="Wingdings" w:hAnsi="Wingdings" w:hint="default"/>
      </w:rPr>
    </w:lvl>
    <w:lvl w:ilvl="6" w:tplc="0C090001">
      <w:start w:val="1"/>
      <w:numFmt w:val="bullet"/>
      <w:lvlText w:val=""/>
      <w:lvlJc w:val="left"/>
      <w:pPr>
        <w:ind w:left="5083" w:hanging="360"/>
      </w:pPr>
      <w:rPr>
        <w:rFonts w:ascii="Symbol" w:hAnsi="Symbol" w:hint="default"/>
      </w:rPr>
    </w:lvl>
    <w:lvl w:ilvl="7" w:tplc="0C090003">
      <w:start w:val="1"/>
      <w:numFmt w:val="bullet"/>
      <w:lvlText w:val="o"/>
      <w:lvlJc w:val="left"/>
      <w:pPr>
        <w:ind w:left="5803" w:hanging="360"/>
      </w:pPr>
      <w:rPr>
        <w:rFonts w:ascii="Courier New" w:hAnsi="Courier New" w:cs="Courier New" w:hint="default"/>
      </w:rPr>
    </w:lvl>
    <w:lvl w:ilvl="8" w:tplc="0C090005">
      <w:start w:val="1"/>
      <w:numFmt w:val="bullet"/>
      <w:lvlText w:val=""/>
      <w:lvlJc w:val="left"/>
      <w:pPr>
        <w:ind w:left="6523" w:hanging="360"/>
      </w:pPr>
      <w:rPr>
        <w:rFonts w:ascii="Wingdings" w:hAnsi="Wingdings" w:hint="default"/>
      </w:rPr>
    </w:lvl>
  </w:abstractNum>
  <w:abstractNum w:abstractNumId="7" w15:restartNumberingAfterBreak="0">
    <w:nsid w:val="4B2461FA"/>
    <w:multiLevelType w:val="hybridMultilevel"/>
    <w:tmpl w:val="EAB0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77605"/>
    <w:multiLevelType w:val="hybridMultilevel"/>
    <w:tmpl w:val="2460EBA8"/>
    <w:lvl w:ilvl="0" w:tplc="0E52C76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397616"/>
    <w:multiLevelType w:val="hybridMultilevel"/>
    <w:tmpl w:val="179A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DE4CE5"/>
    <w:multiLevelType w:val="hybridMultilevel"/>
    <w:tmpl w:val="8FECBECC"/>
    <w:lvl w:ilvl="0" w:tplc="0C76842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D0E71"/>
    <w:multiLevelType w:val="multilevel"/>
    <w:tmpl w:val="751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A6159"/>
    <w:multiLevelType w:val="multilevel"/>
    <w:tmpl w:val="B40A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E725CB"/>
    <w:multiLevelType w:val="multilevel"/>
    <w:tmpl w:val="3822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7D1FBD"/>
    <w:multiLevelType w:val="multilevel"/>
    <w:tmpl w:val="BF2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983435">
    <w:abstractNumId w:val="2"/>
  </w:num>
  <w:num w:numId="2" w16cid:durableId="543760089">
    <w:abstractNumId w:val="14"/>
  </w:num>
  <w:num w:numId="3" w16cid:durableId="596447875">
    <w:abstractNumId w:val="4"/>
  </w:num>
  <w:num w:numId="4" w16cid:durableId="1249003165">
    <w:abstractNumId w:val="11"/>
  </w:num>
  <w:num w:numId="5" w16cid:durableId="258024092">
    <w:abstractNumId w:val="13"/>
  </w:num>
  <w:num w:numId="6" w16cid:durableId="1588071186">
    <w:abstractNumId w:val="12"/>
  </w:num>
  <w:num w:numId="7" w16cid:durableId="338777766">
    <w:abstractNumId w:val="1"/>
  </w:num>
  <w:num w:numId="8" w16cid:durableId="1327778525">
    <w:abstractNumId w:val="5"/>
  </w:num>
  <w:num w:numId="9" w16cid:durableId="1166751521">
    <w:abstractNumId w:val="3"/>
  </w:num>
  <w:num w:numId="10" w16cid:durableId="1870609053">
    <w:abstractNumId w:val="9"/>
  </w:num>
  <w:num w:numId="11" w16cid:durableId="1975868586">
    <w:abstractNumId w:val="6"/>
  </w:num>
  <w:num w:numId="12" w16cid:durableId="1324973916">
    <w:abstractNumId w:val="7"/>
  </w:num>
  <w:num w:numId="13" w16cid:durableId="725185857">
    <w:abstractNumId w:val="10"/>
  </w:num>
  <w:num w:numId="14" w16cid:durableId="536158110">
    <w:abstractNumId w:val="0"/>
  </w:num>
  <w:num w:numId="15" w16cid:durableId="919365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C8"/>
    <w:rsid w:val="00001BF3"/>
    <w:rsid w:val="000047ED"/>
    <w:rsid w:val="000061F4"/>
    <w:rsid w:val="00011A73"/>
    <w:rsid w:val="00011C3E"/>
    <w:rsid w:val="000177BE"/>
    <w:rsid w:val="00017A92"/>
    <w:rsid w:val="00020431"/>
    <w:rsid w:val="000206B5"/>
    <w:rsid w:val="00027BA4"/>
    <w:rsid w:val="00030DF6"/>
    <w:rsid w:val="000345FC"/>
    <w:rsid w:val="0004101C"/>
    <w:rsid w:val="0004434E"/>
    <w:rsid w:val="0004543E"/>
    <w:rsid w:val="00046993"/>
    <w:rsid w:val="00046F8C"/>
    <w:rsid w:val="000575BA"/>
    <w:rsid w:val="0006155C"/>
    <w:rsid w:val="00062CA9"/>
    <w:rsid w:val="00076632"/>
    <w:rsid w:val="00076689"/>
    <w:rsid w:val="000814EF"/>
    <w:rsid w:val="000839B4"/>
    <w:rsid w:val="00083CAE"/>
    <w:rsid w:val="00083F99"/>
    <w:rsid w:val="000857A6"/>
    <w:rsid w:val="00092854"/>
    <w:rsid w:val="000A1E7D"/>
    <w:rsid w:val="000A35D1"/>
    <w:rsid w:val="000A7C88"/>
    <w:rsid w:val="000B1173"/>
    <w:rsid w:val="000B28FD"/>
    <w:rsid w:val="000C0835"/>
    <w:rsid w:val="000C693C"/>
    <w:rsid w:val="000C7BE6"/>
    <w:rsid w:val="000D2B63"/>
    <w:rsid w:val="000D4607"/>
    <w:rsid w:val="000D6ECE"/>
    <w:rsid w:val="000E2ABE"/>
    <w:rsid w:val="000E3515"/>
    <w:rsid w:val="000E632A"/>
    <w:rsid w:val="00106613"/>
    <w:rsid w:val="00112D19"/>
    <w:rsid w:val="00115654"/>
    <w:rsid w:val="0011613C"/>
    <w:rsid w:val="001162B3"/>
    <w:rsid w:val="00116905"/>
    <w:rsid w:val="00120497"/>
    <w:rsid w:val="0012105E"/>
    <w:rsid w:val="00127CCE"/>
    <w:rsid w:val="00130947"/>
    <w:rsid w:val="00133B01"/>
    <w:rsid w:val="00134386"/>
    <w:rsid w:val="00147C0A"/>
    <w:rsid w:val="00155A30"/>
    <w:rsid w:val="00156636"/>
    <w:rsid w:val="00156A3A"/>
    <w:rsid w:val="0016017D"/>
    <w:rsid w:val="00163C21"/>
    <w:rsid w:val="00164844"/>
    <w:rsid w:val="00170B33"/>
    <w:rsid w:val="00171475"/>
    <w:rsid w:val="00173390"/>
    <w:rsid w:val="00177C5D"/>
    <w:rsid w:val="001823B0"/>
    <w:rsid w:val="00183731"/>
    <w:rsid w:val="00183BCE"/>
    <w:rsid w:val="00184351"/>
    <w:rsid w:val="001860D0"/>
    <w:rsid w:val="00194090"/>
    <w:rsid w:val="001B2F13"/>
    <w:rsid w:val="001C1524"/>
    <w:rsid w:val="001C2C64"/>
    <w:rsid w:val="001D2C7F"/>
    <w:rsid w:val="001D5D70"/>
    <w:rsid w:val="001E0899"/>
    <w:rsid w:val="001F3547"/>
    <w:rsid w:val="001F4C16"/>
    <w:rsid w:val="001F51A8"/>
    <w:rsid w:val="001F59D4"/>
    <w:rsid w:val="001F6645"/>
    <w:rsid w:val="001F703A"/>
    <w:rsid w:val="00200CA2"/>
    <w:rsid w:val="00201B07"/>
    <w:rsid w:val="00207CCA"/>
    <w:rsid w:val="00211A8A"/>
    <w:rsid w:val="00220FFA"/>
    <w:rsid w:val="0022332D"/>
    <w:rsid w:val="00225661"/>
    <w:rsid w:val="00227094"/>
    <w:rsid w:val="00227107"/>
    <w:rsid w:val="00232141"/>
    <w:rsid w:val="00233278"/>
    <w:rsid w:val="002342B4"/>
    <w:rsid w:val="00235A41"/>
    <w:rsid w:val="00242929"/>
    <w:rsid w:val="002449EF"/>
    <w:rsid w:val="00250857"/>
    <w:rsid w:val="0025193E"/>
    <w:rsid w:val="00252655"/>
    <w:rsid w:val="0025655D"/>
    <w:rsid w:val="00266014"/>
    <w:rsid w:val="002741F1"/>
    <w:rsid w:val="00281B20"/>
    <w:rsid w:val="00281EED"/>
    <w:rsid w:val="0028306F"/>
    <w:rsid w:val="00297579"/>
    <w:rsid w:val="002A43D8"/>
    <w:rsid w:val="002A5FBF"/>
    <w:rsid w:val="002A68AC"/>
    <w:rsid w:val="002A7474"/>
    <w:rsid w:val="002B3FA4"/>
    <w:rsid w:val="002C6A28"/>
    <w:rsid w:val="002C7550"/>
    <w:rsid w:val="002E5645"/>
    <w:rsid w:val="002F0592"/>
    <w:rsid w:val="002F212D"/>
    <w:rsid w:val="002F4B74"/>
    <w:rsid w:val="002F551C"/>
    <w:rsid w:val="0030194F"/>
    <w:rsid w:val="0030199A"/>
    <w:rsid w:val="00302946"/>
    <w:rsid w:val="00302C0C"/>
    <w:rsid w:val="00311E71"/>
    <w:rsid w:val="00311EF9"/>
    <w:rsid w:val="00312675"/>
    <w:rsid w:val="003212E1"/>
    <w:rsid w:val="00327ED8"/>
    <w:rsid w:val="00330C3A"/>
    <w:rsid w:val="00334EB4"/>
    <w:rsid w:val="00335A70"/>
    <w:rsid w:val="00346F3A"/>
    <w:rsid w:val="00357394"/>
    <w:rsid w:val="0036152B"/>
    <w:rsid w:val="00366CFE"/>
    <w:rsid w:val="00367957"/>
    <w:rsid w:val="00367F1B"/>
    <w:rsid w:val="003712E2"/>
    <w:rsid w:val="00391ACB"/>
    <w:rsid w:val="003A1432"/>
    <w:rsid w:val="003A25DF"/>
    <w:rsid w:val="003A59BE"/>
    <w:rsid w:val="003A6DD7"/>
    <w:rsid w:val="003B0552"/>
    <w:rsid w:val="003B527C"/>
    <w:rsid w:val="003B6A4A"/>
    <w:rsid w:val="003B7C87"/>
    <w:rsid w:val="003C06E9"/>
    <w:rsid w:val="003C76F3"/>
    <w:rsid w:val="003C7DE3"/>
    <w:rsid w:val="003D2D78"/>
    <w:rsid w:val="003D4089"/>
    <w:rsid w:val="003D5523"/>
    <w:rsid w:val="003E20F5"/>
    <w:rsid w:val="003E2A16"/>
    <w:rsid w:val="003E39FF"/>
    <w:rsid w:val="003F0296"/>
    <w:rsid w:val="003F2171"/>
    <w:rsid w:val="0040054B"/>
    <w:rsid w:val="00403755"/>
    <w:rsid w:val="004050A3"/>
    <w:rsid w:val="0040532A"/>
    <w:rsid w:val="00411839"/>
    <w:rsid w:val="00413069"/>
    <w:rsid w:val="00413127"/>
    <w:rsid w:val="0041360F"/>
    <w:rsid w:val="00413909"/>
    <w:rsid w:val="00413AA3"/>
    <w:rsid w:val="00420F29"/>
    <w:rsid w:val="00426997"/>
    <w:rsid w:val="00433EF9"/>
    <w:rsid w:val="00436EBD"/>
    <w:rsid w:val="00454AFB"/>
    <w:rsid w:val="004567FB"/>
    <w:rsid w:val="0046060E"/>
    <w:rsid w:val="004607B5"/>
    <w:rsid w:val="00460B07"/>
    <w:rsid w:val="00462A1F"/>
    <w:rsid w:val="004671E5"/>
    <w:rsid w:val="00467E6F"/>
    <w:rsid w:val="00473948"/>
    <w:rsid w:val="00475371"/>
    <w:rsid w:val="00482943"/>
    <w:rsid w:val="00483BD7"/>
    <w:rsid w:val="00486B88"/>
    <w:rsid w:val="0049018C"/>
    <w:rsid w:val="00492564"/>
    <w:rsid w:val="004A30EA"/>
    <w:rsid w:val="004B0EE7"/>
    <w:rsid w:val="004B55D1"/>
    <w:rsid w:val="004C06D0"/>
    <w:rsid w:val="004C088C"/>
    <w:rsid w:val="004D171F"/>
    <w:rsid w:val="004D6EEA"/>
    <w:rsid w:val="004E5DB8"/>
    <w:rsid w:val="004E6636"/>
    <w:rsid w:val="004E69F4"/>
    <w:rsid w:val="004F240A"/>
    <w:rsid w:val="00500E75"/>
    <w:rsid w:val="005044A8"/>
    <w:rsid w:val="00504595"/>
    <w:rsid w:val="005067A1"/>
    <w:rsid w:val="00506B4B"/>
    <w:rsid w:val="00514B11"/>
    <w:rsid w:val="00524458"/>
    <w:rsid w:val="005326CA"/>
    <w:rsid w:val="005372D3"/>
    <w:rsid w:val="00542640"/>
    <w:rsid w:val="00542D12"/>
    <w:rsid w:val="00547CC4"/>
    <w:rsid w:val="00552B40"/>
    <w:rsid w:val="00553763"/>
    <w:rsid w:val="005545AF"/>
    <w:rsid w:val="00555566"/>
    <w:rsid w:val="00567F68"/>
    <w:rsid w:val="00572B9F"/>
    <w:rsid w:val="00584B2D"/>
    <w:rsid w:val="00591854"/>
    <w:rsid w:val="00591AB5"/>
    <w:rsid w:val="00595716"/>
    <w:rsid w:val="00596369"/>
    <w:rsid w:val="005A37A5"/>
    <w:rsid w:val="005A482E"/>
    <w:rsid w:val="005B6672"/>
    <w:rsid w:val="005B72D0"/>
    <w:rsid w:val="005B7A88"/>
    <w:rsid w:val="005C49A8"/>
    <w:rsid w:val="005C5272"/>
    <w:rsid w:val="005D0CE4"/>
    <w:rsid w:val="005D577F"/>
    <w:rsid w:val="005E7DC1"/>
    <w:rsid w:val="005F2CC9"/>
    <w:rsid w:val="005F428F"/>
    <w:rsid w:val="005F662F"/>
    <w:rsid w:val="00603C66"/>
    <w:rsid w:val="00604DA9"/>
    <w:rsid w:val="00611B17"/>
    <w:rsid w:val="00615BC3"/>
    <w:rsid w:val="00617E28"/>
    <w:rsid w:val="00621C23"/>
    <w:rsid w:val="00624457"/>
    <w:rsid w:val="00627F97"/>
    <w:rsid w:val="00635882"/>
    <w:rsid w:val="006426D6"/>
    <w:rsid w:val="00650474"/>
    <w:rsid w:val="00660257"/>
    <w:rsid w:val="00665172"/>
    <w:rsid w:val="006669D0"/>
    <w:rsid w:val="006678F4"/>
    <w:rsid w:val="00671D0B"/>
    <w:rsid w:val="00673152"/>
    <w:rsid w:val="00673342"/>
    <w:rsid w:val="0067726B"/>
    <w:rsid w:val="0068190D"/>
    <w:rsid w:val="0068368C"/>
    <w:rsid w:val="00685FCF"/>
    <w:rsid w:val="0068788B"/>
    <w:rsid w:val="006900D0"/>
    <w:rsid w:val="00690D7E"/>
    <w:rsid w:val="00694099"/>
    <w:rsid w:val="0069516B"/>
    <w:rsid w:val="00697A8B"/>
    <w:rsid w:val="00697E82"/>
    <w:rsid w:val="006A1736"/>
    <w:rsid w:val="006A6354"/>
    <w:rsid w:val="006A7D88"/>
    <w:rsid w:val="006B00E2"/>
    <w:rsid w:val="006B23C5"/>
    <w:rsid w:val="006B3753"/>
    <w:rsid w:val="006B554D"/>
    <w:rsid w:val="006B588C"/>
    <w:rsid w:val="006B75B8"/>
    <w:rsid w:val="006C19BE"/>
    <w:rsid w:val="006C60A9"/>
    <w:rsid w:val="006C737C"/>
    <w:rsid w:val="006D2C6F"/>
    <w:rsid w:val="006D3E92"/>
    <w:rsid w:val="006D74D7"/>
    <w:rsid w:val="006E286C"/>
    <w:rsid w:val="006E3134"/>
    <w:rsid w:val="006E388A"/>
    <w:rsid w:val="006E434C"/>
    <w:rsid w:val="006F5682"/>
    <w:rsid w:val="007014D0"/>
    <w:rsid w:val="00703D46"/>
    <w:rsid w:val="007133F1"/>
    <w:rsid w:val="007140B6"/>
    <w:rsid w:val="00714AEF"/>
    <w:rsid w:val="0071754F"/>
    <w:rsid w:val="007240B8"/>
    <w:rsid w:val="007379E0"/>
    <w:rsid w:val="00737B61"/>
    <w:rsid w:val="0074027F"/>
    <w:rsid w:val="00740346"/>
    <w:rsid w:val="0074182D"/>
    <w:rsid w:val="00742C35"/>
    <w:rsid w:val="00753818"/>
    <w:rsid w:val="00753B97"/>
    <w:rsid w:val="00757463"/>
    <w:rsid w:val="007658B6"/>
    <w:rsid w:val="00770071"/>
    <w:rsid w:val="00776836"/>
    <w:rsid w:val="007850C0"/>
    <w:rsid w:val="0078606E"/>
    <w:rsid w:val="00786326"/>
    <w:rsid w:val="00793A58"/>
    <w:rsid w:val="00794394"/>
    <w:rsid w:val="00795B27"/>
    <w:rsid w:val="00796B0F"/>
    <w:rsid w:val="007A6E73"/>
    <w:rsid w:val="007B0564"/>
    <w:rsid w:val="007B3F59"/>
    <w:rsid w:val="007B664C"/>
    <w:rsid w:val="007C3AB0"/>
    <w:rsid w:val="007C4FB1"/>
    <w:rsid w:val="007D2650"/>
    <w:rsid w:val="007D67D3"/>
    <w:rsid w:val="007E3EB0"/>
    <w:rsid w:val="007F1A8E"/>
    <w:rsid w:val="007F55D5"/>
    <w:rsid w:val="007F6E4E"/>
    <w:rsid w:val="007F7355"/>
    <w:rsid w:val="00803485"/>
    <w:rsid w:val="00831763"/>
    <w:rsid w:val="00833343"/>
    <w:rsid w:val="008355DC"/>
    <w:rsid w:val="0083766F"/>
    <w:rsid w:val="00840921"/>
    <w:rsid w:val="008514BD"/>
    <w:rsid w:val="00853BF1"/>
    <w:rsid w:val="00860AE8"/>
    <w:rsid w:val="008613B9"/>
    <w:rsid w:val="00861541"/>
    <w:rsid w:val="008630C8"/>
    <w:rsid w:val="00865BBC"/>
    <w:rsid w:val="00876DBA"/>
    <w:rsid w:val="00880888"/>
    <w:rsid w:val="00880CEE"/>
    <w:rsid w:val="0088694A"/>
    <w:rsid w:val="008906F3"/>
    <w:rsid w:val="00890BFB"/>
    <w:rsid w:val="00892EE2"/>
    <w:rsid w:val="008946BE"/>
    <w:rsid w:val="00895F90"/>
    <w:rsid w:val="00896D6D"/>
    <w:rsid w:val="008A187C"/>
    <w:rsid w:val="008B16CB"/>
    <w:rsid w:val="008B5B31"/>
    <w:rsid w:val="008C53E9"/>
    <w:rsid w:val="008D4F37"/>
    <w:rsid w:val="008E0582"/>
    <w:rsid w:val="008E6871"/>
    <w:rsid w:val="008F4522"/>
    <w:rsid w:val="008F6515"/>
    <w:rsid w:val="0090009A"/>
    <w:rsid w:val="00904186"/>
    <w:rsid w:val="00913D34"/>
    <w:rsid w:val="0092511E"/>
    <w:rsid w:val="00927CE3"/>
    <w:rsid w:val="00930724"/>
    <w:rsid w:val="0093417B"/>
    <w:rsid w:val="00937B81"/>
    <w:rsid w:val="00942B30"/>
    <w:rsid w:val="009467E4"/>
    <w:rsid w:val="009552C2"/>
    <w:rsid w:val="009618AF"/>
    <w:rsid w:val="009709F3"/>
    <w:rsid w:val="009712EA"/>
    <w:rsid w:val="00972457"/>
    <w:rsid w:val="009734EC"/>
    <w:rsid w:val="00976823"/>
    <w:rsid w:val="00982116"/>
    <w:rsid w:val="0098409D"/>
    <w:rsid w:val="00984C4A"/>
    <w:rsid w:val="00985BD1"/>
    <w:rsid w:val="00991D23"/>
    <w:rsid w:val="00997D46"/>
    <w:rsid w:val="009A0B81"/>
    <w:rsid w:val="009C6D9F"/>
    <w:rsid w:val="009D6F5A"/>
    <w:rsid w:val="009E71D8"/>
    <w:rsid w:val="009F1423"/>
    <w:rsid w:val="009F467F"/>
    <w:rsid w:val="009F58C3"/>
    <w:rsid w:val="009F6385"/>
    <w:rsid w:val="009F7819"/>
    <w:rsid w:val="009F7917"/>
    <w:rsid w:val="00A02768"/>
    <w:rsid w:val="00A14E8F"/>
    <w:rsid w:val="00A215F5"/>
    <w:rsid w:val="00A25042"/>
    <w:rsid w:val="00A25E9C"/>
    <w:rsid w:val="00A3084F"/>
    <w:rsid w:val="00A309DD"/>
    <w:rsid w:val="00A32753"/>
    <w:rsid w:val="00A33189"/>
    <w:rsid w:val="00A41D55"/>
    <w:rsid w:val="00A43077"/>
    <w:rsid w:val="00A46E42"/>
    <w:rsid w:val="00A509FC"/>
    <w:rsid w:val="00A52E4D"/>
    <w:rsid w:val="00A56BB9"/>
    <w:rsid w:val="00A56BFC"/>
    <w:rsid w:val="00A61647"/>
    <w:rsid w:val="00A639FF"/>
    <w:rsid w:val="00A6764A"/>
    <w:rsid w:val="00A67DD8"/>
    <w:rsid w:val="00A67DF5"/>
    <w:rsid w:val="00A72461"/>
    <w:rsid w:val="00A83136"/>
    <w:rsid w:val="00A878FA"/>
    <w:rsid w:val="00A96982"/>
    <w:rsid w:val="00A974A2"/>
    <w:rsid w:val="00AA4A2A"/>
    <w:rsid w:val="00AA70F8"/>
    <w:rsid w:val="00AB4243"/>
    <w:rsid w:val="00AB5479"/>
    <w:rsid w:val="00AB59CE"/>
    <w:rsid w:val="00AC0488"/>
    <w:rsid w:val="00AC4983"/>
    <w:rsid w:val="00AD4331"/>
    <w:rsid w:val="00AD6378"/>
    <w:rsid w:val="00AD69AC"/>
    <w:rsid w:val="00AD7DC7"/>
    <w:rsid w:val="00AE0414"/>
    <w:rsid w:val="00AE75B5"/>
    <w:rsid w:val="00AF018B"/>
    <w:rsid w:val="00AF2D92"/>
    <w:rsid w:val="00AF3C7E"/>
    <w:rsid w:val="00B033AE"/>
    <w:rsid w:val="00B039D1"/>
    <w:rsid w:val="00B11863"/>
    <w:rsid w:val="00B11BFD"/>
    <w:rsid w:val="00B2127C"/>
    <w:rsid w:val="00B229BA"/>
    <w:rsid w:val="00B23315"/>
    <w:rsid w:val="00B261CE"/>
    <w:rsid w:val="00B26A1B"/>
    <w:rsid w:val="00B27CC1"/>
    <w:rsid w:val="00B32EB2"/>
    <w:rsid w:val="00B34120"/>
    <w:rsid w:val="00B34728"/>
    <w:rsid w:val="00B35643"/>
    <w:rsid w:val="00B4620A"/>
    <w:rsid w:val="00B5340F"/>
    <w:rsid w:val="00B53619"/>
    <w:rsid w:val="00B5435A"/>
    <w:rsid w:val="00B5499F"/>
    <w:rsid w:val="00B551C0"/>
    <w:rsid w:val="00B57624"/>
    <w:rsid w:val="00B62F17"/>
    <w:rsid w:val="00B67493"/>
    <w:rsid w:val="00B67E00"/>
    <w:rsid w:val="00B735D5"/>
    <w:rsid w:val="00B74886"/>
    <w:rsid w:val="00B77A01"/>
    <w:rsid w:val="00B874D8"/>
    <w:rsid w:val="00B87D7D"/>
    <w:rsid w:val="00B90683"/>
    <w:rsid w:val="00B95607"/>
    <w:rsid w:val="00BA2CF9"/>
    <w:rsid w:val="00BA6F62"/>
    <w:rsid w:val="00BB160E"/>
    <w:rsid w:val="00BB1808"/>
    <w:rsid w:val="00BB56B1"/>
    <w:rsid w:val="00BC3868"/>
    <w:rsid w:val="00BC5C2C"/>
    <w:rsid w:val="00BD0803"/>
    <w:rsid w:val="00BD0F0F"/>
    <w:rsid w:val="00BD7651"/>
    <w:rsid w:val="00BE0D92"/>
    <w:rsid w:val="00BE6EE3"/>
    <w:rsid w:val="00BF2530"/>
    <w:rsid w:val="00BF2C05"/>
    <w:rsid w:val="00BF6E51"/>
    <w:rsid w:val="00C02E6F"/>
    <w:rsid w:val="00C173D8"/>
    <w:rsid w:val="00C223F6"/>
    <w:rsid w:val="00C30033"/>
    <w:rsid w:val="00C331AD"/>
    <w:rsid w:val="00C37075"/>
    <w:rsid w:val="00C37BA2"/>
    <w:rsid w:val="00C42522"/>
    <w:rsid w:val="00C44D79"/>
    <w:rsid w:val="00C44D7A"/>
    <w:rsid w:val="00C5051E"/>
    <w:rsid w:val="00C5056F"/>
    <w:rsid w:val="00C51902"/>
    <w:rsid w:val="00C52C63"/>
    <w:rsid w:val="00C54902"/>
    <w:rsid w:val="00C61922"/>
    <w:rsid w:val="00C62545"/>
    <w:rsid w:val="00C62A56"/>
    <w:rsid w:val="00C6325E"/>
    <w:rsid w:val="00C646BD"/>
    <w:rsid w:val="00C668B2"/>
    <w:rsid w:val="00C71CEE"/>
    <w:rsid w:val="00C76D3C"/>
    <w:rsid w:val="00C90554"/>
    <w:rsid w:val="00C9292F"/>
    <w:rsid w:val="00C93DB3"/>
    <w:rsid w:val="00C96B82"/>
    <w:rsid w:val="00C971E0"/>
    <w:rsid w:val="00CA179C"/>
    <w:rsid w:val="00CA3140"/>
    <w:rsid w:val="00CA3C4C"/>
    <w:rsid w:val="00CA6539"/>
    <w:rsid w:val="00CA7B78"/>
    <w:rsid w:val="00CB4638"/>
    <w:rsid w:val="00CB7484"/>
    <w:rsid w:val="00CB7C7A"/>
    <w:rsid w:val="00CC0361"/>
    <w:rsid w:val="00CC18B0"/>
    <w:rsid w:val="00CC4BFD"/>
    <w:rsid w:val="00CD1404"/>
    <w:rsid w:val="00CE5ED7"/>
    <w:rsid w:val="00CE6E1C"/>
    <w:rsid w:val="00CF2C8B"/>
    <w:rsid w:val="00CF30CA"/>
    <w:rsid w:val="00D01361"/>
    <w:rsid w:val="00D041CA"/>
    <w:rsid w:val="00D04F3A"/>
    <w:rsid w:val="00D168A9"/>
    <w:rsid w:val="00D16D08"/>
    <w:rsid w:val="00D22EDF"/>
    <w:rsid w:val="00D236DB"/>
    <w:rsid w:val="00D30115"/>
    <w:rsid w:val="00D439F5"/>
    <w:rsid w:val="00D45C30"/>
    <w:rsid w:val="00D50719"/>
    <w:rsid w:val="00D61AF3"/>
    <w:rsid w:val="00D635EC"/>
    <w:rsid w:val="00D663AF"/>
    <w:rsid w:val="00D703B0"/>
    <w:rsid w:val="00D70657"/>
    <w:rsid w:val="00D71EEB"/>
    <w:rsid w:val="00D80D9A"/>
    <w:rsid w:val="00D81C40"/>
    <w:rsid w:val="00D8247E"/>
    <w:rsid w:val="00D9160B"/>
    <w:rsid w:val="00D93790"/>
    <w:rsid w:val="00D962EE"/>
    <w:rsid w:val="00D9632F"/>
    <w:rsid w:val="00D967FA"/>
    <w:rsid w:val="00DA06B8"/>
    <w:rsid w:val="00DA2933"/>
    <w:rsid w:val="00DA6428"/>
    <w:rsid w:val="00DA66E9"/>
    <w:rsid w:val="00DB5908"/>
    <w:rsid w:val="00DB7026"/>
    <w:rsid w:val="00DC71A4"/>
    <w:rsid w:val="00DD000C"/>
    <w:rsid w:val="00DD0DFB"/>
    <w:rsid w:val="00DF640D"/>
    <w:rsid w:val="00E0393B"/>
    <w:rsid w:val="00E05D29"/>
    <w:rsid w:val="00E12B29"/>
    <w:rsid w:val="00E137EC"/>
    <w:rsid w:val="00E139DF"/>
    <w:rsid w:val="00E1752E"/>
    <w:rsid w:val="00E21945"/>
    <w:rsid w:val="00E21B19"/>
    <w:rsid w:val="00E21DB3"/>
    <w:rsid w:val="00E223C1"/>
    <w:rsid w:val="00E22B54"/>
    <w:rsid w:val="00E3007F"/>
    <w:rsid w:val="00E3288D"/>
    <w:rsid w:val="00E36C56"/>
    <w:rsid w:val="00E37DB2"/>
    <w:rsid w:val="00E428CD"/>
    <w:rsid w:val="00E437E8"/>
    <w:rsid w:val="00E452D7"/>
    <w:rsid w:val="00E61267"/>
    <w:rsid w:val="00E62397"/>
    <w:rsid w:val="00E6294F"/>
    <w:rsid w:val="00E63734"/>
    <w:rsid w:val="00E6393F"/>
    <w:rsid w:val="00E63C03"/>
    <w:rsid w:val="00E67BA8"/>
    <w:rsid w:val="00E71879"/>
    <w:rsid w:val="00E739CE"/>
    <w:rsid w:val="00E82D99"/>
    <w:rsid w:val="00E8532E"/>
    <w:rsid w:val="00E85A26"/>
    <w:rsid w:val="00E9201B"/>
    <w:rsid w:val="00E92834"/>
    <w:rsid w:val="00E940AE"/>
    <w:rsid w:val="00E9448D"/>
    <w:rsid w:val="00E9764A"/>
    <w:rsid w:val="00EA06E1"/>
    <w:rsid w:val="00EA126C"/>
    <w:rsid w:val="00EA48A4"/>
    <w:rsid w:val="00EB0000"/>
    <w:rsid w:val="00EC1A7B"/>
    <w:rsid w:val="00EC2A4E"/>
    <w:rsid w:val="00EC5C05"/>
    <w:rsid w:val="00ED2ADF"/>
    <w:rsid w:val="00ED362E"/>
    <w:rsid w:val="00ED62BF"/>
    <w:rsid w:val="00EE0AFD"/>
    <w:rsid w:val="00EE7845"/>
    <w:rsid w:val="00EF31C8"/>
    <w:rsid w:val="00EF4781"/>
    <w:rsid w:val="00EF70B9"/>
    <w:rsid w:val="00EF7152"/>
    <w:rsid w:val="00F053D2"/>
    <w:rsid w:val="00F07500"/>
    <w:rsid w:val="00F17D0F"/>
    <w:rsid w:val="00F25DC2"/>
    <w:rsid w:val="00F2779F"/>
    <w:rsid w:val="00F34437"/>
    <w:rsid w:val="00F55A70"/>
    <w:rsid w:val="00F56293"/>
    <w:rsid w:val="00F72EC0"/>
    <w:rsid w:val="00F72F5F"/>
    <w:rsid w:val="00F74943"/>
    <w:rsid w:val="00F75194"/>
    <w:rsid w:val="00F772B5"/>
    <w:rsid w:val="00F82CB6"/>
    <w:rsid w:val="00F8319C"/>
    <w:rsid w:val="00F87354"/>
    <w:rsid w:val="00F91094"/>
    <w:rsid w:val="00F96858"/>
    <w:rsid w:val="00FA1E63"/>
    <w:rsid w:val="00FA776B"/>
    <w:rsid w:val="00FB1262"/>
    <w:rsid w:val="00FB3CEA"/>
    <w:rsid w:val="00FB46E4"/>
    <w:rsid w:val="00FB5218"/>
    <w:rsid w:val="00FB6758"/>
    <w:rsid w:val="00FC0E1D"/>
    <w:rsid w:val="00FC746C"/>
    <w:rsid w:val="00FD1F81"/>
    <w:rsid w:val="00FD388C"/>
    <w:rsid w:val="00FD6954"/>
    <w:rsid w:val="00FD726F"/>
    <w:rsid w:val="00FE41D8"/>
    <w:rsid w:val="00FE6886"/>
    <w:rsid w:val="00FF04C9"/>
    <w:rsid w:val="00FF3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0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3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3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3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0C8"/>
    <w:rPr>
      <w:rFonts w:eastAsiaTheme="majorEastAsia" w:cstheme="majorBidi"/>
      <w:color w:val="272727" w:themeColor="text1" w:themeTint="D8"/>
    </w:rPr>
  </w:style>
  <w:style w:type="paragraph" w:styleId="Title">
    <w:name w:val="Title"/>
    <w:basedOn w:val="Normal"/>
    <w:next w:val="Normal"/>
    <w:link w:val="TitleChar"/>
    <w:uiPriority w:val="10"/>
    <w:qFormat/>
    <w:rsid w:val="00863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0C8"/>
    <w:pPr>
      <w:spacing w:before="160"/>
      <w:jc w:val="center"/>
    </w:pPr>
    <w:rPr>
      <w:i/>
      <w:iCs/>
      <w:color w:val="404040" w:themeColor="text1" w:themeTint="BF"/>
    </w:rPr>
  </w:style>
  <w:style w:type="character" w:customStyle="1" w:styleId="QuoteChar">
    <w:name w:val="Quote Char"/>
    <w:basedOn w:val="DefaultParagraphFont"/>
    <w:link w:val="Quote"/>
    <w:uiPriority w:val="29"/>
    <w:rsid w:val="008630C8"/>
    <w:rPr>
      <w:i/>
      <w:iCs/>
      <w:color w:val="404040" w:themeColor="text1" w:themeTint="BF"/>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Liste"/>
    <w:basedOn w:val="Normal"/>
    <w:link w:val="ListParagraphChar"/>
    <w:uiPriority w:val="34"/>
    <w:qFormat/>
    <w:rsid w:val="008630C8"/>
    <w:pPr>
      <w:ind w:left="720"/>
      <w:contextualSpacing/>
    </w:pPr>
  </w:style>
  <w:style w:type="character" w:styleId="IntenseEmphasis">
    <w:name w:val="Intense Emphasis"/>
    <w:basedOn w:val="DefaultParagraphFont"/>
    <w:uiPriority w:val="21"/>
    <w:qFormat/>
    <w:rsid w:val="008630C8"/>
    <w:rPr>
      <w:i/>
      <w:iCs/>
      <w:color w:val="0F4761" w:themeColor="accent1" w:themeShade="BF"/>
    </w:rPr>
  </w:style>
  <w:style w:type="paragraph" w:styleId="IntenseQuote">
    <w:name w:val="Intense Quote"/>
    <w:basedOn w:val="Normal"/>
    <w:next w:val="Normal"/>
    <w:link w:val="IntenseQuoteChar"/>
    <w:uiPriority w:val="30"/>
    <w:qFormat/>
    <w:rsid w:val="0086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0C8"/>
    <w:rPr>
      <w:i/>
      <w:iCs/>
      <w:color w:val="0F4761" w:themeColor="accent1" w:themeShade="BF"/>
    </w:rPr>
  </w:style>
  <w:style w:type="character" w:styleId="IntenseReference">
    <w:name w:val="Intense Reference"/>
    <w:basedOn w:val="DefaultParagraphFont"/>
    <w:uiPriority w:val="32"/>
    <w:qFormat/>
    <w:rsid w:val="008630C8"/>
    <w:rPr>
      <w:b/>
      <w:bCs/>
      <w:smallCaps/>
      <w:color w:val="0F4761" w:themeColor="accent1" w:themeShade="BF"/>
      <w:spacing w:val="5"/>
    </w:rPr>
  </w:style>
  <w:style w:type="paragraph" w:styleId="NoSpacing">
    <w:name w:val="No Spacing"/>
    <w:uiPriority w:val="1"/>
    <w:qFormat/>
    <w:rsid w:val="008630C8"/>
    <w:pPr>
      <w:spacing w:after="0" w:line="240" w:lineRule="auto"/>
    </w:pPr>
  </w:style>
  <w:style w:type="table" w:styleId="TableGrid">
    <w:name w:val="Table Grid"/>
    <w:basedOn w:val="TableNormal"/>
    <w:uiPriority w:val="39"/>
    <w:rsid w:val="0086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394"/>
    <w:rPr>
      <w:color w:val="467886" w:themeColor="hyperlink"/>
      <w:u w:val="single"/>
    </w:rPr>
  </w:style>
  <w:style w:type="character" w:styleId="UnresolvedMention">
    <w:name w:val="Unresolved Mention"/>
    <w:basedOn w:val="DefaultParagraphFont"/>
    <w:uiPriority w:val="99"/>
    <w:semiHidden/>
    <w:unhideWhenUsed/>
    <w:rsid w:val="00794394"/>
    <w:rPr>
      <w:color w:val="605E5C"/>
      <w:shd w:val="clear" w:color="auto" w:fill="E1DFDD"/>
    </w:rPr>
  </w:style>
  <w:style w:type="character" w:styleId="CommentReference">
    <w:name w:val="annotation reference"/>
    <w:basedOn w:val="DefaultParagraphFont"/>
    <w:uiPriority w:val="99"/>
    <w:semiHidden/>
    <w:unhideWhenUsed/>
    <w:rsid w:val="00E9201B"/>
    <w:rPr>
      <w:sz w:val="16"/>
      <w:szCs w:val="16"/>
    </w:rPr>
  </w:style>
  <w:style w:type="paragraph" w:styleId="CommentText">
    <w:name w:val="annotation text"/>
    <w:basedOn w:val="Normal"/>
    <w:link w:val="CommentTextChar"/>
    <w:uiPriority w:val="99"/>
    <w:unhideWhenUsed/>
    <w:rsid w:val="00E9201B"/>
    <w:pPr>
      <w:spacing w:line="240" w:lineRule="auto"/>
    </w:pPr>
    <w:rPr>
      <w:sz w:val="20"/>
      <w:szCs w:val="20"/>
    </w:rPr>
  </w:style>
  <w:style w:type="character" w:customStyle="1" w:styleId="CommentTextChar">
    <w:name w:val="Comment Text Char"/>
    <w:basedOn w:val="DefaultParagraphFont"/>
    <w:link w:val="CommentText"/>
    <w:uiPriority w:val="99"/>
    <w:rsid w:val="00E9201B"/>
    <w:rPr>
      <w:sz w:val="20"/>
      <w:szCs w:val="20"/>
    </w:rPr>
  </w:style>
  <w:style w:type="paragraph" w:styleId="CommentSubject">
    <w:name w:val="annotation subject"/>
    <w:basedOn w:val="CommentText"/>
    <w:next w:val="CommentText"/>
    <w:link w:val="CommentSubjectChar"/>
    <w:uiPriority w:val="99"/>
    <w:semiHidden/>
    <w:unhideWhenUsed/>
    <w:rsid w:val="00E9201B"/>
    <w:rPr>
      <w:b/>
      <w:bCs/>
    </w:rPr>
  </w:style>
  <w:style w:type="character" w:customStyle="1" w:styleId="CommentSubjectChar">
    <w:name w:val="Comment Subject Char"/>
    <w:basedOn w:val="CommentTextChar"/>
    <w:link w:val="CommentSubject"/>
    <w:uiPriority w:val="99"/>
    <w:semiHidden/>
    <w:rsid w:val="00E9201B"/>
    <w:rPr>
      <w:b/>
      <w:bCs/>
      <w:sz w:val="20"/>
      <w:szCs w:val="20"/>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Geneva"/>
    <w:basedOn w:val="Normal"/>
    <w:link w:val="FootnoteTextChar"/>
    <w:uiPriority w:val="99"/>
    <w:unhideWhenUsed/>
    <w:qFormat/>
    <w:rsid w:val="002449EF"/>
    <w:pPr>
      <w:spacing w:after="0" w:line="240" w:lineRule="auto"/>
    </w:pPr>
    <w:rPr>
      <w:rFonts w:cs="Times New Roman"/>
      <w:color w:val="000000" w:themeColor="text1"/>
      <w:sz w:val="20"/>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2449EF"/>
    <w:rPr>
      <w:rFonts w:cs="Times New Roman"/>
      <w:color w:val="000000" w:themeColor="text1"/>
      <w:sz w:val="20"/>
      <w:szCs w:val="20"/>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BVI fnr Car C"/>
    <w:basedOn w:val="DefaultParagraphFont"/>
    <w:link w:val="BVIfnr1"/>
    <w:uiPriority w:val="99"/>
    <w:unhideWhenUsed/>
    <w:qFormat/>
    <w:rsid w:val="002449EF"/>
    <w:rPr>
      <w:vertAlign w:val="superscript"/>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2449EF"/>
    <w:pPr>
      <w:spacing w:line="240" w:lineRule="exact"/>
    </w:pPr>
    <w:rPr>
      <w:vertAlign w:val="superscript"/>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locked/>
    <w:rsid w:val="002449EF"/>
  </w:style>
  <w:style w:type="paragraph" w:customStyle="1" w:styleId="BlockQuotation">
    <w:name w:val="Block Quotation"/>
    <w:basedOn w:val="Normal"/>
    <w:autoRedefine/>
    <w:rsid w:val="002449EF"/>
    <w:pPr>
      <w:pBdr>
        <w:top w:val="single" w:sz="12" w:space="12" w:color="FFFFFF"/>
        <w:left w:val="single" w:sz="6" w:space="0" w:color="FFFFFF"/>
        <w:bottom w:val="single" w:sz="6" w:space="12" w:color="FFFFFF"/>
        <w:right w:val="single" w:sz="6" w:space="12" w:color="FFFFFF"/>
      </w:pBdr>
      <w:shd w:val="clear" w:color="548DD4" w:fill="C6D9F1"/>
      <w:tabs>
        <w:tab w:val="left" w:pos="142"/>
      </w:tabs>
      <w:spacing w:after="0" w:line="240" w:lineRule="auto"/>
      <w:ind w:left="57" w:right="238"/>
      <w:jc w:val="both"/>
    </w:pPr>
    <w:rPr>
      <w:rFonts w:ascii="Calibri Bold" w:eastAsia="Times New Roman" w:hAnsi="Calibri Bold" w:cs="Times New Roman"/>
      <w:spacing w:val="-5"/>
      <w:kern w:val="0"/>
      <w:sz w:val="20"/>
      <w:szCs w:val="20"/>
      <w:lang w:val="en-GB"/>
      <w14:ligatures w14:val="none"/>
    </w:rPr>
  </w:style>
  <w:style w:type="paragraph" w:customStyle="1" w:styleId="Recommendation">
    <w:name w:val="Recommendation"/>
    <w:basedOn w:val="BlockQuotation"/>
    <w:autoRedefine/>
    <w:rsid w:val="002449EF"/>
    <w:pPr>
      <w:spacing w:before="120"/>
      <w:ind w:left="0"/>
    </w:pPr>
    <w:rPr>
      <w:rFonts w:ascii="Calibri" w:hAnsi="Calibri"/>
    </w:rPr>
  </w:style>
  <w:style w:type="paragraph" w:styleId="Caption">
    <w:name w:val="caption"/>
    <w:basedOn w:val="Normal"/>
    <w:next w:val="Normal"/>
    <w:uiPriority w:val="35"/>
    <w:unhideWhenUsed/>
    <w:qFormat/>
    <w:rsid w:val="002449EF"/>
    <w:pPr>
      <w:spacing w:after="200" w:line="240" w:lineRule="auto"/>
    </w:pPr>
    <w:rPr>
      <w:i/>
      <w:iCs/>
      <w:color w:val="0E2841" w:themeColor="text2"/>
      <w:sz w:val="18"/>
      <w:szCs w:val="18"/>
    </w:rPr>
  </w:style>
  <w:style w:type="paragraph" w:styleId="Revision">
    <w:name w:val="Revision"/>
    <w:hidden/>
    <w:uiPriority w:val="99"/>
    <w:semiHidden/>
    <w:rsid w:val="00E428CD"/>
    <w:pPr>
      <w:spacing w:after="0" w:line="240" w:lineRule="auto"/>
    </w:pPr>
  </w:style>
  <w:style w:type="paragraph" w:styleId="Header">
    <w:name w:val="header"/>
    <w:basedOn w:val="Normal"/>
    <w:link w:val="HeaderChar"/>
    <w:uiPriority w:val="99"/>
    <w:unhideWhenUsed/>
    <w:rsid w:val="00A6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D8"/>
  </w:style>
  <w:style w:type="paragraph" w:styleId="Footer">
    <w:name w:val="footer"/>
    <w:basedOn w:val="Normal"/>
    <w:link w:val="FooterChar"/>
    <w:uiPriority w:val="99"/>
    <w:unhideWhenUsed/>
    <w:rsid w:val="00A6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6521">
      <w:bodyDiv w:val="1"/>
      <w:marLeft w:val="0"/>
      <w:marRight w:val="0"/>
      <w:marTop w:val="0"/>
      <w:marBottom w:val="0"/>
      <w:divBdr>
        <w:top w:val="none" w:sz="0" w:space="0" w:color="auto"/>
        <w:left w:val="none" w:sz="0" w:space="0" w:color="auto"/>
        <w:bottom w:val="none" w:sz="0" w:space="0" w:color="auto"/>
        <w:right w:val="none" w:sz="0" w:space="0" w:color="auto"/>
      </w:divBdr>
    </w:div>
    <w:div w:id="178201212">
      <w:bodyDiv w:val="1"/>
      <w:marLeft w:val="0"/>
      <w:marRight w:val="0"/>
      <w:marTop w:val="0"/>
      <w:marBottom w:val="0"/>
      <w:divBdr>
        <w:top w:val="none" w:sz="0" w:space="0" w:color="auto"/>
        <w:left w:val="none" w:sz="0" w:space="0" w:color="auto"/>
        <w:bottom w:val="none" w:sz="0" w:space="0" w:color="auto"/>
        <w:right w:val="none" w:sz="0" w:space="0" w:color="auto"/>
      </w:divBdr>
    </w:div>
    <w:div w:id="597837071">
      <w:bodyDiv w:val="1"/>
      <w:marLeft w:val="0"/>
      <w:marRight w:val="0"/>
      <w:marTop w:val="0"/>
      <w:marBottom w:val="0"/>
      <w:divBdr>
        <w:top w:val="none" w:sz="0" w:space="0" w:color="auto"/>
        <w:left w:val="none" w:sz="0" w:space="0" w:color="auto"/>
        <w:bottom w:val="none" w:sz="0" w:space="0" w:color="auto"/>
        <w:right w:val="none" w:sz="0" w:space="0" w:color="auto"/>
      </w:divBdr>
    </w:div>
    <w:div w:id="627130236">
      <w:bodyDiv w:val="1"/>
      <w:marLeft w:val="0"/>
      <w:marRight w:val="0"/>
      <w:marTop w:val="0"/>
      <w:marBottom w:val="0"/>
      <w:divBdr>
        <w:top w:val="none" w:sz="0" w:space="0" w:color="auto"/>
        <w:left w:val="none" w:sz="0" w:space="0" w:color="auto"/>
        <w:bottom w:val="none" w:sz="0" w:space="0" w:color="auto"/>
        <w:right w:val="none" w:sz="0" w:space="0" w:color="auto"/>
      </w:divBdr>
      <w:divsChild>
        <w:div w:id="415791198">
          <w:marLeft w:val="0"/>
          <w:marRight w:val="0"/>
          <w:marTop w:val="0"/>
          <w:marBottom w:val="0"/>
          <w:divBdr>
            <w:top w:val="none" w:sz="0" w:space="0" w:color="auto"/>
            <w:left w:val="none" w:sz="0" w:space="0" w:color="auto"/>
            <w:bottom w:val="none" w:sz="0" w:space="0" w:color="auto"/>
            <w:right w:val="none" w:sz="0" w:space="0" w:color="auto"/>
          </w:divBdr>
        </w:div>
        <w:div w:id="1424299204">
          <w:marLeft w:val="0"/>
          <w:marRight w:val="0"/>
          <w:marTop w:val="0"/>
          <w:marBottom w:val="0"/>
          <w:divBdr>
            <w:top w:val="none" w:sz="0" w:space="0" w:color="auto"/>
            <w:left w:val="none" w:sz="0" w:space="0" w:color="auto"/>
            <w:bottom w:val="none" w:sz="0" w:space="0" w:color="auto"/>
            <w:right w:val="none" w:sz="0" w:space="0" w:color="auto"/>
          </w:divBdr>
        </w:div>
        <w:div w:id="1961954946">
          <w:marLeft w:val="0"/>
          <w:marRight w:val="0"/>
          <w:marTop w:val="0"/>
          <w:marBottom w:val="0"/>
          <w:divBdr>
            <w:top w:val="none" w:sz="0" w:space="0" w:color="auto"/>
            <w:left w:val="none" w:sz="0" w:space="0" w:color="auto"/>
            <w:bottom w:val="none" w:sz="0" w:space="0" w:color="auto"/>
            <w:right w:val="none" w:sz="0" w:space="0" w:color="auto"/>
          </w:divBdr>
        </w:div>
        <w:div w:id="1210145402">
          <w:marLeft w:val="0"/>
          <w:marRight w:val="0"/>
          <w:marTop w:val="0"/>
          <w:marBottom w:val="0"/>
          <w:divBdr>
            <w:top w:val="none" w:sz="0" w:space="0" w:color="auto"/>
            <w:left w:val="none" w:sz="0" w:space="0" w:color="auto"/>
            <w:bottom w:val="none" w:sz="0" w:space="0" w:color="auto"/>
            <w:right w:val="none" w:sz="0" w:space="0" w:color="auto"/>
          </w:divBdr>
        </w:div>
        <w:div w:id="977145020">
          <w:marLeft w:val="0"/>
          <w:marRight w:val="0"/>
          <w:marTop w:val="0"/>
          <w:marBottom w:val="0"/>
          <w:divBdr>
            <w:top w:val="none" w:sz="0" w:space="0" w:color="auto"/>
            <w:left w:val="none" w:sz="0" w:space="0" w:color="auto"/>
            <w:bottom w:val="none" w:sz="0" w:space="0" w:color="auto"/>
            <w:right w:val="none" w:sz="0" w:space="0" w:color="auto"/>
          </w:divBdr>
        </w:div>
        <w:div w:id="117263550">
          <w:marLeft w:val="0"/>
          <w:marRight w:val="0"/>
          <w:marTop w:val="0"/>
          <w:marBottom w:val="0"/>
          <w:divBdr>
            <w:top w:val="none" w:sz="0" w:space="0" w:color="auto"/>
            <w:left w:val="none" w:sz="0" w:space="0" w:color="auto"/>
            <w:bottom w:val="none" w:sz="0" w:space="0" w:color="auto"/>
            <w:right w:val="none" w:sz="0" w:space="0" w:color="auto"/>
          </w:divBdr>
        </w:div>
        <w:div w:id="1002122623">
          <w:marLeft w:val="0"/>
          <w:marRight w:val="0"/>
          <w:marTop w:val="0"/>
          <w:marBottom w:val="0"/>
          <w:divBdr>
            <w:top w:val="none" w:sz="0" w:space="0" w:color="auto"/>
            <w:left w:val="none" w:sz="0" w:space="0" w:color="auto"/>
            <w:bottom w:val="none" w:sz="0" w:space="0" w:color="auto"/>
            <w:right w:val="none" w:sz="0" w:space="0" w:color="auto"/>
          </w:divBdr>
        </w:div>
        <w:div w:id="2031907868">
          <w:marLeft w:val="0"/>
          <w:marRight w:val="0"/>
          <w:marTop w:val="0"/>
          <w:marBottom w:val="0"/>
          <w:divBdr>
            <w:top w:val="none" w:sz="0" w:space="0" w:color="auto"/>
            <w:left w:val="none" w:sz="0" w:space="0" w:color="auto"/>
            <w:bottom w:val="none" w:sz="0" w:space="0" w:color="auto"/>
            <w:right w:val="none" w:sz="0" w:space="0" w:color="auto"/>
          </w:divBdr>
        </w:div>
        <w:div w:id="1723216881">
          <w:marLeft w:val="0"/>
          <w:marRight w:val="0"/>
          <w:marTop w:val="0"/>
          <w:marBottom w:val="0"/>
          <w:divBdr>
            <w:top w:val="none" w:sz="0" w:space="0" w:color="auto"/>
            <w:left w:val="none" w:sz="0" w:space="0" w:color="auto"/>
            <w:bottom w:val="none" w:sz="0" w:space="0" w:color="auto"/>
            <w:right w:val="none" w:sz="0" w:space="0" w:color="auto"/>
          </w:divBdr>
        </w:div>
        <w:div w:id="1676881314">
          <w:marLeft w:val="0"/>
          <w:marRight w:val="0"/>
          <w:marTop w:val="0"/>
          <w:marBottom w:val="0"/>
          <w:divBdr>
            <w:top w:val="none" w:sz="0" w:space="0" w:color="auto"/>
            <w:left w:val="none" w:sz="0" w:space="0" w:color="auto"/>
            <w:bottom w:val="none" w:sz="0" w:space="0" w:color="auto"/>
            <w:right w:val="none" w:sz="0" w:space="0" w:color="auto"/>
          </w:divBdr>
        </w:div>
        <w:div w:id="615597963">
          <w:marLeft w:val="0"/>
          <w:marRight w:val="0"/>
          <w:marTop w:val="0"/>
          <w:marBottom w:val="0"/>
          <w:divBdr>
            <w:top w:val="none" w:sz="0" w:space="0" w:color="auto"/>
            <w:left w:val="none" w:sz="0" w:space="0" w:color="auto"/>
            <w:bottom w:val="none" w:sz="0" w:space="0" w:color="auto"/>
            <w:right w:val="none" w:sz="0" w:space="0" w:color="auto"/>
          </w:divBdr>
        </w:div>
        <w:div w:id="1177696077">
          <w:marLeft w:val="0"/>
          <w:marRight w:val="0"/>
          <w:marTop w:val="0"/>
          <w:marBottom w:val="0"/>
          <w:divBdr>
            <w:top w:val="none" w:sz="0" w:space="0" w:color="auto"/>
            <w:left w:val="none" w:sz="0" w:space="0" w:color="auto"/>
            <w:bottom w:val="none" w:sz="0" w:space="0" w:color="auto"/>
            <w:right w:val="none" w:sz="0" w:space="0" w:color="auto"/>
          </w:divBdr>
        </w:div>
        <w:div w:id="396559453">
          <w:marLeft w:val="0"/>
          <w:marRight w:val="0"/>
          <w:marTop w:val="0"/>
          <w:marBottom w:val="0"/>
          <w:divBdr>
            <w:top w:val="none" w:sz="0" w:space="0" w:color="auto"/>
            <w:left w:val="none" w:sz="0" w:space="0" w:color="auto"/>
            <w:bottom w:val="none" w:sz="0" w:space="0" w:color="auto"/>
            <w:right w:val="none" w:sz="0" w:space="0" w:color="auto"/>
          </w:divBdr>
        </w:div>
        <w:div w:id="2022195475">
          <w:marLeft w:val="0"/>
          <w:marRight w:val="0"/>
          <w:marTop w:val="0"/>
          <w:marBottom w:val="0"/>
          <w:divBdr>
            <w:top w:val="none" w:sz="0" w:space="0" w:color="auto"/>
            <w:left w:val="none" w:sz="0" w:space="0" w:color="auto"/>
            <w:bottom w:val="none" w:sz="0" w:space="0" w:color="auto"/>
            <w:right w:val="none" w:sz="0" w:space="0" w:color="auto"/>
          </w:divBdr>
        </w:div>
        <w:div w:id="356466484">
          <w:marLeft w:val="0"/>
          <w:marRight w:val="0"/>
          <w:marTop w:val="0"/>
          <w:marBottom w:val="0"/>
          <w:divBdr>
            <w:top w:val="none" w:sz="0" w:space="0" w:color="auto"/>
            <w:left w:val="none" w:sz="0" w:space="0" w:color="auto"/>
            <w:bottom w:val="none" w:sz="0" w:space="0" w:color="auto"/>
            <w:right w:val="none" w:sz="0" w:space="0" w:color="auto"/>
          </w:divBdr>
        </w:div>
        <w:div w:id="1495414926">
          <w:marLeft w:val="0"/>
          <w:marRight w:val="0"/>
          <w:marTop w:val="0"/>
          <w:marBottom w:val="0"/>
          <w:divBdr>
            <w:top w:val="none" w:sz="0" w:space="0" w:color="auto"/>
            <w:left w:val="none" w:sz="0" w:space="0" w:color="auto"/>
            <w:bottom w:val="none" w:sz="0" w:space="0" w:color="auto"/>
            <w:right w:val="none" w:sz="0" w:space="0" w:color="auto"/>
          </w:divBdr>
        </w:div>
      </w:divsChild>
    </w:div>
    <w:div w:id="1172331890">
      <w:bodyDiv w:val="1"/>
      <w:marLeft w:val="0"/>
      <w:marRight w:val="0"/>
      <w:marTop w:val="0"/>
      <w:marBottom w:val="0"/>
      <w:divBdr>
        <w:top w:val="none" w:sz="0" w:space="0" w:color="auto"/>
        <w:left w:val="none" w:sz="0" w:space="0" w:color="auto"/>
        <w:bottom w:val="none" w:sz="0" w:space="0" w:color="auto"/>
        <w:right w:val="none" w:sz="0" w:space="0" w:color="auto"/>
      </w:divBdr>
    </w:div>
    <w:div w:id="1440178270">
      <w:bodyDiv w:val="1"/>
      <w:marLeft w:val="0"/>
      <w:marRight w:val="0"/>
      <w:marTop w:val="0"/>
      <w:marBottom w:val="0"/>
      <w:divBdr>
        <w:top w:val="none" w:sz="0" w:space="0" w:color="auto"/>
        <w:left w:val="none" w:sz="0" w:space="0" w:color="auto"/>
        <w:bottom w:val="none" w:sz="0" w:space="0" w:color="auto"/>
        <w:right w:val="none" w:sz="0" w:space="0" w:color="auto"/>
      </w:divBdr>
      <w:divsChild>
        <w:div w:id="1905292523">
          <w:marLeft w:val="0"/>
          <w:marRight w:val="0"/>
          <w:marTop w:val="0"/>
          <w:marBottom w:val="0"/>
          <w:divBdr>
            <w:top w:val="none" w:sz="0" w:space="0" w:color="auto"/>
            <w:left w:val="none" w:sz="0" w:space="0" w:color="auto"/>
            <w:bottom w:val="none" w:sz="0" w:space="0" w:color="auto"/>
            <w:right w:val="none" w:sz="0" w:space="0" w:color="auto"/>
          </w:divBdr>
        </w:div>
        <w:div w:id="356930937">
          <w:marLeft w:val="0"/>
          <w:marRight w:val="0"/>
          <w:marTop w:val="0"/>
          <w:marBottom w:val="0"/>
          <w:divBdr>
            <w:top w:val="none" w:sz="0" w:space="0" w:color="auto"/>
            <w:left w:val="none" w:sz="0" w:space="0" w:color="auto"/>
            <w:bottom w:val="none" w:sz="0" w:space="0" w:color="auto"/>
            <w:right w:val="none" w:sz="0" w:space="0" w:color="auto"/>
          </w:divBdr>
        </w:div>
        <w:div w:id="571238213">
          <w:marLeft w:val="0"/>
          <w:marRight w:val="0"/>
          <w:marTop w:val="0"/>
          <w:marBottom w:val="0"/>
          <w:divBdr>
            <w:top w:val="none" w:sz="0" w:space="0" w:color="auto"/>
            <w:left w:val="none" w:sz="0" w:space="0" w:color="auto"/>
            <w:bottom w:val="none" w:sz="0" w:space="0" w:color="auto"/>
            <w:right w:val="none" w:sz="0" w:space="0" w:color="auto"/>
          </w:divBdr>
        </w:div>
        <w:div w:id="526216845">
          <w:marLeft w:val="0"/>
          <w:marRight w:val="0"/>
          <w:marTop w:val="0"/>
          <w:marBottom w:val="0"/>
          <w:divBdr>
            <w:top w:val="none" w:sz="0" w:space="0" w:color="auto"/>
            <w:left w:val="none" w:sz="0" w:space="0" w:color="auto"/>
            <w:bottom w:val="none" w:sz="0" w:space="0" w:color="auto"/>
            <w:right w:val="none" w:sz="0" w:space="0" w:color="auto"/>
          </w:divBdr>
        </w:div>
        <w:div w:id="1327056043">
          <w:marLeft w:val="0"/>
          <w:marRight w:val="0"/>
          <w:marTop w:val="0"/>
          <w:marBottom w:val="0"/>
          <w:divBdr>
            <w:top w:val="none" w:sz="0" w:space="0" w:color="auto"/>
            <w:left w:val="none" w:sz="0" w:space="0" w:color="auto"/>
            <w:bottom w:val="none" w:sz="0" w:space="0" w:color="auto"/>
            <w:right w:val="none" w:sz="0" w:space="0" w:color="auto"/>
          </w:divBdr>
        </w:div>
        <w:div w:id="1839030225">
          <w:marLeft w:val="0"/>
          <w:marRight w:val="0"/>
          <w:marTop w:val="0"/>
          <w:marBottom w:val="0"/>
          <w:divBdr>
            <w:top w:val="none" w:sz="0" w:space="0" w:color="auto"/>
            <w:left w:val="none" w:sz="0" w:space="0" w:color="auto"/>
            <w:bottom w:val="none" w:sz="0" w:space="0" w:color="auto"/>
            <w:right w:val="none" w:sz="0" w:space="0" w:color="auto"/>
          </w:divBdr>
        </w:div>
        <w:div w:id="1883400989">
          <w:marLeft w:val="0"/>
          <w:marRight w:val="0"/>
          <w:marTop w:val="0"/>
          <w:marBottom w:val="0"/>
          <w:divBdr>
            <w:top w:val="none" w:sz="0" w:space="0" w:color="auto"/>
            <w:left w:val="none" w:sz="0" w:space="0" w:color="auto"/>
            <w:bottom w:val="none" w:sz="0" w:space="0" w:color="auto"/>
            <w:right w:val="none" w:sz="0" w:space="0" w:color="auto"/>
          </w:divBdr>
        </w:div>
        <w:div w:id="902253386">
          <w:marLeft w:val="0"/>
          <w:marRight w:val="0"/>
          <w:marTop w:val="0"/>
          <w:marBottom w:val="0"/>
          <w:divBdr>
            <w:top w:val="none" w:sz="0" w:space="0" w:color="auto"/>
            <w:left w:val="none" w:sz="0" w:space="0" w:color="auto"/>
            <w:bottom w:val="none" w:sz="0" w:space="0" w:color="auto"/>
            <w:right w:val="none" w:sz="0" w:space="0" w:color="auto"/>
          </w:divBdr>
        </w:div>
        <w:div w:id="2012289662">
          <w:marLeft w:val="0"/>
          <w:marRight w:val="0"/>
          <w:marTop w:val="0"/>
          <w:marBottom w:val="0"/>
          <w:divBdr>
            <w:top w:val="none" w:sz="0" w:space="0" w:color="auto"/>
            <w:left w:val="none" w:sz="0" w:space="0" w:color="auto"/>
            <w:bottom w:val="none" w:sz="0" w:space="0" w:color="auto"/>
            <w:right w:val="none" w:sz="0" w:space="0" w:color="auto"/>
          </w:divBdr>
        </w:div>
        <w:div w:id="1468889385">
          <w:marLeft w:val="0"/>
          <w:marRight w:val="0"/>
          <w:marTop w:val="0"/>
          <w:marBottom w:val="0"/>
          <w:divBdr>
            <w:top w:val="none" w:sz="0" w:space="0" w:color="auto"/>
            <w:left w:val="none" w:sz="0" w:space="0" w:color="auto"/>
            <w:bottom w:val="none" w:sz="0" w:space="0" w:color="auto"/>
            <w:right w:val="none" w:sz="0" w:space="0" w:color="auto"/>
          </w:divBdr>
        </w:div>
        <w:div w:id="1174878826">
          <w:marLeft w:val="0"/>
          <w:marRight w:val="0"/>
          <w:marTop w:val="0"/>
          <w:marBottom w:val="0"/>
          <w:divBdr>
            <w:top w:val="none" w:sz="0" w:space="0" w:color="auto"/>
            <w:left w:val="none" w:sz="0" w:space="0" w:color="auto"/>
            <w:bottom w:val="none" w:sz="0" w:space="0" w:color="auto"/>
            <w:right w:val="none" w:sz="0" w:space="0" w:color="auto"/>
          </w:divBdr>
        </w:div>
        <w:div w:id="537158524">
          <w:marLeft w:val="0"/>
          <w:marRight w:val="0"/>
          <w:marTop w:val="0"/>
          <w:marBottom w:val="0"/>
          <w:divBdr>
            <w:top w:val="none" w:sz="0" w:space="0" w:color="auto"/>
            <w:left w:val="none" w:sz="0" w:space="0" w:color="auto"/>
            <w:bottom w:val="none" w:sz="0" w:space="0" w:color="auto"/>
            <w:right w:val="none" w:sz="0" w:space="0" w:color="auto"/>
          </w:divBdr>
        </w:div>
        <w:div w:id="1103570427">
          <w:marLeft w:val="0"/>
          <w:marRight w:val="0"/>
          <w:marTop w:val="0"/>
          <w:marBottom w:val="0"/>
          <w:divBdr>
            <w:top w:val="none" w:sz="0" w:space="0" w:color="auto"/>
            <w:left w:val="none" w:sz="0" w:space="0" w:color="auto"/>
            <w:bottom w:val="none" w:sz="0" w:space="0" w:color="auto"/>
            <w:right w:val="none" w:sz="0" w:space="0" w:color="auto"/>
          </w:divBdr>
        </w:div>
        <w:div w:id="657342314">
          <w:marLeft w:val="0"/>
          <w:marRight w:val="0"/>
          <w:marTop w:val="0"/>
          <w:marBottom w:val="0"/>
          <w:divBdr>
            <w:top w:val="none" w:sz="0" w:space="0" w:color="auto"/>
            <w:left w:val="none" w:sz="0" w:space="0" w:color="auto"/>
            <w:bottom w:val="none" w:sz="0" w:space="0" w:color="auto"/>
            <w:right w:val="none" w:sz="0" w:space="0" w:color="auto"/>
          </w:divBdr>
        </w:div>
        <w:div w:id="1898085142">
          <w:marLeft w:val="0"/>
          <w:marRight w:val="0"/>
          <w:marTop w:val="0"/>
          <w:marBottom w:val="0"/>
          <w:divBdr>
            <w:top w:val="none" w:sz="0" w:space="0" w:color="auto"/>
            <w:left w:val="none" w:sz="0" w:space="0" w:color="auto"/>
            <w:bottom w:val="none" w:sz="0" w:space="0" w:color="auto"/>
            <w:right w:val="none" w:sz="0" w:space="0" w:color="auto"/>
          </w:divBdr>
        </w:div>
        <w:div w:id="498229177">
          <w:marLeft w:val="0"/>
          <w:marRight w:val="0"/>
          <w:marTop w:val="0"/>
          <w:marBottom w:val="0"/>
          <w:divBdr>
            <w:top w:val="none" w:sz="0" w:space="0" w:color="auto"/>
            <w:left w:val="none" w:sz="0" w:space="0" w:color="auto"/>
            <w:bottom w:val="none" w:sz="0" w:space="0" w:color="auto"/>
            <w:right w:val="none" w:sz="0" w:space="0" w:color="auto"/>
          </w:divBdr>
        </w:div>
      </w:divsChild>
    </w:div>
    <w:div w:id="16395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56D7B-29E9-4D71-972E-958C6E30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8930</Characters>
  <Application>Microsoft Office Word</Application>
  <DocSecurity>0</DocSecurity>
  <Lines>312</Lines>
  <Paragraphs>83</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Management Response to the Mid-Term Review of the South Asia Water Security Initiative (SAWASI)</dc:title>
  <dc:subject/>
  <dc:creator/>
  <cp:keywords>[SEC=OFFICIAL]</cp:keywords>
  <dc:description/>
  <cp:lastModifiedBy/>
  <cp:revision>1</cp:revision>
  <dcterms:created xsi:type="dcterms:W3CDTF">2025-02-18T21:46:00Z</dcterms:created>
  <dcterms:modified xsi:type="dcterms:W3CDTF">2025-02-18T21:46:00Z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v=2022.1;a=SHA256;h=B382842685AA4333B19C5AC079A2E013376CBA66D9B31E6A60F16D691A8641FF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2024-11-25T06:19:10Z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4670CB4E974E4FCD95FDCFE1C4A6AE92</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E0BD1A30ABE93068A0438B1A11CC53AF</vt:lpwstr>
  </property>
  <property fmtid="{D5CDD505-2E9C-101B-9397-08002B2CF9AE}" pid="24" name="PM_Hash_Salt">
    <vt:lpwstr>AA385AA00AAE2325D39A9746FA8A0141</vt:lpwstr>
  </property>
  <property fmtid="{D5CDD505-2E9C-101B-9397-08002B2CF9AE}" pid="25" name="PM_Hash_SHA1">
    <vt:lpwstr>3FFF590CEAC989759AF264495BB86F48A9EF1FEC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