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F5C1" w14:textId="01DE5ACC" w:rsidR="00B22FB2" w:rsidRPr="003F3250" w:rsidRDefault="009B7569" w:rsidP="003F3250">
      <w:pPr>
        <w:pStyle w:val="Heading1"/>
      </w:pPr>
      <w:r w:rsidRPr="003F3250">
        <w:t xml:space="preserve">DFAT Management Response to the Independent </w:t>
      </w:r>
      <w:r w:rsidR="004B6AD6" w:rsidRPr="003F3250">
        <w:t xml:space="preserve">Mid Term Review of Australia’s Partnership with </w:t>
      </w:r>
      <w:r w:rsidRPr="003F3250">
        <w:t xml:space="preserve">the Secretariat of the Pacific Regional Environment Program </w:t>
      </w:r>
      <w:r w:rsidR="00C36256" w:rsidRPr="003F3250">
        <w:t>202</w:t>
      </w:r>
      <w:r w:rsidRPr="003F3250">
        <w:t>5</w:t>
      </w:r>
    </w:p>
    <w:p w14:paraId="401D7946" w14:textId="4704B1D6" w:rsidR="00C36256" w:rsidRPr="003F3250" w:rsidRDefault="00C36256" w:rsidP="003F3250">
      <w:pPr>
        <w:pStyle w:val="Heading2"/>
      </w:pPr>
      <w:r w:rsidRPr="003F3250">
        <w:t>Context</w:t>
      </w:r>
    </w:p>
    <w:p w14:paraId="27B2BB57" w14:textId="77777777" w:rsidR="005F059A" w:rsidRDefault="006C01B8" w:rsidP="00FD6495">
      <w:pPr>
        <w:pStyle w:val="H2-Heading2"/>
        <w:rPr>
          <w:rFonts w:ascii="Calibri Light" w:hAnsi="Calibri Light" w:cs="Calibri Light"/>
          <w:b w:val="0"/>
          <w:bCs w:val="0"/>
          <w:sz w:val="22"/>
          <w:szCs w:val="22"/>
        </w:rPr>
      </w:pPr>
      <w:r w:rsidRPr="006C01B8">
        <w:rPr>
          <w:rFonts w:ascii="Calibri Light" w:hAnsi="Calibri Light" w:cs="Calibri Light"/>
          <w:b w:val="0"/>
          <w:bCs w:val="0"/>
          <w:sz w:val="22"/>
          <w:szCs w:val="22"/>
        </w:rPr>
        <w:t xml:space="preserve">The Secretariat of the Pacific Regional Environment Program (SPREP) is the Pacific regional organisation mandated to lead on environmental and climate change issues. SPREP is a treaty-based organisation with strong buy-in and ownership, particularly from its Pacific island members. </w:t>
      </w:r>
    </w:p>
    <w:p w14:paraId="52CF21FD" w14:textId="33FA0CEB" w:rsidR="006C01B8" w:rsidRDefault="006C01B8" w:rsidP="00FD6495">
      <w:pPr>
        <w:pStyle w:val="H2-Heading2"/>
        <w:rPr>
          <w:rFonts w:ascii="Calibri Light" w:hAnsi="Calibri Light" w:cs="Calibri Light"/>
          <w:b w:val="0"/>
          <w:bCs w:val="0"/>
          <w:sz w:val="22"/>
          <w:szCs w:val="22"/>
        </w:rPr>
      </w:pPr>
      <w:r w:rsidRPr="006C01B8">
        <w:rPr>
          <w:rFonts w:ascii="Calibri Light" w:hAnsi="Calibri Light" w:cs="Calibri Light"/>
          <w:b w:val="0"/>
          <w:bCs w:val="0"/>
          <w:sz w:val="22"/>
          <w:szCs w:val="22"/>
        </w:rPr>
        <w:t xml:space="preserve">Australia is a founding member of SPREP, since its formal establishment in 1993 and is a signatory to the SPREP Agreement (1993). The Government of Australia </w:t>
      </w:r>
      <w:r w:rsidR="005806D2">
        <w:rPr>
          <w:rFonts w:ascii="Calibri Light" w:hAnsi="Calibri Light" w:cs="Calibri Light"/>
          <w:b w:val="0"/>
          <w:bCs w:val="0"/>
          <w:sz w:val="22"/>
          <w:szCs w:val="22"/>
        </w:rPr>
        <w:t xml:space="preserve">(GoA) </w:t>
      </w:r>
      <w:r w:rsidRPr="006C01B8">
        <w:rPr>
          <w:rFonts w:ascii="Calibri Light" w:hAnsi="Calibri Light" w:cs="Calibri Light"/>
          <w:b w:val="0"/>
          <w:bCs w:val="0"/>
          <w:sz w:val="22"/>
          <w:szCs w:val="22"/>
        </w:rPr>
        <w:t>and SPREP Partnership Agreement (2021 to 2031) was signed by the Minister for International Development (MIDP) and applies to all GoA development activities with SPREP in the Pacific.</w:t>
      </w:r>
    </w:p>
    <w:p w14:paraId="6D1AB2BE" w14:textId="76666F77" w:rsidR="00C36256" w:rsidRPr="00647B5C" w:rsidRDefault="00C36256" w:rsidP="003F3250">
      <w:pPr>
        <w:pStyle w:val="Heading2"/>
      </w:pPr>
      <w:r w:rsidRPr="00647B5C">
        <w:t>The Evaluation</w:t>
      </w:r>
    </w:p>
    <w:p w14:paraId="6E0C1BF3" w14:textId="44EDE418" w:rsidR="007F3B80" w:rsidRDefault="00E4737E" w:rsidP="007F3B80">
      <w:pPr>
        <w:pStyle w:val="BodyCopy"/>
        <w:rPr>
          <w:color w:val="auto"/>
        </w:rPr>
      </w:pPr>
      <w:r>
        <w:rPr>
          <w:color w:val="auto"/>
        </w:rPr>
        <w:t xml:space="preserve">The Pacific </w:t>
      </w:r>
      <w:r w:rsidR="005F059A">
        <w:rPr>
          <w:color w:val="auto"/>
        </w:rPr>
        <w:t xml:space="preserve">Climate </w:t>
      </w:r>
      <w:r>
        <w:rPr>
          <w:color w:val="auto"/>
        </w:rPr>
        <w:t xml:space="preserve">Section </w:t>
      </w:r>
      <w:r w:rsidR="00607370">
        <w:rPr>
          <w:color w:val="auto"/>
        </w:rPr>
        <w:t>(P</w:t>
      </w:r>
      <w:r w:rsidR="00CD1522">
        <w:rPr>
          <w:color w:val="auto"/>
        </w:rPr>
        <w:t>CL</w:t>
      </w:r>
      <w:r w:rsidR="00607370">
        <w:rPr>
          <w:color w:val="auto"/>
        </w:rPr>
        <w:t xml:space="preserve">) </w:t>
      </w:r>
      <w:r>
        <w:rPr>
          <w:color w:val="auto"/>
        </w:rPr>
        <w:t>in Office of the Paci</w:t>
      </w:r>
      <w:r w:rsidR="00607370">
        <w:rPr>
          <w:color w:val="auto"/>
        </w:rPr>
        <w:t xml:space="preserve">fic </w:t>
      </w:r>
      <w:r w:rsidR="00FC3FED">
        <w:rPr>
          <w:color w:val="auto"/>
        </w:rPr>
        <w:t>(</w:t>
      </w:r>
      <w:r w:rsidR="00607370">
        <w:rPr>
          <w:color w:val="auto"/>
        </w:rPr>
        <w:t>OTP) commissioned a</w:t>
      </w:r>
      <w:r w:rsidR="00EB06A2" w:rsidRPr="00647B5C">
        <w:rPr>
          <w:color w:val="auto"/>
        </w:rPr>
        <w:t>n</w:t>
      </w:r>
      <w:r w:rsidR="00C36256" w:rsidRPr="00647B5C">
        <w:rPr>
          <w:color w:val="auto"/>
        </w:rPr>
        <w:t xml:space="preserve"> independent</w:t>
      </w:r>
      <w:r w:rsidR="00CD1522">
        <w:rPr>
          <w:color w:val="auto"/>
        </w:rPr>
        <w:t xml:space="preserve"> </w:t>
      </w:r>
      <w:r w:rsidR="007F3B80">
        <w:rPr>
          <w:color w:val="auto"/>
        </w:rPr>
        <w:t>mid-term</w:t>
      </w:r>
      <w:r w:rsidR="00CD1522">
        <w:rPr>
          <w:color w:val="auto"/>
        </w:rPr>
        <w:t xml:space="preserve"> review of </w:t>
      </w:r>
      <w:r w:rsidR="00F135C1">
        <w:rPr>
          <w:color w:val="auto"/>
        </w:rPr>
        <w:t xml:space="preserve">Australia’s Partnership </w:t>
      </w:r>
      <w:r w:rsidR="002F1260">
        <w:rPr>
          <w:color w:val="auto"/>
        </w:rPr>
        <w:t xml:space="preserve">with </w:t>
      </w:r>
      <w:r w:rsidR="00CD1522">
        <w:rPr>
          <w:color w:val="auto"/>
        </w:rPr>
        <w:t>the</w:t>
      </w:r>
      <w:r w:rsidR="002F1260">
        <w:rPr>
          <w:color w:val="auto"/>
        </w:rPr>
        <w:t xml:space="preserve"> SPREP</w:t>
      </w:r>
      <w:r w:rsidR="00607370">
        <w:rPr>
          <w:color w:val="auto"/>
        </w:rPr>
        <w:t xml:space="preserve">. The </w:t>
      </w:r>
      <w:r w:rsidR="00E0539A" w:rsidRPr="00647B5C">
        <w:rPr>
          <w:color w:val="auto"/>
        </w:rPr>
        <w:t>S</w:t>
      </w:r>
      <w:r w:rsidR="003F64FD">
        <w:rPr>
          <w:color w:val="auto"/>
        </w:rPr>
        <w:t xml:space="preserve">trategic Development Group </w:t>
      </w:r>
      <w:r w:rsidR="00E0539A" w:rsidRPr="00647B5C">
        <w:rPr>
          <w:color w:val="auto"/>
        </w:rPr>
        <w:t>Pty Ltd</w:t>
      </w:r>
      <w:r w:rsidR="00EB06A2" w:rsidRPr="00647B5C">
        <w:rPr>
          <w:color w:val="auto"/>
        </w:rPr>
        <w:t xml:space="preserve"> </w:t>
      </w:r>
      <w:r w:rsidR="00607370">
        <w:rPr>
          <w:color w:val="auto"/>
        </w:rPr>
        <w:t xml:space="preserve">was contracted to </w:t>
      </w:r>
      <w:r w:rsidR="00B83455">
        <w:rPr>
          <w:color w:val="auto"/>
        </w:rPr>
        <w:t xml:space="preserve">conduct the evaluation </w:t>
      </w:r>
      <w:r w:rsidR="00EB06A2" w:rsidRPr="00647B5C">
        <w:rPr>
          <w:color w:val="auto"/>
        </w:rPr>
        <w:t xml:space="preserve">between </w:t>
      </w:r>
      <w:r w:rsidR="00BE0664">
        <w:rPr>
          <w:color w:val="auto"/>
        </w:rPr>
        <w:t>September 2024</w:t>
      </w:r>
      <w:r w:rsidR="00EB06A2" w:rsidRPr="00647B5C">
        <w:rPr>
          <w:color w:val="auto"/>
        </w:rPr>
        <w:t xml:space="preserve"> and </w:t>
      </w:r>
      <w:r w:rsidR="0049015A">
        <w:rPr>
          <w:color w:val="auto"/>
        </w:rPr>
        <w:t>April</w:t>
      </w:r>
      <w:r w:rsidR="00EB06A2" w:rsidRPr="00647B5C">
        <w:rPr>
          <w:color w:val="auto"/>
        </w:rPr>
        <w:t xml:space="preserve"> 202</w:t>
      </w:r>
      <w:r w:rsidR="0049015A">
        <w:rPr>
          <w:color w:val="auto"/>
        </w:rPr>
        <w:t>5</w:t>
      </w:r>
      <w:r w:rsidR="009457CC" w:rsidRPr="00647B5C">
        <w:rPr>
          <w:rStyle w:val="FootnoteReference"/>
          <w:color w:val="auto"/>
        </w:rPr>
        <w:footnoteReference w:id="2"/>
      </w:r>
      <w:r w:rsidR="00D848F8" w:rsidRPr="00647B5C">
        <w:rPr>
          <w:color w:val="auto"/>
        </w:rPr>
        <w:t xml:space="preserve">. </w:t>
      </w:r>
    </w:p>
    <w:p w14:paraId="386E73A9" w14:textId="18F7BCED" w:rsidR="00D82127" w:rsidRPr="00D82127" w:rsidRDefault="007F3B80" w:rsidP="00D82127">
      <w:pPr>
        <w:pStyle w:val="BodyCopy"/>
        <w:rPr>
          <w:color w:val="auto"/>
        </w:rPr>
      </w:pPr>
      <w:r w:rsidRPr="007F3B80">
        <w:rPr>
          <w:color w:val="auto"/>
        </w:rPr>
        <w:t>The overall purpose of the MTR was to assess progress of the current Grant Arrangement (10 June 2021 – 30 June 2025) under the Partnership between the Government of Australia and the SPREP and broader program and project funding and to inform the next core funding arrangement. </w:t>
      </w:r>
      <w:r w:rsidR="00D82127" w:rsidRPr="00D82127">
        <w:rPr>
          <w:color w:val="auto"/>
        </w:rPr>
        <w:t>Key elements of the partnership include:</w:t>
      </w:r>
    </w:p>
    <w:p w14:paraId="0057DBA9" w14:textId="7ABF539E" w:rsidR="00D82127" w:rsidRPr="00D82127" w:rsidRDefault="00D82127" w:rsidP="00D82127">
      <w:pPr>
        <w:pStyle w:val="BodyCopy"/>
        <w:numPr>
          <w:ilvl w:val="0"/>
          <w:numId w:val="10"/>
        </w:numPr>
        <w:rPr>
          <w:color w:val="auto"/>
        </w:rPr>
      </w:pPr>
      <w:r w:rsidRPr="00D82127">
        <w:rPr>
          <w:color w:val="auto"/>
        </w:rPr>
        <w:t>Partnership Arrangement (2021-2031), a non-financial partnership document outlining objectives, commitments, roles and responsibilities of GoA and SPREP</w:t>
      </w:r>
    </w:p>
    <w:p w14:paraId="45929DE3" w14:textId="77777777" w:rsidR="00D82127" w:rsidRPr="00D82127" w:rsidRDefault="00D82127" w:rsidP="00D82127">
      <w:pPr>
        <w:pStyle w:val="BodyCopy"/>
        <w:numPr>
          <w:ilvl w:val="0"/>
          <w:numId w:val="11"/>
        </w:numPr>
        <w:rPr>
          <w:color w:val="auto"/>
        </w:rPr>
      </w:pPr>
      <w:r w:rsidRPr="00D82127">
        <w:rPr>
          <w:color w:val="auto"/>
        </w:rPr>
        <w:t>Grant Arrangement 76930/1 (2021-2025), an investment of AUD 17.2 million in core funding that is flexible and non-conditional </w:t>
      </w:r>
    </w:p>
    <w:p w14:paraId="318A8779" w14:textId="035F4788" w:rsidR="007F3B80" w:rsidRPr="00D82127" w:rsidRDefault="00D82127" w:rsidP="007F3B80">
      <w:pPr>
        <w:pStyle w:val="BodyCopy"/>
        <w:numPr>
          <w:ilvl w:val="0"/>
          <w:numId w:val="12"/>
        </w:numPr>
        <w:rPr>
          <w:color w:val="auto"/>
        </w:rPr>
      </w:pPr>
      <w:r w:rsidRPr="00D82127">
        <w:rPr>
          <w:color w:val="auto"/>
        </w:rPr>
        <w:t>Non-core funding of various projects, managed under separate grant arrangements</w:t>
      </w:r>
      <w:r w:rsidR="004575FF">
        <w:rPr>
          <w:color w:val="auto"/>
        </w:rPr>
        <w:t>.</w:t>
      </w:r>
      <w:r w:rsidRPr="00D82127">
        <w:rPr>
          <w:color w:val="auto"/>
        </w:rPr>
        <w:t> </w:t>
      </w:r>
    </w:p>
    <w:p w14:paraId="2A7BFD5B" w14:textId="77777777" w:rsidR="007F3B80" w:rsidRPr="007F3B80" w:rsidRDefault="007F3B80" w:rsidP="007F3B80">
      <w:pPr>
        <w:pStyle w:val="BodyCopy"/>
        <w:rPr>
          <w:color w:val="auto"/>
        </w:rPr>
      </w:pPr>
      <w:r w:rsidRPr="007F3B80">
        <w:rPr>
          <w:color w:val="auto"/>
        </w:rPr>
        <w:t>The purpose of the MTR was to assess whether the Arrangement meets its intended objectives, as noted above, along with the high-level objectives set out under Section 3 of the Partnership Arrangement.  </w:t>
      </w:r>
    </w:p>
    <w:p w14:paraId="71B36213" w14:textId="77777777" w:rsidR="007F3B80" w:rsidRPr="007F3B80" w:rsidRDefault="007F3B80" w:rsidP="007F3B80">
      <w:pPr>
        <w:pStyle w:val="BodyCopy"/>
        <w:rPr>
          <w:color w:val="auto"/>
        </w:rPr>
      </w:pPr>
      <w:r w:rsidRPr="007F3B80">
        <w:rPr>
          <w:color w:val="auto"/>
        </w:rPr>
        <w:t>The scope of the MTR covers the Partnership Agreement, including the current Grant Arrangement for core funding (2021-present), along with program and project funding since 2021. The MTR considered consultation mechanisms, governance arrangements, and all aspects of the Partnership Arrangement, the Grant Arrangement and program and projects since 2021. The MTR did not specifically focus on SPREP itself, except in support of the assessment of the Partnership. </w:t>
      </w:r>
    </w:p>
    <w:p w14:paraId="3BBFFD4A" w14:textId="77777777" w:rsidR="001C4F8D" w:rsidRPr="001C4F8D" w:rsidRDefault="001C4F8D" w:rsidP="001C4F8D">
      <w:pPr>
        <w:pStyle w:val="BodyCopy"/>
        <w:rPr>
          <w:color w:val="auto"/>
        </w:rPr>
      </w:pPr>
      <w:r w:rsidRPr="001C4F8D">
        <w:rPr>
          <w:color w:val="auto"/>
        </w:rPr>
        <w:t>The overarching findings of the review are as follows: </w:t>
      </w:r>
    </w:p>
    <w:p w14:paraId="4F64D60D" w14:textId="77777777" w:rsidR="001C4F8D" w:rsidRPr="001C4F8D" w:rsidRDefault="001C4F8D" w:rsidP="001C4F8D">
      <w:pPr>
        <w:pStyle w:val="BodyCopy"/>
        <w:numPr>
          <w:ilvl w:val="0"/>
          <w:numId w:val="13"/>
        </w:numPr>
        <w:rPr>
          <w:color w:val="auto"/>
        </w:rPr>
      </w:pPr>
      <w:r w:rsidRPr="001C4F8D">
        <w:rPr>
          <w:color w:val="auto"/>
        </w:rPr>
        <w:t>The Partnership is considered valuable, positive and relevant to all parties in achieving their objectives, and the long-standing, well-established relationship is key to this sentiment.  </w:t>
      </w:r>
    </w:p>
    <w:p w14:paraId="6A748637" w14:textId="77777777" w:rsidR="001C4F8D" w:rsidRPr="001C4F8D" w:rsidRDefault="001C4F8D" w:rsidP="001C4F8D">
      <w:pPr>
        <w:pStyle w:val="BodyCopy"/>
        <w:numPr>
          <w:ilvl w:val="0"/>
          <w:numId w:val="14"/>
        </w:numPr>
        <w:rPr>
          <w:color w:val="auto"/>
        </w:rPr>
      </w:pPr>
      <w:r w:rsidRPr="001C4F8D">
        <w:rPr>
          <w:color w:val="auto"/>
          <w:lang w:val="en-GB"/>
        </w:rPr>
        <w:t>The Partnership is a complex amalgamation of financial and non-financial agreements, including core and non-core funding, which impacts efficiency, effectiveness and coherence, and could be streamlined in future iterations.</w:t>
      </w:r>
      <w:r w:rsidRPr="001C4F8D">
        <w:rPr>
          <w:color w:val="auto"/>
        </w:rPr>
        <w:t>  </w:t>
      </w:r>
    </w:p>
    <w:p w14:paraId="134DCF7D" w14:textId="77777777" w:rsidR="001C4F8D" w:rsidRPr="001C4F8D" w:rsidRDefault="001C4F8D" w:rsidP="001C4F8D">
      <w:pPr>
        <w:pStyle w:val="BodyCopy"/>
        <w:numPr>
          <w:ilvl w:val="0"/>
          <w:numId w:val="15"/>
        </w:numPr>
        <w:rPr>
          <w:color w:val="auto"/>
        </w:rPr>
      </w:pPr>
      <w:r w:rsidRPr="001C4F8D">
        <w:rPr>
          <w:color w:val="auto"/>
        </w:rPr>
        <w:t>Australia’s expectations for the Partnership, as defined in the Partnership Arrangement and Grant Arrangement documentation, align with SPREP’s priorities in supporting delivery of SPREP’s Strategic Plan. </w:t>
      </w:r>
    </w:p>
    <w:p w14:paraId="2B1DAA48" w14:textId="77777777" w:rsidR="001C4F8D" w:rsidRPr="001C4F8D" w:rsidRDefault="001C4F8D" w:rsidP="001C4F8D">
      <w:pPr>
        <w:pStyle w:val="BodyCopy"/>
        <w:numPr>
          <w:ilvl w:val="0"/>
          <w:numId w:val="16"/>
        </w:numPr>
        <w:rPr>
          <w:color w:val="auto"/>
        </w:rPr>
      </w:pPr>
      <w:r w:rsidRPr="001C4F8D">
        <w:rPr>
          <w:color w:val="auto"/>
        </w:rPr>
        <w:lastRenderedPageBreak/>
        <w:t>The financial elements of the Partnership are well defined and understood by all parties. The non-financial supports provided by Australia could be more clearly captured and articulated within the Partnership.  </w:t>
      </w:r>
    </w:p>
    <w:p w14:paraId="2C1A44A7" w14:textId="77777777" w:rsidR="001C4F8D" w:rsidRPr="001C4F8D" w:rsidRDefault="001C4F8D" w:rsidP="001C4F8D">
      <w:pPr>
        <w:pStyle w:val="BodyCopy"/>
        <w:numPr>
          <w:ilvl w:val="0"/>
          <w:numId w:val="17"/>
        </w:numPr>
        <w:rPr>
          <w:color w:val="auto"/>
        </w:rPr>
      </w:pPr>
      <w:r w:rsidRPr="001C4F8D">
        <w:rPr>
          <w:color w:val="auto"/>
          <w:lang w:val="en-GB"/>
        </w:rPr>
        <w:t>There are opportunities to streamline, realign and rebalance the Partnership, to improve clarity of obligations, responsibilities and progress. </w:t>
      </w:r>
      <w:r w:rsidRPr="001C4F8D">
        <w:rPr>
          <w:color w:val="auto"/>
        </w:rPr>
        <w:t> </w:t>
      </w:r>
    </w:p>
    <w:p w14:paraId="11FCCA83" w14:textId="6858DBDA" w:rsidR="00FD6495" w:rsidRPr="00327DC1" w:rsidRDefault="00162DAC" w:rsidP="00327DC1">
      <w:pPr>
        <w:pStyle w:val="BodyCopy"/>
        <w:rPr>
          <w:rFonts w:asciiTheme="majorHAnsi" w:hAnsiTheme="majorHAnsi" w:cstheme="majorHAnsi"/>
          <w:color w:val="auto"/>
        </w:rPr>
      </w:pPr>
      <w:r w:rsidRPr="001C4F8D">
        <w:rPr>
          <w:rFonts w:asciiTheme="majorHAnsi" w:hAnsiTheme="majorHAnsi" w:cstheme="majorHAnsi"/>
          <w:color w:val="auto"/>
        </w:rPr>
        <w:t xml:space="preserve">DFAT </w:t>
      </w:r>
      <w:r w:rsidR="00250E4D" w:rsidRPr="001C4F8D">
        <w:rPr>
          <w:rFonts w:asciiTheme="majorHAnsi" w:hAnsiTheme="majorHAnsi" w:cstheme="majorHAnsi"/>
          <w:color w:val="auto"/>
        </w:rPr>
        <w:t xml:space="preserve">will implement </w:t>
      </w:r>
      <w:r w:rsidRPr="001C4F8D">
        <w:rPr>
          <w:rFonts w:asciiTheme="majorHAnsi" w:hAnsiTheme="majorHAnsi" w:cstheme="majorHAnsi"/>
          <w:color w:val="auto"/>
        </w:rPr>
        <w:t>the review findings with SP</w:t>
      </w:r>
      <w:r w:rsidR="009B4B5B" w:rsidRPr="001C4F8D">
        <w:rPr>
          <w:rFonts w:asciiTheme="majorHAnsi" w:hAnsiTheme="majorHAnsi" w:cstheme="majorHAnsi"/>
          <w:color w:val="auto"/>
        </w:rPr>
        <w:t>REP</w:t>
      </w:r>
      <w:r w:rsidRPr="001C4F8D">
        <w:rPr>
          <w:rFonts w:asciiTheme="majorHAnsi" w:hAnsiTheme="majorHAnsi" w:cstheme="majorHAnsi"/>
          <w:color w:val="auto"/>
        </w:rPr>
        <w:t xml:space="preserve"> </w:t>
      </w:r>
      <w:r w:rsidR="0058189B" w:rsidRPr="001C4F8D">
        <w:rPr>
          <w:rFonts w:asciiTheme="majorHAnsi" w:hAnsiTheme="majorHAnsi" w:cstheme="majorHAnsi"/>
          <w:color w:val="auto"/>
        </w:rPr>
        <w:t xml:space="preserve">under the </w:t>
      </w:r>
      <w:r w:rsidR="007F5429" w:rsidRPr="001C4F8D">
        <w:rPr>
          <w:rFonts w:asciiTheme="majorHAnsi" w:hAnsiTheme="majorHAnsi" w:cstheme="majorHAnsi"/>
          <w:color w:val="auto"/>
        </w:rPr>
        <w:t>new</w:t>
      </w:r>
      <w:r w:rsidR="007F5429" w:rsidRPr="00647B5C">
        <w:rPr>
          <w:rFonts w:asciiTheme="majorHAnsi" w:hAnsiTheme="majorHAnsi" w:cstheme="majorHAnsi"/>
          <w:color w:val="auto"/>
        </w:rPr>
        <w:t xml:space="preserve"> </w:t>
      </w:r>
      <w:r w:rsidR="00D81CD7" w:rsidRPr="00647B5C">
        <w:rPr>
          <w:rFonts w:asciiTheme="majorHAnsi" w:hAnsiTheme="majorHAnsi" w:cstheme="majorHAnsi"/>
          <w:color w:val="auto"/>
        </w:rPr>
        <w:t xml:space="preserve">multi-year </w:t>
      </w:r>
      <w:r w:rsidR="009B4B5B">
        <w:rPr>
          <w:rFonts w:asciiTheme="majorHAnsi" w:hAnsiTheme="majorHAnsi" w:cstheme="majorHAnsi"/>
          <w:color w:val="auto"/>
        </w:rPr>
        <w:t xml:space="preserve">core </w:t>
      </w:r>
      <w:r w:rsidR="00D81CD7" w:rsidRPr="00647B5C">
        <w:rPr>
          <w:rFonts w:asciiTheme="majorHAnsi" w:hAnsiTheme="majorHAnsi" w:cstheme="majorHAnsi"/>
          <w:color w:val="auto"/>
        </w:rPr>
        <w:t>funding arrangement</w:t>
      </w:r>
      <w:r w:rsidR="009B4B5B">
        <w:rPr>
          <w:rFonts w:asciiTheme="majorHAnsi" w:hAnsiTheme="majorHAnsi" w:cstheme="majorHAnsi"/>
          <w:color w:val="auto"/>
        </w:rPr>
        <w:t xml:space="preserve"> </w:t>
      </w:r>
      <w:r w:rsidR="00DE3DBA">
        <w:rPr>
          <w:rFonts w:asciiTheme="majorHAnsi" w:hAnsiTheme="majorHAnsi" w:cstheme="majorHAnsi"/>
          <w:color w:val="auto"/>
        </w:rPr>
        <w:t>and programmatic funding arrangement</w:t>
      </w:r>
      <w:r w:rsidR="00D81CD7" w:rsidRPr="00647B5C">
        <w:rPr>
          <w:rFonts w:asciiTheme="majorHAnsi" w:hAnsiTheme="majorHAnsi" w:cstheme="majorHAnsi"/>
          <w:color w:val="auto"/>
        </w:rPr>
        <w:t xml:space="preserve"> with SP</w:t>
      </w:r>
      <w:r w:rsidR="00DE3DBA">
        <w:rPr>
          <w:rFonts w:asciiTheme="majorHAnsi" w:hAnsiTheme="majorHAnsi" w:cstheme="majorHAnsi"/>
          <w:color w:val="auto"/>
        </w:rPr>
        <w:t xml:space="preserve">REP in </w:t>
      </w:r>
      <w:r w:rsidR="00D81CD7" w:rsidRPr="00647B5C">
        <w:rPr>
          <w:rFonts w:asciiTheme="majorHAnsi" w:hAnsiTheme="majorHAnsi" w:cstheme="majorHAnsi"/>
          <w:color w:val="auto"/>
        </w:rPr>
        <w:t>202</w:t>
      </w:r>
      <w:r w:rsidR="00DE3DBA">
        <w:rPr>
          <w:rFonts w:asciiTheme="majorHAnsi" w:hAnsiTheme="majorHAnsi" w:cstheme="majorHAnsi"/>
          <w:color w:val="auto"/>
        </w:rPr>
        <w:t xml:space="preserve">5. </w:t>
      </w:r>
    </w:p>
    <w:p w14:paraId="0F4791E0" w14:textId="0B7425A3" w:rsidR="00EB444D" w:rsidRPr="00647B5C" w:rsidRDefault="00EB444D" w:rsidP="003F3250">
      <w:pPr>
        <w:pStyle w:val="Heading2"/>
        <w:rPr>
          <w:lang w:val="en-GB"/>
        </w:rPr>
      </w:pPr>
      <w:r w:rsidRPr="00647B5C">
        <w:rPr>
          <w:lang w:val="en-GB"/>
        </w:rPr>
        <w:t>DFAT Management response to specific evaluation recommendations</w:t>
      </w:r>
    </w:p>
    <w:tbl>
      <w:tblPr>
        <w:tblStyle w:val="TableGrid2"/>
        <w:tblW w:w="10206" w:type="dxa"/>
        <w:tblInd w:w="-5" w:type="dxa"/>
        <w:tblLook w:val="04A0" w:firstRow="1" w:lastRow="0" w:firstColumn="1" w:lastColumn="0" w:noHBand="0" w:noVBand="1"/>
      </w:tblPr>
      <w:tblGrid>
        <w:gridCol w:w="2552"/>
        <w:gridCol w:w="1200"/>
        <w:gridCol w:w="3903"/>
        <w:gridCol w:w="2551"/>
      </w:tblGrid>
      <w:tr w:rsidR="007019CE" w:rsidRPr="00647B5C" w14:paraId="03A5176F" w14:textId="77777777" w:rsidTr="00B70892">
        <w:trPr>
          <w:cantSplit/>
          <w:trHeight w:val="300"/>
          <w:tblHeader/>
        </w:trPr>
        <w:tc>
          <w:tcPr>
            <w:tcW w:w="2552" w:type="dxa"/>
            <w:shd w:val="clear" w:color="auto" w:fill="BFBFBF" w:themeFill="background1" w:themeFillShade="BF"/>
          </w:tcPr>
          <w:p w14:paraId="622ABA69" w14:textId="77777777" w:rsidR="00EB444D" w:rsidRPr="00647B5C" w:rsidRDefault="00EB444D" w:rsidP="00357D73">
            <w:pPr>
              <w:autoSpaceDE w:val="0"/>
              <w:autoSpaceDN w:val="0"/>
              <w:adjustRightInd w:val="0"/>
              <w:spacing w:after="0" w:line="240" w:lineRule="auto"/>
              <w:jc w:val="both"/>
              <w:rPr>
                <w:rFonts w:asciiTheme="majorHAnsi" w:hAnsiTheme="majorHAnsi" w:cstheme="majorHAnsi"/>
                <w:b/>
                <w:bCs/>
              </w:rPr>
            </w:pPr>
            <w:r w:rsidRPr="00647B5C">
              <w:rPr>
                <w:rFonts w:asciiTheme="majorHAnsi" w:hAnsiTheme="majorHAnsi" w:cstheme="majorHAnsi"/>
                <w:b/>
                <w:bCs/>
              </w:rPr>
              <w:t>Recommendation</w:t>
            </w:r>
          </w:p>
        </w:tc>
        <w:tc>
          <w:tcPr>
            <w:tcW w:w="1200" w:type="dxa"/>
            <w:shd w:val="clear" w:color="auto" w:fill="BFBFBF" w:themeFill="background1" w:themeFillShade="BF"/>
          </w:tcPr>
          <w:p w14:paraId="1C3E3B2B" w14:textId="77777777" w:rsidR="00EB444D" w:rsidRPr="00647B5C" w:rsidRDefault="00EB444D" w:rsidP="00357D73">
            <w:pPr>
              <w:autoSpaceDE w:val="0"/>
              <w:autoSpaceDN w:val="0"/>
              <w:adjustRightInd w:val="0"/>
              <w:spacing w:after="0" w:line="240" w:lineRule="auto"/>
              <w:jc w:val="both"/>
              <w:rPr>
                <w:rFonts w:asciiTheme="majorHAnsi" w:hAnsiTheme="majorHAnsi" w:cstheme="majorHAnsi"/>
                <w:b/>
                <w:bCs/>
              </w:rPr>
            </w:pPr>
            <w:r w:rsidRPr="00647B5C">
              <w:rPr>
                <w:rFonts w:asciiTheme="majorHAnsi" w:hAnsiTheme="majorHAnsi" w:cstheme="majorHAnsi"/>
                <w:b/>
                <w:bCs/>
              </w:rPr>
              <w:t>Response</w:t>
            </w:r>
          </w:p>
        </w:tc>
        <w:tc>
          <w:tcPr>
            <w:tcW w:w="3903" w:type="dxa"/>
            <w:shd w:val="clear" w:color="auto" w:fill="BFBFBF" w:themeFill="background1" w:themeFillShade="BF"/>
          </w:tcPr>
          <w:p w14:paraId="1A709F1D" w14:textId="77777777" w:rsidR="00EB444D" w:rsidRPr="00647B5C" w:rsidRDefault="00EB444D" w:rsidP="00357D73">
            <w:pPr>
              <w:autoSpaceDE w:val="0"/>
              <w:autoSpaceDN w:val="0"/>
              <w:adjustRightInd w:val="0"/>
              <w:spacing w:after="0" w:line="240" w:lineRule="auto"/>
              <w:jc w:val="both"/>
              <w:rPr>
                <w:rFonts w:asciiTheme="majorHAnsi" w:hAnsiTheme="majorHAnsi" w:cstheme="majorHAnsi"/>
                <w:b/>
                <w:bCs/>
              </w:rPr>
            </w:pPr>
            <w:r w:rsidRPr="00647B5C">
              <w:rPr>
                <w:rFonts w:asciiTheme="majorHAnsi" w:hAnsiTheme="majorHAnsi" w:cstheme="majorHAnsi"/>
                <w:b/>
                <w:bCs/>
              </w:rPr>
              <w:t>Explanation</w:t>
            </w:r>
          </w:p>
        </w:tc>
        <w:tc>
          <w:tcPr>
            <w:tcW w:w="2551" w:type="dxa"/>
            <w:shd w:val="clear" w:color="auto" w:fill="BFBFBF" w:themeFill="background1" w:themeFillShade="BF"/>
          </w:tcPr>
          <w:p w14:paraId="6D94E1BE" w14:textId="77777777" w:rsidR="00EB444D" w:rsidRPr="00647B5C" w:rsidRDefault="00EB444D" w:rsidP="00357D73">
            <w:pPr>
              <w:autoSpaceDE w:val="0"/>
              <w:autoSpaceDN w:val="0"/>
              <w:adjustRightInd w:val="0"/>
              <w:spacing w:after="0" w:line="240" w:lineRule="auto"/>
              <w:jc w:val="both"/>
              <w:rPr>
                <w:rFonts w:asciiTheme="majorHAnsi" w:hAnsiTheme="majorHAnsi" w:cstheme="majorHAnsi"/>
                <w:b/>
                <w:bCs/>
              </w:rPr>
            </w:pPr>
            <w:r w:rsidRPr="00647B5C">
              <w:rPr>
                <w:rFonts w:asciiTheme="majorHAnsi" w:hAnsiTheme="majorHAnsi" w:cstheme="majorHAnsi"/>
                <w:b/>
                <w:bCs/>
              </w:rPr>
              <w:t>Action Plan</w:t>
            </w:r>
          </w:p>
        </w:tc>
      </w:tr>
      <w:tr w:rsidR="00B93CB8" w:rsidRPr="00647B5C" w14:paraId="7CFF0B05" w14:textId="77777777" w:rsidTr="00B70892">
        <w:trPr>
          <w:cantSplit/>
          <w:trHeight w:val="300"/>
        </w:trPr>
        <w:tc>
          <w:tcPr>
            <w:tcW w:w="2552" w:type="dxa"/>
          </w:tcPr>
          <w:p w14:paraId="37CEF15A" w14:textId="4E8B86C4" w:rsidR="00B93CB8" w:rsidRPr="00563FEB" w:rsidRDefault="00563FEB" w:rsidP="00563FEB">
            <w:pPr>
              <w:autoSpaceDE w:val="0"/>
              <w:autoSpaceDN w:val="0"/>
              <w:adjustRightInd w:val="0"/>
              <w:rPr>
                <w:rFonts w:asciiTheme="majorHAnsi" w:hAnsiTheme="majorHAnsi" w:cstheme="majorBidi"/>
              </w:rPr>
            </w:pPr>
            <w:r>
              <w:rPr>
                <w:rStyle w:val="normaltextrun"/>
                <w:rFonts w:ascii="Calibri Light" w:hAnsi="Calibri Light" w:cs="Calibri Light"/>
                <w:lang w:val="en-GB"/>
              </w:rPr>
              <w:t xml:space="preserve">1. </w:t>
            </w:r>
            <w:r w:rsidR="00B93CB8" w:rsidRPr="00563FEB">
              <w:rPr>
                <w:rStyle w:val="normaltextrun"/>
                <w:rFonts w:ascii="Calibri Light" w:hAnsi="Calibri Light" w:cs="Calibri Light"/>
                <w:lang w:val="en-GB"/>
              </w:rPr>
              <w:t>GoA and SPREP work closely together to simplify the modality in design and implementation, including objectives and results tracking, of the Partnership and Grant Arrangements.</w:t>
            </w:r>
            <w:r w:rsidR="00B93CB8" w:rsidRPr="00563FEB">
              <w:rPr>
                <w:rStyle w:val="eop"/>
                <w:rFonts w:ascii="Calibri Light" w:hAnsi="Calibri Light" w:cs="Calibri Light"/>
              </w:rPr>
              <w:t> </w:t>
            </w:r>
          </w:p>
        </w:tc>
        <w:tc>
          <w:tcPr>
            <w:tcW w:w="1200" w:type="dxa"/>
          </w:tcPr>
          <w:p w14:paraId="46ED29EF" w14:textId="2B5153F5" w:rsidR="00B93CB8" w:rsidRPr="004F156C" w:rsidRDefault="00B93CB8" w:rsidP="003F3250">
            <w:pPr>
              <w:autoSpaceDE w:val="0"/>
              <w:autoSpaceDN w:val="0"/>
              <w:adjustRightInd w:val="0"/>
              <w:spacing w:after="0" w:line="240" w:lineRule="auto"/>
              <w:rPr>
                <w:rStyle w:val="normaltextrun"/>
                <w:rFonts w:ascii="Calibri Light" w:hAnsi="Calibri Light" w:cs="Calibri Light"/>
                <w:lang w:val="en-GB"/>
              </w:rPr>
            </w:pPr>
            <w:r w:rsidRPr="004F156C">
              <w:rPr>
                <w:rStyle w:val="normaltextrun"/>
                <w:rFonts w:ascii="Calibri Light" w:hAnsi="Calibri Light" w:cs="Calibri Light"/>
                <w:lang w:val="en-GB"/>
              </w:rPr>
              <w:t xml:space="preserve">Agree </w:t>
            </w:r>
          </w:p>
        </w:tc>
        <w:tc>
          <w:tcPr>
            <w:tcW w:w="3903" w:type="dxa"/>
          </w:tcPr>
          <w:p w14:paraId="136E94D6" w14:textId="6994353E" w:rsidR="00B93CB8" w:rsidRPr="004F156C" w:rsidRDefault="00486936" w:rsidP="00B93CB8">
            <w:pPr>
              <w:autoSpaceDE w:val="0"/>
              <w:autoSpaceDN w:val="0"/>
              <w:adjustRightInd w:val="0"/>
              <w:spacing w:after="60" w:line="240" w:lineRule="auto"/>
              <w:rPr>
                <w:rStyle w:val="normaltextrun"/>
                <w:rFonts w:ascii="Calibri Light" w:hAnsi="Calibri Light" w:cs="Calibri Light"/>
                <w:lang w:val="en-GB"/>
              </w:rPr>
            </w:pPr>
            <w:r w:rsidRPr="004F156C">
              <w:rPr>
                <w:rStyle w:val="normaltextrun"/>
                <w:rFonts w:ascii="Calibri Light" w:hAnsi="Calibri Light" w:cs="Calibri Light"/>
                <w:lang w:val="en-GB"/>
              </w:rPr>
              <w:t xml:space="preserve">Overall, there is strong evidence that the Partnership Arrangement, Grant Arrangement and non-core grant funding are highly relevant to SPREP, GoA and SPREP Member countries. Evidence suggests there are opportunities to streamline the funding modalities and simplify the objectives. </w:t>
            </w:r>
          </w:p>
        </w:tc>
        <w:tc>
          <w:tcPr>
            <w:tcW w:w="2551" w:type="dxa"/>
          </w:tcPr>
          <w:p w14:paraId="5C4277E9" w14:textId="7238C56E" w:rsidR="00B93CB8" w:rsidRPr="00647B5C" w:rsidRDefault="00C411A4" w:rsidP="00B93CB8">
            <w:pPr>
              <w:pStyle w:val="BodyCopy"/>
              <w:rPr>
                <w:rFonts w:asciiTheme="majorHAnsi" w:hAnsiTheme="majorHAnsi" w:cstheme="majorHAnsi"/>
                <w:color w:val="auto"/>
              </w:rPr>
            </w:pPr>
            <w:r w:rsidRPr="0089092C">
              <w:rPr>
                <w:rStyle w:val="normaltextrun"/>
                <w:color w:val="auto"/>
                <w:szCs w:val="22"/>
                <w:lang w:val="en-GB"/>
              </w:rPr>
              <w:t>DFAT</w:t>
            </w:r>
            <w:r w:rsidR="00346569" w:rsidRPr="0089092C">
              <w:rPr>
                <w:rStyle w:val="normaltextrun"/>
                <w:color w:val="auto"/>
                <w:szCs w:val="22"/>
                <w:lang w:val="en-GB"/>
              </w:rPr>
              <w:t xml:space="preserve"> will </w:t>
            </w:r>
            <w:r w:rsidR="00A62D96">
              <w:rPr>
                <w:rStyle w:val="normaltextrun"/>
                <w:color w:val="auto"/>
                <w:szCs w:val="22"/>
                <w:lang w:val="en-GB"/>
              </w:rPr>
              <w:t xml:space="preserve">work to progress a </w:t>
            </w:r>
            <w:r w:rsidR="00294CE3" w:rsidRPr="0089092C">
              <w:rPr>
                <w:rStyle w:val="normaltextrun"/>
                <w:color w:val="auto"/>
                <w:szCs w:val="22"/>
                <w:lang w:val="en-GB"/>
              </w:rPr>
              <w:t xml:space="preserve">more streamlined </w:t>
            </w:r>
            <w:r w:rsidR="00346569" w:rsidRPr="0089092C">
              <w:rPr>
                <w:rStyle w:val="normaltextrun"/>
                <w:color w:val="auto"/>
                <w:szCs w:val="22"/>
                <w:lang w:val="en-GB"/>
              </w:rPr>
              <w:t xml:space="preserve">Partnership </w:t>
            </w:r>
            <w:r w:rsidR="0078042B" w:rsidRPr="0089092C">
              <w:rPr>
                <w:rStyle w:val="normaltextrun"/>
                <w:color w:val="auto"/>
                <w:szCs w:val="22"/>
                <w:lang w:val="en-GB"/>
              </w:rPr>
              <w:t>modality</w:t>
            </w:r>
            <w:r w:rsidR="00EA4DAA">
              <w:rPr>
                <w:rStyle w:val="normaltextrun"/>
                <w:color w:val="auto"/>
                <w:szCs w:val="22"/>
                <w:lang w:val="en-GB"/>
              </w:rPr>
              <w:t xml:space="preserve">, including </w:t>
            </w:r>
            <w:proofErr w:type="gramStart"/>
            <w:r w:rsidR="001771B9">
              <w:rPr>
                <w:rStyle w:val="normaltextrun"/>
                <w:color w:val="auto"/>
                <w:szCs w:val="22"/>
                <w:lang w:val="en-GB"/>
              </w:rPr>
              <w:t>entering into</w:t>
            </w:r>
            <w:proofErr w:type="gramEnd"/>
            <w:r w:rsidR="001771B9">
              <w:rPr>
                <w:rStyle w:val="normaltextrun"/>
                <w:color w:val="auto"/>
                <w:szCs w:val="22"/>
                <w:lang w:val="en-GB"/>
              </w:rPr>
              <w:t xml:space="preserve"> a </w:t>
            </w:r>
            <w:r w:rsidR="00714D7C" w:rsidRPr="00647B5C">
              <w:rPr>
                <w:rFonts w:asciiTheme="majorHAnsi" w:hAnsiTheme="majorHAnsi" w:cstheme="majorHAnsi"/>
                <w:color w:val="auto"/>
              </w:rPr>
              <w:t xml:space="preserve">new </w:t>
            </w:r>
            <w:r w:rsidR="00714D7C">
              <w:rPr>
                <w:rFonts w:asciiTheme="majorHAnsi" w:hAnsiTheme="majorHAnsi" w:cstheme="majorHAnsi"/>
                <w:color w:val="auto"/>
              </w:rPr>
              <w:t>five-</w:t>
            </w:r>
            <w:r w:rsidR="00714D7C" w:rsidRPr="00647B5C">
              <w:rPr>
                <w:rFonts w:asciiTheme="majorHAnsi" w:hAnsiTheme="majorHAnsi" w:cstheme="majorHAnsi"/>
                <w:color w:val="auto"/>
              </w:rPr>
              <w:t xml:space="preserve">year </w:t>
            </w:r>
            <w:r w:rsidR="00714D7C">
              <w:rPr>
                <w:rFonts w:asciiTheme="majorHAnsi" w:hAnsiTheme="majorHAnsi" w:cstheme="majorHAnsi"/>
                <w:color w:val="auto"/>
              </w:rPr>
              <w:t>c</w:t>
            </w:r>
            <w:r w:rsidR="00714D7C">
              <w:rPr>
                <w:rFonts w:asciiTheme="majorHAnsi" w:hAnsiTheme="majorHAnsi" w:cstheme="majorHAnsi"/>
              </w:rPr>
              <w:t>ore funding</w:t>
            </w:r>
            <w:r w:rsidR="00396DC2">
              <w:rPr>
                <w:rFonts w:asciiTheme="majorHAnsi" w:hAnsiTheme="majorHAnsi" w:cstheme="majorHAnsi"/>
              </w:rPr>
              <w:t xml:space="preserve"> </w:t>
            </w:r>
            <w:r w:rsidR="00714D7C" w:rsidRPr="00647B5C">
              <w:rPr>
                <w:rFonts w:asciiTheme="majorHAnsi" w:hAnsiTheme="majorHAnsi" w:cstheme="majorHAnsi"/>
                <w:color w:val="auto"/>
              </w:rPr>
              <w:t xml:space="preserve">arrangement </w:t>
            </w:r>
            <w:r w:rsidR="00396DC2">
              <w:rPr>
                <w:rFonts w:asciiTheme="majorHAnsi" w:hAnsiTheme="majorHAnsi" w:cstheme="majorHAnsi"/>
                <w:color w:val="auto"/>
              </w:rPr>
              <w:t>and amalgamating our program funding to SPREP under one programmatic grant.</w:t>
            </w:r>
            <w:r>
              <w:t xml:space="preserve"> </w:t>
            </w:r>
          </w:p>
        </w:tc>
      </w:tr>
      <w:tr w:rsidR="00B93CB8" w:rsidRPr="00647B5C" w14:paraId="26365325" w14:textId="77777777" w:rsidTr="00B70892">
        <w:trPr>
          <w:cantSplit/>
          <w:trHeight w:val="300"/>
        </w:trPr>
        <w:tc>
          <w:tcPr>
            <w:tcW w:w="2552" w:type="dxa"/>
          </w:tcPr>
          <w:p w14:paraId="1C896466" w14:textId="73B93CF7" w:rsidR="00B93CB8" w:rsidRPr="00647B5C" w:rsidRDefault="00563FEB" w:rsidP="00B93CB8">
            <w:pPr>
              <w:autoSpaceDE w:val="0"/>
              <w:autoSpaceDN w:val="0"/>
              <w:adjustRightInd w:val="0"/>
              <w:spacing w:after="60" w:line="240" w:lineRule="auto"/>
              <w:rPr>
                <w:rFonts w:asciiTheme="majorHAnsi" w:hAnsiTheme="majorHAnsi" w:cstheme="majorBidi"/>
              </w:rPr>
            </w:pPr>
            <w:r>
              <w:rPr>
                <w:rStyle w:val="normaltextrun"/>
                <w:rFonts w:ascii="Calibri Light" w:hAnsi="Calibri Light" w:cs="Calibri Light"/>
                <w:lang w:val="en-GB"/>
              </w:rPr>
              <w:t xml:space="preserve">2. </w:t>
            </w:r>
            <w:r w:rsidR="00B93CB8">
              <w:rPr>
                <w:rStyle w:val="normaltextrun"/>
                <w:rFonts w:ascii="Calibri Light" w:hAnsi="Calibri Light" w:cs="Calibri Light"/>
                <w:lang w:val="en-GB"/>
              </w:rPr>
              <w:t>It is recommended that the existing annual bilateral meetings, as part of the High-Level Consultation’s, are strengthened to incorporate a Partnership Health Check to reflect on the Partnership and agree on plans to strengthen the process and delivery of the partnership, capturing and sharing with each other. </w:t>
            </w:r>
            <w:r w:rsidR="00B93CB8">
              <w:rPr>
                <w:rStyle w:val="eop"/>
                <w:rFonts w:ascii="Calibri Light" w:hAnsi="Calibri Light" w:cs="Calibri Light"/>
              </w:rPr>
              <w:t> </w:t>
            </w:r>
          </w:p>
        </w:tc>
        <w:tc>
          <w:tcPr>
            <w:tcW w:w="1200" w:type="dxa"/>
          </w:tcPr>
          <w:p w14:paraId="5DDD583F" w14:textId="77777777" w:rsidR="00B93CB8" w:rsidRPr="00165AA6" w:rsidRDefault="00B93CB8" w:rsidP="00B93CB8">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0F8F55C3" w14:textId="3EEC9CFA" w:rsidR="00B93CB8" w:rsidRPr="00165AA6" w:rsidRDefault="00DE0DB4" w:rsidP="00B93CB8">
            <w:pPr>
              <w:autoSpaceDE w:val="0"/>
              <w:autoSpaceDN w:val="0"/>
              <w:adjustRightInd w:val="0"/>
              <w:spacing w:after="0" w:line="240" w:lineRule="auto"/>
              <w:rPr>
                <w:rStyle w:val="normaltextrun"/>
                <w:rFonts w:ascii="Calibri Light" w:hAnsi="Calibri Light" w:cs="Calibri Light"/>
                <w:lang w:val="en-GB"/>
              </w:rPr>
            </w:pPr>
            <w:r w:rsidRPr="00F87D15">
              <w:rPr>
                <w:rStyle w:val="normaltextrun"/>
                <w:rFonts w:ascii="Calibri Light" w:hAnsi="Calibri Light" w:cs="Calibri Light"/>
                <w:lang w:val="en-GB"/>
              </w:rPr>
              <w:t>The Partnership Arrangement provides somewhat for review and reflection of the partnership</w:t>
            </w:r>
            <w:r w:rsidR="003F4967">
              <w:rPr>
                <w:rStyle w:val="normaltextrun"/>
                <w:rFonts w:ascii="Calibri Light" w:hAnsi="Calibri Light" w:cs="Calibri Light"/>
                <w:lang w:val="en-GB"/>
              </w:rPr>
              <w:t>, however t</w:t>
            </w:r>
            <w:r w:rsidR="00F87D15" w:rsidRPr="00F87D15">
              <w:rPr>
                <w:rStyle w:val="normaltextrun"/>
                <w:rFonts w:ascii="Calibri Light" w:hAnsi="Calibri Light" w:cs="Calibri Light"/>
                <w:lang w:val="en-GB"/>
              </w:rPr>
              <w:t xml:space="preserve">here are opportunities for </w:t>
            </w:r>
            <w:r w:rsidR="003F4967">
              <w:rPr>
                <w:rStyle w:val="normaltextrun"/>
                <w:rFonts w:ascii="Calibri Light" w:hAnsi="Calibri Light" w:cs="Calibri Light"/>
                <w:lang w:val="en-GB"/>
              </w:rPr>
              <w:t xml:space="preserve">the </w:t>
            </w:r>
            <w:r w:rsidR="00F87D15" w:rsidRPr="00F87D15">
              <w:rPr>
                <w:rStyle w:val="normaltextrun"/>
                <w:rFonts w:ascii="Calibri Light" w:hAnsi="Calibri Light" w:cs="Calibri Light"/>
                <w:lang w:val="en-GB"/>
              </w:rPr>
              <w:t xml:space="preserve">partnerships discussions </w:t>
            </w:r>
            <w:r w:rsidR="003F4967">
              <w:rPr>
                <w:rStyle w:val="normaltextrun"/>
                <w:rFonts w:ascii="Calibri Light" w:hAnsi="Calibri Light" w:cs="Calibri Light"/>
                <w:lang w:val="en-GB"/>
              </w:rPr>
              <w:t xml:space="preserve">to </w:t>
            </w:r>
            <w:r w:rsidR="00F87D15" w:rsidRPr="00F87D15">
              <w:rPr>
                <w:rStyle w:val="normaltextrun"/>
                <w:rFonts w:ascii="Calibri Light" w:hAnsi="Calibri Light" w:cs="Calibri Light"/>
                <w:lang w:val="en-GB"/>
              </w:rPr>
              <w:t>be improved with a more intentional approach, in line with a “Partnership Health Check”, to support the principles that guide the partnership in terms of ways of working together to function effectively and in the spirit of the overall objectives of the partnership.</w:t>
            </w:r>
            <w:r w:rsidR="00F87D15" w:rsidRPr="00012167">
              <w:rPr>
                <w:rStyle w:val="normaltextrun"/>
                <w:rFonts w:ascii="Calibri Light" w:hAnsi="Calibri Light" w:cs="Calibri Light"/>
                <w:lang w:val="en-GB"/>
              </w:rPr>
              <w:t xml:space="preserve"> </w:t>
            </w:r>
            <w:r w:rsidR="00A66D2E" w:rsidRPr="00012167">
              <w:rPr>
                <w:rStyle w:val="normaltextrun"/>
                <w:rFonts w:ascii="Calibri Light" w:hAnsi="Calibri Light" w:cs="Calibri Light"/>
                <w:lang w:val="en-GB"/>
              </w:rPr>
              <w:t>A form of a regular health check can support the GoA’s commitment to ‘articulate clear expectations of the Partnership with SPREP through regular, open dialogue’, and it is intended to manage and maintain the partnership.</w:t>
            </w:r>
          </w:p>
        </w:tc>
        <w:tc>
          <w:tcPr>
            <w:tcW w:w="2551" w:type="dxa"/>
          </w:tcPr>
          <w:p w14:paraId="08D9CA66" w14:textId="55B79D12" w:rsidR="00B93CB8" w:rsidRPr="00C0644E" w:rsidRDefault="00543800" w:rsidP="00B93CB8">
            <w:pPr>
              <w:autoSpaceDE w:val="0"/>
              <w:autoSpaceDN w:val="0"/>
              <w:adjustRightInd w:val="0"/>
              <w:spacing w:after="0" w:line="240" w:lineRule="auto"/>
              <w:rPr>
                <w:rFonts w:ascii="Calibri Light" w:hAnsi="Calibri Light" w:cs="Calibri Light"/>
                <w:szCs w:val="21"/>
              </w:rPr>
            </w:pPr>
            <w:r>
              <w:rPr>
                <w:rFonts w:ascii="Calibri Light" w:eastAsia="Calibri" w:hAnsi="Calibri Light" w:cs="Calibri Light"/>
                <w:lang w:val="en-GB"/>
              </w:rPr>
              <w:t xml:space="preserve">SPREP and GoA </w:t>
            </w:r>
            <w:r w:rsidR="002E1303">
              <w:rPr>
                <w:rFonts w:ascii="Calibri Light" w:eastAsia="Calibri" w:hAnsi="Calibri Light" w:cs="Calibri Light"/>
                <w:lang w:val="en-GB"/>
              </w:rPr>
              <w:t>will add a d</w:t>
            </w:r>
            <w:r w:rsidR="000E1D8B" w:rsidRPr="004F76C3">
              <w:rPr>
                <w:rFonts w:ascii="Calibri Light" w:eastAsia="Calibri" w:hAnsi="Calibri Light" w:cs="Calibri Light"/>
                <w:lang w:val="en-GB"/>
              </w:rPr>
              <w:t xml:space="preserve">esignated </w:t>
            </w:r>
            <w:r w:rsidR="001F3672">
              <w:rPr>
                <w:rFonts w:ascii="Calibri Light" w:eastAsia="Calibri" w:hAnsi="Calibri Light" w:cs="Calibri Light"/>
                <w:lang w:val="en-GB"/>
              </w:rPr>
              <w:t>P</w:t>
            </w:r>
            <w:r w:rsidR="000E1D8B" w:rsidRPr="004F76C3">
              <w:rPr>
                <w:rFonts w:ascii="Calibri Light" w:eastAsia="Calibri" w:hAnsi="Calibri Light" w:cs="Calibri Light"/>
                <w:lang w:val="en-GB"/>
              </w:rPr>
              <w:t>artnership ‘</w:t>
            </w:r>
            <w:r w:rsidR="001F3672">
              <w:rPr>
                <w:rFonts w:ascii="Calibri Light" w:eastAsia="Calibri" w:hAnsi="Calibri Light" w:cs="Calibri Light"/>
                <w:lang w:val="en-GB"/>
              </w:rPr>
              <w:t>H</w:t>
            </w:r>
            <w:r w:rsidR="000E1D8B" w:rsidRPr="004F76C3">
              <w:rPr>
                <w:rFonts w:ascii="Calibri Light" w:eastAsia="Calibri" w:hAnsi="Calibri Light" w:cs="Calibri Light"/>
                <w:lang w:val="en-GB"/>
              </w:rPr>
              <w:t xml:space="preserve">ealth </w:t>
            </w:r>
            <w:r w:rsidR="001F3672">
              <w:rPr>
                <w:rFonts w:ascii="Calibri Light" w:eastAsia="Calibri" w:hAnsi="Calibri Light" w:cs="Calibri Light"/>
                <w:lang w:val="en-GB"/>
              </w:rPr>
              <w:t>C</w:t>
            </w:r>
            <w:r w:rsidR="000E1D8B" w:rsidRPr="004F76C3">
              <w:rPr>
                <w:rFonts w:ascii="Calibri Light" w:eastAsia="Calibri" w:hAnsi="Calibri Light" w:cs="Calibri Light"/>
                <w:lang w:val="en-GB"/>
              </w:rPr>
              <w:t>heck’ into the existing annual High-Level Consultations, with additional structure and capture of agreements and commitments made</w:t>
            </w:r>
            <w:r w:rsidR="00012167">
              <w:rPr>
                <w:rFonts w:ascii="Calibri Light" w:eastAsia="Calibri" w:hAnsi="Calibri Light" w:cs="Calibri Light"/>
                <w:lang w:val="en-GB"/>
              </w:rPr>
              <w:t>.</w:t>
            </w:r>
          </w:p>
        </w:tc>
      </w:tr>
      <w:tr w:rsidR="00B93CB8" w:rsidRPr="00647B5C" w14:paraId="342166A2" w14:textId="77777777" w:rsidTr="00B70892">
        <w:trPr>
          <w:cantSplit/>
          <w:trHeight w:val="300"/>
        </w:trPr>
        <w:tc>
          <w:tcPr>
            <w:tcW w:w="2552" w:type="dxa"/>
          </w:tcPr>
          <w:p w14:paraId="63DFB56F" w14:textId="0B20A4B7" w:rsidR="00B93CB8" w:rsidRPr="00647B5C" w:rsidRDefault="00563FEB" w:rsidP="00B93CB8">
            <w:pPr>
              <w:autoSpaceDE w:val="0"/>
              <w:autoSpaceDN w:val="0"/>
              <w:adjustRightInd w:val="0"/>
              <w:spacing w:after="0" w:line="240" w:lineRule="auto"/>
              <w:rPr>
                <w:rFonts w:asciiTheme="majorHAnsi" w:hAnsiTheme="majorHAnsi" w:cstheme="majorBidi"/>
              </w:rPr>
            </w:pPr>
            <w:r>
              <w:rPr>
                <w:rStyle w:val="normaltextrun"/>
                <w:rFonts w:ascii="Calibri Light" w:hAnsi="Calibri Light" w:cs="Calibri Light"/>
              </w:rPr>
              <w:lastRenderedPageBreak/>
              <w:t xml:space="preserve">3. </w:t>
            </w:r>
            <w:r w:rsidR="00B93CB8">
              <w:rPr>
                <w:rStyle w:val="normaltextrun"/>
                <w:rFonts w:ascii="Calibri Light" w:hAnsi="Calibri Light" w:cs="Calibri Light"/>
              </w:rPr>
              <w:t>It is recommended that the GoA and SPREP agree on how they will work together to support SPREP’s regional service delivery and the implementation of the SPREP Strategic Plan, including identifying non-financial cooperation from GoA.</w:t>
            </w:r>
            <w:r w:rsidR="00B93CB8">
              <w:rPr>
                <w:rStyle w:val="eop"/>
                <w:rFonts w:ascii="Calibri Light" w:hAnsi="Calibri Light" w:cs="Calibri Light"/>
              </w:rPr>
              <w:t> </w:t>
            </w:r>
          </w:p>
        </w:tc>
        <w:tc>
          <w:tcPr>
            <w:tcW w:w="1200" w:type="dxa"/>
          </w:tcPr>
          <w:p w14:paraId="184053A5" w14:textId="5B762819" w:rsidR="00B93CB8" w:rsidRPr="00165AA6" w:rsidRDefault="00B93CB8" w:rsidP="00B93CB8">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76D59F21" w14:textId="3B18AB41" w:rsidR="00B93CB8" w:rsidRPr="00165AA6" w:rsidRDefault="004F156C" w:rsidP="00B93CB8">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Evidence suggests that much of the non-financial support provided by GoA to SPREP is implicit, in that it is not well documented nor captured. This valued element of the arrangement would benefit from clearer articulation</w:t>
            </w:r>
            <w:r w:rsidR="00F92AA8">
              <w:rPr>
                <w:rStyle w:val="normaltextrun"/>
                <w:rFonts w:ascii="Calibri Light" w:hAnsi="Calibri Light" w:cs="Calibri Light"/>
                <w:lang w:val="en-GB"/>
              </w:rPr>
              <w:t xml:space="preserve">. </w:t>
            </w:r>
          </w:p>
        </w:tc>
        <w:tc>
          <w:tcPr>
            <w:tcW w:w="2551" w:type="dxa"/>
          </w:tcPr>
          <w:p w14:paraId="3E433A53" w14:textId="46F019ED" w:rsidR="00B93CB8" w:rsidRPr="00647B5C" w:rsidRDefault="005C3E96" w:rsidP="0074304F">
            <w:pPr>
              <w:pStyle w:val="BodyCopy"/>
              <w:rPr>
                <w:rFonts w:asciiTheme="majorHAnsi" w:hAnsiTheme="majorHAnsi" w:cstheme="majorHAnsi"/>
                <w:color w:val="auto"/>
              </w:rPr>
            </w:pPr>
            <w:r>
              <w:rPr>
                <w:rFonts w:asciiTheme="majorHAnsi" w:hAnsiTheme="majorHAnsi" w:cstheme="majorHAnsi"/>
                <w:color w:val="auto"/>
                <w:szCs w:val="22"/>
              </w:rPr>
              <w:t xml:space="preserve">Support for SPREP </w:t>
            </w:r>
            <w:r w:rsidR="00053C8D" w:rsidRPr="001F3672">
              <w:rPr>
                <w:rFonts w:asciiTheme="majorHAnsi" w:hAnsiTheme="majorHAnsi" w:cstheme="majorHAnsi"/>
                <w:color w:val="auto"/>
                <w:szCs w:val="22"/>
              </w:rPr>
              <w:t>regional service delivery and the implementation of the SPREP Strategic Plan, including identifying non-financial cooperation from GoA will be added as standing agenda items to the Partnership “Health Check”.</w:t>
            </w:r>
            <w:r w:rsidR="00053C8D">
              <w:rPr>
                <w:rFonts w:eastAsia="Calibri"/>
              </w:rPr>
              <w:t xml:space="preserve"> </w:t>
            </w:r>
          </w:p>
        </w:tc>
      </w:tr>
      <w:tr w:rsidR="00B93CB8" w:rsidRPr="00647B5C" w14:paraId="7588C801" w14:textId="77777777" w:rsidTr="00B70892">
        <w:trPr>
          <w:cantSplit/>
          <w:trHeight w:val="300"/>
        </w:trPr>
        <w:tc>
          <w:tcPr>
            <w:tcW w:w="2552" w:type="dxa"/>
          </w:tcPr>
          <w:p w14:paraId="288109C8" w14:textId="563C67C5" w:rsidR="00B93CB8" w:rsidRPr="00647B5C" w:rsidRDefault="00563FEB" w:rsidP="00B93CB8">
            <w:pPr>
              <w:autoSpaceDE w:val="0"/>
              <w:autoSpaceDN w:val="0"/>
              <w:adjustRightInd w:val="0"/>
              <w:spacing w:after="60" w:line="240" w:lineRule="auto"/>
              <w:rPr>
                <w:rFonts w:asciiTheme="majorHAnsi" w:hAnsiTheme="majorHAnsi" w:cstheme="majorBidi"/>
              </w:rPr>
            </w:pPr>
            <w:r>
              <w:rPr>
                <w:rStyle w:val="normaltextrun"/>
                <w:rFonts w:ascii="Calibri Light" w:hAnsi="Calibri Light" w:cs="Calibri Light"/>
                <w:lang w:val="en-GB"/>
              </w:rPr>
              <w:t xml:space="preserve">4. </w:t>
            </w:r>
            <w:r w:rsidR="00B93CB8">
              <w:rPr>
                <w:rStyle w:val="normaltextrun"/>
                <w:rFonts w:ascii="Calibri Light" w:hAnsi="Calibri Light" w:cs="Calibri Light"/>
                <w:lang w:val="en-GB"/>
              </w:rPr>
              <w:t>It is recommended that DFAT and DCCEEW discuss and agree on roles, responsibilities and communications pathways for each entry point into SPREP, to ensure a united GoA approach to the Partnership.</w:t>
            </w:r>
            <w:r w:rsidR="00B93CB8">
              <w:rPr>
                <w:rStyle w:val="eop"/>
                <w:rFonts w:ascii="Calibri Light" w:hAnsi="Calibri Light" w:cs="Calibri Light"/>
              </w:rPr>
              <w:t> </w:t>
            </w:r>
          </w:p>
        </w:tc>
        <w:tc>
          <w:tcPr>
            <w:tcW w:w="1200" w:type="dxa"/>
          </w:tcPr>
          <w:p w14:paraId="7960F45A" w14:textId="77777777" w:rsidR="00B93CB8" w:rsidRPr="00165AA6" w:rsidRDefault="00B93CB8" w:rsidP="00B93CB8">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178B1CF7" w14:textId="3C6EB135" w:rsidR="00B93CB8" w:rsidRPr="00165AA6" w:rsidRDefault="00427B2D" w:rsidP="00B93CB8">
            <w:pPr>
              <w:autoSpaceDE w:val="0"/>
              <w:autoSpaceDN w:val="0"/>
              <w:adjustRightInd w:val="0"/>
              <w:spacing w:after="0" w:line="240" w:lineRule="auto"/>
              <w:rPr>
                <w:rStyle w:val="normaltextrun"/>
                <w:rFonts w:ascii="Calibri Light" w:hAnsi="Calibri Light" w:cs="Calibri Light"/>
                <w:lang w:val="en-GB"/>
              </w:rPr>
            </w:pPr>
            <w:r w:rsidRPr="00647B5C">
              <w:rPr>
                <w:rFonts w:asciiTheme="majorHAnsi" w:hAnsiTheme="majorHAnsi" w:cstheme="majorHAnsi"/>
              </w:rPr>
              <w:t xml:space="preserve">DFAT acknowledges that achievement of our broader development objectives would benefit from a more coordinated approach to </w:t>
            </w:r>
            <w:r>
              <w:rPr>
                <w:rFonts w:asciiTheme="majorHAnsi" w:hAnsiTheme="majorHAnsi" w:cstheme="majorHAnsi"/>
              </w:rPr>
              <w:t xml:space="preserve">our </w:t>
            </w:r>
            <w:r w:rsidRPr="00647B5C">
              <w:rPr>
                <w:rFonts w:asciiTheme="majorHAnsi" w:hAnsiTheme="majorHAnsi" w:cstheme="majorHAnsi"/>
              </w:rPr>
              <w:t>engagement with SP</w:t>
            </w:r>
            <w:r>
              <w:rPr>
                <w:rFonts w:asciiTheme="majorHAnsi" w:hAnsiTheme="majorHAnsi" w:cstheme="majorHAnsi"/>
              </w:rPr>
              <w:t xml:space="preserve">REP. </w:t>
            </w:r>
            <w:r w:rsidR="00165AA6" w:rsidRPr="00165AA6">
              <w:rPr>
                <w:rStyle w:val="normaltextrun"/>
                <w:rFonts w:ascii="Calibri Light" w:hAnsi="Calibri Light" w:cs="Calibri Light"/>
              </w:rPr>
              <w:t>T</w:t>
            </w:r>
            <w:r w:rsidR="00B2751D" w:rsidRPr="00165AA6">
              <w:rPr>
                <w:rStyle w:val="normaltextrun"/>
                <w:rFonts w:ascii="Calibri Light" w:hAnsi="Calibri Light" w:cs="Calibri Light"/>
              </w:rPr>
              <w:t>here is evidence to suggest that the roles and responsibilities of the GoA parties as set out in the documentation could be more clearly articulated and better aligned with the strengths of each agency to deliver a more effective Partnership for all parties.</w:t>
            </w:r>
          </w:p>
        </w:tc>
        <w:tc>
          <w:tcPr>
            <w:tcW w:w="2551" w:type="dxa"/>
          </w:tcPr>
          <w:p w14:paraId="4EE30021" w14:textId="36A9943C" w:rsidR="00B93CB8" w:rsidRPr="00647B5C" w:rsidRDefault="00165AA6" w:rsidP="00B93CB8">
            <w:pPr>
              <w:autoSpaceDE w:val="0"/>
              <w:autoSpaceDN w:val="0"/>
              <w:adjustRightInd w:val="0"/>
              <w:spacing w:after="120" w:line="240" w:lineRule="auto"/>
              <w:rPr>
                <w:rFonts w:asciiTheme="majorHAnsi" w:hAnsiTheme="majorHAnsi" w:cstheme="majorHAnsi"/>
              </w:rPr>
            </w:pPr>
            <w:r>
              <w:rPr>
                <w:rFonts w:asciiTheme="majorHAnsi" w:hAnsiTheme="majorHAnsi" w:cstheme="majorHAnsi"/>
              </w:rPr>
              <w:t>GoA will develop a roles and responsibilities document</w:t>
            </w:r>
            <w:r w:rsidR="002A7943">
              <w:rPr>
                <w:rFonts w:asciiTheme="majorHAnsi" w:hAnsiTheme="majorHAnsi" w:cstheme="majorHAnsi"/>
              </w:rPr>
              <w:t xml:space="preserve"> to be presented </w:t>
            </w:r>
            <w:r w:rsidR="00427B2D">
              <w:rPr>
                <w:rFonts w:asciiTheme="majorHAnsi" w:hAnsiTheme="majorHAnsi" w:cstheme="majorHAnsi"/>
              </w:rPr>
              <w:t xml:space="preserve">and finalised </w:t>
            </w:r>
            <w:r w:rsidR="002A7943">
              <w:rPr>
                <w:rFonts w:asciiTheme="majorHAnsi" w:hAnsiTheme="majorHAnsi" w:cstheme="majorHAnsi"/>
              </w:rPr>
              <w:t xml:space="preserve">at the </w:t>
            </w:r>
            <w:r w:rsidR="00116E3A">
              <w:rPr>
                <w:rFonts w:asciiTheme="majorHAnsi" w:hAnsiTheme="majorHAnsi" w:cstheme="majorHAnsi"/>
              </w:rPr>
              <w:t xml:space="preserve">upcoming </w:t>
            </w:r>
            <w:r w:rsidR="002A7943">
              <w:rPr>
                <w:rFonts w:asciiTheme="majorHAnsi" w:hAnsiTheme="majorHAnsi" w:cstheme="majorHAnsi"/>
              </w:rPr>
              <w:t xml:space="preserve">HLC’s in May 2025. </w:t>
            </w:r>
            <w:r w:rsidR="001B056F">
              <w:rPr>
                <w:rFonts w:asciiTheme="majorHAnsi" w:hAnsiTheme="majorHAnsi" w:cstheme="majorHAnsi"/>
              </w:rPr>
              <w:t xml:space="preserve">DFAT will consider adding this document as </w:t>
            </w:r>
            <w:proofErr w:type="gramStart"/>
            <w:r w:rsidR="001B056F">
              <w:rPr>
                <w:rFonts w:asciiTheme="majorHAnsi" w:hAnsiTheme="majorHAnsi" w:cstheme="majorHAnsi"/>
              </w:rPr>
              <w:t>a</w:t>
            </w:r>
            <w:proofErr w:type="gramEnd"/>
            <w:r w:rsidR="001B056F">
              <w:rPr>
                <w:rFonts w:asciiTheme="majorHAnsi" w:hAnsiTheme="majorHAnsi" w:cstheme="majorHAnsi"/>
              </w:rPr>
              <w:t xml:space="preserve"> Annex to the next Partnership Arrangement. </w:t>
            </w:r>
          </w:p>
        </w:tc>
      </w:tr>
      <w:tr w:rsidR="00B93CB8" w:rsidRPr="00647B5C" w14:paraId="4651ABDE" w14:textId="77777777" w:rsidTr="00B70892">
        <w:trPr>
          <w:cantSplit/>
          <w:trHeight w:val="300"/>
        </w:trPr>
        <w:tc>
          <w:tcPr>
            <w:tcW w:w="2552" w:type="dxa"/>
          </w:tcPr>
          <w:p w14:paraId="5BDD01FA" w14:textId="550C80CD" w:rsidR="00B93CB8" w:rsidRPr="00647B5C" w:rsidRDefault="0074304F" w:rsidP="00B93CB8">
            <w:pPr>
              <w:autoSpaceDE w:val="0"/>
              <w:autoSpaceDN w:val="0"/>
              <w:adjustRightInd w:val="0"/>
              <w:spacing w:after="120" w:line="240" w:lineRule="auto"/>
              <w:rPr>
                <w:rFonts w:asciiTheme="majorHAnsi" w:hAnsiTheme="majorHAnsi" w:cstheme="majorBidi"/>
              </w:rPr>
            </w:pPr>
            <w:r>
              <w:rPr>
                <w:rStyle w:val="normaltextrun"/>
                <w:rFonts w:ascii="Calibri Light" w:hAnsi="Calibri Light" w:cs="Calibri Light"/>
              </w:rPr>
              <w:t xml:space="preserve">5. </w:t>
            </w:r>
            <w:r w:rsidR="00B93CB8">
              <w:rPr>
                <w:rStyle w:val="normaltextrun"/>
                <w:rFonts w:ascii="Calibri Light" w:hAnsi="Calibri Light" w:cs="Calibri Light"/>
              </w:rPr>
              <w:t>It is recommended that where Australia bilaterally funds similar programs in the region with other organisations and through other CROP agencies, GoA considers and communicates resourcing coordination with SPREP to improve efficiencies and clarity.</w:t>
            </w:r>
            <w:r w:rsidR="00B93CB8">
              <w:rPr>
                <w:rStyle w:val="eop"/>
                <w:rFonts w:ascii="Calibri Light" w:hAnsi="Calibri Light" w:cs="Calibri Light"/>
              </w:rPr>
              <w:t> </w:t>
            </w:r>
          </w:p>
        </w:tc>
        <w:tc>
          <w:tcPr>
            <w:tcW w:w="1200" w:type="dxa"/>
          </w:tcPr>
          <w:p w14:paraId="7FC084D8" w14:textId="7D2EFCF1" w:rsidR="00B93CB8" w:rsidRPr="00165AA6" w:rsidRDefault="00B93CB8" w:rsidP="003F3250">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6756219F" w14:textId="789315CF" w:rsidR="00B93CB8" w:rsidRPr="00F66F28" w:rsidRDefault="00E07EA5" w:rsidP="00B93CB8">
            <w:pPr>
              <w:autoSpaceDE w:val="0"/>
              <w:autoSpaceDN w:val="0"/>
              <w:adjustRightInd w:val="0"/>
              <w:spacing w:after="0" w:line="240" w:lineRule="auto"/>
              <w:rPr>
                <w:rFonts w:asciiTheme="majorHAnsi" w:hAnsiTheme="majorHAnsi" w:cstheme="majorHAnsi"/>
              </w:rPr>
            </w:pPr>
            <w:r w:rsidRPr="004905C2">
              <w:rPr>
                <w:rStyle w:val="normaltextrun"/>
                <w:rFonts w:ascii="Calibri Light" w:hAnsi="Calibri Light" w:cs="Calibri Light"/>
              </w:rPr>
              <w:t xml:space="preserve">GoA could be more proactive in supporting coordination with similar programs and initiatives it funds with regional agencies, through other donors </w:t>
            </w:r>
            <w:proofErr w:type="gramStart"/>
            <w:r w:rsidRPr="004905C2">
              <w:rPr>
                <w:rStyle w:val="normaltextrun"/>
                <w:rFonts w:ascii="Calibri Light" w:hAnsi="Calibri Light" w:cs="Calibri Light"/>
              </w:rPr>
              <w:t>and also</w:t>
            </w:r>
            <w:proofErr w:type="gramEnd"/>
            <w:r w:rsidRPr="004905C2">
              <w:rPr>
                <w:rStyle w:val="normaltextrun"/>
                <w:rFonts w:ascii="Calibri Light" w:hAnsi="Calibri Light" w:cs="Calibri Light"/>
              </w:rPr>
              <w:t xml:space="preserve"> bilaterally</w:t>
            </w:r>
            <w:r w:rsidR="00A02349">
              <w:rPr>
                <w:rStyle w:val="normaltextrun"/>
                <w:rFonts w:ascii="Calibri Light" w:hAnsi="Calibri Light" w:cs="Calibri Light"/>
              </w:rPr>
              <w:t xml:space="preserve"> to ensure </w:t>
            </w:r>
            <w:r w:rsidR="00685630" w:rsidRPr="00685630">
              <w:rPr>
                <w:rStyle w:val="normaltextrun"/>
                <w:rFonts w:ascii="Calibri Light" w:hAnsi="Calibri Light" w:cs="Calibri Light"/>
              </w:rPr>
              <w:t>effective and efficient regional service delivery and prevent duplication.</w:t>
            </w:r>
            <w:r w:rsidR="00685630">
              <w:t xml:space="preserve"> </w:t>
            </w:r>
          </w:p>
        </w:tc>
        <w:tc>
          <w:tcPr>
            <w:tcW w:w="2551" w:type="dxa"/>
          </w:tcPr>
          <w:p w14:paraId="6E54CD37" w14:textId="003F99B1" w:rsidR="00B93CB8" w:rsidRPr="00F66F28" w:rsidRDefault="00126BE2" w:rsidP="00B93CB8">
            <w:pPr>
              <w:autoSpaceDE w:val="0"/>
              <w:autoSpaceDN w:val="0"/>
              <w:adjustRightInd w:val="0"/>
              <w:spacing w:after="60" w:line="240" w:lineRule="auto"/>
              <w:rPr>
                <w:rFonts w:asciiTheme="majorHAnsi" w:hAnsiTheme="majorHAnsi" w:cstheme="majorHAnsi"/>
              </w:rPr>
            </w:pPr>
            <w:r w:rsidRPr="00F66F28">
              <w:rPr>
                <w:rFonts w:asciiTheme="majorHAnsi" w:hAnsiTheme="majorHAnsi" w:cstheme="majorHAnsi"/>
              </w:rPr>
              <w:t xml:space="preserve">A GoA </w:t>
            </w:r>
            <w:r w:rsidR="00D0358D" w:rsidRPr="00F66F28">
              <w:rPr>
                <w:rFonts w:asciiTheme="majorHAnsi" w:hAnsiTheme="majorHAnsi" w:cstheme="majorHAnsi"/>
              </w:rPr>
              <w:t xml:space="preserve">update on </w:t>
            </w:r>
            <w:r w:rsidR="00F66F28" w:rsidRPr="00F66F28">
              <w:rPr>
                <w:rFonts w:asciiTheme="majorHAnsi" w:hAnsiTheme="majorHAnsi" w:cstheme="majorHAnsi"/>
              </w:rPr>
              <w:t xml:space="preserve">relevant </w:t>
            </w:r>
            <w:r w:rsidR="00D0358D" w:rsidRPr="00F66F28">
              <w:rPr>
                <w:rFonts w:asciiTheme="majorHAnsi" w:hAnsiTheme="majorHAnsi" w:cstheme="majorHAnsi"/>
              </w:rPr>
              <w:t xml:space="preserve">new </w:t>
            </w:r>
            <w:r w:rsidR="004307EF">
              <w:rPr>
                <w:rFonts w:asciiTheme="majorHAnsi" w:hAnsiTheme="majorHAnsi" w:cstheme="majorHAnsi"/>
              </w:rPr>
              <w:t xml:space="preserve">programs and initiatives it </w:t>
            </w:r>
            <w:r w:rsidR="00D0358D" w:rsidRPr="00F66F28">
              <w:rPr>
                <w:rFonts w:asciiTheme="majorHAnsi" w:hAnsiTheme="majorHAnsi" w:cstheme="majorHAnsi"/>
              </w:rPr>
              <w:t>fund</w:t>
            </w:r>
            <w:r w:rsidR="004307EF">
              <w:rPr>
                <w:rFonts w:asciiTheme="majorHAnsi" w:hAnsiTheme="majorHAnsi" w:cstheme="majorHAnsi"/>
              </w:rPr>
              <w:t>s</w:t>
            </w:r>
            <w:r w:rsidR="00F66F28" w:rsidRPr="00F66F28">
              <w:rPr>
                <w:rFonts w:asciiTheme="majorHAnsi" w:hAnsiTheme="majorHAnsi" w:cstheme="majorHAnsi"/>
              </w:rPr>
              <w:t xml:space="preserve"> </w:t>
            </w:r>
            <w:r w:rsidR="00EC3847" w:rsidRPr="00F66F28">
              <w:rPr>
                <w:rFonts w:asciiTheme="majorHAnsi" w:hAnsiTheme="majorHAnsi" w:cstheme="majorHAnsi"/>
              </w:rPr>
              <w:t>will be added as standing agenda items to the Partnership “Health Check”.</w:t>
            </w:r>
            <w:r w:rsidR="00882ADE">
              <w:rPr>
                <w:rFonts w:asciiTheme="majorHAnsi" w:hAnsiTheme="majorHAnsi" w:cstheme="majorHAnsi"/>
              </w:rPr>
              <w:t xml:space="preserve"> DFAT will also </w:t>
            </w:r>
            <w:r w:rsidR="006513EA">
              <w:rPr>
                <w:rFonts w:asciiTheme="majorHAnsi" w:hAnsiTheme="majorHAnsi" w:cstheme="majorHAnsi"/>
              </w:rPr>
              <w:t xml:space="preserve">commit to continuing </w:t>
            </w:r>
            <w:r w:rsidR="00E52025">
              <w:rPr>
                <w:rFonts w:asciiTheme="majorHAnsi" w:hAnsiTheme="majorHAnsi" w:cstheme="majorHAnsi"/>
              </w:rPr>
              <w:t xml:space="preserve">ongoing conversations with GoA focal points for </w:t>
            </w:r>
            <w:r w:rsidR="00544F70">
              <w:rPr>
                <w:rFonts w:asciiTheme="majorHAnsi" w:hAnsiTheme="majorHAnsi" w:cstheme="majorHAnsi"/>
              </w:rPr>
              <w:t xml:space="preserve">other CROP organisations. </w:t>
            </w:r>
          </w:p>
        </w:tc>
      </w:tr>
      <w:tr w:rsidR="00B93CB8" w:rsidRPr="00647B5C" w14:paraId="31B90614" w14:textId="77777777" w:rsidTr="00B70892">
        <w:trPr>
          <w:cantSplit/>
          <w:trHeight w:val="300"/>
        </w:trPr>
        <w:tc>
          <w:tcPr>
            <w:tcW w:w="2552" w:type="dxa"/>
          </w:tcPr>
          <w:p w14:paraId="6BC39E49" w14:textId="41BF37D9" w:rsidR="00B93CB8" w:rsidRPr="00647B5C" w:rsidRDefault="0074304F" w:rsidP="00B93CB8">
            <w:pPr>
              <w:autoSpaceDE w:val="0"/>
              <w:autoSpaceDN w:val="0"/>
              <w:adjustRightInd w:val="0"/>
              <w:spacing w:after="0" w:line="240" w:lineRule="auto"/>
              <w:rPr>
                <w:rFonts w:asciiTheme="majorHAnsi" w:hAnsiTheme="majorHAnsi" w:cstheme="majorBidi"/>
              </w:rPr>
            </w:pPr>
            <w:r>
              <w:rPr>
                <w:rStyle w:val="normaltextrun"/>
                <w:rFonts w:ascii="Calibri Light" w:hAnsi="Calibri Light" w:cs="Calibri Light"/>
              </w:rPr>
              <w:t xml:space="preserve">6. </w:t>
            </w:r>
            <w:r w:rsidR="00B93CB8">
              <w:rPr>
                <w:rStyle w:val="normaltextrun"/>
                <w:rFonts w:ascii="Calibri Light" w:hAnsi="Calibri Light" w:cs="Calibri Light"/>
              </w:rPr>
              <w:t>It is recommended that GoA work closely with SPREP as a member and partner to contribute to SPREP’s Strategic Plan and other policies and regional frameworks, including supporting systems and processes.</w:t>
            </w:r>
            <w:r w:rsidR="00B93CB8">
              <w:rPr>
                <w:rStyle w:val="eop"/>
                <w:rFonts w:ascii="Calibri Light" w:hAnsi="Calibri Light" w:cs="Calibri Light"/>
              </w:rPr>
              <w:t> </w:t>
            </w:r>
          </w:p>
        </w:tc>
        <w:tc>
          <w:tcPr>
            <w:tcW w:w="1200" w:type="dxa"/>
          </w:tcPr>
          <w:p w14:paraId="663FBC6C" w14:textId="43BEC2A5" w:rsidR="00B93CB8" w:rsidRPr="00165AA6" w:rsidRDefault="00B93CB8" w:rsidP="003F3250">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 xml:space="preserve">Agree </w:t>
            </w:r>
          </w:p>
        </w:tc>
        <w:tc>
          <w:tcPr>
            <w:tcW w:w="3903" w:type="dxa"/>
          </w:tcPr>
          <w:p w14:paraId="362C7884" w14:textId="765A61D6" w:rsidR="00B93CB8" w:rsidRPr="00165AA6" w:rsidRDefault="00471104" w:rsidP="00B93CB8">
            <w:pPr>
              <w:autoSpaceDE w:val="0"/>
              <w:autoSpaceDN w:val="0"/>
              <w:adjustRightInd w:val="0"/>
              <w:spacing w:after="60" w:line="240" w:lineRule="auto"/>
              <w:rPr>
                <w:rStyle w:val="normaltextrun"/>
                <w:rFonts w:ascii="Calibri Light" w:hAnsi="Calibri Light" w:cs="Calibri Light"/>
                <w:lang w:val="en-GB"/>
              </w:rPr>
            </w:pPr>
            <w:r>
              <w:rPr>
                <w:rStyle w:val="normaltextrun"/>
                <w:rFonts w:ascii="Calibri Light" w:hAnsi="Calibri Light" w:cs="Calibri Light"/>
              </w:rPr>
              <w:t>A</w:t>
            </w:r>
            <w:r w:rsidRPr="00471104">
              <w:rPr>
                <w:rStyle w:val="normaltextrun"/>
                <w:rFonts w:ascii="Calibri Light" w:hAnsi="Calibri Light" w:cs="Calibri Light"/>
              </w:rPr>
              <w:t>s SPREP works towards its next Strategic Plan, there are opportunities for partners</w:t>
            </w:r>
            <w:r>
              <w:rPr>
                <w:rStyle w:val="normaltextrun"/>
                <w:rFonts w:ascii="Calibri Light" w:hAnsi="Calibri Light" w:cs="Calibri Light"/>
              </w:rPr>
              <w:t>, including GoA</w:t>
            </w:r>
            <w:r w:rsidRPr="00471104">
              <w:rPr>
                <w:rStyle w:val="normaltextrun"/>
                <w:rFonts w:ascii="Calibri Light" w:hAnsi="Calibri Light" w:cs="Calibri Light"/>
              </w:rPr>
              <w:t xml:space="preserve"> to embed the priorities and objectives of the partnership into this new Strategic Plan, where possible, to create space to be responsive to those mutual objectives.</w:t>
            </w:r>
          </w:p>
        </w:tc>
        <w:tc>
          <w:tcPr>
            <w:tcW w:w="2551" w:type="dxa"/>
          </w:tcPr>
          <w:p w14:paraId="63182E67" w14:textId="7D1FDF3C" w:rsidR="00B93CB8" w:rsidRPr="00A10584" w:rsidRDefault="00EA445D" w:rsidP="00B93CB8">
            <w:pPr>
              <w:autoSpaceDE w:val="0"/>
              <w:autoSpaceDN w:val="0"/>
              <w:adjustRightInd w:val="0"/>
              <w:spacing w:after="60" w:line="240" w:lineRule="auto"/>
              <w:rPr>
                <w:rFonts w:asciiTheme="majorHAnsi" w:hAnsiTheme="majorHAnsi" w:cstheme="majorHAnsi"/>
                <w:b/>
                <w:bCs/>
              </w:rPr>
            </w:pPr>
            <w:r>
              <w:rPr>
                <w:rFonts w:asciiTheme="majorHAnsi" w:hAnsiTheme="majorHAnsi" w:cstheme="majorHAnsi"/>
              </w:rPr>
              <w:t xml:space="preserve">GoA </w:t>
            </w:r>
            <w:r w:rsidR="00FC1F5E">
              <w:rPr>
                <w:rFonts w:asciiTheme="majorHAnsi" w:hAnsiTheme="majorHAnsi" w:cstheme="majorHAnsi"/>
              </w:rPr>
              <w:t xml:space="preserve">will work closely with </w:t>
            </w:r>
            <w:r w:rsidR="00A06BA1">
              <w:rPr>
                <w:rFonts w:asciiTheme="majorHAnsi" w:hAnsiTheme="majorHAnsi" w:cstheme="majorHAnsi"/>
              </w:rPr>
              <w:t xml:space="preserve">SPREP </w:t>
            </w:r>
            <w:r w:rsidR="00FE21EA">
              <w:rPr>
                <w:rFonts w:asciiTheme="majorHAnsi" w:hAnsiTheme="majorHAnsi" w:cstheme="majorHAnsi"/>
              </w:rPr>
              <w:t>to contribute to SPREP’s</w:t>
            </w:r>
            <w:r w:rsidR="00A10584">
              <w:rPr>
                <w:rFonts w:asciiTheme="majorHAnsi" w:hAnsiTheme="majorHAnsi" w:cstheme="majorHAnsi"/>
              </w:rPr>
              <w:t xml:space="preserve"> </w:t>
            </w:r>
            <w:r w:rsidR="00A10584">
              <w:rPr>
                <w:rStyle w:val="normaltextrun"/>
                <w:rFonts w:ascii="Calibri Light" w:hAnsi="Calibri Light" w:cs="Calibri Light"/>
              </w:rPr>
              <w:t>Strategic Plan and other policies and regional frameworks, including supporting systems and processes.</w:t>
            </w:r>
            <w:r w:rsidR="00A10584">
              <w:rPr>
                <w:rStyle w:val="eop"/>
                <w:rFonts w:ascii="Calibri Light" w:hAnsi="Calibri Light" w:cs="Calibri Light"/>
              </w:rPr>
              <w:t> </w:t>
            </w:r>
          </w:p>
        </w:tc>
      </w:tr>
      <w:tr w:rsidR="00FA0779" w:rsidRPr="00647B5C" w14:paraId="44D8284E" w14:textId="77777777" w:rsidTr="00B70892">
        <w:trPr>
          <w:cantSplit/>
          <w:trHeight w:val="3933"/>
        </w:trPr>
        <w:tc>
          <w:tcPr>
            <w:tcW w:w="2552" w:type="dxa"/>
          </w:tcPr>
          <w:p w14:paraId="02F37673" w14:textId="542963D9" w:rsidR="00FA0779" w:rsidRDefault="00FA0779" w:rsidP="00FA0779">
            <w:pPr>
              <w:autoSpaceDE w:val="0"/>
              <w:autoSpaceDN w:val="0"/>
              <w:adjustRightInd w:val="0"/>
              <w:spacing w:after="0" w:line="240" w:lineRule="auto"/>
              <w:rPr>
                <w:rStyle w:val="normaltextrun"/>
                <w:rFonts w:ascii="Calibri Light" w:hAnsi="Calibri Light" w:cs="Calibri Light"/>
              </w:rPr>
            </w:pPr>
            <w:r>
              <w:rPr>
                <w:rStyle w:val="normaltextrun"/>
                <w:rFonts w:ascii="Calibri Light" w:hAnsi="Calibri Light" w:cs="Calibri Light"/>
              </w:rPr>
              <w:lastRenderedPageBreak/>
              <w:t>7. It is recommended that both Partners continue to engage with other CROPs to identify and leverage opportunities to achieve economies of scale and sharing resources where appropriate, in programming and corporate areas of implementation.</w:t>
            </w:r>
            <w:r>
              <w:rPr>
                <w:rStyle w:val="eop"/>
                <w:rFonts w:ascii="Calibri Light" w:hAnsi="Calibri Light" w:cs="Calibri Light"/>
              </w:rPr>
              <w:t> </w:t>
            </w:r>
          </w:p>
        </w:tc>
        <w:tc>
          <w:tcPr>
            <w:tcW w:w="1200" w:type="dxa"/>
          </w:tcPr>
          <w:p w14:paraId="5113D100" w14:textId="789653BD" w:rsidR="00FA0779" w:rsidRPr="00165AA6" w:rsidRDefault="00C60FDC" w:rsidP="003F3250">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0045C1D3" w14:textId="2D977A80" w:rsidR="00FA0779" w:rsidRPr="00C60FDC" w:rsidRDefault="00C60FDC" w:rsidP="00FA0779">
            <w:pPr>
              <w:autoSpaceDE w:val="0"/>
              <w:autoSpaceDN w:val="0"/>
              <w:adjustRightInd w:val="0"/>
              <w:spacing w:after="60" w:line="240" w:lineRule="auto"/>
              <w:rPr>
                <w:rStyle w:val="normaltextrun"/>
                <w:rFonts w:ascii="Calibri Light" w:hAnsi="Calibri Light" w:cs="Calibri Light"/>
              </w:rPr>
            </w:pPr>
            <w:r w:rsidRPr="00C60FDC">
              <w:rPr>
                <w:rStyle w:val="normaltextrun"/>
                <w:rFonts w:ascii="Calibri Light" w:hAnsi="Calibri Light" w:cs="Calibri Light"/>
              </w:rPr>
              <w:t>There is strong evidence for positive engagement in the region.</w:t>
            </w:r>
            <w:r w:rsidRPr="00710514">
              <w:rPr>
                <w:rStyle w:val="normaltextrun"/>
                <w:rFonts w:ascii="Calibri Light" w:hAnsi="Calibri Light" w:cs="Calibri Light"/>
                <w:sz w:val="10"/>
                <w:szCs w:val="10"/>
              </w:rPr>
              <w:t xml:space="preserve"> </w:t>
            </w:r>
            <w:r w:rsidRPr="00C60FDC">
              <w:rPr>
                <w:rStyle w:val="normaltextrun"/>
                <w:rFonts w:ascii="Calibri Light" w:hAnsi="Calibri Light" w:cs="Calibri Light"/>
              </w:rPr>
              <w:t>SPREP has a clear mandate within the busy space of CROP agencies in the environment and climate space, although with smaller teams and budgets compared with other agencies doing similar work (e.g. SPC), so coordination is challenging. Goodwill between agencies “can only go so far” according to some stakeholder insights, and there is an opportunity for clearer arrangements at CROP level for coordination and responsibilities where mandates overlap.</w:t>
            </w:r>
          </w:p>
        </w:tc>
        <w:tc>
          <w:tcPr>
            <w:tcW w:w="2551" w:type="dxa"/>
          </w:tcPr>
          <w:p w14:paraId="0F297773" w14:textId="5090DE22" w:rsidR="00FA0779" w:rsidRPr="00C60FDC" w:rsidRDefault="008A316A" w:rsidP="00B538C5">
            <w:pPr>
              <w:rPr>
                <w:rStyle w:val="normaltextrun"/>
                <w:rFonts w:ascii="Calibri Light" w:hAnsi="Calibri Light" w:cs="Calibri Light"/>
              </w:rPr>
            </w:pPr>
            <w:r>
              <w:rPr>
                <w:rStyle w:val="normaltextrun"/>
                <w:rFonts w:ascii="Calibri Light" w:hAnsi="Calibri Light" w:cs="Calibri Light"/>
              </w:rPr>
              <w:t xml:space="preserve">GoA and SPREP </w:t>
            </w:r>
            <w:r w:rsidR="003F64FF">
              <w:rPr>
                <w:rStyle w:val="normaltextrun"/>
                <w:rFonts w:ascii="Calibri Light" w:hAnsi="Calibri Light" w:cs="Calibri Light"/>
              </w:rPr>
              <w:t>c</w:t>
            </w:r>
            <w:r w:rsidR="000C0C6F">
              <w:rPr>
                <w:rStyle w:val="normaltextrun"/>
                <w:rFonts w:ascii="Calibri Light" w:hAnsi="Calibri Light" w:cs="Calibri Light"/>
              </w:rPr>
              <w:t xml:space="preserve">ontinue to </w:t>
            </w:r>
            <w:r w:rsidR="009C5B3D" w:rsidRPr="00C60FDC">
              <w:rPr>
                <w:rStyle w:val="normaltextrun"/>
                <w:rFonts w:ascii="Calibri Light" w:hAnsi="Calibri Light" w:cs="Calibri Light"/>
              </w:rPr>
              <w:t xml:space="preserve">support coordination with regional agencies, </w:t>
            </w:r>
            <w:r w:rsidR="00DB0232" w:rsidRPr="00C60FDC">
              <w:rPr>
                <w:rStyle w:val="normaltextrun"/>
                <w:rFonts w:ascii="Calibri Light" w:hAnsi="Calibri Light" w:cs="Calibri Light"/>
              </w:rPr>
              <w:t>discuss alignment</w:t>
            </w:r>
            <w:r w:rsidR="00BD7179">
              <w:rPr>
                <w:rStyle w:val="normaltextrun"/>
                <w:rFonts w:ascii="Calibri Light" w:hAnsi="Calibri Light" w:cs="Calibri Light"/>
              </w:rPr>
              <w:t xml:space="preserve"> and </w:t>
            </w:r>
            <w:r w:rsidR="00DB0232" w:rsidRPr="00C60FDC">
              <w:rPr>
                <w:rStyle w:val="normaltextrun"/>
                <w:rFonts w:ascii="Calibri Light" w:hAnsi="Calibri Light" w:cs="Calibri Light"/>
              </w:rPr>
              <w:t xml:space="preserve">share information, </w:t>
            </w:r>
            <w:proofErr w:type="gramStart"/>
            <w:r w:rsidR="00DB0232" w:rsidRPr="00C60FDC">
              <w:rPr>
                <w:rStyle w:val="normaltextrun"/>
                <w:rFonts w:ascii="Calibri Light" w:hAnsi="Calibri Light" w:cs="Calibri Light"/>
              </w:rPr>
              <w:t>in an effort to</w:t>
            </w:r>
            <w:proofErr w:type="gramEnd"/>
            <w:r w:rsidR="00DB0232" w:rsidRPr="00C60FDC">
              <w:rPr>
                <w:rStyle w:val="normaltextrun"/>
                <w:rFonts w:ascii="Calibri Light" w:hAnsi="Calibri Light" w:cs="Calibri Light"/>
              </w:rPr>
              <w:t xml:space="preserve"> coordinate and reduce duplication.  </w:t>
            </w:r>
          </w:p>
        </w:tc>
      </w:tr>
      <w:tr w:rsidR="00FA0779" w:rsidRPr="00647B5C" w14:paraId="6D52EC05" w14:textId="77777777" w:rsidTr="00B70892">
        <w:trPr>
          <w:cantSplit/>
          <w:trHeight w:val="300"/>
        </w:trPr>
        <w:tc>
          <w:tcPr>
            <w:tcW w:w="2552" w:type="dxa"/>
          </w:tcPr>
          <w:p w14:paraId="0F1A68AC" w14:textId="037BEB26" w:rsidR="00FA0779" w:rsidRDefault="00FA0779" w:rsidP="00FA0779">
            <w:pPr>
              <w:autoSpaceDE w:val="0"/>
              <w:autoSpaceDN w:val="0"/>
              <w:adjustRightInd w:val="0"/>
              <w:spacing w:after="0" w:line="240" w:lineRule="auto"/>
              <w:rPr>
                <w:rStyle w:val="normaltextrun"/>
                <w:rFonts w:ascii="Calibri Light" w:hAnsi="Calibri Light" w:cs="Calibri Light"/>
              </w:rPr>
            </w:pPr>
            <w:r w:rsidRPr="00951470">
              <w:rPr>
                <w:rStyle w:val="normaltextrun"/>
                <w:rFonts w:ascii="Calibri Light" w:hAnsi="Calibri Light" w:cs="Calibri Light"/>
              </w:rPr>
              <w:t>8. It is recommended that the Partnership develops a clearer articulation of bilateral and shared risks as part of the Partnership, to assist with safeguarding compliance and other risk management, to be taken forward in more detail at implementation.</w:t>
            </w:r>
            <w:r w:rsidRPr="00951470">
              <w:rPr>
                <w:rStyle w:val="normaltextrun"/>
              </w:rPr>
              <w:t> </w:t>
            </w:r>
          </w:p>
        </w:tc>
        <w:tc>
          <w:tcPr>
            <w:tcW w:w="1200" w:type="dxa"/>
          </w:tcPr>
          <w:p w14:paraId="032E47BC" w14:textId="295F1750" w:rsidR="00FA0779" w:rsidRPr="00951470" w:rsidRDefault="00C60FDC" w:rsidP="003F3250">
            <w:pPr>
              <w:autoSpaceDE w:val="0"/>
              <w:autoSpaceDN w:val="0"/>
              <w:adjustRightInd w:val="0"/>
              <w:spacing w:after="0" w:line="240" w:lineRule="auto"/>
              <w:rPr>
                <w:rStyle w:val="normaltextrun"/>
                <w:rFonts w:ascii="Calibri Light" w:hAnsi="Calibri Light" w:cs="Calibri Light"/>
              </w:rPr>
            </w:pPr>
            <w:r w:rsidRPr="00951470">
              <w:rPr>
                <w:rStyle w:val="normaltextrun"/>
                <w:rFonts w:ascii="Calibri Light" w:hAnsi="Calibri Light" w:cs="Calibri Light"/>
              </w:rPr>
              <w:t>Agree</w:t>
            </w:r>
          </w:p>
        </w:tc>
        <w:tc>
          <w:tcPr>
            <w:tcW w:w="3903" w:type="dxa"/>
          </w:tcPr>
          <w:p w14:paraId="0062040C" w14:textId="77777777" w:rsidR="008622DF" w:rsidRPr="00951470" w:rsidRDefault="008622DF" w:rsidP="00B31127">
            <w:pPr>
              <w:contextualSpacing/>
              <w:rPr>
                <w:rStyle w:val="normaltextrun"/>
                <w:rFonts w:ascii="Calibri Light" w:hAnsi="Calibri Light" w:cs="Calibri Light"/>
              </w:rPr>
            </w:pPr>
            <w:r w:rsidRPr="00951470">
              <w:rPr>
                <w:rStyle w:val="normaltextrun"/>
                <w:rFonts w:ascii="Calibri Light" w:hAnsi="Calibri Light" w:cs="Calibri Light"/>
              </w:rPr>
              <w:t>Clear articulation of GEDSI, due diligence and safeguarding risks, with implementation of SPREP gender policy commitments</w:t>
            </w:r>
          </w:p>
          <w:p w14:paraId="2182A215" w14:textId="77777777" w:rsidR="00FA0779" w:rsidRPr="00951470" w:rsidRDefault="00FA0779" w:rsidP="00FA0779">
            <w:pPr>
              <w:autoSpaceDE w:val="0"/>
              <w:autoSpaceDN w:val="0"/>
              <w:adjustRightInd w:val="0"/>
              <w:spacing w:after="60" w:line="240" w:lineRule="auto"/>
              <w:rPr>
                <w:rStyle w:val="normaltextrun"/>
                <w:rFonts w:ascii="Calibri Light" w:hAnsi="Calibri Light" w:cs="Calibri Light"/>
              </w:rPr>
            </w:pPr>
          </w:p>
        </w:tc>
        <w:tc>
          <w:tcPr>
            <w:tcW w:w="2551" w:type="dxa"/>
          </w:tcPr>
          <w:p w14:paraId="2B90CE9B" w14:textId="794535D3" w:rsidR="00FA0779" w:rsidRPr="00951470" w:rsidRDefault="00106387" w:rsidP="00FA0779">
            <w:pPr>
              <w:autoSpaceDE w:val="0"/>
              <w:autoSpaceDN w:val="0"/>
              <w:adjustRightInd w:val="0"/>
              <w:spacing w:after="60" w:line="240" w:lineRule="auto"/>
              <w:rPr>
                <w:rStyle w:val="normaltextrun"/>
                <w:rFonts w:ascii="Calibri Light" w:hAnsi="Calibri Light" w:cs="Calibri Light"/>
              </w:rPr>
            </w:pPr>
            <w:r>
              <w:rPr>
                <w:rStyle w:val="normaltextrun"/>
                <w:rFonts w:ascii="Calibri Light" w:hAnsi="Calibri Light" w:cs="Calibri Light"/>
              </w:rPr>
              <w:t>DFAT will add risks to the Partnership Health Check to be reported on annually at the HLC’s.</w:t>
            </w:r>
          </w:p>
        </w:tc>
      </w:tr>
      <w:tr w:rsidR="00FA0779" w:rsidRPr="00647B5C" w14:paraId="3849DE0A" w14:textId="77777777" w:rsidTr="00B70892">
        <w:trPr>
          <w:cantSplit/>
          <w:trHeight w:val="300"/>
        </w:trPr>
        <w:tc>
          <w:tcPr>
            <w:tcW w:w="2552" w:type="dxa"/>
          </w:tcPr>
          <w:p w14:paraId="582F7B0C" w14:textId="469A8373" w:rsidR="00FA0779" w:rsidRDefault="00FA0779" w:rsidP="00FA0779">
            <w:pPr>
              <w:autoSpaceDE w:val="0"/>
              <w:autoSpaceDN w:val="0"/>
              <w:adjustRightInd w:val="0"/>
              <w:spacing w:after="0" w:line="240" w:lineRule="auto"/>
              <w:rPr>
                <w:rStyle w:val="normaltextrun"/>
                <w:rFonts w:ascii="Calibri Light" w:hAnsi="Calibri Light" w:cs="Calibri Light"/>
              </w:rPr>
            </w:pPr>
            <w:r>
              <w:rPr>
                <w:rStyle w:val="normaltextrun"/>
                <w:rFonts w:ascii="Calibri Light" w:hAnsi="Calibri Light" w:cs="Calibri Light"/>
              </w:rPr>
              <w:t>9. It is recommended that SPREP optimises the GEDSI secondee/advisor position to respond to remaining gaps and instrumentalize implementation.</w:t>
            </w:r>
            <w:r w:rsidRPr="00951470">
              <w:rPr>
                <w:rStyle w:val="normaltextrun"/>
              </w:rPr>
              <w:t> </w:t>
            </w:r>
          </w:p>
        </w:tc>
        <w:tc>
          <w:tcPr>
            <w:tcW w:w="1200" w:type="dxa"/>
          </w:tcPr>
          <w:p w14:paraId="30906130" w14:textId="6099A114" w:rsidR="00FA0779" w:rsidRPr="00951470" w:rsidRDefault="00C60FDC" w:rsidP="003F3250">
            <w:pPr>
              <w:autoSpaceDE w:val="0"/>
              <w:autoSpaceDN w:val="0"/>
              <w:adjustRightInd w:val="0"/>
              <w:spacing w:after="0" w:line="240" w:lineRule="auto"/>
              <w:rPr>
                <w:rStyle w:val="normaltextrun"/>
                <w:rFonts w:ascii="Calibri Light" w:hAnsi="Calibri Light" w:cs="Calibri Light"/>
              </w:rPr>
            </w:pPr>
            <w:r w:rsidRPr="00951470">
              <w:rPr>
                <w:rStyle w:val="normaltextrun"/>
                <w:rFonts w:ascii="Calibri Light" w:hAnsi="Calibri Light" w:cs="Calibri Light"/>
              </w:rPr>
              <w:t>Agree</w:t>
            </w:r>
          </w:p>
        </w:tc>
        <w:tc>
          <w:tcPr>
            <w:tcW w:w="3903" w:type="dxa"/>
          </w:tcPr>
          <w:p w14:paraId="2DED4282" w14:textId="25D72F2C" w:rsidR="00FA0779" w:rsidRPr="00951470" w:rsidRDefault="00B974D8" w:rsidP="00FA0779">
            <w:pPr>
              <w:autoSpaceDE w:val="0"/>
              <w:autoSpaceDN w:val="0"/>
              <w:adjustRightInd w:val="0"/>
              <w:spacing w:after="60" w:line="240" w:lineRule="auto"/>
              <w:rPr>
                <w:rStyle w:val="normaltextrun"/>
                <w:rFonts w:ascii="Calibri Light" w:hAnsi="Calibri Light" w:cs="Calibri Light"/>
              </w:rPr>
            </w:pPr>
            <w:r w:rsidRPr="00B974D8">
              <w:rPr>
                <w:rStyle w:val="normaltextrun"/>
                <w:rFonts w:ascii="Calibri Light" w:hAnsi="Calibri Light" w:cs="Calibri Light"/>
              </w:rPr>
              <w:t>Despite evidence of some improvements, GEDSI progress remains slow, and implementation challenges persist. The review of SPREP’s 2016 gender policy has been completed, including input from DFAT as part of development workshops. However, there have been delays in the finalisation of this policy and enactment of commitments. Consultations articulated the slow and incremental nature of policy change efforts within SPREP, a challenge that is compounded by the need for socialisation and buy-in from SPREP member countries.</w:t>
            </w:r>
            <w:r w:rsidRPr="004F76C3">
              <w:rPr>
                <w:lang w:val="en-GB"/>
              </w:rPr>
              <w:t xml:space="preserve"> </w:t>
            </w:r>
          </w:p>
        </w:tc>
        <w:tc>
          <w:tcPr>
            <w:tcW w:w="2551" w:type="dxa"/>
          </w:tcPr>
          <w:p w14:paraId="021D476D" w14:textId="2DC8897C" w:rsidR="00FA0779" w:rsidRPr="00951470" w:rsidRDefault="00230CBA" w:rsidP="00FA0779">
            <w:pPr>
              <w:autoSpaceDE w:val="0"/>
              <w:autoSpaceDN w:val="0"/>
              <w:adjustRightInd w:val="0"/>
              <w:spacing w:after="60" w:line="240" w:lineRule="auto"/>
              <w:rPr>
                <w:rStyle w:val="normaltextrun"/>
                <w:rFonts w:ascii="Calibri Light" w:hAnsi="Calibri Light" w:cs="Calibri Light"/>
              </w:rPr>
            </w:pPr>
            <w:r w:rsidRPr="00951470">
              <w:rPr>
                <w:rStyle w:val="normaltextrun"/>
                <w:rFonts w:ascii="Calibri Light" w:hAnsi="Calibri Light" w:cs="Calibri Light"/>
              </w:rPr>
              <w:t xml:space="preserve">GoA will continue to encourage </w:t>
            </w:r>
            <w:r w:rsidR="00951470" w:rsidRPr="00951470">
              <w:rPr>
                <w:rStyle w:val="normaltextrun"/>
                <w:rFonts w:ascii="Calibri Light" w:hAnsi="Calibri Light" w:cs="Calibri Light"/>
              </w:rPr>
              <w:t xml:space="preserve">the Gender Specialist </w:t>
            </w:r>
            <w:r w:rsidRPr="00951470">
              <w:rPr>
                <w:rStyle w:val="normaltextrun"/>
                <w:rFonts w:ascii="Calibri Light" w:hAnsi="Calibri Light" w:cs="Calibri Light"/>
              </w:rPr>
              <w:t>role to be used strategically in support of the partnership’s GEDSI objectives</w:t>
            </w:r>
            <w:r w:rsidR="00B44959">
              <w:rPr>
                <w:rStyle w:val="normaltextrun"/>
                <w:rFonts w:ascii="Calibri Light" w:hAnsi="Calibri Light" w:cs="Calibri Light"/>
              </w:rPr>
              <w:t>. DFAT will a</w:t>
            </w:r>
            <w:r w:rsidR="00690186">
              <w:rPr>
                <w:rStyle w:val="normaltextrun"/>
                <w:rFonts w:ascii="Calibri Light" w:hAnsi="Calibri Light" w:cs="Calibri Light"/>
              </w:rPr>
              <w:t>dd</w:t>
            </w:r>
            <w:r w:rsidR="00B44959">
              <w:rPr>
                <w:rStyle w:val="normaltextrun"/>
                <w:rFonts w:ascii="Calibri Light" w:hAnsi="Calibri Light" w:cs="Calibri Light"/>
              </w:rPr>
              <w:t xml:space="preserve"> </w:t>
            </w:r>
            <w:r w:rsidR="00690186">
              <w:rPr>
                <w:rStyle w:val="normaltextrun"/>
                <w:rFonts w:ascii="Calibri Light" w:hAnsi="Calibri Light" w:cs="Calibri Light"/>
              </w:rPr>
              <w:t>GEDSI</w:t>
            </w:r>
            <w:r w:rsidR="00B44959">
              <w:rPr>
                <w:rStyle w:val="normaltextrun"/>
                <w:rFonts w:ascii="Calibri Light" w:hAnsi="Calibri Light" w:cs="Calibri Light"/>
              </w:rPr>
              <w:t xml:space="preserve"> to the Partnership </w:t>
            </w:r>
            <w:r w:rsidR="00690186">
              <w:rPr>
                <w:rStyle w:val="normaltextrun"/>
                <w:rFonts w:ascii="Calibri Light" w:hAnsi="Calibri Light" w:cs="Calibri Light"/>
              </w:rPr>
              <w:t>H</w:t>
            </w:r>
            <w:r w:rsidR="00B44959">
              <w:rPr>
                <w:rStyle w:val="normaltextrun"/>
                <w:rFonts w:ascii="Calibri Light" w:hAnsi="Calibri Light" w:cs="Calibri Light"/>
              </w:rPr>
              <w:t xml:space="preserve">ealth </w:t>
            </w:r>
            <w:r w:rsidR="00690186">
              <w:rPr>
                <w:rStyle w:val="normaltextrun"/>
                <w:rFonts w:ascii="Calibri Light" w:hAnsi="Calibri Light" w:cs="Calibri Light"/>
              </w:rPr>
              <w:t>C</w:t>
            </w:r>
            <w:r w:rsidR="00B44959">
              <w:rPr>
                <w:rStyle w:val="normaltextrun"/>
                <w:rFonts w:ascii="Calibri Light" w:hAnsi="Calibri Light" w:cs="Calibri Light"/>
              </w:rPr>
              <w:t>heck</w:t>
            </w:r>
            <w:r w:rsidR="00690186">
              <w:rPr>
                <w:rStyle w:val="normaltextrun"/>
                <w:rFonts w:ascii="Calibri Light" w:hAnsi="Calibri Light" w:cs="Calibri Light"/>
              </w:rPr>
              <w:t xml:space="preserve"> to be </w:t>
            </w:r>
            <w:r w:rsidR="00106387">
              <w:rPr>
                <w:rStyle w:val="normaltextrun"/>
                <w:rFonts w:ascii="Calibri Light" w:hAnsi="Calibri Light" w:cs="Calibri Light"/>
              </w:rPr>
              <w:t>reported on annually at the HLC’s.</w:t>
            </w:r>
          </w:p>
        </w:tc>
      </w:tr>
      <w:tr w:rsidR="00FA0779" w:rsidRPr="00647B5C" w14:paraId="0B24C494" w14:textId="77777777" w:rsidTr="00B70892">
        <w:trPr>
          <w:cantSplit/>
          <w:trHeight w:val="300"/>
        </w:trPr>
        <w:tc>
          <w:tcPr>
            <w:tcW w:w="2552" w:type="dxa"/>
          </w:tcPr>
          <w:p w14:paraId="3B022F67" w14:textId="7E00ED8F" w:rsidR="00FA0779" w:rsidRDefault="00FA0779" w:rsidP="00FA0779">
            <w:pPr>
              <w:autoSpaceDE w:val="0"/>
              <w:autoSpaceDN w:val="0"/>
              <w:adjustRightInd w:val="0"/>
              <w:spacing w:after="0" w:line="240" w:lineRule="auto"/>
              <w:rPr>
                <w:rStyle w:val="normaltextrun"/>
                <w:rFonts w:ascii="Calibri Light" w:hAnsi="Calibri Light" w:cs="Calibri Light"/>
              </w:rPr>
            </w:pPr>
            <w:r>
              <w:rPr>
                <w:rStyle w:val="normaltextrun"/>
                <w:rFonts w:ascii="Calibri Light" w:hAnsi="Calibri Light" w:cs="Calibri Light"/>
              </w:rPr>
              <w:t>10. It is recommended that as part of HLCs, NZ and GoA consider aligning expectations of SPREP around due diligence, particularly PSEAH, and Child Protection.</w:t>
            </w:r>
            <w:r>
              <w:rPr>
                <w:rStyle w:val="eop"/>
                <w:rFonts w:ascii="Calibri Light" w:hAnsi="Calibri Light" w:cs="Calibri Light"/>
              </w:rPr>
              <w:t> </w:t>
            </w:r>
          </w:p>
        </w:tc>
        <w:tc>
          <w:tcPr>
            <w:tcW w:w="1200" w:type="dxa"/>
            <w:tcBorders>
              <w:bottom w:val="single" w:sz="4" w:space="0" w:color="auto"/>
            </w:tcBorders>
          </w:tcPr>
          <w:p w14:paraId="5DE148ED" w14:textId="56C88222" w:rsidR="00FA0779" w:rsidRPr="00165AA6" w:rsidRDefault="00C60FDC" w:rsidP="003F3250">
            <w:pPr>
              <w:autoSpaceDE w:val="0"/>
              <w:autoSpaceDN w:val="0"/>
              <w:adjustRightInd w:val="0"/>
              <w:spacing w:after="0" w:line="240" w:lineRule="auto"/>
              <w:rPr>
                <w:rStyle w:val="normaltextrun"/>
                <w:rFonts w:ascii="Calibri Light" w:hAnsi="Calibri Light" w:cs="Calibri Light"/>
                <w:lang w:val="en-GB"/>
              </w:rPr>
            </w:pPr>
            <w:r w:rsidRPr="00165AA6">
              <w:rPr>
                <w:rStyle w:val="normaltextrun"/>
                <w:rFonts w:ascii="Calibri Light" w:hAnsi="Calibri Light" w:cs="Calibri Light"/>
                <w:lang w:val="en-GB"/>
              </w:rPr>
              <w:t>Agree</w:t>
            </w:r>
          </w:p>
        </w:tc>
        <w:tc>
          <w:tcPr>
            <w:tcW w:w="3903" w:type="dxa"/>
          </w:tcPr>
          <w:p w14:paraId="26B78304" w14:textId="4E64B1A1" w:rsidR="00FA0779" w:rsidRPr="00165AA6" w:rsidRDefault="00797E5C" w:rsidP="00FA0779">
            <w:pPr>
              <w:autoSpaceDE w:val="0"/>
              <w:autoSpaceDN w:val="0"/>
              <w:adjustRightInd w:val="0"/>
              <w:spacing w:after="60" w:line="240" w:lineRule="auto"/>
              <w:rPr>
                <w:rStyle w:val="normaltextrun"/>
                <w:rFonts w:ascii="Calibri Light" w:hAnsi="Calibri Light" w:cs="Calibri Light"/>
                <w:lang w:val="en-GB"/>
              </w:rPr>
            </w:pPr>
            <w:r w:rsidRPr="00797E5C">
              <w:rPr>
                <w:rStyle w:val="normaltextrun"/>
                <w:rFonts w:ascii="Calibri Light" w:hAnsi="Calibri Light" w:cs="Calibri Light"/>
              </w:rPr>
              <w:t>Safeguarding and due diligence risks remain for DFAT, particularly relating to PSEAH and Child Protection. Currently, there is little articulation of these risks as part of the Partnership Agreement. While GEDSI is captured as an overarching partnership objective, the partnership would benefit from clearer articulation of overarching risks at the agreement level to assist with joint mitigation of these risks and ensure safeguard compliance. This would enable DFAT to place GEDSI requirements and compliance more centrally within the partnership and provide an accountability tool in the absence of formal reporting mechanisms.</w:t>
            </w:r>
          </w:p>
        </w:tc>
        <w:tc>
          <w:tcPr>
            <w:tcW w:w="2551" w:type="dxa"/>
          </w:tcPr>
          <w:p w14:paraId="6929FEE7" w14:textId="163167F1" w:rsidR="00FA0779" w:rsidRPr="00647B5C" w:rsidRDefault="00797E5C" w:rsidP="00FA0779">
            <w:pPr>
              <w:autoSpaceDE w:val="0"/>
              <w:autoSpaceDN w:val="0"/>
              <w:adjustRightInd w:val="0"/>
              <w:spacing w:after="60" w:line="240" w:lineRule="auto"/>
              <w:rPr>
                <w:rFonts w:asciiTheme="majorHAnsi" w:hAnsiTheme="majorHAnsi" w:cstheme="majorHAnsi"/>
              </w:rPr>
            </w:pPr>
            <w:r>
              <w:rPr>
                <w:rStyle w:val="normaltextrun"/>
                <w:rFonts w:ascii="Calibri Light" w:hAnsi="Calibri Light" w:cs="Calibri Light"/>
              </w:rPr>
              <w:t>DFAT will add due diligence risks to the Partnership Health Check to be reported on annually at the HLC’s</w:t>
            </w:r>
            <w:r w:rsidR="00774A3E">
              <w:rPr>
                <w:rStyle w:val="normaltextrun"/>
                <w:rFonts w:ascii="Calibri Light" w:hAnsi="Calibri Light" w:cs="Calibri Light"/>
              </w:rPr>
              <w:t xml:space="preserve"> and will consider adding</w:t>
            </w:r>
            <w:r w:rsidR="00504432">
              <w:rPr>
                <w:rStyle w:val="normaltextrun"/>
                <w:rFonts w:ascii="Calibri Light" w:hAnsi="Calibri Light" w:cs="Calibri Light"/>
              </w:rPr>
              <w:t xml:space="preserve"> better articulation of</w:t>
            </w:r>
            <w:r w:rsidR="00774A3E">
              <w:rPr>
                <w:rStyle w:val="normaltextrun"/>
                <w:rFonts w:ascii="Calibri Light" w:hAnsi="Calibri Light" w:cs="Calibri Light"/>
              </w:rPr>
              <w:t xml:space="preserve"> due dil</w:t>
            </w:r>
            <w:r w:rsidR="00504432">
              <w:rPr>
                <w:rStyle w:val="normaltextrun"/>
                <w:rFonts w:ascii="Calibri Light" w:hAnsi="Calibri Light" w:cs="Calibri Light"/>
              </w:rPr>
              <w:t xml:space="preserve">igence </w:t>
            </w:r>
            <w:r w:rsidR="008F7A0B">
              <w:rPr>
                <w:rStyle w:val="normaltextrun"/>
                <w:rFonts w:ascii="Calibri Light" w:hAnsi="Calibri Light" w:cs="Calibri Light"/>
              </w:rPr>
              <w:t>risk in the next Partnership Agreement.</w:t>
            </w:r>
          </w:p>
        </w:tc>
      </w:tr>
    </w:tbl>
    <w:p w14:paraId="0E7227AC" w14:textId="5235ECB2" w:rsidR="00232F10" w:rsidRPr="00647B5C" w:rsidRDefault="00232F10" w:rsidP="007D2A56">
      <w:pPr>
        <w:pStyle w:val="H4-Heading4"/>
        <w:rPr>
          <w:color w:val="auto"/>
        </w:rPr>
      </w:pPr>
    </w:p>
    <w:sectPr w:rsidR="00232F10" w:rsidRPr="00647B5C" w:rsidSect="00187D37">
      <w:headerReference w:type="default" r:id="rId8"/>
      <w:footerReference w:type="default" r:id="rId9"/>
      <w:pgSz w:w="11906" w:h="16838" w:code="9"/>
      <w:pgMar w:top="2127" w:right="991" w:bottom="284"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BFD2" w14:textId="77777777" w:rsidR="00EF3313" w:rsidRDefault="00EF3313" w:rsidP="00EE32FE">
      <w:pPr>
        <w:spacing w:after="0" w:line="240" w:lineRule="auto"/>
      </w:pPr>
      <w:r>
        <w:separator/>
      </w:r>
    </w:p>
  </w:endnote>
  <w:endnote w:type="continuationSeparator" w:id="0">
    <w:p w14:paraId="48B76ED2" w14:textId="77777777" w:rsidR="00EF3313" w:rsidRDefault="00EF3313" w:rsidP="00EE32FE">
      <w:pPr>
        <w:spacing w:after="0" w:line="240" w:lineRule="auto"/>
      </w:pPr>
      <w:r>
        <w:continuationSeparator/>
      </w:r>
    </w:p>
  </w:endnote>
  <w:endnote w:type="continuationNotice" w:id="1">
    <w:p w14:paraId="249E6B25" w14:textId="77777777" w:rsidR="00EF3313" w:rsidRDefault="00EF3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A1D" w14:textId="622940E0" w:rsidR="001869DB" w:rsidRPr="00E363E8" w:rsidRDefault="00E363E8" w:rsidP="00E363E8">
    <w:pPr>
      <w:pStyle w:val="Footer"/>
      <w:spacing w:before="720"/>
    </w:pPr>
    <w:r w:rsidRPr="009050B0">
      <w:rPr>
        <w:rStyle w:val="Green"/>
        <w:b/>
        <w:color w:val="auto"/>
      </w:rPr>
      <w:t>DFAT.GOV.AU</w:t>
    </w:r>
    <w:r w:rsidR="00A16DEC">
      <w:rPr>
        <w:rStyle w:val="Green"/>
        <w:b/>
        <w:color w:val="FFFFFF" w:themeColor="background1"/>
      </w:rPr>
      <w:tab/>
    </w:r>
    <w:r w:rsidR="00A16DEC">
      <w:rPr>
        <w:rStyle w:val="Green"/>
        <w:b/>
        <w:color w:val="FFFFFF" w:themeColor="background1"/>
      </w:rPr>
      <w:tab/>
      <w:t xml:space="preserve"> </w:t>
    </w:r>
    <w:r w:rsidR="00A16DEC" w:rsidRPr="009050B0">
      <w:rPr>
        <w:rStyle w:val="Green"/>
        <w:b/>
        <w:color w:val="auto"/>
      </w:rPr>
      <w:t xml:space="preserve">Page | </w:t>
    </w:r>
    <w:r w:rsidR="00A16DEC" w:rsidRPr="009050B0">
      <w:rPr>
        <w:rStyle w:val="Green"/>
        <w:b/>
        <w:color w:val="auto"/>
      </w:rPr>
      <w:fldChar w:fldCharType="begin"/>
    </w:r>
    <w:r w:rsidR="00A16DEC" w:rsidRPr="009050B0">
      <w:rPr>
        <w:rStyle w:val="Green"/>
        <w:b/>
        <w:color w:val="auto"/>
      </w:rPr>
      <w:instrText xml:space="preserve"> PAGE   \* MERGEFORMAT </w:instrText>
    </w:r>
    <w:r w:rsidR="00A16DEC" w:rsidRPr="009050B0">
      <w:rPr>
        <w:rStyle w:val="Green"/>
        <w:b/>
        <w:color w:val="auto"/>
      </w:rPr>
      <w:fldChar w:fldCharType="separate"/>
    </w:r>
    <w:r w:rsidR="00A16DEC" w:rsidRPr="009050B0">
      <w:rPr>
        <w:rStyle w:val="Green"/>
        <w:b/>
        <w:color w:val="auto"/>
      </w:rPr>
      <w:t>4</w:t>
    </w:r>
    <w:r w:rsidR="00A16DEC" w:rsidRPr="009050B0">
      <w:rPr>
        <w:rStyle w:val="Green"/>
        <w:b/>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D84E" w14:textId="77777777" w:rsidR="00EF3313" w:rsidRDefault="00EF3313" w:rsidP="00EE32FE">
      <w:pPr>
        <w:spacing w:after="0" w:line="240" w:lineRule="auto"/>
      </w:pPr>
      <w:r>
        <w:separator/>
      </w:r>
    </w:p>
  </w:footnote>
  <w:footnote w:type="continuationSeparator" w:id="0">
    <w:p w14:paraId="657FDC11" w14:textId="77777777" w:rsidR="00EF3313" w:rsidRDefault="00EF3313" w:rsidP="00EE32FE">
      <w:pPr>
        <w:spacing w:after="0" w:line="240" w:lineRule="auto"/>
      </w:pPr>
      <w:r>
        <w:continuationSeparator/>
      </w:r>
    </w:p>
  </w:footnote>
  <w:footnote w:type="continuationNotice" w:id="1">
    <w:p w14:paraId="76D23001" w14:textId="77777777" w:rsidR="00EF3313" w:rsidRDefault="00EF3313">
      <w:pPr>
        <w:spacing w:after="0" w:line="240" w:lineRule="auto"/>
      </w:pPr>
    </w:p>
  </w:footnote>
  <w:footnote w:id="2">
    <w:p w14:paraId="53CF8D4C" w14:textId="70E39577" w:rsidR="009457CC" w:rsidRPr="00043EFC" w:rsidRDefault="009457CC">
      <w:pPr>
        <w:pStyle w:val="FootnoteText"/>
        <w:rPr>
          <w:rFonts w:asciiTheme="majorHAnsi" w:hAnsiTheme="majorHAnsi" w:cstheme="majorHAnsi"/>
        </w:rPr>
      </w:pPr>
      <w:r w:rsidRPr="00043EFC">
        <w:rPr>
          <w:rStyle w:val="FootnoteReference"/>
          <w:rFonts w:asciiTheme="majorHAnsi" w:hAnsiTheme="majorHAnsi" w:cstheme="majorHAnsi"/>
        </w:rPr>
        <w:footnoteRef/>
      </w:r>
      <w:r w:rsidRPr="00043EFC">
        <w:rPr>
          <w:rFonts w:asciiTheme="majorHAnsi" w:hAnsiTheme="majorHAnsi" w:cstheme="majorHAnsi"/>
        </w:rPr>
        <w:t xml:space="preserve"> The report represents the independent views of the consultants and not necessarily the views of DFAT or SP</w:t>
      </w:r>
      <w:r w:rsidR="0049015A">
        <w:rPr>
          <w:rFonts w:asciiTheme="majorHAnsi" w:hAnsiTheme="majorHAnsi" w:cstheme="majorHAnsi"/>
        </w:rPr>
        <w:t>REP</w:t>
      </w:r>
      <w:r w:rsidRPr="00043EFC">
        <w:rPr>
          <w:rFonts w:asciiTheme="majorHAnsi" w:hAnsiTheme="majorHAnsi" w:cs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805" w14:textId="16462089" w:rsidR="001D29C1" w:rsidRDefault="002965B1">
    <w:pPr>
      <w:pStyle w:val="Header"/>
    </w:pPr>
    <w:r>
      <w:rPr>
        <w:noProof/>
      </w:rPr>
      <w:drawing>
        <wp:anchor distT="0" distB="0" distL="114300" distR="114300" simplePos="0" relativeHeight="251658240" behindDoc="1" locked="0" layoutInCell="1" allowOverlap="1" wp14:anchorId="1B5AD601" wp14:editId="3B49FD1A">
          <wp:simplePos x="0" y="0"/>
          <wp:positionH relativeFrom="column">
            <wp:align>center</wp:align>
          </wp:positionH>
          <wp:positionV relativeFrom="page">
            <wp:align>center</wp:align>
          </wp:positionV>
          <wp:extent cx="7545600" cy="10674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365"/>
    <w:multiLevelType w:val="hybridMultilevel"/>
    <w:tmpl w:val="268C0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8F4C71"/>
    <w:multiLevelType w:val="hybridMultilevel"/>
    <w:tmpl w:val="7C8C8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E57D6"/>
    <w:multiLevelType w:val="hybridMultilevel"/>
    <w:tmpl w:val="1E3A1540"/>
    <w:lvl w:ilvl="0" w:tplc="2A8EEAC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E4105"/>
    <w:multiLevelType w:val="multilevel"/>
    <w:tmpl w:val="58C2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56EBA"/>
    <w:multiLevelType w:val="hybridMultilevel"/>
    <w:tmpl w:val="19AAD88C"/>
    <w:lvl w:ilvl="0" w:tplc="E76A5A8C">
      <w:start w:val="1"/>
      <w:numFmt w:val="decimal"/>
      <w:lvlText w:val="%1."/>
      <w:lvlJc w:val="left"/>
      <w:pPr>
        <w:ind w:left="360" w:hanging="360"/>
      </w:pPr>
      <w:rPr>
        <w:rFonts w:ascii="Calibri Light" w:hAnsi="Calibri Light" w:cs="Calibri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08687A"/>
    <w:multiLevelType w:val="multilevel"/>
    <w:tmpl w:val="C1A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012B1"/>
    <w:multiLevelType w:val="multilevel"/>
    <w:tmpl w:val="637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1D244D"/>
    <w:multiLevelType w:val="hybridMultilevel"/>
    <w:tmpl w:val="645ECA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A563FA5"/>
    <w:multiLevelType w:val="hybridMultilevel"/>
    <w:tmpl w:val="C226D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7E009D"/>
    <w:multiLevelType w:val="hybridMultilevel"/>
    <w:tmpl w:val="8A241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A50055"/>
    <w:multiLevelType w:val="multilevel"/>
    <w:tmpl w:val="BFC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7663A2"/>
    <w:multiLevelType w:val="multilevel"/>
    <w:tmpl w:val="1AAA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51BC9"/>
    <w:multiLevelType w:val="multilevel"/>
    <w:tmpl w:val="2AB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B34366"/>
    <w:multiLevelType w:val="multilevel"/>
    <w:tmpl w:val="B4F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90793B"/>
    <w:multiLevelType w:val="multilevel"/>
    <w:tmpl w:val="1AD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899559">
    <w:abstractNumId w:val="7"/>
  </w:num>
  <w:num w:numId="2" w16cid:durableId="240526782">
    <w:abstractNumId w:val="7"/>
    <w:lvlOverride w:ilvl="0">
      <w:startOverride w:val="1"/>
    </w:lvlOverride>
  </w:num>
  <w:num w:numId="3" w16cid:durableId="1328947504">
    <w:abstractNumId w:val="7"/>
    <w:lvlOverride w:ilvl="0">
      <w:startOverride w:val="1"/>
    </w:lvlOverride>
  </w:num>
  <w:num w:numId="4" w16cid:durableId="627206153">
    <w:abstractNumId w:val="11"/>
  </w:num>
  <w:num w:numId="5" w16cid:durableId="717899725">
    <w:abstractNumId w:val="0"/>
  </w:num>
  <w:num w:numId="6" w16cid:durableId="1479111706">
    <w:abstractNumId w:val="1"/>
  </w:num>
  <w:num w:numId="7" w16cid:durableId="786504371">
    <w:abstractNumId w:val="2"/>
  </w:num>
  <w:num w:numId="8" w16cid:durableId="645400694">
    <w:abstractNumId w:val="10"/>
  </w:num>
  <w:num w:numId="9" w16cid:durableId="114370611">
    <w:abstractNumId w:val="4"/>
  </w:num>
  <w:num w:numId="10" w16cid:durableId="1480417673">
    <w:abstractNumId w:val="12"/>
  </w:num>
  <w:num w:numId="11" w16cid:durableId="565410711">
    <w:abstractNumId w:val="5"/>
  </w:num>
  <w:num w:numId="12" w16cid:durableId="1202285899">
    <w:abstractNumId w:val="6"/>
  </w:num>
  <w:num w:numId="13" w16cid:durableId="1201170398">
    <w:abstractNumId w:val="3"/>
  </w:num>
  <w:num w:numId="14" w16cid:durableId="184289626">
    <w:abstractNumId w:val="14"/>
  </w:num>
  <w:num w:numId="15" w16cid:durableId="254557900">
    <w:abstractNumId w:val="13"/>
  </w:num>
  <w:num w:numId="16" w16cid:durableId="1331519751">
    <w:abstractNumId w:val="16"/>
  </w:num>
  <w:num w:numId="17" w16cid:durableId="1137796193">
    <w:abstractNumId w:val="15"/>
  </w:num>
  <w:num w:numId="18" w16cid:durableId="722293176">
    <w:abstractNumId w:val="9"/>
  </w:num>
  <w:num w:numId="19" w16cid:durableId="1773472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24"/>
    <w:rsid w:val="0000172C"/>
    <w:rsid w:val="00003BB0"/>
    <w:rsid w:val="00012167"/>
    <w:rsid w:val="0001440E"/>
    <w:rsid w:val="00020CA4"/>
    <w:rsid w:val="00022999"/>
    <w:rsid w:val="00025428"/>
    <w:rsid w:val="00025B48"/>
    <w:rsid w:val="0002737B"/>
    <w:rsid w:val="00030679"/>
    <w:rsid w:val="00030C48"/>
    <w:rsid w:val="00031DD3"/>
    <w:rsid w:val="0003229B"/>
    <w:rsid w:val="000338F5"/>
    <w:rsid w:val="0003480C"/>
    <w:rsid w:val="00034F3D"/>
    <w:rsid w:val="00035573"/>
    <w:rsid w:val="00035EAC"/>
    <w:rsid w:val="000370EF"/>
    <w:rsid w:val="00040C27"/>
    <w:rsid w:val="00043EFC"/>
    <w:rsid w:val="00047184"/>
    <w:rsid w:val="00047725"/>
    <w:rsid w:val="0005313A"/>
    <w:rsid w:val="00053C8D"/>
    <w:rsid w:val="000612C4"/>
    <w:rsid w:val="00062A5A"/>
    <w:rsid w:val="0006473A"/>
    <w:rsid w:val="00065BC6"/>
    <w:rsid w:val="00067C49"/>
    <w:rsid w:val="0007344F"/>
    <w:rsid w:val="00075CC1"/>
    <w:rsid w:val="00075E65"/>
    <w:rsid w:val="000777B5"/>
    <w:rsid w:val="00081826"/>
    <w:rsid w:val="0008226D"/>
    <w:rsid w:val="00082D0F"/>
    <w:rsid w:val="000851A7"/>
    <w:rsid w:val="0008769C"/>
    <w:rsid w:val="00087E68"/>
    <w:rsid w:val="00090D7D"/>
    <w:rsid w:val="00091D89"/>
    <w:rsid w:val="00091F3F"/>
    <w:rsid w:val="00092885"/>
    <w:rsid w:val="00096663"/>
    <w:rsid w:val="00096747"/>
    <w:rsid w:val="000A0934"/>
    <w:rsid w:val="000A36AA"/>
    <w:rsid w:val="000A3762"/>
    <w:rsid w:val="000A3D33"/>
    <w:rsid w:val="000A5477"/>
    <w:rsid w:val="000A69AA"/>
    <w:rsid w:val="000A6D3F"/>
    <w:rsid w:val="000B5BDB"/>
    <w:rsid w:val="000B5D65"/>
    <w:rsid w:val="000B60D4"/>
    <w:rsid w:val="000C0C6F"/>
    <w:rsid w:val="000C23D7"/>
    <w:rsid w:val="000C7B7D"/>
    <w:rsid w:val="000D2B93"/>
    <w:rsid w:val="000D341D"/>
    <w:rsid w:val="000D36A4"/>
    <w:rsid w:val="000D410A"/>
    <w:rsid w:val="000D4892"/>
    <w:rsid w:val="000D4AC4"/>
    <w:rsid w:val="000D54D6"/>
    <w:rsid w:val="000D5A23"/>
    <w:rsid w:val="000D6874"/>
    <w:rsid w:val="000D76DA"/>
    <w:rsid w:val="000E0971"/>
    <w:rsid w:val="000E1006"/>
    <w:rsid w:val="000E1768"/>
    <w:rsid w:val="000E1D8B"/>
    <w:rsid w:val="000E2055"/>
    <w:rsid w:val="000E494E"/>
    <w:rsid w:val="000F1658"/>
    <w:rsid w:val="000F46D2"/>
    <w:rsid w:val="000F5835"/>
    <w:rsid w:val="000F761D"/>
    <w:rsid w:val="00104906"/>
    <w:rsid w:val="00105ABE"/>
    <w:rsid w:val="00105D26"/>
    <w:rsid w:val="00106387"/>
    <w:rsid w:val="0010686F"/>
    <w:rsid w:val="00107648"/>
    <w:rsid w:val="0011055F"/>
    <w:rsid w:val="0011081A"/>
    <w:rsid w:val="0011150A"/>
    <w:rsid w:val="00113C97"/>
    <w:rsid w:val="00116E3A"/>
    <w:rsid w:val="00123C7A"/>
    <w:rsid w:val="001257B0"/>
    <w:rsid w:val="00126BE2"/>
    <w:rsid w:val="00132227"/>
    <w:rsid w:val="001322E3"/>
    <w:rsid w:val="00134570"/>
    <w:rsid w:val="00134B11"/>
    <w:rsid w:val="00135BC6"/>
    <w:rsid w:val="00136483"/>
    <w:rsid w:val="001370AE"/>
    <w:rsid w:val="00137D02"/>
    <w:rsid w:val="00137DBB"/>
    <w:rsid w:val="001405B7"/>
    <w:rsid w:val="00140DB9"/>
    <w:rsid w:val="001414AF"/>
    <w:rsid w:val="001443F6"/>
    <w:rsid w:val="00146F85"/>
    <w:rsid w:val="0014799C"/>
    <w:rsid w:val="0015301D"/>
    <w:rsid w:val="001602A9"/>
    <w:rsid w:val="001607F3"/>
    <w:rsid w:val="00161010"/>
    <w:rsid w:val="00161C15"/>
    <w:rsid w:val="00162DAC"/>
    <w:rsid w:val="00165AA6"/>
    <w:rsid w:val="00166F1A"/>
    <w:rsid w:val="0016704D"/>
    <w:rsid w:val="00173B8C"/>
    <w:rsid w:val="00174BC2"/>
    <w:rsid w:val="001771B9"/>
    <w:rsid w:val="00181BB9"/>
    <w:rsid w:val="0018208B"/>
    <w:rsid w:val="001824CB"/>
    <w:rsid w:val="00183225"/>
    <w:rsid w:val="00183753"/>
    <w:rsid w:val="001859A8"/>
    <w:rsid w:val="001869DB"/>
    <w:rsid w:val="00187D37"/>
    <w:rsid w:val="00193C07"/>
    <w:rsid w:val="00194577"/>
    <w:rsid w:val="001969CE"/>
    <w:rsid w:val="001A4AA5"/>
    <w:rsid w:val="001B056F"/>
    <w:rsid w:val="001B269C"/>
    <w:rsid w:val="001B44BE"/>
    <w:rsid w:val="001B5A10"/>
    <w:rsid w:val="001C196A"/>
    <w:rsid w:val="001C40AB"/>
    <w:rsid w:val="001C412C"/>
    <w:rsid w:val="001C4F8D"/>
    <w:rsid w:val="001C5AE7"/>
    <w:rsid w:val="001D1032"/>
    <w:rsid w:val="001D29C1"/>
    <w:rsid w:val="001D31C6"/>
    <w:rsid w:val="001E69E8"/>
    <w:rsid w:val="001E78D9"/>
    <w:rsid w:val="001F0B1B"/>
    <w:rsid w:val="001F24C2"/>
    <w:rsid w:val="001F3672"/>
    <w:rsid w:val="0020236E"/>
    <w:rsid w:val="0020408E"/>
    <w:rsid w:val="00205BBF"/>
    <w:rsid w:val="002073F1"/>
    <w:rsid w:val="002176CE"/>
    <w:rsid w:val="0021791D"/>
    <w:rsid w:val="00221819"/>
    <w:rsid w:val="00222D71"/>
    <w:rsid w:val="0022406F"/>
    <w:rsid w:val="0022524E"/>
    <w:rsid w:val="00230CBA"/>
    <w:rsid w:val="00231419"/>
    <w:rsid w:val="00232F10"/>
    <w:rsid w:val="002349F3"/>
    <w:rsid w:val="00235AFF"/>
    <w:rsid w:val="002414A3"/>
    <w:rsid w:val="00245059"/>
    <w:rsid w:val="002450B8"/>
    <w:rsid w:val="00246196"/>
    <w:rsid w:val="0024691A"/>
    <w:rsid w:val="00250E4D"/>
    <w:rsid w:val="00251FE9"/>
    <w:rsid w:val="0025359A"/>
    <w:rsid w:val="0025374B"/>
    <w:rsid w:val="00253A00"/>
    <w:rsid w:val="0025552A"/>
    <w:rsid w:val="00255AF0"/>
    <w:rsid w:val="00262350"/>
    <w:rsid w:val="002654D4"/>
    <w:rsid w:val="00266676"/>
    <w:rsid w:val="00266931"/>
    <w:rsid w:val="00267667"/>
    <w:rsid w:val="002707D4"/>
    <w:rsid w:val="00272EA7"/>
    <w:rsid w:val="002734FE"/>
    <w:rsid w:val="0028037E"/>
    <w:rsid w:val="00281CAB"/>
    <w:rsid w:val="00286D21"/>
    <w:rsid w:val="002878AD"/>
    <w:rsid w:val="002923D5"/>
    <w:rsid w:val="00293231"/>
    <w:rsid w:val="00294425"/>
    <w:rsid w:val="00294CE3"/>
    <w:rsid w:val="00294E45"/>
    <w:rsid w:val="00295BC6"/>
    <w:rsid w:val="002965B1"/>
    <w:rsid w:val="002A01E5"/>
    <w:rsid w:val="002A4A1A"/>
    <w:rsid w:val="002A5EDC"/>
    <w:rsid w:val="002A77BF"/>
    <w:rsid w:val="002A7943"/>
    <w:rsid w:val="002A7EF0"/>
    <w:rsid w:val="002B0EB9"/>
    <w:rsid w:val="002B187A"/>
    <w:rsid w:val="002B3006"/>
    <w:rsid w:val="002B6F46"/>
    <w:rsid w:val="002C4050"/>
    <w:rsid w:val="002C6544"/>
    <w:rsid w:val="002D4DDD"/>
    <w:rsid w:val="002D589C"/>
    <w:rsid w:val="002D5D97"/>
    <w:rsid w:val="002D7573"/>
    <w:rsid w:val="002E1303"/>
    <w:rsid w:val="002E528C"/>
    <w:rsid w:val="002F0401"/>
    <w:rsid w:val="002F1260"/>
    <w:rsid w:val="002F45DC"/>
    <w:rsid w:val="002F4A32"/>
    <w:rsid w:val="002F5106"/>
    <w:rsid w:val="002F72C0"/>
    <w:rsid w:val="00302EE7"/>
    <w:rsid w:val="003047F7"/>
    <w:rsid w:val="00304E4B"/>
    <w:rsid w:val="00311C89"/>
    <w:rsid w:val="00311F2F"/>
    <w:rsid w:val="003133FD"/>
    <w:rsid w:val="00314E6F"/>
    <w:rsid w:val="0031550E"/>
    <w:rsid w:val="00316610"/>
    <w:rsid w:val="00323A33"/>
    <w:rsid w:val="00325CAA"/>
    <w:rsid w:val="00327DC1"/>
    <w:rsid w:val="00333A62"/>
    <w:rsid w:val="003357B3"/>
    <w:rsid w:val="00346569"/>
    <w:rsid w:val="0035195E"/>
    <w:rsid w:val="00352711"/>
    <w:rsid w:val="00354FC4"/>
    <w:rsid w:val="00356936"/>
    <w:rsid w:val="00357D73"/>
    <w:rsid w:val="00361322"/>
    <w:rsid w:val="0037657F"/>
    <w:rsid w:val="003801C7"/>
    <w:rsid w:val="00381C1A"/>
    <w:rsid w:val="00383076"/>
    <w:rsid w:val="00383B94"/>
    <w:rsid w:val="00394A61"/>
    <w:rsid w:val="00396DC2"/>
    <w:rsid w:val="003A2006"/>
    <w:rsid w:val="003A5177"/>
    <w:rsid w:val="003A51A4"/>
    <w:rsid w:val="003A51B5"/>
    <w:rsid w:val="003A57D7"/>
    <w:rsid w:val="003A585E"/>
    <w:rsid w:val="003A766D"/>
    <w:rsid w:val="003A7989"/>
    <w:rsid w:val="003B168C"/>
    <w:rsid w:val="003B17C7"/>
    <w:rsid w:val="003B35F5"/>
    <w:rsid w:val="003C2313"/>
    <w:rsid w:val="003C3A7B"/>
    <w:rsid w:val="003C41C4"/>
    <w:rsid w:val="003C6A1E"/>
    <w:rsid w:val="003D0633"/>
    <w:rsid w:val="003D0F9F"/>
    <w:rsid w:val="003D3612"/>
    <w:rsid w:val="003D430D"/>
    <w:rsid w:val="003E3A91"/>
    <w:rsid w:val="003E4D41"/>
    <w:rsid w:val="003E7A47"/>
    <w:rsid w:val="003F2C10"/>
    <w:rsid w:val="003F3250"/>
    <w:rsid w:val="003F4967"/>
    <w:rsid w:val="003F539E"/>
    <w:rsid w:val="003F64FD"/>
    <w:rsid w:val="003F64FF"/>
    <w:rsid w:val="00400635"/>
    <w:rsid w:val="00404CFA"/>
    <w:rsid w:val="00407046"/>
    <w:rsid w:val="00407E3A"/>
    <w:rsid w:val="00410B70"/>
    <w:rsid w:val="00413663"/>
    <w:rsid w:val="00415E30"/>
    <w:rsid w:val="004174EB"/>
    <w:rsid w:val="004224EA"/>
    <w:rsid w:val="0042276D"/>
    <w:rsid w:val="00425E1D"/>
    <w:rsid w:val="00427B2D"/>
    <w:rsid w:val="004307EF"/>
    <w:rsid w:val="0043736E"/>
    <w:rsid w:val="004408B9"/>
    <w:rsid w:val="00442E46"/>
    <w:rsid w:val="004479F7"/>
    <w:rsid w:val="004575FF"/>
    <w:rsid w:val="00462C09"/>
    <w:rsid w:val="00463EE0"/>
    <w:rsid w:val="00465987"/>
    <w:rsid w:val="00471104"/>
    <w:rsid w:val="00476ECF"/>
    <w:rsid w:val="004801C2"/>
    <w:rsid w:val="00480D8E"/>
    <w:rsid w:val="004823C4"/>
    <w:rsid w:val="0048291F"/>
    <w:rsid w:val="00485E6F"/>
    <w:rsid w:val="00486936"/>
    <w:rsid w:val="004872E4"/>
    <w:rsid w:val="00487C5B"/>
    <w:rsid w:val="0049015A"/>
    <w:rsid w:val="004905C2"/>
    <w:rsid w:val="0049095F"/>
    <w:rsid w:val="00490A67"/>
    <w:rsid w:val="0049107F"/>
    <w:rsid w:val="00491A89"/>
    <w:rsid w:val="00491B88"/>
    <w:rsid w:val="004925F5"/>
    <w:rsid w:val="00493B0B"/>
    <w:rsid w:val="004A042B"/>
    <w:rsid w:val="004A1799"/>
    <w:rsid w:val="004B6AD6"/>
    <w:rsid w:val="004B71D7"/>
    <w:rsid w:val="004B7AFD"/>
    <w:rsid w:val="004C0E85"/>
    <w:rsid w:val="004C33BA"/>
    <w:rsid w:val="004C4B24"/>
    <w:rsid w:val="004C568F"/>
    <w:rsid w:val="004E0188"/>
    <w:rsid w:val="004E51A1"/>
    <w:rsid w:val="004E7BEA"/>
    <w:rsid w:val="004F07ED"/>
    <w:rsid w:val="004F156C"/>
    <w:rsid w:val="004F29A3"/>
    <w:rsid w:val="004F2A44"/>
    <w:rsid w:val="004F5CA3"/>
    <w:rsid w:val="00504432"/>
    <w:rsid w:val="00506AC6"/>
    <w:rsid w:val="00514660"/>
    <w:rsid w:val="00516605"/>
    <w:rsid w:val="005231B9"/>
    <w:rsid w:val="0052487C"/>
    <w:rsid w:val="00526CC2"/>
    <w:rsid w:val="005301EC"/>
    <w:rsid w:val="0053024D"/>
    <w:rsid w:val="00533B70"/>
    <w:rsid w:val="0054107D"/>
    <w:rsid w:val="0054331A"/>
    <w:rsid w:val="00543800"/>
    <w:rsid w:val="00544789"/>
    <w:rsid w:val="00544F70"/>
    <w:rsid w:val="00545DCB"/>
    <w:rsid w:val="00547436"/>
    <w:rsid w:val="00551CE3"/>
    <w:rsid w:val="00551D70"/>
    <w:rsid w:val="005558FB"/>
    <w:rsid w:val="00560BBA"/>
    <w:rsid w:val="0056329D"/>
    <w:rsid w:val="00563371"/>
    <w:rsid w:val="005637F0"/>
    <w:rsid w:val="00563FEB"/>
    <w:rsid w:val="00574111"/>
    <w:rsid w:val="00574DA8"/>
    <w:rsid w:val="005806D2"/>
    <w:rsid w:val="0058189B"/>
    <w:rsid w:val="0058776B"/>
    <w:rsid w:val="00592302"/>
    <w:rsid w:val="005923AB"/>
    <w:rsid w:val="00592E1A"/>
    <w:rsid w:val="0059361B"/>
    <w:rsid w:val="00595180"/>
    <w:rsid w:val="005964B8"/>
    <w:rsid w:val="005A0615"/>
    <w:rsid w:val="005A1D68"/>
    <w:rsid w:val="005A2598"/>
    <w:rsid w:val="005A4153"/>
    <w:rsid w:val="005A422C"/>
    <w:rsid w:val="005A6A8A"/>
    <w:rsid w:val="005A7D68"/>
    <w:rsid w:val="005B2767"/>
    <w:rsid w:val="005B2F32"/>
    <w:rsid w:val="005B5B04"/>
    <w:rsid w:val="005C3AEC"/>
    <w:rsid w:val="005C3E96"/>
    <w:rsid w:val="005C483A"/>
    <w:rsid w:val="005D6203"/>
    <w:rsid w:val="005D7196"/>
    <w:rsid w:val="005D78BE"/>
    <w:rsid w:val="005E05AB"/>
    <w:rsid w:val="005E3189"/>
    <w:rsid w:val="005E32D9"/>
    <w:rsid w:val="005E4060"/>
    <w:rsid w:val="005E78D7"/>
    <w:rsid w:val="005F059A"/>
    <w:rsid w:val="005F2DE0"/>
    <w:rsid w:val="005F3512"/>
    <w:rsid w:val="005F5EC1"/>
    <w:rsid w:val="005F7B84"/>
    <w:rsid w:val="006014D4"/>
    <w:rsid w:val="00601C8C"/>
    <w:rsid w:val="00604F6C"/>
    <w:rsid w:val="006067B3"/>
    <w:rsid w:val="00607370"/>
    <w:rsid w:val="006116B0"/>
    <w:rsid w:val="00611B16"/>
    <w:rsid w:val="00611E1F"/>
    <w:rsid w:val="00612278"/>
    <w:rsid w:val="00617A68"/>
    <w:rsid w:val="0062462B"/>
    <w:rsid w:val="006257FB"/>
    <w:rsid w:val="006310C0"/>
    <w:rsid w:val="00631FBF"/>
    <w:rsid w:val="00632FEA"/>
    <w:rsid w:val="00634998"/>
    <w:rsid w:val="0063512B"/>
    <w:rsid w:val="00644158"/>
    <w:rsid w:val="00647B5C"/>
    <w:rsid w:val="006513EA"/>
    <w:rsid w:val="00651801"/>
    <w:rsid w:val="006527B4"/>
    <w:rsid w:val="00653C2C"/>
    <w:rsid w:val="00654DFC"/>
    <w:rsid w:val="00655B27"/>
    <w:rsid w:val="00661961"/>
    <w:rsid w:val="00663877"/>
    <w:rsid w:val="00666D62"/>
    <w:rsid w:val="0066711F"/>
    <w:rsid w:val="00667D82"/>
    <w:rsid w:val="00670DD1"/>
    <w:rsid w:val="00671161"/>
    <w:rsid w:val="00676475"/>
    <w:rsid w:val="00676E83"/>
    <w:rsid w:val="00682E76"/>
    <w:rsid w:val="00685630"/>
    <w:rsid w:val="00690186"/>
    <w:rsid w:val="00690755"/>
    <w:rsid w:val="00692FD3"/>
    <w:rsid w:val="006931F2"/>
    <w:rsid w:val="006945FD"/>
    <w:rsid w:val="00695F36"/>
    <w:rsid w:val="00695F9E"/>
    <w:rsid w:val="00696C6F"/>
    <w:rsid w:val="006A2AAC"/>
    <w:rsid w:val="006A3A16"/>
    <w:rsid w:val="006A5E97"/>
    <w:rsid w:val="006A66D2"/>
    <w:rsid w:val="006B1113"/>
    <w:rsid w:val="006B1B6F"/>
    <w:rsid w:val="006B2B7D"/>
    <w:rsid w:val="006B4347"/>
    <w:rsid w:val="006C01B8"/>
    <w:rsid w:val="006C13E7"/>
    <w:rsid w:val="006C1E21"/>
    <w:rsid w:val="006C239C"/>
    <w:rsid w:val="006C268E"/>
    <w:rsid w:val="006C65CA"/>
    <w:rsid w:val="006D3E07"/>
    <w:rsid w:val="006D77E3"/>
    <w:rsid w:val="006E0759"/>
    <w:rsid w:val="006E1EAD"/>
    <w:rsid w:val="006E4375"/>
    <w:rsid w:val="006E5D6E"/>
    <w:rsid w:val="006F4E45"/>
    <w:rsid w:val="006F6726"/>
    <w:rsid w:val="006F6A23"/>
    <w:rsid w:val="00700F81"/>
    <w:rsid w:val="007019CE"/>
    <w:rsid w:val="007036B4"/>
    <w:rsid w:val="00704249"/>
    <w:rsid w:val="007043AF"/>
    <w:rsid w:val="007048AE"/>
    <w:rsid w:val="00706E11"/>
    <w:rsid w:val="00710514"/>
    <w:rsid w:val="007107B5"/>
    <w:rsid w:val="007126C7"/>
    <w:rsid w:val="00713CD1"/>
    <w:rsid w:val="007143F8"/>
    <w:rsid w:val="00714D7C"/>
    <w:rsid w:val="00715413"/>
    <w:rsid w:val="007157F9"/>
    <w:rsid w:val="00722A68"/>
    <w:rsid w:val="00722B39"/>
    <w:rsid w:val="0072346E"/>
    <w:rsid w:val="00730200"/>
    <w:rsid w:val="00731000"/>
    <w:rsid w:val="00734B21"/>
    <w:rsid w:val="0073759F"/>
    <w:rsid w:val="007375F9"/>
    <w:rsid w:val="00742F0B"/>
    <w:rsid w:val="0074304F"/>
    <w:rsid w:val="00750524"/>
    <w:rsid w:val="00753DCE"/>
    <w:rsid w:val="0075626B"/>
    <w:rsid w:val="007570F3"/>
    <w:rsid w:val="0076071D"/>
    <w:rsid w:val="00761827"/>
    <w:rsid w:val="00765F04"/>
    <w:rsid w:val="00772915"/>
    <w:rsid w:val="0077460C"/>
    <w:rsid w:val="007746F1"/>
    <w:rsid w:val="00774A3E"/>
    <w:rsid w:val="0078042B"/>
    <w:rsid w:val="007812AC"/>
    <w:rsid w:val="007813EE"/>
    <w:rsid w:val="007825C5"/>
    <w:rsid w:val="00783F9C"/>
    <w:rsid w:val="007842A3"/>
    <w:rsid w:val="007875B4"/>
    <w:rsid w:val="00790F0D"/>
    <w:rsid w:val="00790F87"/>
    <w:rsid w:val="00791418"/>
    <w:rsid w:val="00795FAA"/>
    <w:rsid w:val="0079610B"/>
    <w:rsid w:val="0079728E"/>
    <w:rsid w:val="00797A44"/>
    <w:rsid w:val="00797E5C"/>
    <w:rsid w:val="007A03B6"/>
    <w:rsid w:val="007A1037"/>
    <w:rsid w:val="007A3069"/>
    <w:rsid w:val="007A7239"/>
    <w:rsid w:val="007A7542"/>
    <w:rsid w:val="007B2F43"/>
    <w:rsid w:val="007C1D5C"/>
    <w:rsid w:val="007C3F96"/>
    <w:rsid w:val="007C5166"/>
    <w:rsid w:val="007C6E6A"/>
    <w:rsid w:val="007D0DCE"/>
    <w:rsid w:val="007D100B"/>
    <w:rsid w:val="007D1036"/>
    <w:rsid w:val="007D2A56"/>
    <w:rsid w:val="007D2B54"/>
    <w:rsid w:val="007D3DC3"/>
    <w:rsid w:val="007D415A"/>
    <w:rsid w:val="007E311F"/>
    <w:rsid w:val="007E4ACF"/>
    <w:rsid w:val="007E6CB1"/>
    <w:rsid w:val="007F2627"/>
    <w:rsid w:val="007F3B80"/>
    <w:rsid w:val="007F525D"/>
    <w:rsid w:val="007F5429"/>
    <w:rsid w:val="007F6E5F"/>
    <w:rsid w:val="00800388"/>
    <w:rsid w:val="008006D5"/>
    <w:rsid w:val="00801C33"/>
    <w:rsid w:val="00805620"/>
    <w:rsid w:val="00811DE7"/>
    <w:rsid w:val="008131C2"/>
    <w:rsid w:val="008171F9"/>
    <w:rsid w:val="00823881"/>
    <w:rsid w:val="00824701"/>
    <w:rsid w:val="00825BAB"/>
    <w:rsid w:val="008326EE"/>
    <w:rsid w:val="00833F55"/>
    <w:rsid w:val="008345D1"/>
    <w:rsid w:val="0084248C"/>
    <w:rsid w:val="00842858"/>
    <w:rsid w:val="00845374"/>
    <w:rsid w:val="00845B07"/>
    <w:rsid w:val="00850746"/>
    <w:rsid w:val="00854C38"/>
    <w:rsid w:val="00861E6E"/>
    <w:rsid w:val="008622DF"/>
    <w:rsid w:val="00863D83"/>
    <w:rsid w:val="00870298"/>
    <w:rsid w:val="00871933"/>
    <w:rsid w:val="008726AE"/>
    <w:rsid w:val="00874D28"/>
    <w:rsid w:val="008768BB"/>
    <w:rsid w:val="00880FB2"/>
    <w:rsid w:val="00882ADE"/>
    <w:rsid w:val="00882FCF"/>
    <w:rsid w:val="008863A3"/>
    <w:rsid w:val="00887B85"/>
    <w:rsid w:val="00887C28"/>
    <w:rsid w:val="0089092C"/>
    <w:rsid w:val="008909E8"/>
    <w:rsid w:val="008A09CF"/>
    <w:rsid w:val="008A1BC7"/>
    <w:rsid w:val="008A222F"/>
    <w:rsid w:val="008A226C"/>
    <w:rsid w:val="008A316A"/>
    <w:rsid w:val="008A47CF"/>
    <w:rsid w:val="008B4AB3"/>
    <w:rsid w:val="008B5A2B"/>
    <w:rsid w:val="008C6F9A"/>
    <w:rsid w:val="008C7F50"/>
    <w:rsid w:val="008D23A6"/>
    <w:rsid w:val="008D28B2"/>
    <w:rsid w:val="008D649D"/>
    <w:rsid w:val="008D7651"/>
    <w:rsid w:val="008E0442"/>
    <w:rsid w:val="008E2A44"/>
    <w:rsid w:val="008E3E00"/>
    <w:rsid w:val="008E41F5"/>
    <w:rsid w:val="008E5986"/>
    <w:rsid w:val="008F0D1E"/>
    <w:rsid w:val="008F2C66"/>
    <w:rsid w:val="008F78E2"/>
    <w:rsid w:val="008F7A0B"/>
    <w:rsid w:val="009033D8"/>
    <w:rsid w:val="009048F1"/>
    <w:rsid w:val="009050B0"/>
    <w:rsid w:val="009061B7"/>
    <w:rsid w:val="00907D9C"/>
    <w:rsid w:val="00913F5A"/>
    <w:rsid w:val="00914B36"/>
    <w:rsid w:val="00914DAE"/>
    <w:rsid w:val="00915E3F"/>
    <w:rsid w:val="00924AF1"/>
    <w:rsid w:val="0093107E"/>
    <w:rsid w:val="00931424"/>
    <w:rsid w:val="00935117"/>
    <w:rsid w:val="00936070"/>
    <w:rsid w:val="009400B1"/>
    <w:rsid w:val="00942B73"/>
    <w:rsid w:val="00944035"/>
    <w:rsid w:val="00944282"/>
    <w:rsid w:val="009457CC"/>
    <w:rsid w:val="00951470"/>
    <w:rsid w:val="0095163D"/>
    <w:rsid w:val="00951F71"/>
    <w:rsid w:val="00954EA8"/>
    <w:rsid w:val="00961FD9"/>
    <w:rsid w:val="00963196"/>
    <w:rsid w:val="00963BF1"/>
    <w:rsid w:val="00964CC0"/>
    <w:rsid w:val="00966944"/>
    <w:rsid w:val="00967155"/>
    <w:rsid w:val="00967BAC"/>
    <w:rsid w:val="00971124"/>
    <w:rsid w:val="0097268D"/>
    <w:rsid w:val="00974E26"/>
    <w:rsid w:val="00976207"/>
    <w:rsid w:val="00977A7E"/>
    <w:rsid w:val="0098388B"/>
    <w:rsid w:val="00984BCD"/>
    <w:rsid w:val="00985D5F"/>
    <w:rsid w:val="00987AE7"/>
    <w:rsid w:val="00991DAB"/>
    <w:rsid w:val="009924A1"/>
    <w:rsid w:val="009967AD"/>
    <w:rsid w:val="009A44EE"/>
    <w:rsid w:val="009A739D"/>
    <w:rsid w:val="009B0074"/>
    <w:rsid w:val="009B1A9C"/>
    <w:rsid w:val="009B248B"/>
    <w:rsid w:val="009B4B5B"/>
    <w:rsid w:val="009B64FF"/>
    <w:rsid w:val="009B7569"/>
    <w:rsid w:val="009B7FDA"/>
    <w:rsid w:val="009C5B3D"/>
    <w:rsid w:val="009C6771"/>
    <w:rsid w:val="009C7249"/>
    <w:rsid w:val="009C757F"/>
    <w:rsid w:val="009C7967"/>
    <w:rsid w:val="009C7B4B"/>
    <w:rsid w:val="009C7EAB"/>
    <w:rsid w:val="009D20F6"/>
    <w:rsid w:val="009D5366"/>
    <w:rsid w:val="009D6FFD"/>
    <w:rsid w:val="009E247B"/>
    <w:rsid w:val="009E2CAD"/>
    <w:rsid w:val="009E3D31"/>
    <w:rsid w:val="009E49EA"/>
    <w:rsid w:val="009E56EB"/>
    <w:rsid w:val="009F493B"/>
    <w:rsid w:val="009F6CC1"/>
    <w:rsid w:val="00A01D6E"/>
    <w:rsid w:val="00A02349"/>
    <w:rsid w:val="00A031C1"/>
    <w:rsid w:val="00A03962"/>
    <w:rsid w:val="00A04C1C"/>
    <w:rsid w:val="00A06BA1"/>
    <w:rsid w:val="00A07DA9"/>
    <w:rsid w:val="00A10584"/>
    <w:rsid w:val="00A10847"/>
    <w:rsid w:val="00A13A6E"/>
    <w:rsid w:val="00A16DEC"/>
    <w:rsid w:val="00A21706"/>
    <w:rsid w:val="00A2337B"/>
    <w:rsid w:val="00A2379E"/>
    <w:rsid w:val="00A2527A"/>
    <w:rsid w:val="00A262C2"/>
    <w:rsid w:val="00A26A05"/>
    <w:rsid w:val="00A313FC"/>
    <w:rsid w:val="00A347C8"/>
    <w:rsid w:val="00A349FE"/>
    <w:rsid w:val="00A35B95"/>
    <w:rsid w:val="00A4001E"/>
    <w:rsid w:val="00A427A3"/>
    <w:rsid w:val="00A42B97"/>
    <w:rsid w:val="00A46281"/>
    <w:rsid w:val="00A462F5"/>
    <w:rsid w:val="00A51297"/>
    <w:rsid w:val="00A55BC1"/>
    <w:rsid w:val="00A563EC"/>
    <w:rsid w:val="00A564BE"/>
    <w:rsid w:val="00A57CC7"/>
    <w:rsid w:val="00A62D96"/>
    <w:rsid w:val="00A66D2E"/>
    <w:rsid w:val="00A70DF3"/>
    <w:rsid w:val="00A728DB"/>
    <w:rsid w:val="00A73205"/>
    <w:rsid w:val="00A83816"/>
    <w:rsid w:val="00A91A91"/>
    <w:rsid w:val="00A94086"/>
    <w:rsid w:val="00A94E7F"/>
    <w:rsid w:val="00A96A69"/>
    <w:rsid w:val="00A96F89"/>
    <w:rsid w:val="00AA0C45"/>
    <w:rsid w:val="00AA1406"/>
    <w:rsid w:val="00AA1745"/>
    <w:rsid w:val="00AA1A27"/>
    <w:rsid w:val="00AA7635"/>
    <w:rsid w:val="00AB0CA1"/>
    <w:rsid w:val="00AB1CB6"/>
    <w:rsid w:val="00AD6704"/>
    <w:rsid w:val="00AE0224"/>
    <w:rsid w:val="00AE2BC6"/>
    <w:rsid w:val="00AE368C"/>
    <w:rsid w:val="00AE5E2C"/>
    <w:rsid w:val="00AF0476"/>
    <w:rsid w:val="00AF2B7E"/>
    <w:rsid w:val="00AF34B7"/>
    <w:rsid w:val="00AF3548"/>
    <w:rsid w:val="00B0151E"/>
    <w:rsid w:val="00B06FA2"/>
    <w:rsid w:val="00B07BF4"/>
    <w:rsid w:val="00B1448A"/>
    <w:rsid w:val="00B16FFA"/>
    <w:rsid w:val="00B20C48"/>
    <w:rsid w:val="00B20E9F"/>
    <w:rsid w:val="00B214E2"/>
    <w:rsid w:val="00B22FB2"/>
    <w:rsid w:val="00B25BF1"/>
    <w:rsid w:val="00B2751D"/>
    <w:rsid w:val="00B31127"/>
    <w:rsid w:val="00B315E2"/>
    <w:rsid w:val="00B31703"/>
    <w:rsid w:val="00B33891"/>
    <w:rsid w:val="00B40881"/>
    <w:rsid w:val="00B4333D"/>
    <w:rsid w:val="00B4427B"/>
    <w:rsid w:val="00B44959"/>
    <w:rsid w:val="00B538C5"/>
    <w:rsid w:val="00B61606"/>
    <w:rsid w:val="00B62523"/>
    <w:rsid w:val="00B639EE"/>
    <w:rsid w:val="00B64A71"/>
    <w:rsid w:val="00B70892"/>
    <w:rsid w:val="00B73519"/>
    <w:rsid w:val="00B76C12"/>
    <w:rsid w:val="00B76D23"/>
    <w:rsid w:val="00B81F6C"/>
    <w:rsid w:val="00B83455"/>
    <w:rsid w:val="00B853D7"/>
    <w:rsid w:val="00B862EA"/>
    <w:rsid w:val="00B91D36"/>
    <w:rsid w:val="00B92F0B"/>
    <w:rsid w:val="00B93CB8"/>
    <w:rsid w:val="00B95A9A"/>
    <w:rsid w:val="00B9625B"/>
    <w:rsid w:val="00B974D8"/>
    <w:rsid w:val="00BA1666"/>
    <w:rsid w:val="00BA174B"/>
    <w:rsid w:val="00BA181F"/>
    <w:rsid w:val="00BA2EBD"/>
    <w:rsid w:val="00BA6B9D"/>
    <w:rsid w:val="00BA7779"/>
    <w:rsid w:val="00BB46ED"/>
    <w:rsid w:val="00BB7C61"/>
    <w:rsid w:val="00BC190F"/>
    <w:rsid w:val="00BD088C"/>
    <w:rsid w:val="00BD0CE5"/>
    <w:rsid w:val="00BD241A"/>
    <w:rsid w:val="00BD5AB3"/>
    <w:rsid w:val="00BD7179"/>
    <w:rsid w:val="00BE0664"/>
    <w:rsid w:val="00BE1743"/>
    <w:rsid w:val="00BE178A"/>
    <w:rsid w:val="00BE5BCE"/>
    <w:rsid w:val="00BF2059"/>
    <w:rsid w:val="00C02DDF"/>
    <w:rsid w:val="00C0644E"/>
    <w:rsid w:val="00C112FB"/>
    <w:rsid w:val="00C11CEC"/>
    <w:rsid w:val="00C11F87"/>
    <w:rsid w:val="00C12FBA"/>
    <w:rsid w:val="00C134C4"/>
    <w:rsid w:val="00C13D74"/>
    <w:rsid w:val="00C1448B"/>
    <w:rsid w:val="00C227C7"/>
    <w:rsid w:val="00C268FE"/>
    <w:rsid w:val="00C3042B"/>
    <w:rsid w:val="00C32138"/>
    <w:rsid w:val="00C338F8"/>
    <w:rsid w:val="00C36256"/>
    <w:rsid w:val="00C40760"/>
    <w:rsid w:val="00C410E6"/>
    <w:rsid w:val="00C411A4"/>
    <w:rsid w:val="00C44025"/>
    <w:rsid w:val="00C57D06"/>
    <w:rsid w:val="00C6084E"/>
    <w:rsid w:val="00C608AC"/>
    <w:rsid w:val="00C60EBF"/>
    <w:rsid w:val="00C60FDC"/>
    <w:rsid w:val="00C62630"/>
    <w:rsid w:val="00C628FD"/>
    <w:rsid w:val="00C64E29"/>
    <w:rsid w:val="00C727E9"/>
    <w:rsid w:val="00C962EC"/>
    <w:rsid w:val="00C97C2B"/>
    <w:rsid w:val="00CA1354"/>
    <w:rsid w:val="00CA1847"/>
    <w:rsid w:val="00CA2439"/>
    <w:rsid w:val="00CA26F8"/>
    <w:rsid w:val="00CA38B3"/>
    <w:rsid w:val="00CB3379"/>
    <w:rsid w:val="00CB4127"/>
    <w:rsid w:val="00CB5D01"/>
    <w:rsid w:val="00CB5EDC"/>
    <w:rsid w:val="00CB77A8"/>
    <w:rsid w:val="00CC0623"/>
    <w:rsid w:val="00CC065E"/>
    <w:rsid w:val="00CC0A2D"/>
    <w:rsid w:val="00CC2D2A"/>
    <w:rsid w:val="00CC4FF6"/>
    <w:rsid w:val="00CC6390"/>
    <w:rsid w:val="00CD1522"/>
    <w:rsid w:val="00CD3DF2"/>
    <w:rsid w:val="00CD4F8A"/>
    <w:rsid w:val="00CD683C"/>
    <w:rsid w:val="00CE266A"/>
    <w:rsid w:val="00CE3748"/>
    <w:rsid w:val="00CE5479"/>
    <w:rsid w:val="00CF0839"/>
    <w:rsid w:val="00CF14DB"/>
    <w:rsid w:val="00CF6487"/>
    <w:rsid w:val="00CF7242"/>
    <w:rsid w:val="00D0358D"/>
    <w:rsid w:val="00D06093"/>
    <w:rsid w:val="00D1392F"/>
    <w:rsid w:val="00D1509F"/>
    <w:rsid w:val="00D16EFA"/>
    <w:rsid w:val="00D17371"/>
    <w:rsid w:val="00D27114"/>
    <w:rsid w:val="00D30C18"/>
    <w:rsid w:val="00D31F3F"/>
    <w:rsid w:val="00D32738"/>
    <w:rsid w:val="00D34E74"/>
    <w:rsid w:val="00D3566B"/>
    <w:rsid w:val="00D42A3A"/>
    <w:rsid w:val="00D517E0"/>
    <w:rsid w:val="00D524A3"/>
    <w:rsid w:val="00D524AF"/>
    <w:rsid w:val="00D5363A"/>
    <w:rsid w:val="00D54CEB"/>
    <w:rsid w:val="00D556C0"/>
    <w:rsid w:val="00D572FB"/>
    <w:rsid w:val="00D71186"/>
    <w:rsid w:val="00D81CD7"/>
    <w:rsid w:val="00D82127"/>
    <w:rsid w:val="00D82369"/>
    <w:rsid w:val="00D82A5D"/>
    <w:rsid w:val="00D844B0"/>
    <w:rsid w:val="00D848F8"/>
    <w:rsid w:val="00D90DD5"/>
    <w:rsid w:val="00D96011"/>
    <w:rsid w:val="00D979AF"/>
    <w:rsid w:val="00DA0436"/>
    <w:rsid w:val="00DA3D36"/>
    <w:rsid w:val="00DA52D2"/>
    <w:rsid w:val="00DA6024"/>
    <w:rsid w:val="00DB0232"/>
    <w:rsid w:val="00DB0D13"/>
    <w:rsid w:val="00DB2343"/>
    <w:rsid w:val="00DB41A5"/>
    <w:rsid w:val="00DC3263"/>
    <w:rsid w:val="00DC5D1B"/>
    <w:rsid w:val="00DC5EDA"/>
    <w:rsid w:val="00DC656E"/>
    <w:rsid w:val="00DC65AE"/>
    <w:rsid w:val="00DC70BF"/>
    <w:rsid w:val="00DD3641"/>
    <w:rsid w:val="00DD5A70"/>
    <w:rsid w:val="00DD6655"/>
    <w:rsid w:val="00DD7AFF"/>
    <w:rsid w:val="00DE0DB4"/>
    <w:rsid w:val="00DE3DBA"/>
    <w:rsid w:val="00DF0B71"/>
    <w:rsid w:val="00DF16F3"/>
    <w:rsid w:val="00DF79EE"/>
    <w:rsid w:val="00E0539A"/>
    <w:rsid w:val="00E06C8E"/>
    <w:rsid w:val="00E073BB"/>
    <w:rsid w:val="00E07C49"/>
    <w:rsid w:val="00E07EA5"/>
    <w:rsid w:val="00E10579"/>
    <w:rsid w:val="00E144CA"/>
    <w:rsid w:val="00E16881"/>
    <w:rsid w:val="00E25A57"/>
    <w:rsid w:val="00E3174D"/>
    <w:rsid w:val="00E3388B"/>
    <w:rsid w:val="00E363E8"/>
    <w:rsid w:val="00E403D1"/>
    <w:rsid w:val="00E436EB"/>
    <w:rsid w:val="00E4484C"/>
    <w:rsid w:val="00E458D2"/>
    <w:rsid w:val="00E4737E"/>
    <w:rsid w:val="00E478A8"/>
    <w:rsid w:val="00E52025"/>
    <w:rsid w:val="00E5375B"/>
    <w:rsid w:val="00E53C65"/>
    <w:rsid w:val="00E53D4F"/>
    <w:rsid w:val="00E57AEE"/>
    <w:rsid w:val="00E6740D"/>
    <w:rsid w:val="00E703CC"/>
    <w:rsid w:val="00E7258D"/>
    <w:rsid w:val="00E74FDC"/>
    <w:rsid w:val="00E75A6B"/>
    <w:rsid w:val="00E95165"/>
    <w:rsid w:val="00E97B4E"/>
    <w:rsid w:val="00EA445D"/>
    <w:rsid w:val="00EA4DAA"/>
    <w:rsid w:val="00EB06A2"/>
    <w:rsid w:val="00EB444D"/>
    <w:rsid w:val="00EB67F9"/>
    <w:rsid w:val="00EC1229"/>
    <w:rsid w:val="00EC1437"/>
    <w:rsid w:val="00EC3847"/>
    <w:rsid w:val="00EC4B6A"/>
    <w:rsid w:val="00EC4CA5"/>
    <w:rsid w:val="00EC7054"/>
    <w:rsid w:val="00ED4768"/>
    <w:rsid w:val="00ED6837"/>
    <w:rsid w:val="00EE1A66"/>
    <w:rsid w:val="00EE32FE"/>
    <w:rsid w:val="00EE5DC0"/>
    <w:rsid w:val="00EF02BC"/>
    <w:rsid w:val="00EF11B1"/>
    <w:rsid w:val="00EF3313"/>
    <w:rsid w:val="00EF39C7"/>
    <w:rsid w:val="00EF5478"/>
    <w:rsid w:val="00F03613"/>
    <w:rsid w:val="00F0468F"/>
    <w:rsid w:val="00F119EF"/>
    <w:rsid w:val="00F135C1"/>
    <w:rsid w:val="00F17E64"/>
    <w:rsid w:val="00F17EE8"/>
    <w:rsid w:val="00F200BE"/>
    <w:rsid w:val="00F20DC3"/>
    <w:rsid w:val="00F21071"/>
    <w:rsid w:val="00F32651"/>
    <w:rsid w:val="00F33B07"/>
    <w:rsid w:val="00F34D5D"/>
    <w:rsid w:val="00F4118F"/>
    <w:rsid w:val="00F41979"/>
    <w:rsid w:val="00F42A86"/>
    <w:rsid w:val="00F43687"/>
    <w:rsid w:val="00F45001"/>
    <w:rsid w:val="00F45CCB"/>
    <w:rsid w:val="00F47B08"/>
    <w:rsid w:val="00F5374E"/>
    <w:rsid w:val="00F53E6E"/>
    <w:rsid w:val="00F53F3B"/>
    <w:rsid w:val="00F547E6"/>
    <w:rsid w:val="00F55397"/>
    <w:rsid w:val="00F6212D"/>
    <w:rsid w:val="00F63247"/>
    <w:rsid w:val="00F66F28"/>
    <w:rsid w:val="00F66F50"/>
    <w:rsid w:val="00F67CCC"/>
    <w:rsid w:val="00F67E21"/>
    <w:rsid w:val="00F70EF9"/>
    <w:rsid w:val="00F74D89"/>
    <w:rsid w:val="00F76A5F"/>
    <w:rsid w:val="00F824DB"/>
    <w:rsid w:val="00F84899"/>
    <w:rsid w:val="00F87D15"/>
    <w:rsid w:val="00F906B4"/>
    <w:rsid w:val="00F917CF"/>
    <w:rsid w:val="00F921EE"/>
    <w:rsid w:val="00F9272B"/>
    <w:rsid w:val="00F92AA8"/>
    <w:rsid w:val="00F95B41"/>
    <w:rsid w:val="00F96312"/>
    <w:rsid w:val="00F9789F"/>
    <w:rsid w:val="00FA0779"/>
    <w:rsid w:val="00FA49B1"/>
    <w:rsid w:val="00FA4EB5"/>
    <w:rsid w:val="00FB18BE"/>
    <w:rsid w:val="00FB5D07"/>
    <w:rsid w:val="00FB6FB5"/>
    <w:rsid w:val="00FB7E57"/>
    <w:rsid w:val="00FC1F5E"/>
    <w:rsid w:val="00FC30A1"/>
    <w:rsid w:val="00FC35AB"/>
    <w:rsid w:val="00FC3FED"/>
    <w:rsid w:val="00FC5B33"/>
    <w:rsid w:val="00FC7590"/>
    <w:rsid w:val="00FC7ED0"/>
    <w:rsid w:val="00FD2475"/>
    <w:rsid w:val="00FD5011"/>
    <w:rsid w:val="00FD52A0"/>
    <w:rsid w:val="00FD63E6"/>
    <w:rsid w:val="00FD6495"/>
    <w:rsid w:val="00FE1B92"/>
    <w:rsid w:val="00FE21EA"/>
    <w:rsid w:val="00FE514B"/>
    <w:rsid w:val="00FE6364"/>
    <w:rsid w:val="00FF2963"/>
    <w:rsid w:val="00FF4863"/>
    <w:rsid w:val="00FF5E18"/>
    <w:rsid w:val="00FF6445"/>
    <w:rsid w:val="0328C010"/>
    <w:rsid w:val="06C15EAE"/>
    <w:rsid w:val="0C091392"/>
    <w:rsid w:val="0C769D19"/>
    <w:rsid w:val="0E67B7A9"/>
    <w:rsid w:val="11D9AE76"/>
    <w:rsid w:val="13059B33"/>
    <w:rsid w:val="14348EB0"/>
    <w:rsid w:val="145205EC"/>
    <w:rsid w:val="189ACB46"/>
    <w:rsid w:val="1A50A0F9"/>
    <w:rsid w:val="1CD7A378"/>
    <w:rsid w:val="1DDD7C66"/>
    <w:rsid w:val="228A7BCC"/>
    <w:rsid w:val="23C3E690"/>
    <w:rsid w:val="26F4B77A"/>
    <w:rsid w:val="2A58218F"/>
    <w:rsid w:val="2C3E8D47"/>
    <w:rsid w:val="2C5C5A4F"/>
    <w:rsid w:val="2D17710E"/>
    <w:rsid w:val="356241AD"/>
    <w:rsid w:val="36F478EE"/>
    <w:rsid w:val="38751D0C"/>
    <w:rsid w:val="3A036504"/>
    <w:rsid w:val="3B875A19"/>
    <w:rsid w:val="3C0F2709"/>
    <w:rsid w:val="3C98B1E3"/>
    <w:rsid w:val="42D629D1"/>
    <w:rsid w:val="445705F5"/>
    <w:rsid w:val="453BAA41"/>
    <w:rsid w:val="48342C18"/>
    <w:rsid w:val="4899BAFE"/>
    <w:rsid w:val="4BFCD732"/>
    <w:rsid w:val="4D0218A7"/>
    <w:rsid w:val="4DFCE303"/>
    <w:rsid w:val="4FD89F74"/>
    <w:rsid w:val="5011C1B2"/>
    <w:rsid w:val="515993A8"/>
    <w:rsid w:val="5432BB13"/>
    <w:rsid w:val="558610E0"/>
    <w:rsid w:val="5CC953CB"/>
    <w:rsid w:val="5E4BD86D"/>
    <w:rsid w:val="5E6938B0"/>
    <w:rsid w:val="622B20B4"/>
    <w:rsid w:val="6359EB7E"/>
    <w:rsid w:val="6827468D"/>
    <w:rsid w:val="6CB62264"/>
    <w:rsid w:val="72CC1C67"/>
    <w:rsid w:val="73DDEB86"/>
    <w:rsid w:val="78120A57"/>
    <w:rsid w:val="7C796F2C"/>
    <w:rsid w:val="7EE69A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5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50"/>
    <w:pPr>
      <w:spacing w:after="160" w:line="259" w:lineRule="auto"/>
    </w:pPr>
    <w:rPr>
      <w:sz w:val="22"/>
      <w:szCs w:val="22"/>
      <w:lang w:eastAsia="en-US"/>
    </w:rPr>
  </w:style>
  <w:style w:type="paragraph" w:styleId="Heading1">
    <w:name w:val="heading 1"/>
    <w:basedOn w:val="H1-Heading1"/>
    <w:next w:val="Normal"/>
    <w:link w:val="Heading1Char"/>
    <w:uiPriority w:val="9"/>
    <w:qFormat/>
    <w:rsid w:val="003F3250"/>
    <w:pPr>
      <w:outlineLvl w:val="0"/>
    </w:pPr>
  </w:style>
  <w:style w:type="paragraph" w:styleId="Heading2">
    <w:name w:val="heading 2"/>
    <w:basedOn w:val="H2-Heading2"/>
    <w:next w:val="Normal"/>
    <w:link w:val="Heading2Char"/>
    <w:uiPriority w:val="9"/>
    <w:unhideWhenUsed/>
    <w:qFormat/>
    <w:rsid w:val="003F325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3-Heading3"/>
    <w:qFormat/>
    <w:rsid w:val="00FD6495"/>
    <w:pPr>
      <w:spacing w:before="0"/>
      <w:jc w:val="center"/>
    </w:pPr>
    <w:rPr>
      <w:color w:val="auto"/>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4-Heading4"/>
    <w:qFormat/>
    <w:rsid w:val="00FD6495"/>
    <w:rPr>
      <w:color w:val="auto"/>
    </w:rPr>
  </w:style>
  <w:style w:type="paragraph" w:customStyle="1" w:styleId="H4-Heading4">
    <w:name w:val="H4 - Heading 4"/>
    <w:next w:val="BodyCopy"/>
    <w:qFormat/>
    <w:rsid w:val="00790F87"/>
    <w:pPr>
      <w:spacing w:before="160"/>
    </w:pPr>
    <w:rPr>
      <w:rFonts w:cstheme="minorHAnsi"/>
      <w:b/>
      <w:bCs/>
      <w:color w:val="313E48"/>
      <w:sz w:val="24"/>
      <w:szCs w:val="24"/>
      <w:lang w:eastAsia="en-US"/>
    </w:rPr>
  </w:style>
  <w:style w:type="paragraph" w:customStyle="1" w:styleId="H3-Heading3">
    <w:name w:val="H3 - Heading 3"/>
    <w:basedOn w:val="BodyCopy"/>
    <w:qFormat/>
    <w:rsid w:val="00A01D6E"/>
    <w:pPr>
      <w:spacing w:before="240" w:after="40"/>
    </w:pPr>
    <w:rPr>
      <w:rFonts w:asciiTheme="minorHAnsi" w:hAnsiTheme="minorHAnsi" w:cstheme="minorHAnsi"/>
      <w:b/>
      <w:bCs/>
      <w:sz w:val="28"/>
      <w:szCs w:val="28"/>
    </w:rPr>
  </w:style>
  <w:style w:type="paragraph" w:customStyle="1" w:styleId="BodycopyNumberedBullets">
    <w:name w:val="Body copy Numbered Bullets"/>
    <w:basedOn w:val="BodyCopy"/>
    <w:qFormat/>
    <w:rsid w:val="00845374"/>
    <w:pPr>
      <w:numPr>
        <w:numId w:val="1"/>
      </w:numPr>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C40760"/>
    <w:pPr>
      <w:numPr>
        <w:numId w:val="4"/>
      </w:numPr>
      <w:ind w:left="340"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790F87"/>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table" w:customStyle="1" w:styleId="TableGrid1">
    <w:name w:val="Table Grid1"/>
    <w:basedOn w:val="TableNormal"/>
    <w:next w:val="TableGrid"/>
    <w:uiPriority w:val="39"/>
    <w:rsid w:val="00C362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62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C97"/>
    <w:rPr>
      <w:sz w:val="16"/>
      <w:szCs w:val="16"/>
    </w:rPr>
  </w:style>
  <w:style w:type="paragraph" w:styleId="CommentText">
    <w:name w:val="annotation text"/>
    <w:basedOn w:val="Normal"/>
    <w:link w:val="CommentTextChar"/>
    <w:uiPriority w:val="99"/>
    <w:unhideWhenUsed/>
    <w:rsid w:val="00113C97"/>
    <w:pPr>
      <w:spacing w:line="240" w:lineRule="auto"/>
    </w:pPr>
    <w:rPr>
      <w:sz w:val="20"/>
      <w:szCs w:val="20"/>
    </w:rPr>
  </w:style>
  <w:style w:type="character" w:customStyle="1" w:styleId="CommentTextChar">
    <w:name w:val="Comment Text Char"/>
    <w:basedOn w:val="DefaultParagraphFont"/>
    <w:link w:val="CommentText"/>
    <w:uiPriority w:val="99"/>
    <w:rsid w:val="00113C97"/>
    <w:rPr>
      <w:lang w:eastAsia="en-US"/>
    </w:rPr>
  </w:style>
  <w:style w:type="paragraph" w:styleId="CommentSubject">
    <w:name w:val="annotation subject"/>
    <w:basedOn w:val="CommentText"/>
    <w:next w:val="CommentText"/>
    <w:link w:val="CommentSubjectChar"/>
    <w:uiPriority w:val="99"/>
    <w:semiHidden/>
    <w:unhideWhenUsed/>
    <w:rsid w:val="00113C97"/>
    <w:rPr>
      <w:b/>
      <w:bCs/>
    </w:rPr>
  </w:style>
  <w:style w:type="character" w:customStyle="1" w:styleId="CommentSubjectChar">
    <w:name w:val="Comment Subject Char"/>
    <w:basedOn w:val="CommentTextChar"/>
    <w:link w:val="CommentSubject"/>
    <w:uiPriority w:val="99"/>
    <w:semiHidden/>
    <w:rsid w:val="00113C97"/>
    <w:rPr>
      <w:b/>
      <w:bCs/>
      <w:lang w:eastAsia="en-US"/>
    </w:rPr>
  </w:style>
  <w:style w:type="paragraph" w:styleId="Revision">
    <w:name w:val="Revision"/>
    <w:hidden/>
    <w:uiPriority w:val="99"/>
    <w:semiHidden/>
    <w:rsid w:val="007048AE"/>
    <w:rPr>
      <w:sz w:val="22"/>
      <w:szCs w:val="22"/>
      <w:lang w:eastAsia="en-US"/>
    </w:rPr>
  </w:style>
  <w:style w:type="paragraph" w:customStyle="1" w:styleId="Default">
    <w:name w:val="Default"/>
    <w:rsid w:val="00AA7635"/>
    <w:pPr>
      <w:autoSpaceDE w:val="0"/>
      <w:autoSpaceDN w:val="0"/>
      <w:adjustRightInd w:val="0"/>
    </w:pPr>
    <w:rPr>
      <w:rFonts w:eastAsiaTheme="minorHAnsi" w:cs="Calibri"/>
      <w:color w:val="000000"/>
      <w:sz w:val="24"/>
      <w:szCs w:val="24"/>
      <w:lang w:eastAsia="en-US"/>
    </w:rPr>
  </w:style>
  <w:style w:type="paragraph" w:styleId="ListParagraph">
    <w:name w:val="List Paragraph"/>
    <w:aliases w:val="Bullet1,List Paragraph1,Recommendation,List Paragraph11,List Paragraph2,Bulit List -  Paragraph,Colorful Shading - Accent 31,AusAID List Paragraph,Bullets,Bullet paras,Numbered Paragraph,Main numbered paragraph,123 List Paragraph,L,COOP"/>
    <w:basedOn w:val="Normal"/>
    <w:link w:val="ListParagraphChar"/>
    <w:uiPriority w:val="34"/>
    <w:qFormat/>
    <w:rsid w:val="00BD241A"/>
    <w:pPr>
      <w:spacing w:after="0" w:line="240" w:lineRule="auto"/>
      <w:ind w:left="720"/>
    </w:pPr>
    <w:rPr>
      <w:rFonts w:asciiTheme="minorHAnsi" w:eastAsiaTheme="minorHAnsi" w:hAnsiTheme="minorHAnsi" w:cstheme="minorBidi"/>
    </w:rPr>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
    <w:basedOn w:val="Normal"/>
    <w:link w:val="FootnoteTextChar"/>
    <w:uiPriority w:val="99"/>
    <w:unhideWhenUsed/>
    <w:rsid w:val="009457CC"/>
    <w:pPr>
      <w:spacing w:after="0" w:line="240" w:lineRule="auto"/>
    </w:pPr>
    <w:rPr>
      <w:sz w:val="20"/>
      <w:szCs w:val="20"/>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
    <w:basedOn w:val="DefaultParagraphFont"/>
    <w:link w:val="FootnoteText"/>
    <w:uiPriority w:val="99"/>
    <w:rsid w:val="009457CC"/>
    <w:rPr>
      <w:lang w:eastAsia="en-US"/>
    </w:rPr>
  </w:style>
  <w:style w:type="character" w:styleId="FootnoteReference">
    <w:name w:val="footnote reference"/>
    <w:aliases w:val="Normal + Font:9 Point,Superscript 3 Point Times,ftref,BVI fnr,Знак сноски 1,(NECG) Footnote Reference,16 Point,Superscript 6 Point,fr,Footnote + Arial,10 pt,Black,Fußnotenzeichen DISS,Superscript 6 Point + 11 pt,Footnote Ref in FtNote"/>
    <w:basedOn w:val="DefaultParagraphFont"/>
    <w:link w:val="Char2"/>
    <w:uiPriority w:val="99"/>
    <w:unhideWhenUsed/>
    <w:qFormat/>
    <w:rsid w:val="009457CC"/>
    <w:rPr>
      <w:vertAlign w:val="superscript"/>
    </w:rPr>
  </w:style>
  <w:style w:type="character" w:styleId="Hyperlink">
    <w:name w:val="Hyperlink"/>
    <w:basedOn w:val="DefaultParagraphFont"/>
    <w:uiPriority w:val="99"/>
    <w:semiHidden/>
    <w:unhideWhenUsed/>
    <w:rsid w:val="000612C4"/>
    <w:rPr>
      <w:color w:val="0000FF"/>
      <w:u w:val="single"/>
    </w:rPr>
  </w:style>
  <w:style w:type="character" w:customStyle="1" w:styleId="cf01">
    <w:name w:val="cf01"/>
    <w:basedOn w:val="DefaultParagraphFont"/>
    <w:rsid w:val="00FB7E57"/>
    <w:rPr>
      <w:rFonts w:ascii="Segoe UI" w:hAnsi="Segoe UI" w:cs="Segoe UI" w:hint="default"/>
      <w:sz w:val="18"/>
      <w:szCs w:val="18"/>
    </w:rPr>
  </w:style>
  <w:style w:type="character" w:customStyle="1" w:styleId="normaltextrun">
    <w:name w:val="normaltextrun"/>
    <w:basedOn w:val="DefaultParagraphFont"/>
    <w:rsid w:val="00B93CB8"/>
  </w:style>
  <w:style w:type="character" w:customStyle="1" w:styleId="eop">
    <w:name w:val="eop"/>
    <w:basedOn w:val="DefaultParagraphFont"/>
    <w:rsid w:val="00B93CB8"/>
  </w:style>
  <w:style w:type="paragraph" w:customStyle="1" w:styleId="Char2">
    <w:name w:val="Char2"/>
    <w:basedOn w:val="Normal"/>
    <w:link w:val="FootnoteReference"/>
    <w:uiPriority w:val="99"/>
    <w:rsid w:val="00C60FDC"/>
    <w:pPr>
      <w:spacing w:line="240" w:lineRule="exact"/>
      <w:jc w:val="both"/>
    </w:pPr>
    <w:rPr>
      <w:sz w:val="20"/>
      <w:szCs w:val="20"/>
      <w:vertAlign w:val="superscript"/>
      <w:lang w:eastAsia="en-AU"/>
    </w:rPr>
  </w:style>
  <w:style w:type="character" w:customStyle="1" w:styleId="ListParagraphChar">
    <w:name w:val="List Paragraph Char"/>
    <w:aliases w:val="Bullet1 Char,List Paragraph1 Char,Recommendation Char,List Paragraph11 Char,List Paragraph2 Char,Bulit List -  Paragraph Char,Colorful Shading - Accent 31 Char,AusAID List Paragraph Char,Bullets Char,Bullet paras Char,L Char"/>
    <w:basedOn w:val="DefaultParagraphFont"/>
    <w:link w:val="ListParagraph"/>
    <w:uiPriority w:val="34"/>
    <w:qFormat/>
    <w:locked/>
    <w:rsid w:val="008622DF"/>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3F3250"/>
    <w:rPr>
      <w:rFonts w:asciiTheme="minorHAnsi" w:hAnsiTheme="minorHAnsi" w:cstheme="minorHAnsi"/>
      <w:b/>
      <w:bCs/>
      <w:sz w:val="28"/>
      <w:szCs w:val="28"/>
      <w:lang w:eastAsia="en-US"/>
    </w:rPr>
  </w:style>
  <w:style w:type="character" w:customStyle="1" w:styleId="Heading2Char">
    <w:name w:val="Heading 2 Char"/>
    <w:basedOn w:val="DefaultParagraphFont"/>
    <w:link w:val="Heading2"/>
    <w:uiPriority w:val="9"/>
    <w:rsid w:val="003F3250"/>
    <w:rPr>
      <w:rFonts w:cstheme="minorHAns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8439">
      <w:bodyDiv w:val="1"/>
      <w:marLeft w:val="0"/>
      <w:marRight w:val="0"/>
      <w:marTop w:val="0"/>
      <w:marBottom w:val="0"/>
      <w:divBdr>
        <w:top w:val="none" w:sz="0" w:space="0" w:color="auto"/>
        <w:left w:val="none" w:sz="0" w:space="0" w:color="auto"/>
        <w:bottom w:val="none" w:sz="0" w:space="0" w:color="auto"/>
        <w:right w:val="none" w:sz="0" w:space="0" w:color="auto"/>
      </w:divBdr>
      <w:divsChild>
        <w:div w:id="376660333">
          <w:marLeft w:val="0"/>
          <w:marRight w:val="0"/>
          <w:marTop w:val="0"/>
          <w:marBottom w:val="0"/>
          <w:divBdr>
            <w:top w:val="none" w:sz="0" w:space="0" w:color="auto"/>
            <w:left w:val="none" w:sz="0" w:space="0" w:color="auto"/>
            <w:bottom w:val="none" w:sz="0" w:space="0" w:color="auto"/>
            <w:right w:val="none" w:sz="0" w:space="0" w:color="auto"/>
          </w:divBdr>
        </w:div>
        <w:div w:id="623854483">
          <w:marLeft w:val="0"/>
          <w:marRight w:val="0"/>
          <w:marTop w:val="0"/>
          <w:marBottom w:val="0"/>
          <w:divBdr>
            <w:top w:val="none" w:sz="0" w:space="0" w:color="auto"/>
            <w:left w:val="none" w:sz="0" w:space="0" w:color="auto"/>
            <w:bottom w:val="none" w:sz="0" w:space="0" w:color="auto"/>
            <w:right w:val="none" w:sz="0" w:space="0" w:color="auto"/>
          </w:divBdr>
        </w:div>
        <w:div w:id="2018194916">
          <w:marLeft w:val="0"/>
          <w:marRight w:val="0"/>
          <w:marTop w:val="0"/>
          <w:marBottom w:val="0"/>
          <w:divBdr>
            <w:top w:val="none" w:sz="0" w:space="0" w:color="auto"/>
            <w:left w:val="none" w:sz="0" w:space="0" w:color="auto"/>
            <w:bottom w:val="none" w:sz="0" w:space="0" w:color="auto"/>
            <w:right w:val="none" w:sz="0" w:space="0" w:color="auto"/>
          </w:divBdr>
        </w:div>
      </w:divsChild>
    </w:div>
    <w:div w:id="473640363">
      <w:bodyDiv w:val="1"/>
      <w:marLeft w:val="0"/>
      <w:marRight w:val="0"/>
      <w:marTop w:val="0"/>
      <w:marBottom w:val="0"/>
      <w:divBdr>
        <w:top w:val="none" w:sz="0" w:space="0" w:color="auto"/>
        <w:left w:val="none" w:sz="0" w:space="0" w:color="auto"/>
        <w:bottom w:val="none" w:sz="0" w:space="0" w:color="auto"/>
        <w:right w:val="none" w:sz="0" w:space="0" w:color="auto"/>
      </w:divBdr>
    </w:div>
    <w:div w:id="500050418">
      <w:bodyDiv w:val="1"/>
      <w:marLeft w:val="0"/>
      <w:marRight w:val="0"/>
      <w:marTop w:val="0"/>
      <w:marBottom w:val="0"/>
      <w:divBdr>
        <w:top w:val="none" w:sz="0" w:space="0" w:color="auto"/>
        <w:left w:val="none" w:sz="0" w:space="0" w:color="auto"/>
        <w:bottom w:val="none" w:sz="0" w:space="0" w:color="auto"/>
        <w:right w:val="none" w:sz="0" w:space="0" w:color="auto"/>
      </w:divBdr>
    </w:div>
    <w:div w:id="872693226">
      <w:bodyDiv w:val="1"/>
      <w:marLeft w:val="0"/>
      <w:marRight w:val="0"/>
      <w:marTop w:val="0"/>
      <w:marBottom w:val="0"/>
      <w:divBdr>
        <w:top w:val="none" w:sz="0" w:space="0" w:color="auto"/>
        <w:left w:val="none" w:sz="0" w:space="0" w:color="auto"/>
        <w:bottom w:val="none" w:sz="0" w:space="0" w:color="auto"/>
        <w:right w:val="none" w:sz="0" w:space="0" w:color="auto"/>
      </w:divBdr>
    </w:div>
    <w:div w:id="939459358">
      <w:bodyDiv w:val="1"/>
      <w:marLeft w:val="0"/>
      <w:marRight w:val="0"/>
      <w:marTop w:val="0"/>
      <w:marBottom w:val="0"/>
      <w:divBdr>
        <w:top w:val="none" w:sz="0" w:space="0" w:color="auto"/>
        <w:left w:val="none" w:sz="0" w:space="0" w:color="auto"/>
        <w:bottom w:val="none" w:sz="0" w:space="0" w:color="auto"/>
        <w:right w:val="none" w:sz="0" w:space="0" w:color="auto"/>
      </w:divBdr>
    </w:div>
    <w:div w:id="999692002">
      <w:bodyDiv w:val="1"/>
      <w:marLeft w:val="0"/>
      <w:marRight w:val="0"/>
      <w:marTop w:val="0"/>
      <w:marBottom w:val="0"/>
      <w:divBdr>
        <w:top w:val="none" w:sz="0" w:space="0" w:color="auto"/>
        <w:left w:val="none" w:sz="0" w:space="0" w:color="auto"/>
        <w:bottom w:val="none" w:sz="0" w:space="0" w:color="auto"/>
        <w:right w:val="none" w:sz="0" w:space="0" w:color="auto"/>
      </w:divBdr>
      <w:divsChild>
        <w:div w:id="449326765">
          <w:marLeft w:val="0"/>
          <w:marRight w:val="0"/>
          <w:marTop w:val="0"/>
          <w:marBottom w:val="0"/>
          <w:divBdr>
            <w:top w:val="none" w:sz="0" w:space="0" w:color="auto"/>
            <w:left w:val="none" w:sz="0" w:space="0" w:color="auto"/>
            <w:bottom w:val="none" w:sz="0" w:space="0" w:color="auto"/>
            <w:right w:val="none" w:sz="0" w:space="0" w:color="auto"/>
          </w:divBdr>
        </w:div>
        <w:div w:id="922299709">
          <w:marLeft w:val="0"/>
          <w:marRight w:val="0"/>
          <w:marTop w:val="0"/>
          <w:marBottom w:val="0"/>
          <w:divBdr>
            <w:top w:val="none" w:sz="0" w:space="0" w:color="auto"/>
            <w:left w:val="none" w:sz="0" w:space="0" w:color="auto"/>
            <w:bottom w:val="none" w:sz="0" w:space="0" w:color="auto"/>
            <w:right w:val="none" w:sz="0" w:space="0" w:color="auto"/>
          </w:divBdr>
        </w:div>
        <w:div w:id="1809349065">
          <w:marLeft w:val="0"/>
          <w:marRight w:val="0"/>
          <w:marTop w:val="0"/>
          <w:marBottom w:val="0"/>
          <w:divBdr>
            <w:top w:val="none" w:sz="0" w:space="0" w:color="auto"/>
            <w:left w:val="none" w:sz="0" w:space="0" w:color="auto"/>
            <w:bottom w:val="none" w:sz="0" w:space="0" w:color="auto"/>
            <w:right w:val="none" w:sz="0" w:space="0" w:color="auto"/>
          </w:divBdr>
        </w:div>
      </w:divsChild>
    </w:div>
    <w:div w:id="1201359196">
      <w:bodyDiv w:val="1"/>
      <w:marLeft w:val="0"/>
      <w:marRight w:val="0"/>
      <w:marTop w:val="0"/>
      <w:marBottom w:val="0"/>
      <w:divBdr>
        <w:top w:val="none" w:sz="0" w:space="0" w:color="auto"/>
        <w:left w:val="none" w:sz="0" w:space="0" w:color="auto"/>
        <w:bottom w:val="none" w:sz="0" w:space="0" w:color="auto"/>
        <w:right w:val="none" w:sz="0" w:space="0" w:color="auto"/>
      </w:divBdr>
      <w:divsChild>
        <w:div w:id="669411961">
          <w:marLeft w:val="0"/>
          <w:marRight w:val="0"/>
          <w:marTop w:val="0"/>
          <w:marBottom w:val="0"/>
          <w:divBdr>
            <w:top w:val="none" w:sz="0" w:space="0" w:color="auto"/>
            <w:left w:val="none" w:sz="0" w:space="0" w:color="auto"/>
            <w:bottom w:val="none" w:sz="0" w:space="0" w:color="auto"/>
            <w:right w:val="none" w:sz="0" w:space="0" w:color="auto"/>
          </w:divBdr>
        </w:div>
        <w:div w:id="1170028907">
          <w:marLeft w:val="0"/>
          <w:marRight w:val="0"/>
          <w:marTop w:val="0"/>
          <w:marBottom w:val="0"/>
          <w:divBdr>
            <w:top w:val="none" w:sz="0" w:space="0" w:color="auto"/>
            <w:left w:val="none" w:sz="0" w:space="0" w:color="auto"/>
            <w:bottom w:val="none" w:sz="0" w:space="0" w:color="auto"/>
            <w:right w:val="none" w:sz="0" w:space="0" w:color="auto"/>
          </w:divBdr>
        </w:div>
        <w:div w:id="1594246575">
          <w:marLeft w:val="0"/>
          <w:marRight w:val="0"/>
          <w:marTop w:val="0"/>
          <w:marBottom w:val="0"/>
          <w:divBdr>
            <w:top w:val="none" w:sz="0" w:space="0" w:color="auto"/>
            <w:left w:val="none" w:sz="0" w:space="0" w:color="auto"/>
            <w:bottom w:val="none" w:sz="0" w:space="0" w:color="auto"/>
            <w:right w:val="none" w:sz="0" w:space="0" w:color="auto"/>
          </w:divBdr>
        </w:div>
        <w:div w:id="1906329056">
          <w:marLeft w:val="0"/>
          <w:marRight w:val="0"/>
          <w:marTop w:val="0"/>
          <w:marBottom w:val="0"/>
          <w:divBdr>
            <w:top w:val="none" w:sz="0" w:space="0" w:color="auto"/>
            <w:left w:val="none" w:sz="0" w:space="0" w:color="auto"/>
            <w:bottom w:val="none" w:sz="0" w:space="0" w:color="auto"/>
            <w:right w:val="none" w:sz="0" w:space="0" w:color="auto"/>
          </w:divBdr>
        </w:div>
        <w:div w:id="1954095859">
          <w:marLeft w:val="0"/>
          <w:marRight w:val="0"/>
          <w:marTop w:val="0"/>
          <w:marBottom w:val="0"/>
          <w:divBdr>
            <w:top w:val="none" w:sz="0" w:space="0" w:color="auto"/>
            <w:left w:val="none" w:sz="0" w:space="0" w:color="auto"/>
            <w:bottom w:val="none" w:sz="0" w:space="0" w:color="auto"/>
            <w:right w:val="none" w:sz="0" w:space="0" w:color="auto"/>
          </w:divBdr>
        </w:div>
        <w:div w:id="2067099755">
          <w:marLeft w:val="0"/>
          <w:marRight w:val="0"/>
          <w:marTop w:val="0"/>
          <w:marBottom w:val="0"/>
          <w:divBdr>
            <w:top w:val="none" w:sz="0" w:space="0" w:color="auto"/>
            <w:left w:val="none" w:sz="0" w:space="0" w:color="auto"/>
            <w:bottom w:val="none" w:sz="0" w:space="0" w:color="auto"/>
            <w:right w:val="none" w:sz="0" w:space="0" w:color="auto"/>
          </w:divBdr>
        </w:div>
      </w:divsChild>
    </w:div>
    <w:div w:id="1980987590">
      <w:bodyDiv w:val="1"/>
      <w:marLeft w:val="0"/>
      <w:marRight w:val="0"/>
      <w:marTop w:val="0"/>
      <w:marBottom w:val="0"/>
      <w:divBdr>
        <w:top w:val="none" w:sz="0" w:space="0" w:color="auto"/>
        <w:left w:val="none" w:sz="0" w:space="0" w:color="auto"/>
        <w:bottom w:val="none" w:sz="0" w:space="0" w:color="auto"/>
        <w:right w:val="none" w:sz="0" w:space="0" w:color="auto"/>
      </w:divBdr>
      <w:divsChild>
        <w:div w:id="19863295">
          <w:marLeft w:val="0"/>
          <w:marRight w:val="0"/>
          <w:marTop w:val="0"/>
          <w:marBottom w:val="0"/>
          <w:divBdr>
            <w:top w:val="none" w:sz="0" w:space="0" w:color="auto"/>
            <w:left w:val="none" w:sz="0" w:space="0" w:color="auto"/>
            <w:bottom w:val="none" w:sz="0" w:space="0" w:color="auto"/>
            <w:right w:val="none" w:sz="0" w:space="0" w:color="auto"/>
          </w:divBdr>
        </w:div>
        <w:div w:id="159126054">
          <w:marLeft w:val="0"/>
          <w:marRight w:val="0"/>
          <w:marTop w:val="0"/>
          <w:marBottom w:val="0"/>
          <w:divBdr>
            <w:top w:val="none" w:sz="0" w:space="0" w:color="auto"/>
            <w:left w:val="none" w:sz="0" w:space="0" w:color="auto"/>
            <w:bottom w:val="none" w:sz="0" w:space="0" w:color="auto"/>
            <w:right w:val="none" w:sz="0" w:space="0" w:color="auto"/>
          </w:divBdr>
        </w:div>
        <w:div w:id="408238067">
          <w:marLeft w:val="0"/>
          <w:marRight w:val="0"/>
          <w:marTop w:val="0"/>
          <w:marBottom w:val="0"/>
          <w:divBdr>
            <w:top w:val="none" w:sz="0" w:space="0" w:color="auto"/>
            <w:left w:val="none" w:sz="0" w:space="0" w:color="auto"/>
            <w:bottom w:val="none" w:sz="0" w:space="0" w:color="auto"/>
            <w:right w:val="none" w:sz="0" w:space="0" w:color="auto"/>
          </w:divBdr>
        </w:div>
        <w:div w:id="757872037">
          <w:marLeft w:val="0"/>
          <w:marRight w:val="0"/>
          <w:marTop w:val="0"/>
          <w:marBottom w:val="0"/>
          <w:divBdr>
            <w:top w:val="none" w:sz="0" w:space="0" w:color="auto"/>
            <w:left w:val="none" w:sz="0" w:space="0" w:color="auto"/>
            <w:bottom w:val="none" w:sz="0" w:space="0" w:color="auto"/>
            <w:right w:val="none" w:sz="0" w:space="0" w:color="auto"/>
          </w:divBdr>
        </w:div>
        <w:div w:id="770662263">
          <w:marLeft w:val="0"/>
          <w:marRight w:val="0"/>
          <w:marTop w:val="0"/>
          <w:marBottom w:val="0"/>
          <w:divBdr>
            <w:top w:val="none" w:sz="0" w:space="0" w:color="auto"/>
            <w:left w:val="none" w:sz="0" w:space="0" w:color="auto"/>
            <w:bottom w:val="none" w:sz="0" w:space="0" w:color="auto"/>
            <w:right w:val="none" w:sz="0" w:space="0" w:color="auto"/>
          </w:divBdr>
        </w:div>
        <w:div w:id="1460564526">
          <w:marLeft w:val="0"/>
          <w:marRight w:val="0"/>
          <w:marTop w:val="0"/>
          <w:marBottom w:val="0"/>
          <w:divBdr>
            <w:top w:val="none" w:sz="0" w:space="0" w:color="auto"/>
            <w:left w:val="none" w:sz="0" w:space="0" w:color="auto"/>
            <w:bottom w:val="none" w:sz="0" w:space="0" w:color="auto"/>
            <w:right w:val="none" w:sz="0" w:space="0" w:color="auto"/>
          </w:divBdr>
        </w:div>
      </w:divsChild>
    </w:div>
    <w:div w:id="21326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10044</Characters>
  <Application>Microsoft Office Word</Application>
  <DocSecurity>0</DocSecurity>
  <Lines>351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 Australia’s Partnership with SPREP</dc:title>
  <dc:subject/>
  <dc:creator/>
  <cp:keywords>[SEC=OFFICIAL]</cp:keywords>
  <dc:description/>
  <cp:lastModifiedBy/>
  <cp:revision>1</cp:revision>
  <dcterms:created xsi:type="dcterms:W3CDTF">2026-03-30T05:20:00Z</dcterms:created>
  <dcterms:modified xsi:type="dcterms:W3CDTF">2026-03-30T05:22:00Z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E5329D78ADFF18985C404F3A4015F7B7C209C4C5</vt:lpwstr>
  </property>
  <property fmtid="{D5CDD505-2E9C-101B-9397-08002B2CF9AE}" pid="7" name="PM_Originating_FileId">
    <vt:lpwstr>A04407B03FB3406E91B16F76B50D491D</vt:lpwstr>
  </property>
  <property fmtid="{D5CDD505-2E9C-101B-9397-08002B2CF9AE}" pid="8" name="PM_ProtectiveMarkingValue_Footer">
    <vt:lpwstr>OFFICIAL</vt:lpwstr>
  </property>
  <property fmtid="{D5CDD505-2E9C-101B-9397-08002B2CF9AE}" pid="9" name="PM_OriginationTimeStamp">
    <vt:lpwstr>2023-01-27T02:29:22Z</vt:lpwstr>
  </property>
  <property fmtid="{D5CDD505-2E9C-101B-9397-08002B2CF9AE}" pid="10" name="PM_ProtectiveMarkingValue_Header">
    <vt:lpwstr>OFFICIAL</vt:lpwstr>
  </property>
  <property fmtid="{D5CDD505-2E9C-101B-9397-08002B2CF9AE}" pid="11" name="PM_ProtectiveMarkingImage_Footer">
    <vt:lpwstr>C:\Program Files (x86)\Common Files\janusNET Shared\janusSEAL\Images\DocumentSlashBlue.png</vt:lpwstr>
  </property>
  <property fmtid="{D5CDD505-2E9C-101B-9397-08002B2CF9AE}" pid="12" name="PM_Hash_Version">
    <vt:lpwstr>2022.1</vt:lpwstr>
  </property>
  <property fmtid="{D5CDD505-2E9C-101B-9397-08002B2CF9AE}" pid="13" name="PM_Hash_Salt_Prev">
    <vt:lpwstr>2B4B5F44015AE880EF68BAD277D89A30</vt:lpwstr>
  </property>
  <property fmtid="{D5CDD505-2E9C-101B-9397-08002B2CF9AE}" pid="14" name="PM_Hash_Salt">
    <vt:lpwstr>DBD6682121D93AFED5EECD15E69D62C7</vt:lpwstr>
  </property>
  <property fmtid="{D5CDD505-2E9C-101B-9397-08002B2CF9AE}" pid="15" name="PM_Hash_SHA1">
    <vt:lpwstr>23D5FC202038A2582C89F90CE856029CB50D2351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Display">
    <vt:lpwstr>OFFICIAL</vt:lpwstr>
  </property>
  <property fmtid="{D5CDD505-2E9C-101B-9397-08002B2CF9AE}" pid="19" name="PM_OriginatorUserAccountName_SHA256">
    <vt:lpwstr>C427463A240001568B1E728057080C091949066E05DD342FA6B5B9F6FF33F8D6</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HMAC">
    <vt:lpwstr>v=2022.1;a=SHA256;h=9E3130A4C897086B9E05170380E511EE3CD1CF38904326F8EF7247068A687450</vt:lpwstr>
  </property>
  <property fmtid="{D5CDD505-2E9C-101B-9397-08002B2CF9AE}" pid="26" name="PM_Qualifier">
    <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