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51C9" w14:textId="6BEEEA7C" w:rsidR="000C4834" w:rsidRPr="00F03A18" w:rsidRDefault="0029362F" w:rsidP="00F03A18">
      <w:pPr>
        <w:pStyle w:val="Heading1"/>
      </w:pPr>
      <w:r w:rsidRPr="00F03A18">
        <w:t xml:space="preserve">Management Response to the </w:t>
      </w:r>
      <w:r w:rsidR="000C4834" w:rsidRPr="00F03A18">
        <w:t xml:space="preserve">Independent </w:t>
      </w:r>
      <w:r w:rsidR="00480C93" w:rsidRPr="00F03A18">
        <w:t>Strategic</w:t>
      </w:r>
      <w:r w:rsidR="000C4834" w:rsidRPr="00F03A18">
        <w:t xml:space="preserve"> Review</w:t>
      </w:r>
      <w:r w:rsidR="00480C93" w:rsidRPr="00F03A18">
        <w:t xml:space="preserve"> </w:t>
      </w:r>
      <w:r w:rsidR="000C4834" w:rsidRPr="00F03A18">
        <w:t>of the</w:t>
      </w:r>
      <w:r w:rsidR="00480C93" w:rsidRPr="00F03A18">
        <w:t xml:space="preserve"> </w:t>
      </w:r>
      <w:r w:rsidR="00711B5E" w:rsidRPr="00F03A18">
        <w:t>Australia Indonesia Knowledge Partnership Platform</w:t>
      </w:r>
      <w:r w:rsidRPr="00F03A18">
        <w:t xml:space="preserve"> (</w:t>
      </w:r>
      <w:r w:rsidR="00711B5E" w:rsidRPr="00F03A18">
        <w:t>KONEKSI</w:t>
      </w:r>
      <w:r w:rsidRPr="00F03A18">
        <w:t xml:space="preserve">) </w:t>
      </w:r>
      <w:r w:rsidR="00247AE6" w:rsidRPr="00F03A18">
        <w:t>November</w:t>
      </w:r>
      <w:r w:rsidR="00711B5E" w:rsidRPr="00F03A18">
        <w:t xml:space="preserve"> 2025 </w:t>
      </w:r>
      <w:r w:rsidR="00247AE6" w:rsidRPr="00F03A18">
        <w:t>–</w:t>
      </w:r>
      <w:r w:rsidR="00711B5E" w:rsidRPr="00F03A18">
        <w:t xml:space="preserve"> </w:t>
      </w:r>
      <w:r w:rsidR="00247AE6" w:rsidRPr="00F03A18">
        <w:t>March 2026</w:t>
      </w:r>
    </w:p>
    <w:p w14:paraId="1DF291DA" w14:textId="7C814D3A" w:rsidR="00521F38" w:rsidRPr="00423F9F" w:rsidRDefault="00521F38" w:rsidP="00F03A18">
      <w:pPr>
        <w:autoSpaceDE w:val="0"/>
        <w:autoSpaceDN w:val="0"/>
        <w:adjustRightInd w:val="0"/>
        <w:spacing w:before="120" w:after="120" w:line="240" w:lineRule="atLeast"/>
        <w:jc w:val="both"/>
        <w:rPr>
          <w:rFonts w:cstheme="minorHAnsi"/>
          <w:color w:val="000000"/>
        </w:rPr>
      </w:pPr>
      <w:r w:rsidRPr="00423F9F">
        <w:rPr>
          <w:rFonts w:cstheme="minorHAnsi"/>
          <w:color w:val="000000"/>
        </w:rPr>
        <w:t xml:space="preserve">The Department of Foreign Affairs and Trade (DFAT) commissioned an Independent Strategic Review (ISR) of the </w:t>
      </w:r>
      <w:r w:rsidR="00AE7887" w:rsidRPr="00423F9F">
        <w:rPr>
          <w:rFonts w:cstheme="minorHAnsi"/>
          <w:color w:val="000000"/>
        </w:rPr>
        <w:t>KONEKSI</w:t>
      </w:r>
      <w:r w:rsidRPr="00423F9F">
        <w:rPr>
          <w:rFonts w:cstheme="minorHAnsi"/>
          <w:color w:val="000000"/>
        </w:rPr>
        <w:t>, conducted between November 2025 and March 2026. The ISR assessed KONEKSI’s performance against its objectives, with a dual focus on:</w:t>
      </w:r>
      <w:r w:rsidR="00ED2591">
        <w:rPr>
          <w:rFonts w:cstheme="minorHAnsi"/>
          <w:color w:val="000000"/>
        </w:rPr>
        <w:t xml:space="preserve"> (i) </w:t>
      </w:r>
      <w:r w:rsidRPr="00423F9F">
        <w:rPr>
          <w:rFonts w:cstheme="minorHAnsi"/>
          <w:color w:val="000000"/>
        </w:rPr>
        <w:t xml:space="preserve">evaluating the program’s relevance, effectiveness and efficiency and identifying lessons learned; and </w:t>
      </w:r>
      <w:r w:rsidR="00ED2591">
        <w:rPr>
          <w:rFonts w:cstheme="minorHAnsi"/>
          <w:color w:val="000000"/>
        </w:rPr>
        <w:t xml:space="preserve">(ii) </w:t>
      </w:r>
      <w:r w:rsidRPr="00423F9F">
        <w:rPr>
          <w:rFonts w:cstheme="minorHAnsi"/>
          <w:color w:val="000000"/>
        </w:rPr>
        <w:t xml:space="preserve">informing options for </w:t>
      </w:r>
      <w:r w:rsidR="00D92F1D" w:rsidRPr="00423F9F">
        <w:rPr>
          <w:rFonts w:cstheme="minorHAnsi"/>
          <w:color w:val="000000"/>
        </w:rPr>
        <w:t xml:space="preserve">possible future </w:t>
      </w:r>
      <w:r w:rsidRPr="00423F9F">
        <w:rPr>
          <w:rFonts w:cstheme="minorHAnsi"/>
          <w:color w:val="000000"/>
        </w:rPr>
        <w:t>Australia</w:t>
      </w:r>
      <w:r w:rsidR="00D92F1D" w:rsidRPr="00423F9F">
        <w:rPr>
          <w:rFonts w:cstheme="minorHAnsi"/>
          <w:color w:val="000000"/>
        </w:rPr>
        <w:t>n</w:t>
      </w:r>
      <w:r w:rsidRPr="00423F9F">
        <w:rPr>
          <w:rFonts w:cstheme="minorHAnsi"/>
          <w:color w:val="000000"/>
        </w:rPr>
        <w:t xml:space="preserve"> investments in Indonesia’s </w:t>
      </w:r>
      <w:r w:rsidR="00D92F1D" w:rsidRPr="00423F9F">
        <w:rPr>
          <w:rFonts w:cstheme="minorHAnsi"/>
          <w:color w:val="000000"/>
        </w:rPr>
        <w:t xml:space="preserve">higher education, </w:t>
      </w:r>
      <w:r w:rsidRPr="00423F9F">
        <w:rPr>
          <w:rFonts w:cstheme="minorHAnsi"/>
          <w:color w:val="000000"/>
        </w:rPr>
        <w:t>research, science and innovation ecosystem.</w:t>
      </w:r>
      <w:r w:rsidR="00ED2591">
        <w:rPr>
          <w:rFonts w:cstheme="minorHAnsi"/>
          <w:color w:val="000000"/>
        </w:rPr>
        <w:t xml:space="preserve"> </w:t>
      </w:r>
      <w:r w:rsidRPr="00423F9F">
        <w:rPr>
          <w:rFonts w:cstheme="minorHAnsi"/>
          <w:color w:val="000000"/>
        </w:rPr>
        <w:t>The ISR confirmed that KONEKSI remains strongly aligned with Australia and Indonesia’s shared strategic interests</w:t>
      </w:r>
      <w:r w:rsidR="00326BA9" w:rsidRPr="00423F9F">
        <w:rPr>
          <w:rFonts w:cstheme="minorHAnsi"/>
          <w:color w:val="000000"/>
        </w:rPr>
        <w:t>,</w:t>
      </w:r>
      <w:r w:rsidRPr="00423F9F">
        <w:rPr>
          <w:rFonts w:cstheme="minorHAnsi"/>
          <w:color w:val="000000"/>
        </w:rPr>
        <w:t xml:space="preserve"> performing effectively</w:t>
      </w:r>
      <w:r w:rsidR="00326BA9" w:rsidRPr="00423F9F">
        <w:rPr>
          <w:rFonts w:cstheme="minorHAnsi"/>
          <w:color w:val="000000"/>
        </w:rPr>
        <w:t xml:space="preserve">, and </w:t>
      </w:r>
      <w:r w:rsidRPr="00423F9F">
        <w:rPr>
          <w:rFonts w:cstheme="minorHAnsi"/>
          <w:color w:val="000000"/>
        </w:rPr>
        <w:t>on track to achieve all End</w:t>
      </w:r>
      <w:r w:rsidRPr="00423F9F">
        <w:rPr>
          <w:rFonts w:cstheme="minorHAnsi"/>
          <w:color w:val="000000"/>
        </w:rPr>
        <w:noBreakHyphen/>
        <w:t>of</w:t>
      </w:r>
      <w:r w:rsidRPr="00423F9F">
        <w:rPr>
          <w:rFonts w:cstheme="minorHAnsi"/>
          <w:color w:val="000000"/>
        </w:rPr>
        <w:noBreakHyphen/>
        <w:t>Program Outcomes.</w:t>
      </w:r>
    </w:p>
    <w:p w14:paraId="5F277704" w14:textId="58471C9A" w:rsidR="00521F38" w:rsidRPr="00DF41B1" w:rsidRDefault="00AF2C67" w:rsidP="00F03A18">
      <w:pPr>
        <w:autoSpaceDE w:val="0"/>
        <w:autoSpaceDN w:val="0"/>
        <w:adjustRightInd w:val="0"/>
        <w:spacing w:before="120" w:after="120" w:line="240" w:lineRule="atLeast"/>
        <w:jc w:val="both"/>
        <w:rPr>
          <w:rStyle w:val="Strong"/>
          <w:rFonts w:cstheme="minorHAnsi"/>
        </w:rPr>
      </w:pPr>
      <w:r w:rsidRPr="00DF41B1">
        <w:rPr>
          <w:rFonts w:cstheme="minorHAnsi"/>
        </w:rPr>
        <w:t xml:space="preserve">DFAT broadly agrees with the ISR’s recommendations and the proposed forward pathway, which together provide a credible and strategic basis for strengthening program performance over the remaining investment period and maximising KONEKSI’s impact. </w:t>
      </w:r>
      <w:r w:rsidR="00CC3EDD" w:rsidRPr="00DF41B1">
        <w:rPr>
          <w:rFonts w:cstheme="minorHAnsi"/>
        </w:rPr>
        <w:t xml:space="preserve">The recommendations cluster around </w:t>
      </w:r>
      <w:r w:rsidR="00CC3EDD" w:rsidRPr="00DF41B1">
        <w:rPr>
          <w:rFonts w:cstheme="minorHAnsi"/>
          <w:u w:val="single"/>
        </w:rPr>
        <w:t>two priority areas</w:t>
      </w:r>
      <w:r w:rsidR="00CC3EDD" w:rsidRPr="00DF41B1">
        <w:rPr>
          <w:rFonts w:cstheme="minorHAnsi"/>
        </w:rPr>
        <w:t xml:space="preserve"> that will shape the program’s evolution: </w:t>
      </w:r>
      <w:r w:rsidR="00CC3EDD" w:rsidRPr="00DF41B1">
        <w:rPr>
          <w:rStyle w:val="Strong"/>
          <w:rFonts w:cstheme="minorHAnsi"/>
        </w:rPr>
        <w:t>(1) responding more directly to the Government of Indonesia</w:t>
      </w:r>
      <w:r w:rsidR="00EF5EAC">
        <w:rPr>
          <w:rStyle w:val="Strong"/>
          <w:rFonts w:cstheme="minorHAnsi"/>
        </w:rPr>
        <w:t>’s</w:t>
      </w:r>
      <w:r w:rsidR="004433A5" w:rsidRPr="00DF41B1">
        <w:rPr>
          <w:rStyle w:val="Strong"/>
          <w:rFonts w:cstheme="minorHAnsi"/>
        </w:rPr>
        <w:t xml:space="preserve"> (G</w:t>
      </w:r>
      <w:r w:rsidR="00E94615">
        <w:rPr>
          <w:rStyle w:val="Strong"/>
          <w:rFonts w:cstheme="minorHAnsi"/>
        </w:rPr>
        <w:t>O</w:t>
      </w:r>
      <w:r w:rsidR="004433A5" w:rsidRPr="00DF41B1">
        <w:rPr>
          <w:rStyle w:val="Strong"/>
          <w:rFonts w:cstheme="minorHAnsi"/>
        </w:rPr>
        <w:t>I)</w:t>
      </w:r>
      <w:r w:rsidR="00CC3EDD" w:rsidRPr="00DF41B1">
        <w:rPr>
          <w:rStyle w:val="Strong"/>
          <w:rFonts w:cstheme="minorHAnsi"/>
        </w:rPr>
        <w:t xml:space="preserve"> research, innovation and higher education agenda, and (2) enhancing</w:t>
      </w:r>
      <w:r w:rsidR="002A5601" w:rsidRPr="00DF41B1">
        <w:rPr>
          <w:rStyle w:val="Strong"/>
          <w:rFonts w:cstheme="minorHAnsi"/>
        </w:rPr>
        <w:t xml:space="preserve"> bilateral</w:t>
      </w:r>
      <w:r w:rsidR="00CC3EDD" w:rsidRPr="00DF41B1">
        <w:rPr>
          <w:rStyle w:val="Strong"/>
          <w:rFonts w:cstheme="minorHAnsi"/>
        </w:rPr>
        <w:t xml:space="preserve"> government</w:t>
      </w:r>
      <w:r w:rsidR="00CC3EDD" w:rsidRPr="00DF41B1">
        <w:rPr>
          <w:rStyle w:val="Strong"/>
          <w:rFonts w:cstheme="minorHAnsi"/>
        </w:rPr>
        <w:noBreakHyphen/>
        <w:t>to</w:t>
      </w:r>
      <w:r w:rsidR="00CC3EDD" w:rsidRPr="00DF41B1">
        <w:rPr>
          <w:rStyle w:val="Strong"/>
          <w:rFonts w:cstheme="minorHAnsi"/>
        </w:rPr>
        <w:noBreakHyphen/>
        <w:t>government engagement</w:t>
      </w:r>
      <w:r w:rsidR="002A5601" w:rsidRPr="00DF41B1">
        <w:rPr>
          <w:rStyle w:val="Strong"/>
          <w:rFonts w:cstheme="minorHAnsi"/>
        </w:rPr>
        <w:t xml:space="preserve">, including by evolving </w:t>
      </w:r>
      <w:r w:rsidR="00CC3EDD" w:rsidRPr="00DF41B1">
        <w:rPr>
          <w:rStyle w:val="Strong"/>
          <w:rFonts w:cstheme="minorHAnsi"/>
        </w:rPr>
        <w:t xml:space="preserve">KONEKSI as a </w:t>
      </w:r>
      <w:r w:rsidR="002A5601" w:rsidRPr="00DF41B1">
        <w:rPr>
          <w:rStyle w:val="Strong"/>
          <w:rFonts w:cstheme="minorHAnsi"/>
        </w:rPr>
        <w:t xml:space="preserve">potential </w:t>
      </w:r>
      <w:r w:rsidR="00CC3EDD" w:rsidRPr="00DF41B1">
        <w:rPr>
          <w:rStyle w:val="Strong"/>
          <w:rFonts w:cstheme="minorHAnsi"/>
        </w:rPr>
        <w:t>platform</w:t>
      </w:r>
      <w:r w:rsidR="002A5601" w:rsidRPr="00DF41B1">
        <w:rPr>
          <w:rStyle w:val="Strong"/>
          <w:rFonts w:cstheme="minorHAnsi"/>
        </w:rPr>
        <w:t xml:space="preserve"> </w:t>
      </w:r>
      <w:r w:rsidR="002A5601" w:rsidRPr="00DF41B1">
        <w:rPr>
          <w:rStyle w:val="Strong"/>
          <w:rFonts w:cstheme="minorHAnsi"/>
          <w:b w:val="0"/>
          <w:bCs w:val="0"/>
        </w:rPr>
        <w:t xml:space="preserve">(from principally </w:t>
      </w:r>
      <w:r w:rsidR="00CC3EDD" w:rsidRPr="00DF41B1">
        <w:rPr>
          <w:rStyle w:val="Strong"/>
          <w:rFonts w:cstheme="minorHAnsi"/>
          <w:b w:val="0"/>
          <w:bCs w:val="0"/>
        </w:rPr>
        <w:t>a research collaboration mechanism</w:t>
      </w:r>
      <w:r w:rsidR="002A5601" w:rsidRPr="00DF41B1">
        <w:rPr>
          <w:rStyle w:val="Strong"/>
          <w:rFonts w:cstheme="minorHAnsi"/>
          <w:b w:val="0"/>
          <w:bCs w:val="0"/>
        </w:rPr>
        <w:t>)</w:t>
      </w:r>
      <w:r w:rsidR="00CC3EDD" w:rsidRPr="00E94615">
        <w:rPr>
          <w:rStyle w:val="Strong"/>
          <w:rFonts w:cstheme="minorHAnsi"/>
          <w:b w:val="0"/>
          <w:bCs w:val="0"/>
        </w:rPr>
        <w:t>.</w:t>
      </w:r>
      <w:r w:rsidR="00CC3EDD" w:rsidRPr="00DF41B1">
        <w:rPr>
          <w:rStyle w:val="Strong"/>
          <w:rFonts w:cstheme="minorHAnsi"/>
        </w:rPr>
        <w:t xml:space="preserve"> </w:t>
      </w:r>
      <w:r w:rsidRPr="00DF41B1">
        <w:rPr>
          <w:rFonts w:cstheme="minorHAnsi"/>
        </w:rPr>
        <w:t xml:space="preserve">Several recommendations are endorsed in </w:t>
      </w:r>
      <w:r w:rsidRPr="00DF41B1">
        <w:rPr>
          <w:rFonts w:cstheme="minorHAnsi"/>
          <w:b/>
          <w:bCs/>
        </w:rPr>
        <w:t>full</w:t>
      </w:r>
      <w:r w:rsidRPr="00DF41B1">
        <w:rPr>
          <w:rFonts w:cstheme="minorHAnsi"/>
        </w:rPr>
        <w:t xml:space="preserve">, while others are </w:t>
      </w:r>
      <w:r w:rsidRPr="00DF41B1">
        <w:rPr>
          <w:rStyle w:val="Strong"/>
          <w:rFonts w:cstheme="minorHAnsi"/>
        </w:rPr>
        <w:t>partially agreed</w:t>
      </w:r>
      <w:r w:rsidRPr="00DF41B1">
        <w:rPr>
          <w:rFonts w:cstheme="minorHAnsi"/>
        </w:rPr>
        <w:t xml:space="preserve"> pending further testing, feasibility assessment and consultation with Government of Australia and Government of Indonesia partners. </w:t>
      </w:r>
    </w:p>
    <w:p w14:paraId="7F726781" w14:textId="2A53B23F" w:rsidR="00F03A18" w:rsidRDefault="00521F38" w:rsidP="00F03A18">
      <w:pPr>
        <w:autoSpaceDE w:val="0"/>
        <w:autoSpaceDN w:val="0"/>
        <w:adjustRightInd w:val="0"/>
        <w:spacing w:before="120" w:after="120" w:line="240" w:lineRule="atLeast"/>
        <w:jc w:val="both"/>
        <w:rPr>
          <w:rFonts w:cstheme="minorHAnsi"/>
          <w:color w:val="000000"/>
        </w:rPr>
      </w:pPr>
      <w:r w:rsidRPr="00423F9F">
        <w:rPr>
          <w:rFonts w:cstheme="minorHAnsi"/>
          <w:color w:val="000000"/>
        </w:rPr>
        <w:t>DFAT also notes the ISR’s forward</w:t>
      </w:r>
      <w:r w:rsidRPr="00423F9F">
        <w:rPr>
          <w:rFonts w:cstheme="minorHAnsi"/>
          <w:color w:val="000000"/>
        </w:rPr>
        <w:noBreakHyphen/>
        <w:t xml:space="preserve">looking analysis and options for future </w:t>
      </w:r>
      <w:r w:rsidR="00D92F1D" w:rsidRPr="00423F9F">
        <w:rPr>
          <w:rFonts w:cstheme="minorHAnsi"/>
          <w:color w:val="000000"/>
        </w:rPr>
        <w:t xml:space="preserve">higher education, </w:t>
      </w:r>
      <w:r w:rsidRPr="00423F9F">
        <w:rPr>
          <w:rFonts w:cstheme="minorHAnsi"/>
          <w:color w:val="000000"/>
        </w:rPr>
        <w:t>research, science</w:t>
      </w:r>
      <w:r w:rsidR="005224CC" w:rsidRPr="00423F9F">
        <w:rPr>
          <w:rFonts w:cstheme="minorHAnsi"/>
          <w:color w:val="000000"/>
        </w:rPr>
        <w:t>,</w:t>
      </w:r>
      <w:r w:rsidRPr="00423F9F">
        <w:rPr>
          <w:rFonts w:cstheme="minorHAnsi"/>
          <w:color w:val="000000"/>
        </w:rPr>
        <w:t xml:space="preserve"> and innovation programming in Indonesia. These findings will inform the development of the Investment Concept Note (ICN) for the next phase of Australia’s engagement in this sector.</w:t>
      </w:r>
    </w:p>
    <w:p w14:paraId="67E9E9EF" w14:textId="77777777" w:rsidR="00F03A18" w:rsidRDefault="00F03A18">
      <w:pPr>
        <w:rPr>
          <w:rFonts w:cstheme="minorHAnsi"/>
          <w:color w:val="000000"/>
        </w:rPr>
      </w:pPr>
      <w:r>
        <w:rPr>
          <w:rFonts w:cstheme="minorHAnsi"/>
          <w:color w:val="000000"/>
        </w:rPr>
        <w:br w:type="page"/>
      </w:r>
    </w:p>
    <w:p w14:paraId="7592D755" w14:textId="6C110DDC" w:rsidR="00B14E31" w:rsidRPr="00F03A18" w:rsidRDefault="00DC1D78" w:rsidP="00F03A18">
      <w:pPr>
        <w:pStyle w:val="Heading2"/>
      </w:pPr>
      <w:r w:rsidRPr="00F03A18">
        <w:lastRenderedPageBreak/>
        <w:t xml:space="preserve">Part A. Responding to GOI Agenda </w:t>
      </w:r>
    </w:p>
    <w:tbl>
      <w:tblPr>
        <w:tblStyle w:val="ListTable3-Accent1"/>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1233"/>
        <w:gridCol w:w="3353"/>
        <w:gridCol w:w="3727"/>
        <w:gridCol w:w="1441"/>
      </w:tblGrid>
      <w:tr w:rsidR="00466AC4" w:rsidRPr="00EC503A" w14:paraId="15E219FA" w14:textId="77777777" w:rsidTr="00E767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133" w:type="dxa"/>
            <w:tcBorders>
              <w:bottom w:val="none" w:sz="0" w:space="0" w:color="auto"/>
              <w:right w:val="none" w:sz="0" w:space="0" w:color="auto"/>
            </w:tcBorders>
            <w:shd w:val="clear" w:color="auto" w:fill="D9E2F3" w:themeFill="accent1" w:themeFillTint="33"/>
          </w:tcPr>
          <w:p w14:paraId="7E0837E0" w14:textId="00464C52" w:rsidR="00897F36" w:rsidRPr="000B100B" w:rsidRDefault="00897F36" w:rsidP="00D528C6">
            <w:pPr>
              <w:jc w:val="center"/>
              <w:rPr>
                <w:rFonts w:cstheme="minorHAnsi"/>
                <w:color w:val="auto"/>
              </w:rPr>
            </w:pPr>
            <w:r w:rsidRPr="000B100B">
              <w:rPr>
                <w:rFonts w:cstheme="minorHAnsi"/>
                <w:color w:val="auto"/>
              </w:rPr>
              <w:t>Recommendation</w:t>
            </w:r>
          </w:p>
        </w:tc>
        <w:tc>
          <w:tcPr>
            <w:tcW w:w="1233" w:type="dxa"/>
            <w:shd w:val="clear" w:color="auto" w:fill="D9E2F3" w:themeFill="accent1" w:themeFillTint="33"/>
          </w:tcPr>
          <w:p w14:paraId="1C548875" w14:textId="23EA990B" w:rsidR="00897F36" w:rsidRPr="000B100B" w:rsidRDefault="00897F36" w:rsidP="00D528C6">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0B100B">
              <w:rPr>
                <w:rFonts w:cstheme="minorHAnsi"/>
                <w:color w:val="auto"/>
              </w:rPr>
              <w:t>Response</w:t>
            </w:r>
          </w:p>
        </w:tc>
        <w:tc>
          <w:tcPr>
            <w:tcW w:w="3353" w:type="dxa"/>
            <w:shd w:val="clear" w:color="auto" w:fill="D9E2F3" w:themeFill="accent1" w:themeFillTint="33"/>
          </w:tcPr>
          <w:p w14:paraId="5D89BF66" w14:textId="74A295B6" w:rsidR="00897F36" w:rsidRPr="000B100B" w:rsidRDefault="006E262D" w:rsidP="00D528C6">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0B100B">
              <w:rPr>
                <w:rFonts w:cstheme="minorHAnsi"/>
                <w:color w:val="auto"/>
              </w:rPr>
              <w:t xml:space="preserve">Rationale </w:t>
            </w:r>
          </w:p>
        </w:tc>
        <w:tc>
          <w:tcPr>
            <w:tcW w:w="3727" w:type="dxa"/>
            <w:shd w:val="clear" w:color="auto" w:fill="D9E2F3" w:themeFill="accent1" w:themeFillTint="33"/>
          </w:tcPr>
          <w:p w14:paraId="7203C28C" w14:textId="49D07871" w:rsidR="00897F36" w:rsidRPr="000B100B" w:rsidRDefault="006E262D" w:rsidP="00D528C6">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0B100B">
              <w:rPr>
                <w:rFonts w:cstheme="minorHAnsi"/>
                <w:color w:val="auto"/>
              </w:rPr>
              <w:t xml:space="preserve">Proposed Actions </w:t>
            </w:r>
          </w:p>
        </w:tc>
        <w:tc>
          <w:tcPr>
            <w:tcW w:w="1441" w:type="dxa"/>
            <w:shd w:val="clear" w:color="auto" w:fill="D9E2F3" w:themeFill="accent1" w:themeFillTint="33"/>
          </w:tcPr>
          <w:p w14:paraId="154B7118" w14:textId="3B5C87E0" w:rsidR="00897F36" w:rsidRPr="000B100B" w:rsidRDefault="00897F36" w:rsidP="00D528C6">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0B100B">
              <w:rPr>
                <w:rFonts w:cstheme="minorHAnsi"/>
                <w:color w:val="auto"/>
              </w:rPr>
              <w:t>Time</w:t>
            </w:r>
            <w:r w:rsidR="00D528C6" w:rsidRPr="000B100B">
              <w:rPr>
                <w:rFonts w:cstheme="minorHAnsi"/>
                <w:color w:val="auto"/>
              </w:rPr>
              <w:t>frame</w:t>
            </w:r>
          </w:p>
        </w:tc>
      </w:tr>
      <w:tr w:rsidR="009E67DE" w:rsidRPr="00EC503A" w14:paraId="24B1443F" w14:textId="77777777" w:rsidTr="000B1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3" w:type="dxa"/>
          </w:tcPr>
          <w:p w14:paraId="2203A612" w14:textId="3B211FB4" w:rsidR="00C43CF3" w:rsidRPr="00EC503A" w:rsidRDefault="001B7C55" w:rsidP="00C43CF3">
            <w:pPr>
              <w:rPr>
                <w:rFonts w:cstheme="minorHAnsi"/>
                <w:b w:val="0"/>
                <w:bCs w:val="0"/>
              </w:rPr>
            </w:pPr>
            <w:r w:rsidRPr="00EC503A">
              <w:rPr>
                <w:rFonts w:cstheme="minorHAnsi"/>
              </w:rPr>
              <w:t>Part A.</w:t>
            </w:r>
            <w:r w:rsidR="009E67DE" w:rsidRPr="00EC503A">
              <w:rPr>
                <w:rFonts w:cstheme="minorHAnsi"/>
              </w:rPr>
              <w:t xml:space="preserve"> Responding to </w:t>
            </w:r>
            <w:r w:rsidR="0026469E" w:rsidRPr="00EC503A">
              <w:rPr>
                <w:rFonts w:cstheme="minorHAnsi"/>
              </w:rPr>
              <w:t>G</w:t>
            </w:r>
            <w:r w:rsidR="00E94615">
              <w:t>O</w:t>
            </w:r>
            <w:r w:rsidR="0026469E" w:rsidRPr="00EC503A">
              <w:t>I</w:t>
            </w:r>
            <w:r w:rsidR="009E67DE" w:rsidRPr="00EC503A">
              <w:rPr>
                <w:rFonts w:cstheme="minorHAnsi"/>
              </w:rPr>
              <w:t xml:space="preserve"> agenda</w:t>
            </w:r>
            <w:r w:rsidR="00547212" w:rsidRPr="00EC503A">
              <w:rPr>
                <w:rFonts w:cstheme="minorHAnsi"/>
              </w:rPr>
              <w:t xml:space="preserve"> </w:t>
            </w:r>
          </w:p>
          <w:p w14:paraId="7A067542" w14:textId="77CDA13B" w:rsidR="006F7D1B" w:rsidRPr="00EC503A" w:rsidRDefault="00C43CF3" w:rsidP="00547212">
            <w:pPr>
              <w:rPr>
                <w:rFonts w:cstheme="minorHAnsi"/>
              </w:rPr>
            </w:pPr>
            <w:r w:rsidRPr="00EC503A">
              <w:rPr>
                <w:rFonts w:cstheme="minorHAnsi"/>
              </w:rPr>
              <w:t>T</w:t>
            </w:r>
            <w:r w:rsidR="0004121F" w:rsidRPr="00EC503A">
              <w:rPr>
                <w:rFonts w:cstheme="minorHAnsi"/>
              </w:rPr>
              <w:t>o maintain program relevance, strengthen</w:t>
            </w:r>
            <w:r w:rsidR="003D3882">
              <w:rPr>
                <w:rFonts w:cstheme="minorHAnsi"/>
              </w:rPr>
              <w:t xml:space="preserve"> </w:t>
            </w:r>
            <w:r w:rsidR="003D3882" w:rsidRPr="00EC503A">
              <w:rPr>
                <w:rFonts w:cstheme="minorHAnsi"/>
              </w:rPr>
              <w:t>government-to-government</w:t>
            </w:r>
            <w:r w:rsidR="0004121F" w:rsidRPr="00EC503A">
              <w:rPr>
                <w:rFonts w:cstheme="minorHAnsi"/>
              </w:rPr>
              <w:t xml:space="preserve"> </w:t>
            </w:r>
            <w:r w:rsidR="003D3882">
              <w:rPr>
                <w:rFonts w:cstheme="minorHAnsi"/>
              </w:rPr>
              <w:t>(</w:t>
            </w:r>
            <w:r w:rsidR="0004121F" w:rsidRPr="00EC503A">
              <w:rPr>
                <w:rFonts w:cstheme="minorHAnsi"/>
              </w:rPr>
              <w:t>G2G</w:t>
            </w:r>
            <w:r w:rsidR="003D3882">
              <w:rPr>
                <w:rFonts w:cstheme="minorHAnsi"/>
              </w:rPr>
              <w:t>)</w:t>
            </w:r>
            <w:r w:rsidR="0004121F" w:rsidRPr="00EC503A">
              <w:rPr>
                <w:rFonts w:cstheme="minorHAnsi"/>
              </w:rPr>
              <w:t xml:space="preserve"> engagement and position Australia as a trusted partner in Indonesia’s research and innovation transformation.</w:t>
            </w:r>
          </w:p>
        </w:tc>
        <w:tc>
          <w:tcPr>
            <w:tcW w:w="1233" w:type="dxa"/>
            <w:shd w:val="clear" w:color="auto" w:fill="FFFFFF" w:themeFill="background1"/>
          </w:tcPr>
          <w:p w14:paraId="64CD5F68" w14:textId="0F789DCF" w:rsidR="009E67DE" w:rsidRPr="00EC503A" w:rsidRDefault="009065FF" w:rsidP="003D7C5C">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 xml:space="preserve">Agree </w:t>
            </w:r>
          </w:p>
        </w:tc>
        <w:tc>
          <w:tcPr>
            <w:tcW w:w="3353" w:type="dxa"/>
            <w:shd w:val="clear" w:color="auto" w:fill="FFFFFF" w:themeFill="background1"/>
          </w:tcPr>
          <w:p w14:paraId="35D2117E" w14:textId="45E0E87D" w:rsidR="00FC748B" w:rsidRPr="00EC503A" w:rsidRDefault="00836160" w:rsidP="004D2F83">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The ISR recommends that KONEKSI</w:t>
            </w:r>
            <w:r w:rsidR="0068296E" w:rsidRPr="00EC503A">
              <w:rPr>
                <w:rFonts w:cstheme="minorHAnsi"/>
              </w:rPr>
              <w:t xml:space="preserve"> </w:t>
            </w:r>
            <w:r w:rsidRPr="00EC503A">
              <w:rPr>
                <w:rFonts w:cstheme="minorHAnsi"/>
              </w:rPr>
              <w:t xml:space="preserve">sharpen its alignment with GOI priorities </w:t>
            </w:r>
            <w:r w:rsidR="005519BE" w:rsidRPr="00EC503A">
              <w:rPr>
                <w:rFonts w:cstheme="minorHAnsi"/>
              </w:rPr>
              <w:t>and</w:t>
            </w:r>
            <w:r w:rsidRPr="00EC503A">
              <w:rPr>
                <w:rFonts w:cstheme="minorHAnsi"/>
              </w:rPr>
              <w:t xml:space="preserve"> </w:t>
            </w:r>
            <w:r w:rsidRPr="00EC503A">
              <w:rPr>
                <w:rFonts w:cstheme="minorHAnsi"/>
                <w:b/>
                <w:bCs/>
              </w:rPr>
              <w:t>(</w:t>
            </w:r>
            <w:r w:rsidR="006B7546" w:rsidRPr="00EC503A">
              <w:rPr>
                <w:rFonts w:cstheme="minorHAnsi"/>
                <w:b/>
                <w:bCs/>
              </w:rPr>
              <w:t xml:space="preserve">1) </w:t>
            </w:r>
            <w:r w:rsidR="00381DD0" w:rsidRPr="00EC503A">
              <w:rPr>
                <w:rFonts w:cstheme="minorHAnsi"/>
                <w:b/>
                <w:bCs/>
              </w:rPr>
              <w:t>exercise the extension option</w:t>
            </w:r>
            <w:r w:rsidR="005519BE" w:rsidRPr="00EC503A">
              <w:rPr>
                <w:rFonts w:cstheme="minorHAnsi"/>
                <w:b/>
                <w:bCs/>
              </w:rPr>
              <w:t xml:space="preserve"> for up to 12 months</w:t>
            </w:r>
            <w:r w:rsidR="00381DD0" w:rsidRPr="00EC503A">
              <w:rPr>
                <w:rFonts w:cstheme="minorHAnsi"/>
                <w:b/>
                <w:bCs/>
              </w:rPr>
              <w:t xml:space="preserve">; (2) </w:t>
            </w:r>
            <w:r w:rsidR="006B7546" w:rsidRPr="00EC503A">
              <w:rPr>
                <w:rFonts w:cstheme="minorHAnsi"/>
                <w:b/>
                <w:bCs/>
              </w:rPr>
              <w:t>strengthen</w:t>
            </w:r>
            <w:r w:rsidRPr="00EC503A">
              <w:rPr>
                <w:rFonts w:cstheme="minorHAnsi"/>
                <w:b/>
                <w:bCs/>
              </w:rPr>
              <w:t xml:space="preserve"> connections between researchers</w:t>
            </w:r>
            <w:r w:rsidR="0053296C" w:rsidRPr="00EC503A">
              <w:rPr>
                <w:rFonts w:cstheme="minorHAnsi"/>
                <w:b/>
                <w:bCs/>
              </w:rPr>
              <w:t xml:space="preserve">, </w:t>
            </w:r>
            <w:r w:rsidRPr="00EC503A">
              <w:rPr>
                <w:rFonts w:cstheme="minorHAnsi"/>
                <w:b/>
                <w:bCs/>
              </w:rPr>
              <w:t xml:space="preserve">policy </w:t>
            </w:r>
            <w:r w:rsidR="0053296C" w:rsidRPr="00EC503A">
              <w:rPr>
                <w:rFonts w:cstheme="minorHAnsi"/>
                <w:b/>
                <w:bCs/>
              </w:rPr>
              <w:t xml:space="preserve">makers </w:t>
            </w:r>
            <w:r w:rsidRPr="00EC503A">
              <w:rPr>
                <w:rFonts w:cstheme="minorHAnsi"/>
                <w:b/>
                <w:bCs/>
              </w:rPr>
              <w:t>and industry users</w:t>
            </w:r>
            <w:r w:rsidRPr="00EC503A">
              <w:rPr>
                <w:rFonts w:cstheme="minorHAnsi"/>
              </w:rPr>
              <w:t xml:space="preserve">, </w:t>
            </w:r>
            <w:r w:rsidRPr="00EC503A">
              <w:rPr>
                <w:rFonts w:cstheme="minorHAnsi"/>
                <w:b/>
                <w:bCs/>
              </w:rPr>
              <w:t>(</w:t>
            </w:r>
            <w:r w:rsidR="005A629E" w:rsidRPr="00EC503A">
              <w:rPr>
                <w:rFonts w:cstheme="minorHAnsi"/>
                <w:b/>
                <w:bCs/>
              </w:rPr>
              <w:t>3</w:t>
            </w:r>
            <w:r w:rsidR="006B7546" w:rsidRPr="00EC503A">
              <w:rPr>
                <w:rFonts w:cstheme="minorHAnsi"/>
                <w:b/>
                <w:bCs/>
              </w:rPr>
              <w:t>) deepen</w:t>
            </w:r>
            <w:r w:rsidRPr="00EC503A">
              <w:rPr>
                <w:rFonts w:cstheme="minorHAnsi"/>
                <w:b/>
                <w:bCs/>
              </w:rPr>
              <w:t xml:space="preserve"> engagement with Indonesia’s evolving research and innovation ecosystem, and (</w:t>
            </w:r>
            <w:r w:rsidR="005A629E" w:rsidRPr="00EC503A">
              <w:rPr>
                <w:rFonts w:cstheme="minorHAnsi"/>
                <w:b/>
                <w:bCs/>
              </w:rPr>
              <w:t>4</w:t>
            </w:r>
            <w:r w:rsidRPr="00EC503A">
              <w:rPr>
                <w:rFonts w:cstheme="minorHAnsi"/>
                <w:b/>
                <w:bCs/>
              </w:rPr>
              <w:t>)</w:t>
            </w:r>
            <w:r w:rsidRPr="00EC503A">
              <w:rPr>
                <w:rFonts w:cstheme="minorHAnsi"/>
              </w:rPr>
              <w:t xml:space="preserve"> </w:t>
            </w:r>
            <w:r w:rsidR="00D92F1D" w:rsidRPr="00EC503A">
              <w:rPr>
                <w:rFonts w:cstheme="minorHAnsi"/>
                <w:b/>
                <w:bCs/>
              </w:rPr>
              <w:t xml:space="preserve">explore opportunities to </w:t>
            </w:r>
            <w:r w:rsidRPr="00EC503A">
              <w:rPr>
                <w:rFonts w:cstheme="minorHAnsi"/>
                <w:b/>
                <w:bCs/>
              </w:rPr>
              <w:t>selectively contribu</w:t>
            </w:r>
            <w:r w:rsidR="005519BE" w:rsidRPr="00EC503A">
              <w:rPr>
                <w:rFonts w:cstheme="minorHAnsi"/>
                <w:b/>
                <w:bCs/>
              </w:rPr>
              <w:t>te</w:t>
            </w:r>
            <w:r w:rsidRPr="00EC503A">
              <w:rPr>
                <w:rFonts w:cstheme="minorHAnsi"/>
                <w:b/>
                <w:bCs/>
              </w:rPr>
              <w:t xml:space="preserve"> to</w:t>
            </w:r>
            <w:r w:rsidR="00D92F1D" w:rsidRPr="00EC503A">
              <w:rPr>
                <w:rFonts w:cstheme="minorHAnsi"/>
                <w:b/>
                <w:bCs/>
              </w:rPr>
              <w:t xml:space="preserve"> G</w:t>
            </w:r>
            <w:r w:rsidR="00E94615">
              <w:rPr>
                <w:rFonts w:cstheme="minorHAnsi"/>
                <w:b/>
                <w:bCs/>
              </w:rPr>
              <w:t>O</w:t>
            </w:r>
            <w:r w:rsidR="00D92F1D" w:rsidRPr="00EC503A">
              <w:rPr>
                <w:rFonts w:cstheme="minorHAnsi"/>
                <w:b/>
                <w:bCs/>
              </w:rPr>
              <w:t xml:space="preserve">I’s reform efforts in </w:t>
            </w:r>
            <w:r w:rsidRPr="00EC503A">
              <w:rPr>
                <w:rFonts w:cstheme="minorHAnsi"/>
                <w:b/>
                <w:bCs/>
              </w:rPr>
              <w:t>higher education</w:t>
            </w:r>
            <w:r w:rsidRPr="00EC503A">
              <w:rPr>
                <w:rFonts w:cstheme="minorHAnsi"/>
              </w:rPr>
              <w:t>.</w:t>
            </w:r>
          </w:p>
        </w:tc>
        <w:tc>
          <w:tcPr>
            <w:tcW w:w="3727" w:type="dxa"/>
            <w:shd w:val="clear" w:color="auto" w:fill="FFFFFF" w:themeFill="background1"/>
          </w:tcPr>
          <w:p w14:paraId="56F5DA26" w14:textId="5121104B" w:rsidR="009E67DE" w:rsidRPr="00EC503A" w:rsidRDefault="00D46860" w:rsidP="004E627F">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DFAT will ensure that the ISR’s</w:t>
            </w:r>
            <w:r w:rsidR="00F855D7" w:rsidRPr="00EC503A">
              <w:rPr>
                <w:rFonts w:cstheme="minorHAnsi"/>
              </w:rPr>
              <w:t xml:space="preserve"> </w:t>
            </w:r>
            <w:r w:rsidRPr="00EC503A">
              <w:rPr>
                <w:rFonts w:cstheme="minorHAnsi"/>
              </w:rPr>
              <w:t>detailed recommendations</w:t>
            </w:r>
            <w:r w:rsidR="00DE5F56" w:rsidRPr="00EC503A">
              <w:rPr>
                <w:rFonts w:cstheme="minorHAnsi"/>
              </w:rPr>
              <w:t xml:space="preserve"> below</w:t>
            </w:r>
            <w:r w:rsidRPr="00EC503A">
              <w:rPr>
                <w:rFonts w:cstheme="minorHAnsi"/>
              </w:rPr>
              <w:t xml:space="preserve"> are translated into </w:t>
            </w:r>
            <w:r w:rsidRPr="00EC503A">
              <w:rPr>
                <w:rFonts w:cstheme="minorHAnsi"/>
                <w:b/>
                <w:bCs/>
              </w:rPr>
              <w:t>sequenced actions</w:t>
            </w:r>
            <w:r w:rsidRPr="00EC503A">
              <w:rPr>
                <w:rFonts w:cstheme="minorHAnsi"/>
              </w:rPr>
              <w:t xml:space="preserve"> to strengthen program performance and position KONEKSI for a successful transition to its next phase.</w:t>
            </w:r>
          </w:p>
        </w:tc>
        <w:tc>
          <w:tcPr>
            <w:tcW w:w="1441" w:type="dxa"/>
            <w:shd w:val="clear" w:color="auto" w:fill="FFFFFF" w:themeFill="background1"/>
          </w:tcPr>
          <w:p w14:paraId="30BED9AB" w14:textId="4DA45BF9" w:rsidR="009E67DE" w:rsidRPr="00EC503A" w:rsidRDefault="00C44BE8" w:rsidP="00D528C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Ongoing</w:t>
            </w:r>
            <w:r w:rsidR="00D46860" w:rsidRPr="00EC503A">
              <w:rPr>
                <w:rFonts w:cstheme="minorHAnsi"/>
              </w:rPr>
              <w:t xml:space="preserve"> </w:t>
            </w:r>
          </w:p>
        </w:tc>
      </w:tr>
      <w:tr w:rsidR="00466AC4" w:rsidRPr="00EC503A" w14:paraId="2AB8AA0D" w14:textId="77777777" w:rsidTr="00763712">
        <w:tc>
          <w:tcPr>
            <w:cnfStyle w:val="001000000000" w:firstRow="0" w:lastRow="0" w:firstColumn="1" w:lastColumn="0" w:oddVBand="0" w:evenVBand="0" w:oddHBand="0" w:evenHBand="0" w:firstRowFirstColumn="0" w:firstRowLastColumn="0" w:lastRowFirstColumn="0" w:lastRowLastColumn="0"/>
            <w:tcW w:w="4133" w:type="dxa"/>
            <w:tcBorders>
              <w:right w:val="none" w:sz="0" w:space="0" w:color="auto"/>
            </w:tcBorders>
          </w:tcPr>
          <w:p w14:paraId="1961B94C" w14:textId="02251A67" w:rsidR="001B7C55" w:rsidRPr="00EC503A" w:rsidRDefault="001B7C55" w:rsidP="00D528C6">
            <w:pPr>
              <w:rPr>
                <w:rFonts w:cstheme="minorHAnsi"/>
              </w:rPr>
            </w:pPr>
            <w:r w:rsidRPr="00EC503A">
              <w:rPr>
                <w:rFonts w:cstheme="minorHAnsi"/>
              </w:rPr>
              <w:t xml:space="preserve">Recommendation 1. </w:t>
            </w:r>
          </w:p>
          <w:p w14:paraId="1E0B3DF3" w14:textId="1C0D50C9" w:rsidR="00897F36" w:rsidRPr="00EC503A" w:rsidRDefault="00CB2F20" w:rsidP="00F03A18">
            <w:pPr>
              <w:rPr>
                <w:rFonts w:cstheme="minorHAnsi"/>
                <w:b w:val="0"/>
                <w:bCs w:val="0"/>
              </w:rPr>
            </w:pPr>
            <w:r w:rsidRPr="00EC503A">
              <w:rPr>
                <w:rFonts w:cstheme="minorHAnsi"/>
              </w:rPr>
              <w:t xml:space="preserve">Continue the program and exercise </w:t>
            </w:r>
            <w:r w:rsidR="00FC69B9" w:rsidRPr="00EC503A">
              <w:rPr>
                <w:rFonts w:cstheme="minorHAnsi"/>
              </w:rPr>
              <w:t xml:space="preserve">the extension option for 12 months </w:t>
            </w:r>
            <w:r w:rsidR="000D0D9B" w:rsidRPr="00EC503A">
              <w:rPr>
                <w:rFonts w:cstheme="minorHAnsi"/>
              </w:rPr>
              <w:t>to evolve the program to respond more specifically to GOI’s S</w:t>
            </w:r>
            <w:r w:rsidR="000D035B" w:rsidRPr="00EC503A">
              <w:rPr>
                <w:rFonts w:cstheme="minorHAnsi"/>
              </w:rPr>
              <w:t>c</w:t>
            </w:r>
            <w:r w:rsidR="000D035B" w:rsidRPr="00EC503A">
              <w:t xml:space="preserve">ience, </w:t>
            </w:r>
            <w:r w:rsidR="000D0D9B" w:rsidRPr="00EC503A">
              <w:rPr>
                <w:rFonts w:cstheme="minorHAnsi"/>
              </w:rPr>
              <w:t>T</w:t>
            </w:r>
            <w:r w:rsidR="000D035B" w:rsidRPr="00EC503A">
              <w:rPr>
                <w:rFonts w:cstheme="minorHAnsi"/>
              </w:rPr>
              <w:t>e</w:t>
            </w:r>
            <w:r w:rsidR="000D035B" w:rsidRPr="00EC503A">
              <w:t xml:space="preserve">chnology, and </w:t>
            </w:r>
            <w:r w:rsidR="000D0D9B" w:rsidRPr="00EC503A">
              <w:rPr>
                <w:rFonts w:cstheme="minorHAnsi"/>
              </w:rPr>
              <w:t>I</w:t>
            </w:r>
            <w:r w:rsidR="000D035B" w:rsidRPr="00EC503A">
              <w:rPr>
                <w:rFonts w:cstheme="minorHAnsi"/>
              </w:rPr>
              <w:t>nnovation (STI)</w:t>
            </w:r>
            <w:r w:rsidR="000D0D9B" w:rsidRPr="00EC503A">
              <w:rPr>
                <w:rFonts w:cstheme="minorHAnsi"/>
              </w:rPr>
              <w:t xml:space="preserve"> agenda and increase government-to-government</w:t>
            </w:r>
            <w:r w:rsidR="00D87468" w:rsidRPr="00EC503A">
              <w:rPr>
                <w:rFonts w:cstheme="minorHAnsi"/>
              </w:rPr>
              <w:t xml:space="preserve"> (G2G)</w:t>
            </w:r>
            <w:r w:rsidR="000D0D9B" w:rsidRPr="00EC503A">
              <w:rPr>
                <w:rFonts w:cstheme="minorHAnsi"/>
              </w:rPr>
              <w:t xml:space="preserve"> engagement</w:t>
            </w:r>
            <w:r w:rsidR="00FC69B9" w:rsidRPr="00EC503A">
              <w:rPr>
                <w:rFonts w:cstheme="minorHAnsi"/>
              </w:rPr>
              <w:t>.</w:t>
            </w:r>
          </w:p>
        </w:tc>
        <w:tc>
          <w:tcPr>
            <w:tcW w:w="1233" w:type="dxa"/>
            <w:shd w:val="clear" w:color="auto" w:fill="FFFFFF" w:themeFill="background1"/>
          </w:tcPr>
          <w:p w14:paraId="30545A9C" w14:textId="59DC3380" w:rsidR="00897F36" w:rsidRPr="00EC503A" w:rsidRDefault="00E64127">
            <w:pPr>
              <w:cnfStyle w:val="000000000000" w:firstRow="0" w:lastRow="0" w:firstColumn="0" w:lastColumn="0" w:oddVBand="0" w:evenVBand="0" w:oddHBand="0" w:evenHBand="0" w:firstRowFirstColumn="0" w:firstRowLastColumn="0" w:lastRowFirstColumn="0" w:lastRowLastColumn="0"/>
              <w:rPr>
                <w:rFonts w:cstheme="minorHAnsi"/>
              </w:rPr>
            </w:pPr>
            <w:r w:rsidRPr="00EC503A">
              <w:rPr>
                <w:rFonts w:cstheme="minorHAnsi"/>
              </w:rPr>
              <w:t>Agree</w:t>
            </w:r>
            <w:r w:rsidR="00897F36" w:rsidRPr="00EC503A">
              <w:rPr>
                <w:rFonts w:cstheme="minorHAnsi"/>
              </w:rPr>
              <w:t xml:space="preserve"> </w:t>
            </w:r>
          </w:p>
        </w:tc>
        <w:tc>
          <w:tcPr>
            <w:tcW w:w="3353" w:type="dxa"/>
          </w:tcPr>
          <w:p w14:paraId="49AB252D" w14:textId="142AEDC5" w:rsidR="00E73D67" w:rsidRPr="00EC503A" w:rsidRDefault="007E561E" w:rsidP="009A5CF0">
            <w:pPr>
              <w:cnfStyle w:val="000000000000" w:firstRow="0" w:lastRow="0" w:firstColumn="0" w:lastColumn="0" w:oddVBand="0" w:evenVBand="0" w:oddHBand="0" w:evenHBand="0" w:firstRowFirstColumn="0" w:firstRowLastColumn="0" w:lastRowFirstColumn="0" w:lastRowLastColumn="0"/>
              <w:rPr>
                <w:rFonts w:cstheme="minorHAnsi"/>
              </w:rPr>
            </w:pPr>
            <w:r w:rsidRPr="00EC503A">
              <w:rPr>
                <w:rFonts w:cstheme="minorHAnsi"/>
              </w:rPr>
              <w:t xml:space="preserve">The ISR </w:t>
            </w:r>
            <w:r w:rsidR="00F650EB" w:rsidRPr="00EC503A">
              <w:rPr>
                <w:rFonts w:cstheme="minorHAnsi"/>
              </w:rPr>
              <w:t>recommend</w:t>
            </w:r>
            <w:r w:rsidR="00E9281C" w:rsidRPr="00EC503A">
              <w:rPr>
                <w:rFonts w:cstheme="minorHAnsi"/>
              </w:rPr>
              <w:t>s</w:t>
            </w:r>
            <w:r w:rsidR="00CB5B76" w:rsidRPr="00EC503A">
              <w:rPr>
                <w:rFonts w:cstheme="minorHAnsi"/>
              </w:rPr>
              <w:t xml:space="preserve"> </w:t>
            </w:r>
            <w:r w:rsidR="00F650EB" w:rsidRPr="00EC503A">
              <w:rPr>
                <w:rFonts w:cstheme="minorHAnsi"/>
              </w:rPr>
              <w:t xml:space="preserve">that </w:t>
            </w:r>
            <w:r w:rsidR="00BA52D7" w:rsidRPr="00EC503A">
              <w:rPr>
                <w:rFonts w:cstheme="minorHAnsi"/>
              </w:rPr>
              <w:t xml:space="preserve">KONEKSI </w:t>
            </w:r>
            <w:r w:rsidR="000A483F" w:rsidRPr="00EC503A">
              <w:rPr>
                <w:rFonts w:cstheme="minorHAnsi"/>
              </w:rPr>
              <w:t xml:space="preserve">be continued and </w:t>
            </w:r>
            <w:r w:rsidR="003E6872" w:rsidRPr="00EC503A">
              <w:rPr>
                <w:rFonts w:cstheme="minorHAnsi"/>
              </w:rPr>
              <w:t xml:space="preserve">DFAT </w:t>
            </w:r>
            <w:r w:rsidR="000A483F" w:rsidRPr="00EC503A">
              <w:rPr>
                <w:rFonts w:cstheme="minorHAnsi"/>
              </w:rPr>
              <w:t xml:space="preserve">exercise the </w:t>
            </w:r>
            <w:r w:rsidR="003E6872" w:rsidRPr="00EC503A">
              <w:rPr>
                <w:rFonts w:cstheme="minorHAnsi"/>
              </w:rPr>
              <w:t xml:space="preserve">contract </w:t>
            </w:r>
            <w:r w:rsidR="000A483F" w:rsidRPr="00EC503A">
              <w:rPr>
                <w:rFonts w:cstheme="minorHAnsi"/>
              </w:rPr>
              <w:t>extension option for 12 months to</w:t>
            </w:r>
            <w:r w:rsidR="00E9281C" w:rsidRPr="00EC503A">
              <w:rPr>
                <w:rFonts w:cstheme="minorHAnsi"/>
              </w:rPr>
              <w:t xml:space="preserve"> provide time to</w:t>
            </w:r>
            <w:r w:rsidR="000A483F" w:rsidRPr="00EC503A">
              <w:rPr>
                <w:rFonts w:cstheme="minorHAnsi"/>
              </w:rPr>
              <w:t xml:space="preserve"> </w:t>
            </w:r>
            <w:r w:rsidR="00D31BBC" w:rsidRPr="00EC503A">
              <w:rPr>
                <w:rFonts w:cstheme="minorHAnsi"/>
              </w:rPr>
              <w:t xml:space="preserve">evolve the program to respond more specifically to </w:t>
            </w:r>
            <w:r w:rsidR="00E9281C" w:rsidRPr="00EC503A">
              <w:rPr>
                <w:rFonts w:cstheme="minorHAnsi"/>
              </w:rPr>
              <w:t xml:space="preserve">the Indonesian Government’s </w:t>
            </w:r>
            <w:r w:rsidR="00D31BBC" w:rsidRPr="00EC503A">
              <w:rPr>
                <w:rFonts w:cstheme="minorHAnsi"/>
              </w:rPr>
              <w:t>agenda</w:t>
            </w:r>
            <w:r w:rsidR="0066305E" w:rsidRPr="00EC503A">
              <w:rPr>
                <w:rFonts w:cstheme="minorHAnsi"/>
              </w:rPr>
              <w:t xml:space="preserve"> and</w:t>
            </w:r>
            <w:r w:rsidR="00BE4FCA" w:rsidRPr="00EC503A">
              <w:rPr>
                <w:rFonts w:cstheme="minorHAnsi"/>
              </w:rPr>
              <w:t xml:space="preserve"> maintain influence and relevan</w:t>
            </w:r>
            <w:r w:rsidR="00C36EBD" w:rsidRPr="00EC503A">
              <w:rPr>
                <w:rFonts w:cstheme="minorHAnsi"/>
              </w:rPr>
              <w:t>ce</w:t>
            </w:r>
            <w:r w:rsidR="00BE4FCA" w:rsidRPr="00EC503A">
              <w:rPr>
                <w:rFonts w:cstheme="minorHAnsi"/>
              </w:rPr>
              <w:t xml:space="preserve"> of the program</w:t>
            </w:r>
            <w:r w:rsidR="002C1ABD" w:rsidRPr="00EC503A">
              <w:rPr>
                <w:rFonts w:cstheme="minorHAnsi"/>
              </w:rPr>
              <w:t>.</w:t>
            </w:r>
          </w:p>
        </w:tc>
        <w:tc>
          <w:tcPr>
            <w:tcW w:w="3727" w:type="dxa"/>
          </w:tcPr>
          <w:p w14:paraId="2F24E984" w14:textId="38FCBC69" w:rsidR="0026299B" w:rsidRPr="00EC503A" w:rsidRDefault="00181C83" w:rsidP="004E627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C503A">
              <w:rPr>
                <w:rFonts w:cstheme="minorHAnsi"/>
              </w:rPr>
              <w:t xml:space="preserve">DFAT will extend KONEKSI for </w:t>
            </w:r>
            <w:r w:rsidR="00D92F1D" w:rsidRPr="00EC503A">
              <w:rPr>
                <w:rFonts w:cstheme="minorHAnsi"/>
              </w:rPr>
              <w:t xml:space="preserve">up to </w:t>
            </w:r>
            <w:r w:rsidRPr="00EC503A">
              <w:rPr>
                <w:rFonts w:cstheme="minorHAnsi"/>
              </w:rPr>
              <w:t>12</w:t>
            </w:r>
            <w:r w:rsidR="0044433C" w:rsidRPr="00EC503A">
              <w:rPr>
                <w:rFonts w:cstheme="minorHAnsi"/>
              </w:rPr>
              <w:t> </w:t>
            </w:r>
            <w:r w:rsidRPr="00EC503A">
              <w:rPr>
                <w:rFonts w:cstheme="minorHAnsi"/>
              </w:rPr>
              <w:t xml:space="preserve">months </w:t>
            </w:r>
            <w:r w:rsidR="00D87468" w:rsidRPr="00EC503A">
              <w:rPr>
                <w:rFonts w:cstheme="minorHAnsi"/>
              </w:rPr>
              <w:t>(</w:t>
            </w:r>
            <w:r w:rsidRPr="00EC503A">
              <w:rPr>
                <w:rFonts w:cstheme="minorHAnsi"/>
              </w:rPr>
              <w:t>to December 2028</w:t>
            </w:r>
            <w:r w:rsidR="00D87468" w:rsidRPr="00EC503A">
              <w:rPr>
                <w:rFonts w:cstheme="minorHAnsi"/>
              </w:rPr>
              <w:t>)</w:t>
            </w:r>
            <w:r w:rsidR="00710499" w:rsidRPr="00EC503A">
              <w:rPr>
                <w:rFonts w:cstheme="minorHAnsi"/>
              </w:rPr>
              <w:t xml:space="preserve"> </w:t>
            </w:r>
            <w:r w:rsidR="00605033" w:rsidRPr="00EC503A">
              <w:rPr>
                <w:rFonts w:cstheme="minorHAnsi"/>
              </w:rPr>
              <w:t xml:space="preserve">and adjust </w:t>
            </w:r>
            <w:r w:rsidR="00AF18D7" w:rsidRPr="00EC503A">
              <w:rPr>
                <w:rFonts w:cstheme="minorHAnsi"/>
              </w:rPr>
              <w:t xml:space="preserve">KONEKSI </w:t>
            </w:r>
            <w:r w:rsidR="00605033" w:rsidRPr="00EC503A">
              <w:rPr>
                <w:rFonts w:cstheme="minorHAnsi"/>
              </w:rPr>
              <w:t>work plans</w:t>
            </w:r>
            <w:r w:rsidR="00D87468" w:rsidRPr="00EC503A">
              <w:rPr>
                <w:rFonts w:cstheme="minorHAnsi"/>
              </w:rPr>
              <w:t xml:space="preserve"> to respond to G</w:t>
            </w:r>
            <w:r w:rsidR="00E94615">
              <w:rPr>
                <w:rFonts w:cstheme="minorHAnsi"/>
              </w:rPr>
              <w:t>O</w:t>
            </w:r>
            <w:r w:rsidR="00D87468" w:rsidRPr="00EC503A">
              <w:rPr>
                <w:rFonts w:cstheme="minorHAnsi"/>
              </w:rPr>
              <w:t>I’s STI agenda and to support enhanced G2G engagement where feasible</w:t>
            </w:r>
            <w:r w:rsidR="00E9281C" w:rsidRPr="00EC503A">
              <w:rPr>
                <w:rFonts w:cstheme="minorHAnsi"/>
              </w:rPr>
              <w:t>.</w:t>
            </w:r>
          </w:p>
        </w:tc>
        <w:tc>
          <w:tcPr>
            <w:tcW w:w="1441" w:type="dxa"/>
          </w:tcPr>
          <w:p w14:paraId="1FFCAC04" w14:textId="063C13EF" w:rsidR="00897F36" w:rsidRPr="00EC503A" w:rsidRDefault="00C44BE8">
            <w:pPr>
              <w:cnfStyle w:val="000000000000" w:firstRow="0" w:lastRow="0" w:firstColumn="0" w:lastColumn="0" w:oddVBand="0" w:evenVBand="0" w:oddHBand="0" w:evenHBand="0" w:firstRowFirstColumn="0" w:firstRowLastColumn="0" w:lastRowFirstColumn="0" w:lastRowLastColumn="0"/>
              <w:rPr>
                <w:rFonts w:cstheme="minorHAnsi"/>
              </w:rPr>
            </w:pPr>
            <w:r w:rsidRPr="00EC503A">
              <w:rPr>
                <w:rFonts w:cstheme="minorHAnsi"/>
              </w:rPr>
              <w:t>Ongoing</w:t>
            </w:r>
            <w:r w:rsidR="00897F36" w:rsidRPr="00EC503A">
              <w:rPr>
                <w:rFonts w:cstheme="minorHAnsi"/>
              </w:rPr>
              <w:t xml:space="preserve"> </w:t>
            </w:r>
          </w:p>
          <w:p w14:paraId="361F3470" w14:textId="13C6A79D" w:rsidR="0074637E" w:rsidRPr="00EC503A" w:rsidRDefault="0074637E">
            <w:pPr>
              <w:cnfStyle w:val="000000000000" w:firstRow="0" w:lastRow="0" w:firstColumn="0" w:lastColumn="0" w:oddVBand="0" w:evenVBand="0" w:oddHBand="0" w:evenHBand="0" w:firstRowFirstColumn="0" w:firstRowLastColumn="0" w:lastRowFirstColumn="0" w:lastRowLastColumn="0"/>
              <w:rPr>
                <w:rFonts w:cstheme="minorHAnsi"/>
              </w:rPr>
            </w:pPr>
          </w:p>
        </w:tc>
      </w:tr>
      <w:tr w:rsidR="003E2AFE" w:rsidRPr="00EC503A" w14:paraId="252A882E" w14:textId="77777777" w:rsidTr="00E9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3" w:type="dxa"/>
            <w:tcBorders>
              <w:top w:val="none" w:sz="0" w:space="0" w:color="auto"/>
              <w:bottom w:val="none" w:sz="0" w:space="0" w:color="auto"/>
              <w:right w:val="none" w:sz="0" w:space="0" w:color="auto"/>
            </w:tcBorders>
          </w:tcPr>
          <w:p w14:paraId="63C70100" w14:textId="5BED0935" w:rsidR="003E2AFE" w:rsidRPr="00EC503A" w:rsidRDefault="003E2AFE" w:rsidP="003E2AFE">
            <w:pPr>
              <w:rPr>
                <w:rFonts w:cstheme="minorHAnsi"/>
                <w:b w:val="0"/>
                <w:bCs w:val="0"/>
              </w:rPr>
            </w:pPr>
            <w:r w:rsidRPr="00EC503A">
              <w:rPr>
                <w:rFonts w:cstheme="minorHAnsi"/>
              </w:rPr>
              <w:t xml:space="preserve">Recommendation </w:t>
            </w:r>
            <w:r w:rsidR="005074DD" w:rsidRPr="00EC503A">
              <w:rPr>
                <w:rFonts w:cstheme="minorHAnsi"/>
              </w:rPr>
              <w:t xml:space="preserve">2 </w:t>
            </w:r>
          </w:p>
          <w:p w14:paraId="67C8FD4B" w14:textId="2457428B" w:rsidR="003E2AFE" w:rsidRPr="00EC503A" w:rsidRDefault="005074DD" w:rsidP="00F03A18">
            <w:pPr>
              <w:rPr>
                <w:rFonts w:cstheme="minorHAnsi"/>
              </w:rPr>
            </w:pPr>
            <w:r w:rsidRPr="00EC503A">
              <w:rPr>
                <w:rFonts w:cstheme="minorHAnsi"/>
              </w:rPr>
              <w:t>The Program should modify its approach to strengthen the connections between researchers and users in the context of stated GOI priorities.</w:t>
            </w:r>
          </w:p>
        </w:tc>
        <w:tc>
          <w:tcPr>
            <w:tcW w:w="1233" w:type="dxa"/>
            <w:tcBorders>
              <w:top w:val="none" w:sz="0" w:space="0" w:color="auto"/>
              <w:bottom w:val="none" w:sz="0" w:space="0" w:color="auto"/>
            </w:tcBorders>
            <w:shd w:val="clear" w:color="auto" w:fill="FFFFFF" w:themeFill="background1"/>
          </w:tcPr>
          <w:p w14:paraId="24AA0615" w14:textId="6BC5F4F2" w:rsidR="003E2AFE" w:rsidRPr="00EC503A" w:rsidRDefault="003E2AFE" w:rsidP="003E2AFE">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Agree</w:t>
            </w:r>
          </w:p>
        </w:tc>
        <w:tc>
          <w:tcPr>
            <w:tcW w:w="3353" w:type="dxa"/>
            <w:tcBorders>
              <w:top w:val="none" w:sz="0" w:space="0" w:color="auto"/>
              <w:bottom w:val="none" w:sz="0" w:space="0" w:color="auto"/>
            </w:tcBorders>
          </w:tcPr>
          <w:p w14:paraId="29B81352" w14:textId="52D4E1E8" w:rsidR="008D5E90" w:rsidRPr="00EC503A" w:rsidRDefault="00E21511" w:rsidP="005D6B63">
            <w:pPr>
              <w:tabs>
                <w:tab w:val="num" w:pos="466"/>
              </w:tabs>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ID"/>
              </w:rPr>
            </w:pPr>
            <w:r w:rsidRPr="00EC503A">
              <w:rPr>
                <w:rFonts w:eastAsia="Times New Roman" w:cstheme="minorHAnsi"/>
                <w:lang w:eastAsia="en-ID"/>
              </w:rPr>
              <w:t>The ISR recommends a</w:t>
            </w:r>
            <w:r w:rsidR="00D348EA" w:rsidRPr="00EC503A">
              <w:rPr>
                <w:rFonts w:eastAsia="Times New Roman" w:cstheme="minorHAnsi"/>
                <w:lang w:eastAsia="en-ID"/>
              </w:rPr>
              <w:t xml:space="preserve"> </w:t>
            </w:r>
            <w:r w:rsidRPr="00EC503A">
              <w:rPr>
                <w:rFonts w:eastAsia="Times New Roman" w:cstheme="minorHAnsi"/>
                <w:lang w:eastAsia="en-ID"/>
              </w:rPr>
              <w:t>pivot in program delivery</w:t>
            </w:r>
            <w:r w:rsidR="001216CA" w:rsidRPr="00EC503A">
              <w:rPr>
                <w:rFonts w:eastAsia="Times New Roman" w:cstheme="minorHAnsi"/>
                <w:lang w:eastAsia="en-ID"/>
              </w:rPr>
              <w:t xml:space="preserve"> (within scope)</w:t>
            </w:r>
            <w:r w:rsidRPr="00EC503A">
              <w:rPr>
                <w:rFonts w:eastAsia="Times New Roman" w:cstheme="minorHAnsi"/>
                <w:lang w:eastAsia="en-ID"/>
              </w:rPr>
              <w:t xml:space="preserve"> to strengthen research utili</w:t>
            </w:r>
            <w:r w:rsidR="00D348EA" w:rsidRPr="00EC503A">
              <w:rPr>
                <w:rFonts w:eastAsia="Times New Roman" w:cstheme="minorHAnsi"/>
                <w:lang w:eastAsia="en-ID"/>
              </w:rPr>
              <w:t>s</w:t>
            </w:r>
            <w:r w:rsidRPr="00EC503A">
              <w:rPr>
                <w:rFonts w:eastAsia="Times New Roman" w:cstheme="minorHAnsi"/>
                <w:lang w:eastAsia="en-ID"/>
              </w:rPr>
              <w:t xml:space="preserve">ation and align KONEKSI more with </w:t>
            </w:r>
            <w:r w:rsidR="008F7518" w:rsidRPr="00EC503A">
              <w:rPr>
                <w:rFonts w:eastAsia="Times New Roman" w:cstheme="minorHAnsi"/>
                <w:lang w:eastAsia="en-ID"/>
              </w:rPr>
              <w:t>G</w:t>
            </w:r>
            <w:r w:rsidR="00E94615">
              <w:rPr>
                <w:rFonts w:eastAsia="Times New Roman" w:cstheme="minorHAnsi"/>
                <w:lang w:eastAsia="en-ID"/>
              </w:rPr>
              <w:t>O</w:t>
            </w:r>
            <w:r w:rsidR="008F7518" w:rsidRPr="00EC503A">
              <w:rPr>
                <w:rFonts w:eastAsia="Times New Roman" w:cstheme="minorHAnsi"/>
                <w:lang w:eastAsia="en-ID"/>
              </w:rPr>
              <w:t>I’s innovation</w:t>
            </w:r>
            <w:r w:rsidRPr="00EC503A">
              <w:rPr>
                <w:rFonts w:eastAsia="Times New Roman" w:cstheme="minorHAnsi"/>
                <w:lang w:eastAsia="en-ID"/>
              </w:rPr>
              <w:t xml:space="preserve"> agenda</w:t>
            </w:r>
            <w:r w:rsidR="004903A9" w:rsidRPr="00EC503A">
              <w:rPr>
                <w:rFonts w:eastAsia="Times New Roman" w:cstheme="minorHAnsi"/>
                <w:lang w:eastAsia="en-ID"/>
              </w:rPr>
              <w:t>.</w:t>
            </w:r>
            <w:r w:rsidR="00D87468" w:rsidRPr="00EC503A">
              <w:rPr>
                <w:rFonts w:eastAsia="Times New Roman" w:cstheme="minorHAnsi"/>
                <w:lang w:eastAsia="en-ID"/>
              </w:rPr>
              <w:t xml:space="preserve"> This may include a challenge-based approach to identifying priorities </w:t>
            </w:r>
            <w:r w:rsidR="00D87468" w:rsidRPr="00EC503A">
              <w:rPr>
                <w:rFonts w:eastAsia="Times New Roman" w:cstheme="minorHAnsi"/>
                <w:lang w:eastAsia="en-ID"/>
              </w:rPr>
              <w:lastRenderedPageBreak/>
              <w:t>for joint research funding; a KONEKSI portfolio-wide assessment of research ‘readiness for use’; and piloting</w:t>
            </w:r>
            <w:r w:rsidR="008E05C8" w:rsidRPr="00EC503A">
              <w:rPr>
                <w:rFonts w:eastAsia="Times New Roman" w:cstheme="minorHAnsi"/>
                <w:lang w:eastAsia="en-ID"/>
              </w:rPr>
              <w:t xml:space="preserve"> challenge-focused</w:t>
            </w:r>
            <w:r w:rsidR="00D87468" w:rsidRPr="00EC503A">
              <w:rPr>
                <w:rFonts w:eastAsia="Times New Roman" w:cstheme="minorHAnsi"/>
                <w:lang w:eastAsia="en-ID"/>
              </w:rPr>
              <w:t xml:space="preserve"> </w:t>
            </w:r>
            <w:r w:rsidR="00D87468" w:rsidRPr="00EC503A">
              <w:rPr>
                <w:rFonts w:eastAsia="Times New Roman" w:cstheme="minorHAnsi"/>
                <w:i/>
                <w:iCs/>
                <w:lang w:eastAsia="en-ID"/>
              </w:rPr>
              <w:t>Knowledge and Innovation Exchange (KIE)</w:t>
            </w:r>
            <w:r w:rsidR="00D87468" w:rsidRPr="00EC503A">
              <w:rPr>
                <w:rFonts w:eastAsia="Times New Roman" w:cstheme="minorHAnsi"/>
                <w:lang w:eastAsia="en-ID"/>
              </w:rPr>
              <w:t xml:space="preserve"> panels in selected provinces.</w:t>
            </w:r>
          </w:p>
        </w:tc>
        <w:tc>
          <w:tcPr>
            <w:tcW w:w="3727" w:type="dxa"/>
            <w:tcBorders>
              <w:top w:val="none" w:sz="0" w:space="0" w:color="auto"/>
              <w:bottom w:val="none" w:sz="0" w:space="0" w:color="auto"/>
            </w:tcBorders>
          </w:tcPr>
          <w:p w14:paraId="15C9F367" w14:textId="26615432" w:rsidR="006F60A7" w:rsidRPr="00EC503A" w:rsidRDefault="005022D9" w:rsidP="00F03A18">
            <w:pPr>
              <w:cnfStyle w:val="000000100000" w:firstRow="0" w:lastRow="0" w:firstColumn="0" w:lastColumn="0" w:oddVBand="0" w:evenVBand="0" w:oddHBand="1" w:evenHBand="0" w:firstRowFirstColumn="0" w:firstRowLastColumn="0" w:lastRowFirstColumn="0" w:lastRowLastColumn="0"/>
              <w:rPr>
                <w:rFonts w:cstheme="minorHAnsi"/>
              </w:rPr>
            </w:pPr>
            <w:r w:rsidRPr="00E94615">
              <w:rPr>
                <w:rFonts w:cstheme="minorHAnsi"/>
              </w:rPr>
              <w:lastRenderedPageBreak/>
              <w:t xml:space="preserve">DFAT </w:t>
            </w:r>
            <w:r w:rsidR="008E05C8" w:rsidRPr="00E94615">
              <w:rPr>
                <w:rFonts w:cstheme="minorHAnsi"/>
              </w:rPr>
              <w:t xml:space="preserve">will work with </w:t>
            </w:r>
            <w:r w:rsidR="00D87468" w:rsidRPr="00E94615">
              <w:rPr>
                <w:rFonts w:cstheme="minorHAnsi"/>
              </w:rPr>
              <w:t xml:space="preserve">KONEKSI </w:t>
            </w:r>
            <w:r w:rsidR="008E05C8" w:rsidRPr="00E94615">
              <w:rPr>
                <w:rFonts w:cstheme="minorHAnsi"/>
              </w:rPr>
              <w:t xml:space="preserve">to ensure it </w:t>
            </w:r>
            <w:r w:rsidR="004903A9" w:rsidRPr="00E94615">
              <w:rPr>
                <w:rFonts w:cstheme="minorHAnsi"/>
              </w:rPr>
              <w:t>strengthen</w:t>
            </w:r>
            <w:r w:rsidR="008E05C8" w:rsidRPr="00E94615">
              <w:rPr>
                <w:rFonts w:cstheme="minorHAnsi"/>
              </w:rPr>
              <w:t>s</w:t>
            </w:r>
            <w:r w:rsidR="004903A9" w:rsidRPr="00E94615">
              <w:rPr>
                <w:rFonts w:cstheme="minorHAnsi"/>
              </w:rPr>
              <w:t xml:space="preserve"> </w:t>
            </w:r>
            <w:r w:rsidR="00971A68" w:rsidRPr="00E94615">
              <w:rPr>
                <w:rFonts w:cstheme="minorHAnsi"/>
              </w:rPr>
              <w:t xml:space="preserve">research </w:t>
            </w:r>
            <w:r w:rsidR="00494005" w:rsidRPr="00E94615">
              <w:rPr>
                <w:rFonts w:cstheme="minorHAnsi"/>
              </w:rPr>
              <w:t xml:space="preserve">utilisation and </w:t>
            </w:r>
            <w:r w:rsidR="004903A9" w:rsidRPr="00E94615">
              <w:rPr>
                <w:rFonts w:cstheme="minorHAnsi"/>
              </w:rPr>
              <w:t>alignme</w:t>
            </w:r>
            <w:r w:rsidR="0044433C" w:rsidRPr="00E94615">
              <w:rPr>
                <w:rFonts w:cstheme="minorHAnsi"/>
              </w:rPr>
              <w:t>nt to GOI</w:t>
            </w:r>
            <w:r w:rsidR="00400ECF" w:rsidRPr="00E94615">
              <w:rPr>
                <w:rFonts w:cstheme="minorHAnsi"/>
              </w:rPr>
              <w:t xml:space="preserve"> (and GOA)</w:t>
            </w:r>
            <w:r w:rsidR="004903A9" w:rsidRPr="00E94615">
              <w:rPr>
                <w:rFonts w:cstheme="minorHAnsi"/>
              </w:rPr>
              <w:t xml:space="preserve"> research and innovation </w:t>
            </w:r>
            <w:r w:rsidR="00B53119" w:rsidRPr="00E94615">
              <w:rPr>
                <w:rFonts w:cstheme="minorHAnsi"/>
              </w:rPr>
              <w:t>agenda</w:t>
            </w:r>
            <w:r w:rsidR="00D87468" w:rsidRPr="00E94615">
              <w:rPr>
                <w:rFonts w:cstheme="minorHAnsi"/>
              </w:rPr>
              <w:t>s, including exploring and pursuing, where feasible, the suggested activities</w:t>
            </w:r>
            <w:r w:rsidR="004903A9" w:rsidRPr="00E94615">
              <w:rPr>
                <w:rFonts w:cstheme="minorHAnsi"/>
              </w:rPr>
              <w:t>.</w:t>
            </w:r>
          </w:p>
        </w:tc>
        <w:tc>
          <w:tcPr>
            <w:tcW w:w="1441" w:type="dxa"/>
            <w:tcBorders>
              <w:top w:val="none" w:sz="0" w:space="0" w:color="auto"/>
              <w:bottom w:val="none" w:sz="0" w:space="0" w:color="auto"/>
            </w:tcBorders>
          </w:tcPr>
          <w:p w14:paraId="7F8B7C3F" w14:textId="6694322E" w:rsidR="003E2AFE" w:rsidRPr="00EC503A" w:rsidRDefault="00C44BE8" w:rsidP="003E2AFE">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Ongoing</w:t>
            </w:r>
            <w:r w:rsidR="0028579F" w:rsidRPr="00EC503A">
              <w:rPr>
                <w:rFonts w:cstheme="minorHAnsi"/>
              </w:rPr>
              <w:t xml:space="preserve"> </w:t>
            </w:r>
          </w:p>
        </w:tc>
      </w:tr>
      <w:tr w:rsidR="00157C4C" w:rsidRPr="00EC503A" w14:paraId="0C0F8384" w14:textId="77777777" w:rsidTr="00C74234">
        <w:tc>
          <w:tcPr>
            <w:cnfStyle w:val="001000000000" w:firstRow="0" w:lastRow="0" w:firstColumn="1" w:lastColumn="0" w:oddVBand="0" w:evenVBand="0" w:oddHBand="0" w:evenHBand="0" w:firstRowFirstColumn="0" w:firstRowLastColumn="0" w:lastRowFirstColumn="0" w:lastRowLastColumn="0"/>
            <w:tcW w:w="4133" w:type="dxa"/>
          </w:tcPr>
          <w:p w14:paraId="3155B892" w14:textId="066ADEA8" w:rsidR="00157C4C" w:rsidRPr="00EC503A" w:rsidRDefault="00157C4C" w:rsidP="003E2AFE">
            <w:pPr>
              <w:rPr>
                <w:rFonts w:cstheme="minorHAnsi"/>
                <w:b w:val="0"/>
                <w:bCs w:val="0"/>
              </w:rPr>
            </w:pPr>
            <w:r w:rsidRPr="00EC503A">
              <w:rPr>
                <w:rFonts w:cstheme="minorHAnsi"/>
              </w:rPr>
              <w:t>Recommendation 3</w:t>
            </w:r>
          </w:p>
          <w:p w14:paraId="5E63BC7D" w14:textId="691F965A" w:rsidR="00157C4C" w:rsidRPr="00EC503A" w:rsidRDefault="005074DD" w:rsidP="003E2AFE">
            <w:pPr>
              <w:rPr>
                <w:rFonts w:cstheme="minorHAnsi"/>
              </w:rPr>
            </w:pPr>
            <w:r w:rsidRPr="00EC503A">
              <w:rPr>
                <w:rFonts w:cstheme="minorHAnsi"/>
              </w:rPr>
              <w:t>The program should develop a clear strategy to engage with Indonesia’s research and innovation ecosystem, including local innovation hubs.</w:t>
            </w:r>
          </w:p>
        </w:tc>
        <w:tc>
          <w:tcPr>
            <w:tcW w:w="1233" w:type="dxa"/>
            <w:shd w:val="clear" w:color="auto" w:fill="FFFFFF" w:themeFill="background1"/>
          </w:tcPr>
          <w:p w14:paraId="3342FAF3" w14:textId="5966BD1D" w:rsidR="00157C4C" w:rsidRPr="00EC503A" w:rsidRDefault="00157C4C" w:rsidP="003E2AFE">
            <w:pPr>
              <w:cnfStyle w:val="000000000000" w:firstRow="0" w:lastRow="0" w:firstColumn="0" w:lastColumn="0" w:oddVBand="0" w:evenVBand="0" w:oddHBand="0" w:evenHBand="0" w:firstRowFirstColumn="0" w:firstRowLastColumn="0" w:lastRowFirstColumn="0" w:lastRowLastColumn="0"/>
              <w:rPr>
                <w:rFonts w:cstheme="minorHAnsi"/>
              </w:rPr>
            </w:pPr>
            <w:r w:rsidRPr="00EC503A">
              <w:rPr>
                <w:rFonts w:cstheme="minorHAnsi"/>
              </w:rPr>
              <w:t xml:space="preserve">Agree </w:t>
            </w:r>
          </w:p>
        </w:tc>
        <w:tc>
          <w:tcPr>
            <w:tcW w:w="3353" w:type="dxa"/>
          </w:tcPr>
          <w:p w14:paraId="2343F2B1" w14:textId="444BC689" w:rsidR="00264EFB" w:rsidRPr="00EC503A" w:rsidRDefault="00264EFB" w:rsidP="00264EF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D"/>
              </w:rPr>
            </w:pPr>
            <w:r w:rsidRPr="00EC503A">
              <w:rPr>
                <w:rFonts w:eastAsia="Times New Roman" w:cstheme="minorHAnsi"/>
                <w:lang w:eastAsia="en-ID"/>
              </w:rPr>
              <w:t>The ISR recommends that DFAT establish a clear strategic framework to guide and align its current and future investments in Indonesia’s research, development and innovation ecosystem.</w:t>
            </w:r>
          </w:p>
          <w:p w14:paraId="2BA21991" w14:textId="691D4744" w:rsidR="004378E0" w:rsidRPr="00EC503A" w:rsidRDefault="004378E0" w:rsidP="00C8432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D"/>
              </w:rPr>
            </w:pPr>
          </w:p>
        </w:tc>
        <w:tc>
          <w:tcPr>
            <w:tcW w:w="3727" w:type="dxa"/>
            <w:vAlign w:val="center"/>
          </w:tcPr>
          <w:p w14:paraId="04BB88A0" w14:textId="258AD0AF" w:rsidR="00157C4C" w:rsidRPr="00EC503A" w:rsidRDefault="00874CD3" w:rsidP="00FC748B">
            <w:pPr>
              <w:cnfStyle w:val="000000000000" w:firstRow="0" w:lastRow="0" w:firstColumn="0" w:lastColumn="0" w:oddVBand="0" w:evenVBand="0" w:oddHBand="0" w:evenHBand="0" w:firstRowFirstColumn="0" w:firstRowLastColumn="0" w:lastRowFirstColumn="0" w:lastRowLastColumn="0"/>
              <w:rPr>
                <w:lang w:eastAsia="en-ID"/>
              </w:rPr>
            </w:pPr>
            <w:r w:rsidRPr="00EC503A">
              <w:rPr>
                <w:lang w:eastAsia="en-ID"/>
              </w:rPr>
              <w:t xml:space="preserve">DFAT will </w:t>
            </w:r>
            <w:r w:rsidR="008E05C8" w:rsidRPr="00EC503A">
              <w:rPr>
                <w:lang w:eastAsia="en-ID"/>
              </w:rPr>
              <w:t xml:space="preserve">task </w:t>
            </w:r>
            <w:r w:rsidR="00824D50" w:rsidRPr="00EC503A">
              <w:rPr>
                <w:lang w:eastAsia="en-ID"/>
              </w:rPr>
              <w:t>K</w:t>
            </w:r>
            <w:r w:rsidR="00824D50">
              <w:rPr>
                <w:lang w:eastAsia="en-ID"/>
              </w:rPr>
              <w:t>ONEKSI</w:t>
            </w:r>
            <w:r w:rsidR="00824D50" w:rsidRPr="00EC503A">
              <w:rPr>
                <w:lang w:eastAsia="en-ID"/>
              </w:rPr>
              <w:t xml:space="preserve"> </w:t>
            </w:r>
            <w:r w:rsidR="008E05C8" w:rsidRPr="00EC503A">
              <w:rPr>
                <w:lang w:eastAsia="en-ID"/>
              </w:rPr>
              <w:t xml:space="preserve">to </w:t>
            </w:r>
            <w:r w:rsidRPr="00EC503A">
              <w:rPr>
                <w:lang w:eastAsia="en-ID"/>
              </w:rPr>
              <w:t>develop a comprehensive ecosystem engagement strategy</w:t>
            </w:r>
            <w:r w:rsidR="00005389" w:rsidRPr="00EC503A">
              <w:rPr>
                <w:lang w:eastAsia="en-ID"/>
              </w:rPr>
              <w:t xml:space="preserve"> and action plan</w:t>
            </w:r>
            <w:r w:rsidRPr="00EC503A">
              <w:rPr>
                <w:lang w:eastAsia="en-ID"/>
              </w:rPr>
              <w:t xml:space="preserve"> outlining clear objectives, priority areas, and engagement pathways across technical assistance (TA) and grants.</w:t>
            </w:r>
          </w:p>
        </w:tc>
        <w:tc>
          <w:tcPr>
            <w:tcW w:w="1441" w:type="dxa"/>
          </w:tcPr>
          <w:p w14:paraId="29751767" w14:textId="5E5601B9" w:rsidR="00157C4C" w:rsidRPr="00EC503A" w:rsidRDefault="00C44BE8" w:rsidP="003E2AFE">
            <w:pPr>
              <w:cnfStyle w:val="000000000000" w:firstRow="0" w:lastRow="0" w:firstColumn="0" w:lastColumn="0" w:oddVBand="0" w:evenVBand="0" w:oddHBand="0" w:evenHBand="0" w:firstRowFirstColumn="0" w:firstRowLastColumn="0" w:lastRowFirstColumn="0" w:lastRowLastColumn="0"/>
              <w:rPr>
                <w:rFonts w:cstheme="minorHAnsi"/>
              </w:rPr>
            </w:pPr>
            <w:r w:rsidRPr="00EC503A">
              <w:rPr>
                <w:rFonts w:cstheme="minorHAnsi"/>
              </w:rPr>
              <w:t>Ongoing</w:t>
            </w:r>
          </w:p>
        </w:tc>
      </w:tr>
      <w:tr w:rsidR="0028579F" w:rsidRPr="00EC503A" w14:paraId="59190584" w14:textId="77777777" w:rsidTr="00C74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3" w:type="dxa"/>
          </w:tcPr>
          <w:p w14:paraId="203E765D" w14:textId="2030BEDB" w:rsidR="0028579F" w:rsidRPr="00EC503A" w:rsidRDefault="0028579F" w:rsidP="003E2AFE">
            <w:pPr>
              <w:rPr>
                <w:rFonts w:cstheme="minorHAnsi"/>
                <w:b w:val="0"/>
                <w:bCs w:val="0"/>
              </w:rPr>
            </w:pPr>
            <w:r w:rsidRPr="00EC503A">
              <w:rPr>
                <w:rFonts w:cstheme="minorHAnsi"/>
              </w:rPr>
              <w:t xml:space="preserve">Recommendation 4 </w:t>
            </w:r>
          </w:p>
          <w:p w14:paraId="58512415" w14:textId="145DFBDC" w:rsidR="0028579F" w:rsidRPr="00EC503A" w:rsidRDefault="00A441E9" w:rsidP="003E2AFE">
            <w:pPr>
              <w:rPr>
                <w:rFonts w:cstheme="minorHAnsi"/>
              </w:rPr>
            </w:pPr>
            <w:r w:rsidRPr="00EC503A">
              <w:rPr>
                <w:rFonts w:cstheme="minorHAnsi"/>
              </w:rPr>
              <w:t>T</w:t>
            </w:r>
            <w:r w:rsidR="005074DD" w:rsidRPr="00EC503A">
              <w:rPr>
                <w:rFonts w:cstheme="minorHAnsi"/>
              </w:rPr>
              <w:t>he program should explore the scope to mobilise philanthropic and private sector co-investment for capability-building in research and innovation.</w:t>
            </w:r>
          </w:p>
        </w:tc>
        <w:tc>
          <w:tcPr>
            <w:tcW w:w="1233" w:type="dxa"/>
            <w:shd w:val="clear" w:color="auto" w:fill="FFFFFF" w:themeFill="background1"/>
          </w:tcPr>
          <w:p w14:paraId="3BE20D8D" w14:textId="7507831F" w:rsidR="0028579F" w:rsidRPr="00EC503A" w:rsidRDefault="00FC0312" w:rsidP="003E2AFE">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 xml:space="preserve">Partially Agree </w:t>
            </w:r>
          </w:p>
        </w:tc>
        <w:tc>
          <w:tcPr>
            <w:tcW w:w="3353" w:type="dxa"/>
          </w:tcPr>
          <w:p w14:paraId="4C95BFD8" w14:textId="6AE8F610" w:rsidR="00443354" w:rsidRPr="00EC503A" w:rsidRDefault="00443354" w:rsidP="00443354">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ID"/>
              </w:rPr>
            </w:pPr>
            <w:r w:rsidRPr="00EC503A">
              <w:rPr>
                <w:rFonts w:eastAsia="Times New Roman" w:cstheme="minorHAnsi"/>
                <w:lang w:eastAsia="en-ID"/>
              </w:rPr>
              <w:t>The ISR recommends that DFAT explore diversified funding models to strengthen long-term sustainability</w:t>
            </w:r>
            <w:r w:rsidR="00005389" w:rsidRPr="00EC503A">
              <w:rPr>
                <w:rFonts w:eastAsia="Times New Roman" w:cstheme="minorHAnsi"/>
                <w:lang w:eastAsia="en-ID"/>
              </w:rPr>
              <w:t>.</w:t>
            </w:r>
            <w:r w:rsidRPr="00EC503A">
              <w:rPr>
                <w:rFonts w:eastAsia="Times New Roman" w:cstheme="minorHAnsi"/>
                <w:lang w:eastAsia="en-ID"/>
              </w:rPr>
              <w:t xml:space="preserve"> </w:t>
            </w:r>
          </w:p>
          <w:p w14:paraId="6A2E9E7B" w14:textId="2FADF8B0" w:rsidR="0028579F" w:rsidRPr="00EC503A" w:rsidRDefault="0028579F" w:rsidP="003E2AFE">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ID"/>
              </w:rPr>
            </w:pPr>
          </w:p>
        </w:tc>
        <w:tc>
          <w:tcPr>
            <w:tcW w:w="3727" w:type="dxa"/>
            <w:vAlign w:val="center"/>
          </w:tcPr>
          <w:p w14:paraId="62921D9A" w14:textId="59748B5C" w:rsidR="00E119A4" w:rsidRPr="00EC503A" w:rsidRDefault="00E119A4" w:rsidP="00162B70">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ID"/>
              </w:rPr>
            </w:pPr>
            <w:r w:rsidRPr="00EC503A">
              <w:rPr>
                <w:rFonts w:eastAsia="Times New Roman" w:cstheme="minorHAnsi"/>
                <w:lang w:eastAsia="en-ID"/>
              </w:rPr>
              <w:t>DFAT will</w:t>
            </w:r>
            <w:r w:rsidR="008E05C8" w:rsidRPr="00EC503A">
              <w:rPr>
                <w:rFonts w:eastAsia="Times New Roman" w:cstheme="minorHAnsi"/>
                <w:lang w:eastAsia="en-ID"/>
              </w:rPr>
              <w:t xml:space="preserve"> task </w:t>
            </w:r>
            <w:r w:rsidR="00824D50">
              <w:rPr>
                <w:rFonts w:eastAsia="Times New Roman" w:cstheme="minorHAnsi"/>
                <w:lang w:eastAsia="en-ID"/>
              </w:rPr>
              <w:t>KONEKSI</w:t>
            </w:r>
            <w:r w:rsidR="00824D50" w:rsidRPr="00EC503A">
              <w:rPr>
                <w:rFonts w:eastAsia="Times New Roman" w:cstheme="minorHAnsi"/>
                <w:lang w:eastAsia="en-ID"/>
              </w:rPr>
              <w:t xml:space="preserve"> </w:t>
            </w:r>
            <w:r w:rsidR="008E05C8" w:rsidRPr="00EC503A">
              <w:rPr>
                <w:rFonts w:eastAsia="Times New Roman" w:cstheme="minorHAnsi"/>
                <w:lang w:eastAsia="en-ID"/>
              </w:rPr>
              <w:t>to</w:t>
            </w:r>
            <w:r w:rsidRPr="00EC503A">
              <w:rPr>
                <w:rFonts w:eastAsia="Times New Roman" w:cstheme="minorHAnsi"/>
                <w:lang w:eastAsia="en-ID"/>
              </w:rPr>
              <w:t xml:space="preserve"> identify opportunities to diversify funding models through </w:t>
            </w:r>
            <w:r w:rsidR="00B051C5" w:rsidRPr="00EC503A">
              <w:rPr>
                <w:rFonts w:eastAsia="Times New Roman" w:cstheme="minorHAnsi"/>
                <w:lang w:eastAsia="en-ID"/>
              </w:rPr>
              <w:t xml:space="preserve">engagement with </w:t>
            </w:r>
            <w:r w:rsidR="00B8239D" w:rsidRPr="00EC503A">
              <w:rPr>
                <w:rFonts w:eastAsia="Times New Roman" w:cstheme="minorHAnsi"/>
                <w:lang w:eastAsia="en-ID"/>
              </w:rPr>
              <w:t>philanthropy</w:t>
            </w:r>
            <w:r w:rsidR="00B051C5" w:rsidRPr="00EC503A">
              <w:rPr>
                <w:rFonts w:eastAsia="Times New Roman" w:cstheme="minorHAnsi"/>
                <w:lang w:eastAsia="en-ID"/>
              </w:rPr>
              <w:t xml:space="preserve">, private sector and industry. </w:t>
            </w:r>
          </w:p>
          <w:p w14:paraId="1982C0BC" w14:textId="6CE3EAB3" w:rsidR="002F2CA3" w:rsidRPr="00EC503A" w:rsidRDefault="002F2CA3" w:rsidP="004C740C">
            <w:pPr>
              <w:pStyle w:val="ListParagraph"/>
              <w:spacing w:line="240" w:lineRule="auto"/>
              <w:ind w:left="384"/>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ID"/>
              </w:rPr>
            </w:pPr>
          </w:p>
        </w:tc>
        <w:tc>
          <w:tcPr>
            <w:tcW w:w="1441" w:type="dxa"/>
          </w:tcPr>
          <w:p w14:paraId="48289CED" w14:textId="248D0F71" w:rsidR="0028579F" w:rsidRPr="00EC503A" w:rsidRDefault="00C44BE8" w:rsidP="003E2AFE">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Ongoing</w:t>
            </w:r>
            <w:r w:rsidR="00C01FF6" w:rsidRPr="00EC503A">
              <w:rPr>
                <w:rFonts w:cstheme="minorHAnsi"/>
              </w:rPr>
              <w:t xml:space="preserve"> </w:t>
            </w:r>
          </w:p>
        </w:tc>
      </w:tr>
      <w:tr w:rsidR="005C6CA7" w:rsidRPr="00EC503A" w14:paraId="4E795D22" w14:textId="77777777" w:rsidTr="00E94615">
        <w:tc>
          <w:tcPr>
            <w:cnfStyle w:val="001000000000" w:firstRow="0" w:lastRow="0" w:firstColumn="1" w:lastColumn="0" w:oddVBand="0" w:evenVBand="0" w:oddHBand="0" w:evenHBand="0" w:firstRowFirstColumn="0" w:firstRowLastColumn="0" w:lastRowFirstColumn="0" w:lastRowLastColumn="0"/>
            <w:tcW w:w="4133" w:type="dxa"/>
          </w:tcPr>
          <w:p w14:paraId="5D5D98D4" w14:textId="7BF71560" w:rsidR="005C6CA7" w:rsidRPr="00EC503A" w:rsidRDefault="005C6CA7" w:rsidP="005C6CA7">
            <w:pPr>
              <w:rPr>
                <w:rFonts w:cstheme="minorHAnsi"/>
                <w:b w:val="0"/>
                <w:bCs w:val="0"/>
              </w:rPr>
            </w:pPr>
            <w:r w:rsidRPr="00EC503A">
              <w:rPr>
                <w:rFonts w:cstheme="minorHAnsi"/>
              </w:rPr>
              <w:t>Recommendation 5</w:t>
            </w:r>
          </w:p>
          <w:p w14:paraId="29B80FCC" w14:textId="63501820" w:rsidR="005C6CA7" w:rsidRPr="00EC503A" w:rsidRDefault="008E05C8" w:rsidP="005C6CA7">
            <w:pPr>
              <w:rPr>
                <w:rFonts w:cstheme="minorHAnsi"/>
              </w:rPr>
            </w:pPr>
            <w:r w:rsidRPr="00EC503A">
              <w:rPr>
                <w:rFonts w:cstheme="minorHAnsi"/>
              </w:rPr>
              <w:t xml:space="preserve">In the extension period, opportunities to </w:t>
            </w:r>
            <w:r w:rsidR="005E7AEA" w:rsidRPr="00EC503A">
              <w:rPr>
                <w:rFonts w:cstheme="minorHAnsi"/>
              </w:rPr>
              <w:t>contribut</w:t>
            </w:r>
            <w:r w:rsidRPr="00EC503A">
              <w:rPr>
                <w:rFonts w:cstheme="minorHAnsi"/>
              </w:rPr>
              <w:t>e</w:t>
            </w:r>
            <w:r w:rsidR="005E7AEA" w:rsidRPr="00EC503A">
              <w:rPr>
                <w:rFonts w:cstheme="minorHAnsi"/>
              </w:rPr>
              <w:t xml:space="preserve"> </w:t>
            </w:r>
            <w:r w:rsidRPr="00EC503A">
              <w:rPr>
                <w:rFonts w:cstheme="minorHAnsi"/>
              </w:rPr>
              <w:t xml:space="preserve">in a limited </w:t>
            </w:r>
            <w:r w:rsidR="00166FB0">
              <w:rPr>
                <w:rFonts w:cstheme="minorHAnsi"/>
              </w:rPr>
              <w:t xml:space="preserve">way, </w:t>
            </w:r>
            <w:r w:rsidR="005E7AEA" w:rsidRPr="00EC503A">
              <w:rPr>
                <w:rFonts w:cstheme="minorHAnsi"/>
              </w:rPr>
              <w:t>to GOI’s reforms in the Higher Education Sector</w:t>
            </w:r>
            <w:r w:rsidRPr="00EC503A">
              <w:rPr>
                <w:rFonts w:cstheme="minorHAnsi"/>
              </w:rPr>
              <w:t xml:space="preserve"> should be explored, in so</w:t>
            </w:r>
            <w:r w:rsidR="00213CE7" w:rsidRPr="00EC503A">
              <w:rPr>
                <w:rFonts w:cstheme="minorHAnsi"/>
              </w:rPr>
              <w:t xml:space="preserve"> </w:t>
            </w:r>
            <w:r w:rsidRPr="00EC503A">
              <w:rPr>
                <w:rFonts w:cstheme="minorHAnsi"/>
              </w:rPr>
              <w:t>far as these connect to KONEKSI’s research and innovation remit</w:t>
            </w:r>
            <w:r w:rsidR="005E7AEA" w:rsidRPr="00EC503A">
              <w:rPr>
                <w:rFonts w:cstheme="minorHAnsi"/>
              </w:rPr>
              <w:t>.</w:t>
            </w:r>
          </w:p>
        </w:tc>
        <w:tc>
          <w:tcPr>
            <w:tcW w:w="1233" w:type="dxa"/>
            <w:shd w:val="clear" w:color="auto" w:fill="FFFFFF" w:themeFill="background1"/>
          </w:tcPr>
          <w:p w14:paraId="1542DE5A" w14:textId="73998039" w:rsidR="005C6CA7" w:rsidRPr="00EC503A" w:rsidRDefault="0024429A" w:rsidP="005C6CA7">
            <w:pPr>
              <w:cnfStyle w:val="000000000000" w:firstRow="0" w:lastRow="0" w:firstColumn="0" w:lastColumn="0" w:oddVBand="0" w:evenVBand="0" w:oddHBand="0" w:evenHBand="0" w:firstRowFirstColumn="0" w:firstRowLastColumn="0" w:lastRowFirstColumn="0" w:lastRowLastColumn="0"/>
              <w:rPr>
                <w:rFonts w:cstheme="minorHAnsi"/>
              </w:rPr>
            </w:pPr>
            <w:r w:rsidRPr="00EC503A">
              <w:rPr>
                <w:rFonts w:cstheme="minorHAnsi"/>
              </w:rPr>
              <w:t>Agree</w:t>
            </w:r>
          </w:p>
        </w:tc>
        <w:tc>
          <w:tcPr>
            <w:tcW w:w="3353" w:type="dxa"/>
          </w:tcPr>
          <w:p w14:paraId="4158E2FC" w14:textId="544A3551" w:rsidR="003047CE" w:rsidRPr="00EC503A" w:rsidRDefault="00115577" w:rsidP="006912D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AU"/>
              </w:rPr>
            </w:pPr>
            <w:r w:rsidRPr="00EC503A">
              <w:rPr>
                <w:rFonts w:asciiTheme="minorHAnsi" w:hAnsiTheme="minorHAnsi" w:cstheme="minorHAnsi"/>
                <w:sz w:val="22"/>
                <w:szCs w:val="22"/>
                <w:lang w:val="en-AU"/>
              </w:rPr>
              <w:t xml:space="preserve">The ISR </w:t>
            </w:r>
            <w:r w:rsidR="0060110B" w:rsidRPr="00EC503A">
              <w:rPr>
                <w:rFonts w:asciiTheme="minorHAnsi" w:hAnsiTheme="minorHAnsi" w:cstheme="minorHAnsi"/>
                <w:sz w:val="22"/>
                <w:szCs w:val="22"/>
                <w:lang w:val="en-AU"/>
              </w:rPr>
              <w:t xml:space="preserve">notes </w:t>
            </w:r>
            <w:r w:rsidR="000948C7" w:rsidRPr="00EC503A">
              <w:rPr>
                <w:rFonts w:asciiTheme="minorHAnsi" w:hAnsiTheme="minorHAnsi" w:cstheme="minorHAnsi"/>
                <w:sz w:val="22"/>
                <w:szCs w:val="22"/>
                <w:lang w:val="en-AU"/>
              </w:rPr>
              <w:t>several areas of interest identified by the Indonesian Ministry of Higher Education, Science and Technology (</w:t>
            </w:r>
            <w:proofErr w:type="spellStart"/>
            <w:r w:rsidR="000948C7" w:rsidRPr="00EC503A">
              <w:rPr>
                <w:rFonts w:asciiTheme="minorHAnsi" w:hAnsiTheme="minorHAnsi" w:cstheme="minorHAnsi"/>
                <w:sz w:val="22"/>
                <w:szCs w:val="22"/>
                <w:lang w:val="en-AU"/>
              </w:rPr>
              <w:t>MoHEST</w:t>
            </w:r>
            <w:proofErr w:type="spellEnd"/>
            <w:r w:rsidR="000948C7" w:rsidRPr="00EC503A">
              <w:rPr>
                <w:rFonts w:asciiTheme="minorHAnsi" w:hAnsiTheme="minorHAnsi" w:cstheme="minorHAnsi"/>
                <w:sz w:val="22"/>
                <w:szCs w:val="22"/>
                <w:lang w:val="en-AU"/>
              </w:rPr>
              <w:t>)</w:t>
            </w:r>
            <w:r w:rsidRPr="00EC503A">
              <w:rPr>
                <w:rFonts w:asciiTheme="minorHAnsi" w:hAnsiTheme="minorHAnsi" w:cstheme="minorHAnsi"/>
                <w:sz w:val="22"/>
                <w:szCs w:val="22"/>
                <w:lang w:val="en-AU"/>
              </w:rPr>
              <w:t xml:space="preserve">. </w:t>
            </w:r>
          </w:p>
        </w:tc>
        <w:tc>
          <w:tcPr>
            <w:tcW w:w="3727" w:type="dxa"/>
          </w:tcPr>
          <w:p w14:paraId="0A08B18C" w14:textId="41AB793E" w:rsidR="00D80CBD" w:rsidRPr="00EC503A" w:rsidRDefault="005D68CF" w:rsidP="0003012A">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D"/>
              </w:rPr>
            </w:pPr>
            <w:r w:rsidRPr="00EC503A">
              <w:rPr>
                <w:rFonts w:eastAsia="Times New Roman" w:cstheme="minorHAnsi"/>
                <w:lang w:eastAsia="en-ID"/>
              </w:rPr>
              <w:t>D</w:t>
            </w:r>
            <w:r w:rsidR="00F855D7" w:rsidRPr="00EC503A">
              <w:rPr>
                <w:rFonts w:eastAsia="Times New Roman" w:cstheme="minorHAnsi"/>
                <w:lang w:eastAsia="en-ID"/>
              </w:rPr>
              <w:t>F</w:t>
            </w:r>
            <w:r w:rsidRPr="00EC503A">
              <w:rPr>
                <w:rFonts w:eastAsia="Times New Roman" w:cstheme="minorHAnsi"/>
                <w:lang w:eastAsia="en-ID"/>
              </w:rPr>
              <w:t>AT</w:t>
            </w:r>
            <w:r w:rsidR="008E05C8" w:rsidRPr="00EC503A">
              <w:rPr>
                <w:rFonts w:eastAsia="Times New Roman" w:cstheme="minorHAnsi"/>
                <w:lang w:eastAsia="en-ID"/>
              </w:rPr>
              <w:t xml:space="preserve">, in conjunction </w:t>
            </w:r>
            <w:r w:rsidRPr="00EC503A">
              <w:rPr>
                <w:rFonts w:eastAsia="Times New Roman" w:cstheme="minorHAnsi"/>
                <w:lang w:eastAsia="en-ID"/>
              </w:rPr>
              <w:t xml:space="preserve">with </w:t>
            </w:r>
            <w:proofErr w:type="spellStart"/>
            <w:r w:rsidRPr="00EC503A">
              <w:rPr>
                <w:rFonts w:eastAsia="Times New Roman" w:cstheme="minorHAnsi"/>
                <w:lang w:eastAsia="en-ID"/>
              </w:rPr>
              <w:t>MoHEST</w:t>
            </w:r>
            <w:proofErr w:type="spellEnd"/>
            <w:r w:rsidRPr="00EC503A">
              <w:rPr>
                <w:rFonts w:eastAsia="Times New Roman" w:cstheme="minorHAnsi"/>
                <w:lang w:eastAsia="en-ID"/>
              </w:rPr>
              <w:t xml:space="preserve"> and the Australian Department of Education</w:t>
            </w:r>
            <w:r w:rsidR="000948C7" w:rsidRPr="00EC503A">
              <w:rPr>
                <w:rFonts w:eastAsia="Times New Roman" w:cstheme="minorHAnsi"/>
                <w:lang w:eastAsia="en-ID"/>
              </w:rPr>
              <w:t>, will explore</w:t>
            </w:r>
            <w:r w:rsidRPr="00EC503A">
              <w:rPr>
                <w:rFonts w:eastAsia="Times New Roman" w:cstheme="minorHAnsi"/>
                <w:lang w:eastAsia="en-ID"/>
              </w:rPr>
              <w:t xml:space="preserve"> feasible entry points and shared priorities</w:t>
            </w:r>
            <w:r w:rsidR="00005389" w:rsidRPr="00EC503A">
              <w:rPr>
                <w:rFonts w:eastAsia="Times New Roman" w:cstheme="minorHAnsi"/>
                <w:lang w:eastAsia="en-ID"/>
              </w:rPr>
              <w:t>.</w:t>
            </w:r>
          </w:p>
        </w:tc>
        <w:tc>
          <w:tcPr>
            <w:tcW w:w="1441" w:type="dxa"/>
          </w:tcPr>
          <w:p w14:paraId="0A8FECBA" w14:textId="67A6820F" w:rsidR="005C6CA7" w:rsidRPr="00EC503A" w:rsidRDefault="00C44BE8" w:rsidP="005C6CA7">
            <w:pPr>
              <w:cnfStyle w:val="000000000000" w:firstRow="0" w:lastRow="0" w:firstColumn="0" w:lastColumn="0" w:oddVBand="0" w:evenVBand="0" w:oddHBand="0" w:evenHBand="0" w:firstRowFirstColumn="0" w:firstRowLastColumn="0" w:lastRowFirstColumn="0" w:lastRowLastColumn="0"/>
              <w:rPr>
                <w:rFonts w:cstheme="minorHAnsi"/>
              </w:rPr>
            </w:pPr>
            <w:r w:rsidRPr="00EC503A">
              <w:rPr>
                <w:rFonts w:cstheme="minorHAnsi"/>
              </w:rPr>
              <w:t>Ongoing</w:t>
            </w:r>
            <w:r w:rsidR="00C01FF6" w:rsidRPr="00EC503A">
              <w:rPr>
                <w:rFonts w:cstheme="minorHAnsi"/>
              </w:rPr>
              <w:t xml:space="preserve"> </w:t>
            </w:r>
          </w:p>
        </w:tc>
      </w:tr>
    </w:tbl>
    <w:p w14:paraId="228DEA10" w14:textId="77777777" w:rsidR="00F03A18" w:rsidRDefault="00F03A18">
      <w:pPr>
        <w:rPr>
          <w:rFonts w:cstheme="minorHAnsi"/>
          <w:b/>
          <w:bCs/>
        </w:rPr>
      </w:pPr>
      <w:r>
        <w:rPr>
          <w:rFonts w:cstheme="minorHAnsi"/>
          <w:b/>
          <w:bCs/>
        </w:rPr>
        <w:br w:type="page"/>
      </w:r>
    </w:p>
    <w:p w14:paraId="5D6048CD" w14:textId="748B6426" w:rsidR="00DC1D78" w:rsidRDefault="00DC1D78" w:rsidP="00F03A18">
      <w:pPr>
        <w:pStyle w:val="Heading2"/>
      </w:pPr>
      <w:r w:rsidRPr="00DC1D78">
        <w:lastRenderedPageBreak/>
        <w:t>Part B. Leverage KONEKSI to strengthen G2G engagement and work with GOI to determine the optimal means to structure enhanced G2G engagement.</w:t>
      </w:r>
    </w:p>
    <w:tbl>
      <w:tblPr>
        <w:tblStyle w:val="ListTable3-Accent1"/>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1233"/>
        <w:gridCol w:w="3353"/>
        <w:gridCol w:w="3727"/>
        <w:gridCol w:w="1441"/>
      </w:tblGrid>
      <w:tr w:rsidR="00FA2840" w:rsidRPr="00EC503A" w14:paraId="286DFA5D" w14:textId="77777777" w:rsidTr="00E767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133" w:type="dxa"/>
            <w:shd w:val="clear" w:color="auto" w:fill="D9E2F3" w:themeFill="accent1" w:themeFillTint="33"/>
          </w:tcPr>
          <w:p w14:paraId="2001BD49" w14:textId="6A44EE38" w:rsidR="00FA2840" w:rsidRPr="00FA2840" w:rsidRDefault="00FA2840" w:rsidP="00E3583E">
            <w:pPr>
              <w:rPr>
                <w:rFonts w:cstheme="minorHAnsi"/>
                <w:color w:val="auto"/>
              </w:rPr>
            </w:pPr>
            <w:r w:rsidRPr="00FA2840">
              <w:rPr>
                <w:rFonts w:cstheme="minorHAnsi"/>
                <w:color w:val="auto"/>
              </w:rPr>
              <w:t xml:space="preserve">Recommendation </w:t>
            </w:r>
          </w:p>
        </w:tc>
        <w:tc>
          <w:tcPr>
            <w:tcW w:w="1233" w:type="dxa"/>
            <w:shd w:val="clear" w:color="auto" w:fill="D9E2F3" w:themeFill="accent1" w:themeFillTint="33"/>
          </w:tcPr>
          <w:p w14:paraId="7DC76378" w14:textId="3254AB7A" w:rsidR="00FA2840" w:rsidRPr="00FA2840" w:rsidRDefault="00FA2840" w:rsidP="00E3583E">
            <w:pPr>
              <w:cnfStyle w:val="100000000000" w:firstRow="1"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Response</w:t>
            </w:r>
          </w:p>
        </w:tc>
        <w:tc>
          <w:tcPr>
            <w:tcW w:w="3353" w:type="dxa"/>
            <w:shd w:val="clear" w:color="auto" w:fill="D9E2F3" w:themeFill="accent1" w:themeFillTint="33"/>
          </w:tcPr>
          <w:p w14:paraId="653FFD82" w14:textId="45A84A84" w:rsidR="00FA2840" w:rsidRPr="00FA2840" w:rsidRDefault="00FA2840" w:rsidP="00E3583E">
            <w:pPr>
              <w:cnfStyle w:val="100000000000" w:firstRow="1"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Rationale</w:t>
            </w:r>
          </w:p>
        </w:tc>
        <w:tc>
          <w:tcPr>
            <w:tcW w:w="3727" w:type="dxa"/>
            <w:shd w:val="clear" w:color="auto" w:fill="D9E2F3" w:themeFill="accent1" w:themeFillTint="33"/>
          </w:tcPr>
          <w:p w14:paraId="62ED5B70" w14:textId="2FB02A71" w:rsidR="00FA2840" w:rsidRPr="00FA2840" w:rsidRDefault="00FA2840" w:rsidP="00E3583E">
            <w:pPr>
              <w:cnfStyle w:val="100000000000" w:firstRow="1"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 xml:space="preserve">Proposed Actions </w:t>
            </w:r>
          </w:p>
        </w:tc>
        <w:tc>
          <w:tcPr>
            <w:tcW w:w="1441" w:type="dxa"/>
            <w:shd w:val="clear" w:color="auto" w:fill="D9E2F3" w:themeFill="accent1" w:themeFillTint="33"/>
          </w:tcPr>
          <w:p w14:paraId="46D9B127" w14:textId="0EC57D5B" w:rsidR="00FA2840" w:rsidRPr="00FA2840" w:rsidRDefault="00FA2840" w:rsidP="00E3583E">
            <w:pPr>
              <w:cnfStyle w:val="100000000000" w:firstRow="1"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Timeframe</w:t>
            </w:r>
          </w:p>
        </w:tc>
      </w:tr>
      <w:tr w:rsidR="00DC1D78" w:rsidRPr="00EC503A" w14:paraId="34640A32" w14:textId="77777777" w:rsidTr="00E35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3" w:type="dxa"/>
          </w:tcPr>
          <w:p w14:paraId="1F593DC3" w14:textId="77777777" w:rsidR="00DC1D78" w:rsidRPr="00FA2840" w:rsidRDefault="00DC1D78" w:rsidP="00E3583E">
            <w:pPr>
              <w:rPr>
                <w:rFonts w:cstheme="minorHAnsi"/>
              </w:rPr>
            </w:pPr>
            <w:r w:rsidRPr="00FA2840">
              <w:rPr>
                <w:rFonts w:cstheme="minorHAnsi"/>
              </w:rPr>
              <w:t>Part B. Leverage KONEKSI to strengthen G2G engagement and work with GOI to determine the optimal m</w:t>
            </w:r>
            <w:r w:rsidRPr="00FA2840">
              <w:t>eans to</w:t>
            </w:r>
            <w:r w:rsidRPr="00FA2840">
              <w:rPr>
                <w:rFonts w:cstheme="minorHAnsi"/>
              </w:rPr>
              <w:t xml:space="preserve"> structure enhanced G2G engagement. </w:t>
            </w:r>
          </w:p>
        </w:tc>
        <w:tc>
          <w:tcPr>
            <w:tcW w:w="1233" w:type="dxa"/>
            <w:shd w:val="clear" w:color="auto" w:fill="FFFFFF" w:themeFill="background1"/>
          </w:tcPr>
          <w:p w14:paraId="3DA32367" w14:textId="77777777" w:rsidR="00DC1D78" w:rsidRPr="00FA2840" w:rsidRDefault="00DC1D78" w:rsidP="00E3583E">
            <w:pPr>
              <w:cnfStyle w:val="000000100000" w:firstRow="0" w:lastRow="0" w:firstColumn="0" w:lastColumn="0" w:oddVBand="0" w:evenVBand="0" w:oddHBand="1" w:evenHBand="0" w:firstRowFirstColumn="0" w:firstRowLastColumn="0" w:lastRowFirstColumn="0" w:lastRowLastColumn="0"/>
              <w:rPr>
                <w:rFonts w:cstheme="minorHAnsi"/>
              </w:rPr>
            </w:pPr>
            <w:r w:rsidRPr="00FA2840">
              <w:rPr>
                <w:rFonts w:cstheme="minorHAnsi"/>
              </w:rPr>
              <w:t xml:space="preserve">Agree </w:t>
            </w:r>
          </w:p>
        </w:tc>
        <w:tc>
          <w:tcPr>
            <w:tcW w:w="3353" w:type="dxa"/>
            <w:shd w:val="clear" w:color="auto" w:fill="FFFFFF" w:themeFill="background1"/>
          </w:tcPr>
          <w:p w14:paraId="3691FDC9" w14:textId="77777777" w:rsidR="00DC1D78" w:rsidRPr="00FA2840" w:rsidRDefault="00DC1D78" w:rsidP="00E3583E">
            <w:pPr>
              <w:cnfStyle w:val="000000100000" w:firstRow="0" w:lastRow="0" w:firstColumn="0" w:lastColumn="0" w:oddVBand="0" w:evenVBand="0" w:oddHBand="1" w:evenHBand="0" w:firstRowFirstColumn="0" w:firstRowLastColumn="0" w:lastRowFirstColumn="0" w:lastRowLastColumn="0"/>
              <w:rPr>
                <w:rFonts w:cstheme="minorHAnsi"/>
              </w:rPr>
            </w:pPr>
            <w:r w:rsidRPr="00FA2840">
              <w:rPr>
                <w:rFonts w:cstheme="minorHAnsi"/>
              </w:rPr>
              <w:t>The contractor-managed model is operationally efficient but can dilute opportunities for sustained G2G engagement in the processes of thematic prioritisation, activity selection and implementation oversight. More embedded G2G linkages in research and</w:t>
            </w:r>
          </w:p>
          <w:p w14:paraId="19C1D9EB" w14:textId="77777777" w:rsidR="00DC1D78" w:rsidRPr="00FA2840" w:rsidRDefault="00DC1D78" w:rsidP="00E3583E">
            <w:pPr>
              <w:cnfStyle w:val="000000100000" w:firstRow="0" w:lastRow="0" w:firstColumn="0" w:lastColumn="0" w:oddVBand="0" w:evenVBand="0" w:oddHBand="1" w:evenHBand="0" w:firstRowFirstColumn="0" w:firstRowLastColumn="0" w:lastRowFirstColumn="0" w:lastRowLastColumn="0"/>
              <w:rPr>
                <w:rFonts w:cstheme="minorHAnsi"/>
              </w:rPr>
            </w:pPr>
            <w:r w:rsidRPr="00FA2840">
              <w:rPr>
                <w:rFonts w:cstheme="minorHAnsi"/>
              </w:rPr>
              <w:t>innovation could facilitate joint priority-setting, policy experimentation and</w:t>
            </w:r>
          </w:p>
          <w:p w14:paraId="3CD1D44E" w14:textId="77777777" w:rsidR="00DC1D78" w:rsidRPr="00FA2840" w:rsidRDefault="00DC1D78" w:rsidP="00E3583E">
            <w:pPr>
              <w:cnfStyle w:val="000000100000" w:firstRow="0" w:lastRow="0" w:firstColumn="0" w:lastColumn="0" w:oddVBand="0" w:evenVBand="0" w:oddHBand="1" w:evenHBand="0" w:firstRowFirstColumn="0" w:firstRowLastColumn="0" w:lastRowFirstColumn="0" w:lastRowLastColumn="0"/>
              <w:rPr>
                <w:rFonts w:cstheme="minorHAnsi"/>
              </w:rPr>
            </w:pPr>
            <w:r w:rsidRPr="00FA2840">
              <w:rPr>
                <w:rFonts w:cstheme="minorHAnsi"/>
              </w:rPr>
              <w:t>structured knowledge exchange between ministries and agencies.</w:t>
            </w:r>
          </w:p>
        </w:tc>
        <w:tc>
          <w:tcPr>
            <w:tcW w:w="3727" w:type="dxa"/>
            <w:shd w:val="clear" w:color="auto" w:fill="FFFFFF" w:themeFill="background1"/>
          </w:tcPr>
          <w:p w14:paraId="58CA7632" w14:textId="77777777" w:rsidR="00DC1D78" w:rsidRPr="00FA2840" w:rsidRDefault="00DC1D78" w:rsidP="00E3583E">
            <w:pPr>
              <w:cnfStyle w:val="000000100000" w:firstRow="0" w:lastRow="0" w:firstColumn="0" w:lastColumn="0" w:oddVBand="0" w:evenVBand="0" w:oddHBand="1" w:evenHBand="0" w:firstRowFirstColumn="0" w:firstRowLastColumn="0" w:lastRowFirstColumn="0" w:lastRowLastColumn="0"/>
              <w:rPr>
                <w:rFonts w:cstheme="minorHAnsi"/>
              </w:rPr>
            </w:pPr>
            <w:r w:rsidRPr="00FA2840">
              <w:rPr>
                <w:rFonts w:cstheme="minorHAnsi"/>
              </w:rPr>
              <w:t>Post</w:t>
            </w:r>
            <w:r w:rsidRPr="00FA2840">
              <w:rPr>
                <w:rFonts w:cstheme="minorHAnsi"/>
              </w:rPr>
              <w:noBreakHyphen/>
              <w:t>ISR, DFAT will w</w:t>
            </w:r>
            <w:r w:rsidRPr="00FA2840">
              <w:t xml:space="preserve">ork to </w:t>
            </w:r>
            <w:r w:rsidRPr="00FA2840">
              <w:rPr>
                <w:rFonts w:cstheme="minorHAnsi"/>
              </w:rPr>
              <w:t>strengthen GOA–GOI engagement, i</w:t>
            </w:r>
            <w:r w:rsidRPr="00FA2840">
              <w:t xml:space="preserve">ncluding by </w:t>
            </w:r>
            <w:r w:rsidRPr="00FA2840">
              <w:rPr>
                <w:rFonts w:cstheme="minorHAnsi"/>
              </w:rPr>
              <w:t xml:space="preserve">building on existing program collaboration built through CSIRO and DISR led activities. </w:t>
            </w:r>
          </w:p>
        </w:tc>
        <w:tc>
          <w:tcPr>
            <w:tcW w:w="1441" w:type="dxa"/>
            <w:shd w:val="clear" w:color="auto" w:fill="FFFFFF" w:themeFill="background1"/>
          </w:tcPr>
          <w:p w14:paraId="6A254F67" w14:textId="77777777" w:rsidR="00DC1D78" w:rsidRPr="00FA2840" w:rsidRDefault="00DC1D78" w:rsidP="00E3583E">
            <w:pPr>
              <w:cnfStyle w:val="000000100000" w:firstRow="0" w:lastRow="0" w:firstColumn="0" w:lastColumn="0" w:oddVBand="0" w:evenVBand="0" w:oddHBand="1" w:evenHBand="0" w:firstRowFirstColumn="0" w:firstRowLastColumn="0" w:lastRowFirstColumn="0" w:lastRowLastColumn="0"/>
              <w:rPr>
                <w:rFonts w:cstheme="minorHAnsi"/>
              </w:rPr>
            </w:pPr>
            <w:r w:rsidRPr="00FA2840">
              <w:rPr>
                <w:rFonts w:cstheme="minorHAnsi"/>
              </w:rPr>
              <w:t xml:space="preserve">Ongoing </w:t>
            </w:r>
          </w:p>
        </w:tc>
      </w:tr>
      <w:tr w:rsidR="00DC1D78" w:rsidRPr="00EC503A" w14:paraId="6A9B533B" w14:textId="77777777" w:rsidTr="00E3583E">
        <w:tc>
          <w:tcPr>
            <w:cnfStyle w:val="001000000000" w:firstRow="0" w:lastRow="0" w:firstColumn="1" w:lastColumn="0" w:oddVBand="0" w:evenVBand="0" w:oddHBand="0" w:evenHBand="0" w:firstRowFirstColumn="0" w:firstRowLastColumn="0" w:lastRowFirstColumn="0" w:lastRowLastColumn="0"/>
            <w:tcW w:w="4133" w:type="dxa"/>
          </w:tcPr>
          <w:p w14:paraId="7CE7E997" w14:textId="77777777" w:rsidR="00DC1D78" w:rsidRPr="00EC503A" w:rsidRDefault="00DC1D78" w:rsidP="00E3583E">
            <w:pPr>
              <w:rPr>
                <w:rFonts w:cstheme="minorHAnsi"/>
              </w:rPr>
            </w:pPr>
            <w:r w:rsidRPr="00EC503A">
              <w:rPr>
                <w:rFonts w:cstheme="minorHAnsi"/>
              </w:rPr>
              <w:t>Recommendation 1</w:t>
            </w:r>
          </w:p>
          <w:p w14:paraId="610CFEAD" w14:textId="30D11E6D" w:rsidR="00DC1D78" w:rsidRPr="00EC503A" w:rsidRDefault="00DC1D78" w:rsidP="00F03A18">
            <w:pPr>
              <w:rPr>
                <w:rFonts w:cstheme="minorHAnsi"/>
              </w:rPr>
            </w:pPr>
            <w:r w:rsidRPr="00EC503A">
              <w:rPr>
                <w:rFonts w:cstheme="minorHAnsi"/>
              </w:rPr>
              <w:t>In the short term (within current phase) DFAT should engage GOA stakeholders regarding the preferred implementation model for phase 2 (potentially establishing an advisory group to take this forward).</w:t>
            </w:r>
          </w:p>
        </w:tc>
        <w:tc>
          <w:tcPr>
            <w:tcW w:w="1233" w:type="dxa"/>
            <w:shd w:val="clear" w:color="auto" w:fill="FFFFFF" w:themeFill="background1"/>
          </w:tcPr>
          <w:p w14:paraId="4A932916" w14:textId="77777777" w:rsidR="00DC1D78" w:rsidRPr="00EC503A" w:rsidRDefault="00DC1D78" w:rsidP="00E3583E">
            <w:pPr>
              <w:cnfStyle w:val="000000000000" w:firstRow="0" w:lastRow="0" w:firstColumn="0" w:lastColumn="0" w:oddVBand="0" w:evenVBand="0" w:oddHBand="0" w:evenHBand="0" w:firstRowFirstColumn="0" w:firstRowLastColumn="0" w:lastRowFirstColumn="0" w:lastRowLastColumn="0"/>
              <w:rPr>
                <w:rFonts w:cstheme="minorHAnsi"/>
              </w:rPr>
            </w:pPr>
            <w:r w:rsidRPr="00EC503A">
              <w:rPr>
                <w:rFonts w:cstheme="minorHAnsi"/>
              </w:rPr>
              <w:t xml:space="preserve">Agree </w:t>
            </w:r>
          </w:p>
        </w:tc>
        <w:tc>
          <w:tcPr>
            <w:tcW w:w="3353" w:type="dxa"/>
          </w:tcPr>
          <w:p w14:paraId="0A9BFC99" w14:textId="77777777" w:rsidR="00DC1D78" w:rsidRPr="00EC503A" w:rsidRDefault="00DC1D78" w:rsidP="00E3583E">
            <w:pPr>
              <w:cnfStyle w:val="000000000000" w:firstRow="0" w:lastRow="0" w:firstColumn="0" w:lastColumn="0" w:oddVBand="0" w:evenVBand="0" w:oddHBand="0" w:evenHBand="0" w:firstRowFirstColumn="0" w:firstRowLastColumn="0" w:lastRowFirstColumn="0" w:lastRowLastColumn="0"/>
              <w:rPr>
                <w:rFonts w:cstheme="minorHAnsi"/>
              </w:rPr>
            </w:pPr>
            <w:r w:rsidRPr="00EC503A">
              <w:rPr>
                <w:rFonts w:cstheme="minorHAnsi"/>
              </w:rPr>
              <w:t>As above</w:t>
            </w:r>
          </w:p>
        </w:tc>
        <w:tc>
          <w:tcPr>
            <w:tcW w:w="3727" w:type="dxa"/>
          </w:tcPr>
          <w:p w14:paraId="1D3637A0" w14:textId="77777777" w:rsidR="00DC1D78" w:rsidRPr="00EC503A" w:rsidRDefault="00DC1D78" w:rsidP="00E3583E">
            <w:pPr>
              <w:cnfStyle w:val="000000000000" w:firstRow="0" w:lastRow="0" w:firstColumn="0" w:lastColumn="0" w:oddVBand="0" w:evenVBand="0" w:oddHBand="0" w:evenHBand="0" w:firstRowFirstColumn="0" w:firstRowLastColumn="0" w:lastRowFirstColumn="0" w:lastRowLastColumn="0"/>
            </w:pPr>
            <w:r w:rsidRPr="00EC503A">
              <w:rPr>
                <w:rFonts w:cstheme="minorHAnsi"/>
              </w:rPr>
              <w:t>DFAT will increase and broaden engagement with GOA STI agencies in strategic program discussions in addition to activity implementation. This will assist in identifying areas of GOI/GOA mutual interest for collaboration in current and next phase.</w:t>
            </w:r>
          </w:p>
        </w:tc>
        <w:tc>
          <w:tcPr>
            <w:tcW w:w="1441" w:type="dxa"/>
          </w:tcPr>
          <w:p w14:paraId="4400B7E3" w14:textId="77777777" w:rsidR="00DC1D78" w:rsidRPr="00EC503A" w:rsidRDefault="00DC1D78" w:rsidP="00E3583E">
            <w:pPr>
              <w:cnfStyle w:val="000000000000" w:firstRow="0" w:lastRow="0" w:firstColumn="0" w:lastColumn="0" w:oddVBand="0" w:evenVBand="0" w:oddHBand="0" w:evenHBand="0" w:firstRowFirstColumn="0" w:firstRowLastColumn="0" w:lastRowFirstColumn="0" w:lastRowLastColumn="0"/>
              <w:rPr>
                <w:rFonts w:cstheme="minorHAnsi"/>
              </w:rPr>
            </w:pPr>
            <w:r w:rsidRPr="00EC503A">
              <w:rPr>
                <w:rFonts w:cstheme="minorHAnsi"/>
              </w:rPr>
              <w:t xml:space="preserve">Ongoing </w:t>
            </w:r>
          </w:p>
        </w:tc>
      </w:tr>
      <w:tr w:rsidR="00DC1D78" w:rsidRPr="00EC503A" w14:paraId="09191C4F" w14:textId="77777777" w:rsidTr="00E35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3" w:type="dxa"/>
          </w:tcPr>
          <w:p w14:paraId="63D5017B" w14:textId="77777777" w:rsidR="00DC1D78" w:rsidRPr="00EC503A" w:rsidRDefault="00DC1D78" w:rsidP="00E3583E">
            <w:pPr>
              <w:rPr>
                <w:rFonts w:cstheme="minorHAnsi"/>
              </w:rPr>
            </w:pPr>
            <w:r w:rsidRPr="00EC503A">
              <w:rPr>
                <w:rFonts w:cstheme="minorHAnsi"/>
              </w:rPr>
              <w:t xml:space="preserve">Recommendation 2 </w:t>
            </w:r>
          </w:p>
          <w:p w14:paraId="011F89B4" w14:textId="35945031" w:rsidR="00DC1D78" w:rsidRPr="00EC503A" w:rsidRDefault="00DC1D78" w:rsidP="00F03A18">
            <w:pPr>
              <w:rPr>
                <w:rFonts w:cstheme="minorHAnsi"/>
              </w:rPr>
            </w:pPr>
            <w:r w:rsidRPr="00EC503A">
              <w:rPr>
                <w:rFonts w:cstheme="minorHAnsi"/>
              </w:rPr>
              <w:t>The program should undertake a strategic STI foresight exercise to systematically identify potential areas of collaboration between Australia and Indonesia.</w:t>
            </w:r>
          </w:p>
        </w:tc>
        <w:tc>
          <w:tcPr>
            <w:tcW w:w="1233" w:type="dxa"/>
            <w:shd w:val="clear" w:color="auto" w:fill="FFFFFF" w:themeFill="background1"/>
          </w:tcPr>
          <w:p w14:paraId="31F27491" w14:textId="77777777" w:rsidR="00DC1D78" w:rsidRPr="00EC503A" w:rsidRDefault="00DC1D78" w:rsidP="00E3583E">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Agree</w:t>
            </w:r>
          </w:p>
        </w:tc>
        <w:tc>
          <w:tcPr>
            <w:tcW w:w="3353" w:type="dxa"/>
          </w:tcPr>
          <w:p w14:paraId="57C9C9BE" w14:textId="3FB1BEE8" w:rsidR="00DC1D78" w:rsidRPr="00EC503A" w:rsidRDefault="00DC1D78" w:rsidP="00E767D1">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Stronger G2G engagement is essential to align with the Comprehensive Strategic Partnership (CSP), deepen institutional relationships, and ensure the program reflects shared policy priorities rather than solely researcher-driven collaboration.</w:t>
            </w:r>
          </w:p>
        </w:tc>
        <w:tc>
          <w:tcPr>
            <w:tcW w:w="3727" w:type="dxa"/>
          </w:tcPr>
          <w:p w14:paraId="734D686B" w14:textId="77777777" w:rsidR="00DC1D78" w:rsidRPr="00EC503A" w:rsidRDefault="00DC1D78" w:rsidP="00E3583E">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DFAT will s</w:t>
            </w:r>
            <w:r w:rsidRPr="00EC503A">
              <w:t xml:space="preserve">eek to </w:t>
            </w:r>
            <w:r w:rsidRPr="00EC503A">
              <w:rPr>
                <w:rFonts w:cstheme="minorHAnsi"/>
              </w:rPr>
              <w:t xml:space="preserve">broaden out a MOHEST-(domestically) focused strategic </w:t>
            </w:r>
            <w:proofErr w:type="spellStart"/>
            <w:r w:rsidRPr="00EC503A">
              <w:rPr>
                <w:rFonts w:cstheme="minorHAnsi"/>
              </w:rPr>
              <w:t>foresighting</w:t>
            </w:r>
            <w:proofErr w:type="spellEnd"/>
            <w:r w:rsidRPr="00EC503A">
              <w:rPr>
                <w:rFonts w:cstheme="minorHAnsi"/>
              </w:rPr>
              <w:t xml:space="preserve"> exercise to include other GOI and GOA stakeholders to ensure potential areas of bilateral research cooperation.</w:t>
            </w:r>
          </w:p>
        </w:tc>
        <w:tc>
          <w:tcPr>
            <w:tcW w:w="1441" w:type="dxa"/>
          </w:tcPr>
          <w:p w14:paraId="7BABCE5F" w14:textId="77777777" w:rsidR="00DC1D78" w:rsidRPr="00EC503A" w:rsidRDefault="00DC1D78" w:rsidP="00E3583E">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 xml:space="preserve">Ongoing </w:t>
            </w:r>
          </w:p>
        </w:tc>
      </w:tr>
    </w:tbl>
    <w:p w14:paraId="78D9AA8C" w14:textId="26F246AE" w:rsidR="00FA2840" w:rsidRDefault="00FA2840" w:rsidP="00F03A18">
      <w:pPr>
        <w:pStyle w:val="Heading2"/>
      </w:pPr>
      <w:r>
        <w:lastRenderedPageBreak/>
        <w:t xml:space="preserve">C. Future Programming </w:t>
      </w:r>
    </w:p>
    <w:tbl>
      <w:tblPr>
        <w:tblStyle w:val="ListTable3-Accent1"/>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1233"/>
        <w:gridCol w:w="3353"/>
        <w:gridCol w:w="3727"/>
        <w:gridCol w:w="1441"/>
      </w:tblGrid>
      <w:tr w:rsidR="00FA2840" w:rsidRPr="00FA2840" w14:paraId="2ECAABD4" w14:textId="77777777" w:rsidTr="00E767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133" w:type="dxa"/>
            <w:shd w:val="clear" w:color="auto" w:fill="D9E2F3" w:themeFill="accent1" w:themeFillTint="33"/>
          </w:tcPr>
          <w:p w14:paraId="572FE516" w14:textId="77777777" w:rsidR="00FA2840" w:rsidRPr="00FA2840" w:rsidRDefault="00FA2840" w:rsidP="00E3583E">
            <w:pPr>
              <w:rPr>
                <w:rFonts w:cstheme="minorHAnsi"/>
                <w:color w:val="auto"/>
              </w:rPr>
            </w:pPr>
            <w:r w:rsidRPr="00FA2840">
              <w:rPr>
                <w:rFonts w:cstheme="minorHAnsi"/>
                <w:color w:val="auto"/>
              </w:rPr>
              <w:t xml:space="preserve">Recommendation </w:t>
            </w:r>
          </w:p>
        </w:tc>
        <w:tc>
          <w:tcPr>
            <w:tcW w:w="1233" w:type="dxa"/>
            <w:shd w:val="clear" w:color="auto" w:fill="D9E2F3" w:themeFill="accent1" w:themeFillTint="33"/>
          </w:tcPr>
          <w:p w14:paraId="6374606C" w14:textId="77777777" w:rsidR="00FA2840" w:rsidRPr="00FA2840" w:rsidRDefault="00FA2840" w:rsidP="00E3583E">
            <w:pPr>
              <w:cnfStyle w:val="100000000000" w:firstRow="1"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Response</w:t>
            </w:r>
          </w:p>
        </w:tc>
        <w:tc>
          <w:tcPr>
            <w:tcW w:w="3353" w:type="dxa"/>
            <w:shd w:val="clear" w:color="auto" w:fill="D9E2F3" w:themeFill="accent1" w:themeFillTint="33"/>
          </w:tcPr>
          <w:p w14:paraId="02A3EA80" w14:textId="77777777" w:rsidR="00FA2840" w:rsidRPr="00FA2840" w:rsidRDefault="00FA2840" w:rsidP="00E3583E">
            <w:pPr>
              <w:cnfStyle w:val="100000000000" w:firstRow="1"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Rationale</w:t>
            </w:r>
          </w:p>
        </w:tc>
        <w:tc>
          <w:tcPr>
            <w:tcW w:w="3727" w:type="dxa"/>
            <w:shd w:val="clear" w:color="auto" w:fill="D9E2F3" w:themeFill="accent1" w:themeFillTint="33"/>
          </w:tcPr>
          <w:p w14:paraId="6567ED1D" w14:textId="77777777" w:rsidR="00FA2840" w:rsidRPr="00FA2840" w:rsidRDefault="00FA2840" w:rsidP="00E3583E">
            <w:pPr>
              <w:cnfStyle w:val="100000000000" w:firstRow="1"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 xml:space="preserve">Proposed Actions </w:t>
            </w:r>
          </w:p>
        </w:tc>
        <w:tc>
          <w:tcPr>
            <w:tcW w:w="1441" w:type="dxa"/>
            <w:shd w:val="clear" w:color="auto" w:fill="D9E2F3" w:themeFill="accent1" w:themeFillTint="33"/>
          </w:tcPr>
          <w:p w14:paraId="5F006FB7" w14:textId="77777777" w:rsidR="00FA2840" w:rsidRPr="00FA2840" w:rsidRDefault="00FA2840" w:rsidP="00E3583E">
            <w:pPr>
              <w:cnfStyle w:val="100000000000" w:firstRow="1"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Timeframe</w:t>
            </w:r>
          </w:p>
        </w:tc>
      </w:tr>
      <w:tr w:rsidR="00FA2840" w:rsidRPr="00FA2840" w14:paraId="108EB978" w14:textId="77777777" w:rsidTr="00C87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3" w:type="dxa"/>
            <w:shd w:val="clear" w:color="auto" w:fill="auto"/>
          </w:tcPr>
          <w:p w14:paraId="302EB085" w14:textId="48FC979C" w:rsidR="00FA2840" w:rsidRPr="00FA2840" w:rsidRDefault="00FA2840" w:rsidP="00F03A18">
            <w:pPr>
              <w:spacing w:before="60" w:after="120" w:line="269" w:lineRule="auto"/>
              <w:rPr>
                <w:rFonts w:cstheme="minorHAnsi"/>
              </w:rPr>
            </w:pPr>
            <w:r w:rsidRPr="000B100B">
              <w:rPr>
                <w:rFonts w:ascii="Calibri Light" w:eastAsia="DengXian" w:hAnsi="Calibri Light" w:cs="Calibri Light"/>
                <w:color w:val="262626"/>
              </w:rPr>
              <w:t>DFAT should launch a design mission for a successor phase/ program, starting in early 2029 at the latest, and which should entail significantly greater G2G involvement.</w:t>
            </w:r>
          </w:p>
        </w:tc>
        <w:tc>
          <w:tcPr>
            <w:tcW w:w="1233" w:type="dxa"/>
            <w:shd w:val="clear" w:color="auto" w:fill="FFFFFF" w:themeFill="background1"/>
          </w:tcPr>
          <w:p w14:paraId="0A36A341" w14:textId="4854F495" w:rsidR="00FA2840" w:rsidRPr="00FA2840" w:rsidRDefault="00FA2840" w:rsidP="00FA2840">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Partially Agree</w:t>
            </w:r>
          </w:p>
        </w:tc>
        <w:tc>
          <w:tcPr>
            <w:tcW w:w="3353" w:type="dxa"/>
          </w:tcPr>
          <w:p w14:paraId="59EAABF5" w14:textId="1D511BCF" w:rsidR="00FA2840" w:rsidRPr="00FA2840" w:rsidRDefault="00FA2840" w:rsidP="00F03A18">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Ground future G2G arrangements in the CSP Action Plan (2025) and informed by outcomes of Australia’s Strategic Examination of Research and Development (SERD).  Consider, as part of the design process, whether there is a continued role for a managing contractor in the management and administration of the program or whether it can be run through relevant Australian Government entities.</w:t>
            </w:r>
          </w:p>
        </w:tc>
        <w:tc>
          <w:tcPr>
            <w:tcW w:w="3727" w:type="dxa"/>
          </w:tcPr>
          <w:p w14:paraId="1AD3C726" w14:textId="40CC2E41" w:rsidR="00FA2840" w:rsidRPr="00FA2840" w:rsidRDefault="00FA2840" w:rsidP="00FA2840">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DFAT has commenced discussions with G</w:t>
            </w:r>
            <w:r>
              <w:rPr>
                <w:rFonts w:cstheme="minorHAnsi"/>
              </w:rPr>
              <w:t>O</w:t>
            </w:r>
            <w:r w:rsidRPr="00EC503A">
              <w:rPr>
                <w:rFonts w:cstheme="minorHAnsi"/>
              </w:rPr>
              <w:t xml:space="preserve">I to explore its interest in </w:t>
            </w:r>
            <w:r w:rsidRPr="00E94615">
              <w:rPr>
                <w:rFonts w:cstheme="minorHAnsi"/>
              </w:rPr>
              <w:t xml:space="preserve">a future investment in higher education, research, science and innovation beyond the current KONEKSI program, and, subject to the outcome of those discussions and relevant approvals, will </w:t>
            </w:r>
            <w:proofErr w:type="gramStart"/>
            <w:r w:rsidRPr="00E94615">
              <w:rPr>
                <w:rFonts w:cstheme="minorHAnsi"/>
              </w:rPr>
              <w:t>enter into</w:t>
            </w:r>
            <w:proofErr w:type="gramEnd"/>
            <w:r w:rsidRPr="00E94615">
              <w:rPr>
                <w:rFonts w:cstheme="minorHAnsi"/>
              </w:rPr>
              <w:t xml:space="preserve"> a design process. </w:t>
            </w:r>
            <w:r w:rsidRPr="00EC503A">
              <w:rPr>
                <w:rFonts w:cstheme="minorHAnsi"/>
              </w:rPr>
              <w:t xml:space="preserve">CSP and SERD implications will be </w:t>
            </w:r>
            <w:r>
              <w:rPr>
                <w:rFonts w:cstheme="minorHAnsi"/>
              </w:rPr>
              <w:t>considered</w:t>
            </w:r>
            <w:r w:rsidRPr="00EC503A">
              <w:rPr>
                <w:rFonts w:cstheme="minorHAnsi"/>
              </w:rPr>
              <w:t>.</w:t>
            </w:r>
          </w:p>
        </w:tc>
        <w:tc>
          <w:tcPr>
            <w:tcW w:w="1441" w:type="dxa"/>
          </w:tcPr>
          <w:p w14:paraId="498BBAEC" w14:textId="74174C40" w:rsidR="00FA2840" w:rsidRPr="00FA2840" w:rsidRDefault="00FA2840" w:rsidP="00FA2840">
            <w:pPr>
              <w:cnfStyle w:val="000000100000" w:firstRow="0" w:lastRow="0" w:firstColumn="0" w:lastColumn="0" w:oddVBand="0" w:evenVBand="0" w:oddHBand="1" w:evenHBand="0" w:firstRowFirstColumn="0" w:firstRowLastColumn="0" w:lastRowFirstColumn="0" w:lastRowLastColumn="0"/>
              <w:rPr>
                <w:rFonts w:cstheme="minorHAnsi"/>
              </w:rPr>
            </w:pPr>
            <w:r w:rsidRPr="00EC503A">
              <w:rPr>
                <w:rFonts w:cstheme="minorHAnsi"/>
              </w:rPr>
              <w:t>For consideration when developing future investments in this space</w:t>
            </w:r>
          </w:p>
        </w:tc>
      </w:tr>
    </w:tbl>
    <w:p w14:paraId="6A11615C" w14:textId="77777777" w:rsidR="00FA2840" w:rsidRPr="00DC1D78" w:rsidRDefault="00FA2840" w:rsidP="00923A24">
      <w:pPr>
        <w:rPr>
          <w:rFonts w:cstheme="minorHAnsi"/>
          <w:b/>
          <w:bCs/>
        </w:rPr>
      </w:pPr>
    </w:p>
    <w:sectPr w:rsidR="00FA2840" w:rsidRPr="00DC1D78" w:rsidSect="000C4834">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77CE" w14:textId="77777777" w:rsidR="00064AF7" w:rsidRDefault="00064AF7" w:rsidP="000C4834">
      <w:pPr>
        <w:spacing w:after="0" w:line="240" w:lineRule="auto"/>
      </w:pPr>
      <w:r>
        <w:separator/>
      </w:r>
    </w:p>
  </w:endnote>
  <w:endnote w:type="continuationSeparator" w:id="0">
    <w:p w14:paraId="53780DDA" w14:textId="77777777" w:rsidR="00064AF7" w:rsidRDefault="00064AF7" w:rsidP="000C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3217" w14:textId="03CEA46A" w:rsidR="000469F2" w:rsidRDefault="000469F2">
    <w:pPr>
      <w:pStyle w:val="Footer"/>
    </w:pPr>
    <w:r>
      <w:rPr>
        <w:noProof/>
      </w:rPr>
      <mc:AlternateContent>
        <mc:Choice Requires="wps">
          <w:drawing>
            <wp:anchor distT="0" distB="0" distL="0" distR="0" simplePos="0" relativeHeight="251658242" behindDoc="0" locked="0" layoutInCell="1" allowOverlap="1" wp14:anchorId="29863BF8" wp14:editId="58AE6B93">
              <wp:simplePos x="635" y="635"/>
              <wp:positionH relativeFrom="page">
                <wp:align>center</wp:align>
              </wp:positionH>
              <wp:positionV relativeFrom="page">
                <wp:align>bottom</wp:align>
              </wp:positionV>
              <wp:extent cx="622300" cy="391160"/>
              <wp:effectExtent l="0" t="0" r="6350" b="0"/>
              <wp:wrapNone/>
              <wp:docPr id="6650331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8D81E2F" w14:textId="160AE1FE" w:rsidR="000469F2" w:rsidRPr="000469F2" w:rsidRDefault="000469F2" w:rsidP="000469F2">
                          <w:pPr>
                            <w:spacing w:after="0"/>
                            <w:rPr>
                              <w:rFonts w:ascii="Aptos" w:eastAsia="Aptos" w:hAnsi="Aptos" w:cs="Aptos"/>
                              <w:noProof/>
                              <w:color w:val="FF0000"/>
                              <w:sz w:val="24"/>
                              <w:szCs w:val="24"/>
                            </w:rPr>
                          </w:pPr>
                          <w:r w:rsidRPr="000469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863BF8"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78D81E2F" w14:textId="160AE1FE" w:rsidR="000469F2" w:rsidRPr="000469F2" w:rsidRDefault="000469F2" w:rsidP="000469F2">
                    <w:pPr>
                      <w:spacing w:after="0"/>
                      <w:rPr>
                        <w:rFonts w:ascii="Aptos" w:eastAsia="Aptos" w:hAnsi="Aptos" w:cs="Aptos"/>
                        <w:noProof/>
                        <w:color w:val="FF0000"/>
                        <w:sz w:val="24"/>
                        <w:szCs w:val="24"/>
                      </w:rPr>
                    </w:pPr>
                    <w:r w:rsidRPr="000469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415110"/>
      <w:docPartObj>
        <w:docPartGallery w:val="Page Numbers (Bottom of Page)"/>
        <w:docPartUnique/>
      </w:docPartObj>
    </w:sdtPr>
    <w:sdtEndPr>
      <w:rPr>
        <w:noProof/>
      </w:rPr>
    </w:sdtEndPr>
    <w:sdtContent>
      <w:p w14:paraId="1F9734D9" w14:textId="3FAD06B5" w:rsidR="00F66C09" w:rsidRDefault="00F66C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F0E971" w14:textId="3F2C3FC5" w:rsidR="000469F2" w:rsidRDefault="00046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3B49" w14:textId="240B4179" w:rsidR="000469F2" w:rsidRDefault="000469F2">
    <w:pPr>
      <w:pStyle w:val="Footer"/>
    </w:pPr>
    <w:r>
      <w:rPr>
        <w:noProof/>
      </w:rPr>
      <mc:AlternateContent>
        <mc:Choice Requires="wps">
          <w:drawing>
            <wp:anchor distT="0" distB="0" distL="0" distR="0" simplePos="0" relativeHeight="251658245" behindDoc="0" locked="0" layoutInCell="1" allowOverlap="1" wp14:anchorId="5EDB8636" wp14:editId="4D6CB130">
              <wp:simplePos x="635" y="635"/>
              <wp:positionH relativeFrom="page">
                <wp:align>center</wp:align>
              </wp:positionH>
              <wp:positionV relativeFrom="page">
                <wp:align>bottom</wp:align>
              </wp:positionV>
              <wp:extent cx="622300" cy="391160"/>
              <wp:effectExtent l="0" t="0" r="6350" b="0"/>
              <wp:wrapNone/>
              <wp:docPr id="13219108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E0CE54D" w14:textId="1FC57DBC" w:rsidR="000469F2" w:rsidRPr="000469F2" w:rsidRDefault="000469F2" w:rsidP="000469F2">
                          <w:pPr>
                            <w:spacing w:after="0"/>
                            <w:rPr>
                              <w:rFonts w:ascii="Aptos" w:eastAsia="Aptos" w:hAnsi="Aptos" w:cs="Aptos"/>
                              <w:noProof/>
                              <w:color w:val="FF0000"/>
                              <w:sz w:val="24"/>
                              <w:szCs w:val="24"/>
                            </w:rPr>
                          </w:pPr>
                          <w:r w:rsidRPr="000469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B8636" id="_x0000_t202" coordsize="21600,21600" o:spt="202" path="m,l,21600r21600,l21600,xe">
              <v:stroke joinstyle="miter"/>
              <v:path gradientshapeok="t" o:connecttype="rect"/>
            </v:shapetype>
            <v:shape id="Text Box 4" o:spid="_x0000_s1030"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textbox style="mso-fit-shape-to-text:t" inset="0,0,0,15pt">
                <w:txbxContent>
                  <w:p w14:paraId="0E0CE54D" w14:textId="1FC57DBC" w:rsidR="000469F2" w:rsidRPr="000469F2" w:rsidRDefault="000469F2" w:rsidP="000469F2">
                    <w:pPr>
                      <w:spacing w:after="0"/>
                      <w:rPr>
                        <w:rFonts w:ascii="Aptos" w:eastAsia="Aptos" w:hAnsi="Aptos" w:cs="Aptos"/>
                        <w:noProof/>
                        <w:color w:val="FF0000"/>
                        <w:sz w:val="24"/>
                        <w:szCs w:val="24"/>
                      </w:rPr>
                    </w:pPr>
                    <w:r w:rsidRPr="000469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CB87" w14:textId="77777777" w:rsidR="00064AF7" w:rsidRDefault="00064AF7" w:rsidP="000C4834">
      <w:pPr>
        <w:spacing w:after="0" w:line="240" w:lineRule="auto"/>
      </w:pPr>
      <w:r>
        <w:separator/>
      </w:r>
    </w:p>
  </w:footnote>
  <w:footnote w:type="continuationSeparator" w:id="0">
    <w:p w14:paraId="077B389B" w14:textId="77777777" w:rsidR="00064AF7" w:rsidRDefault="00064AF7" w:rsidP="000C4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9B14" w14:textId="250DA436" w:rsidR="000469F2" w:rsidRDefault="000469F2">
    <w:pPr>
      <w:pStyle w:val="Header"/>
    </w:pPr>
    <w:r>
      <w:rPr>
        <w:noProof/>
      </w:rPr>
      <mc:AlternateContent>
        <mc:Choice Requires="wps">
          <w:drawing>
            <wp:anchor distT="0" distB="0" distL="0" distR="0" simplePos="0" relativeHeight="251658240" behindDoc="0" locked="0" layoutInCell="1" allowOverlap="1" wp14:anchorId="17616E15" wp14:editId="679ADFD0">
              <wp:simplePos x="635" y="635"/>
              <wp:positionH relativeFrom="page">
                <wp:align>center</wp:align>
              </wp:positionH>
              <wp:positionV relativeFrom="page">
                <wp:align>top</wp:align>
              </wp:positionV>
              <wp:extent cx="622300" cy="391160"/>
              <wp:effectExtent l="0" t="0" r="6350" b="8890"/>
              <wp:wrapNone/>
              <wp:docPr id="10387741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1C57F9F" w14:textId="40BDDB17" w:rsidR="000469F2" w:rsidRPr="000469F2" w:rsidRDefault="000469F2" w:rsidP="000469F2">
                          <w:pPr>
                            <w:spacing w:after="0"/>
                            <w:rPr>
                              <w:rFonts w:ascii="Aptos" w:eastAsia="Aptos" w:hAnsi="Aptos" w:cs="Aptos"/>
                              <w:noProof/>
                              <w:color w:val="FF0000"/>
                              <w:sz w:val="24"/>
                              <w:szCs w:val="24"/>
                            </w:rPr>
                          </w:pPr>
                          <w:r w:rsidRPr="000469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616E15"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1C57F9F" w14:textId="40BDDB17" w:rsidR="000469F2" w:rsidRPr="000469F2" w:rsidRDefault="000469F2" w:rsidP="000469F2">
                    <w:pPr>
                      <w:spacing w:after="0"/>
                      <w:rPr>
                        <w:rFonts w:ascii="Aptos" w:eastAsia="Aptos" w:hAnsi="Aptos" w:cs="Aptos"/>
                        <w:noProof/>
                        <w:color w:val="FF0000"/>
                        <w:sz w:val="24"/>
                        <w:szCs w:val="24"/>
                      </w:rPr>
                    </w:pPr>
                    <w:r w:rsidRPr="000469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8AEB" w14:textId="16D43DE6" w:rsidR="000469F2" w:rsidRDefault="000469F2">
    <w:pPr>
      <w:pStyle w:val="Header"/>
    </w:pPr>
    <w:r>
      <w:rPr>
        <w:noProof/>
      </w:rPr>
      <mc:AlternateContent>
        <mc:Choice Requires="wps">
          <w:drawing>
            <wp:anchor distT="0" distB="0" distL="0" distR="0" simplePos="0" relativeHeight="251658241" behindDoc="0" locked="0" layoutInCell="1" allowOverlap="1" wp14:anchorId="67575839" wp14:editId="1C9A155F">
              <wp:simplePos x="914400" y="450376"/>
              <wp:positionH relativeFrom="page">
                <wp:align>center</wp:align>
              </wp:positionH>
              <wp:positionV relativeFrom="page">
                <wp:align>top</wp:align>
              </wp:positionV>
              <wp:extent cx="622300" cy="391160"/>
              <wp:effectExtent l="0" t="0" r="6350" b="8890"/>
              <wp:wrapNone/>
              <wp:docPr id="5410951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FD1AB1C" w14:textId="599E3DE4" w:rsidR="000469F2" w:rsidRPr="000469F2" w:rsidRDefault="000469F2" w:rsidP="000469F2">
                          <w:pPr>
                            <w:spacing w:after="0"/>
                            <w:rPr>
                              <w:rFonts w:ascii="Aptos" w:eastAsia="Aptos" w:hAnsi="Aptos" w:cs="Aptos"/>
                              <w:noProof/>
                              <w:color w:val="FF0000"/>
                              <w:sz w:val="24"/>
                              <w:szCs w:val="24"/>
                            </w:rPr>
                          </w:pPr>
                          <w:r w:rsidRPr="000469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75839"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6FD1AB1C" w14:textId="599E3DE4" w:rsidR="000469F2" w:rsidRPr="000469F2" w:rsidRDefault="000469F2" w:rsidP="000469F2">
                    <w:pPr>
                      <w:spacing w:after="0"/>
                      <w:rPr>
                        <w:rFonts w:ascii="Aptos" w:eastAsia="Aptos" w:hAnsi="Aptos" w:cs="Aptos"/>
                        <w:noProof/>
                        <w:color w:val="FF0000"/>
                        <w:sz w:val="24"/>
                        <w:szCs w:val="24"/>
                      </w:rPr>
                    </w:pPr>
                    <w:r w:rsidRPr="000469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224F" w14:textId="245D87F5" w:rsidR="000469F2" w:rsidRDefault="000469F2">
    <w:pPr>
      <w:pStyle w:val="Header"/>
    </w:pPr>
    <w:r>
      <w:rPr>
        <w:noProof/>
      </w:rPr>
      <mc:AlternateContent>
        <mc:Choice Requires="wps">
          <w:drawing>
            <wp:anchor distT="0" distB="0" distL="0" distR="0" simplePos="0" relativeHeight="251658244" behindDoc="0" locked="0" layoutInCell="1" allowOverlap="1" wp14:anchorId="3335983F" wp14:editId="572D8E22">
              <wp:simplePos x="635" y="635"/>
              <wp:positionH relativeFrom="page">
                <wp:align>center</wp:align>
              </wp:positionH>
              <wp:positionV relativeFrom="page">
                <wp:align>top</wp:align>
              </wp:positionV>
              <wp:extent cx="622300" cy="391160"/>
              <wp:effectExtent l="0" t="0" r="6350" b="8890"/>
              <wp:wrapNone/>
              <wp:docPr id="10837936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CB2FD16" w14:textId="69A41054" w:rsidR="000469F2" w:rsidRPr="000469F2" w:rsidRDefault="000469F2" w:rsidP="000469F2">
                          <w:pPr>
                            <w:spacing w:after="0"/>
                            <w:rPr>
                              <w:rFonts w:ascii="Aptos" w:eastAsia="Aptos" w:hAnsi="Aptos" w:cs="Aptos"/>
                              <w:noProof/>
                              <w:color w:val="FF0000"/>
                              <w:sz w:val="24"/>
                              <w:szCs w:val="24"/>
                            </w:rPr>
                          </w:pPr>
                          <w:r w:rsidRPr="000469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5983F" id="_x0000_t202" coordsize="21600,21600" o:spt="202" path="m,l,21600r21600,l21600,xe">
              <v:stroke joinstyle="miter"/>
              <v:path gradientshapeok="t" o:connecttype="rect"/>
            </v:shapetype>
            <v:shape id="Text Box 1" o:spid="_x0000_s1029"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a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T83H6LdRHWsrDie/g5Kql1msR8Fl4IpimJdHi&#10;Ex3aQF9xOFucNeB//s0f8wl3inLWk2AqbknRnJnvlviI2kpGcZt/jmD40b0dDbvv7oFkWNCLcDKZ&#10;MQ/NaGoP3SvJeRkbUUhYSe0qjqN5jyfl0nOQarlMSSQjJ3BtN07G0hGuiOXL8Cq8OwOOxNQjjGoS&#10;5TvcT7nxZnDLPRL6iZQI7QnIM+IkwcTV+blEjb/9T1nXR734BQ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El0FNoMAgAAHAQAAA4A&#10;AAAAAAAAAAAAAAAALgIAAGRycy9lMm9Eb2MueG1sUEsBAi0AFAAGAAgAAAAhAGGiSGjYAAAAAwEA&#10;AA8AAAAAAAAAAAAAAAAAZgQAAGRycy9kb3ducmV2LnhtbFBLBQYAAAAABAAEAPMAAABrBQAAAAA=&#10;" filled="f" stroked="f">
              <v:textbox style="mso-fit-shape-to-text:t" inset="0,15pt,0,0">
                <w:txbxContent>
                  <w:p w14:paraId="2CB2FD16" w14:textId="69A41054" w:rsidR="000469F2" w:rsidRPr="000469F2" w:rsidRDefault="000469F2" w:rsidP="000469F2">
                    <w:pPr>
                      <w:spacing w:after="0"/>
                      <w:rPr>
                        <w:rFonts w:ascii="Aptos" w:eastAsia="Aptos" w:hAnsi="Aptos" w:cs="Aptos"/>
                        <w:noProof/>
                        <w:color w:val="FF0000"/>
                        <w:sz w:val="24"/>
                        <w:szCs w:val="24"/>
                      </w:rPr>
                    </w:pPr>
                    <w:r w:rsidRPr="000469F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C77"/>
    <w:multiLevelType w:val="hybridMultilevel"/>
    <w:tmpl w:val="CAF832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393DBF"/>
    <w:multiLevelType w:val="hybridMultilevel"/>
    <w:tmpl w:val="F760CD28"/>
    <w:lvl w:ilvl="0" w:tplc="DD6E84EE">
      <w:start w:val="1"/>
      <w:numFmt w:val="bullet"/>
      <w:lvlText w:val=""/>
      <w:lvlJc w:val="left"/>
      <w:pPr>
        <w:ind w:left="720" w:hanging="360"/>
      </w:pPr>
      <w:rPr>
        <w:rFonts w:ascii="Symbol" w:hAnsi="Symbol" w:hint="default"/>
        <w:color w:val="0607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D2F0B"/>
    <w:multiLevelType w:val="hybridMultilevel"/>
    <w:tmpl w:val="DC2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05CC9"/>
    <w:multiLevelType w:val="hybridMultilevel"/>
    <w:tmpl w:val="5942CEB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AD5BA2"/>
    <w:multiLevelType w:val="hybridMultilevel"/>
    <w:tmpl w:val="6CE8612E"/>
    <w:lvl w:ilvl="0" w:tplc="0C09000F">
      <w:start w:val="1"/>
      <w:numFmt w:val="decimal"/>
      <w:lvlText w:val="%1."/>
      <w:lvlJc w:val="left"/>
      <w:pPr>
        <w:ind w:left="720" w:hanging="360"/>
      </w:pPr>
      <w:rPr>
        <w:rFonts w:hint="default"/>
      </w:rPr>
    </w:lvl>
    <w:lvl w:ilvl="1" w:tplc="D12ABA52">
      <w:start w:val="1"/>
      <w:numFmt w:val="decimal"/>
      <w:lvlText w:val="%2."/>
      <w:lvlJc w:val="left"/>
      <w:pPr>
        <w:ind w:left="1440" w:hanging="360"/>
      </w:pPr>
      <w:rPr>
        <w:rFonts w:ascii="Calibri Light" w:eastAsia="Times New Roman" w:hAnsi="Calibri Light" w:cs="Calibri Light"/>
      </w:rPr>
    </w:lvl>
    <w:lvl w:ilvl="2" w:tplc="0C09001B">
      <w:start w:val="1"/>
      <w:numFmt w:val="lowerRoman"/>
      <w:lvlText w:val="%3."/>
      <w:lvlJc w:val="right"/>
      <w:pPr>
        <w:ind w:left="2160" w:hanging="180"/>
      </w:pPr>
    </w:lvl>
    <w:lvl w:ilvl="3" w:tplc="778A4742">
      <w:start w:val="5"/>
      <w:numFmt w:val="bullet"/>
      <w:lvlText w:val=""/>
      <w:lvlJc w:val="left"/>
      <w:pPr>
        <w:ind w:left="2880" w:hanging="360"/>
      </w:pPr>
      <w:rPr>
        <w:rFonts w:ascii="Symbol" w:eastAsiaTheme="minorHAnsi" w:hAnsi="Symbol" w:cs="Calibri Light"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706004"/>
    <w:multiLevelType w:val="hybridMultilevel"/>
    <w:tmpl w:val="6A9C5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7D526A"/>
    <w:multiLevelType w:val="hybridMultilevel"/>
    <w:tmpl w:val="308E19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56F23AD9"/>
    <w:multiLevelType w:val="hybridMultilevel"/>
    <w:tmpl w:val="7D2A10C2"/>
    <w:lvl w:ilvl="0" w:tplc="EBFCBE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C172F5"/>
    <w:multiLevelType w:val="hybridMultilevel"/>
    <w:tmpl w:val="B1A83006"/>
    <w:lvl w:ilvl="0" w:tplc="0409000F">
      <w:start w:val="1"/>
      <w:numFmt w:val="decimal"/>
      <w:lvlText w:val="%1."/>
      <w:lvlJc w:val="left"/>
      <w:pPr>
        <w:ind w:left="1104" w:hanging="360"/>
      </w:pPr>
      <w:rPr>
        <w:rFonts w:hint="default"/>
      </w:rPr>
    </w:lvl>
    <w:lvl w:ilvl="1" w:tplc="FFFFFFFF" w:tentative="1">
      <w:start w:val="1"/>
      <w:numFmt w:val="bullet"/>
      <w:lvlText w:val="o"/>
      <w:lvlJc w:val="left"/>
      <w:pPr>
        <w:ind w:left="1824" w:hanging="360"/>
      </w:pPr>
      <w:rPr>
        <w:rFonts w:ascii="Courier New" w:hAnsi="Courier New" w:cs="Courier New" w:hint="default"/>
      </w:rPr>
    </w:lvl>
    <w:lvl w:ilvl="2" w:tplc="FFFFFFFF" w:tentative="1">
      <w:start w:val="1"/>
      <w:numFmt w:val="bullet"/>
      <w:lvlText w:val=""/>
      <w:lvlJc w:val="left"/>
      <w:pPr>
        <w:ind w:left="2544" w:hanging="360"/>
      </w:pPr>
      <w:rPr>
        <w:rFonts w:ascii="Wingdings" w:hAnsi="Wingdings" w:hint="default"/>
      </w:rPr>
    </w:lvl>
    <w:lvl w:ilvl="3" w:tplc="FFFFFFFF" w:tentative="1">
      <w:start w:val="1"/>
      <w:numFmt w:val="bullet"/>
      <w:lvlText w:val=""/>
      <w:lvlJc w:val="left"/>
      <w:pPr>
        <w:ind w:left="3264" w:hanging="360"/>
      </w:pPr>
      <w:rPr>
        <w:rFonts w:ascii="Symbol" w:hAnsi="Symbol" w:hint="default"/>
      </w:rPr>
    </w:lvl>
    <w:lvl w:ilvl="4" w:tplc="FFFFFFFF" w:tentative="1">
      <w:start w:val="1"/>
      <w:numFmt w:val="bullet"/>
      <w:lvlText w:val="o"/>
      <w:lvlJc w:val="left"/>
      <w:pPr>
        <w:ind w:left="3984" w:hanging="360"/>
      </w:pPr>
      <w:rPr>
        <w:rFonts w:ascii="Courier New" w:hAnsi="Courier New" w:cs="Courier New" w:hint="default"/>
      </w:rPr>
    </w:lvl>
    <w:lvl w:ilvl="5" w:tplc="FFFFFFFF" w:tentative="1">
      <w:start w:val="1"/>
      <w:numFmt w:val="bullet"/>
      <w:lvlText w:val=""/>
      <w:lvlJc w:val="left"/>
      <w:pPr>
        <w:ind w:left="4704" w:hanging="360"/>
      </w:pPr>
      <w:rPr>
        <w:rFonts w:ascii="Wingdings" w:hAnsi="Wingdings" w:hint="default"/>
      </w:rPr>
    </w:lvl>
    <w:lvl w:ilvl="6" w:tplc="FFFFFFFF" w:tentative="1">
      <w:start w:val="1"/>
      <w:numFmt w:val="bullet"/>
      <w:lvlText w:val=""/>
      <w:lvlJc w:val="left"/>
      <w:pPr>
        <w:ind w:left="5424" w:hanging="360"/>
      </w:pPr>
      <w:rPr>
        <w:rFonts w:ascii="Symbol" w:hAnsi="Symbol" w:hint="default"/>
      </w:rPr>
    </w:lvl>
    <w:lvl w:ilvl="7" w:tplc="FFFFFFFF" w:tentative="1">
      <w:start w:val="1"/>
      <w:numFmt w:val="bullet"/>
      <w:lvlText w:val="o"/>
      <w:lvlJc w:val="left"/>
      <w:pPr>
        <w:ind w:left="6144" w:hanging="360"/>
      </w:pPr>
      <w:rPr>
        <w:rFonts w:ascii="Courier New" w:hAnsi="Courier New" w:cs="Courier New" w:hint="default"/>
      </w:rPr>
    </w:lvl>
    <w:lvl w:ilvl="8" w:tplc="FFFFFFFF" w:tentative="1">
      <w:start w:val="1"/>
      <w:numFmt w:val="bullet"/>
      <w:lvlText w:val=""/>
      <w:lvlJc w:val="left"/>
      <w:pPr>
        <w:ind w:left="6864" w:hanging="360"/>
      </w:pPr>
      <w:rPr>
        <w:rFonts w:ascii="Wingdings" w:hAnsi="Wingdings" w:hint="default"/>
      </w:rPr>
    </w:lvl>
  </w:abstractNum>
  <w:abstractNum w:abstractNumId="9" w15:restartNumberingAfterBreak="0">
    <w:nsid w:val="73CC2835"/>
    <w:multiLevelType w:val="hybridMultilevel"/>
    <w:tmpl w:val="6CD8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E02260"/>
    <w:multiLevelType w:val="hybridMultilevel"/>
    <w:tmpl w:val="E18C7D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525950797">
    <w:abstractNumId w:val="6"/>
  </w:num>
  <w:num w:numId="2" w16cid:durableId="2142766052">
    <w:abstractNumId w:val="10"/>
  </w:num>
  <w:num w:numId="3" w16cid:durableId="1460146638">
    <w:abstractNumId w:val="3"/>
  </w:num>
  <w:num w:numId="4" w16cid:durableId="1862207036">
    <w:abstractNumId w:val="8"/>
  </w:num>
  <w:num w:numId="5" w16cid:durableId="458425626">
    <w:abstractNumId w:val="0"/>
  </w:num>
  <w:num w:numId="6" w16cid:durableId="271321946">
    <w:abstractNumId w:val="5"/>
  </w:num>
  <w:num w:numId="7" w16cid:durableId="1433210574">
    <w:abstractNumId w:val="2"/>
  </w:num>
  <w:num w:numId="8" w16cid:durableId="534268295">
    <w:abstractNumId w:val="9"/>
  </w:num>
  <w:num w:numId="9" w16cid:durableId="23755100">
    <w:abstractNumId w:val="1"/>
  </w:num>
  <w:num w:numId="10" w16cid:durableId="1914194030">
    <w:abstractNumId w:val="4"/>
  </w:num>
  <w:num w:numId="11" w16cid:durableId="73126905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34"/>
    <w:rsid w:val="00004499"/>
    <w:rsid w:val="00005389"/>
    <w:rsid w:val="00005B3A"/>
    <w:rsid w:val="00012EE8"/>
    <w:rsid w:val="00014087"/>
    <w:rsid w:val="00014D28"/>
    <w:rsid w:val="00015B0B"/>
    <w:rsid w:val="000231DF"/>
    <w:rsid w:val="00027247"/>
    <w:rsid w:val="0003012A"/>
    <w:rsid w:val="0003155A"/>
    <w:rsid w:val="000410C6"/>
    <w:rsid w:val="0004121F"/>
    <w:rsid w:val="000412C5"/>
    <w:rsid w:val="00041B19"/>
    <w:rsid w:val="00045A8F"/>
    <w:rsid w:val="000469F2"/>
    <w:rsid w:val="00052D8E"/>
    <w:rsid w:val="0005300C"/>
    <w:rsid w:val="0006317E"/>
    <w:rsid w:val="00064AF7"/>
    <w:rsid w:val="00066871"/>
    <w:rsid w:val="000717D3"/>
    <w:rsid w:val="0007181A"/>
    <w:rsid w:val="00077DD0"/>
    <w:rsid w:val="000815CD"/>
    <w:rsid w:val="00085945"/>
    <w:rsid w:val="00085D7F"/>
    <w:rsid w:val="000948C7"/>
    <w:rsid w:val="000A0D74"/>
    <w:rsid w:val="000A483F"/>
    <w:rsid w:val="000A69B5"/>
    <w:rsid w:val="000A7A63"/>
    <w:rsid w:val="000A7F46"/>
    <w:rsid w:val="000B100B"/>
    <w:rsid w:val="000B1446"/>
    <w:rsid w:val="000B32D2"/>
    <w:rsid w:val="000B3649"/>
    <w:rsid w:val="000B3A17"/>
    <w:rsid w:val="000B472B"/>
    <w:rsid w:val="000B6F83"/>
    <w:rsid w:val="000C4834"/>
    <w:rsid w:val="000C7D68"/>
    <w:rsid w:val="000D035B"/>
    <w:rsid w:val="000D0D9B"/>
    <w:rsid w:val="000D1ACF"/>
    <w:rsid w:val="000E7750"/>
    <w:rsid w:val="000E78B7"/>
    <w:rsid w:val="000F126D"/>
    <w:rsid w:val="000F2F40"/>
    <w:rsid w:val="000F6FEB"/>
    <w:rsid w:val="000F7C9D"/>
    <w:rsid w:val="001012A1"/>
    <w:rsid w:val="00105F96"/>
    <w:rsid w:val="00110AC4"/>
    <w:rsid w:val="0011405A"/>
    <w:rsid w:val="00114F34"/>
    <w:rsid w:val="00115577"/>
    <w:rsid w:val="001216CA"/>
    <w:rsid w:val="00124899"/>
    <w:rsid w:val="00124CF7"/>
    <w:rsid w:val="00131B28"/>
    <w:rsid w:val="00132D25"/>
    <w:rsid w:val="00137D16"/>
    <w:rsid w:val="001465B2"/>
    <w:rsid w:val="00146C7D"/>
    <w:rsid w:val="00150207"/>
    <w:rsid w:val="001508B6"/>
    <w:rsid w:val="001516E2"/>
    <w:rsid w:val="00157C4C"/>
    <w:rsid w:val="00160523"/>
    <w:rsid w:val="00161876"/>
    <w:rsid w:val="00162B70"/>
    <w:rsid w:val="00165F02"/>
    <w:rsid w:val="00166474"/>
    <w:rsid w:val="0016669A"/>
    <w:rsid w:val="00166FB0"/>
    <w:rsid w:val="00167A13"/>
    <w:rsid w:val="00171229"/>
    <w:rsid w:val="00171AA4"/>
    <w:rsid w:val="001730F4"/>
    <w:rsid w:val="00181C83"/>
    <w:rsid w:val="00182996"/>
    <w:rsid w:val="00191BF6"/>
    <w:rsid w:val="001966C2"/>
    <w:rsid w:val="001B7C55"/>
    <w:rsid w:val="001C6767"/>
    <w:rsid w:val="001C71A4"/>
    <w:rsid w:val="001D0332"/>
    <w:rsid w:val="001D37FA"/>
    <w:rsid w:val="001D38E6"/>
    <w:rsid w:val="001F1146"/>
    <w:rsid w:val="001F7E23"/>
    <w:rsid w:val="002017B7"/>
    <w:rsid w:val="0020280B"/>
    <w:rsid w:val="002039FB"/>
    <w:rsid w:val="00206C5B"/>
    <w:rsid w:val="00207CF8"/>
    <w:rsid w:val="00210539"/>
    <w:rsid w:val="002133FC"/>
    <w:rsid w:val="00213CE7"/>
    <w:rsid w:val="00221D19"/>
    <w:rsid w:val="00226319"/>
    <w:rsid w:val="00226D1E"/>
    <w:rsid w:val="00226EB0"/>
    <w:rsid w:val="00232444"/>
    <w:rsid w:val="00240734"/>
    <w:rsid w:val="00240813"/>
    <w:rsid w:val="002419B0"/>
    <w:rsid w:val="00241D72"/>
    <w:rsid w:val="00242659"/>
    <w:rsid w:val="00243852"/>
    <w:rsid w:val="00244072"/>
    <w:rsid w:val="0024429A"/>
    <w:rsid w:val="0024567D"/>
    <w:rsid w:val="0024799E"/>
    <w:rsid w:val="00247AE6"/>
    <w:rsid w:val="00257AA5"/>
    <w:rsid w:val="0026299B"/>
    <w:rsid w:val="0026469E"/>
    <w:rsid w:val="00264EFB"/>
    <w:rsid w:val="00265A9D"/>
    <w:rsid w:val="00266EE8"/>
    <w:rsid w:val="0028335E"/>
    <w:rsid w:val="0028579F"/>
    <w:rsid w:val="0029362F"/>
    <w:rsid w:val="00295A44"/>
    <w:rsid w:val="00297CF3"/>
    <w:rsid w:val="002A5601"/>
    <w:rsid w:val="002A592D"/>
    <w:rsid w:val="002B1BFC"/>
    <w:rsid w:val="002B23C5"/>
    <w:rsid w:val="002C1ABD"/>
    <w:rsid w:val="002C3F9D"/>
    <w:rsid w:val="002C4642"/>
    <w:rsid w:val="002C4CE5"/>
    <w:rsid w:val="002C5161"/>
    <w:rsid w:val="002C79E7"/>
    <w:rsid w:val="002D010D"/>
    <w:rsid w:val="002D27E9"/>
    <w:rsid w:val="002D54DB"/>
    <w:rsid w:val="002D7A35"/>
    <w:rsid w:val="002E1719"/>
    <w:rsid w:val="002E2ED7"/>
    <w:rsid w:val="002F2CA3"/>
    <w:rsid w:val="002F5FD3"/>
    <w:rsid w:val="002F7A0C"/>
    <w:rsid w:val="003047CE"/>
    <w:rsid w:val="003047ED"/>
    <w:rsid w:val="0030600B"/>
    <w:rsid w:val="003067EC"/>
    <w:rsid w:val="00320BC5"/>
    <w:rsid w:val="00320D0D"/>
    <w:rsid w:val="0032162B"/>
    <w:rsid w:val="003232C3"/>
    <w:rsid w:val="00326BA9"/>
    <w:rsid w:val="003341E4"/>
    <w:rsid w:val="00334507"/>
    <w:rsid w:val="00334B1F"/>
    <w:rsid w:val="00335AB2"/>
    <w:rsid w:val="00335DAB"/>
    <w:rsid w:val="003408E7"/>
    <w:rsid w:val="00345420"/>
    <w:rsid w:val="00360DD3"/>
    <w:rsid w:val="00366A90"/>
    <w:rsid w:val="00370ACE"/>
    <w:rsid w:val="00373F51"/>
    <w:rsid w:val="00381DD0"/>
    <w:rsid w:val="0038575A"/>
    <w:rsid w:val="003864CC"/>
    <w:rsid w:val="00386D00"/>
    <w:rsid w:val="003903B9"/>
    <w:rsid w:val="003913E7"/>
    <w:rsid w:val="00396A47"/>
    <w:rsid w:val="003A06C5"/>
    <w:rsid w:val="003A22B7"/>
    <w:rsid w:val="003A43AE"/>
    <w:rsid w:val="003A64C3"/>
    <w:rsid w:val="003B500F"/>
    <w:rsid w:val="003B5EA9"/>
    <w:rsid w:val="003C0819"/>
    <w:rsid w:val="003C2039"/>
    <w:rsid w:val="003C368E"/>
    <w:rsid w:val="003C4637"/>
    <w:rsid w:val="003C5FD4"/>
    <w:rsid w:val="003D1D35"/>
    <w:rsid w:val="003D32EF"/>
    <w:rsid w:val="003D3882"/>
    <w:rsid w:val="003D44E6"/>
    <w:rsid w:val="003D50FB"/>
    <w:rsid w:val="003D733D"/>
    <w:rsid w:val="003D7C5C"/>
    <w:rsid w:val="003E2AFE"/>
    <w:rsid w:val="003E53B1"/>
    <w:rsid w:val="003E6707"/>
    <w:rsid w:val="003E67D9"/>
    <w:rsid w:val="003E6872"/>
    <w:rsid w:val="003F0C8E"/>
    <w:rsid w:val="003F3A60"/>
    <w:rsid w:val="003F647A"/>
    <w:rsid w:val="00400ECF"/>
    <w:rsid w:val="00404BA1"/>
    <w:rsid w:val="0040590B"/>
    <w:rsid w:val="00410642"/>
    <w:rsid w:val="004146CE"/>
    <w:rsid w:val="00421E2E"/>
    <w:rsid w:val="00422B88"/>
    <w:rsid w:val="00423F9F"/>
    <w:rsid w:val="00431D48"/>
    <w:rsid w:val="00431F4D"/>
    <w:rsid w:val="00434CF6"/>
    <w:rsid w:val="004378E0"/>
    <w:rsid w:val="00440C4F"/>
    <w:rsid w:val="00442076"/>
    <w:rsid w:val="00443354"/>
    <w:rsid w:val="004433A5"/>
    <w:rsid w:val="004439FB"/>
    <w:rsid w:val="0044433C"/>
    <w:rsid w:val="0045197D"/>
    <w:rsid w:val="00455DDC"/>
    <w:rsid w:val="00462504"/>
    <w:rsid w:val="00462A4B"/>
    <w:rsid w:val="00465AD4"/>
    <w:rsid w:val="00466AC4"/>
    <w:rsid w:val="00472832"/>
    <w:rsid w:val="004778A8"/>
    <w:rsid w:val="00480C93"/>
    <w:rsid w:val="00482C43"/>
    <w:rsid w:val="004903A9"/>
    <w:rsid w:val="00493AED"/>
    <w:rsid w:val="00494005"/>
    <w:rsid w:val="0049573E"/>
    <w:rsid w:val="0049625E"/>
    <w:rsid w:val="004972F5"/>
    <w:rsid w:val="004B0550"/>
    <w:rsid w:val="004B15FD"/>
    <w:rsid w:val="004B2739"/>
    <w:rsid w:val="004B3F3F"/>
    <w:rsid w:val="004B4BFD"/>
    <w:rsid w:val="004B7896"/>
    <w:rsid w:val="004C0EE2"/>
    <w:rsid w:val="004C100D"/>
    <w:rsid w:val="004C3C88"/>
    <w:rsid w:val="004C56CD"/>
    <w:rsid w:val="004C58C6"/>
    <w:rsid w:val="004C740C"/>
    <w:rsid w:val="004D2F83"/>
    <w:rsid w:val="004E36D5"/>
    <w:rsid w:val="004E4EB6"/>
    <w:rsid w:val="004E627F"/>
    <w:rsid w:val="005022D9"/>
    <w:rsid w:val="005074DD"/>
    <w:rsid w:val="00513737"/>
    <w:rsid w:val="00514503"/>
    <w:rsid w:val="005215AE"/>
    <w:rsid w:val="00521DD7"/>
    <w:rsid w:val="00521F38"/>
    <w:rsid w:val="005224CC"/>
    <w:rsid w:val="005254B6"/>
    <w:rsid w:val="005266B0"/>
    <w:rsid w:val="00531CF4"/>
    <w:rsid w:val="0053296C"/>
    <w:rsid w:val="005370EE"/>
    <w:rsid w:val="00540E5D"/>
    <w:rsid w:val="005446CE"/>
    <w:rsid w:val="00547212"/>
    <w:rsid w:val="005519BE"/>
    <w:rsid w:val="0055434A"/>
    <w:rsid w:val="00555FDE"/>
    <w:rsid w:val="0056167B"/>
    <w:rsid w:val="00562239"/>
    <w:rsid w:val="0056391C"/>
    <w:rsid w:val="00570099"/>
    <w:rsid w:val="00571044"/>
    <w:rsid w:val="005727F2"/>
    <w:rsid w:val="00581E3B"/>
    <w:rsid w:val="005844A5"/>
    <w:rsid w:val="00585073"/>
    <w:rsid w:val="00587803"/>
    <w:rsid w:val="00593AE7"/>
    <w:rsid w:val="005A188D"/>
    <w:rsid w:val="005A4C8F"/>
    <w:rsid w:val="005A629E"/>
    <w:rsid w:val="005B07A6"/>
    <w:rsid w:val="005B0A8A"/>
    <w:rsid w:val="005B2B83"/>
    <w:rsid w:val="005B4171"/>
    <w:rsid w:val="005C465E"/>
    <w:rsid w:val="005C47A2"/>
    <w:rsid w:val="005C6CA7"/>
    <w:rsid w:val="005D4471"/>
    <w:rsid w:val="005D62D0"/>
    <w:rsid w:val="005D68CF"/>
    <w:rsid w:val="005D6B63"/>
    <w:rsid w:val="005E121B"/>
    <w:rsid w:val="005E549A"/>
    <w:rsid w:val="005E653F"/>
    <w:rsid w:val="005E7AEA"/>
    <w:rsid w:val="005F1BB8"/>
    <w:rsid w:val="00600B40"/>
    <w:rsid w:val="0060110B"/>
    <w:rsid w:val="00605033"/>
    <w:rsid w:val="0061038B"/>
    <w:rsid w:val="00611E6A"/>
    <w:rsid w:val="00613637"/>
    <w:rsid w:val="006201A1"/>
    <w:rsid w:val="00623F1F"/>
    <w:rsid w:val="00635C9B"/>
    <w:rsid w:val="00635D17"/>
    <w:rsid w:val="0063691F"/>
    <w:rsid w:val="006400BC"/>
    <w:rsid w:val="00640EDE"/>
    <w:rsid w:val="0064141E"/>
    <w:rsid w:val="0064353A"/>
    <w:rsid w:val="00646DD8"/>
    <w:rsid w:val="00655C86"/>
    <w:rsid w:val="00660F28"/>
    <w:rsid w:val="0066305E"/>
    <w:rsid w:val="00664563"/>
    <w:rsid w:val="00666A7F"/>
    <w:rsid w:val="00666D5E"/>
    <w:rsid w:val="00681D79"/>
    <w:rsid w:val="0068296E"/>
    <w:rsid w:val="006907D3"/>
    <w:rsid w:val="00690C73"/>
    <w:rsid w:val="006912D3"/>
    <w:rsid w:val="006925DD"/>
    <w:rsid w:val="00693B34"/>
    <w:rsid w:val="00694EFD"/>
    <w:rsid w:val="006A1447"/>
    <w:rsid w:val="006A509B"/>
    <w:rsid w:val="006B7546"/>
    <w:rsid w:val="006C02CA"/>
    <w:rsid w:val="006C1720"/>
    <w:rsid w:val="006C2CD7"/>
    <w:rsid w:val="006C553D"/>
    <w:rsid w:val="006C58F9"/>
    <w:rsid w:val="006D33FB"/>
    <w:rsid w:val="006D50BF"/>
    <w:rsid w:val="006E262D"/>
    <w:rsid w:val="006E2B26"/>
    <w:rsid w:val="006E3AD3"/>
    <w:rsid w:val="006F1691"/>
    <w:rsid w:val="006F3E61"/>
    <w:rsid w:val="006F3EF9"/>
    <w:rsid w:val="006F4203"/>
    <w:rsid w:val="006F60A7"/>
    <w:rsid w:val="006F7D1B"/>
    <w:rsid w:val="00702677"/>
    <w:rsid w:val="007039F6"/>
    <w:rsid w:val="00704D9B"/>
    <w:rsid w:val="00707118"/>
    <w:rsid w:val="00710499"/>
    <w:rsid w:val="00711B5E"/>
    <w:rsid w:val="007130D1"/>
    <w:rsid w:val="0072383B"/>
    <w:rsid w:val="007249FC"/>
    <w:rsid w:val="00731716"/>
    <w:rsid w:val="007339B3"/>
    <w:rsid w:val="00734E61"/>
    <w:rsid w:val="00734F26"/>
    <w:rsid w:val="007407E8"/>
    <w:rsid w:val="0074637E"/>
    <w:rsid w:val="00763712"/>
    <w:rsid w:val="007651F3"/>
    <w:rsid w:val="00765E13"/>
    <w:rsid w:val="0077508B"/>
    <w:rsid w:val="00780779"/>
    <w:rsid w:val="0078259E"/>
    <w:rsid w:val="007855C2"/>
    <w:rsid w:val="007856FD"/>
    <w:rsid w:val="00785962"/>
    <w:rsid w:val="007934A3"/>
    <w:rsid w:val="00794C69"/>
    <w:rsid w:val="007A17F2"/>
    <w:rsid w:val="007A57C8"/>
    <w:rsid w:val="007B2029"/>
    <w:rsid w:val="007D2398"/>
    <w:rsid w:val="007E561E"/>
    <w:rsid w:val="007F2422"/>
    <w:rsid w:val="007F44D1"/>
    <w:rsid w:val="007F4A21"/>
    <w:rsid w:val="008002FE"/>
    <w:rsid w:val="0081275C"/>
    <w:rsid w:val="00820D03"/>
    <w:rsid w:val="00824D50"/>
    <w:rsid w:val="00826696"/>
    <w:rsid w:val="00830FAA"/>
    <w:rsid w:val="00836160"/>
    <w:rsid w:val="00836E3F"/>
    <w:rsid w:val="008451D6"/>
    <w:rsid w:val="008476BF"/>
    <w:rsid w:val="008478CA"/>
    <w:rsid w:val="00857339"/>
    <w:rsid w:val="008576C6"/>
    <w:rsid w:val="008748E4"/>
    <w:rsid w:val="00874CD3"/>
    <w:rsid w:val="00875177"/>
    <w:rsid w:val="00885268"/>
    <w:rsid w:val="00885B8D"/>
    <w:rsid w:val="00887B2F"/>
    <w:rsid w:val="00896368"/>
    <w:rsid w:val="008978BB"/>
    <w:rsid w:val="00897F36"/>
    <w:rsid w:val="008A0E8B"/>
    <w:rsid w:val="008A1E4D"/>
    <w:rsid w:val="008A5836"/>
    <w:rsid w:val="008B443B"/>
    <w:rsid w:val="008B4A1D"/>
    <w:rsid w:val="008B605A"/>
    <w:rsid w:val="008B66B7"/>
    <w:rsid w:val="008C3CF0"/>
    <w:rsid w:val="008C692E"/>
    <w:rsid w:val="008D1DA6"/>
    <w:rsid w:val="008D4D31"/>
    <w:rsid w:val="008D5E90"/>
    <w:rsid w:val="008E05C8"/>
    <w:rsid w:val="008E63C3"/>
    <w:rsid w:val="008E7346"/>
    <w:rsid w:val="008F108C"/>
    <w:rsid w:val="008F2AB8"/>
    <w:rsid w:val="008F7518"/>
    <w:rsid w:val="009065FF"/>
    <w:rsid w:val="00912201"/>
    <w:rsid w:val="00917FBD"/>
    <w:rsid w:val="00921A8A"/>
    <w:rsid w:val="00923A24"/>
    <w:rsid w:val="00925AFB"/>
    <w:rsid w:val="00933FA2"/>
    <w:rsid w:val="009342C9"/>
    <w:rsid w:val="00942039"/>
    <w:rsid w:val="00960641"/>
    <w:rsid w:val="00971A68"/>
    <w:rsid w:val="00971AB4"/>
    <w:rsid w:val="00973049"/>
    <w:rsid w:val="00975E98"/>
    <w:rsid w:val="00981FC3"/>
    <w:rsid w:val="009832FD"/>
    <w:rsid w:val="0099305B"/>
    <w:rsid w:val="00997635"/>
    <w:rsid w:val="00997BA1"/>
    <w:rsid w:val="009A5CF0"/>
    <w:rsid w:val="009A7A78"/>
    <w:rsid w:val="009B0523"/>
    <w:rsid w:val="009B58E5"/>
    <w:rsid w:val="009C52A4"/>
    <w:rsid w:val="009C5C29"/>
    <w:rsid w:val="009E32A6"/>
    <w:rsid w:val="009E67DE"/>
    <w:rsid w:val="009F0029"/>
    <w:rsid w:val="009F28B9"/>
    <w:rsid w:val="009F29B4"/>
    <w:rsid w:val="009F4680"/>
    <w:rsid w:val="00A00DB2"/>
    <w:rsid w:val="00A01B12"/>
    <w:rsid w:val="00A03BA5"/>
    <w:rsid w:val="00A04A02"/>
    <w:rsid w:val="00A10A2F"/>
    <w:rsid w:val="00A12F6D"/>
    <w:rsid w:val="00A13978"/>
    <w:rsid w:val="00A2295B"/>
    <w:rsid w:val="00A22C1E"/>
    <w:rsid w:val="00A25C19"/>
    <w:rsid w:val="00A40AFF"/>
    <w:rsid w:val="00A42E4D"/>
    <w:rsid w:val="00A43236"/>
    <w:rsid w:val="00A441E9"/>
    <w:rsid w:val="00A44915"/>
    <w:rsid w:val="00A470A2"/>
    <w:rsid w:val="00A529F3"/>
    <w:rsid w:val="00A53969"/>
    <w:rsid w:val="00A56304"/>
    <w:rsid w:val="00A575DE"/>
    <w:rsid w:val="00A6269F"/>
    <w:rsid w:val="00A7552A"/>
    <w:rsid w:val="00A75863"/>
    <w:rsid w:val="00A77621"/>
    <w:rsid w:val="00A82B40"/>
    <w:rsid w:val="00A83AD8"/>
    <w:rsid w:val="00A8776E"/>
    <w:rsid w:val="00A90DF4"/>
    <w:rsid w:val="00A951DA"/>
    <w:rsid w:val="00AA3705"/>
    <w:rsid w:val="00AB2F9A"/>
    <w:rsid w:val="00AB382D"/>
    <w:rsid w:val="00AB69D8"/>
    <w:rsid w:val="00AC7C61"/>
    <w:rsid w:val="00AD17B6"/>
    <w:rsid w:val="00AD43DF"/>
    <w:rsid w:val="00AE081E"/>
    <w:rsid w:val="00AE7887"/>
    <w:rsid w:val="00AF18D7"/>
    <w:rsid w:val="00AF2C67"/>
    <w:rsid w:val="00AF3B4F"/>
    <w:rsid w:val="00AF5C0D"/>
    <w:rsid w:val="00AF733F"/>
    <w:rsid w:val="00B008CB"/>
    <w:rsid w:val="00B051C5"/>
    <w:rsid w:val="00B06438"/>
    <w:rsid w:val="00B12DC7"/>
    <w:rsid w:val="00B137E6"/>
    <w:rsid w:val="00B14E31"/>
    <w:rsid w:val="00B151A6"/>
    <w:rsid w:val="00B1595E"/>
    <w:rsid w:val="00B16438"/>
    <w:rsid w:val="00B21979"/>
    <w:rsid w:val="00B222EC"/>
    <w:rsid w:val="00B22E5A"/>
    <w:rsid w:val="00B22ED2"/>
    <w:rsid w:val="00B33542"/>
    <w:rsid w:val="00B460E5"/>
    <w:rsid w:val="00B469B1"/>
    <w:rsid w:val="00B53119"/>
    <w:rsid w:val="00B72718"/>
    <w:rsid w:val="00B73917"/>
    <w:rsid w:val="00B8239D"/>
    <w:rsid w:val="00B85803"/>
    <w:rsid w:val="00B94083"/>
    <w:rsid w:val="00B960C9"/>
    <w:rsid w:val="00BA0174"/>
    <w:rsid w:val="00BA039F"/>
    <w:rsid w:val="00BA29BE"/>
    <w:rsid w:val="00BA3882"/>
    <w:rsid w:val="00BA4CDD"/>
    <w:rsid w:val="00BA52D7"/>
    <w:rsid w:val="00BA5C60"/>
    <w:rsid w:val="00BA6EE4"/>
    <w:rsid w:val="00BA7E34"/>
    <w:rsid w:val="00BB3CC1"/>
    <w:rsid w:val="00BB51B2"/>
    <w:rsid w:val="00BB7018"/>
    <w:rsid w:val="00BC3AA9"/>
    <w:rsid w:val="00BC5113"/>
    <w:rsid w:val="00BC6F83"/>
    <w:rsid w:val="00BC7DB8"/>
    <w:rsid w:val="00BD47E3"/>
    <w:rsid w:val="00BD59AE"/>
    <w:rsid w:val="00BE2BD3"/>
    <w:rsid w:val="00BE4FCA"/>
    <w:rsid w:val="00C01FF6"/>
    <w:rsid w:val="00C1068E"/>
    <w:rsid w:val="00C159C9"/>
    <w:rsid w:val="00C166C2"/>
    <w:rsid w:val="00C22275"/>
    <w:rsid w:val="00C25ABB"/>
    <w:rsid w:val="00C34924"/>
    <w:rsid w:val="00C35001"/>
    <w:rsid w:val="00C3529D"/>
    <w:rsid w:val="00C36EBD"/>
    <w:rsid w:val="00C412D8"/>
    <w:rsid w:val="00C424C9"/>
    <w:rsid w:val="00C43CF3"/>
    <w:rsid w:val="00C44BE8"/>
    <w:rsid w:val="00C4535A"/>
    <w:rsid w:val="00C525B5"/>
    <w:rsid w:val="00C54D37"/>
    <w:rsid w:val="00C5525A"/>
    <w:rsid w:val="00C564C1"/>
    <w:rsid w:val="00C62069"/>
    <w:rsid w:val="00C658E2"/>
    <w:rsid w:val="00C722BB"/>
    <w:rsid w:val="00C74B04"/>
    <w:rsid w:val="00C767EC"/>
    <w:rsid w:val="00C76D59"/>
    <w:rsid w:val="00C7704D"/>
    <w:rsid w:val="00C80F83"/>
    <w:rsid w:val="00C811B5"/>
    <w:rsid w:val="00C8250D"/>
    <w:rsid w:val="00C8432B"/>
    <w:rsid w:val="00C85C1C"/>
    <w:rsid w:val="00C94436"/>
    <w:rsid w:val="00C97AE3"/>
    <w:rsid w:val="00CA1572"/>
    <w:rsid w:val="00CA2BE7"/>
    <w:rsid w:val="00CA4FCF"/>
    <w:rsid w:val="00CA5D5D"/>
    <w:rsid w:val="00CB25CF"/>
    <w:rsid w:val="00CB2F20"/>
    <w:rsid w:val="00CB37BE"/>
    <w:rsid w:val="00CB42C3"/>
    <w:rsid w:val="00CB5B76"/>
    <w:rsid w:val="00CC18E2"/>
    <w:rsid w:val="00CC32F3"/>
    <w:rsid w:val="00CC3EDD"/>
    <w:rsid w:val="00CD185F"/>
    <w:rsid w:val="00CD5A54"/>
    <w:rsid w:val="00CD6F74"/>
    <w:rsid w:val="00CE3ADB"/>
    <w:rsid w:val="00CF0043"/>
    <w:rsid w:val="00CF7DE5"/>
    <w:rsid w:val="00CF7E1B"/>
    <w:rsid w:val="00D01801"/>
    <w:rsid w:val="00D104E0"/>
    <w:rsid w:val="00D12504"/>
    <w:rsid w:val="00D15CC5"/>
    <w:rsid w:val="00D209A0"/>
    <w:rsid w:val="00D23CC4"/>
    <w:rsid w:val="00D2794F"/>
    <w:rsid w:val="00D31BBC"/>
    <w:rsid w:val="00D337CF"/>
    <w:rsid w:val="00D348EA"/>
    <w:rsid w:val="00D409BB"/>
    <w:rsid w:val="00D46860"/>
    <w:rsid w:val="00D528C6"/>
    <w:rsid w:val="00D53A2A"/>
    <w:rsid w:val="00D552A2"/>
    <w:rsid w:val="00D62CC4"/>
    <w:rsid w:val="00D67B07"/>
    <w:rsid w:val="00D67E67"/>
    <w:rsid w:val="00D80CBD"/>
    <w:rsid w:val="00D81450"/>
    <w:rsid w:val="00D8424B"/>
    <w:rsid w:val="00D87468"/>
    <w:rsid w:val="00D91042"/>
    <w:rsid w:val="00D91910"/>
    <w:rsid w:val="00D92F1D"/>
    <w:rsid w:val="00D952B8"/>
    <w:rsid w:val="00D9543E"/>
    <w:rsid w:val="00DA0C7A"/>
    <w:rsid w:val="00DA4CE8"/>
    <w:rsid w:val="00DA66CA"/>
    <w:rsid w:val="00DB175B"/>
    <w:rsid w:val="00DB711D"/>
    <w:rsid w:val="00DC0569"/>
    <w:rsid w:val="00DC1453"/>
    <w:rsid w:val="00DC1D78"/>
    <w:rsid w:val="00DC505E"/>
    <w:rsid w:val="00DC530A"/>
    <w:rsid w:val="00DC74D0"/>
    <w:rsid w:val="00DC76D5"/>
    <w:rsid w:val="00DD2389"/>
    <w:rsid w:val="00DE2D07"/>
    <w:rsid w:val="00DE34FA"/>
    <w:rsid w:val="00DE5F56"/>
    <w:rsid w:val="00DF2DE8"/>
    <w:rsid w:val="00DF3CB8"/>
    <w:rsid w:val="00DF41B1"/>
    <w:rsid w:val="00E00AEB"/>
    <w:rsid w:val="00E01BE9"/>
    <w:rsid w:val="00E05C98"/>
    <w:rsid w:val="00E07C80"/>
    <w:rsid w:val="00E119A4"/>
    <w:rsid w:val="00E129C1"/>
    <w:rsid w:val="00E13B32"/>
    <w:rsid w:val="00E21511"/>
    <w:rsid w:val="00E21FD0"/>
    <w:rsid w:val="00E24A44"/>
    <w:rsid w:val="00E25F0F"/>
    <w:rsid w:val="00E271D6"/>
    <w:rsid w:val="00E31D1D"/>
    <w:rsid w:val="00E338C9"/>
    <w:rsid w:val="00E44B7E"/>
    <w:rsid w:val="00E64127"/>
    <w:rsid w:val="00E67D00"/>
    <w:rsid w:val="00E70D1D"/>
    <w:rsid w:val="00E73D67"/>
    <w:rsid w:val="00E767D1"/>
    <w:rsid w:val="00E77928"/>
    <w:rsid w:val="00E83394"/>
    <w:rsid w:val="00E84BBF"/>
    <w:rsid w:val="00E86CFC"/>
    <w:rsid w:val="00E9281C"/>
    <w:rsid w:val="00E931BA"/>
    <w:rsid w:val="00E94615"/>
    <w:rsid w:val="00E97860"/>
    <w:rsid w:val="00EA38B7"/>
    <w:rsid w:val="00EA39E6"/>
    <w:rsid w:val="00EA61A2"/>
    <w:rsid w:val="00EA7023"/>
    <w:rsid w:val="00EB14AC"/>
    <w:rsid w:val="00EB1D0D"/>
    <w:rsid w:val="00EC092C"/>
    <w:rsid w:val="00EC0DFF"/>
    <w:rsid w:val="00EC503A"/>
    <w:rsid w:val="00ED0005"/>
    <w:rsid w:val="00ED2591"/>
    <w:rsid w:val="00ED6BAF"/>
    <w:rsid w:val="00EE0761"/>
    <w:rsid w:val="00EE2BF1"/>
    <w:rsid w:val="00EF0552"/>
    <w:rsid w:val="00EF51A2"/>
    <w:rsid w:val="00EF5EAC"/>
    <w:rsid w:val="00EF6E81"/>
    <w:rsid w:val="00F00986"/>
    <w:rsid w:val="00F03A18"/>
    <w:rsid w:val="00F06036"/>
    <w:rsid w:val="00F0696A"/>
    <w:rsid w:val="00F10BA1"/>
    <w:rsid w:val="00F14974"/>
    <w:rsid w:val="00F20B84"/>
    <w:rsid w:val="00F4142F"/>
    <w:rsid w:val="00F4267C"/>
    <w:rsid w:val="00F50AA3"/>
    <w:rsid w:val="00F52286"/>
    <w:rsid w:val="00F562F4"/>
    <w:rsid w:val="00F5656C"/>
    <w:rsid w:val="00F57BBF"/>
    <w:rsid w:val="00F650EB"/>
    <w:rsid w:val="00F66C09"/>
    <w:rsid w:val="00F707AB"/>
    <w:rsid w:val="00F71873"/>
    <w:rsid w:val="00F72F26"/>
    <w:rsid w:val="00F73A18"/>
    <w:rsid w:val="00F76C60"/>
    <w:rsid w:val="00F77462"/>
    <w:rsid w:val="00F77727"/>
    <w:rsid w:val="00F81CA1"/>
    <w:rsid w:val="00F851B2"/>
    <w:rsid w:val="00F855D7"/>
    <w:rsid w:val="00F85AB2"/>
    <w:rsid w:val="00F95616"/>
    <w:rsid w:val="00FA2840"/>
    <w:rsid w:val="00FA35D2"/>
    <w:rsid w:val="00FA5EE2"/>
    <w:rsid w:val="00FA7F87"/>
    <w:rsid w:val="00FB345E"/>
    <w:rsid w:val="00FB6544"/>
    <w:rsid w:val="00FC0312"/>
    <w:rsid w:val="00FC0CCC"/>
    <w:rsid w:val="00FC34A3"/>
    <w:rsid w:val="00FC69B9"/>
    <w:rsid w:val="00FC748B"/>
    <w:rsid w:val="00FD13C2"/>
    <w:rsid w:val="00FD26FA"/>
    <w:rsid w:val="00FD2FED"/>
    <w:rsid w:val="00FD31F3"/>
    <w:rsid w:val="00FD58A4"/>
    <w:rsid w:val="00FD5A5A"/>
    <w:rsid w:val="00FE0118"/>
    <w:rsid w:val="00FE56B1"/>
    <w:rsid w:val="00FF0966"/>
    <w:rsid w:val="00FF5B68"/>
    <w:rsid w:val="00FF67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E833B"/>
  <w15:docId w15:val="{81CF2431-6578-49E4-809A-C59C1368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A18"/>
    <w:pPr>
      <w:autoSpaceDE w:val="0"/>
      <w:autoSpaceDN w:val="0"/>
      <w:adjustRightInd w:val="0"/>
      <w:spacing w:before="120" w:after="120" w:line="240" w:lineRule="atLeast"/>
      <w:jc w:val="center"/>
      <w:outlineLvl w:val="0"/>
    </w:pPr>
    <w:rPr>
      <w:rFonts w:cstheme="minorHAnsi"/>
      <w:b/>
      <w:bCs/>
      <w:color w:val="000000"/>
      <w:sz w:val="24"/>
      <w:szCs w:val="24"/>
    </w:rPr>
  </w:style>
  <w:style w:type="paragraph" w:styleId="Heading2">
    <w:name w:val="heading 2"/>
    <w:basedOn w:val="Normal"/>
    <w:next w:val="Normal"/>
    <w:link w:val="Heading2Char"/>
    <w:uiPriority w:val="9"/>
    <w:unhideWhenUsed/>
    <w:qFormat/>
    <w:rsid w:val="00F03A18"/>
    <w:pPr>
      <w:spacing w:line="360" w:lineRule="auto"/>
      <w:outlineLvl w:val="1"/>
    </w:pPr>
    <w:rPr>
      <w:rFonts w:cstheme="minorHAnsi"/>
      <w:b/>
      <w:bCs/>
      <w:color w:val="000000"/>
      <w:lang w:val="en-US"/>
    </w:rPr>
  </w:style>
  <w:style w:type="paragraph" w:styleId="Heading4">
    <w:name w:val="heading 4"/>
    <w:basedOn w:val="Normal"/>
    <w:next w:val="Normal"/>
    <w:link w:val="Heading4Char"/>
    <w:uiPriority w:val="9"/>
    <w:semiHidden/>
    <w:unhideWhenUsed/>
    <w:qFormat/>
    <w:rsid w:val="000C4834"/>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C483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0C48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34"/>
    <w:rPr>
      <w:sz w:val="20"/>
      <w:szCs w:val="20"/>
    </w:rPr>
  </w:style>
  <w:style w:type="paragraph" w:styleId="ListParagraph">
    <w:name w:val="List Paragraph"/>
    <w:aliases w:val="Rec para,List Paragraph1,Recommendation,List Paragraph11,Dot pt,F5 List Paragraph,No Spacing1,List Paragraph Char Char Char,Indicator Text,Numbered Para 1,Colorful List - Accent 11,Bullet 1,MAIN CONTENT,List Paragraph12,List Paragraph2,L"/>
    <w:basedOn w:val="Normal"/>
    <w:link w:val="ListParagraphChar"/>
    <w:uiPriority w:val="34"/>
    <w:qFormat/>
    <w:rsid w:val="000C4834"/>
    <w:pPr>
      <w:spacing w:line="256" w:lineRule="auto"/>
      <w:ind w:left="720"/>
      <w:contextualSpacing/>
    </w:pPr>
  </w:style>
  <w:style w:type="character" w:styleId="FootnoteReference">
    <w:name w:val="footnote reference"/>
    <w:basedOn w:val="DefaultParagraphFont"/>
    <w:uiPriority w:val="99"/>
    <w:semiHidden/>
    <w:unhideWhenUsed/>
    <w:rsid w:val="000C4834"/>
    <w:rPr>
      <w:vertAlign w:val="superscript"/>
    </w:rPr>
  </w:style>
  <w:style w:type="table" w:styleId="ListTable3-Accent1">
    <w:name w:val="List Table 3 Accent 1"/>
    <w:basedOn w:val="TableNormal"/>
    <w:uiPriority w:val="48"/>
    <w:rsid w:val="00FD2FE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ListParagraphChar">
    <w:name w:val="List Paragraph Char"/>
    <w:aliases w:val="Rec para Char,List Paragraph1 Char,Recommendation Char,List Paragraph11 Char,Dot pt Char,F5 List Paragraph Char,No Spacing1 Char,List Paragraph Char Char Char Char,Indicator Text Char,Numbered Para 1 Char,Bullet 1 Char,L Char"/>
    <w:link w:val="ListParagraph"/>
    <w:uiPriority w:val="34"/>
    <w:qFormat/>
    <w:locked/>
    <w:rsid w:val="00480C93"/>
  </w:style>
  <w:style w:type="paragraph" w:styleId="Revision">
    <w:name w:val="Revision"/>
    <w:hidden/>
    <w:uiPriority w:val="99"/>
    <w:semiHidden/>
    <w:rsid w:val="00AC7C61"/>
    <w:pPr>
      <w:spacing w:after="0" w:line="240" w:lineRule="auto"/>
    </w:pPr>
  </w:style>
  <w:style w:type="character" w:styleId="CommentReference">
    <w:name w:val="annotation reference"/>
    <w:basedOn w:val="DefaultParagraphFont"/>
    <w:uiPriority w:val="99"/>
    <w:semiHidden/>
    <w:unhideWhenUsed/>
    <w:rsid w:val="00AC7C61"/>
    <w:rPr>
      <w:sz w:val="16"/>
      <w:szCs w:val="16"/>
    </w:rPr>
  </w:style>
  <w:style w:type="paragraph" w:styleId="CommentText">
    <w:name w:val="annotation text"/>
    <w:basedOn w:val="Normal"/>
    <w:link w:val="CommentTextChar"/>
    <w:uiPriority w:val="99"/>
    <w:unhideWhenUsed/>
    <w:rsid w:val="00AC7C61"/>
    <w:pPr>
      <w:spacing w:line="240" w:lineRule="auto"/>
    </w:pPr>
    <w:rPr>
      <w:sz w:val="20"/>
      <w:szCs w:val="20"/>
    </w:rPr>
  </w:style>
  <w:style w:type="character" w:customStyle="1" w:styleId="CommentTextChar">
    <w:name w:val="Comment Text Char"/>
    <w:basedOn w:val="DefaultParagraphFont"/>
    <w:link w:val="CommentText"/>
    <w:uiPriority w:val="99"/>
    <w:rsid w:val="00AC7C61"/>
    <w:rPr>
      <w:sz w:val="20"/>
      <w:szCs w:val="20"/>
    </w:rPr>
  </w:style>
  <w:style w:type="paragraph" w:styleId="CommentSubject">
    <w:name w:val="annotation subject"/>
    <w:basedOn w:val="CommentText"/>
    <w:next w:val="CommentText"/>
    <w:link w:val="CommentSubjectChar"/>
    <w:uiPriority w:val="99"/>
    <w:semiHidden/>
    <w:unhideWhenUsed/>
    <w:rsid w:val="00AC7C61"/>
    <w:rPr>
      <w:b/>
      <w:bCs/>
    </w:rPr>
  </w:style>
  <w:style w:type="character" w:customStyle="1" w:styleId="CommentSubjectChar">
    <w:name w:val="Comment Subject Char"/>
    <w:basedOn w:val="CommentTextChar"/>
    <w:link w:val="CommentSubject"/>
    <w:uiPriority w:val="99"/>
    <w:semiHidden/>
    <w:rsid w:val="00AC7C61"/>
    <w:rPr>
      <w:b/>
      <w:bCs/>
      <w:sz w:val="20"/>
      <w:szCs w:val="20"/>
    </w:rPr>
  </w:style>
  <w:style w:type="paragraph" w:styleId="Header">
    <w:name w:val="header"/>
    <w:basedOn w:val="Normal"/>
    <w:link w:val="HeaderChar"/>
    <w:uiPriority w:val="99"/>
    <w:unhideWhenUsed/>
    <w:rsid w:val="0004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9F2"/>
  </w:style>
  <w:style w:type="paragraph" w:styleId="Footer">
    <w:name w:val="footer"/>
    <w:basedOn w:val="Normal"/>
    <w:link w:val="FooterChar"/>
    <w:uiPriority w:val="99"/>
    <w:unhideWhenUsed/>
    <w:rsid w:val="0004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9F2"/>
  </w:style>
  <w:style w:type="character" w:styleId="Strong">
    <w:name w:val="Strong"/>
    <w:basedOn w:val="DefaultParagraphFont"/>
    <w:uiPriority w:val="22"/>
    <w:qFormat/>
    <w:rsid w:val="00AF2C67"/>
    <w:rPr>
      <w:b/>
      <w:bCs/>
    </w:rPr>
  </w:style>
  <w:style w:type="paragraph" w:styleId="NormalWeb">
    <w:name w:val="Normal (Web)"/>
    <w:basedOn w:val="Normal"/>
    <w:uiPriority w:val="99"/>
    <w:unhideWhenUsed/>
    <w:rsid w:val="008978B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C62069"/>
    <w:rPr>
      <w:color w:val="0563C1" w:themeColor="hyperlink"/>
      <w:u w:val="single"/>
    </w:rPr>
  </w:style>
  <w:style w:type="character" w:styleId="UnresolvedMention">
    <w:name w:val="Unresolved Mention"/>
    <w:basedOn w:val="DefaultParagraphFont"/>
    <w:uiPriority w:val="99"/>
    <w:semiHidden/>
    <w:unhideWhenUsed/>
    <w:rsid w:val="00C62069"/>
    <w:rPr>
      <w:color w:val="605E5C"/>
      <w:shd w:val="clear" w:color="auto" w:fill="E1DFDD"/>
    </w:rPr>
  </w:style>
  <w:style w:type="character" w:customStyle="1" w:styleId="Heading1Char">
    <w:name w:val="Heading 1 Char"/>
    <w:basedOn w:val="DefaultParagraphFont"/>
    <w:link w:val="Heading1"/>
    <w:uiPriority w:val="9"/>
    <w:rsid w:val="00F03A18"/>
    <w:rPr>
      <w:rFonts w:cstheme="minorHAnsi"/>
      <w:b/>
      <w:bCs/>
      <w:color w:val="000000"/>
      <w:sz w:val="24"/>
      <w:szCs w:val="24"/>
    </w:rPr>
  </w:style>
  <w:style w:type="character" w:customStyle="1" w:styleId="Heading2Char">
    <w:name w:val="Heading 2 Char"/>
    <w:basedOn w:val="DefaultParagraphFont"/>
    <w:link w:val="Heading2"/>
    <w:uiPriority w:val="9"/>
    <w:rsid w:val="00F03A18"/>
    <w:rPr>
      <w:rFonts w:cstheme="minorHAnsi"/>
      <w:b/>
      <w:bC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4689">
      <w:bodyDiv w:val="1"/>
      <w:marLeft w:val="0"/>
      <w:marRight w:val="0"/>
      <w:marTop w:val="0"/>
      <w:marBottom w:val="0"/>
      <w:divBdr>
        <w:top w:val="none" w:sz="0" w:space="0" w:color="auto"/>
        <w:left w:val="none" w:sz="0" w:space="0" w:color="auto"/>
        <w:bottom w:val="none" w:sz="0" w:space="0" w:color="auto"/>
        <w:right w:val="none" w:sz="0" w:space="0" w:color="auto"/>
      </w:divBdr>
    </w:div>
    <w:div w:id="654532159">
      <w:bodyDiv w:val="1"/>
      <w:marLeft w:val="0"/>
      <w:marRight w:val="0"/>
      <w:marTop w:val="0"/>
      <w:marBottom w:val="0"/>
      <w:divBdr>
        <w:top w:val="none" w:sz="0" w:space="0" w:color="auto"/>
        <w:left w:val="none" w:sz="0" w:space="0" w:color="auto"/>
        <w:bottom w:val="none" w:sz="0" w:space="0" w:color="auto"/>
        <w:right w:val="none" w:sz="0" w:space="0" w:color="auto"/>
      </w:divBdr>
    </w:div>
    <w:div w:id="1053653357">
      <w:bodyDiv w:val="1"/>
      <w:marLeft w:val="0"/>
      <w:marRight w:val="0"/>
      <w:marTop w:val="0"/>
      <w:marBottom w:val="0"/>
      <w:divBdr>
        <w:top w:val="none" w:sz="0" w:space="0" w:color="auto"/>
        <w:left w:val="none" w:sz="0" w:space="0" w:color="auto"/>
        <w:bottom w:val="none" w:sz="0" w:space="0" w:color="auto"/>
        <w:right w:val="none" w:sz="0" w:space="0" w:color="auto"/>
      </w:divBdr>
    </w:div>
    <w:div w:id="1100220093">
      <w:bodyDiv w:val="1"/>
      <w:marLeft w:val="0"/>
      <w:marRight w:val="0"/>
      <w:marTop w:val="0"/>
      <w:marBottom w:val="0"/>
      <w:divBdr>
        <w:top w:val="none" w:sz="0" w:space="0" w:color="auto"/>
        <w:left w:val="none" w:sz="0" w:space="0" w:color="auto"/>
        <w:bottom w:val="none" w:sz="0" w:space="0" w:color="auto"/>
        <w:right w:val="none" w:sz="0" w:space="0" w:color="auto"/>
      </w:divBdr>
    </w:div>
    <w:div w:id="1159268052">
      <w:bodyDiv w:val="1"/>
      <w:marLeft w:val="0"/>
      <w:marRight w:val="0"/>
      <w:marTop w:val="0"/>
      <w:marBottom w:val="0"/>
      <w:divBdr>
        <w:top w:val="none" w:sz="0" w:space="0" w:color="auto"/>
        <w:left w:val="none" w:sz="0" w:space="0" w:color="auto"/>
        <w:bottom w:val="none" w:sz="0" w:space="0" w:color="auto"/>
        <w:right w:val="none" w:sz="0" w:space="0" w:color="auto"/>
      </w:divBdr>
    </w:div>
    <w:div w:id="1285624414">
      <w:bodyDiv w:val="1"/>
      <w:marLeft w:val="0"/>
      <w:marRight w:val="0"/>
      <w:marTop w:val="0"/>
      <w:marBottom w:val="0"/>
      <w:divBdr>
        <w:top w:val="none" w:sz="0" w:space="0" w:color="auto"/>
        <w:left w:val="none" w:sz="0" w:space="0" w:color="auto"/>
        <w:bottom w:val="none" w:sz="0" w:space="0" w:color="auto"/>
        <w:right w:val="none" w:sz="0" w:space="0" w:color="auto"/>
      </w:divBdr>
    </w:div>
    <w:div w:id="1430198570">
      <w:bodyDiv w:val="1"/>
      <w:marLeft w:val="0"/>
      <w:marRight w:val="0"/>
      <w:marTop w:val="0"/>
      <w:marBottom w:val="0"/>
      <w:divBdr>
        <w:top w:val="none" w:sz="0" w:space="0" w:color="auto"/>
        <w:left w:val="none" w:sz="0" w:space="0" w:color="auto"/>
        <w:bottom w:val="none" w:sz="0" w:space="0" w:color="auto"/>
        <w:right w:val="none" w:sz="0" w:space="0" w:color="auto"/>
      </w:divBdr>
    </w:div>
    <w:div w:id="1724022753">
      <w:bodyDiv w:val="1"/>
      <w:marLeft w:val="0"/>
      <w:marRight w:val="0"/>
      <w:marTop w:val="0"/>
      <w:marBottom w:val="0"/>
      <w:divBdr>
        <w:top w:val="none" w:sz="0" w:space="0" w:color="auto"/>
        <w:left w:val="none" w:sz="0" w:space="0" w:color="auto"/>
        <w:bottom w:val="none" w:sz="0" w:space="0" w:color="auto"/>
        <w:right w:val="none" w:sz="0" w:space="0" w:color="auto"/>
      </w:divBdr>
    </w:div>
    <w:div w:id="1794906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6a9ee1c-e9d7-4c33-a893-a1e31be4ca82" xsi:nil="true"/>
    <lcf76f155ced4ddcb4097134ff3c332f xmlns="94957f58-8c9b-48f1-9a23-72185527d8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36183277E134E9915F59669268432" ma:contentTypeVersion="11" ma:contentTypeDescription="Create a new document." ma:contentTypeScope="" ma:versionID="77649c6672e21c1f8ebce160715e79d6">
  <xsd:schema xmlns:xsd="http://www.w3.org/2001/XMLSchema" xmlns:xs="http://www.w3.org/2001/XMLSchema" xmlns:p="http://schemas.microsoft.com/office/2006/metadata/properties" xmlns:ns2="94957f58-8c9b-48f1-9a23-72185527d8a2" xmlns:ns3="46a9ee1c-e9d7-4c33-a893-a1e31be4ca82" targetNamespace="http://schemas.microsoft.com/office/2006/metadata/properties" ma:root="true" ma:fieldsID="850359a580485937dfca0e88715db8c2" ns2:_="" ns3:_="">
    <xsd:import namespace="94957f58-8c9b-48f1-9a23-72185527d8a2"/>
    <xsd:import namespace="46a9ee1c-e9d7-4c33-a893-a1e31be4ca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57f58-8c9b-48f1-9a23-72185527d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9ee1c-e9d7-4c33-a893-a1e31be4ca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b3a6b59-bf40-4580-85e0-5f5503e96093}" ma:internalName="TaxCatchAll" ma:showField="CatchAllData" ma:web="46a9ee1c-e9d7-4c33-a893-a1e31be4c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AACFF-EB3C-4443-A434-9C9DE27D669D}">
  <ds:schemaRefs>
    <ds:schemaRef ds:uri="http://schemas.openxmlformats.org/officeDocument/2006/bibliography"/>
  </ds:schemaRefs>
</ds:datastoreItem>
</file>

<file path=customXml/itemProps2.xml><?xml version="1.0" encoding="utf-8"?>
<ds:datastoreItem xmlns:ds="http://schemas.openxmlformats.org/officeDocument/2006/customXml" ds:itemID="{9C025D18-E37B-4386-B853-F0B82DBAE2F5}">
  <ds:schemaRefs>
    <ds:schemaRef ds:uri="http://schemas.microsoft.com/office/2006/metadata/properties"/>
    <ds:schemaRef ds:uri="http://schemas.microsoft.com/office/infopath/2007/PartnerControls"/>
    <ds:schemaRef ds:uri="46a9ee1c-e9d7-4c33-a893-a1e31be4ca82"/>
    <ds:schemaRef ds:uri="94957f58-8c9b-48f1-9a23-72185527d8a2"/>
  </ds:schemaRefs>
</ds:datastoreItem>
</file>

<file path=customXml/itemProps3.xml><?xml version="1.0" encoding="utf-8"?>
<ds:datastoreItem xmlns:ds="http://schemas.openxmlformats.org/officeDocument/2006/customXml" ds:itemID="{D4B46F96-7902-4FD4-9DEE-9BC231A0C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57f58-8c9b-48f1-9a23-72185527d8a2"/>
    <ds:schemaRef ds:uri="46a9ee1c-e9d7-4c33-a893-a1e31be4c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575D0-A52E-48B5-AAC8-CB4EBD18A85A}">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1251</Words>
  <Characters>7812</Characters>
  <Application>Microsoft Office Word</Application>
  <DocSecurity>4</DocSecurity>
  <Lines>289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Response to the Independent Strategic Review of the Australia Indonesia Knowledge Partnership Platform (KONEKSI) November 2025 – March 2026</dc:title>
  <dc:subject/>
  <dc:creator>Sarah Schmitt</dc:creator>
  <cp:keywords>[SEC=OFFICIAL]</cp:keywords>
  <dc:description/>
  <cp:revision>2</cp:revision>
  <cp:lastPrinted>2023-06-27T06:48:00Z</cp:lastPrinted>
  <dcterms:created xsi:type="dcterms:W3CDTF">2026-07-02T04:17:00Z</dcterms:created>
  <dcterms:modified xsi:type="dcterms:W3CDTF">2026-07-02T04:17:00Z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2FF33B1370124A82A065EEC51AC97D51</vt:lpwstr>
  </property>
  <property fmtid="{D5CDD505-2E9C-101B-9397-08002B2CF9AE}" pid="9" name="PM_ProtectiveMarkingValue_Footer">
    <vt:lpwstr>OFFICIAL</vt:lpwstr>
  </property>
  <property fmtid="{D5CDD505-2E9C-101B-9397-08002B2CF9AE}" pid="10" name="PM_Originator_Hash_SHA1">
    <vt:lpwstr>748E2CAD06824BC4B9F98AA40A17F65AC631C3F7</vt:lpwstr>
  </property>
  <property fmtid="{D5CDD505-2E9C-101B-9397-08002B2CF9AE}" pid="11" name="PM_OriginationTimeStamp">
    <vt:lpwstr>2023-06-27T07:53:26Z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9519ADC9EF5BD2621EA44F0F75AE97F1</vt:lpwstr>
  </property>
  <property fmtid="{D5CDD505-2E9C-101B-9397-08002B2CF9AE}" pid="22" name="PM_Hash_Salt">
    <vt:lpwstr>FAA064FCDE75C2ACFBA39BAF8DDC3EAB</vt:lpwstr>
  </property>
  <property fmtid="{D5CDD505-2E9C-101B-9397-08002B2CF9AE}" pid="23" name="PM_Hash_SHA1">
    <vt:lpwstr>2E27157D944D293DA1F5A7A5A5F5300DDE4E8C44</vt:lpwstr>
  </property>
  <property fmtid="{D5CDD505-2E9C-101B-9397-08002B2CF9AE}" pid="24" name="PM_OriginatorUserAccountName_SHA256">
    <vt:lpwstr>7FAA05071EBDDE9464E599FCAB47A547759C41028C9C3449A8A23A692A51C249</vt:lpwstr>
  </property>
  <property fmtid="{D5CDD505-2E9C-101B-9397-08002B2CF9AE}" pid="25" name="PM_OriginatorDomainName_SHA256">
    <vt:lpwstr>6F3591835F3B2A8A025B00B5BA6418010DA3A17C9C26EA9C049FFD28039489A2</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0x010100F4136183277E134E9915F59669268432</vt:lpwstr>
  </property>
  <property fmtid="{D5CDD505-2E9C-101B-9397-08002B2CF9AE}" pid="29" name="PMHMAC">
    <vt:lpwstr>v=2022.1;a=SHA256;h=5CB094AF824C9AAD177AF4CB9F31D3D34134A7AE25F2D96B5AEC263356B427BA</vt:lpwstr>
  </property>
  <property fmtid="{D5CDD505-2E9C-101B-9397-08002B2CF9AE}" pid="30" name="PM_Expires">
    <vt:lpwstr/>
  </property>
  <property fmtid="{D5CDD505-2E9C-101B-9397-08002B2CF9AE}" pid="31" name="PM_DownTo">
    <vt:lpwstr/>
  </property>
  <property fmtid="{D5CDD505-2E9C-101B-9397-08002B2CF9AE}" pid="32" name="ClassificationContentMarkingHeaderShapeIds">
    <vt:lpwstr>409960c5,3dea6f7f,204074ec</vt:lpwstr>
  </property>
  <property fmtid="{D5CDD505-2E9C-101B-9397-08002B2CF9AE}" pid="33" name="ClassificationContentMarkingHeaderFontProps">
    <vt:lpwstr>#ff0000,12,Aptos</vt:lpwstr>
  </property>
  <property fmtid="{D5CDD505-2E9C-101B-9397-08002B2CF9AE}" pid="34" name="ClassificationContentMarkingHeaderText">
    <vt:lpwstr>OFFICIAL</vt:lpwstr>
  </property>
  <property fmtid="{D5CDD505-2E9C-101B-9397-08002B2CF9AE}" pid="35" name="ClassificationContentMarkingFooterShapeIds">
    <vt:lpwstr>4ecac257,27a3999f,7c20914b</vt:lpwstr>
  </property>
  <property fmtid="{D5CDD505-2E9C-101B-9397-08002B2CF9AE}" pid="36" name="ClassificationContentMarkingFooterFontProps">
    <vt:lpwstr>#ff0000,12,Aptos</vt:lpwstr>
  </property>
  <property fmtid="{D5CDD505-2E9C-101B-9397-08002B2CF9AE}" pid="37" name="ClassificationContentMarkingFooterText">
    <vt:lpwstr>OFFICIAL</vt:lpwstr>
  </property>
</Properties>
</file>