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900110" w14:textId="78D67F7F" w:rsidR="003E1305" w:rsidRPr="00A95242" w:rsidRDefault="003E1305" w:rsidP="00A95242">
      <w:pPr>
        <w:pStyle w:val="Title"/>
        <w:rPr>
          <w:sz w:val="20"/>
          <w:szCs w:val="20"/>
        </w:rPr>
      </w:pPr>
    </w:p>
    <w:p w14:paraId="560B2292" w14:textId="57F2961B" w:rsidR="00465DD6" w:rsidRPr="00A95242" w:rsidRDefault="00606B57" w:rsidP="00A95242">
      <w:pPr>
        <w:pStyle w:val="Heading1"/>
      </w:pPr>
      <w:r w:rsidRPr="00A95242">
        <w:t>INDEPENDENT EVALUATION OF THE AUSTRALIAN VOLUNTEERS PROGRAM</w:t>
      </w:r>
      <w:r w:rsidR="001E6632">
        <w:t xml:space="preserve"> </w:t>
      </w:r>
      <w:r w:rsidR="00E6573E" w:rsidRPr="00A95242">
        <w:t>MANAGEMENT</w:t>
      </w:r>
      <w:r w:rsidR="0006483F">
        <w:t> </w:t>
      </w:r>
      <w:r w:rsidR="00E6573E" w:rsidRPr="00A95242">
        <w:t>RESPONSE</w:t>
      </w:r>
      <w:r w:rsidR="00A95242">
        <w:t xml:space="preserve"> – SEPTEMBER 2021</w:t>
      </w:r>
    </w:p>
    <w:p w14:paraId="5044EAEF" w14:textId="36C71AFA" w:rsidR="003E1305" w:rsidRPr="001E6632" w:rsidRDefault="00E6573E" w:rsidP="001E6632">
      <w:pPr>
        <w:pStyle w:val="Heading2"/>
      </w:pPr>
      <w:r w:rsidRPr="001E6632">
        <w:t>Summary of management response</w:t>
      </w:r>
    </w:p>
    <w:p w14:paraId="74E08FA0" w14:textId="426E6B17" w:rsidR="001E6632" w:rsidRDefault="007547E1" w:rsidP="00DF071D">
      <w:pPr>
        <w:spacing w:before="240" w:after="228" w:line="250" w:lineRule="auto"/>
        <w:ind w:left="-6" w:hanging="11"/>
        <w:rPr>
          <w:color w:val="495965"/>
        </w:rPr>
      </w:pPr>
      <w:r w:rsidRPr="00DF071D">
        <w:t xml:space="preserve">DFAT commissioned an independent evaluation of the Australian Volunteers Program in October 2020 to assess the relevance, effectiveness, </w:t>
      </w:r>
      <w:proofErr w:type="gramStart"/>
      <w:r w:rsidRPr="00DF071D">
        <w:t>efficiency</w:t>
      </w:r>
      <w:proofErr w:type="gramEnd"/>
      <w:r w:rsidRPr="00DF071D">
        <w:t xml:space="preserve"> and future direction of the program. The final evaluation report was submitted and accepted by DFAT on 30 April 2021 </w:t>
      </w:r>
      <w:r w:rsidR="00810F69" w:rsidRPr="00DF071D">
        <w:t xml:space="preserve">and contains </w:t>
      </w:r>
      <w:r w:rsidR="00775726" w:rsidRPr="00DF071D">
        <w:t>valuable</w:t>
      </w:r>
      <w:r w:rsidR="00810F69" w:rsidRPr="00DF071D">
        <w:t xml:space="preserve"> findings on the program</w:t>
      </w:r>
      <w:r w:rsidR="004441EC" w:rsidRPr="00DF071D">
        <w:t>’</w:t>
      </w:r>
      <w:r w:rsidR="00810F69" w:rsidRPr="00DF071D">
        <w:t xml:space="preserve">s performance to date, as well </w:t>
      </w:r>
      <w:r w:rsidR="00C61E7C">
        <w:t xml:space="preserve">as </w:t>
      </w:r>
      <w:r w:rsidR="00810F69" w:rsidRPr="00DF071D">
        <w:t xml:space="preserve">recommendations on how to ensure the program can </w:t>
      </w:r>
      <w:r w:rsidR="00775726" w:rsidRPr="00DF071D">
        <w:t xml:space="preserve">continue to deliver results </w:t>
      </w:r>
      <w:r w:rsidR="00810F69" w:rsidRPr="00DF071D">
        <w:t xml:space="preserve">within an evolving global context. </w:t>
      </w:r>
      <w:r w:rsidRPr="00DF071D">
        <w:t xml:space="preserve">DFAT agrees with all </w:t>
      </w:r>
      <w:r w:rsidR="00810F69" w:rsidRPr="00DF071D">
        <w:t xml:space="preserve">nine of the evaluation </w:t>
      </w:r>
      <w:r w:rsidRPr="00DF071D">
        <w:t>recommendations and will</w:t>
      </w:r>
      <w:r w:rsidR="00810F69" w:rsidRPr="00DF071D">
        <w:t xml:space="preserve"> </w:t>
      </w:r>
      <w:r w:rsidRPr="00DF071D">
        <w:t xml:space="preserve">address them over the coming months. </w:t>
      </w:r>
      <w:r w:rsidR="001E6632">
        <w:rPr>
          <w:color w:val="495965"/>
        </w:rPr>
        <w:br w:type="page"/>
      </w:r>
    </w:p>
    <w:tbl>
      <w:tblPr>
        <w:tblStyle w:val="ListTable6Colorful-Accent1"/>
        <w:tblW w:w="14885" w:type="dxa"/>
        <w:tblLook w:val="04A0" w:firstRow="1" w:lastRow="0" w:firstColumn="1" w:lastColumn="0" w:noHBand="0" w:noVBand="1"/>
      </w:tblPr>
      <w:tblGrid>
        <w:gridCol w:w="2836"/>
        <w:gridCol w:w="2126"/>
        <w:gridCol w:w="4536"/>
        <w:gridCol w:w="2977"/>
        <w:gridCol w:w="2410"/>
      </w:tblGrid>
      <w:tr w:rsidR="008400FA" w:rsidRPr="00251DCD" w14:paraId="388A569B" w14:textId="77777777" w:rsidTr="001E663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36" w:type="dxa"/>
          </w:tcPr>
          <w:p w14:paraId="2362EAA3" w14:textId="742AFEB4" w:rsidR="008400FA" w:rsidRPr="00251DCD" w:rsidRDefault="00E6573E" w:rsidP="009D266F">
            <w:pPr>
              <w:jc w:val="center"/>
              <w:rPr>
                <w:b w:val="0"/>
                <w:bCs w:val="0"/>
              </w:rPr>
            </w:pPr>
            <w:r>
              <w:rPr>
                <w:color w:val="495965"/>
              </w:rPr>
              <w:lastRenderedPageBreak/>
              <w:t xml:space="preserve"> </w:t>
            </w:r>
            <w:r>
              <w:rPr>
                <w:color w:val="FFFFFF"/>
                <w:sz w:val="14"/>
              </w:rPr>
              <w:tab/>
              <w:t xml:space="preserve"> </w:t>
            </w:r>
            <w:r w:rsidR="008400FA" w:rsidRPr="00251DCD">
              <w:t>Recommendation</w:t>
            </w:r>
          </w:p>
        </w:tc>
        <w:tc>
          <w:tcPr>
            <w:tcW w:w="2126" w:type="dxa"/>
          </w:tcPr>
          <w:p w14:paraId="60B2C7C1" w14:textId="77777777" w:rsidR="008400FA" w:rsidRPr="00251DCD" w:rsidRDefault="008400FA" w:rsidP="009D266F">
            <w:pPr>
              <w:jc w:val="center"/>
              <w:cnfStyle w:val="100000000000" w:firstRow="1" w:lastRow="0" w:firstColumn="0" w:lastColumn="0" w:oddVBand="0" w:evenVBand="0" w:oddHBand="0" w:evenHBand="0" w:firstRowFirstColumn="0" w:firstRowLastColumn="0" w:lastRowFirstColumn="0" w:lastRowLastColumn="0"/>
              <w:rPr>
                <w:b w:val="0"/>
                <w:bCs w:val="0"/>
              </w:rPr>
            </w:pPr>
            <w:r w:rsidRPr="00251DCD">
              <w:t>Response</w:t>
            </w:r>
          </w:p>
        </w:tc>
        <w:tc>
          <w:tcPr>
            <w:tcW w:w="4536" w:type="dxa"/>
          </w:tcPr>
          <w:p w14:paraId="11C7F114" w14:textId="77777777" w:rsidR="008400FA" w:rsidRPr="00251DCD" w:rsidRDefault="008400FA" w:rsidP="009D266F">
            <w:pPr>
              <w:jc w:val="center"/>
              <w:cnfStyle w:val="100000000000" w:firstRow="1" w:lastRow="0" w:firstColumn="0" w:lastColumn="0" w:oddVBand="0" w:evenVBand="0" w:oddHBand="0" w:evenHBand="0" w:firstRowFirstColumn="0" w:firstRowLastColumn="0" w:lastRowFirstColumn="0" w:lastRowLastColumn="0"/>
              <w:rPr>
                <w:b w:val="0"/>
                <w:bCs w:val="0"/>
              </w:rPr>
            </w:pPr>
            <w:r w:rsidRPr="00251DCD">
              <w:t>Explanation</w:t>
            </w:r>
          </w:p>
        </w:tc>
        <w:tc>
          <w:tcPr>
            <w:tcW w:w="2977" w:type="dxa"/>
          </w:tcPr>
          <w:p w14:paraId="2862B47A" w14:textId="77777777" w:rsidR="008400FA" w:rsidRPr="00251DCD" w:rsidRDefault="008400FA" w:rsidP="009D266F">
            <w:pPr>
              <w:jc w:val="center"/>
              <w:cnfStyle w:val="100000000000" w:firstRow="1" w:lastRow="0" w:firstColumn="0" w:lastColumn="0" w:oddVBand="0" w:evenVBand="0" w:oddHBand="0" w:evenHBand="0" w:firstRowFirstColumn="0" w:firstRowLastColumn="0" w:lastRowFirstColumn="0" w:lastRowLastColumn="0"/>
              <w:rPr>
                <w:b w:val="0"/>
                <w:bCs w:val="0"/>
              </w:rPr>
            </w:pPr>
            <w:r w:rsidRPr="00251DCD">
              <w:t>Action Plan</w:t>
            </w:r>
          </w:p>
        </w:tc>
        <w:tc>
          <w:tcPr>
            <w:tcW w:w="2410" w:type="dxa"/>
          </w:tcPr>
          <w:p w14:paraId="378AC4C3" w14:textId="77777777" w:rsidR="008400FA" w:rsidRDefault="008400FA" w:rsidP="001E6632">
            <w:pPr>
              <w:jc w:val="center"/>
              <w:cnfStyle w:val="100000000000" w:firstRow="1" w:lastRow="0" w:firstColumn="0" w:lastColumn="0" w:oddVBand="0" w:evenVBand="0" w:oddHBand="0" w:evenHBand="0" w:firstRowFirstColumn="0" w:firstRowLastColumn="0" w:lastRowFirstColumn="0" w:lastRowLastColumn="0"/>
              <w:rPr>
                <w:b w:val="0"/>
                <w:bCs w:val="0"/>
              </w:rPr>
            </w:pPr>
            <w:r w:rsidRPr="00251DCD">
              <w:t>Timeframe</w:t>
            </w:r>
          </w:p>
          <w:p w14:paraId="3569D7D8" w14:textId="16182687" w:rsidR="00C61E7C" w:rsidRPr="00251DCD" w:rsidRDefault="00C61E7C" w:rsidP="001E6632">
            <w:pPr>
              <w:jc w:val="center"/>
              <w:cnfStyle w:val="100000000000" w:firstRow="1" w:lastRow="0" w:firstColumn="0" w:lastColumn="0" w:oddVBand="0" w:evenVBand="0" w:oddHBand="0" w:evenHBand="0" w:firstRowFirstColumn="0" w:firstRowLastColumn="0" w:lastRowFirstColumn="0" w:lastRowLastColumn="0"/>
              <w:rPr>
                <w:b w:val="0"/>
                <w:bCs w:val="0"/>
              </w:rPr>
            </w:pPr>
          </w:p>
        </w:tc>
      </w:tr>
      <w:tr w:rsidR="008400FA" w14:paraId="2C8A5084" w14:textId="77777777" w:rsidTr="008400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743D63FB" w14:textId="77777777" w:rsidR="00251DCD" w:rsidRDefault="001E0D06" w:rsidP="001E0D06">
            <w:r>
              <w:t xml:space="preserve">1. </w:t>
            </w:r>
            <w:r w:rsidRPr="006F374E">
              <w:t xml:space="preserve">That DFAT and the program work together to refresh the program’s outcomes and logic. This is an opportunity to reposition the program in an evolving global context, to consider the benefits of alternative volunteering modalities, and </w:t>
            </w:r>
            <w:r>
              <w:t xml:space="preserve">test and recalibrate priorities </w:t>
            </w:r>
            <w:r w:rsidRPr="006F374E">
              <w:t>to help to build a consensus amongst program stakeholders.</w:t>
            </w:r>
          </w:p>
          <w:p w14:paraId="565348EF" w14:textId="228F730C" w:rsidR="00666F1A" w:rsidRDefault="00666F1A" w:rsidP="001E0D06"/>
        </w:tc>
        <w:tc>
          <w:tcPr>
            <w:tcW w:w="2126" w:type="dxa"/>
          </w:tcPr>
          <w:p w14:paraId="5421DD3A" w14:textId="0E2FC4D6" w:rsidR="00251DCD" w:rsidRDefault="001E0D06" w:rsidP="001E0D06">
            <w:pPr>
              <w:jc w:val="center"/>
              <w:cnfStyle w:val="000000100000" w:firstRow="0" w:lastRow="0" w:firstColumn="0" w:lastColumn="0" w:oddVBand="0" w:evenVBand="0" w:oddHBand="1" w:evenHBand="0" w:firstRowFirstColumn="0" w:firstRowLastColumn="0" w:lastRowFirstColumn="0" w:lastRowLastColumn="0"/>
            </w:pPr>
            <w:r>
              <w:t>Agree.</w:t>
            </w:r>
          </w:p>
        </w:tc>
        <w:tc>
          <w:tcPr>
            <w:tcW w:w="4536" w:type="dxa"/>
          </w:tcPr>
          <w:p w14:paraId="3230E332" w14:textId="4C0BAB5C" w:rsidR="00251DCD" w:rsidRDefault="00132F91" w:rsidP="001E0D06">
            <w:pPr>
              <w:cnfStyle w:val="000000100000" w:firstRow="0" w:lastRow="0" w:firstColumn="0" w:lastColumn="0" w:oddVBand="0" w:evenVBand="0" w:oddHBand="1" w:evenHBand="0" w:firstRowFirstColumn="0" w:firstRowLastColumn="0" w:lastRowFirstColumn="0" w:lastRowLastColumn="0"/>
            </w:pPr>
            <w:r>
              <w:t xml:space="preserve">DFAT agrees that the changing global context as well </w:t>
            </w:r>
            <w:r w:rsidR="00F02693">
              <w:t xml:space="preserve">as </w:t>
            </w:r>
            <w:r>
              <w:t xml:space="preserve">evolving foreign policy priorities </w:t>
            </w:r>
            <w:r w:rsidR="00074DF0">
              <w:t xml:space="preserve">since the program was first designed </w:t>
            </w:r>
            <w:r>
              <w:t xml:space="preserve">warrant a </w:t>
            </w:r>
            <w:r w:rsidR="00074DF0">
              <w:t>re</w:t>
            </w:r>
            <w:r w:rsidR="006A3BB0">
              <w:noBreakHyphen/>
            </w:r>
            <w:r w:rsidR="00074DF0">
              <w:t>examination</w:t>
            </w:r>
            <w:r>
              <w:t xml:space="preserve"> of the program’s outcomes and logic</w:t>
            </w:r>
            <w:r w:rsidR="00074DF0">
              <w:t>, with a view to making any necessary updates</w:t>
            </w:r>
            <w:r>
              <w:t>.</w:t>
            </w:r>
          </w:p>
        </w:tc>
        <w:tc>
          <w:tcPr>
            <w:tcW w:w="2977" w:type="dxa"/>
          </w:tcPr>
          <w:p w14:paraId="1888C8F0" w14:textId="0263630E" w:rsidR="00251DCD" w:rsidRDefault="00132F91" w:rsidP="001E0D06">
            <w:pPr>
              <w:cnfStyle w:val="000000100000" w:firstRow="0" w:lastRow="0" w:firstColumn="0" w:lastColumn="0" w:oddVBand="0" w:evenVBand="0" w:oddHBand="1" w:evenHBand="0" w:firstRowFirstColumn="0" w:firstRowLastColumn="0" w:lastRowFirstColumn="0" w:lastRowLastColumn="0"/>
            </w:pPr>
            <w:r>
              <w:t xml:space="preserve">DFAT and </w:t>
            </w:r>
            <w:r w:rsidR="00074DF0">
              <w:t xml:space="preserve">Australian Volunteers Program staff </w:t>
            </w:r>
            <w:r>
              <w:t>will work together to revise the program logic, with the assistance of external specialists as required.</w:t>
            </w:r>
          </w:p>
        </w:tc>
        <w:tc>
          <w:tcPr>
            <w:tcW w:w="2410" w:type="dxa"/>
          </w:tcPr>
          <w:p w14:paraId="52915582" w14:textId="4C5C3EB1" w:rsidR="00251DCD" w:rsidRDefault="00FC1828" w:rsidP="00461B30">
            <w:pPr>
              <w:jc w:val="center"/>
              <w:cnfStyle w:val="000000100000" w:firstRow="0" w:lastRow="0" w:firstColumn="0" w:lastColumn="0" w:oddVBand="0" w:evenVBand="0" w:oddHBand="1" w:evenHBand="0" w:firstRowFirstColumn="0" w:firstRowLastColumn="0" w:lastRowFirstColumn="0" w:lastRowLastColumn="0"/>
            </w:pPr>
            <w:r>
              <w:t xml:space="preserve">Completed by </w:t>
            </w:r>
            <w:r w:rsidR="002027ED">
              <w:t>30</w:t>
            </w:r>
            <w:r w:rsidR="00461B30">
              <w:t> </w:t>
            </w:r>
            <w:r w:rsidR="002027ED">
              <w:t>November</w:t>
            </w:r>
            <w:r w:rsidR="00E96060">
              <w:t xml:space="preserve"> </w:t>
            </w:r>
            <w:r w:rsidR="00132F91">
              <w:t>2021.</w:t>
            </w:r>
          </w:p>
        </w:tc>
      </w:tr>
      <w:tr w:rsidR="008400FA" w14:paraId="2BB2166E" w14:textId="77777777" w:rsidTr="008400FA">
        <w:trPr>
          <w:trHeight w:val="408"/>
        </w:trPr>
        <w:tc>
          <w:tcPr>
            <w:cnfStyle w:val="001000000000" w:firstRow="0" w:lastRow="0" w:firstColumn="1" w:lastColumn="0" w:oddVBand="0" w:evenVBand="0" w:oddHBand="0" w:evenHBand="0" w:firstRowFirstColumn="0" w:firstRowLastColumn="0" w:lastRowFirstColumn="0" w:lastRowLastColumn="0"/>
            <w:tcW w:w="2836" w:type="dxa"/>
          </w:tcPr>
          <w:p w14:paraId="51863D2E" w14:textId="77777777" w:rsidR="00251DCD" w:rsidRDefault="001E0D06" w:rsidP="001E0D06">
            <w:pPr>
              <w:rPr>
                <w:b w:val="0"/>
                <w:bCs w:val="0"/>
              </w:rPr>
            </w:pPr>
            <w:r>
              <w:t xml:space="preserve">2. </w:t>
            </w:r>
            <w:r w:rsidRPr="006F374E">
              <w:t>That current strategic partnerships are expanded, and new partnerships are explored to identify and scale up new volunteering modalities, multiply capacity development outcomes, and increase the program’s profile and outreach through leveraging international networks.</w:t>
            </w:r>
          </w:p>
          <w:p w14:paraId="513FAE32" w14:textId="76B9D0A5" w:rsidR="006A3BB0" w:rsidRDefault="006A3BB0" w:rsidP="001E0D06"/>
        </w:tc>
        <w:tc>
          <w:tcPr>
            <w:tcW w:w="2126" w:type="dxa"/>
          </w:tcPr>
          <w:p w14:paraId="130A90A1" w14:textId="19E139CC" w:rsidR="00251DCD" w:rsidRDefault="001E0D06" w:rsidP="001E0D06">
            <w:pPr>
              <w:jc w:val="center"/>
              <w:cnfStyle w:val="000000000000" w:firstRow="0" w:lastRow="0" w:firstColumn="0" w:lastColumn="0" w:oddVBand="0" w:evenVBand="0" w:oddHBand="0" w:evenHBand="0" w:firstRowFirstColumn="0" w:firstRowLastColumn="0" w:lastRowFirstColumn="0" w:lastRowLastColumn="0"/>
            </w:pPr>
            <w:r>
              <w:t>Agree.</w:t>
            </w:r>
          </w:p>
        </w:tc>
        <w:tc>
          <w:tcPr>
            <w:tcW w:w="4536" w:type="dxa"/>
          </w:tcPr>
          <w:p w14:paraId="175B2983" w14:textId="2CE86877" w:rsidR="00251DCD" w:rsidRDefault="00D92293" w:rsidP="001E0D06">
            <w:pPr>
              <w:cnfStyle w:val="000000000000" w:firstRow="0" w:lastRow="0" w:firstColumn="0" w:lastColumn="0" w:oddVBand="0" w:evenVBand="0" w:oddHBand="0" w:evenHBand="0" w:firstRowFirstColumn="0" w:firstRowLastColumn="0" w:lastRowFirstColumn="0" w:lastRowLastColumn="0"/>
            </w:pPr>
            <w:r>
              <w:t xml:space="preserve">The program has proven over time that strategic partnerships </w:t>
            </w:r>
            <w:r w:rsidR="002027ED">
              <w:t>(</w:t>
            </w:r>
            <w:r w:rsidR="003379C4">
              <w:t>between</w:t>
            </w:r>
            <w:r w:rsidR="002027ED">
              <w:t xml:space="preserve"> Australian organisations, partner organisations in-country and DFAT) </w:t>
            </w:r>
            <w:r>
              <w:t>lead to effective capacity building outcomes in the long term</w:t>
            </w:r>
            <w:r w:rsidR="00827544">
              <w:t>. There is value in</w:t>
            </w:r>
            <w:r>
              <w:t xml:space="preserve"> explor</w:t>
            </w:r>
            <w:r w:rsidR="00827544">
              <w:t>ing</w:t>
            </w:r>
            <w:r>
              <w:t xml:space="preserve"> new partnership</w:t>
            </w:r>
            <w:r w:rsidR="00074DF0">
              <w:t>s</w:t>
            </w:r>
            <w:r w:rsidR="002A1965">
              <w:t xml:space="preserve"> to enable a wider reach of the program and generate new volunteering modalities. Experience shows that strategic partnerships are resource intensive, and it </w:t>
            </w:r>
            <w:r w:rsidR="006F3C26">
              <w:t>will be</w:t>
            </w:r>
            <w:r w:rsidR="002A1965">
              <w:t xml:space="preserve"> important to ensure there is adequate management capacity (within DFAT and the </w:t>
            </w:r>
            <w:r w:rsidR="00EB44C3">
              <w:t>P</w:t>
            </w:r>
            <w:r w:rsidR="002A1965">
              <w:t>rogram)</w:t>
            </w:r>
            <w:r>
              <w:t>.</w:t>
            </w:r>
            <w:r w:rsidR="00F02693">
              <w:t xml:space="preserve"> </w:t>
            </w:r>
          </w:p>
        </w:tc>
        <w:tc>
          <w:tcPr>
            <w:tcW w:w="2977" w:type="dxa"/>
          </w:tcPr>
          <w:p w14:paraId="1F5442D6" w14:textId="39DBB1CE" w:rsidR="00251DCD" w:rsidRDefault="00074DF0" w:rsidP="001E0D06">
            <w:pPr>
              <w:cnfStyle w:val="000000000000" w:firstRow="0" w:lastRow="0" w:firstColumn="0" w:lastColumn="0" w:oddVBand="0" w:evenVBand="0" w:oddHBand="0" w:evenHBand="0" w:firstRowFirstColumn="0" w:firstRowLastColumn="0" w:lastRowFirstColumn="0" w:lastRowLastColumn="0"/>
            </w:pPr>
            <w:r>
              <w:t>DFAT and Australian Volunteers Program staff will work together to seek out new partnerships</w:t>
            </w:r>
            <w:r w:rsidR="00F02693">
              <w:t xml:space="preserve"> that add value to the program’s aims</w:t>
            </w:r>
            <w:r>
              <w:t>, within Australia and overseas.</w:t>
            </w:r>
          </w:p>
        </w:tc>
        <w:tc>
          <w:tcPr>
            <w:tcW w:w="2410" w:type="dxa"/>
          </w:tcPr>
          <w:p w14:paraId="39C56B8C" w14:textId="032E4273" w:rsidR="004441EC" w:rsidRDefault="00D92293" w:rsidP="00461B30">
            <w:pPr>
              <w:jc w:val="center"/>
              <w:cnfStyle w:val="000000000000" w:firstRow="0" w:lastRow="0" w:firstColumn="0" w:lastColumn="0" w:oddVBand="0" w:evenVBand="0" w:oddHBand="0" w:evenHBand="0" w:firstRowFirstColumn="0" w:firstRowLastColumn="0" w:lastRowFirstColumn="0" w:lastRowLastColumn="0"/>
            </w:pPr>
            <w:r>
              <w:t xml:space="preserve">Beginning in </w:t>
            </w:r>
            <w:r w:rsidR="00E96060">
              <w:t>FY</w:t>
            </w:r>
            <w:r>
              <w:t>2021</w:t>
            </w:r>
            <w:r w:rsidR="00E96060">
              <w:t>-22</w:t>
            </w:r>
          </w:p>
          <w:p w14:paraId="7E94C0B7" w14:textId="75B417C2" w:rsidR="00251DCD" w:rsidRDefault="00D92293" w:rsidP="00461B30">
            <w:pPr>
              <w:jc w:val="center"/>
              <w:cnfStyle w:val="000000000000" w:firstRow="0" w:lastRow="0" w:firstColumn="0" w:lastColumn="0" w:oddVBand="0" w:evenVBand="0" w:oddHBand="0" w:evenHBand="0" w:firstRowFirstColumn="0" w:firstRowLastColumn="0" w:lastRowFirstColumn="0" w:lastRowLastColumn="0"/>
            </w:pPr>
            <w:r>
              <w:t>and ongoing.</w:t>
            </w:r>
          </w:p>
        </w:tc>
      </w:tr>
      <w:tr w:rsidR="008400FA" w14:paraId="26E6D95C" w14:textId="77777777" w:rsidTr="008400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588933A7" w14:textId="77777777" w:rsidR="00251DCD" w:rsidRDefault="001E0D06" w:rsidP="001E0D06">
            <w:r>
              <w:t xml:space="preserve">3. </w:t>
            </w:r>
            <w:r w:rsidRPr="006F374E">
              <w:t xml:space="preserve">That consideration is given to establishing appropriate, consultative, or advisory mechanisms in-country to engage government, peak bodies representing the </w:t>
            </w:r>
            <w:r w:rsidRPr="006F374E">
              <w:lastRenderedPageBreak/>
              <w:t>private sector, small and medium enterprises, and civil society with DFAT and program managers at a strategic level.</w:t>
            </w:r>
          </w:p>
          <w:p w14:paraId="6A134DCE" w14:textId="31710994" w:rsidR="00666F1A" w:rsidRDefault="00666F1A" w:rsidP="001E0D06"/>
        </w:tc>
        <w:tc>
          <w:tcPr>
            <w:tcW w:w="2126" w:type="dxa"/>
          </w:tcPr>
          <w:p w14:paraId="019CBB7F" w14:textId="51DB1329" w:rsidR="00251DCD" w:rsidRDefault="001E0D06" w:rsidP="001E0D06">
            <w:pPr>
              <w:jc w:val="center"/>
              <w:cnfStyle w:val="000000100000" w:firstRow="0" w:lastRow="0" w:firstColumn="0" w:lastColumn="0" w:oddVBand="0" w:evenVBand="0" w:oddHBand="1" w:evenHBand="0" w:firstRowFirstColumn="0" w:firstRowLastColumn="0" w:lastRowFirstColumn="0" w:lastRowLastColumn="0"/>
            </w:pPr>
            <w:r>
              <w:lastRenderedPageBreak/>
              <w:t>Agree.</w:t>
            </w:r>
          </w:p>
        </w:tc>
        <w:tc>
          <w:tcPr>
            <w:tcW w:w="4536" w:type="dxa"/>
          </w:tcPr>
          <w:p w14:paraId="74D19A93" w14:textId="00800B39" w:rsidR="00775726" w:rsidRDefault="00550785" w:rsidP="001E0D06">
            <w:pPr>
              <w:cnfStyle w:val="000000100000" w:firstRow="0" w:lastRow="0" w:firstColumn="0" w:lastColumn="0" w:oddVBand="0" w:evenVBand="0" w:oddHBand="1" w:evenHBand="0" w:firstRowFirstColumn="0" w:firstRowLastColumn="0" w:lastRowFirstColumn="0" w:lastRowLastColumn="0"/>
            </w:pPr>
            <w:r>
              <w:t>The establishment of a</w:t>
            </w:r>
            <w:r w:rsidR="00C7660D">
              <w:t>n advisory</w:t>
            </w:r>
            <w:r>
              <w:t xml:space="preserve"> mechanism </w:t>
            </w:r>
            <w:r w:rsidR="00F02693">
              <w:t xml:space="preserve">relevant to </w:t>
            </w:r>
            <w:r w:rsidR="00E52C8E">
              <w:t>a specific</w:t>
            </w:r>
            <w:r w:rsidR="00F02693">
              <w:t xml:space="preserve"> country context </w:t>
            </w:r>
            <w:r w:rsidR="00E52C8E">
              <w:t xml:space="preserve">may </w:t>
            </w:r>
            <w:r w:rsidR="00D92293">
              <w:t>provide</w:t>
            </w:r>
            <w:r w:rsidR="00775726">
              <w:t xml:space="preserve"> an additional forum</w:t>
            </w:r>
            <w:r>
              <w:t xml:space="preserve"> where partner governments</w:t>
            </w:r>
            <w:r w:rsidR="002A1965">
              <w:t>, diverse community voices</w:t>
            </w:r>
            <w:r>
              <w:t xml:space="preserve"> and other sectors can be consulted</w:t>
            </w:r>
            <w:r w:rsidR="00074DF0">
              <w:t xml:space="preserve"> </w:t>
            </w:r>
            <w:r w:rsidR="00D92293">
              <w:t>–</w:t>
            </w:r>
            <w:r>
              <w:t xml:space="preserve"> </w:t>
            </w:r>
            <w:r w:rsidR="00D92293">
              <w:t xml:space="preserve">ensuring both greater ownership </w:t>
            </w:r>
            <w:r w:rsidR="00074DF0">
              <w:lastRenderedPageBreak/>
              <w:t xml:space="preserve">and ‘voice’ </w:t>
            </w:r>
            <w:r w:rsidR="00D92293">
              <w:t>from counterparts in-country as well as from our DFAT posts.</w:t>
            </w:r>
          </w:p>
        </w:tc>
        <w:tc>
          <w:tcPr>
            <w:tcW w:w="2977" w:type="dxa"/>
          </w:tcPr>
          <w:p w14:paraId="2823F663" w14:textId="3C40FBA3" w:rsidR="00251DCD" w:rsidRDefault="00F02693" w:rsidP="001E0D06">
            <w:pPr>
              <w:cnfStyle w:val="000000100000" w:firstRow="0" w:lastRow="0" w:firstColumn="0" w:lastColumn="0" w:oddVBand="0" w:evenVBand="0" w:oddHBand="1" w:evenHBand="0" w:firstRowFirstColumn="0" w:firstRowLastColumn="0" w:lastRowFirstColumn="0" w:lastRowLastColumn="0"/>
            </w:pPr>
            <w:r>
              <w:lastRenderedPageBreak/>
              <w:t xml:space="preserve">DFAT and Australian Volunteers Program </w:t>
            </w:r>
            <w:r w:rsidR="006A3BB0">
              <w:t xml:space="preserve">staff </w:t>
            </w:r>
            <w:r>
              <w:t>will develop</w:t>
            </w:r>
            <w:r w:rsidR="00E52C8E">
              <w:t xml:space="preserve"> terms of reference for</w:t>
            </w:r>
            <w:r>
              <w:t xml:space="preserve"> two</w:t>
            </w:r>
            <w:r w:rsidR="00550785">
              <w:t xml:space="preserve"> pilot</w:t>
            </w:r>
            <w:r>
              <w:t>s</w:t>
            </w:r>
            <w:r w:rsidR="00550785">
              <w:t xml:space="preserve"> </w:t>
            </w:r>
            <w:r>
              <w:t xml:space="preserve">which will </w:t>
            </w:r>
            <w:r w:rsidR="00550785">
              <w:t xml:space="preserve">be conducted in two countries to test how </w:t>
            </w:r>
            <w:r w:rsidR="004441EC">
              <w:t>this</w:t>
            </w:r>
            <w:r>
              <w:t xml:space="preserve"> </w:t>
            </w:r>
            <w:r w:rsidR="00550785">
              <w:t xml:space="preserve">mechanism can be </w:t>
            </w:r>
            <w:r w:rsidR="00550785">
              <w:lastRenderedPageBreak/>
              <w:t>established</w:t>
            </w:r>
            <w:r w:rsidR="00074DF0">
              <w:t xml:space="preserve"> and </w:t>
            </w:r>
            <w:r w:rsidR="00827544">
              <w:t xml:space="preserve">inform </w:t>
            </w:r>
            <w:r w:rsidR="004441EC">
              <w:t>future</w:t>
            </w:r>
            <w:r w:rsidR="00827544">
              <w:t xml:space="preserve"> program operat</w:t>
            </w:r>
            <w:r w:rsidR="004441EC">
              <w:t>ion</w:t>
            </w:r>
            <w:r w:rsidR="00827544">
              <w:t>s.</w:t>
            </w:r>
          </w:p>
        </w:tc>
        <w:tc>
          <w:tcPr>
            <w:tcW w:w="2410" w:type="dxa"/>
          </w:tcPr>
          <w:p w14:paraId="06AFF216" w14:textId="3B25FEBE" w:rsidR="00251DCD" w:rsidRDefault="00D92293" w:rsidP="00461B30">
            <w:pPr>
              <w:jc w:val="center"/>
              <w:cnfStyle w:val="000000100000" w:firstRow="0" w:lastRow="0" w:firstColumn="0" w:lastColumn="0" w:oddVBand="0" w:evenVBand="0" w:oddHBand="1" w:evenHBand="0" w:firstRowFirstColumn="0" w:firstRowLastColumn="0" w:lastRowFirstColumn="0" w:lastRowLastColumn="0"/>
            </w:pPr>
            <w:r w:rsidRPr="00E52C8E">
              <w:lastRenderedPageBreak/>
              <w:t xml:space="preserve">Beginning in </w:t>
            </w:r>
            <w:r w:rsidR="00E96060">
              <w:t>January</w:t>
            </w:r>
            <w:r w:rsidR="00461B30">
              <w:t> </w:t>
            </w:r>
            <w:r w:rsidR="00E52C8E" w:rsidRPr="00E52C8E">
              <w:t xml:space="preserve">2022 </w:t>
            </w:r>
            <w:r w:rsidRPr="00E52C8E">
              <w:t xml:space="preserve">and further expanded in </w:t>
            </w:r>
            <w:r w:rsidR="00E96060">
              <w:t>FY</w:t>
            </w:r>
            <w:r w:rsidRPr="00E52C8E">
              <w:t>2022</w:t>
            </w:r>
            <w:r w:rsidR="00E96060">
              <w:t>-</w:t>
            </w:r>
            <w:r w:rsidR="00E52C8E" w:rsidRPr="00E52C8E">
              <w:t>23</w:t>
            </w:r>
            <w:r w:rsidRPr="00E52C8E">
              <w:t xml:space="preserve"> upon successful completion of pilots.</w:t>
            </w:r>
          </w:p>
        </w:tc>
      </w:tr>
      <w:tr w:rsidR="008400FA" w14:paraId="0B113D08" w14:textId="77777777" w:rsidTr="008400FA">
        <w:tc>
          <w:tcPr>
            <w:cnfStyle w:val="001000000000" w:firstRow="0" w:lastRow="0" w:firstColumn="1" w:lastColumn="0" w:oddVBand="0" w:evenVBand="0" w:oddHBand="0" w:evenHBand="0" w:firstRowFirstColumn="0" w:firstRowLastColumn="0" w:lastRowFirstColumn="0" w:lastRowLastColumn="0"/>
            <w:tcW w:w="2836" w:type="dxa"/>
          </w:tcPr>
          <w:p w14:paraId="628207C5" w14:textId="16CB4C09" w:rsidR="00251DCD" w:rsidRDefault="001E0D06" w:rsidP="001E0D06">
            <w:r>
              <w:t xml:space="preserve">4. </w:t>
            </w:r>
            <w:r w:rsidRPr="006F374E">
              <w:t xml:space="preserve">That </w:t>
            </w:r>
            <w:r>
              <w:t xml:space="preserve">in </w:t>
            </w:r>
            <w:r w:rsidRPr="006F374E">
              <w:t>refresh</w:t>
            </w:r>
            <w:r>
              <w:t>ing</w:t>
            </w:r>
            <w:r w:rsidRPr="006F374E">
              <w:t xml:space="preserve"> and recalibrat</w:t>
            </w:r>
            <w:r>
              <w:t>ing</w:t>
            </w:r>
            <w:r w:rsidRPr="006F374E">
              <w:t xml:space="preserve"> the program’s outcomes</w:t>
            </w:r>
            <w:r>
              <w:t xml:space="preserve"> and </w:t>
            </w:r>
            <w:r w:rsidRPr="006F374E">
              <w:t>logic</w:t>
            </w:r>
            <w:r>
              <w:t xml:space="preserve">, </w:t>
            </w:r>
            <w:r w:rsidRPr="006F374E">
              <w:t>particular attention is given to reviewing two of the three E</w:t>
            </w:r>
            <w:r w:rsidR="00A95242">
              <w:t xml:space="preserve">nd </w:t>
            </w:r>
            <w:r w:rsidRPr="006F374E">
              <w:t>o</w:t>
            </w:r>
            <w:r w:rsidR="00A95242">
              <w:t xml:space="preserve">f </w:t>
            </w:r>
            <w:r w:rsidRPr="006F374E">
              <w:t>P</w:t>
            </w:r>
            <w:r w:rsidR="00A95242">
              <w:t xml:space="preserve">rogram </w:t>
            </w:r>
            <w:r w:rsidRPr="006F374E">
              <w:t>O</w:t>
            </w:r>
            <w:r w:rsidR="00A95242">
              <w:t>utcome</w:t>
            </w:r>
            <w:r w:rsidRPr="006F374E">
              <w:t>s, ‘</w:t>
            </w:r>
            <w:r w:rsidRPr="006F374E">
              <w:rPr>
                <w:i/>
                <w:iCs/>
              </w:rPr>
              <w:t>The public in Australia better appreciates the value of international volunteering’</w:t>
            </w:r>
            <w:r w:rsidRPr="006F374E">
              <w:t xml:space="preserve"> and ‘</w:t>
            </w:r>
            <w:r w:rsidRPr="006F374E">
              <w:rPr>
                <w:i/>
                <w:iCs/>
              </w:rPr>
              <w:t>Australian volunteers gain professionally and personally</w:t>
            </w:r>
            <w:r w:rsidR="006A26C4">
              <w:rPr>
                <w:i/>
                <w:iCs/>
              </w:rPr>
              <w:t>,</w:t>
            </w:r>
            <w:r w:rsidRPr="006F374E">
              <w:rPr>
                <w:i/>
                <w:iCs/>
              </w:rPr>
              <w:t>’</w:t>
            </w:r>
            <w:r w:rsidRPr="006F374E">
              <w:t xml:space="preserve"> to ensure logical articulation into program goals, a description of the desired future ‘end state’ and compliance with DFAT standards.</w:t>
            </w:r>
          </w:p>
          <w:p w14:paraId="012D6E13" w14:textId="30FC84DE" w:rsidR="00666F1A" w:rsidRDefault="00666F1A" w:rsidP="001E0D06"/>
        </w:tc>
        <w:tc>
          <w:tcPr>
            <w:tcW w:w="2126" w:type="dxa"/>
          </w:tcPr>
          <w:p w14:paraId="46E4859A" w14:textId="4522944D" w:rsidR="00251DCD" w:rsidRDefault="001E0D06" w:rsidP="001E0D06">
            <w:pPr>
              <w:jc w:val="center"/>
              <w:cnfStyle w:val="000000000000" w:firstRow="0" w:lastRow="0" w:firstColumn="0" w:lastColumn="0" w:oddVBand="0" w:evenVBand="0" w:oddHBand="0" w:evenHBand="0" w:firstRowFirstColumn="0" w:firstRowLastColumn="0" w:lastRowFirstColumn="0" w:lastRowLastColumn="0"/>
            </w:pPr>
            <w:r>
              <w:t>Agree.</w:t>
            </w:r>
          </w:p>
        </w:tc>
        <w:tc>
          <w:tcPr>
            <w:tcW w:w="4536" w:type="dxa"/>
          </w:tcPr>
          <w:p w14:paraId="47E62F5A" w14:textId="134558F9" w:rsidR="00251DCD" w:rsidRDefault="00C7660D" w:rsidP="001E0D06">
            <w:pPr>
              <w:cnfStyle w:val="000000000000" w:firstRow="0" w:lastRow="0" w:firstColumn="0" w:lastColumn="0" w:oddVBand="0" w:evenVBand="0" w:oddHBand="0" w:evenHBand="0" w:firstRowFirstColumn="0" w:firstRowLastColumn="0" w:lastRowFirstColumn="0" w:lastRowLastColumn="0"/>
            </w:pPr>
            <w:r>
              <w:t>A</w:t>
            </w:r>
            <w:r w:rsidR="00074DF0">
              <w:t>fter nearly five years of implementation</w:t>
            </w:r>
            <w:r>
              <w:t>, it is timely</w:t>
            </w:r>
            <w:r w:rsidR="00074DF0">
              <w:t xml:space="preserve"> that DFAT examine whether the </w:t>
            </w:r>
            <w:r w:rsidR="006A3BB0">
              <w:t>E</w:t>
            </w:r>
            <w:r w:rsidR="00074DF0">
              <w:t xml:space="preserve">nd of </w:t>
            </w:r>
            <w:r w:rsidR="006A3BB0">
              <w:t>P</w:t>
            </w:r>
            <w:r w:rsidR="00074DF0">
              <w:t xml:space="preserve">rogram </w:t>
            </w:r>
            <w:r w:rsidR="006A3BB0">
              <w:t>O</w:t>
            </w:r>
            <w:r w:rsidR="00074DF0">
              <w:t xml:space="preserve">utcomes </w:t>
            </w:r>
            <w:r>
              <w:t>remain</w:t>
            </w:r>
            <w:r w:rsidR="00074DF0">
              <w:t xml:space="preserve"> relevant and align with policy priorities. </w:t>
            </w:r>
          </w:p>
        </w:tc>
        <w:tc>
          <w:tcPr>
            <w:tcW w:w="2977" w:type="dxa"/>
          </w:tcPr>
          <w:p w14:paraId="64B35CCB" w14:textId="240277DB" w:rsidR="00251DCD" w:rsidRDefault="00074DF0" w:rsidP="001E0D06">
            <w:pPr>
              <w:cnfStyle w:val="000000000000" w:firstRow="0" w:lastRow="0" w:firstColumn="0" w:lastColumn="0" w:oddVBand="0" w:evenVBand="0" w:oddHBand="0" w:evenHBand="0" w:firstRowFirstColumn="0" w:firstRowLastColumn="0" w:lastRowFirstColumn="0" w:lastRowLastColumn="0"/>
            </w:pPr>
            <w:r>
              <w:t>DFAT and Australian Volunteers Program staff will work together to revise the program logic, with the assistance of external specialists as required.</w:t>
            </w:r>
          </w:p>
        </w:tc>
        <w:tc>
          <w:tcPr>
            <w:tcW w:w="2410" w:type="dxa"/>
          </w:tcPr>
          <w:p w14:paraId="4FFBD46D" w14:textId="176FCDB9" w:rsidR="00251DCD" w:rsidRDefault="00D92293" w:rsidP="00461B30">
            <w:pPr>
              <w:jc w:val="center"/>
              <w:cnfStyle w:val="000000000000" w:firstRow="0" w:lastRow="0" w:firstColumn="0" w:lastColumn="0" w:oddVBand="0" w:evenVBand="0" w:oddHBand="0" w:evenHBand="0" w:firstRowFirstColumn="0" w:firstRowLastColumn="0" w:lastRowFirstColumn="0" w:lastRowLastColumn="0"/>
            </w:pPr>
            <w:r>
              <w:t xml:space="preserve">Completed by </w:t>
            </w:r>
            <w:r w:rsidR="002027ED">
              <w:t>30</w:t>
            </w:r>
            <w:r w:rsidR="00461B30">
              <w:t> </w:t>
            </w:r>
            <w:r w:rsidR="002027ED">
              <w:t>November</w:t>
            </w:r>
            <w:r w:rsidR="00E96060">
              <w:t xml:space="preserve"> </w:t>
            </w:r>
            <w:r>
              <w:t>2021.</w:t>
            </w:r>
          </w:p>
        </w:tc>
      </w:tr>
      <w:tr w:rsidR="008400FA" w14:paraId="3DDC21F4" w14:textId="77777777" w:rsidTr="008400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2F5F10CF" w14:textId="5E259BC1" w:rsidR="00251DCD" w:rsidRDefault="001E0D06" w:rsidP="001E0D06">
            <w:r>
              <w:t>5. That DFAT examine the value for money assessment and build on it by commissioning relevant follow-up work as required.</w:t>
            </w:r>
            <w:r w:rsidRPr="006F374E">
              <w:t xml:space="preserve"> </w:t>
            </w:r>
          </w:p>
        </w:tc>
        <w:tc>
          <w:tcPr>
            <w:tcW w:w="2126" w:type="dxa"/>
          </w:tcPr>
          <w:p w14:paraId="6D1491D0" w14:textId="77632D65" w:rsidR="00251DCD" w:rsidRDefault="001E0D06" w:rsidP="001E0D06">
            <w:pPr>
              <w:jc w:val="center"/>
              <w:cnfStyle w:val="000000100000" w:firstRow="0" w:lastRow="0" w:firstColumn="0" w:lastColumn="0" w:oddVBand="0" w:evenVBand="0" w:oddHBand="1" w:evenHBand="0" w:firstRowFirstColumn="0" w:firstRowLastColumn="0" w:lastRowFirstColumn="0" w:lastRowLastColumn="0"/>
            </w:pPr>
            <w:r>
              <w:t>Agree.</w:t>
            </w:r>
          </w:p>
        </w:tc>
        <w:tc>
          <w:tcPr>
            <w:tcW w:w="4536" w:type="dxa"/>
          </w:tcPr>
          <w:p w14:paraId="36580556" w14:textId="49BF6094" w:rsidR="00710112" w:rsidRDefault="00550785" w:rsidP="001E0D06">
            <w:pPr>
              <w:cnfStyle w:val="000000100000" w:firstRow="0" w:lastRow="0" w:firstColumn="0" w:lastColumn="0" w:oddVBand="0" w:evenVBand="0" w:oddHBand="1" w:evenHBand="0" w:firstRowFirstColumn="0" w:firstRowLastColumn="0" w:lastRowFirstColumn="0" w:lastRowLastColumn="0"/>
            </w:pPr>
            <w:r>
              <w:t xml:space="preserve">The </w:t>
            </w:r>
            <w:r w:rsidR="00074DF0">
              <w:t>Value for Money</w:t>
            </w:r>
            <w:r>
              <w:t xml:space="preserve"> Assessment </w:t>
            </w:r>
            <w:r w:rsidR="00C7660D">
              <w:t xml:space="preserve">undertaken </w:t>
            </w:r>
            <w:r>
              <w:t>by the program comprises a ‘proof of concept’</w:t>
            </w:r>
            <w:r w:rsidR="003379C4">
              <w:t xml:space="preserve"> and was envisaged to be an initial overview assessment only</w:t>
            </w:r>
            <w:r w:rsidR="00C7660D">
              <w:t>, to be followed by a</w:t>
            </w:r>
            <w:r>
              <w:t xml:space="preserve"> more </w:t>
            </w:r>
            <w:r w:rsidR="00D92293">
              <w:t>extensive</w:t>
            </w:r>
            <w:r>
              <w:t xml:space="preserve"> assessment</w:t>
            </w:r>
            <w:r w:rsidR="00D92293">
              <w:t xml:space="preserve"> </w:t>
            </w:r>
            <w:r>
              <w:t>at the end of the current phase (</w:t>
            </w:r>
            <w:proofErr w:type="gramStart"/>
            <w:r>
              <w:t>i</w:t>
            </w:r>
            <w:r w:rsidR="00106257">
              <w:t>.</w:t>
            </w:r>
            <w:r>
              <w:t>e.</w:t>
            </w:r>
            <w:proofErr w:type="gramEnd"/>
            <w:r>
              <w:t xml:space="preserve"> mid-2022). </w:t>
            </w:r>
          </w:p>
          <w:p w14:paraId="25D18484" w14:textId="77777777" w:rsidR="00710112" w:rsidRDefault="00710112" w:rsidP="001E0D06">
            <w:pPr>
              <w:cnfStyle w:val="000000100000" w:firstRow="0" w:lastRow="0" w:firstColumn="0" w:lastColumn="0" w:oddVBand="0" w:evenVBand="0" w:oddHBand="1" w:evenHBand="0" w:firstRowFirstColumn="0" w:firstRowLastColumn="0" w:lastRowFirstColumn="0" w:lastRowLastColumn="0"/>
            </w:pPr>
          </w:p>
          <w:p w14:paraId="33626B0E" w14:textId="5CEA849D" w:rsidR="00251DCD" w:rsidRDefault="00C7660D" w:rsidP="001E0D06">
            <w:pPr>
              <w:cnfStyle w:val="000000100000" w:firstRow="0" w:lastRow="0" w:firstColumn="0" w:lastColumn="0" w:oddVBand="0" w:evenVBand="0" w:oddHBand="1" w:evenHBand="0" w:firstRowFirstColumn="0" w:firstRowLastColumn="0" w:lastRowFirstColumn="0" w:lastRowLastColumn="0"/>
            </w:pPr>
            <w:r>
              <w:lastRenderedPageBreak/>
              <w:t xml:space="preserve">To complement these program-focused assessments, </w:t>
            </w:r>
            <w:r w:rsidR="00710112">
              <w:t xml:space="preserve">DFAT </w:t>
            </w:r>
            <w:r>
              <w:t xml:space="preserve">will </w:t>
            </w:r>
            <w:r w:rsidR="00710112">
              <w:t xml:space="preserve">commission </w:t>
            </w:r>
            <w:r>
              <w:t>a</w:t>
            </w:r>
            <w:r w:rsidR="00710112">
              <w:t xml:space="preserve"> value for money</w:t>
            </w:r>
            <w:r w:rsidR="004B5ACD">
              <w:t xml:space="preserve"> assessment</w:t>
            </w:r>
            <w:r w:rsidR="003379C4">
              <w:t xml:space="preserve">, the findings of which will </w:t>
            </w:r>
            <w:r w:rsidR="007051A5">
              <w:t xml:space="preserve">inform future </w:t>
            </w:r>
            <w:r w:rsidR="005E7573">
              <w:t xml:space="preserve">ongoing </w:t>
            </w:r>
            <w:r w:rsidR="003379C4">
              <w:t>management of the program</w:t>
            </w:r>
            <w:r w:rsidR="00710112">
              <w:t>.</w:t>
            </w:r>
          </w:p>
          <w:p w14:paraId="492AD6BE" w14:textId="4AFB920B" w:rsidR="00FC1828" w:rsidRDefault="00FC1828" w:rsidP="001E0D06">
            <w:pPr>
              <w:cnfStyle w:val="000000100000" w:firstRow="0" w:lastRow="0" w:firstColumn="0" w:lastColumn="0" w:oddVBand="0" w:evenVBand="0" w:oddHBand="1" w:evenHBand="0" w:firstRowFirstColumn="0" w:firstRowLastColumn="0" w:lastRowFirstColumn="0" w:lastRowLastColumn="0"/>
            </w:pPr>
          </w:p>
        </w:tc>
        <w:tc>
          <w:tcPr>
            <w:tcW w:w="2977" w:type="dxa"/>
          </w:tcPr>
          <w:p w14:paraId="0B7D0C5F" w14:textId="487CEDF0" w:rsidR="00251DCD" w:rsidRDefault="00074DF0" w:rsidP="001E0D06">
            <w:pPr>
              <w:cnfStyle w:val="000000100000" w:firstRow="0" w:lastRow="0" w:firstColumn="0" w:lastColumn="0" w:oddVBand="0" w:evenVBand="0" w:oddHBand="1" w:evenHBand="0" w:firstRowFirstColumn="0" w:firstRowLastColumn="0" w:lastRowFirstColumn="0" w:lastRowLastColumn="0"/>
            </w:pPr>
            <w:r>
              <w:lastRenderedPageBreak/>
              <w:t xml:space="preserve">DFAT will commission </w:t>
            </w:r>
            <w:r w:rsidR="00710112">
              <w:t>a</w:t>
            </w:r>
            <w:r>
              <w:t xml:space="preserve"> Value for Money assessment in 2022.</w:t>
            </w:r>
          </w:p>
        </w:tc>
        <w:tc>
          <w:tcPr>
            <w:tcW w:w="2410" w:type="dxa"/>
          </w:tcPr>
          <w:p w14:paraId="575047B7" w14:textId="07360F35" w:rsidR="00251DCD" w:rsidRDefault="00FC1828" w:rsidP="00461B30">
            <w:pPr>
              <w:jc w:val="center"/>
              <w:cnfStyle w:val="000000100000" w:firstRow="0" w:lastRow="0" w:firstColumn="0" w:lastColumn="0" w:oddVBand="0" w:evenVBand="0" w:oddHBand="1" w:evenHBand="0" w:firstRowFirstColumn="0" w:firstRowLastColumn="0" w:lastRowFirstColumn="0" w:lastRowLastColumn="0"/>
            </w:pPr>
            <w:r>
              <w:t xml:space="preserve">Completed </w:t>
            </w:r>
            <w:r w:rsidR="002027ED">
              <w:t>in 2022</w:t>
            </w:r>
            <w:r>
              <w:t>.</w:t>
            </w:r>
          </w:p>
        </w:tc>
      </w:tr>
      <w:tr w:rsidR="008400FA" w14:paraId="17FEDB7E" w14:textId="77777777" w:rsidTr="008400FA">
        <w:tc>
          <w:tcPr>
            <w:cnfStyle w:val="001000000000" w:firstRow="0" w:lastRow="0" w:firstColumn="1" w:lastColumn="0" w:oddVBand="0" w:evenVBand="0" w:oddHBand="0" w:evenHBand="0" w:firstRowFirstColumn="0" w:firstRowLastColumn="0" w:lastRowFirstColumn="0" w:lastRowLastColumn="0"/>
            <w:tcW w:w="2836" w:type="dxa"/>
          </w:tcPr>
          <w:p w14:paraId="4F98B8F6" w14:textId="2BFB6187" w:rsidR="00251DCD" w:rsidRDefault="001E0D06" w:rsidP="001E0D06">
            <w:r>
              <w:t xml:space="preserve">6. </w:t>
            </w:r>
            <w:r w:rsidRPr="006F374E">
              <w:t>That DFAT and senior program staff work together to address the role of the P</w:t>
            </w:r>
            <w:r w:rsidR="006A3BB0">
              <w:t xml:space="preserve">rogram </w:t>
            </w:r>
            <w:r w:rsidRPr="006F374E">
              <w:t>M</w:t>
            </w:r>
            <w:r w:rsidR="006A3BB0">
              <w:t xml:space="preserve">anagement </w:t>
            </w:r>
            <w:r w:rsidRPr="006F374E">
              <w:t>G</w:t>
            </w:r>
            <w:r w:rsidR="006A3BB0">
              <w:t>roup</w:t>
            </w:r>
            <w:r w:rsidRPr="006F374E">
              <w:t xml:space="preserve"> to ensure that it is fulfilling </w:t>
            </w:r>
            <w:proofErr w:type="gramStart"/>
            <w:r w:rsidRPr="006F374E">
              <w:t>all of</w:t>
            </w:r>
            <w:proofErr w:type="gramEnd"/>
            <w:r w:rsidRPr="006F374E">
              <w:t xml:space="preserve"> its mandated functions and DFAT is receiving an appropriate level of performance assurance and transparency commensurate with its role as the program’s funding body.</w:t>
            </w:r>
          </w:p>
          <w:p w14:paraId="410F6BC0" w14:textId="34F90099" w:rsidR="00666F1A" w:rsidRDefault="00666F1A" w:rsidP="001E0D06"/>
        </w:tc>
        <w:tc>
          <w:tcPr>
            <w:tcW w:w="2126" w:type="dxa"/>
          </w:tcPr>
          <w:p w14:paraId="07A583FD" w14:textId="6B106939" w:rsidR="00251DCD" w:rsidRDefault="001E0D06" w:rsidP="001E0D06">
            <w:pPr>
              <w:jc w:val="center"/>
              <w:cnfStyle w:val="000000000000" w:firstRow="0" w:lastRow="0" w:firstColumn="0" w:lastColumn="0" w:oddVBand="0" w:evenVBand="0" w:oddHBand="0" w:evenHBand="0" w:firstRowFirstColumn="0" w:firstRowLastColumn="0" w:lastRowFirstColumn="0" w:lastRowLastColumn="0"/>
            </w:pPr>
            <w:r>
              <w:t>Agree.</w:t>
            </w:r>
          </w:p>
        </w:tc>
        <w:tc>
          <w:tcPr>
            <w:tcW w:w="4536" w:type="dxa"/>
          </w:tcPr>
          <w:p w14:paraId="73C52F37" w14:textId="74A91814" w:rsidR="00251DCD" w:rsidRDefault="00710112" w:rsidP="001E0D06">
            <w:pPr>
              <w:cnfStyle w:val="000000000000" w:firstRow="0" w:lastRow="0" w:firstColumn="0" w:lastColumn="0" w:oddVBand="0" w:evenVBand="0" w:oddHBand="0" w:evenHBand="0" w:firstRowFirstColumn="0" w:firstRowLastColumn="0" w:lastRowFirstColumn="0" w:lastRowLastColumn="0"/>
            </w:pPr>
            <w:r>
              <w:t>As the program</w:t>
            </w:r>
            <w:r w:rsidR="004441EC">
              <w:t>’</w:t>
            </w:r>
            <w:r>
              <w:t>s governance body, t</w:t>
            </w:r>
            <w:r w:rsidR="00E6573E">
              <w:t xml:space="preserve">he Program Management Group </w:t>
            </w:r>
            <w:r>
              <w:t xml:space="preserve">provides DFAT and senior program staff with a mechanism to </w:t>
            </w:r>
            <w:r w:rsidR="00E6573E">
              <w:t>discuss program issues at a strategic level</w:t>
            </w:r>
            <w:r w:rsidR="00C7660D">
              <w:t xml:space="preserve"> bi-annually</w:t>
            </w:r>
            <w:r w:rsidR="00E6573E">
              <w:t xml:space="preserve">. </w:t>
            </w:r>
          </w:p>
        </w:tc>
        <w:tc>
          <w:tcPr>
            <w:tcW w:w="2977" w:type="dxa"/>
          </w:tcPr>
          <w:p w14:paraId="6EB1348F" w14:textId="0FCB7276" w:rsidR="00251DCD" w:rsidRDefault="00710112" w:rsidP="001E0D06">
            <w:pPr>
              <w:cnfStyle w:val="000000000000" w:firstRow="0" w:lastRow="0" w:firstColumn="0" w:lastColumn="0" w:oddVBand="0" w:evenVBand="0" w:oddHBand="0" w:evenHBand="0" w:firstRowFirstColumn="0" w:firstRowLastColumn="0" w:lastRowFirstColumn="0" w:lastRowLastColumn="0"/>
            </w:pPr>
            <w:r>
              <w:t xml:space="preserve">Through a process of internal review and consultation, </w:t>
            </w:r>
            <w:r w:rsidR="00074DF0">
              <w:t xml:space="preserve">DFAT and Australian Volunteers Program staff will </w:t>
            </w:r>
            <w:r>
              <w:t>scrutinise</w:t>
            </w:r>
            <w:r w:rsidR="00074DF0">
              <w:t xml:space="preserve"> </w:t>
            </w:r>
            <w:r>
              <w:t xml:space="preserve">how the Program Management Group is currently functioning and measures </w:t>
            </w:r>
            <w:r w:rsidR="004441EC">
              <w:t xml:space="preserve">that </w:t>
            </w:r>
            <w:r>
              <w:t xml:space="preserve">can be taken to strengthen its functions. </w:t>
            </w:r>
            <w:r w:rsidR="000E5A9A">
              <w:t xml:space="preserve">This will include updating the </w:t>
            </w:r>
            <w:r w:rsidR="006A3BB0">
              <w:t>Program Management Group’s</w:t>
            </w:r>
            <w:r w:rsidR="000E5A9A">
              <w:t xml:space="preserve"> terms of reference.</w:t>
            </w:r>
          </w:p>
        </w:tc>
        <w:tc>
          <w:tcPr>
            <w:tcW w:w="2410" w:type="dxa"/>
          </w:tcPr>
          <w:p w14:paraId="1F3A3B3A" w14:textId="5F0A64B5" w:rsidR="00251DCD" w:rsidRDefault="00486135" w:rsidP="00461B30">
            <w:pPr>
              <w:jc w:val="center"/>
              <w:cnfStyle w:val="000000000000" w:firstRow="0" w:lastRow="0" w:firstColumn="0" w:lastColumn="0" w:oddVBand="0" w:evenVBand="0" w:oddHBand="0" w:evenHBand="0" w:firstRowFirstColumn="0" w:firstRowLastColumn="0" w:lastRowFirstColumn="0" w:lastRowLastColumn="0"/>
            </w:pPr>
            <w:r>
              <w:t xml:space="preserve">Completed by </w:t>
            </w:r>
            <w:r w:rsidR="00C92F85">
              <w:t>3</w:t>
            </w:r>
            <w:r w:rsidR="002027ED">
              <w:t>0</w:t>
            </w:r>
            <w:r w:rsidR="00461B30">
              <w:t> </w:t>
            </w:r>
            <w:r w:rsidR="002027ED">
              <w:t xml:space="preserve">November </w:t>
            </w:r>
            <w:r>
              <w:t>2021.</w:t>
            </w:r>
          </w:p>
        </w:tc>
      </w:tr>
      <w:tr w:rsidR="008400FA" w14:paraId="7DEB0149" w14:textId="77777777" w:rsidTr="008400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273725D3" w14:textId="7E003181" w:rsidR="00251DCD" w:rsidRDefault="001E0D06" w:rsidP="001E0D06">
            <w:r>
              <w:t xml:space="preserve">7. </w:t>
            </w:r>
            <w:r w:rsidRPr="006F374E">
              <w:t>That DFAT and senior program staff work together to update the program</w:t>
            </w:r>
            <w:r>
              <w:t>’</w:t>
            </w:r>
            <w:r w:rsidRPr="006F374E">
              <w:t>s approach to risk management to include all main categories of risk.</w:t>
            </w:r>
          </w:p>
        </w:tc>
        <w:tc>
          <w:tcPr>
            <w:tcW w:w="2126" w:type="dxa"/>
          </w:tcPr>
          <w:p w14:paraId="09B2DA36" w14:textId="08C9AE88" w:rsidR="00251DCD" w:rsidRDefault="001E0D06" w:rsidP="001E0D06">
            <w:pPr>
              <w:jc w:val="center"/>
              <w:cnfStyle w:val="000000100000" w:firstRow="0" w:lastRow="0" w:firstColumn="0" w:lastColumn="0" w:oddVBand="0" w:evenVBand="0" w:oddHBand="1" w:evenHBand="0" w:firstRowFirstColumn="0" w:firstRowLastColumn="0" w:lastRowFirstColumn="0" w:lastRowLastColumn="0"/>
            </w:pPr>
            <w:r>
              <w:t>Agree.</w:t>
            </w:r>
          </w:p>
        </w:tc>
        <w:tc>
          <w:tcPr>
            <w:tcW w:w="4536" w:type="dxa"/>
          </w:tcPr>
          <w:p w14:paraId="2D69F2D4" w14:textId="277DC5C1" w:rsidR="00251DCD" w:rsidRDefault="00C0642A" w:rsidP="001E0D06">
            <w:pPr>
              <w:cnfStyle w:val="000000100000" w:firstRow="0" w:lastRow="0" w:firstColumn="0" w:lastColumn="0" w:oddVBand="0" w:evenVBand="0" w:oddHBand="1" w:evenHBand="0" w:firstRowFirstColumn="0" w:firstRowLastColumn="0" w:lastRowFirstColumn="0" w:lastRowLastColumn="0"/>
            </w:pPr>
            <w:r>
              <w:t>DFAT welcomes the</w:t>
            </w:r>
            <w:r w:rsidR="00FF01B5">
              <w:t xml:space="preserve"> opportunity to ensure all relevant risks </w:t>
            </w:r>
            <w:r w:rsidR="00710B4F">
              <w:t>in</w:t>
            </w:r>
            <w:r w:rsidR="00FF01B5">
              <w:t xml:space="preserve"> the program</w:t>
            </w:r>
            <w:r w:rsidR="00710B4F">
              <w:t xml:space="preserve"> are adequately captured </w:t>
            </w:r>
            <w:r w:rsidR="008B5C9D">
              <w:t>within the program</w:t>
            </w:r>
            <w:r w:rsidR="00FE6047">
              <w:t>’</w:t>
            </w:r>
            <w:r w:rsidR="008B5C9D">
              <w:t>s risk approach and aligned with DFAT’s aid risk management</w:t>
            </w:r>
            <w:r>
              <w:t xml:space="preserve"> framework</w:t>
            </w:r>
            <w:r w:rsidR="00B37C19">
              <w:t>, noting that risk review, monitoring and mitigation is an ongoing process</w:t>
            </w:r>
            <w:r w:rsidR="00A05453">
              <w:t>.</w:t>
            </w:r>
          </w:p>
        </w:tc>
        <w:tc>
          <w:tcPr>
            <w:tcW w:w="2977" w:type="dxa"/>
          </w:tcPr>
          <w:p w14:paraId="326FD3E2" w14:textId="77777777" w:rsidR="00FF01B5" w:rsidRDefault="00403FB2" w:rsidP="00E96060">
            <w:pPr>
              <w:cnfStyle w:val="000000100000" w:firstRow="0" w:lastRow="0" w:firstColumn="0" w:lastColumn="0" w:oddVBand="0" w:evenVBand="0" w:oddHBand="1" w:evenHBand="0" w:firstRowFirstColumn="0" w:firstRowLastColumn="0" w:lastRowFirstColumn="0" w:lastRowLastColumn="0"/>
            </w:pPr>
            <w:r>
              <w:t xml:space="preserve">The </w:t>
            </w:r>
            <w:r w:rsidR="00A05453">
              <w:t>program</w:t>
            </w:r>
            <w:r w:rsidR="00FE6047">
              <w:t>’</w:t>
            </w:r>
            <w:r w:rsidR="00A05453">
              <w:t xml:space="preserve">s </w:t>
            </w:r>
            <w:r>
              <w:t xml:space="preserve">Risk </w:t>
            </w:r>
            <w:r w:rsidR="00E96060">
              <w:t xml:space="preserve">Management </w:t>
            </w:r>
            <w:r>
              <w:t xml:space="preserve">Committee </w:t>
            </w:r>
            <w:r w:rsidR="00A05453">
              <w:t>(which includes representation from DFAT)</w:t>
            </w:r>
            <w:r>
              <w:t xml:space="preserve"> will review </w:t>
            </w:r>
            <w:r w:rsidR="001966B8">
              <w:t>the program</w:t>
            </w:r>
            <w:r w:rsidR="00FE6047">
              <w:t>’</w:t>
            </w:r>
            <w:r w:rsidR="001966B8">
              <w:t>s risk ma</w:t>
            </w:r>
            <w:r w:rsidR="00B63EF4">
              <w:t>nagement</w:t>
            </w:r>
            <w:r w:rsidR="00E96060">
              <w:t xml:space="preserve"> </w:t>
            </w:r>
            <w:r w:rsidR="00C92F85">
              <w:t>documentation to</w:t>
            </w:r>
            <w:r>
              <w:t xml:space="preserve"> ensure </w:t>
            </w:r>
            <w:r w:rsidR="000B25A1">
              <w:t xml:space="preserve">all relevant </w:t>
            </w:r>
            <w:r>
              <w:t xml:space="preserve">categories of risk </w:t>
            </w:r>
            <w:r w:rsidR="000B25A1">
              <w:t xml:space="preserve">are captured </w:t>
            </w:r>
            <w:r w:rsidR="00FE6047">
              <w:t>with</w:t>
            </w:r>
            <w:r w:rsidR="000B25A1">
              <w:t>in the program</w:t>
            </w:r>
            <w:r w:rsidR="00FE6047">
              <w:t>’</w:t>
            </w:r>
            <w:r w:rsidR="000B25A1">
              <w:t>s risk approa</w:t>
            </w:r>
            <w:r w:rsidR="00B63EF4">
              <w:t>ch</w:t>
            </w:r>
            <w:r w:rsidR="00C0642A">
              <w:t>.</w:t>
            </w:r>
            <w:r w:rsidR="00B63EF4">
              <w:t xml:space="preserve">  </w:t>
            </w:r>
          </w:p>
          <w:p w14:paraId="5495851B" w14:textId="03E99117" w:rsidR="00666F1A" w:rsidRDefault="00666F1A" w:rsidP="00E96060">
            <w:pPr>
              <w:cnfStyle w:val="000000100000" w:firstRow="0" w:lastRow="0" w:firstColumn="0" w:lastColumn="0" w:oddVBand="0" w:evenVBand="0" w:oddHBand="1" w:evenHBand="0" w:firstRowFirstColumn="0" w:firstRowLastColumn="0" w:lastRowFirstColumn="0" w:lastRowLastColumn="0"/>
            </w:pPr>
          </w:p>
        </w:tc>
        <w:tc>
          <w:tcPr>
            <w:tcW w:w="2410" w:type="dxa"/>
          </w:tcPr>
          <w:p w14:paraId="072051B3" w14:textId="0DBCC5A8" w:rsidR="00251DCD" w:rsidRDefault="000B25A1" w:rsidP="00461B30">
            <w:pPr>
              <w:jc w:val="center"/>
              <w:cnfStyle w:val="000000100000" w:firstRow="0" w:lastRow="0" w:firstColumn="0" w:lastColumn="0" w:oddVBand="0" w:evenVBand="0" w:oddHBand="1" w:evenHBand="0" w:firstRowFirstColumn="0" w:firstRowLastColumn="0" w:lastRowFirstColumn="0" w:lastRowLastColumn="0"/>
            </w:pPr>
            <w:r>
              <w:t>Ongoing</w:t>
            </w:r>
            <w:r w:rsidR="001F79A4">
              <w:t>.</w:t>
            </w:r>
          </w:p>
        </w:tc>
      </w:tr>
      <w:tr w:rsidR="008400FA" w14:paraId="4FBA3DE0" w14:textId="77777777" w:rsidTr="008400FA">
        <w:tc>
          <w:tcPr>
            <w:cnfStyle w:val="001000000000" w:firstRow="0" w:lastRow="0" w:firstColumn="1" w:lastColumn="0" w:oddVBand="0" w:evenVBand="0" w:oddHBand="0" w:evenHBand="0" w:firstRowFirstColumn="0" w:firstRowLastColumn="0" w:lastRowFirstColumn="0" w:lastRowLastColumn="0"/>
            <w:tcW w:w="2836" w:type="dxa"/>
          </w:tcPr>
          <w:p w14:paraId="7C0D2194" w14:textId="77777777" w:rsidR="001E0D06" w:rsidRDefault="001E0D06" w:rsidP="001E0D06">
            <w:r>
              <w:t xml:space="preserve">8. </w:t>
            </w:r>
            <w:r w:rsidRPr="006F374E">
              <w:t>In refreshing the program logic and E</w:t>
            </w:r>
            <w:r>
              <w:t xml:space="preserve">nd </w:t>
            </w:r>
            <w:r w:rsidRPr="006F374E">
              <w:t>o</w:t>
            </w:r>
            <w:r>
              <w:t xml:space="preserve">f </w:t>
            </w:r>
            <w:r w:rsidRPr="006F374E">
              <w:t>P</w:t>
            </w:r>
            <w:r>
              <w:t xml:space="preserve">rogram </w:t>
            </w:r>
            <w:r w:rsidRPr="006F374E">
              <w:t>O</w:t>
            </w:r>
            <w:r>
              <w:t>utcome</w:t>
            </w:r>
            <w:r w:rsidRPr="006F374E">
              <w:t xml:space="preserve">s, thought should </w:t>
            </w:r>
            <w:r w:rsidRPr="006F374E">
              <w:lastRenderedPageBreak/>
              <w:t>also be given to how best to incorporate alternative modalities within the program logic, and how success or failure of such modalities is to be determined.</w:t>
            </w:r>
          </w:p>
          <w:p w14:paraId="7B80564B" w14:textId="0720453E" w:rsidR="00666F1A" w:rsidRDefault="00666F1A" w:rsidP="001E0D06"/>
        </w:tc>
        <w:tc>
          <w:tcPr>
            <w:tcW w:w="2126" w:type="dxa"/>
          </w:tcPr>
          <w:p w14:paraId="057B6486" w14:textId="3B75E11C" w:rsidR="001E0D06" w:rsidRDefault="001E0D06" w:rsidP="001E0D06">
            <w:pPr>
              <w:jc w:val="center"/>
              <w:cnfStyle w:val="000000000000" w:firstRow="0" w:lastRow="0" w:firstColumn="0" w:lastColumn="0" w:oddVBand="0" w:evenVBand="0" w:oddHBand="0" w:evenHBand="0" w:firstRowFirstColumn="0" w:firstRowLastColumn="0" w:lastRowFirstColumn="0" w:lastRowLastColumn="0"/>
            </w:pPr>
            <w:r>
              <w:lastRenderedPageBreak/>
              <w:t>Agree.</w:t>
            </w:r>
          </w:p>
        </w:tc>
        <w:tc>
          <w:tcPr>
            <w:tcW w:w="4536" w:type="dxa"/>
          </w:tcPr>
          <w:p w14:paraId="69CC2418" w14:textId="18F68EB7" w:rsidR="001E0D06" w:rsidRDefault="004B5ACD" w:rsidP="001E0D06">
            <w:pPr>
              <w:cnfStyle w:val="000000000000" w:firstRow="0" w:lastRow="0" w:firstColumn="0" w:lastColumn="0" w:oddVBand="0" w:evenVBand="0" w:oddHBand="0" w:evenHBand="0" w:firstRowFirstColumn="0" w:firstRowLastColumn="0" w:lastRowFirstColumn="0" w:lastRowLastColumn="0"/>
            </w:pPr>
            <w:r>
              <w:t xml:space="preserve">DFAT agrees that the onset of COVID-19 and the </w:t>
            </w:r>
            <w:r w:rsidR="00EB44C3">
              <w:t>significant</w:t>
            </w:r>
            <w:r>
              <w:t xml:space="preserve"> restrictions on international travel present</w:t>
            </w:r>
            <w:r w:rsidR="00C0642A">
              <w:t>s</w:t>
            </w:r>
            <w:r>
              <w:t xml:space="preserve"> an opportunity for the Program to </w:t>
            </w:r>
            <w:r>
              <w:lastRenderedPageBreak/>
              <w:t xml:space="preserve">explore </w:t>
            </w:r>
            <w:r w:rsidR="000E5A9A">
              <w:t xml:space="preserve">additional </w:t>
            </w:r>
            <w:r>
              <w:t>ways it can achieve its End of Program Outcomes. This includes ways the Program can encourage and promote volunteering at local</w:t>
            </w:r>
            <w:r w:rsidR="00C0642A">
              <w:t xml:space="preserve"> levels</w:t>
            </w:r>
            <w:r>
              <w:t>.</w:t>
            </w:r>
          </w:p>
        </w:tc>
        <w:tc>
          <w:tcPr>
            <w:tcW w:w="2977" w:type="dxa"/>
          </w:tcPr>
          <w:p w14:paraId="5791AE7E" w14:textId="2F617914" w:rsidR="001E0D06" w:rsidRDefault="004B5ACD" w:rsidP="001E0D06">
            <w:pPr>
              <w:cnfStyle w:val="000000000000" w:firstRow="0" w:lastRow="0" w:firstColumn="0" w:lastColumn="0" w:oddVBand="0" w:evenVBand="0" w:oddHBand="0" w:evenHBand="0" w:firstRowFirstColumn="0" w:firstRowLastColumn="0" w:lastRowFirstColumn="0" w:lastRowLastColumn="0"/>
            </w:pPr>
            <w:r>
              <w:lastRenderedPageBreak/>
              <w:t xml:space="preserve">This will be considered as part of the program logic refresh process completed by DFAT and </w:t>
            </w:r>
            <w:r>
              <w:lastRenderedPageBreak/>
              <w:t>Australian Volunteers Program staff.</w:t>
            </w:r>
          </w:p>
        </w:tc>
        <w:tc>
          <w:tcPr>
            <w:tcW w:w="2410" w:type="dxa"/>
          </w:tcPr>
          <w:p w14:paraId="0AE008B2" w14:textId="511F74EC" w:rsidR="001E0D06" w:rsidRDefault="00486135" w:rsidP="00461B30">
            <w:pPr>
              <w:jc w:val="center"/>
              <w:cnfStyle w:val="000000000000" w:firstRow="0" w:lastRow="0" w:firstColumn="0" w:lastColumn="0" w:oddVBand="0" w:evenVBand="0" w:oddHBand="0" w:evenHBand="0" w:firstRowFirstColumn="0" w:firstRowLastColumn="0" w:lastRowFirstColumn="0" w:lastRowLastColumn="0"/>
            </w:pPr>
            <w:r>
              <w:lastRenderedPageBreak/>
              <w:t>Completed by</w:t>
            </w:r>
            <w:r w:rsidR="00E96060">
              <w:t xml:space="preserve"> </w:t>
            </w:r>
            <w:r w:rsidR="002027ED">
              <w:t>30</w:t>
            </w:r>
            <w:r w:rsidR="00461B30">
              <w:t> </w:t>
            </w:r>
            <w:r w:rsidR="002027ED">
              <w:t>November</w:t>
            </w:r>
            <w:r w:rsidR="00E96060">
              <w:t xml:space="preserve"> </w:t>
            </w:r>
            <w:r>
              <w:t>2021.</w:t>
            </w:r>
          </w:p>
        </w:tc>
      </w:tr>
      <w:tr w:rsidR="008400FA" w14:paraId="3F3918C0" w14:textId="77777777" w:rsidTr="008400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655EE8E8" w14:textId="77777777" w:rsidR="001E0D06" w:rsidRDefault="001E0D06" w:rsidP="001E0D06">
            <w:r>
              <w:t xml:space="preserve">9. </w:t>
            </w:r>
            <w:r w:rsidRPr="006F374E">
              <w:t>That the contribution of the Innovation Fund to achievement of program goals is clarified and given more visibility in the program logic and the fund continues to be used as a vehicle to help the program stay strategic in approach and remain relevant as wider social issues shape the aid sector. In doing so there needs to be commitment not only to piloting alternative volunteering modalities but to mainstreaming them within the program.</w:t>
            </w:r>
          </w:p>
          <w:p w14:paraId="43CC9EF6" w14:textId="1ECE249A" w:rsidR="00666F1A" w:rsidRPr="001E0D06" w:rsidRDefault="00666F1A" w:rsidP="001E0D06">
            <w:pPr>
              <w:rPr>
                <w:rFonts w:eastAsia="MS PGothic" w:cs="Arial"/>
                <w:highlight w:val="yellow"/>
              </w:rPr>
            </w:pPr>
          </w:p>
        </w:tc>
        <w:tc>
          <w:tcPr>
            <w:tcW w:w="2126" w:type="dxa"/>
          </w:tcPr>
          <w:p w14:paraId="1BFB230E" w14:textId="5FE77222" w:rsidR="001E0D06" w:rsidRDefault="001E0D06" w:rsidP="001E0D06">
            <w:pPr>
              <w:jc w:val="center"/>
              <w:cnfStyle w:val="000000100000" w:firstRow="0" w:lastRow="0" w:firstColumn="0" w:lastColumn="0" w:oddVBand="0" w:evenVBand="0" w:oddHBand="1" w:evenHBand="0" w:firstRowFirstColumn="0" w:firstRowLastColumn="0" w:lastRowFirstColumn="0" w:lastRowLastColumn="0"/>
            </w:pPr>
            <w:r>
              <w:t>Agree.</w:t>
            </w:r>
          </w:p>
        </w:tc>
        <w:tc>
          <w:tcPr>
            <w:tcW w:w="4536" w:type="dxa"/>
          </w:tcPr>
          <w:p w14:paraId="0C7C81D8" w14:textId="027A47E3" w:rsidR="001E0D06" w:rsidRDefault="00600838" w:rsidP="001E0D06">
            <w:pPr>
              <w:cnfStyle w:val="000000100000" w:firstRow="0" w:lastRow="0" w:firstColumn="0" w:lastColumn="0" w:oddVBand="0" w:evenVBand="0" w:oddHBand="1" w:evenHBand="0" w:firstRowFirstColumn="0" w:firstRowLastColumn="0" w:lastRowFirstColumn="0" w:lastRowLastColumn="0"/>
            </w:pPr>
            <w:r>
              <w:t xml:space="preserve">DFAT agrees that the Innovation Fund’s unique and rigorous model of piloting and testing new approaches and modalities should be given more prominence within the program logic and become formally embedded as part of program implementation going forward. </w:t>
            </w:r>
          </w:p>
        </w:tc>
        <w:tc>
          <w:tcPr>
            <w:tcW w:w="2977" w:type="dxa"/>
          </w:tcPr>
          <w:p w14:paraId="1F8DDFF6" w14:textId="36C55FF9" w:rsidR="001E0D06" w:rsidRDefault="00600838" w:rsidP="001E0D06">
            <w:pPr>
              <w:cnfStyle w:val="000000100000" w:firstRow="0" w:lastRow="0" w:firstColumn="0" w:lastColumn="0" w:oddVBand="0" w:evenVBand="0" w:oddHBand="1" w:evenHBand="0" w:firstRowFirstColumn="0" w:firstRowLastColumn="0" w:lastRowFirstColumn="0" w:lastRowLastColumn="0"/>
            </w:pPr>
            <w:r>
              <w:t xml:space="preserve">This will be considered as part of the program logic refresh process completed by DFAT and Australian Volunteers Program staff. </w:t>
            </w:r>
          </w:p>
        </w:tc>
        <w:tc>
          <w:tcPr>
            <w:tcW w:w="2410" w:type="dxa"/>
          </w:tcPr>
          <w:p w14:paraId="20D5A574" w14:textId="19B9ACFE" w:rsidR="001E0D06" w:rsidRDefault="00486135" w:rsidP="00461B30">
            <w:pPr>
              <w:jc w:val="center"/>
              <w:cnfStyle w:val="000000100000" w:firstRow="0" w:lastRow="0" w:firstColumn="0" w:lastColumn="0" w:oddVBand="0" w:evenVBand="0" w:oddHBand="1" w:evenHBand="0" w:firstRowFirstColumn="0" w:firstRowLastColumn="0" w:lastRowFirstColumn="0" w:lastRowLastColumn="0"/>
            </w:pPr>
            <w:r>
              <w:t xml:space="preserve">Completed by </w:t>
            </w:r>
            <w:r w:rsidR="002027ED">
              <w:t>30</w:t>
            </w:r>
            <w:r w:rsidR="00461B30">
              <w:t> </w:t>
            </w:r>
            <w:r w:rsidR="002027ED">
              <w:t>November</w:t>
            </w:r>
            <w:r w:rsidR="00E96060">
              <w:t xml:space="preserve"> </w:t>
            </w:r>
            <w:r>
              <w:t>2021.</w:t>
            </w:r>
          </w:p>
        </w:tc>
      </w:tr>
    </w:tbl>
    <w:p w14:paraId="58CE2E98" w14:textId="7AE0B3FA" w:rsidR="003E1305" w:rsidRDefault="003E1305">
      <w:pPr>
        <w:spacing w:after="0"/>
        <w:ind w:left="260"/>
        <w:jc w:val="both"/>
      </w:pPr>
    </w:p>
    <w:sectPr w:rsidR="003E1305">
      <w:headerReference w:type="even" r:id="rId8"/>
      <w:headerReference w:type="default" r:id="rId9"/>
      <w:footerReference w:type="even" r:id="rId10"/>
      <w:footerReference w:type="default" r:id="rId11"/>
      <w:headerReference w:type="first" r:id="rId12"/>
      <w:footerReference w:type="first" r:id="rId13"/>
      <w:pgSz w:w="16838" w:h="11904" w:orient="landscape"/>
      <w:pgMar w:top="1440" w:right="1440" w:bottom="1440" w:left="1440" w:header="1133" w:footer="7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7DFE1E" w14:textId="77777777" w:rsidR="00522A84" w:rsidRDefault="00522A84">
      <w:pPr>
        <w:spacing w:after="0" w:line="240" w:lineRule="auto"/>
      </w:pPr>
      <w:r>
        <w:separator/>
      </w:r>
    </w:p>
  </w:endnote>
  <w:endnote w:type="continuationSeparator" w:id="0">
    <w:p w14:paraId="2E9397D7" w14:textId="77777777" w:rsidR="00522A84" w:rsidRDefault="00522A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644158" w14:textId="28504F8D" w:rsidR="003E1305" w:rsidRPr="00D92293" w:rsidRDefault="00E6573E" w:rsidP="00D92293">
    <w:pPr>
      <w:tabs>
        <w:tab w:val="center" w:pos="2324"/>
        <w:tab w:val="center" w:pos="6838"/>
        <w:tab w:val="center" w:pos="11282"/>
      </w:tabs>
      <w:spacing w:after="0"/>
      <w:jc w:val="center"/>
      <w:rPr>
        <w:sz w:val="16"/>
        <w:szCs w:val="16"/>
      </w:rPr>
    </w:pPr>
    <w:r w:rsidRPr="00D92293">
      <w:rPr>
        <w:color w:val="000000"/>
        <w:sz w:val="16"/>
        <w:szCs w:val="16"/>
      </w:rPr>
      <w:fldChar w:fldCharType="begin"/>
    </w:r>
    <w:r w:rsidRPr="00D92293">
      <w:rPr>
        <w:sz w:val="16"/>
        <w:szCs w:val="16"/>
      </w:rPr>
      <w:instrText xml:space="preserve"> PAGE   \* MERGEFORMAT </w:instrText>
    </w:r>
    <w:r w:rsidRPr="00D92293">
      <w:rPr>
        <w:color w:val="000000"/>
        <w:sz w:val="16"/>
        <w:szCs w:val="16"/>
      </w:rPr>
      <w:fldChar w:fldCharType="separate"/>
    </w:r>
    <w:r w:rsidR="00E96060" w:rsidRPr="00E96060">
      <w:rPr>
        <w:noProof/>
        <w:color w:val="495965"/>
        <w:sz w:val="16"/>
        <w:szCs w:val="16"/>
      </w:rPr>
      <w:t>6</w:t>
    </w:r>
    <w:r w:rsidRPr="00D92293">
      <w:rPr>
        <w:color w:val="495965"/>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CEA861" w14:textId="4DFA72FB" w:rsidR="003E1305" w:rsidRPr="00D92293" w:rsidRDefault="00E6573E" w:rsidP="00D92293">
    <w:pPr>
      <w:tabs>
        <w:tab w:val="center" w:pos="2324"/>
        <w:tab w:val="center" w:pos="6838"/>
        <w:tab w:val="left" w:pos="11160"/>
        <w:tab w:val="center" w:pos="11282"/>
      </w:tabs>
      <w:spacing w:after="0"/>
      <w:jc w:val="center"/>
      <w:rPr>
        <w:sz w:val="20"/>
        <w:szCs w:val="20"/>
      </w:rPr>
    </w:pPr>
    <w:r w:rsidRPr="00D92293">
      <w:rPr>
        <w:color w:val="000000"/>
        <w:sz w:val="20"/>
        <w:szCs w:val="20"/>
      </w:rPr>
      <w:fldChar w:fldCharType="begin"/>
    </w:r>
    <w:r w:rsidRPr="00D92293">
      <w:rPr>
        <w:sz w:val="20"/>
        <w:szCs w:val="20"/>
      </w:rPr>
      <w:instrText xml:space="preserve"> PAGE   \* MERGEFORMAT </w:instrText>
    </w:r>
    <w:r w:rsidRPr="00D92293">
      <w:rPr>
        <w:color w:val="000000"/>
        <w:sz w:val="20"/>
        <w:szCs w:val="20"/>
      </w:rPr>
      <w:fldChar w:fldCharType="separate"/>
    </w:r>
    <w:r w:rsidR="00E96060" w:rsidRPr="00E96060">
      <w:rPr>
        <w:noProof/>
        <w:color w:val="495965"/>
        <w:sz w:val="20"/>
        <w:szCs w:val="20"/>
      </w:rPr>
      <w:t>5</w:t>
    </w:r>
    <w:r w:rsidRPr="00D92293">
      <w:rPr>
        <w:color w:val="495965"/>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7C224" w14:textId="77777777" w:rsidR="003E1305" w:rsidRDefault="00E6573E">
    <w:pPr>
      <w:tabs>
        <w:tab w:val="center" w:pos="2324"/>
        <w:tab w:val="center" w:pos="6838"/>
        <w:tab w:val="center" w:pos="11282"/>
      </w:tabs>
      <w:spacing w:after="0"/>
    </w:pPr>
    <w:r>
      <w:tab/>
    </w:r>
    <w:r>
      <w:rPr>
        <w:sz w:val="28"/>
      </w:rPr>
      <w:t xml:space="preserve"> </w:t>
    </w:r>
    <w:r>
      <w:rPr>
        <w:sz w:val="28"/>
      </w:rPr>
      <w:tab/>
      <w:t xml:space="preserve"> </w:t>
    </w:r>
    <w:r>
      <w:rPr>
        <w:sz w:val="28"/>
      </w:rPr>
      <w:tab/>
    </w:r>
    <w:r>
      <w:rPr>
        <w:color w:val="000000"/>
        <w:sz w:val="22"/>
      </w:rPr>
      <w:fldChar w:fldCharType="begin"/>
    </w:r>
    <w:r>
      <w:instrText xml:space="preserve"> PAGE   \* MERGEFORMAT </w:instrText>
    </w:r>
    <w:r>
      <w:rPr>
        <w:color w:val="000000"/>
        <w:sz w:val="22"/>
      </w:rPr>
      <w:fldChar w:fldCharType="separate"/>
    </w:r>
    <w:r>
      <w:rPr>
        <w:color w:val="495965"/>
        <w:sz w:val="28"/>
      </w:rPr>
      <w:t>2</w:t>
    </w:r>
    <w:r>
      <w:rPr>
        <w:color w:val="495965"/>
        <w:sz w:val="28"/>
      </w:rPr>
      <w:fldChar w:fldCharType="end"/>
    </w:r>
    <w:r>
      <w:rPr>
        <w:sz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628E7E" w14:textId="77777777" w:rsidR="00522A84" w:rsidRDefault="00522A84">
      <w:pPr>
        <w:spacing w:after="0" w:line="240" w:lineRule="auto"/>
      </w:pPr>
      <w:r>
        <w:separator/>
      </w:r>
    </w:p>
  </w:footnote>
  <w:footnote w:type="continuationSeparator" w:id="0">
    <w:p w14:paraId="34AA59F0" w14:textId="77777777" w:rsidR="00522A84" w:rsidRDefault="00522A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703D8" w14:textId="77777777" w:rsidR="003E1305" w:rsidRDefault="00E6573E">
    <w:r>
      <w:rPr>
        <w:noProof/>
      </w:rPr>
      <mc:AlternateContent>
        <mc:Choice Requires="wpg">
          <w:drawing>
            <wp:inline distT="0" distB="0" distL="0" distR="0" wp14:anchorId="5DC3BF8A" wp14:editId="4B4A4135">
              <wp:extent cx="1" cy="1"/>
              <wp:effectExtent l="0" t="0" r="0" b="0"/>
              <wp:docPr id="19073" name="Group 19073" descr="The following table summarises DFAT's response, explanation, action plan and timeframe to each of the Evaluation recommendations,"/>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inline>
          </w:drawing>
        </mc:Choice>
        <mc:Fallback>
          <w:pict>
            <v:group w14:anchorId="6673B488" id="Group 19073" o:spid="_x0000_s1026" alt="The following table summarises DFAT's response, explanation, action plan and timeframe to each of the Evaluation recommendations," style="width:0;height:0;mso-position-horizontal-relative:char;mso-position-vertical-relative:lin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">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429C4" w14:textId="77777777" w:rsidR="003E1305" w:rsidRDefault="003E1305">
    <w:pPr>
      <w:spacing w:after="0"/>
      <w:ind w:left="-1440" w:right="15398"/>
    </w:pPr>
  </w:p>
  <w:p w14:paraId="05C32038" w14:textId="77777777" w:rsidR="003E1305" w:rsidRDefault="00E6573E">
    <w:r>
      <w:rPr>
        <w:noProof/>
      </w:rPr>
      <mc:AlternateContent>
        <mc:Choice Requires="wpg">
          <w:drawing>
            <wp:anchor distT="0" distB="0" distL="114300" distR="114300" simplePos="0" relativeHeight="251658240" behindDoc="1" locked="0" layoutInCell="1" allowOverlap="1" wp14:anchorId="181A9639" wp14:editId="7AB47D4B">
              <wp:simplePos x="0" y="0"/>
              <wp:positionH relativeFrom="page">
                <wp:posOffset>0</wp:posOffset>
              </wp:positionH>
              <wp:positionV relativeFrom="page">
                <wp:posOffset>0</wp:posOffset>
              </wp:positionV>
              <wp:extent cx="1" cy="1"/>
              <wp:effectExtent l="0" t="0" r="0" b="0"/>
              <wp:wrapNone/>
              <wp:docPr id="18998" name="Group 1899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4E1E3198" id="Group 18998" o:spid="_x0000_s1026" alt="&quot;&quot;" style="position:absolute;margin-left:0;margin-top:0;width:0;height:0;z-index:-251658240;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J+If2VABAACwAgAADgAAAAAAAAAAAAAAAAAuAgAAZHJz&#10;L2Uyb0RvYy54bWxQSwECLQAUAAYACAAAACEAP6VAatYAAAD/AAAADwAAAAAAAAAAAAAAAACqAwAA&#10;ZHJzL2Rvd25yZXYueG1sUEsFBgAAAAAEAAQA8wAAAK0EA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vertAnchor="page" w:horzAnchor="page" w:tblpX="994" w:tblpY="1155"/>
      <w:tblOverlap w:val="never"/>
      <w:tblW w:w="14884" w:type="dxa"/>
      <w:tblInd w:w="0" w:type="dxa"/>
      <w:tblCellMar>
        <w:top w:w="82" w:type="dxa"/>
        <w:left w:w="106" w:type="dxa"/>
        <w:right w:w="115" w:type="dxa"/>
      </w:tblCellMar>
      <w:tblLook w:val="04A0" w:firstRow="1" w:lastRow="0" w:firstColumn="1" w:lastColumn="0" w:noHBand="0" w:noVBand="1"/>
    </w:tblPr>
    <w:tblGrid>
      <w:gridCol w:w="14884"/>
    </w:tblGrid>
    <w:tr w:rsidR="003E1305" w14:paraId="527DA014" w14:textId="77777777">
      <w:trPr>
        <w:trHeight w:val="487"/>
      </w:trPr>
      <w:tc>
        <w:tcPr>
          <w:tcW w:w="14884" w:type="dxa"/>
          <w:tcBorders>
            <w:top w:val="single" w:sz="23" w:space="0" w:color="D3875F"/>
            <w:left w:val="nil"/>
            <w:bottom w:val="single" w:sz="23" w:space="0" w:color="F6E6DE"/>
            <w:right w:val="nil"/>
          </w:tcBorders>
          <w:shd w:val="clear" w:color="auto" w:fill="D3875F"/>
        </w:tcPr>
        <w:p w14:paraId="155AABCD" w14:textId="77777777" w:rsidR="003E1305" w:rsidRDefault="00E6573E">
          <w:pPr>
            <w:tabs>
              <w:tab w:val="center" w:pos="838"/>
              <w:tab w:val="center" w:pos="3276"/>
              <w:tab w:val="center" w:pos="5549"/>
              <w:tab w:val="center" w:pos="10022"/>
              <w:tab w:val="center" w:pos="13113"/>
            </w:tabs>
          </w:pPr>
          <w:r>
            <w:tab/>
          </w:r>
          <w:r>
            <w:rPr>
              <w:b/>
              <w:color w:val="FFFFFF"/>
            </w:rPr>
            <w:t xml:space="preserve"> Recommendation</w:t>
          </w:r>
          <w:r>
            <w:rPr>
              <w:b/>
              <w:color w:val="495965"/>
            </w:rPr>
            <w:t xml:space="preserve"> </w:t>
          </w:r>
          <w:r>
            <w:rPr>
              <w:b/>
              <w:color w:val="495965"/>
            </w:rPr>
            <w:tab/>
          </w:r>
          <w:r>
            <w:rPr>
              <w:b/>
              <w:color w:val="FFFFFF"/>
            </w:rPr>
            <w:t xml:space="preserve">Response </w:t>
          </w:r>
          <w:r>
            <w:rPr>
              <w:b/>
              <w:color w:val="FFFFFF"/>
            </w:rPr>
            <w:tab/>
            <w:t xml:space="preserve">Explanation </w:t>
          </w:r>
          <w:r>
            <w:rPr>
              <w:b/>
              <w:color w:val="FFFFFF"/>
            </w:rPr>
            <w:tab/>
            <w:t xml:space="preserve">Action Plan </w:t>
          </w:r>
          <w:r>
            <w:rPr>
              <w:b/>
              <w:color w:val="FFFFFF"/>
            </w:rPr>
            <w:tab/>
            <w:t xml:space="preserve">Timeframe </w:t>
          </w:r>
        </w:p>
      </w:tc>
    </w:tr>
  </w:tbl>
  <w:p w14:paraId="3872F97B" w14:textId="77777777" w:rsidR="003E1305" w:rsidRDefault="003E1305">
    <w:pPr>
      <w:spacing w:after="0"/>
      <w:ind w:left="-1440" w:right="15398"/>
    </w:pPr>
  </w:p>
  <w:p w14:paraId="2DD9B1D6" w14:textId="77777777" w:rsidR="003E1305" w:rsidRDefault="00E6573E">
    <w:r>
      <w:rPr>
        <w:noProof/>
      </w:rPr>
      <mc:AlternateContent>
        <mc:Choice Requires="wpg">
          <w:drawing>
            <wp:anchor distT="0" distB="0" distL="114300" distR="114300" simplePos="0" relativeHeight="251669504" behindDoc="1" locked="0" layoutInCell="1" allowOverlap="1" wp14:anchorId="0FC59273" wp14:editId="7937ADCA">
              <wp:simplePos x="0" y="0"/>
              <wp:positionH relativeFrom="page">
                <wp:posOffset>0</wp:posOffset>
              </wp:positionH>
              <wp:positionV relativeFrom="page">
                <wp:posOffset>0</wp:posOffset>
              </wp:positionV>
              <wp:extent cx="1" cy="1"/>
              <wp:effectExtent l="0" t="0" r="0" b="0"/>
              <wp:wrapNone/>
              <wp:docPr id="18923" name="Group 189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0F17472A" id="Group 18923" o:spid="_x0000_s1026" alt="&quot;&quot;" style="position:absolute;margin-left:0;margin-top:0;width:0;height:0;z-index:-25164697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CKww5FABAACwAgAADgAAAAAAAAAAAAAAAAAuAgAAZHJz&#10;L2Uyb0RvYy54bWxQSwECLQAUAAYACAAAACEAP6VAatYAAAD/AAAADwAAAAAAAAAAAAAAAACqAwAA&#10;ZHJzL2Rvd25yZXYueG1sUEsFBgAAAAAEAAQA8wAAAK0EA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4C3B75"/>
    <w:multiLevelType w:val="hybridMultilevel"/>
    <w:tmpl w:val="543A9A2A"/>
    <w:lvl w:ilvl="0" w:tplc="CFA443A6">
      <w:start w:val="1"/>
      <w:numFmt w:val="bullet"/>
      <w:lvlText w:val="•"/>
      <w:lvlJc w:val="left"/>
      <w:pPr>
        <w:ind w:left="317"/>
      </w:pPr>
      <w:rPr>
        <w:rFonts w:ascii="Arial" w:eastAsia="Arial" w:hAnsi="Arial" w:cs="Arial"/>
        <w:b w:val="0"/>
        <w:i w:val="0"/>
        <w:strike w:val="0"/>
        <w:dstrike w:val="0"/>
        <w:color w:val="495965"/>
        <w:sz w:val="22"/>
        <w:szCs w:val="22"/>
        <w:u w:val="none" w:color="000000"/>
        <w:bdr w:val="none" w:sz="0" w:space="0" w:color="auto"/>
        <w:shd w:val="clear" w:color="auto" w:fill="auto"/>
        <w:vertAlign w:val="baseline"/>
      </w:rPr>
    </w:lvl>
    <w:lvl w:ilvl="1" w:tplc="8EC0D886">
      <w:start w:val="1"/>
      <w:numFmt w:val="bullet"/>
      <w:lvlText w:val="o"/>
      <w:lvlJc w:val="left"/>
      <w:pPr>
        <w:ind w:left="1118"/>
      </w:pPr>
      <w:rPr>
        <w:rFonts w:ascii="Segoe UI Symbol" w:eastAsia="Segoe UI Symbol" w:hAnsi="Segoe UI Symbol" w:cs="Segoe UI Symbol"/>
        <w:b w:val="0"/>
        <w:i w:val="0"/>
        <w:strike w:val="0"/>
        <w:dstrike w:val="0"/>
        <w:color w:val="495965"/>
        <w:sz w:val="22"/>
        <w:szCs w:val="22"/>
        <w:u w:val="none" w:color="000000"/>
        <w:bdr w:val="none" w:sz="0" w:space="0" w:color="auto"/>
        <w:shd w:val="clear" w:color="auto" w:fill="auto"/>
        <w:vertAlign w:val="baseline"/>
      </w:rPr>
    </w:lvl>
    <w:lvl w:ilvl="2" w:tplc="172C3196">
      <w:start w:val="1"/>
      <w:numFmt w:val="bullet"/>
      <w:lvlText w:val="▪"/>
      <w:lvlJc w:val="left"/>
      <w:pPr>
        <w:ind w:left="1838"/>
      </w:pPr>
      <w:rPr>
        <w:rFonts w:ascii="Segoe UI Symbol" w:eastAsia="Segoe UI Symbol" w:hAnsi="Segoe UI Symbol" w:cs="Segoe UI Symbol"/>
        <w:b w:val="0"/>
        <w:i w:val="0"/>
        <w:strike w:val="0"/>
        <w:dstrike w:val="0"/>
        <w:color w:val="495965"/>
        <w:sz w:val="22"/>
        <w:szCs w:val="22"/>
        <w:u w:val="none" w:color="000000"/>
        <w:bdr w:val="none" w:sz="0" w:space="0" w:color="auto"/>
        <w:shd w:val="clear" w:color="auto" w:fill="auto"/>
        <w:vertAlign w:val="baseline"/>
      </w:rPr>
    </w:lvl>
    <w:lvl w:ilvl="3" w:tplc="AB4048A0">
      <w:start w:val="1"/>
      <w:numFmt w:val="bullet"/>
      <w:lvlText w:val="•"/>
      <w:lvlJc w:val="left"/>
      <w:pPr>
        <w:ind w:left="2558"/>
      </w:pPr>
      <w:rPr>
        <w:rFonts w:ascii="Arial" w:eastAsia="Arial" w:hAnsi="Arial" w:cs="Arial"/>
        <w:b w:val="0"/>
        <w:i w:val="0"/>
        <w:strike w:val="0"/>
        <w:dstrike w:val="0"/>
        <w:color w:val="495965"/>
        <w:sz w:val="22"/>
        <w:szCs w:val="22"/>
        <w:u w:val="none" w:color="000000"/>
        <w:bdr w:val="none" w:sz="0" w:space="0" w:color="auto"/>
        <w:shd w:val="clear" w:color="auto" w:fill="auto"/>
        <w:vertAlign w:val="baseline"/>
      </w:rPr>
    </w:lvl>
    <w:lvl w:ilvl="4" w:tplc="A0C08EF8">
      <w:start w:val="1"/>
      <w:numFmt w:val="bullet"/>
      <w:lvlText w:val="o"/>
      <w:lvlJc w:val="left"/>
      <w:pPr>
        <w:ind w:left="3278"/>
      </w:pPr>
      <w:rPr>
        <w:rFonts w:ascii="Segoe UI Symbol" w:eastAsia="Segoe UI Symbol" w:hAnsi="Segoe UI Symbol" w:cs="Segoe UI Symbol"/>
        <w:b w:val="0"/>
        <w:i w:val="0"/>
        <w:strike w:val="0"/>
        <w:dstrike w:val="0"/>
        <w:color w:val="495965"/>
        <w:sz w:val="22"/>
        <w:szCs w:val="22"/>
        <w:u w:val="none" w:color="000000"/>
        <w:bdr w:val="none" w:sz="0" w:space="0" w:color="auto"/>
        <w:shd w:val="clear" w:color="auto" w:fill="auto"/>
        <w:vertAlign w:val="baseline"/>
      </w:rPr>
    </w:lvl>
    <w:lvl w:ilvl="5" w:tplc="6804BEC8">
      <w:start w:val="1"/>
      <w:numFmt w:val="bullet"/>
      <w:lvlText w:val="▪"/>
      <w:lvlJc w:val="left"/>
      <w:pPr>
        <w:ind w:left="3998"/>
      </w:pPr>
      <w:rPr>
        <w:rFonts w:ascii="Segoe UI Symbol" w:eastAsia="Segoe UI Symbol" w:hAnsi="Segoe UI Symbol" w:cs="Segoe UI Symbol"/>
        <w:b w:val="0"/>
        <w:i w:val="0"/>
        <w:strike w:val="0"/>
        <w:dstrike w:val="0"/>
        <w:color w:val="495965"/>
        <w:sz w:val="22"/>
        <w:szCs w:val="22"/>
        <w:u w:val="none" w:color="000000"/>
        <w:bdr w:val="none" w:sz="0" w:space="0" w:color="auto"/>
        <w:shd w:val="clear" w:color="auto" w:fill="auto"/>
        <w:vertAlign w:val="baseline"/>
      </w:rPr>
    </w:lvl>
    <w:lvl w:ilvl="6" w:tplc="9AC27B76">
      <w:start w:val="1"/>
      <w:numFmt w:val="bullet"/>
      <w:lvlText w:val="•"/>
      <w:lvlJc w:val="left"/>
      <w:pPr>
        <w:ind w:left="4718"/>
      </w:pPr>
      <w:rPr>
        <w:rFonts w:ascii="Arial" w:eastAsia="Arial" w:hAnsi="Arial" w:cs="Arial"/>
        <w:b w:val="0"/>
        <w:i w:val="0"/>
        <w:strike w:val="0"/>
        <w:dstrike w:val="0"/>
        <w:color w:val="495965"/>
        <w:sz w:val="22"/>
        <w:szCs w:val="22"/>
        <w:u w:val="none" w:color="000000"/>
        <w:bdr w:val="none" w:sz="0" w:space="0" w:color="auto"/>
        <w:shd w:val="clear" w:color="auto" w:fill="auto"/>
        <w:vertAlign w:val="baseline"/>
      </w:rPr>
    </w:lvl>
    <w:lvl w:ilvl="7" w:tplc="DB92FB5E">
      <w:start w:val="1"/>
      <w:numFmt w:val="bullet"/>
      <w:lvlText w:val="o"/>
      <w:lvlJc w:val="left"/>
      <w:pPr>
        <w:ind w:left="5438"/>
      </w:pPr>
      <w:rPr>
        <w:rFonts w:ascii="Segoe UI Symbol" w:eastAsia="Segoe UI Symbol" w:hAnsi="Segoe UI Symbol" w:cs="Segoe UI Symbol"/>
        <w:b w:val="0"/>
        <w:i w:val="0"/>
        <w:strike w:val="0"/>
        <w:dstrike w:val="0"/>
        <w:color w:val="495965"/>
        <w:sz w:val="22"/>
        <w:szCs w:val="22"/>
        <w:u w:val="none" w:color="000000"/>
        <w:bdr w:val="none" w:sz="0" w:space="0" w:color="auto"/>
        <w:shd w:val="clear" w:color="auto" w:fill="auto"/>
        <w:vertAlign w:val="baseline"/>
      </w:rPr>
    </w:lvl>
    <w:lvl w:ilvl="8" w:tplc="CD9A198E">
      <w:start w:val="1"/>
      <w:numFmt w:val="bullet"/>
      <w:lvlText w:val="▪"/>
      <w:lvlJc w:val="left"/>
      <w:pPr>
        <w:ind w:left="6158"/>
      </w:pPr>
      <w:rPr>
        <w:rFonts w:ascii="Segoe UI Symbol" w:eastAsia="Segoe UI Symbol" w:hAnsi="Segoe UI Symbol" w:cs="Segoe UI Symbol"/>
        <w:b w:val="0"/>
        <w:i w:val="0"/>
        <w:strike w:val="0"/>
        <w:dstrike w:val="0"/>
        <w:color w:val="495965"/>
        <w:sz w:val="22"/>
        <w:szCs w:val="22"/>
        <w:u w:val="none" w:color="000000"/>
        <w:bdr w:val="none" w:sz="0" w:space="0" w:color="auto"/>
        <w:shd w:val="clear" w:color="auto" w:fill="auto"/>
        <w:vertAlign w:val="baseline"/>
      </w:rPr>
    </w:lvl>
  </w:abstractNum>
  <w:abstractNum w:abstractNumId="1" w15:restartNumberingAfterBreak="0">
    <w:nsid w:val="5C6C528C"/>
    <w:multiLevelType w:val="hybridMultilevel"/>
    <w:tmpl w:val="2376C5CA"/>
    <w:lvl w:ilvl="0" w:tplc="8F1CA1F4">
      <w:start w:val="1"/>
      <w:numFmt w:val="bullet"/>
      <w:lvlText w:val="•"/>
      <w:lvlJc w:val="left"/>
      <w:pPr>
        <w:ind w:left="317"/>
      </w:pPr>
      <w:rPr>
        <w:rFonts w:ascii="Arial" w:eastAsia="Arial" w:hAnsi="Arial" w:cs="Arial"/>
        <w:b w:val="0"/>
        <w:i w:val="0"/>
        <w:strike w:val="0"/>
        <w:dstrike w:val="0"/>
        <w:color w:val="495965"/>
        <w:sz w:val="22"/>
        <w:szCs w:val="22"/>
        <w:u w:val="none" w:color="000000"/>
        <w:bdr w:val="none" w:sz="0" w:space="0" w:color="auto"/>
        <w:shd w:val="clear" w:color="auto" w:fill="auto"/>
        <w:vertAlign w:val="baseline"/>
      </w:rPr>
    </w:lvl>
    <w:lvl w:ilvl="1" w:tplc="B748D616">
      <w:start w:val="1"/>
      <w:numFmt w:val="bullet"/>
      <w:lvlText w:val="o"/>
      <w:lvlJc w:val="left"/>
      <w:pPr>
        <w:ind w:left="1118"/>
      </w:pPr>
      <w:rPr>
        <w:rFonts w:ascii="Segoe UI Symbol" w:eastAsia="Segoe UI Symbol" w:hAnsi="Segoe UI Symbol" w:cs="Segoe UI Symbol"/>
        <w:b w:val="0"/>
        <w:i w:val="0"/>
        <w:strike w:val="0"/>
        <w:dstrike w:val="0"/>
        <w:color w:val="495965"/>
        <w:sz w:val="22"/>
        <w:szCs w:val="22"/>
        <w:u w:val="none" w:color="000000"/>
        <w:bdr w:val="none" w:sz="0" w:space="0" w:color="auto"/>
        <w:shd w:val="clear" w:color="auto" w:fill="auto"/>
        <w:vertAlign w:val="baseline"/>
      </w:rPr>
    </w:lvl>
    <w:lvl w:ilvl="2" w:tplc="C27EF25E">
      <w:start w:val="1"/>
      <w:numFmt w:val="bullet"/>
      <w:lvlText w:val="▪"/>
      <w:lvlJc w:val="left"/>
      <w:pPr>
        <w:ind w:left="1838"/>
      </w:pPr>
      <w:rPr>
        <w:rFonts w:ascii="Segoe UI Symbol" w:eastAsia="Segoe UI Symbol" w:hAnsi="Segoe UI Symbol" w:cs="Segoe UI Symbol"/>
        <w:b w:val="0"/>
        <w:i w:val="0"/>
        <w:strike w:val="0"/>
        <w:dstrike w:val="0"/>
        <w:color w:val="495965"/>
        <w:sz w:val="22"/>
        <w:szCs w:val="22"/>
        <w:u w:val="none" w:color="000000"/>
        <w:bdr w:val="none" w:sz="0" w:space="0" w:color="auto"/>
        <w:shd w:val="clear" w:color="auto" w:fill="auto"/>
        <w:vertAlign w:val="baseline"/>
      </w:rPr>
    </w:lvl>
    <w:lvl w:ilvl="3" w:tplc="A7C8166C">
      <w:start w:val="1"/>
      <w:numFmt w:val="bullet"/>
      <w:lvlText w:val="•"/>
      <w:lvlJc w:val="left"/>
      <w:pPr>
        <w:ind w:left="2558"/>
      </w:pPr>
      <w:rPr>
        <w:rFonts w:ascii="Arial" w:eastAsia="Arial" w:hAnsi="Arial" w:cs="Arial"/>
        <w:b w:val="0"/>
        <w:i w:val="0"/>
        <w:strike w:val="0"/>
        <w:dstrike w:val="0"/>
        <w:color w:val="495965"/>
        <w:sz w:val="22"/>
        <w:szCs w:val="22"/>
        <w:u w:val="none" w:color="000000"/>
        <w:bdr w:val="none" w:sz="0" w:space="0" w:color="auto"/>
        <w:shd w:val="clear" w:color="auto" w:fill="auto"/>
        <w:vertAlign w:val="baseline"/>
      </w:rPr>
    </w:lvl>
    <w:lvl w:ilvl="4" w:tplc="736EBDE2">
      <w:start w:val="1"/>
      <w:numFmt w:val="bullet"/>
      <w:lvlText w:val="o"/>
      <w:lvlJc w:val="left"/>
      <w:pPr>
        <w:ind w:left="3278"/>
      </w:pPr>
      <w:rPr>
        <w:rFonts w:ascii="Segoe UI Symbol" w:eastAsia="Segoe UI Symbol" w:hAnsi="Segoe UI Symbol" w:cs="Segoe UI Symbol"/>
        <w:b w:val="0"/>
        <w:i w:val="0"/>
        <w:strike w:val="0"/>
        <w:dstrike w:val="0"/>
        <w:color w:val="495965"/>
        <w:sz w:val="22"/>
        <w:szCs w:val="22"/>
        <w:u w:val="none" w:color="000000"/>
        <w:bdr w:val="none" w:sz="0" w:space="0" w:color="auto"/>
        <w:shd w:val="clear" w:color="auto" w:fill="auto"/>
        <w:vertAlign w:val="baseline"/>
      </w:rPr>
    </w:lvl>
    <w:lvl w:ilvl="5" w:tplc="149CE2BC">
      <w:start w:val="1"/>
      <w:numFmt w:val="bullet"/>
      <w:lvlText w:val="▪"/>
      <w:lvlJc w:val="left"/>
      <w:pPr>
        <w:ind w:left="3998"/>
      </w:pPr>
      <w:rPr>
        <w:rFonts w:ascii="Segoe UI Symbol" w:eastAsia="Segoe UI Symbol" w:hAnsi="Segoe UI Symbol" w:cs="Segoe UI Symbol"/>
        <w:b w:val="0"/>
        <w:i w:val="0"/>
        <w:strike w:val="0"/>
        <w:dstrike w:val="0"/>
        <w:color w:val="495965"/>
        <w:sz w:val="22"/>
        <w:szCs w:val="22"/>
        <w:u w:val="none" w:color="000000"/>
        <w:bdr w:val="none" w:sz="0" w:space="0" w:color="auto"/>
        <w:shd w:val="clear" w:color="auto" w:fill="auto"/>
        <w:vertAlign w:val="baseline"/>
      </w:rPr>
    </w:lvl>
    <w:lvl w:ilvl="6" w:tplc="E5BCDC94">
      <w:start w:val="1"/>
      <w:numFmt w:val="bullet"/>
      <w:lvlText w:val="•"/>
      <w:lvlJc w:val="left"/>
      <w:pPr>
        <w:ind w:left="4718"/>
      </w:pPr>
      <w:rPr>
        <w:rFonts w:ascii="Arial" w:eastAsia="Arial" w:hAnsi="Arial" w:cs="Arial"/>
        <w:b w:val="0"/>
        <w:i w:val="0"/>
        <w:strike w:val="0"/>
        <w:dstrike w:val="0"/>
        <w:color w:val="495965"/>
        <w:sz w:val="22"/>
        <w:szCs w:val="22"/>
        <w:u w:val="none" w:color="000000"/>
        <w:bdr w:val="none" w:sz="0" w:space="0" w:color="auto"/>
        <w:shd w:val="clear" w:color="auto" w:fill="auto"/>
        <w:vertAlign w:val="baseline"/>
      </w:rPr>
    </w:lvl>
    <w:lvl w:ilvl="7" w:tplc="C2BA0CCE">
      <w:start w:val="1"/>
      <w:numFmt w:val="bullet"/>
      <w:lvlText w:val="o"/>
      <w:lvlJc w:val="left"/>
      <w:pPr>
        <w:ind w:left="5438"/>
      </w:pPr>
      <w:rPr>
        <w:rFonts w:ascii="Segoe UI Symbol" w:eastAsia="Segoe UI Symbol" w:hAnsi="Segoe UI Symbol" w:cs="Segoe UI Symbol"/>
        <w:b w:val="0"/>
        <w:i w:val="0"/>
        <w:strike w:val="0"/>
        <w:dstrike w:val="0"/>
        <w:color w:val="495965"/>
        <w:sz w:val="22"/>
        <w:szCs w:val="22"/>
        <w:u w:val="none" w:color="000000"/>
        <w:bdr w:val="none" w:sz="0" w:space="0" w:color="auto"/>
        <w:shd w:val="clear" w:color="auto" w:fill="auto"/>
        <w:vertAlign w:val="baseline"/>
      </w:rPr>
    </w:lvl>
    <w:lvl w:ilvl="8" w:tplc="A7CA7BC8">
      <w:start w:val="1"/>
      <w:numFmt w:val="bullet"/>
      <w:lvlText w:val="▪"/>
      <w:lvlJc w:val="left"/>
      <w:pPr>
        <w:ind w:left="6158"/>
      </w:pPr>
      <w:rPr>
        <w:rFonts w:ascii="Segoe UI Symbol" w:eastAsia="Segoe UI Symbol" w:hAnsi="Segoe UI Symbol" w:cs="Segoe UI Symbol"/>
        <w:b w:val="0"/>
        <w:i w:val="0"/>
        <w:strike w:val="0"/>
        <w:dstrike w:val="0"/>
        <w:color w:val="495965"/>
        <w:sz w:val="22"/>
        <w:szCs w:val="22"/>
        <w:u w:val="none" w:color="000000"/>
        <w:bdr w:val="none" w:sz="0" w:space="0" w:color="auto"/>
        <w:shd w:val="clear" w:color="auto" w:fill="auto"/>
        <w:vertAlign w:val="baseline"/>
      </w:rPr>
    </w:lvl>
  </w:abstractNum>
  <w:abstractNum w:abstractNumId="2" w15:restartNumberingAfterBreak="0">
    <w:nsid w:val="643521D2"/>
    <w:multiLevelType w:val="hybridMultilevel"/>
    <w:tmpl w:val="6374C644"/>
    <w:lvl w:ilvl="0" w:tplc="9B3AB06C">
      <w:start w:val="1"/>
      <w:numFmt w:val="bullet"/>
      <w:lvlText w:val="•"/>
      <w:lvlJc w:val="left"/>
      <w:pPr>
        <w:ind w:left="317"/>
      </w:pPr>
      <w:rPr>
        <w:rFonts w:ascii="Arial" w:eastAsia="Arial" w:hAnsi="Arial" w:cs="Arial"/>
        <w:b w:val="0"/>
        <w:i w:val="0"/>
        <w:strike w:val="0"/>
        <w:dstrike w:val="0"/>
        <w:color w:val="495965"/>
        <w:sz w:val="22"/>
        <w:szCs w:val="22"/>
        <w:u w:val="none" w:color="000000"/>
        <w:bdr w:val="none" w:sz="0" w:space="0" w:color="auto"/>
        <w:shd w:val="clear" w:color="auto" w:fill="auto"/>
        <w:vertAlign w:val="baseline"/>
      </w:rPr>
    </w:lvl>
    <w:lvl w:ilvl="1" w:tplc="AAF27A54">
      <w:start w:val="1"/>
      <w:numFmt w:val="bullet"/>
      <w:lvlText w:val="o"/>
      <w:lvlJc w:val="left"/>
      <w:pPr>
        <w:ind w:left="1118"/>
      </w:pPr>
      <w:rPr>
        <w:rFonts w:ascii="Segoe UI Symbol" w:eastAsia="Segoe UI Symbol" w:hAnsi="Segoe UI Symbol" w:cs="Segoe UI Symbol"/>
        <w:b w:val="0"/>
        <w:i w:val="0"/>
        <w:strike w:val="0"/>
        <w:dstrike w:val="0"/>
        <w:color w:val="495965"/>
        <w:sz w:val="22"/>
        <w:szCs w:val="22"/>
        <w:u w:val="none" w:color="000000"/>
        <w:bdr w:val="none" w:sz="0" w:space="0" w:color="auto"/>
        <w:shd w:val="clear" w:color="auto" w:fill="auto"/>
        <w:vertAlign w:val="baseline"/>
      </w:rPr>
    </w:lvl>
    <w:lvl w:ilvl="2" w:tplc="62140D40">
      <w:start w:val="1"/>
      <w:numFmt w:val="bullet"/>
      <w:lvlText w:val="▪"/>
      <w:lvlJc w:val="left"/>
      <w:pPr>
        <w:ind w:left="1838"/>
      </w:pPr>
      <w:rPr>
        <w:rFonts w:ascii="Segoe UI Symbol" w:eastAsia="Segoe UI Symbol" w:hAnsi="Segoe UI Symbol" w:cs="Segoe UI Symbol"/>
        <w:b w:val="0"/>
        <w:i w:val="0"/>
        <w:strike w:val="0"/>
        <w:dstrike w:val="0"/>
        <w:color w:val="495965"/>
        <w:sz w:val="22"/>
        <w:szCs w:val="22"/>
        <w:u w:val="none" w:color="000000"/>
        <w:bdr w:val="none" w:sz="0" w:space="0" w:color="auto"/>
        <w:shd w:val="clear" w:color="auto" w:fill="auto"/>
        <w:vertAlign w:val="baseline"/>
      </w:rPr>
    </w:lvl>
    <w:lvl w:ilvl="3" w:tplc="9008F550">
      <w:start w:val="1"/>
      <w:numFmt w:val="bullet"/>
      <w:lvlText w:val="•"/>
      <w:lvlJc w:val="left"/>
      <w:pPr>
        <w:ind w:left="2558"/>
      </w:pPr>
      <w:rPr>
        <w:rFonts w:ascii="Arial" w:eastAsia="Arial" w:hAnsi="Arial" w:cs="Arial"/>
        <w:b w:val="0"/>
        <w:i w:val="0"/>
        <w:strike w:val="0"/>
        <w:dstrike w:val="0"/>
        <w:color w:val="495965"/>
        <w:sz w:val="22"/>
        <w:szCs w:val="22"/>
        <w:u w:val="none" w:color="000000"/>
        <w:bdr w:val="none" w:sz="0" w:space="0" w:color="auto"/>
        <w:shd w:val="clear" w:color="auto" w:fill="auto"/>
        <w:vertAlign w:val="baseline"/>
      </w:rPr>
    </w:lvl>
    <w:lvl w:ilvl="4" w:tplc="9D7E7050">
      <w:start w:val="1"/>
      <w:numFmt w:val="bullet"/>
      <w:lvlText w:val="o"/>
      <w:lvlJc w:val="left"/>
      <w:pPr>
        <w:ind w:left="3278"/>
      </w:pPr>
      <w:rPr>
        <w:rFonts w:ascii="Segoe UI Symbol" w:eastAsia="Segoe UI Symbol" w:hAnsi="Segoe UI Symbol" w:cs="Segoe UI Symbol"/>
        <w:b w:val="0"/>
        <w:i w:val="0"/>
        <w:strike w:val="0"/>
        <w:dstrike w:val="0"/>
        <w:color w:val="495965"/>
        <w:sz w:val="22"/>
        <w:szCs w:val="22"/>
        <w:u w:val="none" w:color="000000"/>
        <w:bdr w:val="none" w:sz="0" w:space="0" w:color="auto"/>
        <w:shd w:val="clear" w:color="auto" w:fill="auto"/>
        <w:vertAlign w:val="baseline"/>
      </w:rPr>
    </w:lvl>
    <w:lvl w:ilvl="5" w:tplc="49582FA4">
      <w:start w:val="1"/>
      <w:numFmt w:val="bullet"/>
      <w:lvlText w:val="▪"/>
      <w:lvlJc w:val="left"/>
      <w:pPr>
        <w:ind w:left="3998"/>
      </w:pPr>
      <w:rPr>
        <w:rFonts w:ascii="Segoe UI Symbol" w:eastAsia="Segoe UI Symbol" w:hAnsi="Segoe UI Symbol" w:cs="Segoe UI Symbol"/>
        <w:b w:val="0"/>
        <w:i w:val="0"/>
        <w:strike w:val="0"/>
        <w:dstrike w:val="0"/>
        <w:color w:val="495965"/>
        <w:sz w:val="22"/>
        <w:szCs w:val="22"/>
        <w:u w:val="none" w:color="000000"/>
        <w:bdr w:val="none" w:sz="0" w:space="0" w:color="auto"/>
        <w:shd w:val="clear" w:color="auto" w:fill="auto"/>
        <w:vertAlign w:val="baseline"/>
      </w:rPr>
    </w:lvl>
    <w:lvl w:ilvl="6" w:tplc="21ECA392">
      <w:start w:val="1"/>
      <w:numFmt w:val="bullet"/>
      <w:lvlText w:val="•"/>
      <w:lvlJc w:val="left"/>
      <w:pPr>
        <w:ind w:left="4718"/>
      </w:pPr>
      <w:rPr>
        <w:rFonts w:ascii="Arial" w:eastAsia="Arial" w:hAnsi="Arial" w:cs="Arial"/>
        <w:b w:val="0"/>
        <w:i w:val="0"/>
        <w:strike w:val="0"/>
        <w:dstrike w:val="0"/>
        <w:color w:val="495965"/>
        <w:sz w:val="22"/>
        <w:szCs w:val="22"/>
        <w:u w:val="none" w:color="000000"/>
        <w:bdr w:val="none" w:sz="0" w:space="0" w:color="auto"/>
        <w:shd w:val="clear" w:color="auto" w:fill="auto"/>
        <w:vertAlign w:val="baseline"/>
      </w:rPr>
    </w:lvl>
    <w:lvl w:ilvl="7" w:tplc="C6924F52">
      <w:start w:val="1"/>
      <w:numFmt w:val="bullet"/>
      <w:lvlText w:val="o"/>
      <w:lvlJc w:val="left"/>
      <w:pPr>
        <w:ind w:left="5438"/>
      </w:pPr>
      <w:rPr>
        <w:rFonts w:ascii="Segoe UI Symbol" w:eastAsia="Segoe UI Symbol" w:hAnsi="Segoe UI Symbol" w:cs="Segoe UI Symbol"/>
        <w:b w:val="0"/>
        <w:i w:val="0"/>
        <w:strike w:val="0"/>
        <w:dstrike w:val="0"/>
        <w:color w:val="495965"/>
        <w:sz w:val="22"/>
        <w:szCs w:val="22"/>
        <w:u w:val="none" w:color="000000"/>
        <w:bdr w:val="none" w:sz="0" w:space="0" w:color="auto"/>
        <w:shd w:val="clear" w:color="auto" w:fill="auto"/>
        <w:vertAlign w:val="baseline"/>
      </w:rPr>
    </w:lvl>
    <w:lvl w:ilvl="8" w:tplc="4DD8AEA0">
      <w:start w:val="1"/>
      <w:numFmt w:val="bullet"/>
      <w:lvlText w:val="▪"/>
      <w:lvlJc w:val="left"/>
      <w:pPr>
        <w:ind w:left="6158"/>
      </w:pPr>
      <w:rPr>
        <w:rFonts w:ascii="Segoe UI Symbol" w:eastAsia="Segoe UI Symbol" w:hAnsi="Segoe UI Symbol" w:cs="Segoe UI Symbol"/>
        <w:b w:val="0"/>
        <w:i w:val="0"/>
        <w:strike w:val="0"/>
        <w:dstrike w:val="0"/>
        <w:color w:val="495965"/>
        <w:sz w:val="22"/>
        <w:szCs w:val="22"/>
        <w:u w:val="none" w:color="000000"/>
        <w:bdr w:val="none" w:sz="0" w:space="0" w:color="auto"/>
        <w:shd w:val="clear" w:color="auto" w:fill="auto"/>
        <w:vertAlign w:val="baseline"/>
      </w:rPr>
    </w:lvl>
  </w:abstractNum>
  <w:abstractNum w:abstractNumId="3" w15:restartNumberingAfterBreak="0">
    <w:nsid w:val="6EF630EE"/>
    <w:multiLevelType w:val="hybridMultilevel"/>
    <w:tmpl w:val="A62EB64C"/>
    <w:lvl w:ilvl="0" w:tplc="21D405DC">
      <w:start w:val="1"/>
      <w:numFmt w:val="bullet"/>
      <w:lvlText w:val="•"/>
      <w:lvlJc w:val="left"/>
      <w:pPr>
        <w:ind w:left="317"/>
      </w:pPr>
      <w:rPr>
        <w:rFonts w:ascii="Arial" w:eastAsia="Arial" w:hAnsi="Arial" w:cs="Arial"/>
        <w:b w:val="0"/>
        <w:i w:val="0"/>
        <w:strike w:val="0"/>
        <w:dstrike w:val="0"/>
        <w:color w:val="495965"/>
        <w:sz w:val="22"/>
        <w:szCs w:val="22"/>
        <w:u w:val="none" w:color="000000"/>
        <w:bdr w:val="none" w:sz="0" w:space="0" w:color="auto"/>
        <w:shd w:val="clear" w:color="auto" w:fill="auto"/>
        <w:vertAlign w:val="baseline"/>
      </w:rPr>
    </w:lvl>
    <w:lvl w:ilvl="1" w:tplc="2DC420FA">
      <w:start w:val="1"/>
      <w:numFmt w:val="bullet"/>
      <w:lvlText w:val="o"/>
      <w:lvlJc w:val="left"/>
      <w:pPr>
        <w:ind w:left="1118"/>
      </w:pPr>
      <w:rPr>
        <w:rFonts w:ascii="Segoe UI Symbol" w:eastAsia="Segoe UI Symbol" w:hAnsi="Segoe UI Symbol" w:cs="Segoe UI Symbol"/>
        <w:b w:val="0"/>
        <w:i w:val="0"/>
        <w:strike w:val="0"/>
        <w:dstrike w:val="0"/>
        <w:color w:val="495965"/>
        <w:sz w:val="22"/>
        <w:szCs w:val="22"/>
        <w:u w:val="none" w:color="000000"/>
        <w:bdr w:val="none" w:sz="0" w:space="0" w:color="auto"/>
        <w:shd w:val="clear" w:color="auto" w:fill="auto"/>
        <w:vertAlign w:val="baseline"/>
      </w:rPr>
    </w:lvl>
    <w:lvl w:ilvl="2" w:tplc="A0C4F944">
      <w:start w:val="1"/>
      <w:numFmt w:val="bullet"/>
      <w:lvlText w:val="▪"/>
      <w:lvlJc w:val="left"/>
      <w:pPr>
        <w:ind w:left="1838"/>
      </w:pPr>
      <w:rPr>
        <w:rFonts w:ascii="Segoe UI Symbol" w:eastAsia="Segoe UI Symbol" w:hAnsi="Segoe UI Symbol" w:cs="Segoe UI Symbol"/>
        <w:b w:val="0"/>
        <w:i w:val="0"/>
        <w:strike w:val="0"/>
        <w:dstrike w:val="0"/>
        <w:color w:val="495965"/>
        <w:sz w:val="22"/>
        <w:szCs w:val="22"/>
        <w:u w:val="none" w:color="000000"/>
        <w:bdr w:val="none" w:sz="0" w:space="0" w:color="auto"/>
        <w:shd w:val="clear" w:color="auto" w:fill="auto"/>
        <w:vertAlign w:val="baseline"/>
      </w:rPr>
    </w:lvl>
    <w:lvl w:ilvl="3" w:tplc="41A0FE3E">
      <w:start w:val="1"/>
      <w:numFmt w:val="bullet"/>
      <w:lvlText w:val="•"/>
      <w:lvlJc w:val="left"/>
      <w:pPr>
        <w:ind w:left="2558"/>
      </w:pPr>
      <w:rPr>
        <w:rFonts w:ascii="Arial" w:eastAsia="Arial" w:hAnsi="Arial" w:cs="Arial"/>
        <w:b w:val="0"/>
        <w:i w:val="0"/>
        <w:strike w:val="0"/>
        <w:dstrike w:val="0"/>
        <w:color w:val="495965"/>
        <w:sz w:val="22"/>
        <w:szCs w:val="22"/>
        <w:u w:val="none" w:color="000000"/>
        <w:bdr w:val="none" w:sz="0" w:space="0" w:color="auto"/>
        <w:shd w:val="clear" w:color="auto" w:fill="auto"/>
        <w:vertAlign w:val="baseline"/>
      </w:rPr>
    </w:lvl>
    <w:lvl w:ilvl="4" w:tplc="5F26A74A">
      <w:start w:val="1"/>
      <w:numFmt w:val="bullet"/>
      <w:lvlText w:val="o"/>
      <w:lvlJc w:val="left"/>
      <w:pPr>
        <w:ind w:left="3278"/>
      </w:pPr>
      <w:rPr>
        <w:rFonts w:ascii="Segoe UI Symbol" w:eastAsia="Segoe UI Symbol" w:hAnsi="Segoe UI Symbol" w:cs="Segoe UI Symbol"/>
        <w:b w:val="0"/>
        <w:i w:val="0"/>
        <w:strike w:val="0"/>
        <w:dstrike w:val="0"/>
        <w:color w:val="495965"/>
        <w:sz w:val="22"/>
        <w:szCs w:val="22"/>
        <w:u w:val="none" w:color="000000"/>
        <w:bdr w:val="none" w:sz="0" w:space="0" w:color="auto"/>
        <w:shd w:val="clear" w:color="auto" w:fill="auto"/>
        <w:vertAlign w:val="baseline"/>
      </w:rPr>
    </w:lvl>
    <w:lvl w:ilvl="5" w:tplc="3352583A">
      <w:start w:val="1"/>
      <w:numFmt w:val="bullet"/>
      <w:lvlText w:val="▪"/>
      <w:lvlJc w:val="left"/>
      <w:pPr>
        <w:ind w:left="3998"/>
      </w:pPr>
      <w:rPr>
        <w:rFonts w:ascii="Segoe UI Symbol" w:eastAsia="Segoe UI Symbol" w:hAnsi="Segoe UI Symbol" w:cs="Segoe UI Symbol"/>
        <w:b w:val="0"/>
        <w:i w:val="0"/>
        <w:strike w:val="0"/>
        <w:dstrike w:val="0"/>
        <w:color w:val="495965"/>
        <w:sz w:val="22"/>
        <w:szCs w:val="22"/>
        <w:u w:val="none" w:color="000000"/>
        <w:bdr w:val="none" w:sz="0" w:space="0" w:color="auto"/>
        <w:shd w:val="clear" w:color="auto" w:fill="auto"/>
        <w:vertAlign w:val="baseline"/>
      </w:rPr>
    </w:lvl>
    <w:lvl w:ilvl="6" w:tplc="03842504">
      <w:start w:val="1"/>
      <w:numFmt w:val="bullet"/>
      <w:lvlText w:val="•"/>
      <w:lvlJc w:val="left"/>
      <w:pPr>
        <w:ind w:left="4718"/>
      </w:pPr>
      <w:rPr>
        <w:rFonts w:ascii="Arial" w:eastAsia="Arial" w:hAnsi="Arial" w:cs="Arial"/>
        <w:b w:val="0"/>
        <w:i w:val="0"/>
        <w:strike w:val="0"/>
        <w:dstrike w:val="0"/>
        <w:color w:val="495965"/>
        <w:sz w:val="22"/>
        <w:szCs w:val="22"/>
        <w:u w:val="none" w:color="000000"/>
        <w:bdr w:val="none" w:sz="0" w:space="0" w:color="auto"/>
        <w:shd w:val="clear" w:color="auto" w:fill="auto"/>
        <w:vertAlign w:val="baseline"/>
      </w:rPr>
    </w:lvl>
    <w:lvl w:ilvl="7" w:tplc="57769DD0">
      <w:start w:val="1"/>
      <w:numFmt w:val="bullet"/>
      <w:lvlText w:val="o"/>
      <w:lvlJc w:val="left"/>
      <w:pPr>
        <w:ind w:left="5438"/>
      </w:pPr>
      <w:rPr>
        <w:rFonts w:ascii="Segoe UI Symbol" w:eastAsia="Segoe UI Symbol" w:hAnsi="Segoe UI Symbol" w:cs="Segoe UI Symbol"/>
        <w:b w:val="0"/>
        <w:i w:val="0"/>
        <w:strike w:val="0"/>
        <w:dstrike w:val="0"/>
        <w:color w:val="495965"/>
        <w:sz w:val="22"/>
        <w:szCs w:val="22"/>
        <w:u w:val="none" w:color="000000"/>
        <w:bdr w:val="none" w:sz="0" w:space="0" w:color="auto"/>
        <w:shd w:val="clear" w:color="auto" w:fill="auto"/>
        <w:vertAlign w:val="baseline"/>
      </w:rPr>
    </w:lvl>
    <w:lvl w:ilvl="8" w:tplc="E0A6EBE6">
      <w:start w:val="1"/>
      <w:numFmt w:val="bullet"/>
      <w:lvlText w:val="▪"/>
      <w:lvlJc w:val="left"/>
      <w:pPr>
        <w:ind w:left="6158"/>
      </w:pPr>
      <w:rPr>
        <w:rFonts w:ascii="Segoe UI Symbol" w:eastAsia="Segoe UI Symbol" w:hAnsi="Segoe UI Symbol" w:cs="Segoe UI Symbol"/>
        <w:b w:val="0"/>
        <w:i w:val="0"/>
        <w:strike w:val="0"/>
        <w:dstrike w:val="0"/>
        <w:color w:val="495965"/>
        <w:sz w:val="22"/>
        <w:szCs w:val="22"/>
        <w:u w:val="none" w:color="000000"/>
        <w:bdr w:val="none" w:sz="0" w:space="0" w:color="auto"/>
        <w:shd w:val="clear" w:color="auto" w:fill="auto"/>
        <w:vertAlign w:val="baseline"/>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evenAndOddHeaders/>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305"/>
    <w:rsid w:val="0005024C"/>
    <w:rsid w:val="0006483F"/>
    <w:rsid w:val="00074DF0"/>
    <w:rsid w:val="00096904"/>
    <w:rsid w:val="000B25A1"/>
    <w:rsid w:val="000D3D84"/>
    <w:rsid w:val="000E5A9A"/>
    <w:rsid w:val="00106257"/>
    <w:rsid w:val="00121CE3"/>
    <w:rsid w:val="00132F91"/>
    <w:rsid w:val="00164295"/>
    <w:rsid w:val="001966B8"/>
    <w:rsid w:val="001E0D06"/>
    <w:rsid w:val="001E6632"/>
    <w:rsid w:val="001F79A4"/>
    <w:rsid w:val="002027ED"/>
    <w:rsid w:val="00251DCD"/>
    <w:rsid w:val="002A1965"/>
    <w:rsid w:val="002F1870"/>
    <w:rsid w:val="003024D6"/>
    <w:rsid w:val="003379C4"/>
    <w:rsid w:val="003A4C63"/>
    <w:rsid w:val="003E1305"/>
    <w:rsid w:val="00403FB2"/>
    <w:rsid w:val="004441EC"/>
    <w:rsid w:val="00461B30"/>
    <w:rsid w:val="004638BD"/>
    <w:rsid w:val="00465DD6"/>
    <w:rsid w:val="00474E47"/>
    <w:rsid w:val="00486135"/>
    <w:rsid w:val="004B5ACD"/>
    <w:rsid w:val="004F131F"/>
    <w:rsid w:val="00522A84"/>
    <w:rsid w:val="00530A09"/>
    <w:rsid w:val="0053248C"/>
    <w:rsid w:val="00550785"/>
    <w:rsid w:val="0056618F"/>
    <w:rsid w:val="005E7573"/>
    <w:rsid w:val="00600838"/>
    <w:rsid w:val="00606B57"/>
    <w:rsid w:val="00666F1A"/>
    <w:rsid w:val="00674555"/>
    <w:rsid w:val="006A26C4"/>
    <w:rsid w:val="006A3BB0"/>
    <w:rsid w:val="006C146B"/>
    <w:rsid w:val="006F3C26"/>
    <w:rsid w:val="007051A5"/>
    <w:rsid w:val="00710112"/>
    <w:rsid w:val="00710B4F"/>
    <w:rsid w:val="007341E4"/>
    <w:rsid w:val="007547E1"/>
    <w:rsid w:val="00775726"/>
    <w:rsid w:val="007E0EAD"/>
    <w:rsid w:val="00810F69"/>
    <w:rsid w:val="00827544"/>
    <w:rsid w:val="00832B54"/>
    <w:rsid w:val="008400FA"/>
    <w:rsid w:val="008B5C9D"/>
    <w:rsid w:val="008C0044"/>
    <w:rsid w:val="009007AB"/>
    <w:rsid w:val="009163E9"/>
    <w:rsid w:val="009E2302"/>
    <w:rsid w:val="00A05453"/>
    <w:rsid w:val="00A34A34"/>
    <w:rsid w:val="00A41E90"/>
    <w:rsid w:val="00A901BF"/>
    <w:rsid w:val="00A95242"/>
    <w:rsid w:val="00AC22A7"/>
    <w:rsid w:val="00B27F37"/>
    <w:rsid w:val="00B37C19"/>
    <w:rsid w:val="00B63EF4"/>
    <w:rsid w:val="00C0642A"/>
    <w:rsid w:val="00C61E7C"/>
    <w:rsid w:val="00C7660D"/>
    <w:rsid w:val="00C90B8E"/>
    <w:rsid w:val="00C92F85"/>
    <w:rsid w:val="00D92293"/>
    <w:rsid w:val="00DC0E14"/>
    <w:rsid w:val="00DF071D"/>
    <w:rsid w:val="00DF692E"/>
    <w:rsid w:val="00E52C8E"/>
    <w:rsid w:val="00E6573E"/>
    <w:rsid w:val="00E724CB"/>
    <w:rsid w:val="00E96060"/>
    <w:rsid w:val="00EB44C3"/>
    <w:rsid w:val="00F02693"/>
    <w:rsid w:val="00FC1828"/>
    <w:rsid w:val="00FC3356"/>
    <w:rsid w:val="00FE6047"/>
    <w:rsid w:val="00FF01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A244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en-AU" w:eastAsia="en-AU"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242"/>
  </w:style>
  <w:style w:type="paragraph" w:styleId="Heading1">
    <w:name w:val="heading 1"/>
    <w:basedOn w:val="Normal"/>
    <w:next w:val="Normal"/>
    <w:link w:val="Heading1Char"/>
    <w:uiPriority w:val="9"/>
    <w:qFormat/>
    <w:rsid w:val="00A95242"/>
    <w:pPr>
      <w:keepNext/>
      <w:keepLines/>
      <w:pBdr>
        <w:bottom w:val="single" w:sz="4" w:space="1" w:color="4472C4" w:themeColor="accent1"/>
      </w:pBdr>
      <w:spacing w:before="400" w:after="40" w:line="240" w:lineRule="auto"/>
      <w:outlineLvl w:val="0"/>
    </w:pPr>
    <w:rPr>
      <w:rFonts w:asciiTheme="majorHAnsi" w:eastAsiaTheme="majorEastAsia" w:hAnsiTheme="majorHAnsi" w:cstheme="majorBidi"/>
      <w:color w:val="2F5496" w:themeColor="accent1" w:themeShade="BF"/>
      <w:sz w:val="36"/>
      <w:szCs w:val="36"/>
    </w:rPr>
  </w:style>
  <w:style w:type="paragraph" w:styleId="Heading2">
    <w:name w:val="heading 2"/>
    <w:basedOn w:val="Heading1"/>
    <w:next w:val="Normal"/>
    <w:link w:val="Heading2Char"/>
    <w:uiPriority w:val="9"/>
    <w:unhideWhenUsed/>
    <w:qFormat/>
    <w:rsid w:val="001E6632"/>
    <w:pPr>
      <w:ind w:left="-5"/>
      <w:outlineLvl w:val="1"/>
    </w:pPr>
  </w:style>
  <w:style w:type="paragraph" w:styleId="Heading3">
    <w:name w:val="heading 3"/>
    <w:basedOn w:val="Normal"/>
    <w:next w:val="Normal"/>
    <w:link w:val="Heading3Char"/>
    <w:uiPriority w:val="9"/>
    <w:semiHidden/>
    <w:unhideWhenUsed/>
    <w:qFormat/>
    <w:rsid w:val="00A95242"/>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semiHidden/>
    <w:unhideWhenUsed/>
    <w:qFormat/>
    <w:rsid w:val="00A95242"/>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semiHidden/>
    <w:unhideWhenUsed/>
    <w:qFormat/>
    <w:rsid w:val="00A95242"/>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A95242"/>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A95242"/>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A95242"/>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A95242"/>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5242"/>
    <w:rPr>
      <w:rFonts w:asciiTheme="majorHAnsi" w:eastAsiaTheme="majorEastAsia" w:hAnsiTheme="majorHAnsi" w:cstheme="majorBidi"/>
      <w:color w:val="2F5496" w:themeColor="accent1" w:themeShade="BF"/>
      <w:sz w:val="36"/>
      <w:szCs w:val="36"/>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251D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51D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1DCD"/>
    <w:rPr>
      <w:rFonts w:ascii="Calibri" w:eastAsia="Calibri" w:hAnsi="Calibri" w:cs="Calibri"/>
      <w:color w:val="000000"/>
    </w:rPr>
  </w:style>
  <w:style w:type="paragraph" w:styleId="ListParagraph">
    <w:name w:val="List Paragraph"/>
    <w:basedOn w:val="Normal"/>
    <w:uiPriority w:val="34"/>
    <w:qFormat/>
    <w:rsid w:val="001E0D06"/>
    <w:pPr>
      <w:ind w:left="720"/>
      <w:contextualSpacing/>
    </w:pPr>
  </w:style>
  <w:style w:type="paragraph" w:styleId="BodyText">
    <w:name w:val="Body Text"/>
    <w:link w:val="BodyTextChar"/>
    <w:rsid w:val="001E0D06"/>
    <w:pPr>
      <w:spacing w:before="120" w:line="252" w:lineRule="auto"/>
    </w:pPr>
    <w:rPr>
      <w:rFonts w:ascii="Arial" w:eastAsia="Arial" w:hAnsi="Arial" w:cs="Times New Roman"/>
      <w:noProof/>
      <w:sz w:val="20"/>
      <w:szCs w:val="20"/>
      <w:lang w:eastAsia="en-US"/>
    </w:rPr>
  </w:style>
  <w:style w:type="character" w:customStyle="1" w:styleId="BodyTextChar">
    <w:name w:val="Body Text Char"/>
    <w:basedOn w:val="DefaultParagraphFont"/>
    <w:link w:val="BodyText"/>
    <w:rsid w:val="001E0D06"/>
    <w:rPr>
      <w:rFonts w:ascii="Arial" w:eastAsia="Arial" w:hAnsi="Arial" w:cs="Times New Roman"/>
      <w:noProof/>
      <w:sz w:val="20"/>
      <w:szCs w:val="20"/>
      <w:lang w:eastAsia="en-US"/>
    </w:rPr>
  </w:style>
  <w:style w:type="character" w:styleId="CommentReference">
    <w:name w:val="annotation reference"/>
    <w:basedOn w:val="DefaultParagraphFont"/>
    <w:uiPriority w:val="99"/>
    <w:semiHidden/>
    <w:unhideWhenUsed/>
    <w:rsid w:val="00106257"/>
    <w:rPr>
      <w:sz w:val="16"/>
      <w:szCs w:val="16"/>
    </w:rPr>
  </w:style>
  <w:style w:type="paragraph" w:styleId="CommentText">
    <w:name w:val="annotation text"/>
    <w:basedOn w:val="Normal"/>
    <w:link w:val="CommentTextChar"/>
    <w:uiPriority w:val="99"/>
    <w:unhideWhenUsed/>
    <w:rsid w:val="00106257"/>
    <w:pPr>
      <w:spacing w:line="240" w:lineRule="auto"/>
    </w:pPr>
    <w:rPr>
      <w:sz w:val="20"/>
      <w:szCs w:val="20"/>
    </w:rPr>
  </w:style>
  <w:style w:type="character" w:customStyle="1" w:styleId="CommentTextChar">
    <w:name w:val="Comment Text Char"/>
    <w:basedOn w:val="DefaultParagraphFont"/>
    <w:link w:val="CommentText"/>
    <w:uiPriority w:val="99"/>
    <w:rsid w:val="00106257"/>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106257"/>
    <w:rPr>
      <w:b/>
      <w:bCs/>
    </w:rPr>
  </w:style>
  <w:style w:type="character" w:customStyle="1" w:styleId="CommentSubjectChar">
    <w:name w:val="Comment Subject Char"/>
    <w:basedOn w:val="CommentTextChar"/>
    <w:link w:val="CommentSubject"/>
    <w:uiPriority w:val="99"/>
    <w:semiHidden/>
    <w:rsid w:val="00106257"/>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1062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6257"/>
    <w:rPr>
      <w:rFonts w:ascii="Segoe UI" w:eastAsia="Calibri" w:hAnsi="Segoe UI" w:cs="Segoe UI"/>
      <w:color w:val="000000"/>
      <w:sz w:val="18"/>
      <w:szCs w:val="18"/>
    </w:rPr>
  </w:style>
  <w:style w:type="table" w:styleId="TableGridLight">
    <w:name w:val="Grid Table Light"/>
    <w:basedOn w:val="TableNormal"/>
    <w:uiPriority w:val="40"/>
    <w:rsid w:val="00C90B8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90B8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90B8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90B8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90B8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C90B8E"/>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C90B8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C90B8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Accent5">
    <w:name w:val="Grid Table 1 Light Accent 5"/>
    <w:basedOn w:val="TableNormal"/>
    <w:uiPriority w:val="46"/>
    <w:rsid w:val="00C90B8E"/>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3-Accent5">
    <w:name w:val="Grid Table 3 Accent 5"/>
    <w:basedOn w:val="TableNormal"/>
    <w:uiPriority w:val="48"/>
    <w:rsid w:val="00C90B8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1">
    <w:name w:val="Grid Table 3 Accent 1"/>
    <w:basedOn w:val="TableNormal"/>
    <w:uiPriority w:val="48"/>
    <w:rsid w:val="00C90B8E"/>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2-Accent6">
    <w:name w:val="Grid Table 2 Accent 6"/>
    <w:basedOn w:val="TableNormal"/>
    <w:uiPriority w:val="47"/>
    <w:rsid w:val="00C90B8E"/>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1">
    <w:name w:val="Grid Table 6 Colorful Accent 1"/>
    <w:basedOn w:val="TableNormal"/>
    <w:uiPriority w:val="51"/>
    <w:rsid w:val="00C90B8E"/>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6">
    <w:name w:val="Grid Table 5 Dark Accent 6"/>
    <w:basedOn w:val="TableNormal"/>
    <w:uiPriority w:val="50"/>
    <w:rsid w:val="008400F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ListTable3-Accent1">
    <w:name w:val="List Table 3 Accent 1"/>
    <w:basedOn w:val="TableNormal"/>
    <w:uiPriority w:val="48"/>
    <w:rsid w:val="008400FA"/>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
    <w:name w:val="List Table 3"/>
    <w:basedOn w:val="TableNormal"/>
    <w:uiPriority w:val="48"/>
    <w:rsid w:val="008400F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5">
    <w:name w:val="List Table 3 Accent 5"/>
    <w:basedOn w:val="TableNormal"/>
    <w:uiPriority w:val="48"/>
    <w:rsid w:val="008400FA"/>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GridTable2">
    <w:name w:val="Grid Table 2"/>
    <w:basedOn w:val="TableNormal"/>
    <w:uiPriority w:val="47"/>
    <w:rsid w:val="008400F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5">
    <w:name w:val="Grid Table 4 Accent 5"/>
    <w:basedOn w:val="TableNormal"/>
    <w:uiPriority w:val="49"/>
    <w:rsid w:val="008400F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8400FA"/>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Accent6">
    <w:name w:val="List Table 2 Accent 6"/>
    <w:basedOn w:val="TableNormal"/>
    <w:uiPriority w:val="47"/>
    <w:rsid w:val="008400FA"/>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4-Accent6">
    <w:name w:val="List Table 4 Accent 6"/>
    <w:basedOn w:val="TableNormal"/>
    <w:uiPriority w:val="49"/>
    <w:rsid w:val="008400F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6Colorful-Accent6">
    <w:name w:val="List Table 6 Colorful Accent 6"/>
    <w:basedOn w:val="TableNormal"/>
    <w:uiPriority w:val="51"/>
    <w:rsid w:val="008400FA"/>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6Colorful-Accent1">
    <w:name w:val="List Table 6 Colorful Accent 1"/>
    <w:basedOn w:val="TableNormal"/>
    <w:uiPriority w:val="51"/>
    <w:rsid w:val="008400FA"/>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Heading2Char">
    <w:name w:val="Heading 2 Char"/>
    <w:basedOn w:val="DefaultParagraphFont"/>
    <w:link w:val="Heading2"/>
    <w:uiPriority w:val="9"/>
    <w:rsid w:val="001E6632"/>
    <w:rPr>
      <w:rFonts w:asciiTheme="majorHAnsi" w:eastAsiaTheme="majorEastAsia" w:hAnsiTheme="majorHAnsi" w:cstheme="majorBidi"/>
      <w:color w:val="2F5496" w:themeColor="accent1" w:themeShade="BF"/>
      <w:sz w:val="36"/>
      <w:szCs w:val="36"/>
    </w:rPr>
  </w:style>
  <w:style w:type="character" w:customStyle="1" w:styleId="Heading3Char">
    <w:name w:val="Heading 3 Char"/>
    <w:basedOn w:val="DefaultParagraphFont"/>
    <w:link w:val="Heading3"/>
    <w:uiPriority w:val="9"/>
    <w:semiHidden/>
    <w:rsid w:val="00A95242"/>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semiHidden/>
    <w:rsid w:val="00A95242"/>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A95242"/>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A95242"/>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A95242"/>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A95242"/>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A95242"/>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A95242"/>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A95242"/>
    <w:pPr>
      <w:spacing w:after="0" w:line="240" w:lineRule="auto"/>
      <w:contextualSpacing/>
    </w:pPr>
    <w:rPr>
      <w:rFonts w:asciiTheme="majorHAnsi" w:eastAsiaTheme="majorEastAsia" w:hAnsiTheme="majorHAnsi" w:cstheme="majorBidi"/>
      <w:color w:val="2F5496" w:themeColor="accent1" w:themeShade="BF"/>
      <w:spacing w:val="-7"/>
      <w:sz w:val="80"/>
      <w:szCs w:val="80"/>
    </w:rPr>
  </w:style>
  <w:style w:type="character" w:customStyle="1" w:styleId="TitleChar">
    <w:name w:val="Title Char"/>
    <w:basedOn w:val="DefaultParagraphFont"/>
    <w:link w:val="Title"/>
    <w:uiPriority w:val="10"/>
    <w:rsid w:val="00A95242"/>
    <w:rPr>
      <w:rFonts w:asciiTheme="majorHAnsi" w:eastAsiaTheme="majorEastAsia" w:hAnsiTheme="majorHAnsi" w:cstheme="majorBidi"/>
      <w:color w:val="2F5496" w:themeColor="accent1" w:themeShade="BF"/>
      <w:spacing w:val="-7"/>
      <w:sz w:val="80"/>
      <w:szCs w:val="80"/>
    </w:rPr>
  </w:style>
  <w:style w:type="paragraph" w:styleId="Subtitle">
    <w:name w:val="Subtitle"/>
    <w:basedOn w:val="Normal"/>
    <w:next w:val="Normal"/>
    <w:link w:val="SubtitleChar"/>
    <w:uiPriority w:val="11"/>
    <w:qFormat/>
    <w:rsid w:val="00A95242"/>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A95242"/>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A95242"/>
    <w:rPr>
      <w:b/>
      <w:bCs/>
    </w:rPr>
  </w:style>
  <w:style w:type="character" w:styleId="Emphasis">
    <w:name w:val="Emphasis"/>
    <w:basedOn w:val="DefaultParagraphFont"/>
    <w:uiPriority w:val="20"/>
    <w:qFormat/>
    <w:rsid w:val="00A95242"/>
    <w:rPr>
      <w:i/>
      <w:iCs/>
    </w:rPr>
  </w:style>
  <w:style w:type="paragraph" w:styleId="NoSpacing">
    <w:name w:val="No Spacing"/>
    <w:uiPriority w:val="1"/>
    <w:qFormat/>
    <w:rsid w:val="00A95242"/>
    <w:pPr>
      <w:spacing w:after="0" w:line="240" w:lineRule="auto"/>
    </w:pPr>
  </w:style>
  <w:style w:type="paragraph" w:styleId="Quote">
    <w:name w:val="Quote"/>
    <w:basedOn w:val="Normal"/>
    <w:next w:val="Normal"/>
    <w:link w:val="QuoteChar"/>
    <w:uiPriority w:val="29"/>
    <w:qFormat/>
    <w:rsid w:val="00A95242"/>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A95242"/>
    <w:rPr>
      <w:i/>
      <w:iCs/>
    </w:rPr>
  </w:style>
  <w:style w:type="paragraph" w:styleId="IntenseQuote">
    <w:name w:val="Intense Quote"/>
    <w:basedOn w:val="Normal"/>
    <w:next w:val="Normal"/>
    <w:link w:val="IntenseQuoteChar"/>
    <w:uiPriority w:val="30"/>
    <w:qFormat/>
    <w:rsid w:val="00A95242"/>
    <w:pPr>
      <w:spacing w:before="100" w:beforeAutospacing="1" w:after="240"/>
      <w:ind w:left="864" w:right="864"/>
      <w:jc w:val="center"/>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A95242"/>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A95242"/>
    <w:rPr>
      <w:i/>
      <w:iCs/>
      <w:color w:val="595959" w:themeColor="text1" w:themeTint="A6"/>
    </w:rPr>
  </w:style>
  <w:style w:type="character" w:styleId="IntenseEmphasis">
    <w:name w:val="Intense Emphasis"/>
    <w:basedOn w:val="DefaultParagraphFont"/>
    <w:uiPriority w:val="21"/>
    <w:qFormat/>
    <w:rsid w:val="00A95242"/>
    <w:rPr>
      <w:b/>
      <w:bCs/>
      <w:i/>
      <w:iCs/>
    </w:rPr>
  </w:style>
  <w:style w:type="character" w:styleId="SubtleReference">
    <w:name w:val="Subtle Reference"/>
    <w:basedOn w:val="DefaultParagraphFont"/>
    <w:uiPriority w:val="31"/>
    <w:qFormat/>
    <w:rsid w:val="00A95242"/>
    <w:rPr>
      <w:smallCaps/>
      <w:color w:val="404040" w:themeColor="text1" w:themeTint="BF"/>
    </w:rPr>
  </w:style>
  <w:style w:type="character" w:styleId="IntenseReference">
    <w:name w:val="Intense Reference"/>
    <w:basedOn w:val="DefaultParagraphFont"/>
    <w:uiPriority w:val="32"/>
    <w:qFormat/>
    <w:rsid w:val="00A95242"/>
    <w:rPr>
      <w:b/>
      <w:bCs/>
      <w:smallCaps/>
      <w:u w:val="single"/>
    </w:rPr>
  </w:style>
  <w:style w:type="character" w:styleId="BookTitle">
    <w:name w:val="Book Title"/>
    <w:basedOn w:val="DefaultParagraphFont"/>
    <w:uiPriority w:val="33"/>
    <w:qFormat/>
    <w:rsid w:val="00A95242"/>
    <w:rPr>
      <w:b/>
      <w:bCs/>
      <w:smallCaps/>
    </w:rPr>
  </w:style>
  <w:style w:type="paragraph" w:styleId="TOCHeading">
    <w:name w:val="TOC Heading"/>
    <w:basedOn w:val="Heading1"/>
    <w:next w:val="Normal"/>
    <w:uiPriority w:val="39"/>
    <w:semiHidden/>
    <w:unhideWhenUsed/>
    <w:qFormat/>
    <w:rsid w:val="00A9524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890A5C-3093-4B42-8C9D-1B17A74AD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1186</Words>
  <Characters>6701</Characters>
  <Application>Microsoft Office Word</Application>
  <DocSecurity>0</DocSecurity>
  <Lines>279</Lines>
  <Paragraphs>64</Paragraphs>
  <ScaleCrop>false</ScaleCrop>
  <HeadingPairs>
    <vt:vector size="2" baseType="variant">
      <vt:variant>
        <vt:lpstr>Title</vt:lpstr>
      </vt:variant>
      <vt:variant>
        <vt:i4>1</vt:i4>
      </vt:variant>
    </vt:vector>
  </HeadingPairs>
  <TitlesOfParts>
    <vt:vector size="1" baseType="lpstr">
      <vt:lpstr>Independent evaluation of the Australian Volunteers program management response – September 2021</vt:lpstr>
    </vt:vector>
  </TitlesOfParts>
  <Company/>
  <LinksUpToDate>false</LinksUpToDate>
  <CharactersWithSpaces>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evaluation of the Australian Volunteers program management response – September 2021</dc:title>
  <dc:subject/>
  <dc:creator/>
  <cp:keywords>[SEC=UNOFFICIAL]</cp:keywords>
  <cp:lastModifiedBy/>
  <cp:revision>1</cp:revision>
  <dcterms:created xsi:type="dcterms:W3CDTF">2021-09-14T04:18:00Z</dcterms:created>
  <dcterms:modified xsi:type="dcterms:W3CDTF">2021-09-14T04:18:00Z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UNOFFICIAL</vt:lpwstr>
  </property>
  <property fmtid="{D5CDD505-2E9C-101B-9397-08002B2CF9AE}" pid="5" name="PM_Qualifier">
    <vt:lpwstr/>
  </property>
  <property fmtid="{D5CDD505-2E9C-101B-9397-08002B2CF9AE}" pid="6" name="PM_SecurityClassification">
    <vt:lpwstr>UNOFFICIAL</vt:lpwstr>
  </property>
  <property fmtid="{D5CDD505-2E9C-101B-9397-08002B2CF9AE}" pid="7" name="PM_InsertionValue">
    <vt:lpwstr>UNOFFICIAL</vt:lpwstr>
  </property>
  <property fmtid="{D5CDD505-2E9C-101B-9397-08002B2CF9AE}" pid="8" name="PM_Originating_FileId">
    <vt:lpwstr>48286C02D9FD4DD69B0709567ADCE2AF</vt:lpwstr>
  </property>
  <property fmtid="{D5CDD505-2E9C-101B-9397-08002B2CF9AE}" pid="9" name="PM_ProtectiveMarkingValue_Footer">
    <vt:lpwstr>UNOFFICIAL</vt:lpwstr>
  </property>
  <property fmtid="{D5CDD505-2E9C-101B-9397-08002B2CF9AE}" pid="10" name="PM_Originator_Hash_SHA1">
    <vt:lpwstr>EF9F64ADCD6367A39DB57F995D4752E9C3C7095D</vt:lpwstr>
  </property>
  <property fmtid="{D5CDD505-2E9C-101B-9397-08002B2CF9AE}" pid="11" name="PM_OriginationTimeStamp">
    <vt:lpwstr>2021-09-14T04:11:57Z</vt:lpwstr>
  </property>
  <property fmtid="{D5CDD505-2E9C-101B-9397-08002B2CF9AE}" pid="12" name="PM_ProtectiveMarkingValue_Header">
    <vt:lpwstr>UNOFFICIAL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12184A3078B4CFD419A6B385F9B00E25</vt:lpwstr>
  </property>
  <property fmtid="{D5CDD505-2E9C-101B-9397-08002B2CF9AE}" pid="20" name="PM_Hash_Salt">
    <vt:lpwstr>9A99BCF2F8DE1A11E4F9C4250829CC79</vt:lpwstr>
  </property>
  <property fmtid="{D5CDD505-2E9C-101B-9397-08002B2CF9AE}" pid="21" name="PM_Hash_SHA1">
    <vt:lpwstr>F75B20ADA54B6652F800AF77179D140588A5E45D</vt:lpwstr>
  </property>
  <property fmtid="{D5CDD505-2E9C-101B-9397-08002B2CF9AE}" pid="22" name="PM_SecurityClassification_Prev">
    <vt:lpwstr>UNOFFICIAL</vt:lpwstr>
  </property>
  <property fmtid="{D5CDD505-2E9C-101B-9397-08002B2CF9AE}" pid="23" name="PM_Qualifier_Prev">
    <vt:lpwstr/>
  </property>
</Properties>
</file>