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17F32" w14:textId="1D689C98" w:rsidR="00D76336" w:rsidRPr="00E24C6A" w:rsidRDefault="00D76336" w:rsidP="002035EF">
      <w:pPr>
        <w:pStyle w:val="Heading1"/>
      </w:pPr>
      <w:r w:rsidRPr="00E24C6A">
        <w:t>Evaluating development and diplomacy outcomes through AWP partnerships in the Mekong</w:t>
      </w:r>
    </w:p>
    <w:p w14:paraId="5C265A37" w14:textId="77777777" w:rsidR="002035EF" w:rsidRDefault="002035EF" w:rsidP="002035EF">
      <w:pPr>
        <w:pStyle w:val="Heading2"/>
      </w:pPr>
      <w:r>
        <w:t>Background</w:t>
      </w:r>
    </w:p>
    <w:p w14:paraId="6781BD76" w14:textId="5B48FADB" w:rsidR="0093181C" w:rsidRDefault="0093181C" w:rsidP="00D76336">
      <w:pPr>
        <w:rPr>
          <w:rFonts w:ascii="Calibri" w:hAnsi="Calibri" w:cs="Calibri"/>
        </w:rPr>
      </w:pPr>
      <w:r w:rsidRPr="00E24C6A">
        <w:rPr>
          <w:rFonts w:ascii="Calibri" w:hAnsi="Calibri" w:cs="Calibri"/>
        </w:rPr>
        <w:t xml:space="preserve">The Australia-Mekong Water Facility (AMWF) was established through a grant agreement between DFAT and </w:t>
      </w:r>
      <w:proofErr w:type="spellStart"/>
      <w:r w:rsidRPr="00E24C6A">
        <w:rPr>
          <w:rFonts w:ascii="Calibri" w:hAnsi="Calibri" w:cs="Calibri"/>
        </w:rPr>
        <w:t>eWater</w:t>
      </w:r>
      <w:proofErr w:type="spellEnd"/>
      <w:r w:rsidRPr="00E24C6A">
        <w:rPr>
          <w:rFonts w:ascii="Calibri" w:hAnsi="Calibri" w:cs="Calibri"/>
        </w:rPr>
        <w:t xml:space="preserve"> Group to strengthen Australia’s engagement with Mekong countries in the water sector. The AMWF was implemented by the Australian Water Partnership (AWP) and funded by DFAT’s Mekong-Australia Partnership</w:t>
      </w:r>
      <w:r w:rsidR="00554FC9">
        <w:rPr>
          <w:rFonts w:ascii="Calibri" w:hAnsi="Calibri" w:cs="Calibri"/>
        </w:rPr>
        <w:t xml:space="preserve"> over 2019-2024</w:t>
      </w:r>
      <w:r w:rsidRPr="00E24C6A">
        <w:rPr>
          <w:rFonts w:ascii="Calibri" w:hAnsi="Calibri" w:cs="Calibri"/>
        </w:rPr>
        <w:t>.</w:t>
      </w:r>
    </w:p>
    <w:p w14:paraId="63A38A18" w14:textId="51924CCF" w:rsidR="002035EF" w:rsidRPr="00E24C6A" w:rsidRDefault="000613FD" w:rsidP="002035EF">
      <w:pPr>
        <w:pStyle w:val="Heading2"/>
      </w:pPr>
      <w:r>
        <w:t xml:space="preserve">Review and response </w:t>
      </w:r>
    </w:p>
    <w:p w14:paraId="1DCF2780" w14:textId="157D12FF" w:rsidR="00D76336" w:rsidRDefault="0093181C" w:rsidP="00E24C6A">
      <w:pPr>
        <w:rPr>
          <w:rFonts w:ascii="Calibri" w:hAnsi="Calibri" w:cs="Calibri"/>
        </w:rPr>
      </w:pPr>
      <w:r w:rsidRPr="00E24C6A">
        <w:rPr>
          <w:rFonts w:ascii="Calibri" w:hAnsi="Calibri" w:cs="Calibri"/>
        </w:rPr>
        <w:t xml:space="preserve">In 2024, AWP commissioned a </w:t>
      </w:r>
      <w:r w:rsidR="00D76336" w:rsidRPr="00E24C6A">
        <w:rPr>
          <w:rFonts w:ascii="Calibri" w:hAnsi="Calibri" w:cs="Calibri"/>
        </w:rPr>
        <w:t>review</w:t>
      </w:r>
      <w:r w:rsidRPr="00E24C6A">
        <w:rPr>
          <w:rFonts w:ascii="Calibri" w:hAnsi="Calibri" w:cs="Calibri"/>
        </w:rPr>
        <w:t xml:space="preserve"> to assess the </w:t>
      </w:r>
      <w:r w:rsidR="00D76336" w:rsidRPr="00E24C6A">
        <w:rPr>
          <w:rFonts w:ascii="Calibri" w:hAnsi="Calibri" w:cs="Calibri"/>
        </w:rPr>
        <w:t xml:space="preserve">contribution of partnerships to </w:t>
      </w:r>
      <w:r w:rsidRPr="00E24C6A">
        <w:rPr>
          <w:rFonts w:ascii="Calibri" w:hAnsi="Calibri" w:cs="Calibri"/>
        </w:rPr>
        <w:t xml:space="preserve">the AMWF’s </w:t>
      </w:r>
      <w:r w:rsidR="00D76336" w:rsidRPr="00E24C6A">
        <w:rPr>
          <w:rFonts w:ascii="Calibri" w:hAnsi="Calibri" w:cs="Calibri"/>
        </w:rPr>
        <w:t>development and diplomacy outcomes</w:t>
      </w:r>
      <w:r w:rsidRPr="00E24C6A">
        <w:rPr>
          <w:rFonts w:ascii="Calibri" w:hAnsi="Calibri" w:cs="Calibri"/>
        </w:rPr>
        <w:t>. The review’s lessons, recommendations, and DFAT responses are listed in the table below.</w:t>
      </w:r>
      <w:r w:rsidR="00AD028C">
        <w:rPr>
          <w:rFonts w:ascii="Calibri" w:hAnsi="Calibri" w:cs="Calibri"/>
        </w:rPr>
        <w:t xml:space="preserve"> The </w:t>
      </w:r>
      <w:r w:rsidR="002E2400">
        <w:rPr>
          <w:rFonts w:ascii="Calibri" w:hAnsi="Calibri" w:cs="Calibri"/>
        </w:rPr>
        <w:t xml:space="preserve">review was one of </w:t>
      </w:r>
      <w:proofErr w:type="gramStart"/>
      <w:r w:rsidR="002E2400">
        <w:rPr>
          <w:rFonts w:ascii="Calibri" w:hAnsi="Calibri" w:cs="Calibri"/>
        </w:rPr>
        <w:t>a number of</w:t>
      </w:r>
      <w:proofErr w:type="gramEnd"/>
      <w:r w:rsidR="002E2400">
        <w:rPr>
          <w:rFonts w:ascii="Calibri" w:hAnsi="Calibri" w:cs="Calibri"/>
        </w:rPr>
        <w:t xml:space="preserve"> inputs that informed AWP Phase 3</w:t>
      </w:r>
      <w:r w:rsidR="00B37278">
        <w:rPr>
          <w:rFonts w:ascii="Calibri" w:hAnsi="Calibri" w:cs="Calibri"/>
        </w:rPr>
        <w:t xml:space="preserve"> (2024-20</w:t>
      </w:r>
      <w:r w:rsidR="00154128">
        <w:rPr>
          <w:rFonts w:ascii="Calibri" w:hAnsi="Calibri" w:cs="Calibri"/>
        </w:rPr>
        <w:t>26</w:t>
      </w:r>
      <w:r w:rsidR="00B37278">
        <w:rPr>
          <w:rFonts w:ascii="Calibri" w:hAnsi="Calibri" w:cs="Calibri"/>
        </w:rPr>
        <w:t>)</w:t>
      </w:r>
      <w:r w:rsidR="002E2400">
        <w:rPr>
          <w:rFonts w:ascii="Calibri" w:hAnsi="Calibri" w:cs="Calibri"/>
        </w:rPr>
        <w:t>.</w:t>
      </w:r>
    </w:p>
    <w:p w14:paraId="658CCBAD" w14:textId="6838D90C" w:rsidR="002035EF" w:rsidRDefault="000613FD" w:rsidP="000613FD">
      <w:pPr>
        <w:pStyle w:val="Heading3"/>
      </w:pPr>
      <w:r>
        <w:t>Table 1: Review lessons, recommendations, and response</w:t>
      </w:r>
    </w:p>
    <w:p w14:paraId="3BD25D80" w14:textId="347DC073" w:rsidR="00C5440B" w:rsidRPr="00C5440B" w:rsidRDefault="00C5440B" w:rsidP="00C5440B">
      <w:pPr>
        <w:pStyle w:val="Heading4"/>
      </w:pPr>
      <w:r w:rsidRPr="00C5440B">
        <w:t>Facilitate effective partnerships</w:t>
      </w: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ook w:val="04A0" w:firstRow="1" w:lastRow="0" w:firstColumn="1" w:lastColumn="0" w:noHBand="0" w:noVBand="1"/>
      </w:tblPr>
      <w:tblGrid>
        <w:gridCol w:w="5306"/>
        <w:gridCol w:w="5038"/>
        <w:gridCol w:w="5044"/>
      </w:tblGrid>
      <w:tr w:rsidR="00366C2A" w:rsidRPr="00D76336" w14:paraId="09FA4289" w14:textId="77777777" w:rsidTr="004571AA">
        <w:trPr>
          <w:trHeight w:val="343"/>
          <w:tblHeader/>
        </w:trPr>
        <w:tc>
          <w:tcPr>
            <w:tcW w:w="1724" w:type="pct"/>
            <w:tcBorders>
              <w:top w:val="single" w:sz="4" w:space="0" w:color="auto"/>
              <w:bottom w:val="single" w:sz="4" w:space="0" w:color="auto"/>
            </w:tcBorders>
            <w:shd w:val="clear" w:color="auto" w:fill="E8E2DC"/>
            <w:tcMar>
              <w:top w:w="0" w:type="dxa"/>
              <w:left w:w="0" w:type="dxa"/>
              <w:bottom w:w="0" w:type="dxa"/>
              <w:right w:w="0" w:type="dxa"/>
            </w:tcMar>
            <w:hideMark/>
          </w:tcPr>
          <w:p w14:paraId="7AC269EF" w14:textId="77777777" w:rsidR="00D76336" w:rsidRPr="00D76336" w:rsidRDefault="00D76336" w:rsidP="005C6AAD">
            <w:pPr>
              <w:spacing w:before="60" w:after="60" w:line="240" w:lineRule="auto"/>
              <w:ind w:left="340" w:right="340"/>
              <w:rPr>
                <w:rFonts w:ascii="Calibri" w:hAnsi="Calibri" w:cs="Calibri"/>
              </w:rPr>
            </w:pPr>
            <w:r w:rsidRPr="00D76336">
              <w:rPr>
                <w:rFonts w:ascii="Calibri" w:hAnsi="Calibri" w:cs="Calibri"/>
                <w:b/>
                <w:bCs/>
              </w:rPr>
              <w:t>Key Lesson Learnt</w:t>
            </w:r>
          </w:p>
        </w:tc>
        <w:tc>
          <w:tcPr>
            <w:tcW w:w="1637" w:type="pct"/>
            <w:tcBorders>
              <w:top w:val="single" w:sz="4" w:space="0" w:color="auto"/>
              <w:bottom w:val="single" w:sz="4" w:space="0" w:color="auto"/>
            </w:tcBorders>
            <w:shd w:val="clear" w:color="auto" w:fill="E8E2DC"/>
            <w:tcMar>
              <w:top w:w="0" w:type="dxa"/>
              <w:left w:w="0" w:type="dxa"/>
              <w:bottom w:w="0" w:type="dxa"/>
              <w:right w:w="0" w:type="dxa"/>
            </w:tcMar>
            <w:hideMark/>
          </w:tcPr>
          <w:p w14:paraId="0F66F50E" w14:textId="77777777" w:rsidR="00D76336" w:rsidRPr="00D76336" w:rsidRDefault="00D76336" w:rsidP="005C6AAD">
            <w:pPr>
              <w:spacing w:before="60" w:after="60" w:line="240" w:lineRule="auto"/>
              <w:ind w:left="340" w:right="340"/>
              <w:rPr>
                <w:rFonts w:ascii="Calibri" w:hAnsi="Calibri" w:cs="Calibri"/>
              </w:rPr>
            </w:pPr>
            <w:r w:rsidRPr="00D76336">
              <w:rPr>
                <w:rFonts w:ascii="Calibri" w:hAnsi="Calibri" w:cs="Calibri"/>
                <w:b/>
                <w:bCs/>
              </w:rPr>
              <w:t>Recommendation</w:t>
            </w:r>
          </w:p>
        </w:tc>
        <w:tc>
          <w:tcPr>
            <w:tcW w:w="1639" w:type="pct"/>
            <w:tcBorders>
              <w:top w:val="single" w:sz="4" w:space="0" w:color="auto"/>
              <w:bottom w:val="single" w:sz="4" w:space="0" w:color="auto"/>
            </w:tcBorders>
            <w:shd w:val="clear" w:color="auto" w:fill="E8E2DC"/>
            <w:tcMar>
              <w:top w:w="0" w:type="dxa"/>
              <w:left w:w="0" w:type="dxa"/>
              <w:bottom w:w="0" w:type="dxa"/>
              <w:right w:w="0" w:type="dxa"/>
            </w:tcMar>
            <w:hideMark/>
          </w:tcPr>
          <w:p w14:paraId="7BD3DE0B" w14:textId="2C14B9D1" w:rsidR="00D76336" w:rsidRPr="00D76336" w:rsidRDefault="00E24C6A" w:rsidP="005C6AAD">
            <w:pPr>
              <w:spacing w:before="60" w:after="60" w:line="240" w:lineRule="auto"/>
              <w:ind w:left="340" w:right="340"/>
              <w:rPr>
                <w:rFonts w:ascii="Calibri" w:hAnsi="Calibri" w:cs="Calibri"/>
              </w:rPr>
            </w:pPr>
            <w:r w:rsidRPr="00E24C6A">
              <w:rPr>
                <w:rFonts w:ascii="Calibri" w:hAnsi="Calibri" w:cs="Calibri"/>
                <w:b/>
                <w:bCs/>
              </w:rPr>
              <w:t xml:space="preserve">DFAT </w:t>
            </w:r>
            <w:r w:rsidR="00D76336" w:rsidRPr="00D76336">
              <w:rPr>
                <w:rFonts w:ascii="Calibri" w:hAnsi="Calibri" w:cs="Calibri"/>
                <w:b/>
                <w:bCs/>
              </w:rPr>
              <w:t>response</w:t>
            </w:r>
            <w:r w:rsidR="000613FD">
              <w:rPr>
                <w:rFonts w:ascii="Calibri" w:hAnsi="Calibri" w:cs="Calibri"/>
                <w:b/>
                <w:bCs/>
              </w:rPr>
              <w:t xml:space="preserve"> to recommendation</w:t>
            </w:r>
          </w:p>
        </w:tc>
      </w:tr>
      <w:tr w:rsidR="00D76336" w:rsidRPr="00D76336" w14:paraId="10FC93D9" w14:textId="77777777" w:rsidTr="004571AA">
        <w:trPr>
          <w:trHeight w:val="647"/>
        </w:trPr>
        <w:tc>
          <w:tcPr>
            <w:tcW w:w="1724" w:type="pct"/>
            <w:tcBorders>
              <w:top w:val="single" w:sz="4" w:space="0" w:color="auto"/>
            </w:tcBorders>
            <w:tcMar>
              <w:top w:w="0" w:type="dxa"/>
              <w:left w:w="0" w:type="dxa"/>
              <w:bottom w:w="0" w:type="dxa"/>
              <w:right w:w="0" w:type="dxa"/>
            </w:tcMar>
            <w:hideMark/>
          </w:tcPr>
          <w:p w14:paraId="7473B2B6" w14:textId="728AD655" w:rsidR="00EE5E0B" w:rsidRDefault="00D76336" w:rsidP="00C35E5F">
            <w:pPr>
              <w:pStyle w:val="ListParagraph"/>
              <w:numPr>
                <w:ilvl w:val="0"/>
                <w:numId w:val="16"/>
              </w:numPr>
              <w:spacing w:after="0"/>
            </w:pPr>
            <w:r w:rsidRPr="00D76336">
              <w:t>Trust and respect take time, as does effective ways of working.</w:t>
            </w:r>
          </w:p>
          <w:p w14:paraId="78B9FA38" w14:textId="5A687595" w:rsidR="00D76336" w:rsidRPr="00EE5E0B" w:rsidRDefault="00D76336" w:rsidP="00C35E5F">
            <w:pPr>
              <w:pStyle w:val="ListParagraph"/>
              <w:numPr>
                <w:ilvl w:val="0"/>
                <w:numId w:val="16"/>
              </w:numPr>
              <w:spacing w:after="0"/>
            </w:pPr>
            <w:r w:rsidRPr="00EE5E0B">
              <w:t>Long-standing relationships underpin many partnerships.</w:t>
            </w:r>
          </w:p>
          <w:p w14:paraId="11C12325" w14:textId="55CDF9E6" w:rsidR="00D76336" w:rsidRPr="00D76336" w:rsidRDefault="00D76336" w:rsidP="00C35E5F">
            <w:pPr>
              <w:pStyle w:val="ListParagraph"/>
              <w:numPr>
                <w:ilvl w:val="0"/>
                <w:numId w:val="16"/>
              </w:numPr>
              <w:spacing w:after="0"/>
            </w:pPr>
            <w:r w:rsidRPr="00D76336">
              <w:t>Local consultants/people on the ground (</w:t>
            </w:r>
            <w:r w:rsidR="003E16F8">
              <w:t xml:space="preserve">including </w:t>
            </w:r>
            <w:r w:rsidRPr="00D76336">
              <w:t>expats who have worked locally for many years) are critical to implementation.</w:t>
            </w:r>
          </w:p>
          <w:p w14:paraId="396DEC07" w14:textId="77777777" w:rsidR="00D76336" w:rsidRPr="00D76336" w:rsidRDefault="00D76336" w:rsidP="00C35E5F">
            <w:pPr>
              <w:pStyle w:val="ListParagraph"/>
              <w:numPr>
                <w:ilvl w:val="0"/>
                <w:numId w:val="16"/>
              </w:numPr>
              <w:spacing w:after="0"/>
            </w:pPr>
            <w:r w:rsidRPr="00D76336">
              <w:t xml:space="preserve">Having objective Australian technical support at country and regional level helps </w:t>
            </w:r>
            <w:proofErr w:type="gramStart"/>
            <w:r w:rsidRPr="00D76336">
              <w:t>collaboration, and</w:t>
            </w:r>
            <w:proofErr w:type="gramEnd"/>
            <w:r w:rsidRPr="00D76336">
              <w:t xml:space="preserve"> has helped build local capacity effectively.</w:t>
            </w:r>
          </w:p>
          <w:p w14:paraId="49049B1D" w14:textId="4CB5394E" w:rsidR="00D76336" w:rsidRPr="00D76336" w:rsidRDefault="00D76336" w:rsidP="00C35E5F">
            <w:pPr>
              <w:pStyle w:val="ListParagraph"/>
              <w:numPr>
                <w:ilvl w:val="0"/>
                <w:numId w:val="16"/>
              </w:numPr>
              <w:spacing w:after="0"/>
            </w:pPr>
            <w:r w:rsidRPr="00D76336">
              <w:lastRenderedPageBreak/>
              <w:t>Establishing clear expectations and an agreed approach to the scope and outcome of activities at the outset of the project is important</w:t>
            </w:r>
            <w:r w:rsidR="004F6475">
              <w:t>.</w:t>
            </w:r>
          </w:p>
        </w:tc>
        <w:tc>
          <w:tcPr>
            <w:tcW w:w="1637" w:type="pct"/>
            <w:tcBorders>
              <w:top w:val="single" w:sz="4" w:space="0" w:color="auto"/>
            </w:tcBorders>
            <w:tcMar>
              <w:top w:w="0" w:type="dxa"/>
              <w:left w:w="0" w:type="dxa"/>
              <w:bottom w:w="0" w:type="dxa"/>
              <w:right w:w="0" w:type="dxa"/>
            </w:tcMar>
            <w:hideMark/>
          </w:tcPr>
          <w:p w14:paraId="50BF87D1" w14:textId="77777777" w:rsidR="00D76336" w:rsidRPr="00D76336" w:rsidRDefault="00D76336" w:rsidP="00DA2684">
            <w:pPr>
              <w:spacing w:after="0"/>
            </w:pPr>
            <w:r w:rsidRPr="00D76336">
              <w:lastRenderedPageBreak/>
              <w:t>There are no short-cuts to effective partnership brokering, but if partners are new then AWP needs to ensure contracts provide time for partners to co- create a shared vision, governance and management of the partnership, and collaborative ways of working.</w:t>
            </w:r>
          </w:p>
        </w:tc>
        <w:tc>
          <w:tcPr>
            <w:tcW w:w="1639" w:type="pct"/>
            <w:tcBorders>
              <w:top w:val="single" w:sz="4" w:space="0" w:color="auto"/>
            </w:tcBorders>
            <w:tcMar>
              <w:top w:w="0" w:type="dxa"/>
              <w:left w:w="0" w:type="dxa"/>
              <w:bottom w:w="0" w:type="dxa"/>
              <w:right w:w="0" w:type="dxa"/>
            </w:tcMar>
            <w:hideMark/>
          </w:tcPr>
          <w:p w14:paraId="5ECA466C" w14:textId="7E6295B9" w:rsidR="00D76336" w:rsidRPr="00D76336" w:rsidRDefault="002D0C5B" w:rsidP="00DA2684">
            <w:r>
              <w:t>Agreed.</w:t>
            </w:r>
            <w:r w:rsidR="00EE5E0B">
              <w:t xml:space="preserve"> </w:t>
            </w:r>
            <w:r w:rsidR="00190814">
              <w:t xml:space="preserve">AWP Phase 3’s co-design process </w:t>
            </w:r>
            <w:r w:rsidR="005605FF">
              <w:t>provides time for partnership development.</w:t>
            </w:r>
          </w:p>
        </w:tc>
      </w:tr>
    </w:tbl>
    <w:p w14:paraId="66903842" w14:textId="0C60D538" w:rsidR="00644093" w:rsidRPr="00C5440B" w:rsidRDefault="00C5440B" w:rsidP="00C5440B">
      <w:pPr>
        <w:pStyle w:val="Heading4"/>
      </w:pPr>
      <w:r w:rsidRPr="00C5440B">
        <w:t>Facilitate diplomatic outcomes and/or support diplomatic efforts</w:t>
      </w: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ook w:val="04A0" w:firstRow="1" w:lastRow="0" w:firstColumn="1" w:lastColumn="0" w:noHBand="0" w:noVBand="1"/>
      </w:tblPr>
      <w:tblGrid>
        <w:gridCol w:w="5306"/>
        <w:gridCol w:w="5038"/>
        <w:gridCol w:w="5044"/>
      </w:tblGrid>
      <w:tr w:rsidR="00C5440B" w:rsidRPr="00D76336" w14:paraId="0C48C493" w14:textId="77777777" w:rsidTr="00C5440B">
        <w:trPr>
          <w:trHeight w:val="232"/>
        </w:trPr>
        <w:tc>
          <w:tcPr>
            <w:tcW w:w="1724" w:type="pct"/>
            <w:shd w:val="clear" w:color="auto" w:fill="E8E2DC"/>
            <w:tcMar>
              <w:top w:w="0" w:type="dxa"/>
              <w:left w:w="0" w:type="dxa"/>
              <w:bottom w:w="0" w:type="dxa"/>
              <w:right w:w="0" w:type="dxa"/>
            </w:tcMar>
          </w:tcPr>
          <w:p w14:paraId="51BA0CA5" w14:textId="1CB224E2" w:rsidR="00C5440B" w:rsidRPr="00D76336" w:rsidRDefault="00C5440B" w:rsidP="00C5440B">
            <w:pPr>
              <w:spacing w:after="0"/>
            </w:pPr>
            <w:r w:rsidRPr="00D76336">
              <w:rPr>
                <w:rFonts w:ascii="Calibri" w:hAnsi="Calibri" w:cs="Calibri"/>
                <w:b/>
                <w:bCs/>
              </w:rPr>
              <w:t>Key Lesson Learnt</w:t>
            </w:r>
          </w:p>
        </w:tc>
        <w:tc>
          <w:tcPr>
            <w:tcW w:w="1637" w:type="pct"/>
            <w:shd w:val="clear" w:color="auto" w:fill="E8E2DC"/>
            <w:tcMar>
              <w:top w:w="0" w:type="dxa"/>
              <w:left w:w="0" w:type="dxa"/>
              <w:bottom w:w="0" w:type="dxa"/>
              <w:right w:w="0" w:type="dxa"/>
            </w:tcMar>
          </w:tcPr>
          <w:p w14:paraId="6983E66A" w14:textId="793DA3DA" w:rsidR="00C5440B" w:rsidRPr="00D76336" w:rsidRDefault="00C5440B" w:rsidP="00C5440B">
            <w:pPr>
              <w:spacing w:after="0"/>
            </w:pPr>
            <w:r w:rsidRPr="00D76336">
              <w:rPr>
                <w:rFonts w:ascii="Calibri" w:hAnsi="Calibri" w:cs="Calibri"/>
                <w:b/>
                <w:bCs/>
              </w:rPr>
              <w:t>Recommendation</w:t>
            </w:r>
          </w:p>
        </w:tc>
        <w:tc>
          <w:tcPr>
            <w:tcW w:w="1639" w:type="pct"/>
            <w:shd w:val="clear" w:color="auto" w:fill="E8E2DC"/>
            <w:tcMar>
              <w:top w:w="0" w:type="dxa"/>
              <w:left w:w="0" w:type="dxa"/>
              <w:bottom w:w="0" w:type="dxa"/>
              <w:right w:w="0" w:type="dxa"/>
            </w:tcMar>
          </w:tcPr>
          <w:p w14:paraId="042B4D7F" w14:textId="4CC3D369" w:rsidR="00C5440B" w:rsidRPr="00F405EF" w:rsidRDefault="00C5440B" w:rsidP="00C5440B">
            <w:r w:rsidRPr="00E24C6A">
              <w:rPr>
                <w:rFonts w:ascii="Calibri" w:hAnsi="Calibri" w:cs="Calibri"/>
                <w:b/>
                <w:bCs/>
              </w:rPr>
              <w:t xml:space="preserve">DFAT </w:t>
            </w:r>
            <w:r w:rsidRPr="00D76336">
              <w:rPr>
                <w:rFonts w:ascii="Calibri" w:hAnsi="Calibri" w:cs="Calibri"/>
                <w:b/>
                <w:bCs/>
              </w:rPr>
              <w:t>response</w:t>
            </w:r>
            <w:r>
              <w:rPr>
                <w:rFonts w:ascii="Calibri" w:hAnsi="Calibri" w:cs="Calibri"/>
                <w:b/>
                <w:bCs/>
              </w:rPr>
              <w:t xml:space="preserve"> to recommendation</w:t>
            </w:r>
          </w:p>
        </w:tc>
      </w:tr>
      <w:tr w:rsidR="00C5440B" w:rsidRPr="00D76336" w14:paraId="1F75B7B3" w14:textId="77777777" w:rsidTr="00612663">
        <w:trPr>
          <w:trHeight w:val="1390"/>
        </w:trPr>
        <w:tc>
          <w:tcPr>
            <w:tcW w:w="1724" w:type="pct"/>
            <w:tcMar>
              <w:top w:w="0" w:type="dxa"/>
              <w:left w:w="0" w:type="dxa"/>
              <w:bottom w:w="0" w:type="dxa"/>
              <w:right w:w="0" w:type="dxa"/>
            </w:tcMar>
            <w:hideMark/>
          </w:tcPr>
          <w:p w14:paraId="7B598183" w14:textId="77777777" w:rsidR="00C5440B" w:rsidRPr="00D76336" w:rsidRDefault="00C5440B" w:rsidP="00C5440B">
            <w:pPr>
              <w:pStyle w:val="ListParagraph"/>
              <w:numPr>
                <w:ilvl w:val="0"/>
                <w:numId w:val="19"/>
              </w:numPr>
              <w:spacing w:after="0"/>
            </w:pPr>
            <w:r w:rsidRPr="00D76336">
              <w:t xml:space="preserve">Projects have delivered an impressive range of outcomes, </w:t>
            </w:r>
            <w:proofErr w:type="gramStart"/>
            <w:r w:rsidRPr="00D76336">
              <w:t>as a result of</w:t>
            </w:r>
            <w:proofErr w:type="gramEnd"/>
            <w:r w:rsidRPr="00D76336">
              <w:t xml:space="preserve"> Australian expertise partner Governments might not have been able to access.</w:t>
            </w:r>
          </w:p>
          <w:p w14:paraId="33CA8756" w14:textId="77777777" w:rsidR="00C5440B" w:rsidRPr="00D76336" w:rsidRDefault="00C5440B" w:rsidP="00C5440B">
            <w:pPr>
              <w:pStyle w:val="ListParagraph"/>
              <w:numPr>
                <w:ilvl w:val="0"/>
                <w:numId w:val="19"/>
              </w:numPr>
              <w:spacing w:after="0"/>
            </w:pPr>
            <w:r w:rsidRPr="00D76336">
              <w:t>Study visits/field trips to Australia have played a critical role in showcasing potential solutions to Mekong government partners.</w:t>
            </w:r>
          </w:p>
          <w:p w14:paraId="7BB6B4BF" w14:textId="77777777" w:rsidR="00C5440B" w:rsidRPr="00864E19" w:rsidRDefault="00C5440B" w:rsidP="00C5440B">
            <w:pPr>
              <w:pStyle w:val="ListParagraph"/>
              <w:numPr>
                <w:ilvl w:val="0"/>
                <w:numId w:val="19"/>
              </w:numPr>
              <w:spacing w:after="0"/>
            </w:pPr>
            <w:r w:rsidRPr="00D76336">
              <w:t>AWP working through Post – the Mekong Working Group is an effective means for ensuring links between Australia’s development and diplomatic objectives in the region</w:t>
            </w:r>
            <w:r>
              <w:t>.</w:t>
            </w:r>
          </w:p>
        </w:tc>
        <w:tc>
          <w:tcPr>
            <w:tcW w:w="1637" w:type="pct"/>
            <w:tcMar>
              <w:top w:w="0" w:type="dxa"/>
              <w:left w:w="0" w:type="dxa"/>
              <w:bottom w:w="0" w:type="dxa"/>
              <w:right w:w="0" w:type="dxa"/>
            </w:tcMar>
            <w:hideMark/>
          </w:tcPr>
          <w:p w14:paraId="2B4100AB" w14:textId="77777777" w:rsidR="00C5440B" w:rsidRPr="00D76336" w:rsidRDefault="00C5440B" w:rsidP="00C5440B">
            <w:pPr>
              <w:spacing w:after="0"/>
            </w:pPr>
            <w:r w:rsidRPr="00D76336">
              <w:t xml:space="preserve">AWP needs to continue to work closely with DFAT to maintain the strategic use of AMWF in the </w:t>
            </w:r>
            <w:proofErr w:type="gramStart"/>
            <w:r w:rsidRPr="00D76336">
              <w:t>region, and</w:t>
            </w:r>
            <w:proofErr w:type="gramEnd"/>
            <w:r w:rsidRPr="00D76336">
              <w:t xml:space="preserve"> continue to work with DFAT to help the facility maintain close alignment to DFAT’s strategic objectives in the region.</w:t>
            </w:r>
          </w:p>
        </w:tc>
        <w:tc>
          <w:tcPr>
            <w:tcW w:w="1639" w:type="pct"/>
            <w:tcMar>
              <w:top w:w="0" w:type="dxa"/>
              <w:left w:w="0" w:type="dxa"/>
              <w:bottom w:w="0" w:type="dxa"/>
              <w:right w:w="0" w:type="dxa"/>
            </w:tcMar>
            <w:hideMark/>
          </w:tcPr>
          <w:p w14:paraId="77C36E91" w14:textId="77777777" w:rsidR="00C5440B" w:rsidRPr="00D76336" w:rsidRDefault="00C5440B" w:rsidP="00C5440B">
            <w:r w:rsidRPr="00F405EF">
              <w:t>Agreed.</w:t>
            </w:r>
            <w:r>
              <w:t xml:space="preserve"> </w:t>
            </w:r>
            <w:r w:rsidRPr="00F405EF">
              <w:t>AWP Phase 3 design involves close coordination with DFAT, including via a Southeast Asia Working Group.</w:t>
            </w:r>
          </w:p>
        </w:tc>
      </w:tr>
    </w:tbl>
    <w:p w14:paraId="2E77A787" w14:textId="0A92A659" w:rsidR="00C5440B" w:rsidRPr="008B2CC8" w:rsidRDefault="008B2CC8" w:rsidP="008B2CC8">
      <w:pPr>
        <w:pStyle w:val="Heading4"/>
        <w:rPr>
          <w:rFonts w:ascii="Calibri" w:hAnsi="Calibri" w:cs="Calibri"/>
        </w:rPr>
      </w:pPr>
      <w:r w:rsidRPr="008B2CC8">
        <w:t>Ensure outcomes are achieved</w:t>
      </w: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ook w:val="04A0" w:firstRow="1" w:lastRow="0" w:firstColumn="1" w:lastColumn="0" w:noHBand="0" w:noVBand="1"/>
      </w:tblPr>
      <w:tblGrid>
        <w:gridCol w:w="5306"/>
        <w:gridCol w:w="5038"/>
        <w:gridCol w:w="5044"/>
      </w:tblGrid>
      <w:tr w:rsidR="008B2CC8" w:rsidRPr="00BA19C0" w14:paraId="53FF76DE" w14:textId="77777777" w:rsidTr="008B2CC8">
        <w:trPr>
          <w:trHeight w:val="272"/>
          <w:tblHeader/>
        </w:trPr>
        <w:tc>
          <w:tcPr>
            <w:tcW w:w="1724" w:type="pct"/>
            <w:shd w:val="clear" w:color="auto" w:fill="E8E2DC"/>
            <w:tcMar>
              <w:top w:w="0" w:type="dxa"/>
              <w:left w:w="0" w:type="dxa"/>
              <w:bottom w:w="0" w:type="dxa"/>
              <w:right w:w="0" w:type="dxa"/>
            </w:tcMar>
            <w:hideMark/>
          </w:tcPr>
          <w:p w14:paraId="1CA6A075" w14:textId="17A31DDB" w:rsidR="008B2CC8" w:rsidRPr="00D76336" w:rsidRDefault="008B2CC8" w:rsidP="008B2CC8">
            <w:pPr>
              <w:spacing w:after="0"/>
            </w:pPr>
            <w:r w:rsidRPr="00D76336">
              <w:rPr>
                <w:rFonts w:ascii="Calibri" w:hAnsi="Calibri" w:cs="Calibri"/>
                <w:b/>
                <w:bCs/>
              </w:rPr>
              <w:t>Key Lesson Learnt</w:t>
            </w:r>
          </w:p>
        </w:tc>
        <w:tc>
          <w:tcPr>
            <w:tcW w:w="1637" w:type="pct"/>
            <w:shd w:val="clear" w:color="auto" w:fill="E8E2DC"/>
            <w:tcMar>
              <w:top w:w="0" w:type="dxa"/>
              <w:left w:w="0" w:type="dxa"/>
              <w:bottom w:w="0" w:type="dxa"/>
              <w:right w:w="0" w:type="dxa"/>
            </w:tcMar>
            <w:hideMark/>
          </w:tcPr>
          <w:p w14:paraId="3F66589C" w14:textId="5AC7A154" w:rsidR="008B2CC8" w:rsidRPr="00D76336" w:rsidRDefault="008B2CC8" w:rsidP="008B2CC8">
            <w:pPr>
              <w:spacing w:after="0"/>
            </w:pPr>
            <w:r w:rsidRPr="00D76336">
              <w:rPr>
                <w:rFonts w:ascii="Calibri" w:hAnsi="Calibri" w:cs="Calibri"/>
                <w:b/>
                <w:bCs/>
              </w:rPr>
              <w:t>Recommendation</w:t>
            </w:r>
          </w:p>
        </w:tc>
        <w:tc>
          <w:tcPr>
            <w:tcW w:w="1639" w:type="pct"/>
            <w:shd w:val="clear" w:color="auto" w:fill="E8E2DC"/>
            <w:tcMar>
              <w:top w:w="0" w:type="dxa"/>
              <w:left w:w="0" w:type="dxa"/>
              <w:bottom w:w="0" w:type="dxa"/>
              <w:right w:w="0" w:type="dxa"/>
            </w:tcMar>
          </w:tcPr>
          <w:p w14:paraId="546223AD" w14:textId="035B992C" w:rsidR="008B2CC8" w:rsidRPr="00BA19C0" w:rsidRDefault="008B2CC8" w:rsidP="008B2CC8">
            <w:pPr>
              <w:rPr>
                <w:rFonts w:ascii="Calibri" w:hAnsi="Calibri" w:cs="Calibri"/>
              </w:rPr>
            </w:pPr>
            <w:r w:rsidRPr="00E24C6A">
              <w:rPr>
                <w:rFonts w:ascii="Calibri" w:hAnsi="Calibri" w:cs="Calibri"/>
                <w:b/>
                <w:bCs/>
              </w:rPr>
              <w:t xml:space="preserve">DFAT </w:t>
            </w:r>
            <w:r w:rsidRPr="00D76336">
              <w:rPr>
                <w:rFonts w:ascii="Calibri" w:hAnsi="Calibri" w:cs="Calibri"/>
                <w:b/>
                <w:bCs/>
              </w:rPr>
              <w:t>response</w:t>
            </w:r>
            <w:r>
              <w:rPr>
                <w:rFonts w:ascii="Calibri" w:hAnsi="Calibri" w:cs="Calibri"/>
                <w:b/>
                <w:bCs/>
              </w:rPr>
              <w:t xml:space="preserve"> to recommendation</w:t>
            </w:r>
          </w:p>
        </w:tc>
      </w:tr>
      <w:tr w:rsidR="008B2CC8" w:rsidRPr="00BA19C0" w14:paraId="2279A854" w14:textId="77777777" w:rsidTr="00612663">
        <w:trPr>
          <w:trHeight w:val="272"/>
        </w:trPr>
        <w:tc>
          <w:tcPr>
            <w:tcW w:w="1724" w:type="pct"/>
            <w:tcMar>
              <w:top w:w="0" w:type="dxa"/>
              <w:left w:w="0" w:type="dxa"/>
              <w:bottom w:w="0" w:type="dxa"/>
              <w:right w:w="0" w:type="dxa"/>
            </w:tcMar>
          </w:tcPr>
          <w:p w14:paraId="0A800662" w14:textId="77777777" w:rsidR="008B2CC8" w:rsidRPr="00D76336" w:rsidRDefault="008B2CC8" w:rsidP="008B2CC8">
            <w:pPr>
              <w:spacing w:after="0"/>
            </w:pPr>
            <w:r w:rsidRPr="00D76336">
              <w:t xml:space="preserve">Design of AMWF supported activities do not </w:t>
            </w:r>
            <w:r>
              <w:t xml:space="preserve">always </w:t>
            </w:r>
            <w:r w:rsidRPr="00D76336">
              <w:t>include a clear M&amp;E plan/framework for the activities</w:t>
            </w:r>
            <w:r>
              <w:t>.</w:t>
            </w:r>
          </w:p>
          <w:p w14:paraId="6C818802" w14:textId="77777777" w:rsidR="008B2CC8" w:rsidRPr="00C35E5F" w:rsidRDefault="008B2CC8" w:rsidP="008B2CC8">
            <w:pPr>
              <w:spacing w:after="0"/>
              <w:rPr>
                <w:b/>
                <w:bCs/>
                <w:i/>
                <w:iCs/>
              </w:rPr>
            </w:pPr>
          </w:p>
        </w:tc>
        <w:tc>
          <w:tcPr>
            <w:tcW w:w="1637" w:type="pct"/>
            <w:tcMar>
              <w:top w:w="0" w:type="dxa"/>
              <w:left w:w="0" w:type="dxa"/>
              <w:bottom w:w="0" w:type="dxa"/>
              <w:right w:w="0" w:type="dxa"/>
            </w:tcMar>
          </w:tcPr>
          <w:p w14:paraId="404BAD96" w14:textId="77777777" w:rsidR="008B2CC8" w:rsidRPr="00D76336" w:rsidRDefault="008B2CC8" w:rsidP="008B2CC8">
            <w:pPr>
              <w:spacing w:after="0"/>
            </w:pPr>
            <w:r w:rsidRPr="00D76336">
              <w:t xml:space="preserve">At activity level AWP should consider reducing formal reporting and replace with more informal verbal briefs focusing on a Partnership health check and progress. The extent to which AWP applies this approach would be based on its own </w:t>
            </w:r>
            <w:r w:rsidRPr="00D76336">
              <w:lastRenderedPageBreak/>
              <w:t>assessment of risk, especially when working with new Australian partners.</w:t>
            </w:r>
          </w:p>
        </w:tc>
        <w:tc>
          <w:tcPr>
            <w:tcW w:w="1639" w:type="pct"/>
            <w:tcMar>
              <w:top w:w="0" w:type="dxa"/>
              <w:left w:w="0" w:type="dxa"/>
              <w:bottom w:w="0" w:type="dxa"/>
              <w:right w:w="0" w:type="dxa"/>
            </w:tcMar>
          </w:tcPr>
          <w:p w14:paraId="324F2CE2" w14:textId="77777777" w:rsidR="008B2CC8" w:rsidRPr="00BA19C0" w:rsidRDefault="008B2CC8" w:rsidP="008B2CC8">
            <w:pPr>
              <w:rPr>
                <w:rFonts w:ascii="Calibri" w:hAnsi="Calibri" w:cs="Calibri"/>
              </w:rPr>
            </w:pPr>
            <w:r w:rsidRPr="00C35E5F">
              <w:rPr>
                <w:rFonts w:ascii="Calibri" w:hAnsi="Calibri" w:cs="Calibri"/>
              </w:rPr>
              <w:lastRenderedPageBreak/>
              <w:t>Agreed. AWP Phase 3 MERLA Plan incorporates the tiered approach to activities, with Tier A requiring less complex reporting.</w:t>
            </w:r>
            <w:r w:rsidRPr="00C35E5F">
              <w:rPr>
                <w:rFonts w:ascii="Calibri" w:hAnsi="Calibri" w:cs="Calibri"/>
              </w:rPr>
              <w:br/>
            </w:r>
          </w:p>
        </w:tc>
      </w:tr>
      <w:tr w:rsidR="008B2CC8" w:rsidRPr="00BA19C0" w14:paraId="4853C755" w14:textId="77777777" w:rsidTr="00612663">
        <w:trPr>
          <w:trHeight w:val="272"/>
        </w:trPr>
        <w:tc>
          <w:tcPr>
            <w:tcW w:w="1724" w:type="pct"/>
            <w:tcMar>
              <w:top w:w="0" w:type="dxa"/>
              <w:left w:w="0" w:type="dxa"/>
              <w:bottom w:w="0" w:type="dxa"/>
              <w:right w:w="0" w:type="dxa"/>
            </w:tcMar>
          </w:tcPr>
          <w:p w14:paraId="303B6A45" w14:textId="77777777" w:rsidR="008B2CC8" w:rsidRPr="000C73CC" w:rsidRDefault="008B2CC8" w:rsidP="008B2CC8">
            <w:pPr>
              <w:spacing w:after="0"/>
              <w:rPr>
                <w:b/>
                <w:bCs/>
                <w:i/>
                <w:iCs/>
              </w:rPr>
            </w:pPr>
            <w:r w:rsidRPr="00D76336">
              <w:t>Partners find reporting onerous</w:t>
            </w:r>
            <w:r>
              <w:t>.</w:t>
            </w:r>
          </w:p>
        </w:tc>
        <w:tc>
          <w:tcPr>
            <w:tcW w:w="1637" w:type="pct"/>
            <w:tcMar>
              <w:top w:w="0" w:type="dxa"/>
              <w:left w:w="0" w:type="dxa"/>
              <w:bottom w:w="0" w:type="dxa"/>
              <w:right w:w="0" w:type="dxa"/>
            </w:tcMar>
          </w:tcPr>
          <w:p w14:paraId="7268A50A" w14:textId="77777777" w:rsidR="008B2CC8" w:rsidRPr="00D76336" w:rsidRDefault="008B2CC8" w:rsidP="008B2CC8">
            <w:pPr>
              <w:spacing w:after="0"/>
            </w:pPr>
            <w:r w:rsidRPr="00D76336">
              <w:t>At program level AWP needs to tailor the M&amp;E requirements to better manage Tier A, B and C differential. This includes managing expectations within DFAT</w:t>
            </w:r>
            <w:r>
              <w:t>.</w:t>
            </w:r>
          </w:p>
        </w:tc>
        <w:tc>
          <w:tcPr>
            <w:tcW w:w="1639" w:type="pct"/>
            <w:tcMar>
              <w:top w:w="0" w:type="dxa"/>
              <w:left w:w="0" w:type="dxa"/>
              <w:bottom w:w="0" w:type="dxa"/>
              <w:right w:w="0" w:type="dxa"/>
            </w:tcMar>
          </w:tcPr>
          <w:p w14:paraId="339077E1" w14:textId="77777777" w:rsidR="008B2CC8" w:rsidRPr="00BA19C0" w:rsidRDefault="008B2CC8" w:rsidP="008B2CC8">
            <w:pPr>
              <w:rPr>
                <w:rFonts w:ascii="Calibri" w:hAnsi="Calibri" w:cs="Calibri"/>
              </w:rPr>
            </w:pPr>
            <w:r w:rsidRPr="00C35E5F">
              <w:rPr>
                <w:rFonts w:ascii="Calibri" w:hAnsi="Calibri" w:cs="Calibri"/>
              </w:rPr>
              <w:t>Agreed. AWP Phase 3 MERLA Plan requires different types of information to be collected from partners.</w:t>
            </w:r>
          </w:p>
        </w:tc>
      </w:tr>
    </w:tbl>
    <w:p w14:paraId="0CBE7FF7" w14:textId="598424DA" w:rsidR="00C5440B" w:rsidRDefault="008B2CC8" w:rsidP="008B2CC8">
      <w:pPr>
        <w:pStyle w:val="Heading4"/>
        <w:rPr>
          <w:rFonts w:ascii="Calibri" w:hAnsi="Calibri" w:cs="Calibri"/>
        </w:rPr>
      </w:pPr>
      <w:r w:rsidRPr="00C35E5F">
        <w:t>Sustainability of outcomes</w:t>
      </w: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ook w:val="04A0" w:firstRow="1" w:lastRow="0" w:firstColumn="1" w:lastColumn="0" w:noHBand="0" w:noVBand="1"/>
      </w:tblPr>
      <w:tblGrid>
        <w:gridCol w:w="5306"/>
        <w:gridCol w:w="5038"/>
        <w:gridCol w:w="5044"/>
      </w:tblGrid>
      <w:tr w:rsidR="008B2CC8" w:rsidRPr="00536804" w14:paraId="7BA050E8" w14:textId="77777777" w:rsidTr="008B2CC8">
        <w:trPr>
          <w:trHeight w:val="372"/>
          <w:tblHeader/>
        </w:trPr>
        <w:tc>
          <w:tcPr>
            <w:tcW w:w="1724" w:type="pct"/>
            <w:shd w:val="clear" w:color="auto" w:fill="E8E2DC"/>
            <w:tcMar>
              <w:top w:w="0" w:type="dxa"/>
              <w:left w:w="0" w:type="dxa"/>
              <w:bottom w:w="0" w:type="dxa"/>
              <w:right w:w="0" w:type="dxa"/>
            </w:tcMar>
          </w:tcPr>
          <w:p w14:paraId="6D1712CE" w14:textId="3DD655EB" w:rsidR="008B2CC8" w:rsidRPr="00D76336" w:rsidRDefault="008B2CC8" w:rsidP="008B2CC8">
            <w:pPr>
              <w:spacing w:after="0"/>
            </w:pPr>
            <w:r w:rsidRPr="00D76336">
              <w:rPr>
                <w:rFonts w:ascii="Calibri" w:hAnsi="Calibri" w:cs="Calibri"/>
                <w:b/>
                <w:bCs/>
              </w:rPr>
              <w:t>Key Lesson Learnt</w:t>
            </w:r>
          </w:p>
        </w:tc>
        <w:tc>
          <w:tcPr>
            <w:tcW w:w="1637" w:type="pct"/>
            <w:shd w:val="clear" w:color="auto" w:fill="E8E2DC"/>
            <w:tcMar>
              <w:top w:w="0" w:type="dxa"/>
              <w:left w:w="0" w:type="dxa"/>
              <w:bottom w:w="0" w:type="dxa"/>
              <w:right w:w="0" w:type="dxa"/>
            </w:tcMar>
          </w:tcPr>
          <w:p w14:paraId="29396824" w14:textId="62AAF2A8" w:rsidR="008B2CC8" w:rsidRPr="00536804" w:rsidRDefault="008B2CC8" w:rsidP="008B2CC8">
            <w:pPr>
              <w:spacing w:after="0"/>
              <w:rPr>
                <w:rFonts w:ascii="Calibri" w:hAnsi="Calibri" w:cs="Calibri"/>
              </w:rPr>
            </w:pPr>
            <w:r w:rsidRPr="00D76336">
              <w:rPr>
                <w:rFonts w:ascii="Calibri" w:hAnsi="Calibri" w:cs="Calibri"/>
                <w:b/>
                <w:bCs/>
              </w:rPr>
              <w:t>Recommendation</w:t>
            </w:r>
          </w:p>
        </w:tc>
        <w:tc>
          <w:tcPr>
            <w:tcW w:w="1639" w:type="pct"/>
            <w:shd w:val="clear" w:color="auto" w:fill="E8E2DC"/>
            <w:tcMar>
              <w:top w:w="0" w:type="dxa"/>
              <w:left w:w="0" w:type="dxa"/>
              <w:bottom w:w="0" w:type="dxa"/>
              <w:right w:w="0" w:type="dxa"/>
            </w:tcMar>
          </w:tcPr>
          <w:p w14:paraId="1A5CF7EF" w14:textId="532C1283" w:rsidR="008B2CC8" w:rsidRPr="00536804" w:rsidRDefault="008B2CC8" w:rsidP="008B2CC8">
            <w:pPr>
              <w:rPr>
                <w:rFonts w:ascii="Calibri" w:hAnsi="Calibri" w:cs="Calibri"/>
              </w:rPr>
            </w:pPr>
            <w:r w:rsidRPr="00E24C6A">
              <w:rPr>
                <w:rFonts w:ascii="Calibri" w:hAnsi="Calibri" w:cs="Calibri"/>
                <w:b/>
                <w:bCs/>
              </w:rPr>
              <w:t xml:space="preserve">DFAT </w:t>
            </w:r>
            <w:r w:rsidRPr="00D76336">
              <w:rPr>
                <w:rFonts w:ascii="Calibri" w:hAnsi="Calibri" w:cs="Calibri"/>
                <w:b/>
                <w:bCs/>
              </w:rPr>
              <w:t>response</w:t>
            </w:r>
            <w:r>
              <w:rPr>
                <w:rFonts w:ascii="Calibri" w:hAnsi="Calibri" w:cs="Calibri"/>
                <w:b/>
                <w:bCs/>
              </w:rPr>
              <w:t xml:space="preserve"> to recommendation</w:t>
            </w:r>
          </w:p>
        </w:tc>
      </w:tr>
      <w:tr w:rsidR="008B2CC8" w:rsidRPr="00536804" w14:paraId="521D6A50" w14:textId="77777777" w:rsidTr="00612663">
        <w:trPr>
          <w:trHeight w:val="1390"/>
        </w:trPr>
        <w:tc>
          <w:tcPr>
            <w:tcW w:w="1724" w:type="pct"/>
            <w:tcMar>
              <w:top w:w="0" w:type="dxa"/>
              <w:left w:w="0" w:type="dxa"/>
              <w:bottom w:w="0" w:type="dxa"/>
              <w:right w:w="0" w:type="dxa"/>
            </w:tcMar>
            <w:hideMark/>
          </w:tcPr>
          <w:p w14:paraId="4BC1BC42" w14:textId="77777777" w:rsidR="008B2CC8" w:rsidRDefault="008B2CC8" w:rsidP="00612663">
            <w:pPr>
              <w:spacing w:after="0"/>
            </w:pPr>
            <w:r w:rsidRPr="00D76336">
              <w:t>Short-term projects do not lend themselves to sustainability, nevertheless opportunities have arisen where further investment has ensured outputs (policies, practices and tools) have been put into practice.</w:t>
            </w:r>
          </w:p>
          <w:p w14:paraId="62600C5D" w14:textId="77777777" w:rsidR="008B2CC8" w:rsidRPr="00D76336" w:rsidRDefault="008B2CC8" w:rsidP="00612663">
            <w:pPr>
              <w:spacing w:after="0"/>
            </w:pPr>
          </w:p>
          <w:p w14:paraId="19C72434" w14:textId="77777777" w:rsidR="008B2CC8" w:rsidRPr="00D76336" w:rsidRDefault="008B2CC8" w:rsidP="00612663">
            <w:pPr>
              <w:spacing w:after="0"/>
            </w:pPr>
            <w:r w:rsidRPr="00D76336">
              <w:t>Further support required to help maintain momentum and quality</w:t>
            </w:r>
            <w:r>
              <w:t>.</w:t>
            </w:r>
          </w:p>
        </w:tc>
        <w:tc>
          <w:tcPr>
            <w:tcW w:w="1637" w:type="pct"/>
            <w:tcMar>
              <w:top w:w="0" w:type="dxa"/>
              <w:left w:w="0" w:type="dxa"/>
              <w:bottom w:w="0" w:type="dxa"/>
              <w:right w:w="0" w:type="dxa"/>
            </w:tcMar>
            <w:hideMark/>
          </w:tcPr>
          <w:p w14:paraId="07C49F42" w14:textId="77777777" w:rsidR="008B2CC8" w:rsidRPr="00536804" w:rsidRDefault="008B2CC8" w:rsidP="00612663">
            <w:pPr>
              <w:spacing w:after="0"/>
              <w:rPr>
                <w:rFonts w:ascii="Calibri" w:hAnsi="Calibri" w:cs="Calibri"/>
              </w:rPr>
            </w:pPr>
            <w:r w:rsidRPr="00536804">
              <w:rPr>
                <w:rFonts w:ascii="Calibri" w:hAnsi="Calibri" w:cs="Calibri"/>
              </w:rPr>
              <w:t>AWP should establish a draw down facility for post-project activities to provide ongoing implementation support to help Ministries implement project outputs (policies, practices, tools), e.g. 20 days over 12 months.</w:t>
            </w:r>
          </w:p>
          <w:p w14:paraId="1D1E5B94" w14:textId="77777777" w:rsidR="008B2CC8" w:rsidRPr="00536804" w:rsidRDefault="008B2CC8" w:rsidP="00612663">
            <w:pPr>
              <w:spacing w:after="0"/>
              <w:rPr>
                <w:rFonts w:ascii="Calibri" w:hAnsi="Calibri" w:cs="Calibri"/>
              </w:rPr>
            </w:pPr>
            <w:r w:rsidRPr="00536804">
              <w:rPr>
                <w:rFonts w:ascii="Calibri" w:hAnsi="Calibri" w:cs="Calibri"/>
              </w:rPr>
              <w:t>The draw-down facility would be managed by the local counterpart, and to be determined on a project-to-project basis.</w:t>
            </w:r>
          </w:p>
        </w:tc>
        <w:tc>
          <w:tcPr>
            <w:tcW w:w="1639" w:type="pct"/>
            <w:tcMar>
              <w:top w:w="0" w:type="dxa"/>
              <w:left w:w="0" w:type="dxa"/>
              <w:bottom w:w="0" w:type="dxa"/>
              <w:right w:w="0" w:type="dxa"/>
            </w:tcMar>
            <w:hideMark/>
          </w:tcPr>
          <w:p w14:paraId="30AC03E0" w14:textId="77777777" w:rsidR="008B2CC8" w:rsidRPr="00536804" w:rsidRDefault="008B2CC8" w:rsidP="00612663">
            <w:pPr>
              <w:rPr>
                <w:rFonts w:ascii="Calibri" w:hAnsi="Calibri" w:cs="Calibri"/>
              </w:rPr>
            </w:pPr>
            <w:r w:rsidRPr="00536804">
              <w:rPr>
                <w:rFonts w:ascii="Calibri" w:hAnsi="Calibri" w:cs="Calibri"/>
              </w:rPr>
              <w:t>Noted. Not incorporated into standard AWP Phase 3 activity cycle.</w:t>
            </w:r>
          </w:p>
        </w:tc>
      </w:tr>
    </w:tbl>
    <w:p w14:paraId="15C92070" w14:textId="44691939" w:rsidR="008B2CC8" w:rsidRPr="00E24C6A" w:rsidRDefault="008B2CC8" w:rsidP="008B2CC8">
      <w:pPr>
        <w:pStyle w:val="Heading4"/>
        <w:rPr>
          <w:rFonts w:ascii="Calibri" w:hAnsi="Calibri" w:cs="Calibri"/>
        </w:rPr>
      </w:pPr>
      <w:r w:rsidRPr="00403CCA">
        <w:t>GEDSI</w:t>
      </w: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ook w:val="04A0" w:firstRow="1" w:lastRow="0" w:firstColumn="1" w:lastColumn="0" w:noHBand="0" w:noVBand="1"/>
      </w:tblPr>
      <w:tblGrid>
        <w:gridCol w:w="5306"/>
        <w:gridCol w:w="5038"/>
        <w:gridCol w:w="5044"/>
      </w:tblGrid>
      <w:tr w:rsidR="008B2CC8" w:rsidRPr="0028182E" w14:paraId="5F0D8067" w14:textId="77777777" w:rsidTr="008B2CC8">
        <w:trPr>
          <w:trHeight w:val="205"/>
          <w:tblHeader/>
        </w:trPr>
        <w:tc>
          <w:tcPr>
            <w:tcW w:w="1724" w:type="pct"/>
            <w:shd w:val="clear" w:color="auto" w:fill="E8E2DC"/>
            <w:tcMar>
              <w:top w:w="0" w:type="dxa"/>
              <w:left w:w="0" w:type="dxa"/>
              <w:bottom w:w="0" w:type="dxa"/>
              <w:right w:w="0" w:type="dxa"/>
            </w:tcMar>
          </w:tcPr>
          <w:p w14:paraId="6695ACCA" w14:textId="1E872519" w:rsidR="008B2CC8" w:rsidRPr="00605B0B" w:rsidRDefault="008B2CC8" w:rsidP="008B2CC8">
            <w:pPr>
              <w:spacing w:after="0"/>
            </w:pPr>
            <w:r w:rsidRPr="00D76336">
              <w:rPr>
                <w:rFonts w:ascii="Calibri" w:hAnsi="Calibri" w:cs="Calibri"/>
                <w:b/>
                <w:bCs/>
              </w:rPr>
              <w:t>Key Lesson Learnt</w:t>
            </w:r>
          </w:p>
        </w:tc>
        <w:tc>
          <w:tcPr>
            <w:tcW w:w="1637" w:type="pct"/>
            <w:shd w:val="clear" w:color="auto" w:fill="E8E2DC"/>
            <w:tcMar>
              <w:top w:w="0" w:type="dxa"/>
              <w:left w:w="0" w:type="dxa"/>
              <w:bottom w:w="0" w:type="dxa"/>
              <w:right w:w="0" w:type="dxa"/>
            </w:tcMar>
          </w:tcPr>
          <w:p w14:paraId="1712ADE2" w14:textId="41A6F3BE" w:rsidR="008B2CC8" w:rsidRPr="0028182E" w:rsidRDefault="008B2CC8" w:rsidP="008B2CC8">
            <w:pPr>
              <w:spacing w:after="0"/>
              <w:rPr>
                <w:rFonts w:ascii="Calibri" w:hAnsi="Calibri" w:cs="Calibri"/>
              </w:rPr>
            </w:pPr>
            <w:r w:rsidRPr="00D76336">
              <w:rPr>
                <w:rFonts w:ascii="Calibri" w:hAnsi="Calibri" w:cs="Calibri"/>
                <w:b/>
                <w:bCs/>
              </w:rPr>
              <w:t>Recommendation</w:t>
            </w:r>
          </w:p>
        </w:tc>
        <w:tc>
          <w:tcPr>
            <w:tcW w:w="1639" w:type="pct"/>
            <w:shd w:val="clear" w:color="auto" w:fill="E8E2DC"/>
            <w:tcMar>
              <w:top w:w="0" w:type="dxa"/>
              <w:left w:w="0" w:type="dxa"/>
              <w:bottom w:w="0" w:type="dxa"/>
              <w:right w:w="0" w:type="dxa"/>
            </w:tcMar>
          </w:tcPr>
          <w:p w14:paraId="42A56B2D" w14:textId="3CE19AB0" w:rsidR="008B2CC8" w:rsidRPr="0028182E" w:rsidRDefault="008B2CC8" w:rsidP="008B2CC8">
            <w:pPr>
              <w:rPr>
                <w:rFonts w:ascii="Calibri" w:hAnsi="Calibri" w:cs="Calibri"/>
              </w:rPr>
            </w:pPr>
            <w:r w:rsidRPr="00E24C6A">
              <w:rPr>
                <w:rFonts w:ascii="Calibri" w:hAnsi="Calibri" w:cs="Calibri"/>
                <w:b/>
                <w:bCs/>
              </w:rPr>
              <w:t xml:space="preserve">DFAT </w:t>
            </w:r>
            <w:r w:rsidRPr="00D76336">
              <w:rPr>
                <w:rFonts w:ascii="Calibri" w:hAnsi="Calibri" w:cs="Calibri"/>
                <w:b/>
                <w:bCs/>
              </w:rPr>
              <w:t>response</w:t>
            </w:r>
            <w:r>
              <w:rPr>
                <w:rFonts w:ascii="Calibri" w:hAnsi="Calibri" w:cs="Calibri"/>
                <w:b/>
                <w:bCs/>
              </w:rPr>
              <w:t xml:space="preserve"> to recommendation</w:t>
            </w:r>
          </w:p>
        </w:tc>
      </w:tr>
      <w:tr w:rsidR="008B2CC8" w:rsidRPr="0028182E" w14:paraId="6C0DEFB8" w14:textId="77777777" w:rsidTr="00612663">
        <w:trPr>
          <w:trHeight w:val="817"/>
        </w:trPr>
        <w:tc>
          <w:tcPr>
            <w:tcW w:w="1724" w:type="pct"/>
            <w:tcMar>
              <w:top w:w="0" w:type="dxa"/>
              <w:left w:w="0" w:type="dxa"/>
              <w:bottom w:w="0" w:type="dxa"/>
              <w:right w:w="0" w:type="dxa"/>
            </w:tcMar>
          </w:tcPr>
          <w:p w14:paraId="2B534534" w14:textId="77777777" w:rsidR="008B2CC8" w:rsidRPr="00D76336" w:rsidRDefault="008B2CC8" w:rsidP="008B2CC8">
            <w:pPr>
              <w:spacing w:after="0"/>
            </w:pPr>
            <w:r w:rsidRPr="00605B0B">
              <w:t>Despite AWP efforts to support systematic integration of GEDSI throughout the AMWF activity cycle, however, results appear to be somewhat disappointing overall</w:t>
            </w:r>
          </w:p>
        </w:tc>
        <w:tc>
          <w:tcPr>
            <w:tcW w:w="1637" w:type="pct"/>
            <w:tcMar>
              <w:top w:w="0" w:type="dxa"/>
              <w:left w:w="0" w:type="dxa"/>
              <w:bottom w:w="0" w:type="dxa"/>
              <w:right w:w="0" w:type="dxa"/>
            </w:tcMar>
          </w:tcPr>
          <w:p w14:paraId="34929DD4" w14:textId="77777777" w:rsidR="008B2CC8" w:rsidRPr="0028182E" w:rsidRDefault="008B2CC8" w:rsidP="008B2CC8">
            <w:pPr>
              <w:spacing w:after="0"/>
              <w:rPr>
                <w:rFonts w:ascii="Calibri" w:hAnsi="Calibri" w:cs="Calibri"/>
              </w:rPr>
            </w:pPr>
            <w:r w:rsidRPr="0028182E">
              <w:rPr>
                <w:rFonts w:ascii="Calibri" w:hAnsi="Calibri" w:cs="Calibri"/>
              </w:rPr>
              <w:t>Terms of Reference for AMWF activities must specify more clearly the expectations in relation to gender.</w:t>
            </w:r>
          </w:p>
          <w:p w14:paraId="77BDA1DB" w14:textId="77777777" w:rsidR="008B2CC8" w:rsidRPr="0028182E" w:rsidRDefault="008B2CC8" w:rsidP="008B2CC8">
            <w:pPr>
              <w:spacing w:after="0"/>
              <w:rPr>
                <w:rFonts w:ascii="Calibri" w:hAnsi="Calibri" w:cs="Calibri"/>
              </w:rPr>
            </w:pPr>
          </w:p>
        </w:tc>
        <w:tc>
          <w:tcPr>
            <w:tcW w:w="1639" w:type="pct"/>
            <w:tcMar>
              <w:top w:w="0" w:type="dxa"/>
              <w:left w:w="0" w:type="dxa"/>
              <w:bottom w:w="0" w:type="dxa"/>
              <w:right w:w="0" w:type="dxa"/>
            </w:tcMar>
          </w:tcPr>
          <w:p w14:paraId="40F75894" w14:textId="77777777" w:rsidR="008B2CC8" w:rsidRPr="0028182E" w:rsidRDefault="008B2CC8" w:rsidP="008B2CC8">
            <w:pPr>
              <w:rPr>
                <w:rFonts w:ascii="Calibri" w:hAnsi="Calibri" w:cs="Calibri"/>
              </w:rPr>
            </w:pPr>
            <w:r w:rsidRPr="0028182E">
              <w:rPr>
                <w:rFonts w:ascii="Calibri" w:hAnsi="Calibri" w:cs="Calibri"/>
              </w:rPr>
              <w:t>Agreed. Addressed in AWP Phase 3 GEDSI plan.</w:t>
            </w:r>
          </w:p>
        </w:tc>
      </w:tr>
      <w:tr w:rsidR="008B2CC8" w:rsidRPr="0028182E" w14:paraId="1B3573CF" w14:textId="77777777" w:rsidTr="00612663">
        <w:trPr>
          <w:trHeight w:val="817"/>
        </w:trPr>
        <w:tc>
          <w:tcPr>
            <w:tcW w:w="1724" w:type="pct"/>
            <w:tcMar>
              <w:top w:w="0" w:type="dxa"/>
              <w:left w:w="0" w:type="dxa"/>
              <w:bottom w:w="0" w:type="dxa"/>
              <w:right w:w="0" w:type="dxa"/>
            </w:tcMar>
          </w:tcPr>
          <w:p w14:paraId="6DB24A65" w14:textId="77777777" w:rsidR="008B2CC8" w:rsidRPr="00605B0B" w:rsidRDefault="008B2CC8" w:rsidP="008B2CC8">
            <w:pPr>
              <w:spacing w:after="0"/>
            </w:pPr>
            <w:r w:rsidRPr="00605B0B">
              <w:t>Some Australian partners continue to focus on gender only, without considering other GEDSI aspects.</w:t>
            </w:r>
          </w:p>
          <w:p w14:paraId="6BDCFBE6" w14:textId="77777777" w:rsidR="008B2CC8" w:rsidRPr="00D76336" w:rsidRDefault="008B2CC8" w:rsidP="008B2CC8">
            <w:pPr>
              <w:spacing w:after="0"/>
            </w:pPr>
          </w:p>
        </w:tc>
        <w:tc>
          <w:tcPr>
            <w:tcW w:w="1637" w:type="pct"/>
            <w:tcMar>
              <w:top w:w="0" w:type="dxa"/>
              <w:left w:w="0" w:type="dxa"/>
              <w:bottom w:w="0" w:type="dxa"/>
              <w:right w:w="0" w:type="dxa"/>
            </w:tcMar>
          </w:tcPr>
          <w:p w14:paraId="17B8A676" w14:textId="77777777" w:rsidR="008B2CC8" w:rsidRPr="00557BDF" w:rsidRDefault="008B2CC8" w:rsidP="008B2CC8">
            <w:pPr>
              <w:spacing w:after="0"/>
              <w:rPr>
                <w:rFonts w:ascii="Calibri" w:hAnsi="Calibri" w:cs="Calibri"/>
              </w:rPr>
            </w:pPr>
            <w:r w:rsidRPr="00557BDF">
              <w:rPr>
                <w:rFonts w:ascii="Calibri" w:hAnsi="Calibri" w:cs="Calibri"/>
              </w:rPr>
              <w:lastRenderedPageBreak/>
              <w:t xml:space="preserve">Some activities (e.g. Individuals providing specific technical expertise) may not need to specifically focus on GEDSI issues. Some may be contributing </w:t>
            </w:r>
            <w:r w:rsidRPr="00557BDF">
              <w:rPr>
                <w:rFonts w:ascii="Calibri" w:hAnsi="Calibri" w:cs="Calibri"/>
              </w:rPr>
              <w:lastRenderedPageBreak/>
              <w:t>to larger programs where other partners are responsible for leading on GEDSI. Other activities may offer opportunities to embed GEDSI perspectives in key strategic or operational documents. TORs for these activities could require the Australian partner to provide access to dedicated GEDSI expertise.</w:t>
            </w:r>
          </w:p>
          <w:p w14:paraId="21D6B2BE" w14:textId="77777777" w:rsidR="008B2CC8" w:rsidRPr="00C35E5F" w:rsidRDefault="008B2CC8" w:rsidP="008B2CC8">
            <w:pPr>
              <w:pStyle w:val="ListParagraph"/>
              <w:spacing w:after="0"/>
              <w:rPr>
                <w:rFonts w:ascii="Calibri" w:hAnsi="Calibri" w:cs="Calibri"/>
              </w:rPr>
            </w:pPr>
          </w:p>
        </w:tc>
        <w:tc>
          <w:tcPr>
            <w:tcW w:w="1639" w:type="pct"/>
            <w:tcMar>
              <w:top w:w="0" w:type="dxa"/>
              <w:left w:w="0" w:type="dxa"/>
              <w:bottom w:w="0" w:type="dxa"/>
              <w:right w:w="0" w:type="dxa"/>
            </w:tcMar>
          </w:tcPr>
          <w:p w14:paraId="4493ED81" w14:textId="77777777" w:rsidR="008B2CC8" w:rsidRPr="0028182E" w:rsidRDefault="008B2CC8" w:rsidP="008B2CC8">
            <w:pPr>
              <w:rPr>
                <w:rFonts w:ascii="Calibri" w:hAnsi="Calibri" w:cs="Calibri"/>
              </w:rPr>
            </w:pPr>
            <w:r w:rsidRPr="0028182E">
              <w:rPr>
                <w:rFonts w:ascii="Calibri" w:hAnsi="Calibri" w:cs="Calibri"/>
              </w:rPr>
              <w:lastRenderedPageBreak/>
              <w:t xml:space="preserve">Agreed. All AWP Phase 3 activities are expected to include some GEDSI analysis to ensure they are </w:t>
            </w:r>
            <w:r w:rsidRPr="0028182E">
              <w:rPr>
                <w:rFonts w:ascii="Calibri" w:hAnsi="Calibri" w:cs="Calibri"/>
              </w:rPr>
              <w:lastRenderedPageBreak/>
              <w:t xml:space="preserve">GEDSI responsive and avoid unintended consequences. </w:t>
            </w:r>
          </w:p>
          <w:p w14:paraId="7A0B3677" w14:textId="77777777" w:rsidR="008B2CC8" w:rsidRPr="0028182E" w:rsidRDefault="008B2CC8" w:rsidP="008B2CC8">
            <w:pPr>
              <w:rPr>
                <w:rFonts w:ascii="Calibri" w:hAnsi="Calibri" w:cs="Calibri"/>
              </w:rPr>
            </w:pPr>
            <w:r w:rsidRPr="0028182E">
              <w:rPr>
                <w:rFonts w:ascii="Calibri" w:hAnsi="Calibri" w:cs="Calibri"/>
              </w:rPr>
              <w:t>AWP’s GEDSI Adviser will be available to partners to determine the suitable approach to GEDSI across each activity and develop guidance and case studies to assist partners in implementation.</w:t>
            </w:r>
          </w:p>
        </w:tc>
      </w:tr>
      <w:tr w:rsidR="008B2CC8" w:rsidRPr="0028182E" w14:paraId="06F329E9" w14:textId="77777777" w:rsidTr="00612663">
        <w:trPr>
          <w:trHeight w:val="817"/>
        </w:trPr>
        <w:tc>
          <w:tcPr>
            <w:tcW w:w="1724" w:type="pct"/>
            <w:tcMar>
              <w:top w:w="0" w:type="dxa"/>
              <w:left w:w="0" w:type="dxa"/>
              <w:bottom w:w="0" w:type="dxa"/>
              <w:right w:w="0" w:type="dxa"/>
            </w:tcMar>
          </w:tcPr>
          <w:p w14:paraId="6CA89A59" w14:textId="77777777" w:rsidR="008B2CC8" w:rsidRPr="00D76336" w:rsidRDefault="008B2CC8" w:rsidP="008B2CC8">
            <w:pPr>
              <w:spacing w:after="0"/>
            </w:pPr>
            <w:r w:rsidRPr="00605B0B">
              <w:lastRenderedPageBreak/>
              <w:t>The availability of GEDSI expertise to the Australian partner throughout implementation appeared to be the main factor contributing to progress on GEDSI</w:t>
            </w:r>
          </w:p>
        </w:tc>
        <w:tc>
          <w:tcPr>
            <w:tcW w:w="1637" w:type="pct"/>
            <w:tcMar>
              <w:top w:w="0" w:type="dxa"/>
              <w:left w:w="0" w:type="dxa"/>
              <w:bottom w:w="0" w:type="dxa"/>
              <w:right w:w="0" w:type="dxa"/>
            </w:tcMar>
          </w:tcPr>
          <w:p w14:paraId="1B36337B" w14:textId="77777777" w:rsidR="008B2CC8" w:rsidRPr="00557BDF" w:rsidRDefault="008B2CC8" w:rsidP="008B2CC8">
            <w:pPr>
              <w:spacing w:after="0"/>
              <w:rPr>
                <w:rFonts w:ascii="Calibri" w:hAnsi="Calibri" w:cs="Calibri"/>
              </w:rPr>
            </w:pPr>
            <w:r w:rsidRPr="00C35E5F">
              <w:rPr>
                <w:rFonts w:ascii="Calibri" w:hAnsi="Calibri" w:cs="Calibri"/>
              </w:rPr>
              <w:t>Where the same Mekong government entity is the partner on multiple AMWF activities (e.g. Department of Water Resources in Lao PDR, Department of Water Resources Management in Vietnam), AWP should consider whether targeted GEDSI support could be offered to these partners to provide a more complete picture of GEDSI needs and gaps which would also supplement the efforts under individual activities.</w:t>
            </w:r>
          </w:p>
        </w:tc>
        <w:tc>
          <w:tcPr>
            <w:tcW w:w="1639" w:type="pct"/>
            <w:tcMar>
              <w:top w:w="0" w:type="dxa"/>
              <w:left w:w="0" w:type="dxa"/>
              <w:bottom w:w="0" w:type="dxa"/>
              <w:right w:w="0" w:type="dxa"/>
            </w:tcMar>
          </w:tcPr>
          <w:p w14:paraId="0961C5EF" w14:textId="77777777" w:rsidR="008B2CC8" w:rsidRPr="0028182E" w:rsidRDefault="008B2CC8" w:rsidP="008B2CC8">
            <w:pPr>
              <w:rPr>
                <w:rFonts w:ascii="Calibri" w:hAnsi="Calibri" w:cs="Calibri"/>
              </w:rPr>
            </w:pPr>
            <w:r w:rsidRPr="0028182E">
              <w:rPr>
                <w:rFonts w:ascii="Calibri" w:hAnsi="Calibri" w:cs="Calibri"/>
              </w:rPr>
              <w:t>Agreed. AWP Phase 3 considers this approach for specific partners where suitable.</w:t>
            </w:r>
          </w:p>
        </w:tc>
      </w:tr>
    </w:tbl>
    <w:p w14:paraId="1BA609FB" w14:textId="48695F24" w:rsidR="008B2CC8" w:rsidRDefault="008B2CC8" w:rsidP="008B2CC8">
      <w:pPr>
        <w:pStyle w:val="Heading4"/>
        <w:rPr>
          <w:rFonts w:ascii="Calibri" w:hAnsi="Calibri" w:cs="Calibri"/>
        </w:rPr>
      </w:pPr>
      <w:r w:rsidRPr="00C35E5F">
        <w:t>Knowledge, Partnerships, Events, and Communication (KPEC)</w:t>
      </w: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ook w:val="04A0" w:firstRow="1" w:lastRow="0" w:firstColumn="1" w:lastColumn="0" w:noHBand="0" w:noVBand="1"/>
      </w:tblPr>
      <w:tblGrid>
        <w:gridCol w:w="5306"/>
        <w:gridCol w:w="5038"/>
        <w:gridCol w:w="5044"/>
      </w:tblGrid>
      <w:tr w:rsidR="008B2CC8" w:rsidRPr="00C07867" w14:paraId="4493E211" w14:textId="77777777" w:rsidTr="008B2CC8">
        <w:trPr>
          <w:trHeight w:val="271"/>
          <w:tblHeader/>
        </w:trPr>
        <w:tc>
          <w:tcPr>
            <w:tcW w:w="1724" w:type="pct"/>
            <w:tcBorders>
              <w:top w:val="single" w:sz="8" w:space="0" w:color="auto"/>
              <w:left w:val="single" w:sz="4" w:space="0" w:color="auto"/>
              <w:bottom w:val="single" w:sz="4" w:space="0" w:color="auto"/>
              <w:right w:val="single" w:sz="8" w:space="0" w:color="auto"/>
            </w:tcBorders>
            <w:shd w:val="clear" w:color="auto" w:fill="E8E2DC"/>
            <w:tcMar>
              <w:top w:w="0" w:type="dxa"/>
              <w:left w:w="0" w:type="dxa"/>
              <w:bottom w:w="0" w:type="dxa"/>
              <w:right w:w="0" w:type="dxa"/>
            </w:tcMar>
          </w:tcPr>
          <w:p w14:paraId="285348CE" w14:textId="7446D46A" w:rsidR="008B2CC8" w:rsidRPr="00D76336" w:rsidRDefault="008B2CC8" w:rsidP="008B2CC8">
            <w:pPr>
              <w:spacing w:after="0"/>
            </w:pPr>
            <w:r w:rsidRPr="00D76336">
              <w:rPr>
                <w:rFonts w:ascii="Calibri" w:hAnsi="Calibri" w:cs="Calibri"/>
                <w:b/>
                <w:bCs/>
              </w:rPr>
              <w:t>Key Lesson Learnt</w:t>
            </w:r>
          </w:p>
        </w:tc>
        <w:tc>
          <w:tcPr>
            <w:tcW w:w="1637" w:type="pct"/>
            <w:tcBorders>
              <w:top w:val="single" w:sz="8" w:space="0" w:color="auto"/>
              <w:left w:val="single" w:sz="8" w:space="0" w:color="auto"/>
              <w:bottom w:val="single" w:sz="4" w:space="0" w:color="auto"/>
              <w:right w:val="single" w:sz="8" w:space="0" w:color="auto"/>
            </w:tcBorders>
            <w:shd w:val="clear" w:color="auto" w:fill="E8E2DC"/>
            <w:tcMar>
              <w:top w:w="0" w:type="dxa"/>
              <w:left w:w="0" w:type="dxa"/>
              <w:bottom w:w="0" w:type="dxa"/>
              <w:right w:w="0" w:type="dxa"/>
            </w:tcMar>
          </w:tcPr>
          <w:p w14:paraId="1E1CE1CD" w14:textId="5C4FD0E8" w:rsidR="008B2CC8" w:rsidRPr="00C07867" w:rsidRDefault="008B2CC8" w:rsidP="008B2CC8">
            <w:pPr>
              <w:spacing w:after="0"/>
              <w:rPr>
                <w:rFonts w:ascii="Calibri" w:hAnsi="Calibri" w:cs="Calibri"/>
              </w:rPr>
            </w:pPr>
            <w:r w:rsidRPr="00D76336">
              <w:rPr>
                <w:rFonts w:ascii="Calibri" w:hAnsi="Calibri" w:cs="Calibri"/>
                <w:b/>
                <w:bCs/>
              </w:rPr>
              <w:t>Recommendation</w:t>
            </w:r>
          </w:p>
        </w:tc>
        <w:tc>
          <w:tcPr>
            <w:tcW w:w="1639" w:type="pct"/>
            <w:tcBorders>
              <w:top w:val="single" w:sz="8" w:space="0" w:color="auto"/>
              <w:left w:val="single" w:sz="8" w:space="0" w:color="auto"/>
              <w:bottom w:val="single" w:sz="4" w:space="0" w:color="auto"/>
              <w:right w:val="single" w:sz="4" w:space="0" w:color="auto"/>
            </w:tcBorders>
            <w:shd w:val="clear" w:color="auto" w:fill="E8E2DC"/>
            <w:tcMar>
              <w:top w:w="0" w:type="dxa"/>
              <w:left w:w="0" w:type="dxa"/>
              <w:bottom w:w="0" w:type="dxa"/>
              <w:right w:w="0" w:type="dxa"/>
            </w:tcMar>
          </w:tcPr>
          <w:p w14:paraId="550F3C94" w14:textId="7D0E2B6B" w:rsidR="008B2CC8" w:rsidRPr="00C07867" w:rsidRDefault="008B2CC8" w:rsidP="008B2CC8">
            <w:pPr>
              <w:rPr>
                <w:rFonts w:ascii="Calibri" w:hAnsi="Calibri" w:cs="Calibri"/>
              </w:rPr>
            </w:pPr>
            <w:r w:rsidRPr="00E24C6A">
              <w:rPr>
                <w:rFonts w:ascii="Calibri" w:hAnsi="Calibri" w:cs="Calibri"/>
                <w:b/>
                <w:bCs/>
              </w:rPr>
              <w:t xml:space="preserve">DFAT </w:t>
            </w:r>
            <w:r w:rsidRPr="00D76336">
              <w:rPr>
                <w:rFonts w:ascii="Calibri" w:hAnsi="Calibri" w:cs="Calibri"/>
                <w:b/>
                <w:bCs/>
              </w:rPr>
              <w:t>response</w:t>
            </w:r>
            <w:r>
              <w:rPr>
                <w:rFonts w:ascii="Calibri" w:hAnsi="Calibri" w:cs="Calibri"/>
                <w:b/>
                <w:bCs/>
              </w:rPr>
              <w:t xml:space="preserve"> to recommendation</w:t>
            </w:r>
          </w:p>
        </w:tc>
      </w:tr>
      <w:tr w:rsidR="008B2CC8" w:rsidRPr="00C07867" w14:paraId="1A272D27" w14:textId="77777777" w:rsidTr="00612663">
        <w:trPr>
          <w:trHeight w:val="817"/>
        </w:trPr>
        <w:tc>
          <w:tcPr>
            <w:tcW w:w="1724" w:type="pct"/>
            <w:tcBorders>
              <w:top w:val="single" w:sz="8" w:space="0" w:color="auto"/>
              <w:left w:val="single" w:sz="4" w:space="0" w:color="auto"/>
              <w:bottom w:val="single" w:sz="4" w:space="0" w:color="auto"/>
              <w:right w:val="single" w:sz="8" w:space="0" w:color="auto"/>
            </w:tcBorders>
            <w:tcMar>
              <w:top w:w="0" w:type="dxa"/>
              <w:left w:w="0" w:type="dxa"/>
              <w:bottom w:w="0" w:type="dxa"/>
              <w:right w:w="0" w:type="dxa"/>
            </w:tcMar>
          </w:tcPr>
          <w:p w14:paraId="2329EA6E" w14:textId="27CEF73E" w:rsidR="008B2CC8" w:rsidRPr="00D76336" w:rsidRDefault="008B2CC8" w:rsidP="008B2CC8">
            <w:pPr>
              <w:spacing w:after="0"/>
            </w:pPr>
            <w:r w:rsidRPr="00D76336">
              <w:t>Many Mekong Government ministries are willing to generate publicity (new stories, social media) around respective projects.</w:t>
            </w:r>
          </w:p>
        </w:tc>
        <w:tc>
          <w:tcPr>
            <w:tcW w:w="1637" w:type="pct"/>
            <w:tcBorders>
              <w:top w:val="single" w:sz="8" w:space="0" w:color="auto"/>
              <w:left w:val="single" w:sz="8" w:space="0" w:color="auto"/>
              <w:bottom w:val="single" w:sz="4" w:space="0" w:color="auto"/>
              <w:right w:val="single" w:sz="8" w:space="0" w:color="auto"/>
            </w:tcBorders>
            <w:tcMar>
              <w:top w:w="0" w:type="dxa"/>
              <w:left w:w="0" w:type="dxa"/>
              <w:bottom w:w="0" w:type="dxa"/>
              <w:right w:w="0" w:type="dxa"/>
            </w:tcMar>
          </w:tcPr>
          <w:p w14:paraId="1A134931" w14:textId="06EBBEDD" w:rsidR="008B2CC8" w:rsidRPr="00C07867" w:rsidRDefault="008B2CC8" w:rsidP="008B2CC8">
            <w:pPr>
              <w:spacing w:after="0"/>
              <w:rPr>
                <w:rFonts w:ascii="Calibri" w:hAnsi="Calibri" w:cs="Calibri"/>
              </w:rPr>
            </w:pPr>
            <w:r w:rsidRPr="00C07867">
              <w:rPr>
                <w:rFonts w:ascii="Calibri" w:hAnsi="Calibri" w:cs="Calibri"/>
              </w:rPr>
              <w:t>AMWF must tailor the KPEC approach to the type of activity (noting that Tier A activities are primarily focused on KPEC interventions whereas activities in other tiers will have different objectives).</w:t>
            </w:r>
          </w:p>
        </w:tc>
        <w:tc>
          <w:tcPr>
            <w:tcW w:w="1639" w:type="pct"/>
            <w:tcBorders>
              <w:top w:val="single" w:sz="8" w:space="0" w:color="auto"/>
              <w:left w:val="single" w:sz="8" w:space="0" w:color="auto"/>
              <w:bottom w:val="single" w:sz="4" w:space="0" w:color="auto"/>
              <w:right w:val="single" w:sz="4" w:space="0" w:color="auto"/>
            </w:tcBorders>
            <w:tcMar>
              <w:top w:w="0" w:type="dxa"/>
              <w:left w:w="0" w:type="dxa"/>
              <w:bottom w:w="0" w:type="dxa"/>
              <w:right w:w="0" w:type="dxa"/>
            </w:tcMar>
          </w:tcPr>
          <w:p w14:paraId="70EB9E5C" w14:textId="1D05E3C0" w:rsidR="008B2CC8" w:rsidRPr="00C07867" w:rsidRDefault="008B2CC8" w:rsidP="008B2CC8">
            <w:pPr>
              <w:rPr>
                <w:rFonts w:ascii="Calibri" w:hAnsi="Calibri" w:cs="Calibri"/>
              </w:rPr>
            </w:pPr>
            <w:r w:rsidRPr="00C07867">
              <w:rPr>
                <w:rFonts w:ascii="Calibri" w:hAnsi="Calibri" w:cs="Calibri"/>
              </w:rPr>
              <w:t>Agreed. Approach adopted in AWP Phase 3</w:t>
            </w:r>
          </w:p>
        </w:tc>
      </w:tr>
      <w:tr w:rsidR="008B2CC8" w:rsidRPr="00C07867" w14:paraId="33F6B4B2" w14:textId="77777777" w:rsidTr="00612663">
        <w:trPr>
          <w:trHeight w:val="817"/>
        </w:trPr>
        <w:tc>
          <w:tcPr>
            <w:tcW w:w="1724" w:type="pct"/>
            <w:tcBorders>
              <w:top w:val="single" w:sz="8" w:space="0" w:color="auto"/>
              <w:left w:val="single" w:sz="4" w:space="0" w:color="auto"/>
              <w:bottom w:val="single" w:sz="4" w:space="0" w:color="auto"/>
              <w:right w:val="single" w:sz="8" w:space="0" w:color="auto"/>
            </w:tcBorders>
            <w:tcMar>
              <w:top w:w="0" w:type="dxa"/>
              <w:left w:w="0" w:type="dxa"/>
              <w:bottom w:w="0" w:type="dxa"/>
              <w:right w:w="0" w:type="dxa"/>
            </w:tcMar>
          </w:tcPr>
          <w:p w14:paraId="5BAFFB57" w14:textId="49EFC895" w:rsidR="008B2CC8" w:rsidRPr="00D76336" w:rsidRDefault="008B2CC8" w:rsidP="008B2CC8">
            <w:pPr>
              <w:spacing w:after="0"/>
            </w:pPr>
            <w:r w:rsidRPr="00D76336">
              <w:t>Many Mekong Government ministries are willing to generate publicity (new stories, social media) around respective projects.</w:t>
            </w:r>
          </w:p>
        </w:tc>
        <w:tc>
          <w:tcPr>
            <w:tcW w:w="1637" w:type="pct"/>
            <w:tcBorders>
              <w:top w:val="single" w:sz="8" w:space="0" w:color="auto"/>
              <w:left w:val="single" w:sz="8" w:space="0" w:color="auto"/>
              <w:bottom w:val="single" w:sz="4" w:space="0" w:color="auto"/>
              <w:right w:val="single" w:sz="8" w:space="0" w:color="auto"/>
            </w:tcBorders>
            <w:tcMar>
              <w:top w:w="0" w:type="dxa"/>
              <w:left w:w="0" w:type="dxa"/>
              <w:bottom w:w="0" w:type="dxa"/>
              <w:right w:w="0" w:type="dxa"/>
            </w:tcMar>
          </w:tcPr>
          <w:p w14:paraId="094A1658" w14:textId="02BC0513" w:rsidR="008B2CC8" w:rsidRPr="00C07867" w:rsidRDefault="008B2CC8" w:rsidP="008B2CC8">
            <w:pPr>
              <w:spacing w:after="0"/>
              <w:rPr>
                <w:rFonts w:ascii="Calibri" w:hAnsi="Calibri" w:cs="Calibri"/>
              </w:rPr>
            </w:pPr>
            <w:r w:rsidRPr="00C07867">
              <w:rPr>
                <w:rFonts w:ascii="Calibri" w:hAnsi="Calibri" w:cs="Calibri"/>
              </w:rPr>
              <w:t>AMWF must work with Mekong government partners from the start of an activity to co-create an approach to KPEC, and ensure Post is part of this process to secure a common understanding.</w:t>
            </w:r>
          </w:p>
        </w:tc>
        <w:tc>
          <w:tcPr>
            <w:tcW w:w="1639" w:type="pct"/>
            <w:tcBorders>
              <w:top w:val="single" w:sz="8" w:space="0" w:color="auto"/>
              <w:left w:val="single" w:sz="8" w:space="0" w:color="auto"/>
              <w:bottom w:val="single" w:sz="4" w:space="0" w:color="auto"/>
              <w:right w:val="single" w:sz="4" w:space="0" w:color="auto"/>
            </w:tcBorders>
            <w:tcMar>
              <w:top w:w="0" w:type="dxa"/>
              <w:left w:w="0" w:type="dxa"/>
              <w:bottom w:w="0" w:type="dxa"/>
              <w:right w:w="0" w:type="dxa"/>
            </w:tcMar>
          </w:tcPr>
          <w:p w14:paraId="7A47EA5C" w14:textId="021B6626" w:rsidR="008B2CC8" w:rsidRPr="00C07867" w:rsidRDefault="008B2CC8" w:rsidP="008B2CC8">
            <w:pPr>
              <w:rPr>
                <w:rFonts w:ascii="Calibri" w:hAnsi="Calibri" w:cs="Calibri"/>
              </w:rPr>
            </w:pPr>
            <w:r w:rsidRPr="00C07867">
              <w:rPr>
                <w:rFonts w:ascii="Calibri" w:hAnsi="Calibri" w:cs="Calibri"/>
              </w:rPr>
              <w:t>Agreed.</w:t>
            </w:r>
            <w:r w:rsidRPr="00C07867">
              <w:rPr>
                <w:rFonts w:ascii="Calibri" w:hAnsi="Calibri" w:cs="Calibri"/>
              </w:rPr>
              <w:br/>
            </w:r>
          </w:p>
        </w:tc>
      </w:tr>
      <w:tr w:rsidR="008B2CC8" w:rsidRPr="00C07867" w14:paraId="59721096" w14:textId="77777777" w:rsidTr="00612663">
        <w:trPr>
          <w:trHeight w:val="817"/>
        </w:trPr>
        <w:tc>
          <w:tcPr>
            <w:tcW w:w="1724" w:type="pct"/>
            <w:tcBorders>
              <w:top w:val="single" w:sz="8" w:space="0" w:color="auto"/>
              <w:left w:val="single" w:sz="4" w:space="0" w:color="auto"/>
              <w:bottom w:val="single" w:sz="4" w:space="0" w:color="auto"/>
              <w:right w:val="single" w:sz="8" w:space="0" w:color="auto"/>
            </w:tcBorders>
            <w:tcMar>
              <w:top w:w="0" w:type="dxa"/>
              <w:left w:w="0" w:type="dxa"/>
              <w:bottom w:w="0" w:type="dxa"/>
              <w:right w:w="0" w:type="dxa"/>
            </w:tcMar>
          </w:tcPr>
          <w:p w14:paraId="387D251B" w14:textId="77777777" w:rsidR="008B2CC8" w:rsidRPr="00C07867" w:rsidRDefault="008B2CC8" w:rsidP="008B2CC8">
            <w:pPr>
              <w:spacing w:after="0"/>
            </w:pPr>
            <w:r w:rsidRPr="00D76336">
              <w:lastRenderedPageBreak/>
              <w:t xml:space="preserve">Post support at events (preferably at senior level) enhances the credibility of events in the eyes of Mekong </w:t>
            </w:r>
            <w:r>
              <w:t>g</w:t>
            </w:r>
            <w:r w:rsidRPr="00D76336">
              <w:t>overnment officials which enhances the effectiveness and impact of these events.</w:t>
            </w:r>
          </w:p>
        </w:tc>
        <w:tc>
          <w:tcPr>
            <w:tcW w:w="1637" w:type="pct"/>
            <w:tcBorders>
              <w:top w:val="single" w:sz="8" w:space="0" w:color="auto"/>
              <w:left w:val="single" w:sz="8" w:space="0" w:color="auto"/>
              <w:bottom w:val="single" w:sz="4" w:space="0" w:color="auto"/>
              <w:right w:val="single" w:sz="8" w:space="0" w:color="auto"/>
            </w:tcBorders>
            <w:tcMar>
              <w:top w:w="0" w:type="dxa"/>
              <w:left w:w="0" w:type="dxa"/>
              <w:bottom w:w="0" w:type="dxa"/>
              <w:right w:w="0" w:type="dxa"/>
            </w:tcMar>
          </w:tcPr>
          <w:p w14:paraId="34055872" w14:textId="77777777" w:rsidR="008B2CC8" w:rsidRPr="00C07867" w:rsidRDefault="008B2CC8" w:rsidP="008B2CC8">
            <w:pPr>
              <w:spacing w:after="0"/>
              <w:rPr>
                <w:rFonts w:ascii="Calibri" w:hAnsi="Calibri" w:cs="Calibri"/>
              </w:rPr>
            </w:pPr>
            <w:r w:rsidRPr="00C07867">
              <w:rPr>
                <w:rFonts w:ascii="Calibri" w:hAnsi="Calibri" w:cs="Calibri"/>
              </w:rPr>
              <w:t xml:space="preserve">Wherever possible, AWP should continue to learn from prior activities and experience, including the development of knowledge products (such as the </w:t>
            </w:r>
            <w:proofErr w:type="spellStart"/>
            <w:r w:rsidRPr="00C07867">
              <w:rPr>
                <w:rFonts w:ascii="Calibri" w:hAnsi="Calibri" w:cs="Calibri"/>
              </w:rPr>
              <w:t>BasinGuide</w:t>
            </w:r>
            <w:proofErr w:type="spellEnd"/>
            <w:r w:rsidRPr="00C07867">
              <w:rPr>
                <w:rFonts w:ascii="Calibri" w:hAnsi="Calibri" w:cs="Calibri"/>
              </w:rPr>
              <w:t>) to help inform the design and implementation of new projects.</w:t>
            </w:r>
          </w:p>
        </w:tc>
        <w:tc>
          <w:tcPr>
            <w:tcW w:w="1639" w:type="pct"/>
            <w:tcBorders>
              <w:top w:val="single" w:sz="8" w:space="0" w:color="auto"/>
              <w:left w:val="single" w:sz="8" w:space="0" w:color="auto"/>
              <w:bottom w:val="single" w:sz="4" w:space="0" w:color="auto"/>
              <w:right w:val="single" w:sz="4" w:space="0" w:color="auto"/>
            </w:tcBorders>
            <w:tcMar>
              <w:top w:w="0" w:type="dxa"/>
              <w:left w:w="0" w:type="dxa"/>
              <w:bottom w:w="0" w:type="dxa"/>
              <w:right w:w="0" w:type="dxa"/>
            </w:tcMar>
          </w:tcPr>
          <w:p w14:paraId="4C1EECDF" w14:textId="77777777" w:rsidR="008B2CC8" w:rsidRPr="00C07867" w:rsidRDefault="008B2CC8" w:rsidP="008B2CC8">
            <w:pPr>
              <w:rPr>
                <w:rFonts w:ascii="Calibri" w:hAnsi="Calibri" w:cs="Calibri"/>
              </w:rPr>
            </w:pPr>
            <w:r w:rsidRPr="00C07867">
              <w:rPr>
                <w:rFonts w:ascii="Calibri" w:hAnsi="Calibri" w:cs="Calibri"/>
              </w:rPr>
              <w:t>Agreed.</w:t>
            </w:r>
            <w:r w:rsidRPr="00C07867">
              <w:rPr>
                <w:rFonts w:ascii="Calibri" w:hAnsi="Calibri" w:cs="Calibri"/>
              </w:rPr>
              <w:br/>
            </w:r>
          </w:p>
        </w:tc>
      </w:tr>
      <w:tr w:rsidR="008B2CC8" w:rsidRPr="00C07867" w14:paraId="6CEF6229" w14:textId="77777777" w:rsidTr="00612663">
        <w:trPr>
          <w:trHeight w:val="817"/>
        </w:trPr>
        <w:tc>
          <w:tcPr>
            <w:tcW w:w="1724" w:type="pct"/>
            <w:tcBorders>
              <w:top w:val="single" w:sz="8" w:space="0" w:color="auto"/>
              <w:left w:val="single" w:sz="4" w:space="0" w:color="auto"/>
              <w:bottom w:val="single" w:sz="4" w:space="0" w:color="auto"/>
              <w:right w:val="single" w:sz="8" w:space="0" w:color="auto"/>
            </w:tcBorders>
            <w:tcMar>
              <w:top w:w="0" w:type="dxa"/>
              <w:left w:w="0" w:type="dxa"/>
              <w:bottom w:w="0" w:type="dxa"/>
              <w:right w:w="0" w:type="dxa"/>
            </w:tcMar>
          </w:tcPr>
          <w:p w14:paraId="07F321B6" w14:textId="77777777" w:rsidR="008B2CC8" w:rsidRPr="000C73CC" w:rsidRDefault="008B2CC8" w:rsidP="008B2CC8">
            <w:pPr>
              <w:spacing w:after="0"/>
              <w:rPr>
                <w:b/>
                <w:bCs/>
              </w:rPr>
            </w:pPr>
            <w:r w:rsidRPr="00D76336">
              <w:t>Not all projects are suitable for publicity, especially where projects are within much larger initiatives (FAO, ADB etc) as this can create conflicting branding issues.</w:t>
            </w:r>
          </w:p>
        </w:tc>
        <w:tc>
          <w:tcPr>
            <w:tcW w:w="1637" w:type="pct"/>
            <w:tcBorders>
              <w:top w:val="single" w:sz="8" w:space="0" w:color="auto"/>
              <w:left w:val="single" w:sz="8" w:space="0" w:color="auto"/>
              <w:bottom w:val="single" w:sz="4" w:space="0" w:color="auto"/>
              <w:right w:val="single" w:sz="8" w:space="0" w:color="auto"/>
            </w:tcBorders>
            <w:tcMar>
              <w:top w:w="0" w:type="dxa"/>
              <w:left w:w="0" w:type="dxa"/>
              <w:bottom w:w="0" w:type="dxa"/>
              <w:right w:w="0" w:type="dxa"/>
            </w:tcMar>
          </w:tcPr>
          <w:p w14:paraId="15610714" w14:textId="77777777" w:rsidR="008B2CC8" w:rsidRPr="00C07867" w:rsidRDefault="008B2CC8" w:rsidP="008B2CC8">
            <w:pPr>
              <w:spacing w:after="0"/>
              <w:rPr>
                <w:rFonts w:ascii="Calibri" w:hAnsi="Calibri" w:cs="Calibri"/>
              </w:rPr>
            </w:pPr>
            <w:r w:rsidRPr="00C07867">
              <w:rPr>
                <w:rFonts w:ascii="Calibri" w:hAnsi="Calibri" w:cs="Calibri"/>
              </w:rPr>
              <w:t>AWP should continue to leverage Australian experience in the water sector, combined with learnings from AMWF projects, to produce new knowledge products on emerging issues.</w:t>
            </w:r>
          </w:p>
        </w:tc>
        <w:tc>
          <w:tcPr>
            <w:tcW w:w="1639" w:type="pct"/>
            <w:tcBorders>
              <w:top w:val="single" w:sz="8" w:space="0" w:color="auto"/>
              <w:left w:val="single" w:sz="8" w:space="0" w:color="auto"/>
              <w:bottom w:val="single" w:sz="4" w:space="0" w:color="auto"/>
              <w:right w:val="single" w:sz="4" w:space="0" w:color="auto"/>
            </w:tcBorders>
            <w:tcMar>
              <w:top w:w="0" w:type="dxa"/>
              <w:left w:w="0" w:type="dxa"/>
              <w:bottom w:w="0" w:type="dxa"/>
              <w:right w:w="0" w:type="dxa"/>
            </w:tcMar>
          </w:tcPr>
          <w:p w14:paraId="46595A70" w14:textId="77777777" w:rsidR="008B2CC8" w:rsidRPr="00C07867" w:rsidRDefault="008B2CC8" w:rsidP="008B2CC8">
            <w:pPr>
              <w:rPr>
                <w:rFonts w:ascii="Calibri" w:hAnsi="Calibri" w:cs="Calibri"/>
              </w:rPr>
            </w:pPr>
            <w:r w:rsidRPr="00C07867">
              <w:rPr>
                <w:rFonts w:ascii="Calibri" w:hAnsi="Calibri" w:cs="Calibri"/>
              </w:rPr>
              <w:t>Agreed.</w:t>
            </w:r>
          </w:p>
        </w:tc>
      </w:tr>
    </w:tbl>
    <w:p w14:paraId="21A19466" w14:textId="77777777" w:rsidR="008B2CC8" w:rsidRPr="00E24C6A" w:rsidRDefault="008B2CC8" w:rsidP="00E24C6A">
      <w:pPr>
        <w:spacing w:beforeLines="120" w:before="288" w:afterLines="120" w:after="288" w:line="240" w:lineRule="auto"/>
        <w:ind w:right="340"/>
        <w:rPr>
          <w:rFonts w:ascii="Calibri" w:hAnsi="Calibri" w:cs="Calibri"/>
        </w:rPr>
      </w:pPr>
    </w:p>
    <w:sectPr w:rsidR="008B2CC8" w:rsidRPr="00E24C6A" w:rsidSect="00BD557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8B6DD" w14:textId="77777777" w:rsidR="00D729EE" w:rsidRDefault="00D729EE" w:rsidP="0093181C">
      <w:pPr>
        <w:spacing w:after="0" w:line="240" w:lineRule="auto"/>
      </w:pPr>
      <w:r>
        <w:separator/>
      </w:r>
    </w:p>
  </w:endnote>
  <w:endnote w:type="continuationSeparator" w:id="0">
    <w:p w14:paraId="4329BC68" w14:textId="77777777" w:rsidR="00D729EE" w:rsidRDefault="00D729EE" w:rsidP="00931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okChampa">
    <w:charset w:val="DE"/>
    <w:family w:val="swiss"/>
    <w:pitch w:val="variable"/>
    <w:sig w:usb0="83000003" w:usb1="00000000" w:usb2="00000000" w:usb3="00000000" w:csb0="0001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74447" w14:textId="77777777" w:rsidR="00D729EE" w:rsidRDefault="00D729EE" w:rsidP="0093181C">
      <w:pPr>
        <w:spacing w:after="0" w:line="240" w:lineRule="auto"/>
      </w:pPr>
      <w:r>
        <w:separator/>
      </w:r>
    </w:p>
  </w:footnote>
  <w:footnote w:type="continuationSeparator" w:id="0">
    <w:p w14:paraId="0E0844F0" w14:textId="77777777" w:rsidR="00D729EE" w:rsidRDefault="00D729EE" w:rsidP="009318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4BB2"/>
    <w:multiLevelType w:val="hybridMultilevel"/>
    <w:tmpl w:val="3A043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A31CA"/>
    <w:multiLevelType w:val="hybridMultilevel"/>
    <w:tmpl w:val="C4A8E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F748D"/>
    <w:multiLevelType w:val="hybridMultilevel"/>
    <w:tmpl w:val="005E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DF0CBF"/>
    <w:multiLevelType w:val="hybridMultilevel"/>
    <w:tmpl w:val="8A46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5746B"/>
    <w:multiLevelType w:val="multilevel"/>
    <w:tmpl w:val="16202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970DB5"/>
    <w:multiLevelType w:val="hybridMultilevel"/>
    <w:tmpl w:val="FBAE0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766CD"/>
    <w:multiLevelType w:val="multilevel"/>
    <w:tmpl w:val="1CB46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816A04"/>
    <w:multiLevelType w:val="multilevel"/>
    <w:tmpl w:val="C4BC1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DF714A"/>
    <w:multiLevelType w:val="multilevel"/>
    <w:tmpl w:val="E1123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0351F0"/>
    <w:multiLevelType w:val="multilevel"/>
    <w:tmpl w:val="5052F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3F2E5A"/>
    <w:multiLevelType w:val="multilevel"/>
    <w:tmpl w:val="16202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563159"/>
    <w:multiLevelType w:val="multilevel"/>
    <w:tmpl w:val="5584129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3211E2"/>
    <w:multiLevelType w:val="multilevel"/>
    <w:tmpl w:val="5584129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B622B6"/>
    <w:multiLevelType w:val="hybridMultilevel"/>
    <w:tmpl w:val="B43AA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6E6AE1"/>
    <w:multiLevelType w:val="hybridMultilevel"/>
    <w:tmpl w:val="005E7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135384"/>
    <w:multiLevelType w:val="hybridMultilevel"/>
    <w:tmpl w:val="05784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3C15A5"/>
    <w:multiLevelType w:val="multilevel"/>
    <w:tmpl w:val="1AD0F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B200E7"/>
    <w:multiLevelType w:val="hybridMultilevel"/>
    <w:tmpl w:val="80B04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D960F6"/>
    <w:multiLevelType w:val="multilevel"/>
    <w:tmpl w:val="1EDAF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3921C2"/>
    <w:multiLevelType w:val="hybridMultilevel"/>
    <w:tmpl w:val="005E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3BC17FD"/>
    <w:multiLevelType w:val="hybridMultilevel"/>
    <w:tmpl w:val="F7F06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D01CB4"/>
    <w:multiLevelType w:val="multilevel"/>
    <w:tmpl w:val="D8607C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E05973"/>
    <w:multiLevelType w:val="hybridMultilevel"/>
    <w:tmpl w:val="D110E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5415E9"/>
    <w:multiLevelType w:val="multilevel"/>
    <w:tmpl w:val="8B420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272B96"/>
    <w:multiLevelType w:val="multilevel"/>
    <w:tmpl w:val="B63CA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042E53"/>
    <w:multiLevelType w:val="multilevel"/>
    <w:tmpl w:val="B98CA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B12543"/>
    <w:multiLevelType w:val="hybridMultilevel"/>
    <w:tmpl w:val="6CF46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8E3667"/>
    <w:multiLevelType w:val="hybridMultilevel"/>
    <w:tmpl w:val="AADEB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5A65C4"/>
    <w:multiLevelType w:val="multilevel"/>
    <w:tmpl w:val="94B08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18498310">
    <w:abstractNumId w:val="7"/>
  </w:num>
  <w:num w:numId="2" w16cid:durableId="156968752">
    <w:abstractNumId w:val="10"/>
  </w:num>
  <w:num w:numId="3" w16cid:durableId="1940063671">
    <w:abstractNumId w:val="28"/>
  </w:num>
  <w:num w:numId="4" w16cid:durableId="1085806355">
    <w:abstractNumId w:val="6"/>
  </w:num>
  <w:num w:numId="5" w16cid:durableId="1662542740">
    <w:abstractNumId w:val="25"/>
  </w:num>
  <w:num w:numId="6" w16cid:durableId="563881345">
    <w:abstractNumId w:val="18"/>
  </w:num>
  <w:num w:numId="7" w16cid:durableId="636034216">
    <w:abstractNumId w:val="24"/>
  </w:num>
  <w:num w:numId="8" w16cid:durableId="601113066">
    <w:abstractNumId w:val="8"/>
  </w:num>
  <w:num w:numId="9" w16cid:durableId="317000057">
    <w:abstractNumId w:val="21"/>
  </w:num>
  <w:num w:numId="10" w16cid:durableId="318506960">
    <w:abstractNumId w:val="9"/>
  </w:num>
  <w:num w:numId="11" w16cid:durableId="1190677277">
    <w:abstractNumId w:val="23"/>
  </w:num>
  <w:num w:numId="12" w16cid:durableId="185486263">
    <w:abstractNumId w:val="16"/>
  </w:num>
  <w:num w:numId="13" w16cid:durableId="1766030313">
    <w:abstractNumId w:val="11"/>
  </w:num>
  <w:num w:numId="14" w16cid:durableId="165630509">
    <w:abstractNumId w:val="4"/>
  </w:num>
  <w:num w:numId="15" w16cid:durableId="1123692273">
    <w:abstractNumId w:val="12"/>
  </w:num>
  <w:num w:numId="16" w16cid:durableId="978804303">
    <w:abstractNumId w:val="20"/>
  </w:num>
  <w:num w:numId="17" w16cid:durableId="473450255">
    <w:abstractNumId w:val="17"/>
  </w:num>
  <w:num w:numId="18" w16cid:durableId="847062188">
    <w:abstractNumId w:val="0"/>
  </w:num>
  <w:num w:numId="19" w16cid:durableId="902913100">
    <w:abstractNumId w:val="1"/>
  </w:num>
  <w:num w:numId="20" w16cid:durableId="1888377240">
    <w:abstractNumId w:val="22"/>
  </w:num>
  <w:num w:numId="21" w16cid:durableId="1816486015">
    <w:abstractNumId w:val="15"/>
  </w:num>
  <w:num w:numId="22" w16cid:durableId="465901322">
    <w:abstractNumId w:val="5"/>
  </w:num>
  <w:num w:numId="23" w16cid:durableId="239369692">
    <w:abstractNumId w:val="13"/>
  </w:num>
  <w:num w:numId="24" w16cid:durableId="718437790">
    <w:abstractNumId w:val="27"/>
  </w:num>
  <w:num w:numId="25" w16cid:durableId="797726092">
    <w:abstractNumId w:val="3"/>
  </w:num>
  <w:num w:numId="26" w16cid:durableId="1392390978">
    <w:abstractNumId w:val="14"/>
  </w:num>
  <w:num w:numId="27" w16cid:durableId="881676579">
    <w:abstractNumId w:val="26"/>
  </w:num>
  <w:num w:numId="28" w16cid:durableId="171922713">
    <w:abstractNumId w:val="2"/>
  </w:num>
  <w:num w:numId="29" w16cid:durableId="15005793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336"/>
    <w:rsid w:val="0003059D"/>
    <w:rsid w:val="000613FD"/>
    <w:rsid w:val="0007724B"/>
    <w:rsid w:val="00091A83"/>
    <w:rsid w:val="00092A54"/>
    <w:rsid w:val="000B45BE"/>
    <w:rsid w:val="000C73CC"/>
    <w:rsid w:val="00105BA3"/>
    <w:rsid w:val="001179AB"/>
    <w:rsid w:val="00127D4F"/>
    <w:rsid w:val="001344C4"/>
    <w:rsid w:val="00141095"/>
    <w:rsid w:val="00147F2D"/>
    <w:rsid w:val="00154128"/>
    <w:rsid w:val="001778E0"/>
    <w:rsid w:val="00190814"/>
    <w:rsid w:val="001955FD"/>
    <w:rsid w:val="001B1C53"/>
    <w:rsid w:val="002035EF"/>
    <w:rsid w:val="00214B6C"/>
    <w:rsid w:val="0028182E"/>
    <w:rsid w:val="002D0C5B"/>
    <w:rsid w:val="002E2400"/>
    <w:rsid w:val="002F65A1"/>
    <w:rsid w:val="00322FE1"/>
    <w:rsid w:val="00366C2A"/>
    <w:rsid w:val="00372CF7"/>
    <w:rsid w:val="003952FE"/>
    <w:rsid w:val="003A1C84"/>
    <w:rsid w:val="003A2397"/>
    <w:rsid w:val="003E16F8"/>
    <w:rsid w:val="003F4AF7"/>
    <w:rsid w:val="003F70C3"/>
    <w:rsid w:val="004002D4"/>
    <w:rsid w:val="00403CCA"/>
    <w:rsid w:val="00434DEC"/>
    <w:rsid w:val="00452E4E"/>
    <w:rsid w:val="004571AA"/>
    <w:rsid w:val="004F6475"/>
    <w:rsid w:val="00507484"/>
    <w:rsid w:val="00530775"/>
    <w:rsid w:val="00536804"/>
    <w:rsid w:val="00544EA1"/>
    <w:rsid w:val="00554FC9"/>
    <w:rsid w:val="00557BDF"/>
    <w:rsid w:val="005605FF"/>
    <w:rsid w:val="005644EC"/>
    <w:rsid w:val="005C29E6"/>
    <w:rsid w:val="005C6AAD"/>
    <w:rsid w:val="005D5D75"/>
    <w:rsid w:val="00605B0B"/>
    <w:rsid w:val="0062720E"/>
    <w:rsid w:val="00644093"/>
    <w:rsid w:val="0064558C"/>
    <w:rsid w:val="0068387D"/>
    <w:rsid w:val="006B3C92"/>
    <w:rsid w:val="006F758E"/>
    <w:rsid w:val="00702E4F"/>
    <w:rsid w:val="007A0362"/>
    <w:rsid w:val="007A0FAC"/>
    <w:rsid w:val="00841FB5"/>
    <w:rsid w:val="00864E19"/>
    <w:rsid w:val="00877B37"/>
    <w:rsid w:val="00897A48"/>
    <w:rsid w:val="008A3C11"/>
    <w:rsid w:val="008B2CC8"/>
    <w:rsid w:val="008B4870"/>
    <w:rsid w:val="008C74D8"/>
    <w:rsid w:val="00926AF5"/>
    <w:rsid w:val="0093181C"/>
    <w:rsid w:val="00933B8F"/>
    <w:rsid w:val="0094091E"/>
    <w:rsid w:val="00945AF9"/>
    <w:rsid w:val="009A6BEB"/>
    <w:rsid w:val="009A7459"/>
    <w:rsid w:val="009C174F"/>
    <w:rsid w:val="00A030FE"/>
    <w:rsid w:val="00A14B59"/>
    <w:rsid w:val="00A277A2"/>
    <w:rsid w:val="00A42451"/>
    <w:rsid w:val="00A4416A"/>
    <w:rsid w:val="00A92989"/>
    <w:rsid w:val="00A958C5"/>
    <w:rsid w:val="00AB439E"/>
    <w:rsid w:val="00AD028C"/>
    <w:rsid w:val="00B37278"/>
    <w:rsid w:val="00B7510A"/>
    <w:rsid w:val="00BA19C0"/>
    <w:rsid w:val="00BB00FA"/>
    <w:rsid w:val="00BD5578"/>
    <w:rsid w:val="00C07867"/>
    <w:rsid w:val="00C32FC3"/>
    <w:rsid w:val="00C35E5F"/>
    <w:rsid w:val="00C4451F"/>
    <w:rsid w:val="00C52DCD"/>
    <w:rsid w:val="00C5440B"/>
    <w:rsid w:val="00C76C2E"/>
    <w:rsid w:val="00C77A51"/>
    <w:rsid w:val="00CB1A88"/>
    <w:rsid w:val="00CB3DE3"/>
    <w:rsid w:val="00CC3BAF"/>
    <w:rsid w:val="00CE2A8E"/>
    <w:rsid w:val="00CF52D1"/>
    <w:rsid w:val="00CF5CB3"/>
    <w:rsid w:val="00D038BC"/>
    <w:rsid w:val="00D0564A"/>
    <w:rsid w:val="00D25C46"/>
    <w:rsid w:val="00D729EE"/>
    <w:rsid w:val="00D76336"/>
    <w:rsid w:val="00DA2684"/>
    <w:rsid w:val="00DC6DAA"/>
    <w:rsid w:val="00E24C6A"/>
    <w:rsid w:val="00E83A15"/>
    <w:rsid w:val="00EC3B74"/>
    <w:rsid w:val="00EE5E0B"/>
    <w:rsid w:val="00F01F7D"/>
    <w:rsid w:val="00F10C52"/>
    <w:rsid w:val="00F405EF"/>
    <w:rsid w:val="00F40CAD"/>
    <w:rsid w:val="00F60264"/>
    <w:rsid w:val="00F65C13"/>
    <w:rsid w:val="00F7447D"/>
    <w:rsid w:val="00FB4B67"/>
  </w:rsids>
  <m:mathPr>
    <m:mathFont m:val="Cambria Math"/>
    <m:brkBin m:val="before"/>
    <m:brkBinSub m:val="--"/>
    <m:smallFrac m:val="0"/>
    <m:dispDef/>
    <m:lMargin m:val="0"/>
    <m:rMargin m:val="0"/>
    <m:defJc m:val="centerGroup"/>
    <m:wrapIndent m:val="1440"/>
    <m:intLim m:val="subSup"/>
    <m:naryLim m:val="undOvr"/>
  </m:mathPr>
  <w:themeFontLang w:val="en-AU"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E46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3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763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763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5440B"/>
    <w:pPr>
      <w:spacing w:before="240" w:after="240" w:line="240" w:lineRule="atLeast"/>
      <w:outlineLvl w:val="3"/>
    </w:pPr>
    <w:rPr>
      <w:b/>
      <w:bCs/>
    </w:rPr>
  </w:style>
  <w:style w:type="paragraph" w:styleId="Heading5">
    <w:name w:val="heading 5"/>
    <w:basedOn w:val="Normal"/>
    <w:next w:val="Normal"/>
    <w:link w:val="Heading5Char"/>
    <w:uiPriority w:val="9"/>
    <w:semiHidden/>
    <w:unhideWhenUsed/>
    <w:qFormat/>
    <w:rsid w:val="00D763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3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3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3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3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3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763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763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5440B"/>
    <w:rPr>
      <w:b/>
      <w:bCs/>
    </w:rPr>
  </w:style>
  <w:style w:type="character" w:customStyle="1" w:styleId="Heading5Char">
    <w:name w:val="Heading 5 Char"/>
    <w:basedOn w:val="DefaultParagraphFont"/>
    <w:link w:val="Heading5"/>
    <w:uiPriority w:val="9"/>
    <w:semiHidden/>
    <w:rsid w:val="00D763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3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3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3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336"/>
    <w:rPr>
      <w:rFonts w:eastAsiaTheme="majorEastAsia" w:cstheme="majorBidi"/>
      <w:color w:val="272727" w:themeColor="text1" w:themeTint="D8"/>
    </w:rPr>
  </w:style>
  <w:style w:type="paragraph" w:styleId="Title">
    <w:name w:val="Title"/>
    <w:basedOn w:val="Normal"/>
    <w:next w:val="Normal"/>
    <w:link w:val="TitleChar"/>
    <w:uiPriority w:val="10"/>
    <w:qFormat/>
    <w:rsid w:val="00D763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3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3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3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336"/>
    <w:pPr>
      <w:spacing w:before="160"/>
      <w:jc w:val="center"/>
    </w:pPr>
    <w:rPr>
      <w:i/>
      <w:iCs/>
      <w:color w:val="404040" w:themeColor="text1" w:themeTint="BF"/>
    </w:rPr>
  </w:style>
  <w:style w:type="character" w:customStyle="1" w:styleId="QuoteChar">
    <w:name w:val="Quote Char"/>
    <w:basedOn w:val="DefaultParagraphFont"/>
    <w:link w:val="Quote"/>
    <w:uiPriority w:val="29"/>
    <w:rsid w:val="00D76336"/>
    <w:rPr>
      <w:i/>
      <w:iCs/>
      <w:color w:val="404040" w:themeColor="text1" w:themeTint="BF"/>
    </w:rPr>
  </w:style>
  <w:style w:type="paragraph" w:styleId="ListParagraph">
    <w:name w:val="List Paragraph"/>
    <w:basedOn w:val="Normal"/>
    <w:uiPriority w:val="34"/>
    <w:qFormat/>
    <w:rsid w:val="00D76336"/>
    <w:pPr>
      <w:ind w:left="720"/>
      <w:contextualSpacing/>
    </w:pPr>
  </w:style>
  <w:style w:type="character" w:styleId="IntenseEmphasis">
    <w:name w:val="Intense Emphasis"/>
    <w:basedOn w:val="DefaultParagraphFont"/>
    <w:uiPriority w:val="21"/>
    <w:qFormat/>
    <w:rsid w:val="00D76336"/>
    <w:rPr>
      <w:i/>
      <w:iCs/>
      <w:color w:val="0F4761" w:themeColor="accent1" w:themeShade="BF"/>
    </w:rPr>
  </w:style>
  <w:style w:type="paragraph" w:styleId="IntenseQuote">
    <w:name w:val="Intense Quote"/>
    <w:basedOn w:val="Normal"/>
    <w:next w:val="Normal"/>
    <w:link w:val="IntenseQuoteChar"/>
    <w:uiPriority w:val="30"/>
    <w:qFormat/>
    <w:rsid w:val="00D763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336"/>
    <w:rPr>
      <w:i/>
      <w:iCs/>
      <w:color w:val="0F4761" w:themeColor="accent1" w:themeShade="BF"/>
    </w:rPr>
  </w:style>
  <w:style w:type="character" w:styleId="IntenseReference">
    <w:name w:val="Intense Reference"/>
    <w:basedOn w:val="DefaultParagraphFont"/>
    <w:uiPriority w:val="32"/>
    <w:qFormat/>
    <w:rsid w:val="00D76336"/>
    <w:rPr>
      <w:b/>
      <w:bCs/>
      <w:smallCaps/>
      <w:color w:val="0F4761" w:themeColor="accent1" w:themeShade="BF"/>
      <w:spacing w:val="5"/>
    </w:rPr>
  </w:style>
  <w:style w:type="paragraph" w:styleId="Revision">
    <w:name w:val="Revision"/>
    <w:hidden/>
    <w:uiPriority w:val="99"/>
    <w:semiHidden/>
    <w:rsid w:val="00B37278"/>
    <w:pPr>
      <w:spacing w:after="0" w:line="240" w:lineRule="auto"/>
    </w:pPr>
  </w:style>
  <w:style w:type="character" w:styleId="CommentReference">
    <w:name w:val="annotation reference"/>
    <w:basedOn w:val="DefaultParagraphFont"/>
    <w:uiPriority w:val="99"/>
    <w:semiHidden/>
    <w:unhideWhenUsed/>
    <w:rsid w:val="00702E4F"/>
    <w:rPr>
      <w:sz w:val="16"/>
      <w:szCs w:val="16"/>
    </w:rPr>
  </w:style>
  <w:style w:type="paragraph" w:styleId="CommentText">
    <w:name w:val="annotation text"/>
    <w:basedOn w:val="Normal"/>
    <w:link w:val="CommentTextChar"/>
    <w:uiPriority w:val="99"/>
    <w:unhideWhenUsed/>
    <w:rsid w:val="00702E4F"/>
    <w:pPr>
      <w:spacing w:line="240" w:lineRule="auto"/>
    </w:pPr>
    <w:rPr>
      <w:sz w:val="20"/>
      <w:szCs w:val="20"/>
    </w:rPr>
  </w:style>
  <w:style w:type="character" w:customStyle="1" w:styleId="CommentTextChar">
    <w:name w:val="Comment Text Char"/>
    <w:basedOn w:val="DefaultParagraphFont"/>
    <w:link w:val="CommentText"/>
    <w:uiPriority w:val="99"/>
    <w:rsid w:val="00702E4F"/>
    <w:rPr>
      <w:sz w:val="20"/>
      <w:szCs w:val="20"/>
    </w:rPr>
  </w:style>
  <w:style w:type="paragraph" w:styleId="CommentSubject">
    <w:name w:val="annotation subject"/>
    <w:basedOn w:val="CommentText"/>
    <w:next w:val="CommentText"/>
    <w:link w:val="CommentSubjectChar"/>
    <w:uiPriority w:val="99"/>
    <w:semiHidden/>
    <w:unhideWhenUsed/>
    <w:rsid w:val="00702E4F"/>
    <w:rPr>
      <w:b/>
      <w:bCs/>
    </w:rPr>
  </w:style>
  <w:style w:type="character" w:customStyle="1" w:styleId="CommentSubjectChar">
    <w:name w:val="Comment Subject Char"/>
    <w:basedOn w:val="CommentTextChar"/>
    <w:link w:val="CommentSubject"/>
    <w:uiPriority w:val="99"/>
    <w:semiHidden/>
    <w:rsid w:val="00702E4F"/>
    <w:rPr>
      <w:b/>
      <w:bCs/>
      <w:sz w:val="20"/>
      <w:szCs w:val="20"/>
    </w:rPr>
  </w:style>
  <w:style w:type="paragraph" w:styleId="Header">
    <w:name w:val="header"/>
    <w:basedOn w:val="Normal"/>
    <w:link w:val="HeaderChar"/>
    <w:uiPriority w:val="99"/>
    <w:unhideWhenUsed/>
    <w:rsid w:val="00A929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2989"/>
  </w:style>
  <w:style w:type="paragraph" w:styleId="Footer">
    <w:name w:val="footer"/>
    <w:basedOn w:val="Normal"/>
    <w:link w:val="FooterChar"/>
    <w:uiPriority w:val="99"/>
    <w:unhideWhenUsed/>
    <w:rsid w:val="00A929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419392">
      <w:bodyDiv w:val="1"/>
      <w:marLeft w:val="0"/>
      <w:marRight w:val="0"/>
      <w:marTop w:val="0"/>
      <w:marBottom w:val="0"/>
      <w:divBdr>
        <w:top w:val="none" w:sz="0" w:space="0" w:color="auto"/>
        <w:left w:val="none" w:sz="0" w:space="0" w:color="auto"/>
        <w:bottom w:val="none" w:sz="0" w:space="0" w:color="auto"/>
        <w:right w:val="none" w:sz="0" w:space="0" w:color="auto"/>
      </w:divBdr>
    </w:div>
    <w:div w:id="547381122">
      <w:bodyDiv w:val="1"/>
      <w:marLeft w:val="0"/>
      <w:marRight w:val="0"/>
      <w:marTop w:val="0"/>
      <w:marBottom w:val="0"/>
      <w:divBdr>
        <w:top w:val="none" w:sz="0" w:space="0" w:color="auto"/>
        <w:left w:val="none" w:sz="0" w:space="0" w:color="auto"/>
        <w:bottom w:val="none" w:sz="0" w:space="0" w:color="auto"/>
        <w:right w:val="none" w:sz="0" w:space="0" w:color="auto"/>
      </w:divBdr>
    </w:div>
    <w:div w:id="102001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7E8A6-2DC2-41F4-9288-9F900861E874}">
  <ds:schemaRefs>
    <ds:schemaRef ds:uri="http://schemas.openxmlformats.org/officeDocument/2006/bibliography"/>
  </ds:schemaRefs>
</ds:datastoreItem>
</file>

<file path=docMetadata/LabelInfo.xml><?xml version="1.0" encoding="utf-8"?>
<clbl:labelList xmlns:clbl="http://schemas.microsoft.com/office/2020/mipLabelMetadata">
  <clbl:label id="{9b7f23b3-0e83-47a5-8a40-ffa8a6fea536}" enabled="0" method="" siteId="{9b7f23b3-0e83-47a5-8a40-ffa8a6fea53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1142</Words>
  <Characters>6711</Characters>
  <Application>Microsoft Office Word</Application>
  <DocSecurity>4</DocSecurity>
  <Lines>201</Lines>
  <Paragraphs>75</Paragraphs>
  <ScaleCrop>false</ScaleCrop>
  <HeadingPairs>
    <vt:vector size="2" baseType="variant">
      <vt:variant>
        <vt:lpstr>Title</vt:lpstr>
      </vt:variant>
      <vt:variant>
        <vt:i4>1</vt:i4>
      </vt:variant>
    </vt:vector>
  </HeadingPairs>
  <TitlesOfParts>
    <vt:vector size="1" baseType="lpstr">
      <vt:lpstr>Evaluating development and diplomacy outcomes through AWP partnerships in the Mekong</vt:lpstr>
    </vt:vector>
  </TitlesOfParts>
  <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Evaluating development and diplomacy outcomes through AWP partnerships in the Mekong</dc:title>
  <dc:subject/>
  <dc:creator/>
  <cp:keywords>[SEC=OFFICIAL]</cp:keywords>
  <dc:description/>
  <cp:lastModifiedBy/>
  <cp:revision>1</cp:revision>
  <dcterms:created xsi:type="dcterms:W3CDTF">2026-03-16T22:49:00Z</dcterms:created>
  <dcterms:modified xsi:type="dcterms:W3CDTF">2026-03-16T22:49:00Z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ionTimeStamp">
    <vt:lpwstr>2025-08-14T09:47:26Z</vt:lpwstr>
  </property>
  <property fmtid="{D5CDD505-2E9C-101B-9397-08002B2CF9AE}" pid="3" name="PM_ProtectiveMarkingValue_Header">
    <vt:lpwstr>OFFICIAL</vt:lpwstr>
  </property>
  <property fmtid="{D5CDD505-2E9C-101B-9397-08002B2CF9AE}" pid="4" name="PM_InsertionValue">
    <vt:lpwstr>OFFICIAL</vt:lpwstr>
  </property>
  <property fmtid="{D5CDD505-2E9C-101B-9397-08002B2CF9AE}" pid="5" name="PM_Originator_Hash_SHA1">
    <vt:lpwstr>D9F6E5C82DFAF7AB6E3D596D48DD43C72EDFDAB4</vt:lpwstr>
  </property>
  <property fmtid="{D5CDD505-2E9C-101B-9397-08002B2CF9AE}" pid="6" name="PM_Expires">
    <vt:lpwstr/>
  </property>
  <property fmtid="{D5CDD505-2E9C-101B-9397-08002B2CF9AE}" pid="7" name="PM_DisplayValueSecClassificationWithQualifier">
    <vt:lpwstr>OFFICIAL</vt:lpwstr>
  </property>
  <property fmtid="{D5CDD505-2E9C-101B-9397-08002B2CF9AE}" pid="8" name="PM_ProtectiveMarkingValue_Footer">
    <vt:lpwstr>OFFICIAL</vt:lpwstr>
  </property>
  <property fmtid="{D5CDD505-2E9C-101B-9397-08002B2CF9AE}" pid="9" name="PM_Originating_FileId">
    <vt:lpwstr>401DBC96E5DA4CBFBD248B0B32E48E63</vt:lpwstr>
  </property>
  <property fmtid="{D5CDD505-2E9C-101B-9397-08002B2CF9AE}" pid="10" name="PM_ProtectiveMarkingImage_Header">
    <vt:lpwstr>C:\Program Files\Common Files\janusNET Shared\janusSEAL\Images\DocumentSlashBlue.png</vt:lpwstr>
  </property>
  <property fmtid="{D5CDD505-2E9C-101B-9397-08002B2CF9AE}" pid="11" name="PM_ProtectiveMarkingImage_Footer">
    <vt:lpwstr>C:\Program Files\Common Files\janusNET Shared\janusSEAL\Images\DocumentSlashBlue.png</vt:lpwstr>
  </property>
  <property fmtid="{D5CDD505-2E9C-101B-9397-08002B2CF9AE}" pid="12" name="PM_Display">
    <vt:lpwstr>OFFICIAL</vt:lpwstr>
  </property>
  <property fmtid="{D5CDD505-2E9C-101B-9397-08002B2CF9AE}" pid="13" name="PM_OriginatorUserAccountName_SHA256">
    <vt:lpwstr>3E9DB5AB808CA91EB3E8EC398CDB7F67B110581D6BB28BC88565729DCE387350</vt:lpwstr>
  </property>
  <property fmtid="{D5CDD505-2E9C-101B-9397-08002B2CF9AE}" pid="14" name="PM_OriginatorDomainName_SHA256">
    <vt:lpwstr>6F3591835F3B2A8A025B00B5BA6418010DA3A17C9C26EA9C049FFD28039489A2</vt:lpwstr>
  </property>
  <property fmtid="{D5CDD505-2E9C-101B-9397-08002B2CF9AE}" pid="15" name="PMUuid">
    <vt:lpwstr>v=2022.2;d=gov.au;g=46DD6D7C-8107-577B-BC6E-F348953B2E44</vt:lpwstr>
  </property>
  <property fmtid="{D5CDD505-2E9C-101B-9397-08002B2CF9AE}" pid="16" name="PM_Hash_Version">
    <vt:lpwstr>2022.1</vt:lpwstr>
  </property>
  <property fmtid="{D5CDD505-2E9C-101B-9397-08002B2CF9AE}" pid="17" name="PM_Hash_Salt_Prev">
    <vt:lpwstr>334EAF9088DB1EA593C4F07856033627</vt:lpwstr>
  </property>
  <property fmtid="{D5CDD505-2E9C-101B-9397-08002B2CF9AE}" pid="18" name="PM_Hash_Salt">
    <vt:lpwstr>59D8E7A71C10B96FC6C91A82618FB19A</vt:lpwstr>
  </property>
  <property fmtid="{D5CDD505-2E9C-101B-9397-08002B2CF9AE}" pid="19" name="PM_Hash_SHA1">
    <vt:lpwstr>C593632CDE0E753571C7381C58A260E39406F60F</vt:lpwstr>
  </property>
  <property fmtid="{D5CDD505-2E9C-101B-9397-08002B2CF9AE}" pid="20" name="PM_SecurityClassification_Prev">
    <vt:lpwstr>OFFICIAL</vt:lpwstr>
  </property>
  <property fmtid="{D5CDD505-2E9C-101B-9397-08002B2CF9AE}" pid="21" name="PM_Qualifier_Prev">
    <vt:lpwstr/>
  </property>
  <property fmtid="{D5CDD505-2E9C-101B-9397-08002B2CF9AE}" pid="22" name="PM_Qualifier">
    <vt:lpwstr/>
  </property>
  <property fmtid="{D5CDD505-2E9C-101B-9397-08002B2CF9AE}" pid="23" name="PMHMAC">
    <vt:lpwstr>v=2022.1;a=SHA256;h=5635BE0F0B3142A8C44B46F03DDEE35FD226467AD73DC8EB52C61471737F6AD6</vt:lpwstr>
  </property>
  <property fmtid="{D5CDD505-2E9C-101B-9397-08002B2CF9AE}" pid="24" name="PM_Namespace">
    <vt:lpwstr>gov.au</vt:lpwstr>
  </property>
  <property fmtid="{D5CDD505-2E9C-101B-9397-08002B2CF9AE}" pid="25" name="PM_Version">
    <vt:lpwstr>2018.4</vt:lpwstr>
  </property>
  <property fmtid="{D5CDD505-2E9C-101B-9397-08002B2CF9AE}" pid="26" name="PM_SecurityClassification">
    <vt:lpwstr>OFFICIAL</vt:lpwstr>
  </property>
  <property fmtid="{D5CDD505-2E9C-101B-9397-08002B2CF9AE}" pid="27" name="PM_Note">
    <vt:lpwstr/>
  </property>
  <property fmtid="{D5CDD505-2E9C-101B-9397-08002B2CF9AE}" pid="28" name="PM_Markers">
    <vt:lpwstr/>
  </property>
  <property fmtid="{D5CDD505-2E9C-101B-9397-08002B2CF9AE}" pid="29" name="PM_Caveats_Count">
    <vt:lpwstr>0</vt:lpwstr>
  </property>
  <property fmtid="{D5CDD505-2E9C-101B-9397-08002B2CF9AE}" pid="30" name="PM_DownTo">
    <vt:lpwstr/>
  </property>
</Properties>
</file>