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6D4B" w14:textId="77777777" w:rsidR="0098274A" w:rsidRPr="00A85BCA" w:rsidRDefault="0098274A" w:rsidP="0098274A">
      <w:pPr>
        <w:pStyle w:val="BodyText"/>
        <w:jc w:val="both"/>
        <w:rPr>
          <w:rFonts w:asciiTheme="majorHAnsi" w:hAnsiTheme="majorHAnsi"/>
          <w:b/>
          <w:sz w:val="24"/>
          <w:u w:val="single"/>
        </w:rPr>
      </w:pPr>
      <w:bookmarkStart w:id="0" w:name="_GoBack"/>
      <w:bookmarkEnd w:id="0"/>
      <w:r w:rsidRPr="00A85BCA">
        <w:rPr>
          <w:rFonts w:asciiTheme="majorHAnsi" w:hAnsiTheme="majorHAnsi"/>
          <w:b/>
          <w:noProof/>
          <w:sz w:val="24"/>
          <w:u w:val="single"/>
        </w:rPr>
        <w:drawing>
          <wp:inline distT="0" distB="0" distL="0" distR="0" wp14:anchorId="124A19F3" wp14:editId="3FD23800">
            <wp:extent cx="59436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17" cy="17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8621" w14:textId="77777777" w:rsidR="0098274A" w:rsidRPr="00A85BCA" w:rsidRDefault="0098274A" w:rsidP="001310CE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  <w:r w:rsidRPr="00A85BCA">
        <w:rPr>
          <w:rFonts w:asciiTheme="majorHAnsi" w:hAnsiTheme="majorHAnsi"/>
          <w:b/>
          <w:sz w:val="32"/>
          <w:szCs w:val="32"/>
        </w:rPr>
        <w:t xml:space="preserve">Review of the Australia-Vietnam Climate Change Delivery Strategy 2011–2016 </w:t>
      </w:r>
    </w:p>
    <w:p w14:paraId="4B195616" w14:textId="77777777" w:rsidR="0098274A" w:rsidRPr="00A85BCA" w:rsidRDefault="0083402F" w:rsidP="001310CE">
      <w:pPr>
        <w:pStyle w:val="BodyText"/>
        <w:jc w:val="center"/>
        <w:rPr>
          <w:rFonts w:asciiTheme="majorHAnsi" w:hAnsiTheme="majorHAnsi"/>
          <w:b/>
          <w:sz w:val="36"/>
          <w:szCs w:val="36"/>
        </w:rPr>
      </w:pPr>
      <w:r w:rsidRPr="00A85BCA">
        <w:rPr>
          <w:rFonts w:asciiTheme="majorHAnsi" w:hAnsiTheme="majorHAnsi"/>
          <w:b/>
          <w:sz w:val="36"/>
          <w:szCs w:val="36"/>
        </w:rPr>
        <w:t>Management Response</w:t>
      </w:r>
    </w:p>
    <w:p w14:paraId="26086961" w14:textId="77777777" w:rsidR="0098274A" w:rsidRPr="003B0231" w:rsidRDefault="0067658D" w:rsidP="002E0666">
      <w:pPr>
        <w:pStyle w:val="Heading2"/>
        <w:numPr>
          <w:ilvl w:val="0"/>
          <w:numId w:val="25"/>
        </w:numPr>
        <w:jc w:val="both"/>
        <w:rPr>
          <w:rFonts w:asciiTheme="majorHAnsi" w:hAnsiTheme="majorHAnsi"/>
          <w:b/>
          <w:color w:val="0070C0"/>
          <w:sz w:val="28"/>
          <w:szCs w:val="28"/>
        </w:rPr>
      </w:pPr>
      <w:r w:rsidRPr="003B0231">
        <w:rPr>
          <w:rFonts w:asciiTheme="majorHAnsi" w:hAnsiTheme="majorHAnsi"/>
          <w:b/>
          <w:color w:val="0070C0"/>
          <w:sz w:val="28"/>
          <w:szCs w:val="28"/>
        </w:rPr>
        <w:t xml:space="preserve">Review </w:t>
      </w:r>
      <w:r w:rsidR="00B41D03">
        <w:rPr>
          <w:rFonts w:asciiTheme="majorHAnsi" w:hAnsiTheme="majorHAnsi"/>
          <w:b/>
          <w:color w:val="0070C0"/>
          <w:sz w:val="28"/>
          <w:szCs w:val="28"/>
        </w:rPr>
        <w:t>s</w:t>
      </w:r>
      <w:r w:rsidR="001310CE" w:rsidRPr="003B0231">
        <w:rPr>
          <w:rFonts w:asciiTheme="majorHAnsi" w:hAnsiTheme="majorHAnsi"/>
          <w:b/>
          <w:color w:val="0070C0"/>
          <w:sz w:val="28"/>
          <w:szCs w:val="28"/>
        </w:rPr>
        <w:t>ummary</w:t>
      </w:r>
    </w:p>
    <w:p w14:paraId="2BBF6A7B" w14:textId="3C7660A5" w:rsidR="00A85BCA" w:rsidRPr="003B0231" w:rsidRDefault="00AA658C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 w:rsidRPr="003B0231">
        <w:rPr>
          <w:rFonts w:asciiTheme="majorHAnsi" w:hAnsiTheme="majorHAnsi" w:cs="Helvetica-Bold"/>
          <w:b/>
          <w:bCs/>
          <w:color w:val="0070C0"/>
          <w:sz w:val="24"/>
        </w:rPr>
        <w:t>Review objective</w:t>
      </w:r>
      <w:r w:rsidRPr="003B0231">
        <w:rPr>
          <w:rFonts w:asciiTheme="majorHAnsi" w:hAnsiTheme="majorHAnsi"/>
          <w:b/>
          <w:color w:val="0070C0"/>
          <w:sz w:val="24"/>
        </w:rPr>
        <w:t>:</w:t>
      </w:r>
      <w:r w:rsidRPr="003B0231">
        <w:rPr>
          <w:rFonts w:asciiTheme="majorHAnsi" w:hAnsiTheme="majorHAnsi"/>
          <w:color w:val="0070C0"/>
          <w:sz w:val="24"/>
        </w:rPr>
        <w:t xml:space="preserve"> </w:t>
      </w:r>
      <w:r w:rsidR="00A85BCA" w:rsidRPr="003B0231">
        <w:rPr>
          <w:rFonts w:asciiTheme="majorHAnsi" w:hAnsiTheme="majorHAnsi"/>
          <w:sz w:val="24"/>
        </w:rPr>
        <w:t>The</w:t>
      </w:r>
      <w:r w:rsidRPr="003B0231">
        <w:rPr>
          <w:rFonts w:asciiTheme="majorHAnsi" w:hAnsiTheme="majorHAnsi"/>
          <w:sz w:val="24"/>
        </w:rPr>
        <w:t xml:space="preserve"> review’s objective is to highlight achievements, strengths and lessons of the Australia-Vietnam Climate Change Delivery Strategy 2011-2016. Together with analysis of the present situation of climate change policies and responses in Vietnam, the review provides recommendations on how Australia could </w:t>
      </w:r>
      <w:r w:rsidR="0079332C">
        <w:rPr>
          <w:rFonts w:asciiTheme="majorHAnsi" w:hAnsiTheme="majorHAnsi"/>
          <w:sz w:val="24"/>
        </w:rPr>
        <w:t xml:space="preserve">build on previous investments </w:t>
      </w:r>
      <w:r w:rsidR="004C69E5">
        <w:rPr>
          <w:rFonts w:asciiTheme="majorHAnsi" w:hAnsiTheme="majorHAnsi"/>
          <w:sz w:val="24"/>
        </w:rPr>
        <w:t xml:space="preserve">to </w:t>
      </w:r>
      <w:r w:rsidRPr="003B0231">
        <w:rPr>
          <w:rFonts w:asciiTheme="majorHAnsi" w:hAnsiTheme="majorHAnsi"/>
          <w:sz w:val="24"/>
        </w:rPr>
        <w:t>strategically position itself in supporting Vietnam to address climate change in the period 201</w:t>
      </w:r>
      <w:r w:rsidR="0079332C">
        <w:rPr>
          <w:rFonts w:asciiTheme="majorHAnsi" w:hAnsiTheme="majorHAnsi"/>
          <w:sz w:val="24"/>
        </w:rPr>
        <w:t>7</w:t>
      </w:r>
      <w:r w:rsidRPr="003B0231">
        <w:rPr>
          <w:rFonts w:asciiTheme="majorHAnsi" w:hAnsiTheme="majorHAnsi"/>
          <w:sz w:val="24"/>
        </w:rPr>
        <w:t>-2020.</w:t>
      </w:r>
      <w:r w:rsidRPr="003B0231">
        <w:rPr>
          <w:rFonts w:asciiTheme="majorHAnsi" w:hAnsiTheme="majorHAnsi" w:cs="Helvetica-Bold"/>
          <w:bCs/>
          <w:sz w:val="24"/>
        </w:rPr>
        <w:t xml:space="preserve"> </w:t>
      </w:r>
    </w:p>
    <w:p w14:paraId="6964CC05" w14:textId="77777777" w:rsidR="00A85BCA" w:rsidRPr="003B0231" w:rsidRDefault="00AA658C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 w:rsidRPr="003B0231">
        <w:rPr>
          <w:rFonts w:asciiTheme="majorHAnsi" w:hAnsiTheme="majorHAnsi" w:cs="Helvetica-Bold"/>
          <w:b/>
          <w:bCs/>
          <w:color w:val="0070C0"/>
          <w:sz w:val="24"/>
        </w:rPr>
        <w:t>Review Completion Date:</w:t>
      </w:r>
      <w:r w:rsidRPr="003B0231">
        <w:rPr>
          <w:rFonts w:asciiTheme="majorHAnsi" w:hAnsiTheme="majorHAnsi" w:cs="Helvetica-Bold"/>
          <w:bCs/>
          <w:sz w:val="24"/>
        </w:rPr>
        <w:t xml:space="preserve"> 26 August 2016</w:t>
      </w:r>
    </w:p>
    <w:p w14:paraId="5AF3C5C4" w14:textId="77777777" w:rsidR="00A85BCA" w:rsidRPr="003B0231" w:rsidRDefault="00AA658C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 w:rsidRPr="003B0231">
        <w:rPr>
          <w:rFonts w:asciiTheme="majorHAnsi" w:hAnsiTheme="majorHAnsi" w:cs="Helvetica-Bold"/>
          <w:b/>
          <w:bCs/>
          <w:color w:val="0070C0"/>
          <w:sz w:val="24"/>
        </w:rPr>
        <w:t>Review consultant:</w:t>
      </w:r>
      <w:r w:rsidRPr="003B0231">
        <w:rPr>
          <w:rFonts w:asciiTheme="majorHAnsi" w:hAnsiTheme="majorHAnsi" w:cs="Helvetica-Bold"/>
          <w:bCs/>
          <w:sz w:val="24"/>
        </w:rPr>
        <w:t xml:space="preserve"> Neefjes, Nicolaas PJM, Independent consultant in climate change</w:t>
      </w:r>
    </w:p>
    <w:p w14:paraId="54F6C3E6" w14:textId="77777777" w:rsidR="00751D51" w:rsidRPr="003B0231" w:rsidRDefault="000543E8" w:rsidP="002E0666">
      <w:pPr>
        <w:pStyle w:val="BodyText"/>
        <w:jc w:val="both"/>
        <w:rPr>
          <w:rFonts w:asciiTheme="majorHAnsi" w:hAnsiTheme="majorHAnsi" w:cs="Helvetica-Bold"/>
          <w:b/>
          <w:bCs/>
          <w:color w:val="0070C0"/>
          <w:sz w:val="24"/>
        </w:rPr>
      </w:pPr>
      <w:r>
        <w:rPr>
          <w:rFonts w:asciiTheme="majorHAnsi" w:hAnsiTheme="majorHAnsi" w:cs="Helvetica-Bold"/>
          <w:b/>
          <w:bCs/>
          <w:color w:val="0070C0"/>
          <w:sz w:val="24"/>
        </w:rPr>
        <w:t>The Australia- Vietnam c</w:t>
      </w:r>
      <w:r w:rsidR="00AA658C" w:rsidRPr="003B0231">
        <w:rPr>
          <w:rFonts w:asciiTheme="majorHAnsi" w:hAnsiTheme="majorHAnsi" w:cs="Helvetica-Bold"/>
          <w:b/>
          <w:bCs/>
          <w:color w:val="0070C0"/>
          <w:sz w:val="24"/>
        </w:rPr>
        <w:t xml:space="preserve">limate change Delivery Strategy: </w:t>
      </w:r>
    </w:p>
    <w:p w14:paraId="19C62446" w14:textId="77777777" w:rsidR="00AA658C" w:rsidRPr="003B0231" w:rsidRDefault="00A85BCA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 w:rsidRPr="003B0231">
        <w:rPr>
          <w:rFonts w:asciiTheme="majorHAnsi" w:hAnsiTheme="majorHAnsi" w:cs="Helvetica-Bold"/>
          <w:bCs/>
          <w:sz w:val="24"/>
        </w:rPr>
        <w:t xml:space="preserve">The Delivery </w:t>
      </w:r>
      <w:r w:rsidR="00C513C1" w:rsidRPr="003B0231">
        <w:rPr>
          <w:rFonts w:asciiTheme="majorHAnsi" w:hAnsiTheme="majorHAnsi" w:cs="Helvetica-Bold"/>
          <w:bCs/>
          <w:sz w:val="24"/>
        </w:rPr>
        <w:t xml:space="preserve">Strategy </w:t>
      </w:r>
      <w:r w:rsidR="00C513C1">
        <w:rPr>
          <w:rFonts w:asciiTheme="majorHAnsi" w:hAnsiTheme="majorHAnsi" w:cs="Helvetica-Bold"/>
          <w:bCs/>
          <w:sz w:val="24"/>
        </w:rPr>
        <w:t>set</w:t>
      </w:r>
      <w:r w:rsidR="00AA658C" w:rsidRPr="003B0231">
        <w:rPr>
          <w:rFonts w:asciiTheme="majorHAnsi" w:hAnsiTheme="majorHAnsi" w:cs="Helvetica-Bold"/>
          <w:bCs/>
          <w:sz w:val="24"/>
        </w:rPr>
        <w:t xml:space="preserve"> the framework for a coherent portfolio of climate change assistance</w:t>
      </w:r>
      <w:r w:rsidRPr="003B0231">
        <w:rPr>
          <w:rFonts w:asciiTheme="majorHAnsi" w:hAnsiTheme="majorHAnsi" w:cs="Helvetica-Bold"/>
          <w:bCs/>
          <w:sz w:val="24"/>
        </w:rPr>
        <w:t xml:space="preserve"> of Australia in Vietnam. It was</w:t>
      </w:r>
      <w:r w:rsidR="00AA658C" w:rsidRPr="003B0231">
        <w:rPr>
          <w:rFonts w:asciiTheme="majorHAnsi" w:hAnsiTheme="majorHAnsi" w:cs="Helvetica-Bold"/>
          <w:bCs/>
          <w:sz w:val="24"/>
        </w:rPr>
        <w:t xml:space="preserve"> guided by the Government of Vietnam’s c</w:t>
      </w:r>
      <w:r w:rsidRPr="003B0231">
        <w:rPr>
          <w:rFonts w:asciiTheme="majorHAnsi" w:hAnsiTheme="majorHAnsi" w:cs="Helvetica-Bold"/>
          <w:bCs/>
          <w:sz w:val="24"/>
        </w:rPr>
        <w:t xml:space="preserve">limate change priorities and </w:t>
      </w:r>
      <w:r w:rsidR="00AA658C" w:rsidRPr="003B0231">
        <w:rPr>
          <w:rFonts w:asciiTheme="majorHAnsi" w:hAnsiTheme="majorHAnsi" w:cs="Helvetica-Bold"/>
          <w:bCs/>
          <w:sz w:val="24"/>
        </w:rPr>
        <w:t>focused o</w:t>
      </w:r>
      <w:r w:rsidR="00C513C1">
        <w:rPr>
          <w:rFonts w:asciiTheme="majorHAnsi" w:hAnsiTheme="majorHAnsi" w:cs="Helvetica-Bold"/>
          <w:bCs/>
          <w:sz w:val="24"/>
        </w:rPr>
        <w:t>n areas where Australia can</w:t>
      </w:r>
      <w:r w:rsidRPr="003B0231">
        <w:rPr>
          <w:rFonts w:asciiTheme="majorHAnsi" w:hAnsiTheme="majorHAnsi" w:cs="Helvetica-Bold"/>
          <w:bCs/>
          <w:sz w:val="24"/>
        </w:rPr>
        <w:t xml:space="preserve"> make a difference.  Under the Delivery S</w:t>
      </w:r>
      <w:r w:rsidR="00796CE7">
        <w:rPr>
          <w:rFonts w:asciiTheme="majorHAnsi" w:hAnsiTheme="majorHAnsi" w:cs="Helvetica-Bold"/>
          <w:bCs/>
          <w:sz w:val="24"/>
        </w:rPr>
        <w:t xml:space="preserve">trategy, Australia </w:t>
      </w:r>
      <w:r w:rsidR="00AA658C" w:rsidRPr="003B0231">
        <w:rPr>
          <w:rFonts w:asciiTheme="majorHAnsi" w:hAnsiTheme="majorHAnsi" w:cs="Helvetica-Bold"/>
          <w:bCs/>
          <w:sz w:val="24"/>
        </w:rPr>
        <w:t xml:space="preserve">focused on two strategic outcomes of </w:t>
      </w:r>
      <w:r w:rsidR="00B41D03">
        <w:rPr>
          <w:rFonts w:asciiTheme="majorHAnsi" w:hAnsiTheme="majorHAnsi" w:cs="Helvetica-Bold"/>
          <w:bCs/>
          <w:sz w:val="24"/>
        </w:rPr>
        <w:t xml:space="preserve">i) </w:t>
      </w:r>
      <w:r w:rsidR="00AA658C" w:rsidRPr="003B0231">
        <w:rPr>
          <w:rFonts w:asciiTheme="majorHAnsi" w:hAnsiTheme="majorHAnsi" w:cs="Helvetica-Bold"/>
          <w:bCs/>
          <w:sz w:val="24"/>
        </w:rPr>
        <w:t>building community resilience to respond to climate change an</w:t>
      </w:r>
      <w:r w:rsidR="00B41D03">
        <w:rPr>
          <w:rFonts w:asciiTheme="majorHAnsi" w:hAnsiTheme="majorHAnsi" w:cs="Helvetica-Bold"/>
          <w:bCs/>
          <w:sz w:val="24"/>
        </w:rPr>
        <w:t xml:space="preserve">d climate-related disasters; ii) </w:t>
      </w:r>
      <w:r w:rsidR="00AA658C" w:rsidRPr="003B0231">
        <w:rPr>
          <w:rFonts w:asciiTheme="majorHAnsi" w:hAnsiTheme="majorHAnsi" w:cs="Helvetica-Bold"/>
          <w:bCs/>
          <w:sz w:val="24"/>
        </w:rPr>
        <w:t>promoting low carbon and green growth in Vietnam.</w:t>
      </w:r>
    </w:p>
    <w:p w14:paraId="616A6379" w14:textId="77777777" w:rsidR="00AA658C" w:rsidRPr="003B0231" w:rsidRDefault="00385F42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>
        <w:rPr>
          <w:rFonts w:asciiTheme="majorHAnsi" w:hAnsiTheme="majorHAnsi" w:cs="Helvetica-Bold"/>
          <w:bCs/>
          <w:sz w:val="24"/>
        </w:rPr>
        <w:t xml:space="preserve">Australia has worked in partnership with </w:t>
      </w:r>
      <w:r w:rsidR="00AA658C" w:rsidRPr="003B0231">
        <w:rPr>
          <w:rFonts w:asciiTheme="majorHAnsi" w:hAnsiTheme="majorHAnsi" w:cs="Helvetica-Bold"/>
          <w:bCs/>
          <w:sz w:val="24"/>
        </w:rPr>
        <w:t>Government of Vietnam, World Bank, ADB, UNDP, GIZ and International NGOs</w:t>
      </w:r>
      <w:r w:rsidR="00ED23B0">
        <w:rPr>
          <w:rFonts w:asciiTheme="majorHAnsi" w:hAnsiTheme="majorHAnsi" w:cs="Helvetica-Bold"/>
          <w:bCs/>
          <w:sz w:val="24"/>
        </w:rPr>
        <w:t>.</w:t>
      </w:r>
    </w:p>
    <w:p w14:paraId="49771530" w14:textId="017D4CA4" w:rsidR="00412744" w:rsidRPr="00A10BC2" w:rsidRDefault="00AA658C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  <w:r w:rsidRPr="003B0231">
        <w:rPr>
          <w:rFonts w:asciiTheme="majorHAnsi" w:hAnsiTheme="majorHAnsi" w:cs="Helvetica-Bold"/>
          <w:bCs/>
          <w:sz w:val="24"/>
        </w:rPr>
        <w:t>This was a portfolio desk review and not a specific program/ project evaluation. The review was ma</w:t>
      </w:r>
      <w:r w:rsidR="001118EA" w:rsidRPr="003B0231">
        <w:rPr>
          <w:rFonts w:asciiTheme="majorHAnsi" w:hAnsiTheme="majorHAnsi" w:cs="Helvetica-Bold"/>
          <w:bCs/>
          <w:sz w:val="24"/>
        </w:rPr>
        <w:t>naged by DFAT Hanoi’s Economic and Development Cooperation Section</w:t>
      </w:r>
      <w:r w:rsidR="00C14DA3" w:rsidRPr="003B0231">
        <w:rPr>
          <w:rFonts w:asciiTheme="majorHAnsi" w:hAnsiTheme="majorHAnsi" w:cs="Helvetica-Bold"/>
          <w:bCs/>
          <w:sz w:val="24"/>
        </w:rPr>
        <w:t xml:space="preserve"> and fully addressed questions set in the Terms of Reference (TOR). Recommendations were informed by analysis of current context of climate change in Vietnam, consultations with DFAT Hanoi and Canberra, </w:t>
      </w:r>
      <w:r w:rsidR="0079332C">
        <w:rPr>
          <w:rFonts w:asciiTheme="majorHAnsi" w:hAnsiTheme="majorHAnsi" w:cs="Helvetica-Bold"/>
          <w:bCs/>
          <w:sz w:val="24"/>
        </w:rPr>
        <w:t xml:space="preserve">and </w:t>
      </w:r>
      <w:r w:rsidR="00ED23B0">
        <w:rPr>
          <w:rFonts w:asciiTheme="majorHAnsi" w:hAnsiTheme="majorHAnsi" w:cs="Helvetica-Bold"/>
          <w:bCs/>
          <w:sz w:val="24"/>
        </w:rPr>
        <w:t xml:space="preserve">taking stock of </w:t>
      </w:r>
      <w:r w:rsidR="00C14DA3" w:rsidRPr="003B0231">
        <w:rPr>
          <w:rFonts w:asciiTheme="majorHAnsi" w:hAnsiTheme="majorHAnsi" w:cs="Helvetica-Bold"/>
          <w:bCs/>
          <w:sz w:val="24"/>
        </w:rPr>
        <w:t>achievements and lessons learnt from the Delivery Strategy</w:t>
      </w:r>
      <w:r w:rsidR="00ED23B0">
        <w:rPr>
          <w:rFonts w:asciiTheme="majorHAnsi" w:hAnsiTheme="majorHAnsi" w:cs="Helvetica-Bold"/>
          <w:bCs/>
          <w:sz w:val="24"/>
        </w:rPr>
        <w:t xml:space="preserve"> implementation</w:t>
      </w:r>
      <w:r w:rsidR="00C14DA3" w:rsidRPr="003B0231">
        <w:rPr>
          <w:rFonts w:asciiTheme="majorHAnsi" w:hAnsiTheme="majorHAnsi" w:cs="Helvetica-Bold"/>
          <w:bCs/>
          <w:sz w:val="24"/>
        </w:rPr>
        <w:t xml:space="preserve">. </w:t>
      </w:r>
      <w:r w:rsidR="00ED23B0">
        <w:rPr>
          <w:rFonts w:asciiTheme="majorHAnsi" w:hAnsiTheme="majorHAnsi" w:cs="Helvetica-Bold"/>
          <w:bCs/>
          <w:sz w:val="24"/>
        </w:rPr>
        <w:t>I</w:t>
      </w:r>
      <w:r w:rsidR="009E33D6" w:rsidRPr="003B0231">
        <w:rPr>
          <w:rFonts w:asciiTheme="majorHAnsi" w:hAnsiTheme="majorHAnsi" w:cs="Helvetica-Bold"/>
          <w:bCs/>
          <w:sz w:val="24"/>
        </w:rPr>
        <w:t xml:space="preserve">nput from </w:t>
      </w:r>
      <w:r w:rsidR="0079332C">
        <w:rPr>
          <w:rFonts w:asciiTheme="majorHAnsi" w:hAnsiTheme="majorHAnsi" w:cs="Helvetica-Bold"/>
          <w:bCs/>
          <w:sz w:val="24"/>
        </w:rPr>
        <w:t xml:space="preserve">the </w:t>
      </w:r>
      <w:r w:rsidR="00ED23B0">
        <w:rPr>
          <w:rFonts w:asciiTheme="majorHAnsi" w:hAnsiTheme="majorHAnsi" w:cs="Helvetica-Bold"/>
          <w:bCs/>
          <w:sz w:val="24"/>
        </w:rPr>
        <w:t>independent</w:t>
      </w:r>
      <w:r w:rsidR="00ED23B0" w:rsidRPr="003B0231">
        <w:rPr>
          <w:rFonts w:asciiTheme="majorHAnsi" w:hAnsiTheme="majorHAnsi" w:cs="Helvetica-Bold"/>
          <w:bCs/>
          <w:sz w:val="24"/>
        </w:rPr>
        <w:t xml:space="preserve"> </w:t>
      </w:r>
      <w:r w:rsidR="009E33D6" w:rsidRPr="003B0231">
        <w:rPr>
          <w:rFonts w:asciiTheme="majorHAnsi" w:hAnsiTheme="majorHAnsi" w:cs="Helvetica-Bold"/>
          <w:bCs/>
          <w:sz w:val="24"/>
        </w:rPr>
        <w:t>consultant was 10 working days.</w:t>
      </w:r>
    </w:p>
    <w:p w14:paraId="7874B26B" w14:textId="77777777" w:rsidR="00A10BC2" w:rsidRDefault="00A10BC2" w:rsidP="002E0666">
      <w:pPr>
        <w:pStyle w:val="Heading2"/>
        <w:numPr>
          <w:ilvl w:val="0"/>
          <w:numId w:val="25"/>
        </w:numPr>
        <w:jc w:val="both"/>
        <w:rPr>
          <w:rFonts w:asciiTheme="majorHAnsi" w:hAnsiTheme="majorHAnsi"/>
          <w:b/>
          <w:color w:val="0070C0"/>
          <w:sz w:val="28"/>
          <w:szCs w:val="28"/>
        </w:rPr>
        <w:sectPr w:rsidR="00A10BC2" w:rsidSect="00A85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219" w:right="1219" w:bottom="1361" w:left="1219" w:header="709" w:footer="539" w:gutter="0"/>
          <w:cols w:space="708"/>
          <w:docGrid w:linePitch="360"/>
        </w:sectPr>
      </w:pPr>
    </w:p>
    <w:p w14:paraId="2FEDA6DD" w14:textId="77777777" w:rsidR="00412744" w:rsidRPr="003B0231" w:rsidRDefault="00751D51" w:rsidP="002E0666">
      <w:pPr>
        <w:pStyle w:val="Heading2"/>
        <w:numPr>
          <w:ilvl w:val="0"/>
          <w:numId w:val="25"/>
        </w:numPr>
        <w:jc w:val="both"/>
        <w:rPr>
          <w:rFonts w:asciiTheme="majorHAnsi" w:hAnsiTheme="majorHAnsi"/>
          <w:b/>
          <w:color w:val="0070C0"/>
          <w:sz w:val="28"/>
          <w:szCs w:val="28"/>
        </w:rPr>
      </w:pPr>
      <w:r w:rsidRPr="003B0231">
        <w:rPr>
          <w:rFonts w:asciiTheme="majorHAnsi" w:hAnsiTheme="majorHAnsi"/>
          <w:b/>
          <w:color w:val="0070C0"/>
          <w:sz w:val="28"/>
          <w:szCs w:val="28"/>
        </w:rPr>
        <w:lastRenderedPageBreak/>
        <w:t>Response to the review</w:t>
      </w:r>
      <w:r w:rsidR="00412744" w:rsidRPr="003B0231">
        <w:rPr>
          <w:rFonts w:asciiTheme="majorHAnsi" w:hAnsiTheme="majorHAnsi"/>
          <w:b/>
          <w:color w:val="0070C0"/>
          <w:sz w:val="28"/>
          <w:szCs w:val="28"/>
        </w:rPr>
        <w:t>’s recommendation</w:t>
      </w:r>
      <w:r w:rsidR="00A10BC2">
        <w:rPr>
          <w:rFonts w:asciiTheme="majorHAnsi" w:hAnsiTheme="majorHAnsi"/>
          <w:b/>
          <w:color w:val="0070C0"/>
          <w:sz w:val="28"/>
          <w:szCs w:val="28"/>
        </w:rPr>
        <w:t>s</w:t>
      </w:r>
      <w:r w:rsidR="00412744" w:rsidRPr="003B0231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</w:p>
    <w:tbl>
      <w:tblPr>
        <w:tblStyle w:val="OD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133"/>
        <w:gridCol w:w="4769"/>
        <w:gridCol w:w="5750"/>
      </w:tblGrid>
      <w:tr w:rsidR="00CA36F1" w:rsidRPr="000543E8" w14:paraId="3CBA17D8" w14:textId="77777777" w:rsidTr="0005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  <w:tblHeader/>
        </w:trPr>
        <w:tc>
          <w:tcPr>
            <w:tcW w:w="2609" w:type="dxa"/>
            <w:shd w:val="clear" w:color="auto" w:fill="73E7FF" w:themeFill="background2" w:themeFillTint="66"/>
          </w:tcPr>
          <w:p w14:paraId="4B2726A7" w14:textId="77777777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/>
                <w:bCs/>
                <w:sz w:val="24"/>
              </w:rPr>
            </w:pPr>
            <w:r w:rsidRPr="00A10BC2">
              <w:rPr>
                <w:rFonts w:asciiTheme="majorHAnsi" w:hAnsiTheme="majorHAnsi" w:cs="Helvetica-Bold"/>
                <w:b/>
                <w:bCs/>
                <w:sz w:val="24"/>
              </w:rPr>
              <w:t>Recommendation</w:t>
            </w:r>
          </w:p>
        </w:tc>
        <w:tc>
          <w:tcPr>
            <w:tcW w:w="1134" w:type="dxa"/>
            <w:shd w:val="clear" w:color="auto" w:fill="73E7FF" w:themeFill="background2" w:themeFillTint="66"/>
          </w:tcPr>
          <w:p w14:paraId="3802C19D" w14:textId="77777777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/>
                <w:bCs/>
                <w:sz w:val="24"/>
              </w:rPr>
            </w:pPr>
            <w:r w:rsidRPr="00A10BC2">
              <w:rPr>
                <w:rFonts w:asciiTheme="majorHAnsi" w:hAnsiTheme="majorHAnsi" w:cs="Helvetica-Bold"/>
                <w:b/>
                <w:bCs/>
                <w:sz w:val="24"/>
              </w:rPr>
              <w:t xml:space="preserve">Response </w:t>
            </w:r>
            <w:r w:rsidRPr="00A10BC2">
              <w:rPr>
                <w:rFonts w:asciiTheme="majorHAnsi" w:hAnsiTheme="majorHAnsi" w:cs="Helvetica-Bold"/>
                <w:b/>
                <w:bCs/>
                <w:sz w:val="24"/>
              </w:rPr>
              <w:br/>
            </w:r>
          </w:p>
        </w:tc>
        <w:tc>
          <w:tcPr>
            <w:tcW w:w="4819" w:type="dxa"/>
            <w:shd w:val="clear" w:color="auto" w:fill="73E7FF" w:themeFill="background2" w:themeFillTint="66"/>
          </w:tcPr>
          <w:p w14:paraId="5CCA81EB" w14:textId="77777777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/>
                <w:bCs/>
                <w:sz w:val="24"/>
              </w:rPr>
            </w:pPr>
            <w:r w:rsidRPr="00A10BC2">
              <w:rPr>
                <w:rFonts w:asciiTheme="majorHAnsi" w:hAnsiTheme="majorHAnsi" w:cs="Helvetica-Bold"/>
                <w:b/>
                <w:bCs/>
                <w:sz w:val="24"/>
              </w:rPr>
              <w:t xml:space="preserve">Explanation </w:t>
            </w:r>
          </w:p>
        </w:tc>
        <w:tc>
          <w:tcPr>
            <w:tcW w:w="5812" w:type="dxa"/>
            <w:shd w:val="clear" w:color="auto" w:fill="73E7FF" w:themeFill="background2" w:themeFillTint="66"/>
          </w:tcPr>
          <w:p w14:paraId="5FE70510" w14:textId="77777777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/>
                <w:bCs/>
                <w:sz w:val="24"/>
              </w:rPr>
            </w:pPr>
            <w:r w:rsidRPr="00A10BC2">
              <w:rPr>
                <w:rFonts w:asciiTheme="majorHAnsi" w:hAnsiTheme="majorHAnsi" w:cs="Helvetica-Bold"/>
                <w:b/>
                <w:bCs/>
                <w:sz w:val="24"/>
              </w:rPr>
              <w:t xml:space="preserve">Action plan </w:t>
            </w:r>
          </w:p>
        </w:tc>
      </w:tr>
      <w:tr w:rsidR="005B1503" w:rsidRPr="00A10BC2" w14:paraId="2A116762" w14:textId="77777777" w:rsidTr="000543E8">
        <w:tc>
          <w:tcPr>
            <w:tcW w:w="2609" w:type="dxa"/>
            <w:shd w:val="clear" w:color="auto" w:fill="auto"/>
          </w:tcPr>
          <w:p w14:paraId="4A319BED" w14:textId="3B014B10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t>O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verall recommendation</w:t>
            </w:r>
            <w:r w:rsidR="005D5D9F">
              <w:rPr>
                <w:rFonts w:asciiTheme="majorHAnsi" w:hAnsiTheme="majorHAnsi" w:cs="Helvetica-Bold"/>
                <w:bCs/>
                <w:sz w:val="24"/>
              </w:rPr>
              <w:t xml:space="preserve">: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Australia should support Vietnam with the implementation of its Intended Nati</w:t>
            </w:r>
            <w:r w:rsidR="00C22F7F">
              <w:rPr>
                <w:rFonts w:asciiTheme="majorHAnsi" w:hAnsiTheme="majorHAnsi" w:cs="Helvetica-Bold"/>
                <w:bCs/>
                <w:sz w:val="24"/>
              </w:rPr>
              <w:t>onally Determined Contribution (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INDC</w:t>
            </w:r>
            <w:r w:rsidR="00C22F7F">
              <w:rPr>
                <w:rFonts w:asciiTheme="majorHAnsi" w:hAnsiTheme="majorHAnsi" w:cs="Helvetica-Bold"/>
                <w:bCs/>
                <w:sz w:val="24"/>
              </w:rPr>
              <w:t>)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C37A07F" w14:textId="77777777" w:rsidR="00A10BC2" w:rsidRP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A10BC2">
              <w:rPr>
                <w:rFonts w:asciiTheme="majorHAnsi" w:hAnsiTheme="majorHAnsi" w:cs="Helvetica-Bold"/>
                <w:bCs/>
                <w:sz w:val="24"/>
              </w:rPr>
              <w:t xml:space="preserve">Agree </w:t>
            </w:r>
          </w:p>
        </w:tc>
        <w:tc>
          <w:tcPr>
            <w:tcW w:w="4819" w:type="dxa"/>
            <w:shd w:val="clear" w:color="auto" w:fill="auto"/>
          </w:tcPr>
          <w:p w14:paraId="2D151A54" w14:textId="364FD53F" w:rsidR="00A10BC2" w:rsidRPr="003B0231" w:rsidRDefault="00550F20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 xml:space="preserve">Climate change represents significant risks to sustainable growth and long-term poverty alleviation. 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>Australia is signatory to the Paris Agreement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,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 xml:space="preserve"> with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a 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 xml:space="preserve">commitment to spend 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>AU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>$1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 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 xml:space="preserve">billion over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five </w:t>
            </w:r>
            <w:r w:rsidR="00A10BC2" w:rsidRPr="003B0231">
              <w:rPr>
                <w:rFonts w:asciiTheme="majorHAnsi" w:hAnsiTheme="majorHAnsi" w:cs="Helvetica-Bold"/>
                <w:bCs/>
                <w:sz w:val="24"/>
              </w:rPr>
              <w:t xml:space="preserve">years to address climate change. 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>Supporting action on climate change is also consistent with Australia’s commitment to the 2030 Sustainable Development Goals.</w:t>
            </w:r>
          </w:p>
          <w:p w14:paraId="1D9FDB77" w14:textId="2B72AC22" w:rsidR="00A10BC2" w:rsidRPr="00A10BC2" w:rsidRDefault="00A10BC2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t>Addressing climate change is a high d</w:t>
            </w:r>
            <w:r w:rsidR="005D5D9F">
              <w:rPr>
                <w:rFonts w:asciiTheme="majorHAnsi" w:hAnsiTheme="majorHAnsi" w:cs="Helvetica-Bold"/>
                <w:bCs/>
                <w:sz w:val="24"/>
              </w:rPr>
              <w:t>evelopment priority for Vietnam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. The Government of Vietnam is very committed to the Paris 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>A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greement but needs international assistance to imp</w:t>
            </w:r>
            <w:r w:rsidR="001E043F">
              <w:rPr>
                <w:rFonts w:asciiTheme="majorHAnsi" w:hAnsiTheme="majorHAnsi" w:cs="Helvetica-Bold"/>
                <w:bCs/>
                <w:sz w:val="24"/>
              </w:rPr>
              <w:t>lement its Nati</w:t>
            </w:r>
            <w:r w:rsidR="00C22F7F">
              <w:rPr>
                <w:rFonts w:asciiTheme="majorHAnsi" w:hAnsiTheme="majorHAnsi" w:cs="Helvetica-Bold"/>
                <w:bCs/>
                <w:sz w:val="24"/>
              </w:rPr>
              <w:t>onally Determined Contribution (</w:t>
            </w:r>
            <w:r w:rsidR="001E043F">
              <w:rPr>
                <w:rFonts w:asciiTheme="majorHAnsi" w:hAnsiTheme="majorHAnsi" w:cs="Helvetica-Bold"/>
                <w:bCs/>
                <w:sz w:val="24"/>
              </w:rPr>
              <w:t>NDC</w:t>
            </w:r>
            <w:r w:rsidR="00C22F7F">
              <w:rPr>
                <w:rFonts w:asciiTheme="majorHAnsi" w:hAnsiTheme="majorHAnsi" w:cs="Helvetica-Bold"/>
                <w:bCs/>
                <w:sz w:val="24"/>
              </w:rPr>
              <w:t>)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.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 xml:space="preserve"> Australia has experience and expertise to offer in areas of interest to Vietnam.</w:t>
            </w:r>
          </w:p>
        </w:tc>
        <w:tc>
          <w:tcPr>
            <w:tcW w:w="5812" w:type="dxa"/>
            <w:shd w:val="clear" w:color="auto" w:fill="auto"/>
          </w:tcPr>
          <w:p w14:paraId="767DFDFE" w14:textId="640BEF10" w:rsidR="00A10BC2" w:rsidRDefault="00A10BC2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B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y the end of 2017</w:t>
            </w:r>
            <w:r w:rsidR="000543E8">
              <w:rPr>
                <w:rFonts w:asciiTheme="majorHAnsi" w:hAnsiTheme="majorHAnsi" w:cs="Helvetica-Bold"/>
                <w:bCs/>
                <w:sz w:val="24"/>
              </w:rPr>
              <w:t xml:space="preserve">,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the 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Australian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Embassy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Hanoi </w:t>
            </w:r>
            <w:r w:rsidR="005D5D9F">
              <w:rPr>
                <w:rFonts w:asciiTheme="majorHAnsi" w:hAnsiTheme="majorHAnsi" w:cs="Helvetica-Bold"/>
                <w:bCs/>
                <w:sz w:val="24"/>
              </w:rPr>
              <w:t xml:space="preserve">will develop </w:t>
            </w:r>
            <w:r w:rsidR="00C92CB7">
              <w:rPr>
                <w:rFonts w:asciiTheme="majorHAnsi" w:hAnsiTheme="majorHAnsi" w:cs="Helvetica-Bold"/>
                <w:bCs/>
                <w:sz w:val="24"/>
              </w:rPr>
              <w:t xml:space="preserve">a </w:t>
            </w:r>
            <w:r w:rsidR="005D5D9F">
              <w:rPr>
                <w:rFonts w:asciiTheme="majorHAnsi" w:hAnsiTheme="majorHAnsi" w:cs="Helvetica-Bold"/>
                <w:bCs/>
                <w:sz w:val="24"/>
              </w:rPr>
              <w:t xml:space="preserve">strategy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paper </w:t>
            </w:r>
            <w:r w:rsidR="005D5D9F">
              <w:rPr>
                <w:rFonts w:asciiTheme="majorHAnsi" w:hAnsiTheme="majorHAnsi" w:cs="Helvetica-Bold"/>
                <w:bCs/>
                <w:sz w:val="24"/>
              </w:rPr>
              <w:t>that</w:t>
            </w:r>
            <w:r w:rsidR="00C92CB7">
              <w:rPr>
                <w:rFonts w:asciiTheme="majorHAnsi" w:hAnsiTheme="majorHAnsi" w:cs="Helvetica-Bold"/>
                <w:bCs/>
                <w:sz w:val="24"/>
              </w:rPr>
              <w:t xml:space="preserve"> outlines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 Australia’s whole of government approach to work with </w:t>
            </w:r>
            <w:r w:rsidR="00D90073">
              <w:rPr>
                <w:rFonts w:asciiTheme="majorHAnsi" w:hAnsiTheme="majorHAnsi" w:cs="Helvetica-Bold"/>
                <w:bCs/>
                <w:sz w:val="24"/>
              </w:rPr>
              <w:t xml:space="preserve">other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stakeholders to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support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climate change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action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in Vietnam</w:t>
            </w:r>
            <w:r w:rsidR="00C92CB7">
              <w:rPr>
                <w:rFonts w:asciiTheme="majorHAnsi" w:hAnsiTheme="majorHAnsi" w:cs="Helvetica-Bold"/>
                <w:bCs/>
                <w:sz w:val="24"/>
              </w:rPr>
              <w:t>.</w:t>
            </w:r>
            <w:r w:rsidR="00D90073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This strategy paper will:</w:t>
            </w:r>
          </w:p>
          <w:p w14:paraId="2A145ECB" w14:textId="257F969A" w:rsidR="001A1AA7" w:rsidRDefault="00FF4BC9" w:rsidP="001E043F">
            <w:pPr>
              <w:pStyle w:val="BodyText"/>
              <w:numPr>
                <w:ilvl w:val="0"/>
                <w:numId w:val="31"/>
              </w:numPr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b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uild on Australia’s significant investment in climate change programs in Vietnam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 xml:space="preserve"> since 2011</w:t>
            </w:r>
            <w:r>
              <w:rPr>
                <w:rFonts w:asciiTheme="majorHAnsi" w:hAnsiTheme="majorHAnsi" w:cs="Helvetica-Bold"/>
                <w:bCs/>
                <w:sz w:val="24"/>
              </w:rPr>
              <w:t>;</w:t>
            </w:r>
          </w:p>
          <w:p w14:paraId="0313654E" w14:textId="3C120026" w:rsidR="00A212D9" w:rsidRDefault="00FF4BC9" w:rsidP="00A212D9">
            <w:pPr>
              <w:pStyle w:val="BodyText"/>
              <w:numPr>
                <w:ilvl w:val="0"/>
                <w:numId w:val="31"/>
              </w:numPr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a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>lign with Australia’s developing economic partnership with Vietnam</w:t>
            </w:r>
            <w:r>
              <w:rPr>
                <w:rFonts w:asciiTheme="majorHAnsi" w:hAnsiTheme="majorHAnsi" w:cs="Helvetica-Bold"/>
                <w:bCs/>
                <w:sz w:val="24"/>
              </w:rPr>
              <w:t>;</w:t>
            </w:r>
          </w:p>
          <w:p w14:paraId="68DA8D7E" w14:textId="4337E458" w:rsidR="00A212D9" w:rsidRDefault="00FF4BC9" w:rsidP="001E043F">
            <w:pPr>
              <w:pStyle w:val="BodyText"/>
              <w:numPr>
                <w:ilvl w:val="0"/>
                <w:numId w:val="31"/>
              </w:numPr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d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>escribe the approach to integrating climate change in Australia’s new and ongoing aid investments in Vietnam</w:t>
            </w:r>
            <w:r>
              <w:rPr>
                <w:rFonts w:asciiTheme="majorHAnsi" w:hAnsiTheme="majorHAnsi" w:cs="Helvetica-Bold"/>
                <w:bCs/>
                <w:sz w:val="24"/>
              </w:rPr>
              <w:t>;</w:t>
            </w:r>
          </w:p>
          <w:p w14:paraId="3B0D721F" w14:textId="47855FF5" w:rsidR="001A1AA7" w:rsidRDefault="00FF4BC9" w:rsidP="001E043F">
            <w:pPr>
              <w:pStyle w:val="BodyText"/>
              <w:numPr>
                <w:ilvl w:val="0"/>
                <w:numId w:val="31"/>
              </w:numPr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f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ocus on areas where Australia has a comparative advantage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 and strong experience and expertise; and</w:t>
            </w:r>
          </w:p>
          <w:p w14:paraId="18B31AA2" w14:textId="62BF20E1" w:rsidR="00A212D9" w:rsidRPr="00A10BC2" w:rsidRDefault="00FF4BC9" w:rsidP="001E043F">
            <w:pPr>
              <w:pStyle w:val="BodyText"/>
              <w:numPr>
                <w:ilvl w:val="0"/>
                <w:numId w:val="31"/>
              </w:numPr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r</w:t>
            </w:r>
            <w:r w:rsidR="00A212D9">
              <w:rPr>
                <w:rFonts w:asciiTheme="majorHAnsi" w:hAnsiTheme="majorHAnsi" w:cs="Helvetica-Bold"/>
                <w:bCs/>
                <w:sz w:val="24"/>
              </w:rPr>
              <w:t>ecognise the important role of innovation and the private sector</w:t>
            </w:r>
            <w:r>
              <w:rPr>
                <w:rFonts w:asciiTheme="majorHAnsi" w:hAnsiTheme="majorHAnsi" w:cs="Helvetica-Bold"/>
                <w:bCs/>
                <w:sz w:val="24"/>
              </w:rPr>
              <w:t>.</w:t>
            </w:r>
          </w:p>
        </w:tc>
      </w:tr>
      <w:tr w:rsidR="005B1503" w:rsidRPr="00A10BC2" w14:paraId="6C0DC993" w14:textId="77777777" w:rsidTr="000543E8">
        <w:tc>
          <w:tcPr>
            <w:tcW w:w="2609" w:type="dxa"/>
            <w:shd w:val="clear" w:color="auto" w:fill="auto"/>
          </w:tcPr>
          <w:p w14:paraId="78B7ECB8" w14:textId="77777777" w:rsidR="00A10BC2" w:rsidRPr="000543E8" w:rsidRDefault="00A10BC2" w:rsidP="00C22F7F">
            <w:pPr>
              <w:pStyle w:val="BodyText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Recommendation A: Australia should maintain and possibly expand its role in addressing climate change in the Mekong Delta. </w:t>
            </w:r>
          </w:p>
          <w:p w14:paraId="4301520B" w14:textId="77777777" w:rsidR="00A10BC2" w:rsidRPr="000543E8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B54BEF" w14:textId="77777777" w:rsidR="00A10BC2" w:rsidRPr="000543E8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t>Agree</w:t>
            </w:r>
          </w:p>
        </w:tc>
        <w:tc>
          <w:tcPr>
            <w:tcW w:w="4819" w:type="dxa"/>
            <w:shd w:val="clear" w:color="auto" w:fill="auto"/>
          </w:tcPr>
          <w:p w14:paraId="5A2EE4CB" w14:textId="77777777" w:rsidR="00A10BC2" w:rsidRPr="003B0231" w:rsidRDefault="00A10BC2" w:rsidP="00B41D03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A safe, prosperous and sustainable Mekong Delta stays high in the development agenda for Vietnam. The region has been </w:t>
            </w:r>
            <w:r w:rsidR="0079332C">
              <w:rPr>
                <w:rFonts w:asciiTheme="majorHAnsi" w:hAnsiTheme="majorHAnsi" w:cs="Helvetica-Bold"/>
                <w:bCs/>
                <w:sz w:val="24"/>
              </w:rPr>
              <w:t xml:space="preserve">a 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geographical focus for Australia for more than 20 years with significant achievements. </w:t>
            </w:r>
            <w:r w:rsidR="00C92CB7">
              <w:rPr>
                <w:rFonts w:asciiTheme="majorHAnsi" w:hAnsiTheme="majorHAnsi" w:cs="Helvetica-Bold"/>
                <w:bCs/>
                <w:sz w:val="24"/>
              </w:rPr>
              <w:t>Continuing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 Australian engagement in the region as a long </w:t>
            </w:r>
            <w:r w:rsidR="00C92CB7">
              <w:rPr>
                <w:rFonts w:asciiTheme="majorHAnsi" w:hAnsiTheme="majorHAnsi" w:cs="Helvetica-Bold"/>
                <w:bCs/>
                <w:sz w:val="24"/>
              </w:rPr>
              <w:t xml:space="preserve">term trusted and confident partner promotes Australia’s interest by </w:t>
            </w:r>
            <w:r w:rsidR="00C92CB7" w:rsidRPr="00C92CB7">
              <w:rPr>
                <w:rFonts w:asciiTheme="majorHAnsi" w:hAnsiTheme="majorHAnsi" w:cs="Helvetica-Bold"/>
                <w:bCs/>
                <w:sz w:val="24"/>
              </w:rPr>
              <w:t xml:space="preserve">enhancing </w:t>
            </w:r>
            <w:r w:rsidR="00AA750F">
              <w:rPr>
                <w:rFonts w:asciiTheme="majorHAnsi" w:hAnsiTheme="majorHAnsi" w:cs="Helvetica-Bold"/>
                <w:bCs/>
                <w:sz w:val="24"/>
              </w:rPr>
              <w:t xml:space="preserve">our </w:t>
            </w:r>
            <w:r w:rsidR="00AA750F" w:rsidRPr="00C92CB7">
              <w:rPr>
                <w:rFonts w:asciiTheme="majorHAnsi" w:hAnsiTheme="majorHAnsi" w:cs="Helvetica-Bold"/>
                <w:bCs/>
                <w:sz w:val="24"/>
              </w:rPr>
              <w:t>visibility</w:t>
            </w:r>
            <w:r w:rsidR="00C92CB7" w:rsidRPr="00C92CB7">
              <w:rPr>
                <w:rFonts w:asciiTheme="majorHAnsi" w:hAnsiTheme="majorHAnsi" w:cs="Helvetica-Bold"/>
                <w:bCs/>
                <w:sz w:val="24"/>
              </w:rPr>
              <w:t xml:space="preserve"> and reputation in the region, leveraging high level of influence for Australia over 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the Delta’s </w:t>
            </w:r>
            <w:r w:rsidR="00C92CB7" w:rsidRPr="00C92CB7">
              <w:rPr>
                <w:rFonts w:asciiTheme="majorHAnsi" w:hAnsiTheme="majorHAnsi" w:cs="Helvetica-Bold"/>
                <w:bCs/>
                <w:sz w:val="24"/>
              </w:rPr>
              <w:t>sustainable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 develo</w:t>
            </w:r>
            <w:r w:rsidR="00AA750F">
              <w:rPr>
                <w:rFonts w:asciiTheme="majorHAnsi" w:hAnsiTheme="majorHAnsi" w:cs="Helvetica-Bold"/>
                <w:bCs/>
                <w:sz w:val="24"/>
              </w:rPr>
              <w:t>pment agenda.</w:t>
            </w:r>
          </w:p>
        </w:tc>
        <w:tc>
          <w:tcPr>
            <w:tcW w:w="5812" w:type="dxa"/>
            <w:shd w:val="clear" w:color="auto" w:fill="auto"/>
          </w:tcPr>
          <w:p w14:paraId="540C18D6" w14:textId="7D0C8795" w:rsid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 xml:space="preserve">Action A1: </w:t>
            </w:r>
            <w:r w:rsidR="0079332C">
              <w:rPr>
                <w:rFonts w:asciiTheme="majorHAnsi" w:hAnsiTheme="majorHAnsi" w:cs="Helvetica-Bold"/>
                <w:bCs/>
                <w:sz w:val="24"/>
              </w:rPr>
              <w:t xml:space="preserve">DFAT will work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with the World Bank to </w:t>
            </w:r>
            <w:r w:rsidR="0079332C">
              <w:rPr>
                <w:rFonts w:asciiTheme="majorHAnsi" w:hAnsiTheme="majorHAnsi" w:cs="Helvetica-Bold"/>
                <w:bCs/>
                <w:sz w:val="24"/>
              </w:rPr>
              <w:t xml:space="preserve">improve climate resilience in the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Mekong Delta under the </w:t>
            </w:r>
            <w:r w:rsidR="0079332C">
              <w:rPr>
                <w:rFonts w:asciiTheme="majorHAnsi" w:hAnsiTheme="majorHAnsi" w:cs="Helvetica-Bold"/>
                <w:bCs/>
                <w:sz w:val="24"/>
              </w:rPr>
              <w:t xml:space="preserve">second phase of the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Australia-W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>orld Bank Partnership.</w:t>
            </w:r>
          </w:p>
          <w:p w14:paraId="6F21A274" w14:textId="5B2E9601" w:rsidR="00A10BC2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Action A2: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Australia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will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identif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>y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 strategic investments </w:t>
            </w:r>
            <w:r w:rsidR="001221A7">
              <w:rPr>
                <w:rFonts w:asciiTheme="majorHAnsi" w:hAnsiTheme="majorHAnsi" w:cs="Helvetica-Bold"/>
                <w:bCs/>
                <w:sz w:val="24"/>
              </w:rPr>
              <w:t xml:space="preserve">and engagement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to support the response to cli</w:t>
            </w:r>
            <w:r w:rsidR="001221A7">
              <w:rPr>
                <w:rFonts w:asciiTheme="majorHAnsi" w:hAnsiTheme="majorHAnsi" w:cs="Helvetica-Bold"/>
                <w:bCs/>
                <w:sz w:val="24"/>
              </w:rPr>
              <w:t>mate change in the Mekong Delta. This will include mainstreaming climate change in our economic development partnership,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 leveraging DFAT’s global and regional programs and funding</w:t>
            </w:r>
            <w:r w:rsidR="001221A7">
              <w:rPr>
                <w:rFonts w:asciiTheme="majorHAnsi" w:hAnsiTheme="majorHAnsi" w:cs="Helvetica-Bold"/>
                <w:bCs/>
                <w:sz w:val="24"/>
              </w:rPr>
              <w:t>, identifying business links,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 and focusing on areas where Australia has a comparative advantage</w:t>
            </w:r>
            <w:r w:rsidR="001221A7">
              <w:rPr>
                <w:rFonts w:asciiTheme="majorHAnsi" w:hAnsiTheme="majorHAnsi" w:cs="Helvetica-Bold"/>
                <w:bCs/>
                <w:sz w:val="24"/>
              </w:rPr>
              <w:t xml:space="preserve"> (such as water resource management)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.</w:t>
            </w:r>
          </w:p>
          <w:p w14:paraId="78623EBD" w14:textId="670FCC26" w:rsidR="00A10BC2" w:rsidRPr="003B0231" w:rsidRDefault="00A10BC2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Action A3: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Australia will continue to </w:t>
            </w:r>
            <w:r w:rsidR="00A83A34">
              <w:rPr>
                <w:rFonts w:asciiTheme="majorHAnsi" w:hAnsiTheme="majorHAnsi" w:cs="Helvetica-Bold"/>
                <w:bCs/>
                <w:sz w:val="24"/>
              </w:rPr>
              <w:t xml:space="preserve">engage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closely </w:t>
            </w:r>
            <w:r w:rsidR="00A83A34">
              <w:rPr>
                <w:rFonts w:asciiTheme="majorHAnsi" w:hAnsiTheme="majorHAnsi" w:cs="Helvetica-Bold"/>
                <w:bCs/>
                <w:sz w:val="24"/>
              </w:rPr>
              <w:t xml:space="preserve">with GIZ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 xml:space="preserve">on 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the Integrated Coastal Management Program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(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>ICMP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)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="006D4CCC">
              <w:rPr>
                <w:rFonts w:asciiTheme="majorHAnsi" w:hAnsiTheme="majorHAnsi" w:cs="Helvetica-Bold"/>
                <w:bCs/>
                <w:sz w:val="24"/>
              </w:rPr>
              <w:t>until its completion in July 2018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, and will 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explore opportunities for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maintaining </w:t>
            </w:r>
            <w:r w:rsidR="00721903">
              <w:rPr>
                <w:rFonts w:asciiTheme="majorHAnsi" w:hAnsiTheme="majorHAnsi" w:cs="Helvetica-Bold"/>
                <w:bCs/>
                <w:sz w:val="24"/>
              </w:rPr>
              <w:t xml:space="preserve">Australian engagement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in future phases of the program (including identifying links with Australian 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 xml:space="preserve">research 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 xml:space="preserve">institutions and 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>the private sector</w:t>
            </w:r>
            <w:r w:rsidR="004C69E5">
              <w:rPr>
                <w:rFonts w:asciiTheme="majorHAnsi" w:hAnsiTheme="majorHAnsi" w:cs="Helvetica-Bold"/>
                <w:bCs/>
                <w:sz w:val="24"/>
              </w:rPr>
              <w:t>)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>.</w:t>
            </w:r>
          </w:p>
        </w:tc>
      </w:tr>
      <w:tr w:rsidR="005B1503" w:rsidRPr="00A10BC2" w14:paraId="7AAFC097" w14:textId="77777777" w:rsidTr="000543E8">
        <w:tc>
          <w:tcPr>
            <w:tcW w:w="2609" w:type="dxa"/>
            <w:shd w:val="clear" w:color="auto" w:fill="auto"/>
          </w:tcPr>
          <w:p w14:paraId="67FB026A" w14:textId="77777777" w:rsidR="000543E8" w:rsidRPr="000543E8" w:rsidRDefault="000543E8" w:rsidP="00C22F7F">
            <w:pPr>
              <w:pStyle w:val="BodyText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Recommendation B: Australia should consider 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joining other Development Partners in addressing increased energy efficiency and renewable energy deployment in Vietnam. </w:t>
            </w:r>
          </w:p>
          <w:p w14:paraId="239879A5" w14:textId="77777777" w:rsidR="00A10BC2" w:rsidRPr="000543E8" w:rsidRDefault="00A10BC2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7F8051" w14:textId="77777777" w:rsidR="00A10BC2" w:rsidRPr="000543E8" w:rsidRDefault="000543E8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lastRenderedPageBreak/>
              <w:t>Agree</w:t>
            </w:r>
          </w:p>
        </w:tc>
        <w:tc>
          <w:tcPr>
            <w:tcW w:w="4819" w:type="dxa"/>
            <w:shd w:val="clear" w:color="auto" w:fill="auto"/>
          </w:tcPr>
          <w:p w14:paraId="3DC343A5" w14:textId="29DE7088" w:rsidR="00550F20" w:rsidRDefault="00550F20" w:rsidP="00B41D03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Access to renewable or cleaner energy promote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s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 economic growth and human </w:t>
            </w:r>
            <w:r>
              <w:rPr>
                <w:rFonts w:asciiTheme="majorHAnsi" w:hAnsiTheme="majorHAnsi" w:cs="Helvetica-Bold"/>
                <w:bCs/>
                <w:sz w:val="24"/>
              </w:rPr>
              <w:lastRenderedPageBreak/>
              <w:t>development, and is consistent with the priorities of Australia’s developing economic partnership with Vietnam.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  </w:t>
            </w:r>
            <w:r w:rsidR="001A1AA7" w:rsidRPr="003B0231">
              <w:rPr>
                <w:rFonts w:asciiTheme="majorHAnsi" w:hAnsiTheme="majorHAnsi" w:cs="Helvetica-Bold"/>
                <w:bCs/>
                <w:sz w:val="24"/>
              </w:rPr>
              <w:t>Australia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 xml:space="preserve"> has significant expertise and experience to offer </w:t>
            </w:r>
            <w:r w:rsidR="001A1AA7" w:rsidRPr="003B0231">
              <w:rPr>
                <w:rFonts w:asciiTheme="majorHAnsi" w:hAnsiTheme="majorHAnsi" w:cs="Helvetica-Bold"/>
                <w:bCs/>
                <w:sz w:val="24"/>
              </w:rPr>
              <w:t>in the emerging Vietnamese renewable power market.</w:t>
            </w:r>
          </w:p>
          <w:p w14:paraId="556A60F1" w14:textId="38F750FB" w:rsidR="00A10BC2" w:rsidRPr="000543E8" w:rsidRDefault="000543E8" w:rsidP="00B41D03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t>Mitigating GHG emission</w:t>
            </w:r>
            <w:r w:rsidR="00550F20">
              <w:rPr>
                <w:rFonts w:asciiTheme="majorHAnsi" w:hAnsiTheme="majorHAnsi" w:cs="Helvetica-Bold"/>
                <w:bCs/>
                <w:sz w:val="24"/>
              </w:rPr>
              <w:t>s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 is one of two component</w:t>
            </w:r>
            <w:r w:rsidR="001A1AA7">
              <w:rPr>
                <w:rFonts w:asciiTheme="majorHAnsi" w:hAnsiTheme="majorHAnsi" w:cs="Helvetica-Bold"/>
                <w:bCs/>
                <w:sz w:val="24"/>
              </w:rPr>
              <w:t>s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="00550F20" w:rsidRPr="003B0231">
              <w:rPr>
                <w:rFonts w:asciiTheme="majorHAnsi" w:hAnsiTheme="majorHAnsi" w:cs="Helvetica-Bold"/>
                <w:bCs/>
                <w:sz w:val="24"/>
              </w:rPr>
              <w:t xml:space="preserve">of Vietnam’s NDC 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>(the other is climate change adapt</w:t>
            </w:r>
            <w:r w:rsidR="00550F20">
              <w:rPr>
                <w:rFonts w:asciiTheme="majorHAnsi" w:hAnsiTheme="majorHAnsi" w:cs="Helvetica-Bold"/>
                <w:bCs/>
                <w:sz w:val="24"/>
              </w:rPr>
              <w:t>at</w:t>
            </w:r>
            <w:r w:rsidRPr="003B0231">
              <w:rPr>
                <w:rFonts w:asciiTheme="majorHAnsi" w:hAnsiTheme="majorHAnsi" w:cs="Helvetica-Bold"/>
                <w:bCs/>
                <w:sz w:val="24"/>
              </w:rPr>
              <w:t xml:space="preserve">ion). </w:t>
            </w:r>
          </w:p>
        </w:tc>
        <w:tc>
          <w:tcPr>
            <w:tcW w:w="5812" w:type="dxa"/>
            <w:shd w:val="clear" w:color="auto" w:fill="auto"/>
          </w:tcPr>
          <w:p w14:paraId="064244A8" w14:textId="45ADF24E" w:rsidR="004F47A1" w:rsidRDefault="001A1AA7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Action B1: 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 xml:space="preserve">Australia will </w:t>
            </w:r>
            <w:r w:rsidR="00316A4E">
              <w:rPr>
                <w:rFonts w:asciiTheme="majorHAnsi" w:hAnsiTheme="majorHAnsi" w:cs="Helvetica-Bold"/>
                <w:bCs/>
                <w:sz w:val="24"/>
              </w:rPr>
              <w:t xml:space="preserve">work 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>with Government of Vietnam and other development partners</w:t>
            </w:r>
            <w:r w:rsidR="00316A4E">
              <w:rPr>
                <w:rFonts w:asciiTheme="majorHAnsi" w:hAnsiTheme="majorHAnsi" w:cs="Helvetica-Bold"/>
                <w:bCs/>
                <w:sz w:val="24"/>
              </w:rPr>
              <w:t xml:space="preserve"> to identify </w:t>
            </w:r>
            <w:r w:rsidR="00316A4E">
              <w:rPr>
                <w:rFonts w:asciiTheme="majorHAnsi" w:hAnsiTheme="majorHAnsi" w:cs="Helvetica-Bold"/>
                <w:bCs/>
                <w:sz w:val="24"/>
              </w:rPr>
              <w:lastRenderedPageBreak/>
              <w:t>opportunities for leveraging Australia’s expertise in energy efficiency and renewable energy development, including through links to the Australian private sector and research institutions</w:t>
            </w:r>
            <w:r w:rsidR="004F47A1">
              <w:rPr>
                <w:rFonts w:asciiTheme="majorHAnsi" w:hAnsiTheme="majorHAnsi" w:cs="Helvetica-Bold"/>
                <w:bCs/>
                <w:sz w:val="24"/>
              </w:rPr>
              <w:t>.</w:t>
            </w:r>
          </w:p>
          <w:p w14:paraId="6D15DC42" w14:textId="49813048" w:rsidR="00A10BC2" w:rsidRDefault="004F47A1" w:rsidP="00A1460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 xml:space="preserve">Action B2. </w:t>
            </w:r>
            <w:r w:rsidR="00AA750F">
              <w:rPr>
                <w:rFonts w:asciiTheme="majorHAnsi" w:hAnsiTheme="majorHAnsi" w:cs="Helvetica-Bold"/>
                <w:bCs/>
                <w:sz w:val="24"/>
              </w:rPr>
              <w:t>On an ongoing basis, t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>he Vietnam Climate Innovation Centre</w:t>
            </w:r>
            <w:r w:rsidR="00316A4E">
              <w:rPr>
                <w:rFonts w:asciiTheme="majorHAnsi" w:hAnsiTheme="majorHAnsi" w:cs="Helvetica-Bold"/>
                <w:bCs/>
                <w:sz w:val="24"/>
              </w:rPr>
              <w:t xml:space="preserve"> (</w:t>
            </w:r>
            <w:r w:rsidR="000543E8" w:rsidRPr="003B0231">
              <w:rPr>
                <w:rFonts w:asciiTheme="majorHAnsi" w:hAnsiTheme="majorHAnsi" w:cs="Helvetica-Bold"/>
                <w:bCs/>
                <w:sz w:val="24"/>
              </w:rPr>
              <w:t>VCIC</w:t>
            </w:r>
            <w:r w:rsidR="00316A4E">
              <w:rPr>
                <w:rFonts w:asciiTheme="majorHAnsi" w:hAnsiTheme="majorHAnsi" w:cs="Helvetica-Bold"/>
                <w:bCs/>
                <w:sz w:val="24"/>
              </w:rPr>
              <w:t>)</w:t>
            </w:r>
            <w:r w:rsidR="000543E8" w:rsidRPr="003B0231">
              <w:rPr>
                <w:rFonts w:asciiTheme="majorHAnsi" w:hAnsiTheme="majorHAnsi" w:cs="Helvetica-Bold"/>
                <w:bCs/>
                <w:sz w:val="24"/>
              </w:rPr>
              <w:t xml:space="preserve"> explores the opportunities for Australia to engage into policy dialogue re </w:t>
            </w:r>
            <w:r w:rsidR="00A14608" w:rsidRPr="00A14608">
              <w:rPr>
                <w:rFonts w:asciiTheme="majorHAnsi" w:hAnsiTheme="majorHAnsi" w:cs="Helvetica-Bold"/>
                <w:bCs/>
                <w:sz w:val="24"/>
              </w:rPr>
              <w:t>energy efficiency, renewable energy, sustainable agriculture, Water management and filtration, Public Private Partnership model in Science and Technology in Vietnam within the project planned activities; and more broadly on economic partnership in innovations and technologies between Australia and Vietnam.</w:t>
            </w:r>
          </w:p>
        </w:tc>
      </w:tr>
      <w:tr w:rsidR="005B1503" w:rsidRPr="00A10BC2" w14:paraId="731C429F" w14:textId="77777777" w:rsidTr="00AA750F">
        <w:trPr>
          <w:trHeight w:val="2853"/>
        </w:trPr>
        <w:tc>
          <w:tcPr>
            <w:tcW w:w="2609" w:type="dxa"/>
            <w:shd w:val="clear" w:color="auto" w:fill="auto"/>
          </w:tcPr>
          <w:p w14:paraId="437C615C" w14:textId="77777777" w:rsidR="000543E8" w:rsidRPr="000543E8" w:rsidRDefault="000543E8" w:rsidP="00C22F7F">
            <w:pPr>
              <w:pStyle w:val="BodyText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Recommendation C: Climate change considerations should be mainstreamed in the five new investments of the Australia’s Aid 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lastRenderedPageBreak/>
              <w:t>Investment Plan</w:t>
            </w:r>
            <w:r w:rsidR="00385F42">
              <w:rPr>
                <w:rFonts w:asciiTheme="majorHAnsi" w:hAnsiTheme="majorHAnsi" w:cs="Helvetica-Bold"/>
                <w:bCs/>
                <w:sz w:val="24"/>
              </w:rPr>
              <w:t>, AIP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 in Vietnam.</w:t>
            </w:r>
          </w:p>
        </w:tc>
        <w:tc>
          <w:tcPr>
            <w:tcW w:w="1134" w:type="dxa"/>
            <w:shd w:val="clear" w:color="auto" w:fill="auto"/>
          </w:tcPr>
          <w:p w14:paraId="15AFCDAE" w14:textId="77777777" w:rsidR="000543E8" w:rsidRPr="003B0231" w:rsidRDefault="000543E8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lastRenderedPageBreak/>
              <w:t>Agree</w:t>
            </w:r>
          </w:p>
        </w:tc>
        <w:tc>
          <w:tcPr>
            <w:tcW w:w="4819" w:type="dxa"/>
            <w:shd w:val="clear" w:color="auto" w:fill="auto"/>
          </w:tcPr>
          <w:p w14:paraId="14725C16" w14:textId="6FDA0FBA" w:rsidR="00CA36F1" w:rsidRPr="003B0231" w:rsidRDefault="003D0C0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 xml:space="preserve">To meet </w:t>
            </w:r>
            <w:r w:rsidR="008F1A2F">
              <w:rPr>
                <w:rFonts w:asciiTheme="majorHAnsi" w:hAnsiTheme="majorHAnsi" w:cs="Helvetica-Bold"/>
                <w:bCs/>
                <w:sz w:val="24"/>
              </w:rPr>
              <w:t xml:space="preserve">Australia’s </w:t>
            </w:r>
            <w:r>
              <w:rPr>
                <w:rFonts w:asciiTheme="majorHAnsi" w:hAnsiTheme="majorHAnsi" w:cs="Helvetica-Bold"/>
                <w:bCs/>
                <w:sz w:val="24"/>
              </w:rPr>
              <w:t>commitment</w:t>
            </w:r>
            <w:r w:rsidR="008F1A2F">
              <w:rPr>
                <w:rFonts w:asciiTheme="majorHAnsi" w:hAnsiTheme="majorHAnsi" w:cs="Helvetica-Bold"/>
                <w:bCs/>
                <w:sz w:val="24"/>
              </w:rPr>
              <w:t xml:space="preserve">s to the Paris Agreement and 2030 </w:t>
            </w:r>
            <w:r w:rsidR="00CA36F1">
              <w:rPr>
                <w:rFonts w:asciiTheme="majorHAnsi" w:hAnsiTheme="majorHAnsi" w:cs="Helvetica-Bold"/>
                <w:bCs/>
                <w:sz w:val="24"/>
              </w:rPr>
              <w:t>Sustainable Development Agenda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 and </w:t>
            </w:r>
            <w:r w:rsidR="00CA36F1">
              <w:rPr>
                <w:rFonts w:asciiTheme="majorHAnsi" w:hAnsiTheme="majorHAnsi" w:cs="Helvetica-Bold"/>
                <w:bCs/>
                <w:sz w:val="24"/>
              </w:rPr>
              <w:t xml:space="preserve">to </w:t>
            </w:r>
            <w:r>
              <w:rPr>
                <w:rFonts w:asciiTheme="majorHAnsi" w:hAnsiTheme="majorHAnsi" w:cs="Helvetica-Bold"/>
                <w:bCs/>
                <w:sz w:val="24"/>
              </w:rPr>
              <w:t>ensure optimal aid delivery, a</w:t>
            </w:r>
            <w:r w:rsidR="000543E8" w:rsidRPr="003B0231">
              <w:rPr>
                <w:rFonts w:asciiTheme="majorHAnsi" w:hAnsiTheme="majorHAnsi" w:cs="Helvetica-Bold"/>
                <w:bCs/>
                <w:sz w:val="24"/>
              </w:rPr>
              <w:t>ll programs are required to effectively integrate climate change into the aid program and report on climate change spending.</w:t>
            </w:r>
          </w:p>
        </w:tc>
        <w:tc>
          <w:tcPr>
            <w:tcW w:w="5812" w:type="dxa"/>
            <w:shd w:val="clear" w:color="auto" w:fill="auto"/>
          </w:tcPr>
          <w:p w14:paraId="24294B7D" w14:textId="58EECBF2" w:rsidR="005B1503" w:rsidRDefault="005B1503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 xml:space="preserve">Action C1. </w:t>
            </w:r>
            <w:r w:rsidR="0055254C">
              <w:rPr>
                <w:rFonts w:asciiTheme="majorHAnsi" w:hAnsiTheme="majorHAnsi" w:cs="Helvetica-Bold"/>
                <w:bCs/>
                <w:sz w:val="24"/>
              </w:rPr>
              <w:t>Climate change considerations will be integrated across all</w:t>
            </w:r>
            <w:r>
              <w:rPr>
                <w:rFonts w:asciiTheme="majorHAnsi" w:hAnsiTheme="majorHAnsi" w:cs="Helvetica-Bold"/>
                <w:bCs/>
                <w:sz w:val="24"/>
              </w:rPr>
              <w:t xml:space="preserve"> of Australia’s new and ongoing aid investments in Vietnam. We will adopt a strategic approach that is aligned with our development priorities and considers our broader foreign policy objectives in Vietnam.</w:t>
            </w:r>
          </w:p>
          <w:p w14:paraId="02438399" w14:textId="5C12E5D1" w:rsidR="0055254C" w:rsidRPr="003B0231" w:rsidRDefault="005B1503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Action C2. The Australian Embassy Hanoi will work closely with 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>aid implementing partners to share DFAT guidance on climate change and develop appropriate responses.</w:t>
            </w:r>
          </w:p>
        </w:tc>
      </w:tr>
      <w:tr w:rsidR="005B1503" w:rsidRPr="00A10BC2" w14:paraId="1951E213" w14:textId="77777777" w:rsidTr="000543E8">
        <w:trPr>
          <w:trHeight w:val="1436"/>
        </w:trPr>
        <w:tc>
          <w:tcPr>
            <w:tcW w:w="2609" w:type="dxa"/>
            <w:shd w:val="clear" w:color="auto" w:fill="auto"/>
          </w:tcPr>
          <w:p w14:paraId="1E34B6E4" w14:textId="244EEE56" w:rsidR="000543E8" w:rsidRPr="000543E8" w:rsidRDefault="000543E8" w:rsidP="00C22F7F">
            <w:pPr>
              <w:pStyle w:val="BodyText"/>
              <w:rPr>
                <w:rFonts w:asciiTheme="majorHAnsi" w:hAnsiTheme="majorHAnsi" w:cs="Helvetica-Bold"/>
                <w:bCs/>
                <w:sz w:val="24"/>
              </w:rPr>
            </w:pPr>
            <w:r w:rsidRPr="000543E8">
              <w:rPr>
                <w:rFonts w:asciiTheme="majorHAnsi" w:hAnsiTheme="majorHAnsi" w:cs="Helvetica-Bold"/>
                <w:bCs/>
                <w:sz w:val="24"/>
              </w:rPr>
              <w:lastRenderedPageBreak/>
              <w:t xml:space="preserve">Recommendation </w:t>
            </w:r>
            <w:r w:rsidR="00C22F7F">
              <w:rPr>
                <w:rFonts w:asciiTheme="majorHAnsi" w:hAnsiTheme="majorHAnsi" w:cs="Helvetica-Bold"/>
                <w:bCs/>
                <w:sz w:val="24"/>
              </w:rPr>
              <w:t xml:space="preserve">D: 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t xml:space="preserve">Australia should join </w:t>
            </w:r>
            <w:r w:rsidR="00384B0F">
              <w:rPr>
                <w:rFonts w:asciiTheme="majorHAnsi" w:hAnsiTheme="majorHAnsi" w:cs="Helvetica-Bold"/>
                <w:bCs/>
                <w:sz w:val="24"/>
              </w:rPr>
              <w:t>Development P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>artners</w:t>
            </w:r>
            <w:r w:rsidR="00796CE7">
              <w:rPr>
                <w:rFonts w:asciiTheme="majorHAnsi" w:hAnsiTheme="majorHAnsi" w:cs="Helvetica-Bold"/>
                <w:bCs/>
                <w:sz w:val="24"/>
              </w:rPr>
              <w:t>-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Pr="000543E8">
              <w:rPr>
                <w:rFonts w:asciiTheme="majorHAnsi" w:hAnsiTheme="majorHAnsi" w:cs="Helvetica-Bold"/>
                <w:bCs/>
                <w:sz w:val="24"/>
              </w:rPr>
              <w:t>GoV partnerships and climate policy engagement</w:t>
            </w:r>
          </w:p>
          <w:p w14:paraId="67590D3C" w14:textId="77777777" w:rsidR="000543E8" w:rsidRPr="000543E8" w:rsidRDefault="000543E8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5DB0C7" w14:textId="77777777" w:rsidR="000543E8" w:rsidRDefault="000543E8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3B0231">
              <w:rPr>
                <w:rFonts w:asciiTheme="majorHAnsi" w:hAnsiTheme="majorHAnsi" w:cs="Helvetica-Bold"/>
                <w:bCs/>
                <w:sz w:val="24"/>
              </w:rPr>
              <w:t>Agree</w:t>
            </w:r>
          </w:p>
        </w:tc>
        <w:tc>
          <w:tcPr>
            <w:tcW w:w="4819" w:type="dxa"/>
            <w:shd w:val="clear" w:color="auto" w:fill="auto"/>
          </w:tcPr>
          <w:p w14:paraId="4B53B768" w14:textId="77777777" w:rsidR="000543E8" w:rsidRPr="003B0231" w:rsidRDefault="00A83A34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>
              <w:rPr>
                <w:rFonts w:asciiTheme="majorHAnsi" w:hAnsiTheme="majorHAnsi" w:cs="Helvetica-Bold"/>
                <w:bCs/>
                <w:sz w:val="24"/>
              </w:rPr>
              <w:t>NA</w:t>
            </w:r>
          </w:p>
        </w:tc>
        <w:tc>
          <w:tcPr>
            <w:tcW w:w="5812" w:type="dxa"/>
            <w:shd w:val="clear" w:color="auto" w:fill="auto"/>
          </w:tcPr>
          <w:p w14:paraId="65AFE6F2" w14:textId="261B39C9" w:rsidR="000543E8" w:rsidRDefault="000543E8" w:rsidP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Action D1: 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 xml:space="preserve">Australia will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continue its active participation and engagement in 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>the Mekong Delta Working G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>roup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 xml:space="preserve"> in Vietnam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. 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 xml:space="preserve">This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will facilitate Australia’s inputs </w:t>
            </w:r>
            <w:r w:rsidR="00CC23E9">
              <w:rPr>
                <w:rFonts w:asciiTheme="majorHAnsi" w:hAnsiTheme="majorHAnsi" w:cs="Helvetica-Bold"/>
                <w:bCs/>
                <w:sz w:val="24"/>
              </w:rPr>
              <w:t>to climate platforms in Vietnam</w:t>
            </w:r>
            <w:r w:rsidR="00B41D03">
              <w:rPr>
                <w:rFonts w:asciiTheme="majorHAnsi" w:hAnsiTheme="majorHAnsi" w:cs="Helvetica-Bold"/>
                <w:bCs/>
                <w:sz w:val="24"/>
              </w:rPr>
              <w:t>, e.g. the Mekong Delta Forum</w:t>
            </w:r>
            <w:r w:rsidR="00B41D03" w:rsidRPr="008E280F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on climate change adaptation and mitigation </w:t>
            </w:r>
          </w:p>
          <w:p w14:paraId="283BCDC6" w14:textId="791B25BB" w:rsidR="000543E8" w:rsidRPr="008E280F" w:rsidRDefault="000543E8">
            <w:pPr>
              <w:pStyle w:val="BodyText"/>
              <w:jc w:val="both"/>
              <w:rPr>
                <w:rFonts w:asciiTheme="majorHAnsi" w:hAnsiTheme="majorHAnsi" w:cs="Helvetica-Bold"/>
                <w:bCs/>
                <w:sz w:val="24"/>
              </w:rPr>
            </w:pP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Action D2: 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 xml:space="preserve">As part of the process of developing a strategy paper for Australia’s climate change engagement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>in Vietnam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 xml:space="preserve">, different sections of the Embassy will identify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opportunities for Australia to engage into policy dialogue with GoV and other </w:t>
            </w:r>
            <w:r w:rsidR="001E6ADE">
              <w:rPr>
                <w:rFonts w:asciiTheme="majorHAnsi" w:hAnsiTheme="majorHAnsi" w:cs="Helvetica-Bold"/>
                <w:bCs/>
                <w:sz w:val="24"/>
              </w:rPr>
              <w:t>development partners</w:t>
            </w:r>
            <w:r w:rsidR="001E6ADE" w:rsidRPr="008E280F">
              <w:rPr>
                <w:rFonts w:asciiTheme="majorHAnsi" w:hAnsiTheme="majorHAnsi" w:cs="Helvetica-Bold"/>
                <w:bCs/>
                <w:sz w:val="24"/>
              </w:rPr>
              <w:t xml:space="preserve"> </w:t>
            </w:r>
            <w:r w:rsidRPr="008E280F">
              <w:rPr>
                <w:rFonts w:asciiTheme="majorHAnsi" w:hAnsiTheme="majorHAnsi" w:cs="Helvetica-Bold"/>
                <w:bCs/>
                <w:sz w:val="24"/>
              </w:rPr>
              <w:t xml:space="preserve">in the areas of climate change adaption and mitigation. </w:t>
            </w:r>
          </w:p>
        </w:tc>
      </w:tr>
    </w:tbl>
    <w:p w14:paraId="755AAEC4" w14:textId="77777777" w:rsidR="00A10BC2" w:rsidRDefault="00A10BC2" w:rsidP="002E0666">
      <w:pPr>
        <w:pStyle w:val="BodyText"/>
        <w:jc w:val="both"/>
        <w:rPr>
          <w:rFonts w:asciiTheme="majorHAnsi" w:hAnsiTheme="majorHAnsi" w:cs="Helvetica-Bold"/>
          <w:bCs/>
          <w:sz w:val="24"/>
        </w:rPr>
      </w:pPr>
    </w:p>
    <w:p w14:paraId="32EF9A6D" w14:textId="77777777" w:rsidR="004B5836" w:rsidRPr="000543E8" w:rsidRDefault="004B5836" w:rsidP="000543E8">
      <w:pPr>
        <w:jc w:val="both"/>
        <w:rPr>
          <w:rFonts w:asciiTheme="majorHAnsi" w:hAnsiTheme="majorHAnsi" w:cstheme="minorBidi"/>
        </w:rPr>
      </w:pPr>
    </w:p>
    <w:p w14:paraId="2D041FF1" w14:textId="77777777" w:rsidR="00A85BCA" w:rsidRPr="003B0231" w:rsidRDefault="00A85BCA" w:rsidP="002E0666">
      <w:pPr>
        <w:pStyle w:val="BodyText"/>
        <w:jc w:val="both"/>
        <w:rPr>
          <w:rFonts w:asciiTheme="majorHAnsi" w:hAnsiTheme="majorHAnsi"/>
          <w:sz w:val="24"/>
        </w:rPr>
      </w:pPr>
    </w:p>
    <w:sectPr w:rsidR="00A85BCA" w:rsidRPr="003B0231" w:rsidSect="00A10BC2">
      <w:pgSz w:w="16840" w:h="11900" w:orient="landscape" w:code="9"/>
      <w:pgMar w:top="1219" w:right="1219" w:bottom="1219" w:left="136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C49FB" w14:textId="77777777" w:rsidR="00E218B4" w:rsidRDefault="00E218B4">
      <w:r>
        <w:separator/>
      </w:r>
    </w:p>
  </w:endnote>
  <w:endnote w:type="continuationSeparator" w:id="0">
    <w:p w14:paraId="5FA58E66" w14:textId="77777777" w:rsidR="00E218B4" w:rsidRDefault="00E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D3F2" w14:textId="77777777" w:rsidR="00900461" w:rsidRDefault="00900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F6E6" w14:textId="77777777" w:rsidR="00900461" w:rsidRDefault="00900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8FC7" w14:textId="77777777" w:rsidR="00900461" w:rsidRDefault="00900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8B99" w14:textId="77777777" w:rsidR="00E218B4" w:rsidRDefault="00E218B4">
      <w:r>
        <w:separator/>
      </w:r>
    </w:p>
  </w:footnote>
  <w:footnote w:type="continuationSeparator" w:id="0">
    <w:p w14:paraId="7BDE0102" w14:textId="77777777" w:rsidR="00E218B4" w:rsidRDefault="00E218B4">
      <w:r>
        <w:continuationSeparator/>
      </w:r>
    </w:p>
  </w:footnote>
  <w:footnote w:type="continuationNotice" w:id="1">
    <w:p w14:paraId="4F811F66" w14:textId="77777777" w:rsidR="00E218B4" w:rsidRDefault="00E21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3E8B" w14:textId="77777777" w:rsidR="00900461" w:rsidRDefault="00900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9138" w14:textId="77777777" w:rsidR="008E280F" w:rsidRPr="008E280F" w:rsidRDefault="008E280F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The australia- vietnam climate change delivery strategy 2011-2016- management response</w:t>
    </w:r>
  </w:p>
  <w:p w14:paraId="5A46FA78" w14:textId="77777777" w:rsidR="008E280F" w:rsidRDefault="008E2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D11E" w14:textId="77777777" w:rsidR="00900461" w:rsidRDefault="00900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CC"/>
    <w:multiLevelType w:val="hybridMultilevel"/>
    <w:tmpl w:val="FA0A0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539"/>
    <w:multiLevelType w:val="hybridMultilevel"/>
    <w:tmpl w:val="22463E60"/>
    <w:lvl w:ilvl="0" w:tplc="A8FC52A6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E0CF7"/>
    <w:multiLevelType w:val="hybridMultilevel"/>
    <w:tmpl w:val="0D40A27C"/>
    <w:lvl w:ilvl="0" w:tplc="F34896EA">
      <w:start w:val="26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2A2"/>
    <w:multiLevelType w:val="hybridMultilevel"/>
    <w:tmpl w:val="84701B52"/>
    <w:lvl w:ilvl="0" w:tplc="0C4E4E76">
      <w:start w:val="1"/>
      <w:numFmt w:val="bullet"/>
      <w:pStyle w:val="Quote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1887"/>
    <w:multiLevelType w:val="hybridMultilevel"/>
    <w:tmpl w:val="4B10F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1CB1"/>
    <w:multiLevelType w:val="hybridMultilevel"/>
    <w:tmpl w:val="1BCEED34"/>
    <w:lvl w:ilvl="0" w:tplc="E5126550">
      <w:start w:val="1"/>
      <w:numFmt w:val="lowerLetter"/>
      <w:pStyle w:val="Table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748F2"/>
    <w:multiLevelType w:val="multilevel"/>
    <w:tmpl w:val="41968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Helvetica-Bold" w:hint="default"/>
        <w:b/>
        <w:color w:val="124487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Helvetica-Bold" w:hint="default"/>
        <w:b/>
        <w:color w:val="124487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Helvetica-Bold" w:hint="default"/>
        <w:b/>
        <w:color w:val="124487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Helvetica-Bold" w:hint="default"/>
        <w:b/>
        <w:color w:val="124487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Helvetica-Bold" w:hint="default"/>
        <w:b/>
        <w:color w:val="124487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Helvetica-Bold" w:hint="default"/>
        <w:b/>
        <w:color w:val="124487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Helvetica-Bold" w:hint="default"/>
        <w:b/>
        <w:color w:val="124487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Helvetica-Bold" w:hint="default"/>
        <w:b/>
        <w:color w:val="124487"/>
      </w:rPr>
    </w:lvl>
  </w:abstractNum>
  <w:abstractNum w:abstractNumId="7" w15:restartNumberingAfterBreak="0">
    <w:nsid w:val="19C53E1B"/>
    <w:multiLevelType w:val="hybridMultilevel"/>
    <w:tmpl w:val="A5147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1AE9"/>
    <w:multiLevelType w:val="hybridMultilevel"/>
    <w:tmpl w:val="A1861090"/>
    <w:lvl w:ilvl="0" w:tplc="0936D832">
      <w:start w:val="1"/>
      <w:numFmt w:val="decimal"/>
      <w:lvlRestart w:val="0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A4B5A"/>
    <w:multiLevelType w:val="hybridMultilevel"/>
    <w:tmpl w:val="DF1E1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774AA"/>
    <w:multiLevelType w:val="hybridMultilevel"/>
    <w:tmpl w:val="129AFE2E"/>
    <w:lvl w:ilvl="0" w:tplc="B972EED4">
      <w:start w:val="1"/>
      <w:numFmt w:val="bullet"/>
      <w:pStyle w:val="Table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44BA1"/>
    <w:multiLevelType w:val="hybridMultilevel"/>
    <w:tmpl w:val="49E4141C"/>
    <w:lvl w:ilvl="0" w:tplc="C7EE9B2A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68E9"/>
    <w:multiLevelType w:val="hybridMultilevel"/>
    <w:tmpl w:val="AD10D614"/>
    <w:lvl w:ilvl="0" w:tplc="6CB85CAA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C6787"/>
    <w:multiLevelType w:val="hybridMultilevel"/>
    <w:tmpl w:val="FA6E1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32E3"/>
    <w:multiLevelType w:val="hybridMultilevel"/>
    <w:tmpl w:val="C9B81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418F7"/>
    <w:multiLevelType w:val="hybridMultilevel"/>
    <w:tmpl w:val="3FD2D9F8"/>
    <w:lvl w:ilvl="0" w:tplc="587042D8">
      <w:start w:val="1"/>
      <w:numFmt w:val="bullet"/>
      <w:pStyle w:val="Table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E5965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E9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6F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0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CA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B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47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5266F"/>
    <w:multiLevelType w:val="hybridMultilevel"/>
    <w:tmpl w:val="3E6886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53E2A"/>
    <w:multiLevelType w:val="hybridMultilevel"/>
    <w:tmpl w:val="1250D702"/>
    <w:lvl w:ilvl="0" w:tplc="39A4C794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0"/>
      </w:rPr>
    </w:lvl>
    <w:lvl w:ilvl="1" w:tplc="FAAA0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A5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8D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F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43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66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0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8E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7AA8"/>
    <w:multiLevelType w:val="hybridMultilevel"/>
    <w:tmpl w:val="8176030C"/>
    <w:lvl w:ilvl="0" w:tplc="ACFA9CFC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8421E"/>
    <w:multiLevelType w:val="hybridMultilevel"/>
    <w:tmpl w:val="4FC8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7EA3"/>
    <w:multiLevelType w:val="hybridMultilevel"/>
    <w:tmpl w:val="8CD2E994"/>
    <w:lvl w:ilvl="0" w:tplc="BC1041F4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9"/>
        <w:szCs w:val="19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56600"/>
    <w:multiLevelType w:val="hybridMultilevel"/>
    <w:tmpl w:val="8FD8C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27F34"/>
    <w:multiLevelType w:val="hybridMultilevel"/>
    <w:tmpl w:val="6A18B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264CF"/>
    <w:multiLevelType w:val="multilevel"/>
    <w:tmpl w:val="EC3EC1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sz w:val="44"/>
        <w:szCs w:val="44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: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position w:val="0"/>
        <w:sz w:val="44"/>
        <w:szCs w:val="44"/>
      </w:rPr>
    </w:lvl>
    <w:lvl w:ilvl="6">
      <w:start w:val="1"/>
      <w:numFmt w:val="decimal"/>
      <w:pStyle w:val="Heading7"/>
      <w:suff w:val="space"/>
      <w:lvlText w:val="%6.%7 "/>
      <w:lvlJc w:val="left"/>
      <w:pPr>
        <w:ind w:left="0" w:firstLine="0"/>
      </w:pPr>
      <w:rPr>
        <w:rFonts w:ascii="Calibri" w:hAnsi="Calibri" w:hint="default"/>
        <w:b/>
        <w:i w:val="0"/>
        <w:caps/>
        <w:color w:val="DA7D2D"/>
        <w:sz w:val="32"/>
        <w:szCs w:val="3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66E1246F"/>
    <w:multiLevelType w:val="hybridMultilevel"/>
    <w:tmpl w:val="A686FA22"/>
    <w:lvl w:ilvl="0" w:tplc="01D472D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3A8ED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2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69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6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4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63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E3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4A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62D07"/>
    <w:multiLevelType w:val="hybridMultilevel"/>
    <w:tmpl w:val="107A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D07BD"/>
    <w:multiLevelType w:val="hybridMultilevel"/>
    <w:tmpl w:val="10CEEFC6"/>
    <w:lvl w:ilvl="0" w:tplc="A5B0E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10E69"/>
    <w:multiLevelType w:val="singleLevel"/>
    <w:tmpl w:val="11DEC4B4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color w:val="4F5150"/>
        <w:position w:val="4"/>
        <w:sz w:val="16"/>
        <w:szCs w:val="16"/>
      </w:rPr>
    </w:lvl>
  </w:abstractNum>
  <w:abstractNum w:abstractNumId="28" w15:restartNumberingAfterBreak="0">
    <w:nsid w:val="7DAC7AFE"/>
    <w:multiLevelType w:val="hybridMultilevel"/>
    <w:tmpl w:val="8CCC0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23710"/>
    <w:multiLevelType w:val="hybridMultilevel"/>
    <w:tmpl w:val="1F740A1E"/>
    <w:lvl w:ilvl="0" w:tplc="205E12C2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7C3D00"/>
        <w:position w:val="0"/>
        <w:sz w:val="20"/>
        <w:szCs w:val="20"/>
      </w:rPr>
    </w:lvl>
    <w:lvl w:ilvl="1" w:tplc="22546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67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6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D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2C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0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E0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A4B56"/>
    <w:multiLevelType w:val="hybridMultilevel"/>
    <w:tmpl w:val="C04CDDCA"/>
    <w:lvl w:ilvl="0" w:tplc="393E7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pacing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"/>
  </w:num>
  <w:num w:numId="5">
    <w:abstractNumId w:val="23"/>
  </w:num>
  <w:num w:numId="6">
    <w:abstractNumId w:val="17"/>
  </w:num>
  <w:num w:numId="7">
    <w:abstractNumId w:val="11"/>
  </w:num>
  <w:num w:numId="8">
    <w:abstractNumId w:val="12"/>
  </w:num>
  <w:num w:numId="9">
    <w:abstractNumId w:val="24"/>
  </w:num>
  <w:num w:numId="10">
    <w:abstractNumId w:val="27"/>
  </w:num>
  <w:num w:numId="11">
    <w:abstractNumId w:val="3"/>
  </w:num>
  <w:num w:numId="12">
    <w:abstractNumId w:val="10"/>
  </w:num>
  <w:num w:numId="13">
    <w:abstractNumId w:val="15"/>
  </w:num>
  <w:num w:numId="14">
    <w:abstractNumId w:val="18"/>
  </w:num>
  <w:num w:numId="15">
    <w:abstractNumId w:val="5"/>
  </w:num>
  <w:num w:numId="16">
    <w:abstractNumId w:val="2"/>
  </w:num>
  <w:num w:numId="17">
    <w:abstractNumId w:val="19"/>
  </w:num>
  <w:num w:numId="18">
    <w:abstractNumId w:val="13"/>
  </w:num>
  <w:num w:numId="19">
    <w:abstractNumId w:val="14"/>
  </w:num>
  <w:num w:numId="20">
    <w:abstractNumId w:val="30"/>
  </w:num>
  <w:num w:numId="21">
    <w:abstractNumId w:val="16"/>
  </w:num>
  <w:num w:numId="22">
    <w:abstractNumId w:val="7"/>
  </w:num>
  <w:num w:numId="23">
    <w:abstractNumId w:val="22"/>
  </w:num>
  <w:num w:numId="24">
    <w:abstractNumId w:val="25"/>
  </w:num>
  <w:num w:numId="25">
    <w:abstractNumId w:val="6"/>
  </w:num>
  <w:num w:numId="26">
    <w:abstractNumId w:val="4"/>
  </w:num>
  <w:num w:numId="27">
    <w:abstractNumId w:val="0"/>
  </w:num>
  <w:num w:numId="28">
    <w:abstractNumId w:val="28"/>
  </w:num>
  <w:num w:numId="29">
    <w:abstractNumId w:val="21"/>
  </w:num>
  <w:num w:numId="30">
    <w:abstractNumId w:val="26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D1"/>
    <w:rsid w:val="000038A7"/>
    <w:rsid w:val="00032A92"/>
    <w:rsid w:val="0003711F"/>
    <w:rsid w:val="00046F38"/>
    <w:rsid w:val="000543E8"/>
    <w:rsid w:val="00063E7C"/>
    <w:rsid w:val="00070B33"/>
    <w:rsid w:val="0008713B"/>
    <w:rsid w:val="00097618"/>
    <w:rsid w:val="000B398D"/>
    <w:rsid w:val="000B45F3"/>
    <w:rsid w:val="000B536A"/>
    <w:rsid w:val="000C3FC3"/>
    <w:rsid w:val="000D30CF"/>
    <w:rsid w:val="000E5EF4"/>
    <w:rsid w:val="000F2FFD"/>
    <w:rsid w:val="000F38CF"/>
    <w:rsid w:val="000F72A0"/>
    <w:rsid w:val="001118EA"/>
    <w:rsid w:val="00116485"/>
    <w:rsid w:val="0011650A"/>
    <w:rsid w:val="00120110"/>
    <w:rsid w:val="00120CC2"/>
    <w:rsid w:val="001221A7"/>
    <w:rsid w:val="00126884"/>
    <w:rsid w:val="001310CE"/>
    <w:rsid w:val="0015024E"/>
    <w:rsid w:val="0016443E"/>
    <w:rsid w:val="00165635"/>
    <w:rsid w:val="00181919"/>
    <w:rsid w:val="001821BE"/>
    <w:rsid w:val="00190837"/>
    <w:rsid w:val="00193171"/>
    <w:rsid w:val="0019542C"/>
    <w:rsid w:val="0019635B"/>
    <w:rsid w:val="001A1AA7"/>
    <w:rsid w:val="001B51E6"/>
    <w:rsid w:val="001D2BA5"/>
    <w:rsid w:val="001D3368"/>
    <w:rsid w:val="001D456C"/>
    <w:rsid w:val="001E043F"/>
    <w:rsid w:val="001E0F21"/>
    <w:rsid w:val="001E6ADE"/>
    <w:rsid w:val="001F425A"/>
    <w:rsid w:val="001F6049"/>
    <w:rsid w:val="00223580"/>
    <w:rsid w:val="00230FB2"/>
    <w:rsid w:val="00234F90"/>
    <w:rsid w:val="00245FBF"/>
    <w:rsid w:val="002511E2"/>
    <w:rsid w:val="00257348"/>
    <w:rsid w:val="00271992"/>
    <w:rsid w:val="0027459F"/>
    <w:rsid w:val="0028188D"/>
    <w:rsid w:val="002824C0"/>
    <w:rsid w:val="00287DC1"/>
    <w:rsid w:val="002A44AB"/>
    <w:rsid w:val="002B17E1"/>
    <w:rsid w:val="002B3083"/>
    <w:rsid w:val="002B7220"/>
    <w:rsid w:val="002C4D56"/>
    <w:rsid w:val="002D7EF8"/>
    <w:rsid w:val="002E0666"/>
    <w:rsid w:val="002F26FF"/>
    <w:rsid w:val="00302330"/>
    <w:rsid w:val="003035DE"/>
    <w:rsid w:val="00313434"/>
    <w:rsid w:val="00316A4E"/>
    <w:rsid w:val="003337BF"/>
    <w:rsid w:val="003354A5"/>
    <w:rsid w:val="00340495"/>
    <w:rsid w:val="00341D11"/>
    <w:rsid w:val="003445D9"/>
    <w:rsid w:val="00357944"/>
    <w:rsid w:val="0036126C"/>
    <w:rsid w:val="0036299D"/>
    <w:rsid w:val="00365818"/>
    <w:rsid w:val="003707D0"/>
    <w:rsid w:val="00381C18"/>
    <w:rsid w:val="00381D7E"/>
    <w:rsid w:val="00384B0F"/>
    <w:rsid w:val="00385F42"/>
    <w:rsid w:val="00396F51"/>
    <w:rsid w:val="003A4414"/>
    <w:rsid w:val="003A52E1"/>
    <w:rsid w:val="003B0231"/>
    <w:rsid w:val="003B0F55"/>
    <w:rsid w:val="003B408D"/>
    <w:rsid w:val="003C1F78"/>
    <w:rsid w:val="003D0C08"/>
    <w:rsid w:val="003D1458"/>
    <w:rsid w:val="00412744"/>
    <w:rsid w:val="00414864"/>
    <w:rsid w:val="00421D25"/>
    <w:rsid w:val="004249F8"/>
    <w:rsid w:val="00433E58"/>
    <w:rsid w:val="00441ED7"/>
    <w:rsid w:val="0046632B"/>
    <w:rsid w:val="00470FF5"/>
    <w:rsid w:val="0047443D"/>
    <w:rsid w:val="00482BF1"/>
    <w:rsid w:val="00491AC1"/>
    <w:rsid w:val="004A115A"/>
    <w:rsid w:val="004B23CE"/>
    <w:rsid w:val="004B5836"/>
    <w:rsid w:val="004C1CCF"/>
    <w:rsid w:val="004C4C09"/>
    <w:rsid w:val="004C69E5"/>
    <w:rsid w:val="004E0E9F"/>
    <w:rsid w:val="004E5304"/>
    <w:rsid w:val="004F47A1"/>
    <w:rsid w:val="00506018"/>
    <w:rsid w:val="0051186F"/>
    <w:rsid w:val="00522DA8"/>
    <w:rsid w:val="00531B1F"/>
    <w:rsid w:val="00531BA2"/>
    <w:rsid w:val="00536590"/>
    <w:rsid w:val="005370BE"/>
    <w:rsid w:val="0055001D"/>
    <w:rsid w:val="005509E1"/>
    <w:rsid w:val="00550F20"/>
    <w:rsid w:val="0055254C"/>
    <w:rsid w:val="0055379B"/>
    <w:rsid w:val="005714D1"/>
    <w:rsid w:val="005764CB"/>
    <w:rsid w:val="005813FF"/>
    <w:rsid w:val="00582714"/>
    <w:rsid w:val="005A06A5"/>
    <w:rsid w:val="005A0935"/>
    <w:rsid w:val="005A6507"/>
    <w:rsid w:val="005A794E"/>
    <w:rsid w:val="005B1503"/>
    <w:rsid w:val="005B59C9"/>
    <w:rsid w:val="005B69AF"/>
    <w:rsid w:val="005C0F83"/>
    <w:rsid w:val="005D5D9F"/>
    <w:rsid w:val="005E70E9"/>
    <w:rsid w:val="005E739D"/>
    <w:rsid w:val="006033D3"/>
    <w:rsid w:val="00616667"/>
    <w:rsid w:val="006224E5"/>
    <w:rsid w:val="00641B99"/>
    <w:rsid w:val="00646FFC"/>
    <w:rsid w:val="006472BE"/>
    <w:rsid w:val="0065463F"/>
    <w:rsid w:val="00672796"/>
    <w:rsid w:val="0067658D"/>
    <w:rsid w:val="00680403"/>
    <w:rsid w:val="006838F2"/>
    <w:rsid w:val="006850ED"/>
    <w:rsid w:val="006A1E29"/>
    <w:rsid w:val="006B3BAD"/>
    <w:rsid w:val="006D4CCC"/>
    <w:rsid w:val="006F3740"/>
    <w:rsid w:val="00714589"/>
    <w:rsid w:val="007156F0"/>
    <w:rsid w:val="0071639E"/>
    <w:rsid w:val="00717A10"/>
    <w:rsid w:val="00721903"/>
    <w:rsid w:val="00725858"/>
    <w:rsid w:val="0072625C"/>
    <w:rsid w:val="0074356F"/>
    <w:rsid w:val="00751D51"/>
    <w:rsid w:val="0077104B"/>
    <w:rsid w:val="00786925"/>
    <w:rsid w:val="0079332C"/>
    <w:rsid w:val="00796CE7"/>
    <w:rsid w:val="007A0100"/>
    <w:rsid w:val="007A0590"/>
    <w:rsid w:val="007A0ACF"/>
    <w:rsid w:val="007D68D7"/>
    <w:rsid w:val="007F5CAA"/>
    <w:rsid w:val="00816BFB"/>
    <w:rsid w:val="0081782A"/>
    <w:rsid w:val="00820CC0"/>
    <w:rsid w:val="0083402F"/>
    <w:rsid w:val="00843CF9"/>
    <w:rsid w:val="008530DA"/>
    <w:rsid w:val="00872C8A"/>
    <w:rsid w:val="00873B59"/>
    <w:rsid w:val="008B5C42"/>
    <w:rsid w:val="008B774E"/>
    <w:rsid w:val="008C21EF"/>
    <w:rsid w:val="008E280F"/>
    <w:rsid w:val="008E6F9F"/>
    <w:rsid w:val="008F0C9C"/>
    <w:rsid w:val="008F1A2F"/>
    <w:rsid w:val="008F6723"/>
    <w:rsid w:val="008F7C3C"/>
    <w:rsid w:val="00900461"/>
    <w:rsid w:val="009032D3"/>
    <w:rsid w:val="0090622C"/>
    <w:rsid w:val="00907366"/>
    <w:rsid w:val="00936D2A"/>
    <w:rsid w:val="009539CC"/>
    <w:rsid w:val="00956D37"/>
    <w:rsid w:val="009773B6"/>
    <w:rsid w:val="00980582"/>
    <w:rsid w:val="0098274A"/>
    <w:rsid w:val="009B4705"/>
    <w:rsid w:val="009D7BB7"/>
    <w:rsid w:val="009E33D6"/>
    <w:rsid w:val="009E4CC3"/>
    <w:rsid w:val="009F5B33"/>
    <w:rsid w:val="009F5C5F"/>
    <w:rsid w:val="00A02853"/>
    <w:rsid w:val="00A10BC2"/>
    <w:rsid w:val="00A14608"/>
    <w:rsid w:val="00A1602F"/>
    <w:rsid w:val="00A20AE5"/>
    <w:rsid w:val="00A212D9"/>
    <w:rsid w:val="00A35029"/>
    <w:rsid w:val="00A4051E"/>
    <w:rsid w:val="00A430E4"/>
    <w:rsid w:val="00A46A82"/>
    <w:rsid w:val="00A75926"/>
    <w:rsid w:val="00A7776D"/>
    <w:rsid w:val="00A82165"/>
    <w:rsid w:val="00A83A34"/>
    <w:rsid w:val="00A854AC"/>
    <w:rsid w:val="00A85BCA"/>
    <w:rsid w:val="00AA658C"/>
    <w:rsid w:val="00AA750F"/>
    <w:rsid w:val="00AC02E1"/>
    <w:rsid w:val="00AC036E"/>
    <w:rsid w:val="00AC1955"/>
    <w:rsid w:val="00AC75D8"/>
    <w:rsid w:val="00AE00A0"/>
    <w:rsid w:val="00AE579A"/>
    <w:rsid w:val="00AF5EF4"/>
    <w:rsid w:val="00B07C3F"/>
    <w:rsid w:val="00B10172"/>
    <w:rsid w:val="00B15E97"/>
    <w:rsid w:val="00B25CD4"/>
    <w:rsid w:val="00B306E4"/>
    <w:rsid w:val="00B36F40"/>
    <w:rsid w:val="00B41D03"/>
    <w:rsid w:val="00B932AE"/>
    <w:rsid w:val="00BA0BEE"/>
    <w:rsid w:val="00BA13F9"/>
    <w:rsid w:val="00BB00EF"/>
    <w:rsid w:val="00BB073E"/>
    <w:rsid w:val="00BB236C"/>
    <w:rsid w:val="00BB72DB"/>
    <w:rsid w:val="00BC0DBF"/>
    <w:rsid w:val="00BD1477"/>
    <w:rsid w:val="00BE3254"/>
    <w:rsid w:val="00BE3F0D"/>
    <w:rsid w:val="00BF02FA"/>
    <w:rsid w:val="00BF22EF"/>
    <w:rsid w:val="00C00E15"/>
    <w:rsid w:val="00C14DA3"/>
    <w:rsid w:val="00C22F7F"/>
    <w:rsid w:val="00C513C1"/>
    <w:rsid w:val="00C552E9"/>
    <w:rsid w:val="00C56F9C"/>
    <w:rsid w:val="00C74F90"/>
    <w:rsid w:val="00C92CB7"/>
    <w:rsid w:val="00C934A2"/>
    <w:rsid w:val="00C97FC5"/>
    <w:rsid w:val="00CA36F1"/>
    <w:rsid w:val="00CC23E9"/>
    <w:rsid w:val="00CD49F8"/>
    <w:rsid w:val="00CD5820"/>
    <w:rsid w:val="00CE321F"/>
    <w:rsid w:val="00CE4647"/>
    <w:rsid w:val="00CF6EA4"/>
    <w:rsid w:val="00D168A6"/>
    <w:rsid w:val="00D17F63"/>
    <w:rsid w:val="00D32287"/>
    <w:rsid w:val="00D44C22"/>
    <w:rsid w:val="00D502F5"/>
    <w:rsid w:val="00D5387C"/>
    <w:rsid w:val="00D56E4F"/>
    <w:rsid w:val="00D56FBE"/>
    <w:rsid w:val="00D60989"/>
    <w:rsid w:val="00D64A56"/>
    <w:rsid w:val="00D70A2E"/>
    <w:rsid w:val="00D7184D"/>
    <w:rsid w:val="00D72FBB"/>
    <w:rsid w:val="00D86FFF"/>
    <w:rsid w:val="00D90073"/>
    <w:rsid w:val="00D90DB4"/>
    <w:rsid w:val="00DA702D"/>
    <w:rsid w:val="00DB2D38"/>
    <w:rsid w:val="00DB42C2"/>
    <w:rsid w:val="00DB5F47"/>
    <w:rsid w:val="00DD380A"/>
    <w:rsid w:val="00DD648F"/>
    <w:rsid w:val="00E11300"/>
    <w:rsid w:val="00E12F13"/>
    <w:rsid w:val="00E218B4"/>
    <w:rsid w:val="00E22F80"/>
    <w:rsid w:val="00E261E1"/>
    <w:rsid w:val="00E2716B"/>
    <w:rsid w:val="00E42D59"/>
    <w:rsid w:val="00E57140"/>
    <w:rsid w:val="00E60642"/>
    <w:rsid w:val="00E832AC"/>
    <w:rsid w:val="00E87F73"/>
    <w:rsid w:val="00E9396E"/>
    <w:rsid w:val="00E9481A"/>
    <w:rsid w:val="00EA76E3"/>
    <w:rsid w:val="00EB133E"/>
    <w:rsid w:val="00EB2D67"/>
    <w:rsid w:val="00ED23B0"/>
    <w:rsid w:val="00EF7514"/>
    <w:rsid w:val="00F02F60"/>
    <w:rsid w:val="00F07615"/>
    <w:rsid w:val="00F11922"/>
    <w:rsid w:val="00F12D42"/>
    <w:rsid w:val="00F32026"/>
    <w:rsid w:val="00F3799A"/>
    <w:rsid w:val="00F42084"/>
    <w:rsid w:val="00F51D72"/>
    <w:rsid w:val="00F64AA0"/>
    <w:rsid w:val="00F7403A"/>
    <w:rsid w:val="00F9075D"/>
    <w:rsid w:val="00F96BA7"/>
    <w:rsid w:val="00F96FBB"/>
    <w:rsid w:val="00FA1AA2"/>
    <w:rsid w:val="00FD40DD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0A68B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9" w:unhideWhenUsed="1"/>
    <w:lsdException w:name="heading 7" w:semiHidden="1" w:uiPriority="29" w:unhideWhenUsed="1"/>
    <w:lsdException w:name="heading 8" w:semiHidden="1" w:uiPriority="29" w:unhideWhenUsed="1"/>
    <w:lsdException w:name="heading 9" w:semiHidden="1" w:uiPriority="2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qFormat="1"/>
    <w:lsdException w:name="Salutation" w:semiHidden="1"/>
    <w:lsdException w:name="Date" w:semiHidden="1" w:uiPriority="38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semiHidden/>
    <w:qFormat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styleId="Heading1">
    <w:name w:val="heading 1"/>
    <w:next w:val="BodyText"/>
    <w:link w:val="Heading1Char"/>
    <w:uiPriority w:val="2"/>
    <w:qFormat/>
    <w:rsid w:val="008B5C42"/>
    <w:pPr>
      <w:keepNext/>
      <w:pageBreakBefore/>
      <w:spacing w:line="520" w:lineRule="exact"/>
      <w:outlineLvl w:val="0"/>
    </w:pPr>
    <w:rPr>
      <w:rFonts w:ascii="Helvetica" w:hAnsi="Helvetica"/>
      <w:color w:val="0D4B88"/>
      <w:kern w:val="28"/>
      <w:sz w:val="28"/>
      <w:szCs w:val="44"/>
    </w:rPr>
  </w:style>
  <w:style w:type="paragraph" w:styleId="Heading2">
    <w:name w:val="heading 2"/>
    <w:next w:val="BodyText"/>
    <w:link w:val="Heading2Char"/>
    <w:uiPriority w:val="2"/>
    <w:qFormat/>
    <w:rsid w:val="008B5C42"/>
    <w:pPr>
      <w:keepNext/>
      <w:keepLines/>
      <w:spacing w:before="227" w:after="57" w:line="288" w:lineRule="auto"/>
      <w:outlineLvl w:val="1"/>
    </w:pPr>
    <w:rPr>
      <w:rFonts w:ascii="Helvetica" w:hAnsi="Helvetica"/>
      <w:color w:val="127AA5"/>
      <w:kern w:val="28"/>
      <w:sz w:val="24"/>
      <w:szCs w:val="32"/>
    </w:rPr>
  </w:style>
  <w:style w:type="paragraph" w:styleId="Heading3">
    <w:name w:val="heading 3"/>
    <w:next w:val="BodyText"/>
    <w:link w:val="Heading3Char"/>
    <w:uiPriority w:val="2"/>
    <w:qFormat/>
    <w:rsid w:val="008B5C42"/>
    <w:pPr>
      <w:keepNext/>
      <w:keepLines/>
      <w:spacing w:before="227" w:after="57" w:line="300" w:lineRule="auto"/>
      <w:outlineLvl w:val="2"/>
    </w:pPr>
    <w:rPr>
      <w:rFonts w:ascii="Helvetica" w:hAnsi="Helvetica"/>
      <w:kern w:val="28"/>
      <w:sz w:val="21"/>
      <w:szCs w:val="21"/>
    </w:rPr>
  </w:style>
  <w:style w:type="paragraph" w:styleId="Heading4">
    <w:name w:val="heading 4"/>
    <w:next w:val="BodyText"/>
    <w:link w:val="Heading4Char"/>
    <w:uiPriority w:val="2"/>
    <w:semiHidden/>
    <w:qFormat/>
    <w:rsid w:val="00D56E4F"/>
    <w:pPr>
      <w:keepNext/>
      <w:spacing w:before="120" w:after="120" w:line="288" w:lineRule="auto"/>
      <w:outlineLvl w:val="3"/>
    </w:pPr>
    <w:rPr>
      <w:rFonts w:asciiTheme="minorHAnsi" w:hAnsiTheme="minorHAnsi"/>
      <w:b/>
      <w:color w:val="000000" w:themeColor="text1"/>
      <w:kern w:val="28"/>
      <w:sz w:val="21"/>
      <w:szCs w:val="21"/>
    </w:rPr>
  </w:style>
  <w:style w:type="paragraph" w:styleId="Heading5">
    <w:name w:val="heading 5"/>
    <w:next w:val="BodyText"/>
    <w:link w:val="Heading5Char"/>
    <w:uiPriority w:val="2"/>
    <w:semiHidden/>
    <w:qFormat/>
    <w:rsid w:val="00D56E4F"/>
    <w:pPr>
      <w:keepNext/>
      <w:numPr>
        <w:ilvl w:val="4"/>
        <w:numId w:val="5"/>
      </w:numPr>
      <w:spacing w:before="57" w:after="142" w:line="288" w:lineRule="auto"/>
      <w:ind w:right="2552"/>
      <w:outlineLvl w:val="4"/>
    </w:pPr>
    <w:rPr>
      <w:rFonts w:asciiTheme="minorHAnsi" w:hAnsiTheme="minorHAnsi"/>
      <w:color w:val="000000" w:themeColor="text1"/>
      <w:sz w:val="21"/>
      <w:szCs w:val="19"/>
    </w:rPr>
  </w:style>
  <w:style w:type="paragraph" w:styleId="Heading6">
    <w:name w:val="heading 6"/>
    <w:aliases w:val="Appendix Heading 1"/>
    <w:next w:val="BodyText"/>
    <w:link w:val="Heading6Char"/>
    <w:uiPriority w:val="29"/>
    <w:semiHidden/>
    <w:rsid w:val="00D56E4F"/>
    <w:pPr>
      <w:keepNext/>
      <w:pageBreakBefore/>
      <w:numPr>
        <w:ilvl w:val="5"/>
        <w:numId w:val="5"/>
      </w:numPr>
      <w:spacing w:after="360" w:line="288" w:lineRule="auto"/>
      <w:outlineLvl w:val="5"/>
    </w:pPr>
    <w:rPr>
      <w:rFonts w:asciiTheme="majorHAnsi" w:hAnsiTheme="majorHAnsi"/>
      <w:b/>
      <w:bCs/>
      <w:color w:val="0087A2" w:themeColor="background2"/>
      <w:kern w:val="28"/>
      <w:sz w:val="44"/>
      <w:szCs w:val="44"/>
    </w:rPr>
  </w:style>
  <w:style w:type="paragraph" w:styleId="Heading7">
    <w:name w:val="heading 7"/>
    <w:aliases w:val="Appendix Heading 2"/>
    <w:next w:val="BodyText"/>
    <w:link w:val="Heading7Char"/>
    <w:uiPriority w:val="29"/>
    <w:semiHidden/>
    <w:rsid w:val="00D56E4F"/>
    <w:pPr>
      <w:keepNext/>
      <w:numPr>
        <w:ilvl w:val="6"/>
        <w:numId w:val="5"/>
      </w:numPr>
      <w:spacing w:before="360" w:after="240" w:line="288" w:lineRule="auto"/>
      <w:outlineLvl w:val="6"/>
    </w:pPr>
    <w:rPr>
      <w:rFonts w:asciiTheme="majorHAnsi" w:hAnsiTheme="majorHAnsi"/>
      <w:b/>
      <w:color w:val="C75B12" w:themeColor="text2"/>
      <w:kern w:val="28"/>
      <w:sz w:val="32"/>
      <w:szCs w:val="32"/>
    </w:rPr>
  </w:style>
  <w:style w:type="paragraph" w:styleId="Heading8">
    <w:name w:val="heading 8"/>
    <w:aliases w:val="Appendix Heading 3"/>
    <w:basedOn w:val="Heading3"/>
    <w:next w:val="BodyText"/>
    <w:link w:val="Heading8Char"/>
    <w:uiPriority w:val="29"/>
    <w:semiHidden/>
    <w:rsid w:val="00D56E4F"/>
    <w:pPr>
      <w:outlineLvl w:val="7"/>
    </w:pPr>
  </w:style>
  <w:style w:type="paragraph" w:styleId="Heading9">
    <w:name w:val="heading 9"/>
    <w:aliases w:val="Appendix Heading 4"/>
    <w:basedOn w:val="Heading4"/>
    <w:next w:val="BodyText"/>
    <w:link w:val="Heading9Char"/>
    <w:uiPriority w:val="29"/>
    <w:semiHidden/>
    <w:rsid w:val="00D56E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uiPriority w:val="39"/>
    <w:semiHidden/>
    <w:rsid w:val="00D56E4F"/>
    <w:pPr>
      <w:spacing w:before="120" w:line="288" w:lineRule="auto"/>
    </w:pPr>
    <w:rPr>
      <w:rFonts w:asciiTheme="majorHAnsi" w:hAnsiTheme="majorHAnsi"/>
      <w:caps/>
      <w:color w:val="14434B" w:themeColor="accent6"/>
      <w:spacing w:val="-2"/>
      <w:kern w:val="28"/>
      <w:sz w:val="25"/>
      <w:szCs w:val="25"/>
    </w:rPr>
  </w:style>
  <w:style w:type="paragraph" w:styleId="BodyText">
    <w:name w:val="Body Text"/>
    <w:link w:val="BodyTextChar"/>
    <w:qFormat/>
    <w:rsid w:val="008B5C42"/>
    <w:pPr>
      <w:spacing w:before="57" w:after="142" w:line="288" w:lineRule="auto"/>
    </w:pPr>
    <w:rPr>
      <w:rFonts w:ascii="Franklin Gothic Book" w:hAnsi="Franklin Gothic Book"/>
      <w:color w:val="000000" w:themeColor="text1"/>
      <w:sz w:val="21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customStyle="1" w:styleId="BoxHeading1">
    <w:name w:val="Box Heading 1"/>
    <w:next w:val="BodyText"/>
    <w:uiPriority w:val="21"/>
    <w:rsid w:val="00D56E4F"/>
    <w:pPr>
      <w:spacing w:after="120" w:line="288" w:lineRule="auto"/>
    </w:pPr>
    <w:rPr>
      <w:rFonts w:ascii="Arial Narrow" w:hAnsi="Arial Narrow"/>
      <w:b/>
      <w:color w:val="14434B" w:themeColor="accent6"/>
      <w:sz w:val="21"/>
      <w:szCs w:val="19"/>
    </w:rPr>
  </w:style>
  <w:style w:type="paragraph" w:customStyle="1" w:styleId="BoxHeading2">
    <w:name w:val="Box Heading 2"/>
    <w:basedOn w:val="BoxHeading1"/>
    <w:next w:val="BoxText"/>
    <w:uiPriority w:val="21"/>
    <w:rsid w:val="00D56E4F"/>
    <w:pPr>
      <w:spacing w:before="140"/>
    </w:pPr>
    <w:rPr>
      <w:i/>
    </w:rPr>
  </w:style>
  <w:style w:type="paragraph" w:customStyle="1" w:styleId="BoxText">
    <w:name w:val="Box Text"/>
    <w:link w:val="BoxTextChar"/>
    <w:uiPriority w:val="19"/>
    <w:rsid w:val="00D56E4F"/>
    <w:pPr>
      <w:spacing w:after="57" w:line="288" w:lineRule="auto"/>
    </w:pPr>
    <w:rPr>
      <w:rFonts w:ascii="Arial" w:hAnsi="Arial"/>
      <w:color w:val="000000" w:themeColor="text1"/>
      <w:sz w:val="19"/>
      <w:szCs w:val="19"/>
    </w:rPr>
  </w:style>
  <w:style w:type="character" w:customStyle="1" w:styleId="BoxTextChar">
    <w:name w:val="Box Text Char"/>
    <w:basedOn w:val="DefaultParagraphFont"/>
    <w:link w:val="BoxText"/>
    <w:uiPriority w:val="19"/>
    <w:rsid w:val="00D56E4F"/>
    <w:rPr>
      <w:rFonts w:ascii="Arial" w:hAnsi="Arial"/>
      <w:color w:val="000000" w:themeColor="text1"/>
      <w:sz w:val="19"/>
      <w:szCs w:val="19"/>
    </w:rPr>
  </w:style>
  <w:style w:type="paragraph" w:customStyle="1" w:styleId="BoxListBullet">
    <w:name w:val="Box List Bullet"/>
    <w:basedOn w:val="BoxText"/>
    <w:uiPriority w:val="20"/>
    <w:rsid w:val="00D56E4F"/>
    <w:pPr>
      <w:keepLines/>
      <w:numPr>
        <w:numId w:val="1"/>
      </w:numPr>
    </w:pPr>
  </w:style>
  <w:style w:type="paragraph" w:customStyle="1" w:styleId="BoxListBullet2">
    <w:name w:val="Box List Bullet 2"/>
    <w:basedOn w:val="BoxText"/>
    <w:uiPriority w:val="20"/>
    <w:rsid w:val="00D56E4F"/>
    <w:pPr>
      <w:numPr>
        <w:numId w:val="2"/>
      </w:numPr>
    </w:pPr>
    <w:rPr>
      <w:szCs w:val="18"/>
    </w:rPr>
  </w:style>
  <w:style w:type="paragraph" w:customStyle="1" w:styleId="BoxListNumber">
    <w:name w:val="Box List Number"/>
    <w:basedOn w:val="BoxText"/>
    <w:uiPriority w:val="20"/>
    <w:rsid w:val="00D56E4F"/>
    <w:pPr>
      <w:numPr>
        <w:numId w:val="3"/>
      </w:numPr>
      <w:spacing w:before="60"/>
    </w:pPr>
  </w:style>
  <w:style w:type="paragraph" w:customStyle="1" w:styleId="BoxListNumber2">
    <w:name w:val="Box List Number 2"/>
    <w:basedOn w:val="BoxText"/>
    <w:uiPriority w:val="20"/>
    <w:rsid w:val="00D56E4F"/>
    <w:pPr>
      <w:numPr>
        <w:numId w:val="4"/>
      </w:numPr>
    </w:pPr>
  </w:style>
  <w:style w:type="paragraph" w:customStyle="1" w:styleId="BoxNoteSource">
    <w:name w:val="Box Note/Source"/>
    <w:uiPriority w:val="24"/>
    <w:semiHidden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4"/>
    </w:rPr>
  </w:style>
  <w:style w:type="paragraph" w:customStyle="1" w:styleId="BoxQuote">
    <w:name w:val="Box Quote"/>
    <w:basedOn w:val="BoxText"/>
    <w:uiPriority w:val="22"/>
    <w:rsid w:val="00D56E4F"/>
    <w:pPr>
      <w:ind w:left="284" w:right="284"/>
    </w:pPr>
    <w:rPr>
      <w:i/>
    </w:rPr>
  </w:style>
  <w:style w:type="paragraph" w:customStyle="1" w:styleId="BoxTitle">
    <w:name w:val="Box Title"/>
    <w:uiPriority w:val="99"/>
    <w:semiHidden/>
    <w:rsid w:val="00D56E4F"/>
    <w:pPr>
      <w:keepNext/>
      <w:spacing w:before="57" w:after="77" w:line="240" w:lineRule="atLeast"/>
    </w:pPr>
    <w:rPr>
      <w:rFonts w:ascii="Arial Narrow" w:hAnsi="Arial Narrow"/>
      <w:b/>
      <w:caps/>
      <w:color w:val="FFFFFF"/>
      <w:sz w:val="18"/>
      <w:szCs w:val="18"/>
      <w:lang w:eastAsia="en-US"/>
    </w:rPr>
  </w:style>
  <w:style w:type="paragraph" w:styleId="Caption">
    <w:name w:val="caption"/>
    <w:next w:val="BodyText"/>
    <w:uiPriority w:val="5"/>
    <w:qFormat/>
    <w:rsid w:val="009539CC"/>
    <w:pPr>
      <w:keepNext/>
      <w:spacing w:before="360" w:after="120" w:line="288" w:lineRule="auto"/>
    </w:pPr>
    <w:rPr>
      <w:rFonts w:ascii="Helvetica" w:hAnsi="Helvetica"/>
      <w:b/>
      <w:caps/>
      <w:color w:val="000000" w:themeColor="text1"/>
      <w:sz w:val="21"/>
      <w:szCs w:val="21"/>
    </w:rPr>
  </w:style>
  <w:style w:type="paragraph" w:styleId="TOC1">
    <w:name w:val="toc 1"/>
    <w:next w:val="BodyText"/>
    <w:uiPriority w:val="39"/>
    <w:semiHidden/>
    <w:rsid w:val="00D56E4F"/>
    <w:pPr>
      <w:keepNext/>
      <w:tabs>
        <w:tab w:val="right" w:pos="8505"/>
      </w:tabs>
      <w:spacing w:before="170" w:after="57" w:line="288" w:lineRule="auto"/>
      <w:contextualSpacing/>
    </w:pPr>
    <w:rPr>
      <w:rFonts w:asciiTheme="majorHAnsi" w:hAnsiTheme="majorHAnsi"/>
      <w:b/>
      <w:color w:val="0087A2" w:themeColor="background2"/>
      <w:kern w:val="28"/>
      <w:sz w:val="32"/>
      <w:szCs w:val="32"/>
    </w:rPr>
  </w:style>
  <w:style w:type="paragraph" w:customStyle="1" w:styleId="Captionheading">
    <w:name w:val="Caption heading"/>
    <w:basedOn w:val="TOC1"/>
    <w:next w:val="BodyText"/>
    <w:uiPriority w:val="39"/>
    <w:semiHidden/>
    <w:rsid w:val="00D56E4F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rsid w:val="00D56E4F"/>
    <w:rPr>
      <w:rFonts w:ascii="Arial Narrow" w:hAnsi="Arial Narrow"/>
      <w:vanish/>
      <w:color w:val="FF00FF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56E4F"/>
    <w:pPr>
      <w:spacing w:line="240" w:lineRule="atLeast"/>
    </w:pPr>
    <w:rPr>
      <w:rFonts w:ascii="Garamond" w:hAnsi="Garamond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4F"/>
    <w:rPr>
      <w:rFonts w:ascii="Garamond" w:hAnsi="Garamond"/>
      <w:color w:val="000000" w:themeColor="text1"/>
      <w:sz w:val="21"/>
    </w:rPr>
  </w:style>
  <w:style w:type="paragraph" w:customStyle="1" w:styleId="Contents">
    <w:name w:val="Contents"/>
    <w:basedOn w:val="Heading1"/>
    <w:next w:val="BodyText"/>
    <w:uiPriority w:val="99"/>
    <w:semiHidden/>
    <w:rsid w:val="00D56E4F"/>
    <w:pPr>
      <w:spacing w:after="600"/>
      <w:outlineLvl w:val="9"/>
    </w:pPr>
  </w:style>
  <w:style w:type="paragraph" w:customStyle="1" w:styleId="Source">
    <w:name w:val="Source"/>
    <w:uiPriority w:val="8"/>
    <w:qFormat/>
    <w:rsid w:val="00D56E4F"/>
    <w:pPr>
      <w:keepLines/>
      <w:spacing w:before="120" w:after="240" w:line="288" w:lineRule="auto"/>
    </w:pPr>
    <w:rPr>
      <w:rFonts w:ascii="Arial Narrow" w:hAnsi="Arial Narrow"/>
      <w:color w:val="000000" w:themeColor="text1"/>
      <w:sz w:val="16"/>
      <w:szCs w:val="14"/>
      <w:lang w:eastAsia="en-US"/>
    </w:rPr>
  </w:style>
  <w:style w:type="paragraph" w:styleId="EndnoteText">
    <w:name w:val="endnote text"/>
    <w:basedOn w:val="FootnoteText"/>
    <w:link w:val="EndnoteTextChar"/>
    <w:uiPriority w:val="99"/>
    <w:rsid w:val="00D56E4F"/>
    <w:rPr>
      <w:szCs w:val="20"/>
    </w:rPr>
  </w:style>
  <w:style w:type="paragraph" w:styleId="Date">
    <w:name w:val="Date"/>
    <w:next w:val="BodyText"/>
    <w:link w:val="DateChar"/>
    <w:uiPriority w:val="38"/>
    <w:semiHidden/>
    <w:rsid w:val="00D56E4F"/>
    <w:pPr>
      <w:spacing w:before="120" w:line="288" w:lineRule="auto"/>
    </w:pPr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ateChar">
    <w:name w:val="Date Char"/>
    <w:basedOn w:val="DefaultParagraphFont"/>
    <w:link w:val="Date"/>
    <w:uiPriority w:val="38"/>
    <w:semiHidden/>
    <w:rsid w:val="00A1602F"/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raftingNote">
    <w:name w:val="Drafting Note"/>
    <w:basedOn w:val="DefaultParagraphFont"/>
    <w:uiPriority w:val="10"/>
    <w:qFormat/>
    <w:rsid w:val="00D56E4F"/>
    <w:rPr>
      <w:rFonts w:asciiTheme="minorHAnsi" w:hAnsiTheme="minorHAnsi"/>
      <w:b/>
      <w:color w:val="FF0000"/>
      <w:sz w:val="20"/>
      <w:szCs w:val="20"/>
      <w:u w:val="dotted"/>
    </w:rPr>
  </w:style>
  <w:style w:type="character" w:styleId="FollowedHyperlink">
    <w:name w:val="FollowedHyperlink"/>
    <w:basedOn w:val="DefaultParagraphFont"/>
    <w:uiPriority w:val="99"/>
    <w:semiHidden/>
    <w:rsid w:val="00D56E4F"/>
    <w:rPr>
      <w:color w:val="333399"/>
      <w:u w:val="none"/>
    </w:rPr>
  </w:style>
  <w:style w:type="paragraph" w:styleId="Footer">
    <w:name w:val="footer"/>
    <w:link w:val="FooterChar"/>
    <w:semiHidden/>
    <w:rsid w:val="00D56E4F"/>
    <w:pPr>
      <w:spacing w:line="288" w:lineRule="auto"/>
    </w:pPr>
    <w:rPr>
      <w:rFonts w:ascii="Calibri" w:hAnsi="Calibri"/>
      <w:color w:val="14434B"/>
      <w:sz w:val="14"/>
      <w:szCs w:val="15"/>
    </w:rPr>
  </w:style>
  <w:style w:type="character" w:customStyle="1" w:styleId="FooterChar">
    <w:name w:val="Footer Char"/>
    <w:basedOn w:val="DefaultParagraphFont"/>
    <w:link w:val="Footer"/>
    <w:semiHidden/>
    <w:rsid w:val="00D56E4F"/>
    <w:rPr>
      <w:rFonts w:ascii="Calibri" w:hAnsi="Calibri"/>
      <w:color w:val="14434B"/>
      <w:sz w:val="14"/>
      <w:szCs w:val="15"/>
    </w:rPr>
  </w:style>
  <w:style w:type="paragraph" w:customStyle="1" w:styleId="Footertext">
    <w:name w:val="Footer text"/>
    <w:uiPriority w:val="39"/>
    <w:semiHidden/>
    <w:rsid w:val="00D56E4F"/>
    <w:pPr>
      <w:tabs>
        <w:tab w:val="left" w:pos="5720"/>
      </w:tabs>
    </w:pPr>
    <w:rPr>
      <w:rFonts w:ascii="Arial" w:hAnsi="Arial"/>
      <w:szCs w:val="24"/>
      <w:lang w:eastAsia="en-US"/>
    </w:rPr>
  </w:style>
  <w:style w:type="character" w:styleId="FootnoteReference">
    <w:name w:val="footnote reference"/>
    <w:basedOn w:val="DefaultParagraphFont"/>
    <w:semiHidden/>
    <w:rsid w:val="00D56E4F"/>
    <w:rPr>
      <w:w w:val="100"/>
      <w:position w:val="0"/>
      <w:szCs w:val="14"/>
      <w:vertAlign w:val="superscript"/>
    </w:rPr>
  </w:style>
  <w:style w:type="paragraph" w:styleId="FootnoteText">
    <w:name w:val="footnote text"/>
    <w:link w:val="FootnoteTextChar"/>
    <w:semiHidden/>
    <w:rsid w:val="00D56E4F"/>
    <w:pPr>
      <w:spacing w:after="57"/>
    </w:pPr>
    <w:rPr>
      <w:rFonts w:asciiTheme="minorHAnsi" w:hAnsiTheme="minorHAnsi"/>
      <w:color w:val="000000" w:themeColor="text1"/>
      <w:sz w:val="16"/>
      <w:szCs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D56E4F"/>
    <w:rPr>
      <w:rFonts w:asciiTheme="minorHAnsi" w:hAnsiTheme="minorHAnsi"/>
      <w:color w:val="000000" w:themeColor="text1"/>
      <w:sz w:val="16"/>
      <w:szCs w:val="14"/>
    </w:rPr>
  </w:style>
  <w:style w:type="paragraph" w:styleId="Header">
    <w:name w:val="header"/>
    <w:link w:val="HeaderChar"/>
    <w:uiPriority w:val="99"/>
    <w:rsid w:val="00D56E4F"/>
    <w:pPr>
      <w:tabs>
        <w:tab w:val="left" w:pos="567"/>
        <w:tab w:val="right" w:pos="7371"/>
        <w:tab w:val="right" w:pos="7938"/>
      </w:tabs>
    </w:pPr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D56E4F"/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D86FF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D56E4F"/>
    <w:rPr>
      <w:rFonts w:asciiTheme="minorHAnsi" w:hAnsiTheme="minorHAnsi"/>
      <w:color w:val="000000" w:themeColor="text1"/>
      <w:sz w:val="21"/>
      <w:szCs w:val="19"/>
    </w:rPr>
  </w:style>
  <w:style w:type="character" w:customStyle="1" w:styleId="Heading6Char">
    <w:name w:val="Heading 6 Char"/>
    <w:aliases w:val="Appendix Heading 1 Char"/>
    <w:basedOn w:val="DefaultParagraphFont"/>
    <w:link w:val="Heading6"/>
    <w:uiPriority w:val="29"/>
    <w:semiHidden/>
    <w:rsid w:val="00A1602F"/>
    <w:rPr>
      <w:rFonts w:asciiTheme="majorHAnsi" w:hAnsiTheme="majorHAnsi"/>
      <w:b/>
      <w:bCs/>
      <w:color w:val="0087A2" w:themeColor="background2"/>
      <w:kern w:val="28"/>
      <w:sz w:val="44"/>
      <w:szCs w:val="44"/>
    </w:rPr>
  </w:style>
  <w:style w:type="character" w:customStyle="1" w:styleId="Heading7Char">
    <w:name w:val="Heading 7 Char"/>
    <w:aliases w:val="Appendix Heading 2 Char"/>
    <w:basedOn w:val="DefaultParagraphFont"/>
    <w:link w:val="Heading7"/>
    <w:uiPriority w:val="29"/>
    <w:semiHidden/>
    <w:rsid w:val="00A1602F"/>
    <w:rPr>
      <w:rFonts w:asciiTheme="majorHAnsi" w:hAnsiTheme="majorHAnsi"/>
      <w:b/>
      <w:color w:val="C75B12" w:themeColor="text2"/>
      <w:kern w:val="28"/>
      <w:sz w:val="32"/>
      <w:szCs w:val="32"/>
    </w:rPr>
  </w:style>
  <w:style w:type="paragraph" w:customStyle="1" w:styleId="AppendixHeading2unnumbered">
    <w:name w:val="Appendix Heading 2 unnumbered"/>
    <w:basedOn w:val="Heading7"/>
    <w:next w:val="BodyText"/>
    <w:link w:val="AppendixHeading2unnumberedChar"/>
    <w:uiPriority w:val="29"/>
    <w:semiHidden/>
    <w:rsid w:val="00D56E4F"/>
    <w:pPr>
      <w:numPr>
        <w:ilvl w:val="0"/>
        <w:numId w:val="0"/>
      </w:numPr>
    </w:pPr>
  </w:style>
  <w:style w:type="character" w:customStyle="1" w:styleId="Heading8Char">
    <w:name w:val="Heading 8 Char"/>
    <w:aliases w:val="Appendix Heading 3 Char"/>
    <w:basedOn w:val="DefaultParagraphFont"/>
    <w:link w:val="Heading8"/>
    <w:uiPriority w:val="29"/>
    <w:semiHidden/>
    <w:rsid w:val="00A1602F"/>
    <w:rPr>
      <w:rFonts w:asciiTheme="majorHAnsi" w:hAnsiTheme="majorHAnsi"/>
      <w:b/>
      <w:color w:val="14434B" w:themeColor="accent6"/>
      <w:kern w:val="28"/>
      <w:sz w:val="24"/>
      <w:szCs w:val="21"/>
    </w:rPr>
  </w:style>
  <w:style w:type="character" w:customStyle="1" w:styleId="Heading9Char">
    <w:name w:val="Heading 9 Char"/>
    <w:aliases w:val="Appendix Heading 4 Char"/>
    <w:basedOn w:val="DefaultParagraphFont"/>
    <w:link w:val="Heading9"/>
    <w:uiPriority w:val="29"/>
    <w:semiHidden/>
    <w:rsid w:val="00A1602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2"/>
    <w:rsid w:val="008B5C42"/>
    <w:rPr>
      <w:rFonts w:ascii="Helvetica" w:hAnsi="Helvetica"/>
      <w:color w:val="0D4B88"/>
      <w:kern w:val="28"/>
      <w:sz w:val="28"/>
      <w:szCs w:val="44"/>
    </w:rPr>
  </w:style>
  <w:style w:type="paragraph" w:customStyle="1" w:styleId="Invisiblepara">
    <w:name w:val="Invisible para"/>
    <w:next w:val="BodyText"/>
    <w:semiHidden/>
    <w:rsid w:val="00D56E4F"/>
    <w:pPr>
      <w:keepNext/>
      <w:spacing w:before="240" w:line="110" w:lineRule="atLeast"/>
    </w:pPr>
    <w:rPr>
      <w:rFonts w:asciiTheme="minorHAnsi" w:hAnsiTheme="minorHAnsi"/>
      <w:vanish/>
      <w:color w:val="000000" w:themeColor="text1"/>
      <w:sz w:val="8"/>
      <w:szCs w:val="8"/>
    </w:rPr>
  </w:style>
  <w:style w:type="paragraph" w:customStyle="1" w:styleId="Invisiblepara2">
    <w:name w:val="Invisible para 2"/>
    <w:basedOn w:val="Invisiblepara"/>
    <w:next w:val="BodyText"/>
    <w:semiHidden/>
    <w:rsid w:val="00D56E4F"/>
    <w:pPr>
      <w:keepNext w:val="0"/>
      <w:spacing w:before="0" w:after="240"/>
    </w:pPr>
  </w:style>
  <w:style w:type="paragraph" w:styleId="ListBullet">
    <w:name w:val="List Bullet"/>
    <w:basedOn w:val="BodyText"/>
    <w:uiPriority w:val="1"/>
    <w:qFormat/>
    <w:rsid w:val="00D56E4F"/>
    <w:pPr>
      <w:numPr>
        <w:numId w:val="6"/>
      </w:numPr>
    </w:pPr>
    <w:rPr>
      <w:szCs w:val="20"/>
    </w:rPr>
  </w:style>
  <w:style w:type="paragraph" w:styleId="ListBullet2">
    <w:name w:val="List Bullet 2"/>
    <w:basedOn w:val="BodyText"/>
    <w:uiPriority w:val="1"/>
    <w:qFormat/>
    <w:rsid w:val="00D56E4F"/>
    <w:pPr>
      <w:numPr>
        <w:numId w:val="7"/>
      </w:numPr>
    </w:pPr>
  </w:style>
  <w:style w:type="paragraph" w:styleId="ListNumber">
    <w:name w:val="List Number"/>
    <w:basedOn w:val="BodyText"/>
    <w:uiPriority w:val="1"/>
    <w:qFormat/>
    <w:rsid w:val="00D56E4F"/>
    <w:pPr>
      <w:numPr>
        <w:numId w:val="8"/>
      </w:numPr>
    </w:pPr>
    <w:rPr>
      <w:szCs w:val="20"/>
    </w:rPr>
  </w:style>
  <w:style w:type="paragraph" w:styleId="ListNumber2">
    <w:name w:val="List Number 2"/>
    <w:basedOn w:val="BodyText"/>
    <w:uiPriority w:val="1"/>
    <w:qFormat/>
    <w:rsid w:val="00D56E4F"/>
    <w:pPr>
      <w:numPr>
        <w:numId w:val="9"/>
      </w:numPr>
    </w:pPr>
  </w:style>
  <w:style w:type="paragraph" w:customStyle="1" w:styleId="Note">
    <w:name w:val="Note"/>
    <w:uiPriority w:val="6"/>
    <w:qFormat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6"/>
      <w:lang w:eastAsia="en-US"/>
    </w:rPr>
  </w:style>
  <w:style w:type="character" w:customStyle="1" w:styleId="NoteLabel">
    <w:name w:val="Note Label"/>
    <w:basedOn w:val="DefaultParagraphFont"/>
    <w:uiPriority w:val="6"/>
    <w:semiHidden/>
    <w:rsid w:val="00D56E4F"/>
    <w:rPr>
      <w:rFonts w:ascii="Arial Narrow" w:hAnsi="Arial Narrow"/>
      <w:b/>
      <w:color w:val="000000" w:themeColor="text1"/>
      <w:position w:val="4"/>
      <w:sz w:val="16"/>
      <w:szCs w:val="14"/>
    </w:rPr>
  </w:style>
  <w:style w:type="paragraph" w:customStyle="1" w:styleId="NoteNumber">
    <w:name w:val="Note Number"/>
    <w:basedOn w:val="Note"/>
    <w:next w:val="Note"/>
    <w:uiPriority w:val="6"/>
    <w:qFormat/>
    <w:rsid w:val="00D56E4F"/>
    <w:pPr>
      <w:numPr>
        <w:numId w:val="10"/>
      </w:numPr>
      <w:spacing w:after="0"/>
    </w:pPr>
    <w:rPr>
      <w:szCs w:val="14"/>
    </w:rPr>
  </w:style>
  <w:style w:type="character" w:styleId="PageNumber">
    <w:name w:val="page number"/>
    <w:basedOn w:val="DefaultParagraphFont"/>
    <w:uiPriority w:val="39"/>
    <w:semiHidden/>
    <w:rsid w:val="00D56E4F"/>
    <w:rPr>
      <w:b/>
      <w:color w:val="806D64"/>
    </w:rPr>
  </w:style>
  <w:style w:type="paragraph" w:styleId="Quote">
    <w:name w:val="Quote"/>
    <w:link w:val="QuoteChar"/>
    <w:uiPriority w:val="7"/>
    <w:qFormat/>
    <w:rsid w:val="00D56E4F"/>
    <w:pPr>
      <w:spacing w:before="57" w:after="50" w:line="288" w:lineRule="auto"/>
      <w:ind w:left="567" w:right="567"/>
    </w:pPr>
    <w:rPr>
      <w:rFonts w:asciiTheme="minorHAnsi" w:hAnsiTheme="minorHAnsi"/>
      <w:i/>
      <w:color w:val="000000" w:themeColor="text1"/>
      <w:sz w:val="21"/>
      <w:szCs w:val="18"/>
    </w:rPr>
  </w:style>
  <w:style w:type="character" w:customStyle="1" w:styleId="QuoteChar">
    <w:name w:val="Quote Char"/>
    <w:basedOn w:val="DefaultParagraphFont"/>
    <w:link w:val="Quote"/>
    <w:uiPriority w:val="7"/>
    <w:rsid w:val="00D56E4F"/>
    <w:rPr>
      <w:rFonts w:asciiTheme="minorHAnsi" w:hAnsiTheme="minorHAnsi"/>
      <w:i/>
      <w:color w:val="000000" w:themeColor="text1"/>
      <w:sz w:val="21"/>
      <w:szCs w:val="18"/>
    </w:rPr>
  </w:style>
  <w:style w:type="paragraph" w:customStyle="1" w:styleId="QuoteBullet">
    <w:name w:val="Quote Bullet"/>
    <w:basedOn w:val="Quote"/>
    <w:uiPriority w:val="7"/>
    <w:qFormat/>
    <w:rsid w:val="00D56E4F"/>
    <w:pPr>
      <w:numPr>
        <w:numId w:val="11"/>
      </w:numPr>
      <w:spacing w:before="40"/>
    </w:pPr>
  </w:style>
  <w:style w:type="paragraph" w:customStyle="1" w:styleId="Reference">
    <w:name w:val="Reference"/>
    <w:uiPriority w:val="9"/>
    <w:semiHidden/>
    <w:qFormat/>
    <w:rsid w:val="00D56E4F"/>
    <w:pPr>
      <w:keepLines/>
      <w:spacing w:before="57" w:after="142" w:line="288" w:lineRule="auto"/>
      <w:ind w:left="284" w:hanging="284"/>
    </w:pPr>
    <w:rPr>
      <w:rFonts w:asciiTheme="minorHAnsi" w:hAnsiTheme="minorHAnsi"/>
      <w:color w:val="000000" w:themeColor="text1"/>
      <w:sz w:val="21"/>
      <w:szCs w:val="18"/>
    </w:rPr>
  </w:style>
  <w:style w:type="paragraph" w:styleId="Subtitle">
    <w:name w:val="Subtitle"/>
    <w:next w:val="BodyText"/>
    <w:link w:val="SubtitleChar"/>
    <w:uiPriority w:val="37"/>
    <w:rsid w:val="004E0E9F"/>
    <w:pPr>
      <w:spacing w:after="240" w:line="440" w:lineRule="exact"/>
    </w:pPr>
    <w:rPr>
      <w:rFonts w:asciiTheme="majorHAnsi" w:hAnsiTheme="majorHAnsi"/>
      <w:color w:val="0087A2"/>
      <w:kern w:val="28"/>
      <w:sz w:val="36"/>
      <w:szCs w:val="25"/>
    </w:rPr>
  </w:style>
  <w:style w:type="character" w:customStyle="1" w:styleId="SubtitleChar">
    <w:name w:val="Subtitle Char"/>
    <w:basedOn w:val="DefaultParagraphFont"/>
    <w:link w:val="Subtitle"/>
    <w:uiPriority w:val="37"/>
    <w:rsid w:val="004E0E9F"/>
    <w:rPr>
      <w:rFonts w:asciiTheme="majorHAnsi" w:hAnsiTheme="majorHAnsi"/>
      <w:color w:val="0087A2"/>
      <w:kern w:val="28"/>
      <w:sz w:val="36"/>
      <w:szCs w:val="25"/>
    </w:rPr>
  </w:style>
  <w:style w:type="paragraph" w:customStyle="1" w:styleId="TableDataColumnHeading">
    <w:name w:val="Table Data Column Heading"/>
    <w:uiPriority w:val="27"/>
    <w:rsid w:val="00D56E4F"/>
    <w:pPr>
      <w:keepNext/>
      <w:spacing w:after="57" w:line="288" w:lineRule="auto"/>
      <w:jc w:val="right"/>
    </w:pPr>
    <w:rPr>
      <w:rFonts w:ascii="Arial Narrow" w:hAnsi="Arial Narrow"/>
      <w:b/>
      <w:color w:val="14434B" w:themeColor="accent6"/>
      <w:sz w:val="19"/>
      <w:szCs w:val="17"/>
      <w:lang w:eastAsia="en-US"/>
    </w:rPr>
  </w:style>
  <w:style w:type="paragraph" w:customStyle="1" w:styleId="TableTextEntries">
    <w:name w:val="Table Text Entries"/>
    <w:uiPriority w:val="24"/>
    <w:rsid w:val="00D56E4F"/>
    <w:pPr>
      <w:keepLines/>
      <w:spacing w:after="57" w:line="288" w:lineRule="auto"/>
    </w:pPr>
    <w:rPr>
      <w:rFonts w:ascii="Arial Narrow" w:hAnsi="Arial Narrow"/>
      <w:color w:val="000000" w:themeColor="text1"/>
      <w:sz w:val="19"/>
      <w:szCs w:val="17"/>
      <w:lang w:eastAsia="en-US"/>
    </w:rPr>
  </w:style>
  <w:style w:type="paragraph" w:customStyle="1" w:styleId="TableDataEntries">
    <w:name w:val="Table Data Entries"/>
    <w:basedOn w:val="TableTextEntries"/>
    <w:uiPriority w:val="24"/>
    <w:rsid w:val="00D56E4F"/>
    <w:pPr>
      <w:jc w:val="right"/>
    </w:pPr>
  </w:style>
  <w:style w:type="table" w:styleId="TableGrid">
    <w:name w:val="Table Grid"/>
    <w:basedOn w:val="TableNormal"/>
    <w:rsid w:val="00D56E4F"/>
    <w:rPr>
      <w:rFonts w:ascii="Times New Roman" w:hAnsi="Times New Roman"/>
    </w:rPr>
    <w:tblPr>
      <w:tblCellMar>
        <w:left w:w="0" w:type="dxa"/>
        <w:right w:w="0" w:type="dxa"/>
      </w:tblCellMar>
    </w:tblPr>
  </w:style>
  <w:style w:type="paragraph" w:customStyle="1" w:styleId="TableHeading1">
    <w:name w:val="Table Heading 1"/>
    <w:basedOn w:val="TableTextEntries"/>
    <w:next w:val="TableTextEntries"/>
    <w:uiPriority w:val="26"/>
    <w:rsid w:val="00D56E4F"/>
    <w:rPr>
      <w:b/>
      <w:color w:val="14434B" w:themeColor="accent6"/>
    </w:rPr>
  </w:style>
  <w:style w:type="paragraph" w:customStyle="1" w:styleId="TableHeading2">
    <w:name w:val="Table Heading 2"/>
    <w:basedOn w:val="TableHeading1"/>
    <w:next w:val="TableTextEntries"/>
    <w:uiPriority w:val="26"/>
    <w:rsid w:val="00D56E4F"/>
    <w:rPr>
      <w:b w:val="0"/>
      <w:i/>
    </w:rPr>
  </w:style>
  <w:style w:type="paragraph" w:customStyle="1" w:styleId="TableListBullet">
    <w:name w:val="Table List Bullet"/>
    <w:basedOn w:val="TableTextEntries"/>
    <w:uiPriority w:val="25"/>
    <w:rsid w:val="00D56E4F"/>
    <w:pPr>
      <w:numPr>
        <w:numId w:val="12"/>
      </w:numPr>
    </w:pPr>
  </w:style>
  <w:style w:type="paragraph" w:customStyle="1" w:styleId="TableListBullet2">
    <w:name w:val="Table List Bullet 2"/>
    <w:basedOn w:val="TableTextEntries"/>
    <w:uiPriority w:val="25"/>
    <w:rsid w:val="00D56E4F"/>
    <w:pPr>
      <w:numPr>
        <w:numId w:val="13"/>
      </w:numPr>
    </w:pPr>
  </w:style>
  <w:style w:type="paragraph" w:customStyle="1" w:styleId="TableListNumber">
    <w:name w:val="Table List Number"/>
    <w:basedOn w:val="TableTextEntries"/>
    <w:uiPriority w:val="25"/>
    <w:rsid w:val="00D56E4F"/>
    <w:pPr>
      <w:numPr>
        <w:numId w:val="14"/>
      </w:numPr>
    </w:pPr>
  </w:style>
  <w:style w:type="paragraph" w:customStyle="1" w:styleId="TableListNumber2">
    <w:name w:val="Table List Number 2"/>
    <w:basedOn w:val="TableTextEntries"/>
    <w:uiPriority w:val="25"/>
    <w:rsid w:val="00D56E4F"/>
    <w:pPr>
      <w:numPr>
        <w:numId w:val="15"/>
      </w:numPr>
    </w:pPr>
  </w:style>
  <w:style w:type="paragraph" w:styleId="TOC2">
    <w:name w:val="toc 2"/>
    <w:next w:val="BodyText"/>
    <w:uiPriority w:val="39"/>
    <w:semiHidden/>
    <w:rsid w:val="00D56E4F"/>
    <w:pPr>
      <w:tabs>
        <w:tab w:val="right" w:pos="8505"/>
      </w:tabs>
      <w:spacing w:before="85" w:after="28" w:line="288" w:lineRule="auto"/>
      <w:contextualSpacing/>
    </w:pPr>
    <w:rPr>
      <w:rFonts w:asciiTheme="majorHAnsi" w:hAnsiTheme="majorHAnsi"/>
      <w:color w:val="0087A2" w:themeColor="background2"/>
      <w:kern w:val="28"/>
      <w:sz w:val="24"/>
      <w:szCs w:val="24"/>
    </w:rPr>
  </w:style>
  <w:style w:type="paragraph" w:styleId="TableofFigures">
    <w:name w:val="table of figures"/>
    <w:basedOn w:val="TOC2"/>
    <w:next w:val="Normal"/>
    <w:uiPriority w:val="19"/>
    <w:semiHidden/>
    <w:rsid w:val="00D56E4F"/>
  </w:style>
  <w:style w:type="paragraph" w:customStyle="1" w:styleId="TableTextColumnHeading">
    <w:name w:val="Table Text Column Heading"/>
    <w:uiPriority w:val="27"/>
    <w:rsid w:val="00D56E4F"/>
    <w:pPr>
      <w:keepNext/>
      <w:spacing w:after="57" w:line="288" w:lineRule="auto"/>
    </w:pPr>
    <w:rPr>
      <w:rFonts w:ascii="Arial Narrow" w:hAnsi="Arial Narrow"/>
      <w:b/>
      <w:color w:val="14434B" w:themeColor="accent6"/>
      <w:sz w:val="19"/>
      <w:szCs w:val="17"/>
      <w:lang w:eastAsia="en-US"/>
    </w:rPr>
  </w:style>
  <w:style w:type="table" w:customStyle="1" w:styleId="TableODE">
    <w:name w:val="Table_ODE"/>
    <w:basedOn w:val="TableGrid"/>
    <w:semiHidden/>
    <w:rsid w:val="00D56E4F"/>
    <w:rPr>
      <w:rFonts w:ascii="Arial Narrow" w:hAnsi="Arial Narrow"/>
    </w:rPr>
    <w:tblPr>
      <w:tblCellMar>
        <w:left w:w="108" w:type="dxa"/>
        <w:right w:w="108" w:type="dxa"/>
      </w:tblCellMar>
    </w:tblPr>
    <w:tcPr>
      <w:shd w:val="clear" w:color="auto" w:fill="E6F3F6"/>
    </w:tcPr>
    <w:tblStylePr w:type="firstRow">
      <w:rPr>
        <w:rFonts w:ascii="Tahoma" w:hAnsi="Tahoma"/>
        <w:b w:val="0"/>
        <w:i w:val="0"/>
        <w:caps w:val="0"/>
        <w:smallCaps w:val="0"/>
        <w:color w:val="FFFFFF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7A2"/>
      </w:tcPr>
    </w:tblStylePr>
  </w:style>
  <w:style w:type="paragraph" w:styleId="Title">
    <w:name w:val="Title"/>
    <w:link w:val="TitleChar"/>
    <w:uiPriority w:val="10"/>
    <w:qFormat/>
    <w:rsid w:val="00D56E4F"/>
    <w:pPr>
      <w:spacing w:line="288" w:lineRule="auto"/>
    </w:pPr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1602F"/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paragraph" w:styleId="TOC3">
    <w:name w:val="toc 3"/>
    <w:next w:val="BodyText"/>
    <w:autoRedefine/>
    <w:uiPriority w:val="39"/>
    <w:semiHidden/>
    <w:rsid w:val="00D56E4F"/>
    <w:pPr>
      <w:tabs>
        <w:tab w:val="right" w:pos="8488"/>
      </w:tabs>
      <w:spacing w:line="288" w:lineRule="auto"/>
      <w:ind w:left="567"/>
    </w:pPr>
    <w:rPr>
      <w:rFonts w:asciiTheme="majorHAnsi" w:hAnsiTheme="majorHAnsi"/>
      <w:color w:val="0087A2" w:themeColor="background2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8B5C42"/>
    <w:rPr>
      <w:rFonts w:ascii="Helvetica" w:hAnsi="Helvetica"/>
      <w:color w:val="127AA5"/>
      <w:kern w:val="28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B5C42"/>
    <w:rPr>
      <w:rFonts w:ascii="Helvetica" w:hAnsi="Helvetica"/>
      <w:kern w:val="28"/>
      <w:sz w:val="21"/>
      <w:szCs w:val="21"/>
    </w:rPr>
  </w:style>
  <w:style w:type="character" w:customStyle="1" w:styleId="AppendixHeading2unnumberedChar">
    <w:name w:val="Appendix Heading 2 unnumbered Char"/>
    <w:basedOn w:val="Heading7Char"/>
    <w:link w:val="AppendixHeading2unnumbered"/>
    <w:uiPriority w:val="29"/>
    <w:semiHidden/>
    <w:rsid w:val="00A1602F"/>
    <w:rPr>
      <w:rFonts w:asciiTheme="majorHAnsi" w:hAnsiTheme="majorHAnsi"/>
      <w:b/>
      <w:color w:val="C75B12" w:themeColor="text2"/>
      <w:kern w:val="28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56E4F"/>
    <w:rPr>
      <w:rFonts w:asciiTheme="minorHAnsi" w:hAnsiTheme="minorHAnsi"/>
      <w:color w:val="000000" w:themeColor="text1"/>
      <w:sz w:val="16"/>
    </w:rPr>
  </w:style>
  <w:style w:type="paragraph" w:customStyle="1" w:styleId="InfoHead">
    <w:name w:val="Info Head"/>
    <w:basedOn w:val="BoxTitle"/>
    <w:uiPriority w:val="39"/>
    <w:semiHidden/>
    <w:qFormat/>
    <w:rsid w:val="00D56E4F"/>
    <w:pPr>
      <w:framePr w:hSpace="181" w:wrap="around" w:hAnchor="margin" w:yAlign="bottom"/>
      <w:suppressOverlap/>
    </w:pPr>
  </w:style>
  <w:style w:type="character" w:styleId="PlaceholderText">
    <w:name w:val="Placeholder Text"/>
    <w:basedOn w:val="DefaultParagraphFont"/>
    <w:uiPriority w:val="99"/>
    <w:semiHidden/>
    <w:rsid w:val="00D56E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5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4F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semiHidden/>
    <w:qFormat/>
    <w:rsid w:val="00D56E4F"/>
    <w:rPr>
      <w:rFonts w:asciiTheme="minorHAnsi" w:hAnsiTheme="minorHAnsi"/>
      <w:color w:val="000000" w:themeColor="text1"/>
      <w:sz w:val="21"/>
      <w:szCs w:val="24"/>
    </w:rPr>
  </w:style>
  <w:style w:type="paragraph" w:customStyle="1" w:styleId="BodyText2">
    <w:name w:val="Body Text2"/>
    <w:semiHidden/>
    <w:rsid w:val="00D90DB4"/>
    <w:rPr>
      <w:rFonts w:ascii="Arial" w:hAnsi="Arial"/>
      <w:szCs w:val="24"/>
      <w:lang w:eastAsia="en-US"/>
    </w:rPr>
  </w:style>
  <w:style w:type="table" w:customStyle="1" w:styleId="ODETable">
    <w:name w:val="ODE Table"/>
    <w:basedOn w:val="TableNormal"/>
    <w:uiPriority w:val="99"/>
    <w:rsid w:val="007258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EEFEE" w:themeFill="accent4"/>
    </w:tcPr>
    <w:tblStylePr w:type="firstRow">
      <w:tblPr/>
      <w:tcPr>
        <w:shd w:val="clear" w:color="auto" w:fill="92C3CA" w:themeFill="accent2"/>
      </w:tcPr>
    </w:tblStylePr>
  </w:style>
  <w:style w:type="character" w:styleId="EndnoteReference">
    <w:name w:val="endnote reference"/>
    <w:basedOn w:val="DefaultParagraphFont"/>
    <w:uiPriority w:val="99"/>
    <w:semiHidden/>
    <w:rsid w:val="007D68D7"/>
    <w:rPr>
      <w:vertAlign w:val="superscript"/>
    </w:r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Bulleted Para,NFP GP Bulleted List,FooterText,numbered,列出段落"/>
    <w:basedOn w:val="Normal"/>
    <w:link w:val="ListParagraphChar"/>
    <w:uiPriority w:val="34"/>
    <w:qFormat/>
    <w:rsid w:val="001310CE"/>
    <w:pPr>
      <w:ind w:left="720"/>
      <w:contextualSpacing/>
    </w:pPr>
    <w:rPr>
      <w:rFonts w:asciiTheme="minorHAnsi" w:eastAsiaTheme="minorEastAsia" w:hAnsiTheme="minorHAnsi" w:cstheme="minorBidi"/>
      <w:color w:val="auto"/>
      <w:sz w:val="24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link w:val="ListParagraph"/>
    <w:uiPriority w:val="34"/>
    <w:qFormat/>
    <w:locked/>
    <w:rsid w:val="0041486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04"/>
    <w:pPr>
      <w:spacing w:line="240" w:lineRule="auto"/>
    </w:pPr>
    <w:rPr>
      <w:rFonts w:ascii="Franklin Gothic Book" w:hAnsi="Franklin Gothic Book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04"/>
    <w:rPr>
      <w:rFonts w:ascii="Franklin Gothic Book" w:hAnsi="Franklin Gothic Book"/>
      <w:b/>
      <w:bCs/>
      <w:color w:val="000000" w:themeColor="text1"/>
      <w:sz w:val="21"/>
    </w:rPr>
  </w:style>
  <w:style w:type="character" w:styleId="Hyperlink">
    <w:name w:val="Hyperlink"/>
    <w:basedOn w:val="DefaultParagraphFont"/>
    <w:uiPriority w:val="99"/>
    <w:unhideWhenUsed/>
    <w:rsid w:val="000B398D"/>
    <w:rPr>
      <w:color w:val="0087A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C75B12"/>
      </a:dk2>
      <a:lt2>
        <a:srgbClr val="0087A2"/>
      </a:lt2>
      <a:accent1>
        <a:srgbClr val="0087A2"/>
      </a:accent1>
      <a:accent2>
        <a:srgbClr val="92C3CA"/>
      </a:accent2>
      <a:accent3>
        <a:srgbClr val="DCDEDE"/>
      </a:accent3>
      <a:accent4>
        <a:srgbClr val="EEEFEE"/>
      </a:accent4>
      <a:accent5>
        <a:srgbClr val="E6F3F6"/>
      </a:accent5>
      <a:accent6>
        <a:srgbClr val="14434B"/>
      </a:accent6>
      <a:hlink>
        <a:srgbClr val="0087A2"/>
      </a:hlink>
      <a:folHlink>
        <a:srgbClr val="92C3C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46D4C8-5D50-44D8-81B9-15E955C04313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5272BAB-BE0E-4F28-A2A1-83C11DB5BE9C}"/>
</file>

<file path=customXml/itemProps4.xml><?xml version="1.0" encoding="utf-8"?>
<ds:datastoreItem xmlns:ds="http://schemas.openxmlformats.org/officeDocument/2006/customXml" ds:itemID="{909B2E1A-6ED3-4AAC-B347-7484D2BF82B2}"/>
</file>

<file path=customXml/itemProps5.xml><?xml version="1.0" encoding="utf-8"?>
<ds:datastoreItem xmlns:ds="http://schemas.openxmlformats.org/officeDocument/2006/customXml" ds:itemID="{2A923524-BE2E-4F34-AEBB-9A415D8E0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Review of the Australia-Vietnam Climate Change Delivery Strategy 2011–2016</dc:title>
  <dc:subject/>
  <dc:creator/>
  <cp:lastModifiedBy/>
  <cp:revision>1</cp:revision>
  <dcterms:created xsi:type="dcterms:W3CDTF">2017-05-16T04:53:00Z</dcterms:created>
  <dcterms:modified xsi:type="dcterms:W3CDTF">2017-05-16T04:54:00Z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a49d78e7-3eeb-4b09-be19-2644de91f8f6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1098300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