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5ABAC" w14:textId="77777777" w:rsidR="007702B1" w:rsidRDefault="007702B1" w:rsidP="00C53F00">
      <w:pPr>
        <w:spacing w:after="120"/>
        <w:jc w:val="center"/>
        <w:rPr>
          <w:b/>
          <w:sz w:val="28"/>
          <w:szCs w:val="28"/>
        </w:rPr>
      </w:pPr>
      <w:r w:rsidRPr="002E4306">
        <w:rPr>
          <w:b/>
          <w:sz w:val="28"/>
          <w:szCs w:val="28"/>
        </w:rPr>
        <w:t>I</w:t>
      </w:r>
      <w:r w:rsidR="00DC34FF" w:rsidRPr="002E4306">
        <w:rPr>
          <w:b/>
          <w:sz w:val="28"/>
          <w:szCs w:val="28"/>
        </w:rPr>
        <w:t>nvestment Summary</w:t>
      </w:r>
      <w:r w:rsidR="00B35D0B" w:rsidRPr="002E4306">
        <w:rPr>
          <w:b/>
          <w:sz w:val="28"/>
          <w:szCs w:val="28"/>
        </w:rPr>
        <w:t xml:space="preserve">: </w:t>
      </w:r>
      <w:r w:rsidR="003C2000">
        <w:rPr>
          <w:b/>
          <w:sz w:val="28"/>
          <w:szCs w:val="28"/>
        </w:rPr>
        <w:t>MAHKOTA Indonesia</w:t>
      </w:r>
      <w:r w:rsidR="006D1E4B">
        <w:rPr>
          <w:b/>
          <w:sz w:val="28"/>
          <w:szCs w:val="28"/>
        </w:rPr>
        <w:t xml:space="preserve"> </w:t>
      </w:r>
    </w:p>
    <w:p w14:paraId="4117C52B" w14:textId="77777777" w:rsidR="00B8090B" w:rsidRDefault="006D1E4B" w:rsidP="00C53F00">
      <w:pPr>
        <w:spacing w:after="120"/>
        <w:jc w:val="center"/>
        <w:rPr>
          <w:b/>
          <w:sz w:val="28"/>
          <w:szCs w:val="28"/>
        </w:rPr>
      </w:pPr>
      <w:proofErr w:type="spellStart"/>
      <w:r w:rsidRPr="004C088C">
        <w:rPr>
          <w:b/>
          <w:i/>
          <w:sz w:val="28"/>
          <w:szCs w:val="28"/>
        </w:rPr>
        <w:t>Menuju</w:t>
      </w:r>
      <w:proofErr w:type="spellEnd"/>
      <w:r w:rsidRPr="004C088C">
        <w:rPr>
          <w:b/>
          <w:i/>
          <w:sz w:val="28"/>
          <w:szCs w:val="28"/>
        </w:rPr>
        <w:t xml:space="preserve"> </w:t>
      </w:r>
      <w:proofErr w:type="spellStart"/>
      <w:r w:rsidRPr="004C088C">
        <w:rPr>
          <w:b/>
          <w:i/>
          <w:sz w:val="28"/>
          <w:szCs w:val="28"/>
        </w:rPr>
        <w:t>Masyarakat</w:t>
      </w:r>
      <w:proofErr w:type="spellEnd"/>
      <w:r w:rsidRPr="004C088C">
        <w:rPr>
          <w:b/>
          <w:i/>
          <w:sz w:val="28"/>
          <w:szCs w:val="28"/>
        </w:rPr>
        <w:t xml:space="preserve"> Indonesia Yang </w:t>
      </w:r>
      <w:proofErr w:type="spellStart"/>
      <w:r w:rsidRPr="004C088C">
        <w:rPr>
          <w:b/>
          <w:i/>
          <w:sz w:val="28"/>
          <w:szCs w:val="28"/>
        </w:rPr>
        <w:t>Kokoh</w:t>
      </w:r>
      <w:proofErr w:type="spellEnd"/>
      <w:r w:rsidRPr="004C088C">
        <w:rPr>
          <w:b/>
          <w:i/>
          <w:sz w:val="28"/>
          <w:szCs w:val="28"/>
        </w:rPr>
        <w:t xml:space="preserve"> Sejahtera</w:t>
      </w:r>
      <w:r>
        <w:rPr>
          <w:b/>
          <w:sz w:val="28"/>
          <w:szCs w:val="28"/>
        </w:rPr>
        <w:t xml:space="preserve">  </w:t>
      </w:r>
    </w:p>
    <w:p w14:paraId="47F3DABD" w14:textId="77777777" w:rsidR="006D1E4B" w:rsidRPr="002E4306" w:rsidRDefault="006D1E4B" w:rsidP="00C53F00">
      <w:pPr>
        <w:spacing w:after="120"/>
        <w:jc w:val="center"/>
        <w:rPr>
          <w:b/>
          <w:sz w:val="28"/>
          <w:szCs w:val="28"/>
        </w:rPr>
      </w:pPr>
      <w:r>
        <w:rPr>
          <w:b/>
          <w:sz w:val="28"/>
          <w:szCs w:val="28"/>
        </w:rPr>
        <w:t xml:space="preserve">Towards a Strong and Prosperous Indonesian </w:t>
      </w:r>
      <w:r w:rsidR="009404D1">
        <w:rPr>
          <w:b/>
          <w:sz w:val="28"/>
          <w:szCs w:val="28"/>
        </w:rPr>
        <w:t>Society</w:t>
      </w:r>
    </w:p>
    <w:p w14:paraId="711B4F83" w14:textId="01731797" w:rsidR="00B35D0B" w:rsidRDefault="00CC2AB9" w:rsidP="00C53F00">
      <w:pPr>
        <w:spacing w:after="120"/>
        <w:jc w:val="center"/>
        <w:rPr>
          <w:b/>
          <w:sz w:val="24"/>
          <w:szCs w:val="24"/>
        </w:rPr>
      </w:pPr>
      <w:r>
        <w:rPr>
          <w:b/>
          <w:sz w:val="24"/>
          <w:szCs w:val="24"/>
        </w:rPr>
        <w:t>Approximately</w:t>
      </w:r>
      <w:r w:rsidR="000F3245">
        <w:rPr>
          <w:b/>
          <w:sz w:val="24"/>
          <w:szCs w:val="24"/>
        </w:rPr>
        <w:t xml:space="preserve"> </w:t>
      </w:r>
      <w:r w:rsidR="002E4306">
        <w:rPr>
          <w:b/>
          <w:sz w:val="24"/>
          <w:szCs w:val="24"/>
        </w:rPr>
        <w:t>$</w:t>
      </w:r>
      <w:r w:rsidR="003D583B">
        <w:rPr>
          <w:b/>
          <w:sz w:val="24"/>
          <w:szCs w:val="24"/>
        </w:rPr>
        <w:t>44</w:t>
      </w:r>
      <w:r w:rsidR="002E4306">
        <w:rPr>
          <w:b/>
          <w:sz w:val="24"/>
          <w:szCs w:val="24"/>
        </w:rPr>
        <w:t xml:space="preserve"> million over </w:t>
      </w:r>
      <w:r w:rsidR="003D583B">
        <w:rPr>
          <w:b/>
          <w:sz w:val="24"/>
          <w:szCs w:val="24"/>
        </w:rPr>
        <w:t>4</w:t>
      </w:r>
      <w:r w:rsidR="00715FDA">
        <w:rPr>
          <w:b/>
          <w:sz w:val="24"/>
          <w:szCs w:val="24"/>
        </w:rPr>
        <w:t xml:space="preserve"> years (</w:t>
      </w:r>
      <w:r w:rsidR="008D7329">
        <w:rPr>
          <w:b/>
          <w:sz w:val="24"/>
          <w:szCs w:val="24"/>
        </w:rPr>
        <w:t>July 2015</w:t>
      </w:r>
      <w:r w:rsidR="008D7329">
        <w:rPr>
          <w:b/>
          <w:sz w:val="24"/>
          <w:szCs w:val="24"/>
        </w:rPr>
        <w:softHyphen/>
        <w:t>-June 2019</w:t>
      </w:r>
      <w:r w:rsidR="002E4306">
        <w:rPr>
          <w:b/>
          <w:sz w:val="24"/>
          <w:szCs w:val="24"/>
        </w:rPr>
        <w:t>)</w:t>
      </w:r>
      <w:r w:rsidR="00715FDA">
        <w:rPr>
          <w:b/>
          <w:sz w:val="24"/>
          <w:szCs w:val="24"/>
        </w:rPr>
        <w:t xml:space="preserve"> </w:t>
      </w:r>
    </w:p>
    <w:tbl>
      <w:tblPr>
        <w:tblStyle w:val="TableGrid"/>
        <w:tblW w:w="10963" w:type="dxa"/>
        <w:jc w:val="center"/>
        <w:tblInd w:w="-972" w:type="dxa"/>
        <w:tblLook w:val="04A0" w:firstRow="1" w:lastRow="0" w:firstColumn="1" w:lastColumn="0" w:noHBand="0" w:noVBand="1"/>
      </w:tblPr>
      <w:tblGrid>
        <w:gridCol w:w="10963"/>
      </w:tblGrid>
      <w:tr w:rsidR="00B8090B" w:rsidRPr="00DE245D" w14:paraId="3393853E" w14:textId="77777777" w:rsidTr="00014D17">
        <w:trPr>
          <w:trHeight w:val="400"/>
          <w:jc w:val="center"/>
        </w:trPr>
        <w:tc>
          <w:tcPr>
            <w:tcW w:w="10963" w:type="dxa"/>
          </w:tcPr>
          <w:p w14:paraId="3FC6400A" w14:textId="77777777" w:rsidR="00EB0B54" w:rsidRPr="00C53F00" w:rsidRDefault="00AA694D" w:rsidP="00C53F00">
            <w:pPr>
              <w:spacing w:line="276" w:lineRule="auto"/>
              <w:jc w:val="both"/>
              <w:rPr>
                <w:b/>
              </w:rPr>
            </w:pPr>
            <w:r>
              <w:rPr>
                <w:b/>
              </w:rPr>
              <w:t>OVERVIEW</w:t>
            </w:r>
          </w:p>
        </w:tc>
      </w:tr>
      <w:tr w:rsidR="00B8090B" w:rsidRPr="00DE245D" w14:paraId="5D09B366" w14:textId="77777777" w:rsidTr="00014D17">
        <w:trPr>
          <w:trHeight w:val="322"/>
          <w:jc w:val="center"/>
        </w:trPr>
        <w:tc>
          <w:tcPr>
            <w:tcW w:w="10963" w:type="dxa"/>
          </w:tcPr>
          <w:p w14:paraId="3D6B6B8C" w14:textId="47ED06C9" w:rsidR="00EB0B54" w:rsidRPr="00C53F00" w:rsidRDefault="00B8090B" w:rsidP="00C53F00">
            <w:pPr>
              <w:spacing w:line="276" w:lineRule="auto"/>
              <w:jc w:val="both"/>
            </w:pPr>
            <w:r w:rsidRPr="00C53F00">
              <w:rPr>
                <w:b/>
              </w:rPr>
              <w:t>Proposed start date and timeframe:</w:t>
            </w:r>
            <w:r w:rsidRPr="00C53F00">
              <w:t xml:space="preserve"> 1 July 2015 to 30 June 2019</w:t>
            </w:r>
            <w:r w:rsidR="00807457">
              <w:t>, possible extension</w:t>
            </w:r>
          </w:p>
        </w:tc>
      </w:tr>
      <w:tr w:rsidR="00CC2AB9" w:rsidRPr="00DE245D" w14:paraId="2F195549" w14:textId="77777777" w:rsidTr="00CC2AB9">
        <w:trPr>
          <w:jc w:val="center"/>
        </w:trPr>
        <w:tc>
          <w:tcPr>
            <w:tcW w:w="10963" w:type="dxa"/>
          </w:tcPr>
          <w:p w14:paraId="649123DA" w14:textId="7A52EC87" w:rsidR="00CC2AB9" w:rsidRPr="00C53F00" w:rsidRDefault="00CC2AB9" w:rsidP="00CC2AB9">
            <w:pPr>
              <w:spacing w:line="276" w:lineRule="auto"/>
              <w:jc w:val="both"/>
              <w:rPr>
                <w:b/>
              </w:rPr>
            </w:pPr>
            <w:r w:rsidRPr="00C53F00">
              <w:rPr>
                <w:b/>
              </w:rPr>
              <w:t>Proposed funding allocation:</w:t>
            </w:r>
            <w:r>
              <w:rPr>
                <w:b/>
              </w:rPr>
              <w:t xml:space="preserve"> </w:t>
            </w:r>
            <w:r>
              <w:t>approximately</w:t>
            </w:r>
            <w:r w:rsidRPr="00C53F00">
              <w:t xml:space="preserve"> $44 million</w:t>
            </w:r>
          </w:p>
        </w:tc>
      </w:tr>
      <w:tr w:rsidR="00BF4A06" w:rsidRPr="00DE245D" w14:paraId="5464C11D" w14:textId="77777777" w:rsidTr="00014D17">
        <w:trPr>
          <w:jc w:val="center"/>
        </w:trPr>
        <w:tc>
          <w:tcPr>
            <w:tcW w:w="10963" w:type="dxa"/>
          </w:tcPr>
          <w:p w14:paraId="658B38CE" w14:textId="6F9EDD91" w:rsidR="00BF4A06" w:rsidRPr="00C53F00" w:rsidRDefault="00807457" w:rsidP="00C53F00">
            <w:pPr>
              <w:spacing w:line="276" w:lineRule="auto"/>
              <w:jc w:val="both"/>
              <w:rPr>
                <w:b/>
              </w:rPr>
            </w:pPr>
            <w:r>
              <w:rPr>
                <w:b/>
              </w:rPr>
              <w:t>Key interventions are still to be established with the inc</w:t>
            </w:r>
            <w:bookmarkStart w:id="0" w:name="_GoBack"/>
            <w:bookmarkEnd w:id="0"/>
            <w:r>
              <w:rPr>
                <w:b/>
              </w:rPr>
              <w:t>oming Government of Indonesia (GOI), but t</w:t>
            </w:r>
            <w:r w:rsidR="00DE245D">
              <w:rPr>
                <w:b/>
              </w:rPr>
              <w:t>he p</w:t>
            </w:r>
            <w:r w:rsidR="00EB0B54" w:rsidRPr="00C53F00">
              <w:rPr>
                <w:b/>
              </w:rPr>
              <w:t xml:space="preserve">rogram </w:t>
            </w:r>
            <w:r w:rsidR="00DE245D">
              <w:rPr>
                <w:b/>
              </w:rPr>
              <w:t xml:space="preserve">is </w:t>
            </w:r>
            <w:r w:rsidR="00EB0B54" w:rsidRPr="00C53F00">
              <w:rPr>
                <w:b/>
              </w:rPr>
              <w:t>l</w:t>
            </w:r>
            <w:r w:rsidR="00BF4A06" w:rsidRPr="00C53F00">
              <w:rPr>
                <w:b/>
              </w:rPr>
              <w:t>ikely to include:</w:t>
            </w:r>
          </w:p>
          <w:p w14:paraId="290F292E" w14:textId="77777777" w:rsidR="00B8090B" w:rsidRPr="00FD5665" w:rsidRDefault="00B87223" w:rsidP="00C53F00">
            <w:pPr>
              <w:jc w:val="both"/>
            </w:pPr>
            <w:r w:rsidRPr="00C53F00">
              <w:t xml:space="preserve">1. </w:t>
            </w:r>
            <w:r w:rsidR="00B8090B" w:rsidRPr="00C53F00">
              <w:t>Support for policy reform of existing social protection programs</w:t>
            </w:r>
          </w:p>
          <w:p w14:paraId="0FEE923F" w14:textId="362F4F82" w:rsidR="00CC2AB9" w:rsidRDefault="00CC2AB9" w:rsidP="00C53F00">
            <w:pPr>
              <w:pStyle w:val="ListParagraph"/>
              <w:numPr>
                <w:ilvl w:val="0"/>
                <w:numId w:val="39"/>
              </w:numPr>
              <w:jc w:val="both"/>
            </w:pPr>
            <w:r>
              <w:t xml:space="preserve">We will focus on </w:t>
            </w:r>
            <w:r w:rsidRPr="00C53F00">
              <w:t xml:space="preserve">targeted policy advice and </w:t>
            </w:r>
            <w:r w:rsidR="00807457">
              <w:t>building on</w:t>
            </w:r>
            <w:r>
              <w:t xml:space="preserve"> </w:t>
            </w:r>
            <w:r w:rsidRPr="00C53F00">
              <w:t xml:space="preserve">our investments using our valued </w:t>
            </w:r>
            <w:r>
              <w:t>position and relationships, building on work already done under the Poverty Reduction Support Facility (PRSF).</w:t>
            </w:r>
          </w:p>
          <w:p w14:paraId="5FFC9FF3" w14:textId="545B326E" w:rsidR="00B8090B" w:rsidRPr="00C53F00" w:rsidRDefault="00B87223" w:rsidP="00C53F00">
            <w:pPr>
              <w:spacing w:line="276" w:lineRule="auto"/>
              <w:jc w:val="both"/>
            </w:pPr>
            <w:r w:rsidRPr="00C53F00">
              <w:t xml:space="preserve">2. </w:t>
            </w:r>
            <w:r w:rsidR="00B8090B" w:rsidRPr="00C53F00">
              <w:t xml:space="preserve">Support for </w:t>
            </w:r>
            <w:r w:rsidR="00CC2AB9">
              <w:t xml:space="preserve">the </w:t>
            </w:r>
            <w:r w:rsidR="00B8090B" w:rsidRPr="00C53F00">
              <w:t>Unified Database</w:t>
            </w:r>
            <w:r w:rsidR="005244C5">
              <w:t xml:space="preserve"> (UDB)</w:t>
            </w:r>
            <w:r w:rsidR="00B8090B" w:rsidRPr="00C53F00">
              <w:t xml:space="preserve"> until 2016</w:t>
            </w:r>
          </w:p>
          <w:p w14:paraId="79912948" w14:textId="280D3214" w:rsidR="00BF4C60" w:rsidRPr="00C53F00" w:rsidRDefault="00B87223" w:rsidP="00C53F00">
            <w:pPr>
              <w:pStyle w:val="ListParagraph"/>
              <w:numPr>
                <w:ilvl w:val="0"/>
                <w:numId w:val="39"/>
              </w:numPr>
              <w:jc w:val="both"/>
            </w:pPr>
            <w:r w:rsidRPr="00C53F00">
              <w:t xml:space="preserve">The Unified Database of 96 million poor beneficiaries has driven reforms to the national poverty programs and </w:t>
            </w:r>
            <w:r w:rsidR="008043AE">
              <w:t>is</w:t>
            </w:r>
            <w:r w:rsidRPr="00C53F00">
              <w:t xml:space="preserve"> supported by PRSF. Continued </w:t>
            </w:r>
            <w:r w:rsidR="00CC2AB9">
              <w:t>Australian</w:t>
            </w:r>
            <w:r w:rsidRPr="00C53F00">
              <w:t xml:space="preserve"> support will give the </w:t>
            </w:r>
            <w:r w:rsidR="00CF03C5" w:rsidRPr="00C53F00">
              <w:t>GOI</w:t>
            </w:r>
            <w:r w:rsidRPr="00C53F00">
              <w:t xml:space="preserve"> time to determine the UDB’s institutional home</w:t>
            </w:r>
            <w:r w:rsidR="00CC2AB9">
              <w:t xml:space="preserve"> in the Indonesian system</w:t>
            </w:r>
            <w:r w:rsidR="00807457">
              <w:t>, should it change from TNP2K</w:t>
            </w:r>
            <w:r w:rsidRPr="00C53F00">
              <w:t>.</w:t>
            </w:r>
          </w:p>
          <w:p w14:paraId="50E9A099" w14:textId="77777777" w:rsidR="00B8090B" w:rsidRPr="00C53F00" w:rsidRDefault="00B87223" w:rsidP="00C53F00">
            <w:pPr>
              <w:spacing w:line="276" w:lineRule="auto"/>
              <w:jc w:val="both"/>
            </w:pPr>
            <w:r w:rsidRPr="00C53F00">
              <w:t xml:space="preserve">3. </w:t>
            </w:r>
            <w:r w:rsidR="00B8090B" w:rsidRPr="00C53F00">
              <w:t xml:space="preserve">Support </w:t>
            </w:r>
            <w:r w:rsidR="002A3B3D">
              <w:t xml:space="preserve">for </w:t>
            </w:r>
            <w:r w:rsidR="00CF03C5" w:rsidRPr="00C53F00">
              <w:t>a wider range of policy debate</w:t>
            </w:r>
          </w:p>
          <w:p w14:paraId="2DC2E793" w14:textId="3F11C0D9" w:rsidR="00CF03C5" w:rsidRPr="00C53F00" w:rsidRDefault="00CC2AB9" w:rsidP="00C53F00">
            <w:pPr>
              <w:pStyle w:val="ListParagraph"/>
              <w:numPr>
                <w:ilvl w:val="0"/>
                <w:numId w:val="39"/>
              </w:numPr>
              <w:jc w:val="both"/>
            </w:pPr>
            <w:r>
              <w:t>Australia</w:t>
            </w:r>
            <w:r w:rsidR="00CF03C5" w:rsidRPr="00C53F00">
              <w:t xml:space="preserve"> has supported the World Bank to provide a think tank function to GOI on poverty and social protection. To develop indigenous capacity and diversify evidence, debate and opinion in this area </w:t>
            </w:r>
            <w:r>
              <w:t>MAHKOTA</w:t>
            </w:r>
            <w:r w:rsidR="00CF03C5" w:rsidRPr="00C53F00">
              <w:t xml:space="preserve"> will support two additional national think tanks, as well the </w:t>
            </w:r>
            <w:r>
              <w:t>Social P</w:t>
            </w:r>
            <w:r w:rsidR="00CF03C5" w:rsidRPr="00C53F00">
              <w:t xml:space="preserve">rotection </w:t>
            </w:r>
            <w:r>
              <w:t>H</w:t>
            </w:r>
            <w:r w:rsidR="00CF03C5" w:rsidRPr="00C53F00">
              <w:t>ub, a unit in the Australian aid program established</w:t>
            </w:r>
            <w:r w:rsidR="008043AE">
              <w:t xml:space="preserve"> to</w:t>
            </w:r>
            <w:r w:rsidR="00CF03C5" w:rsidRPr="00C53F00">
              <w:t xml:space="preserve"> influence social protection policy discourse and programming.</w:t>
            </w:r>
          </w:p>
          <w:p w14:paraId="293AABA6" w14:textId="1B068755" w:rsidR="00B8090B" w:rsidRPr="00C53F00" w:rsidRDefault="00B87223" w:rsidP="00C53F00">
            <w:pPr>
              <w:spacing w:line="276" w:lineRule="auto"/>
              <w:jc w:val="both"/>
            </w:pPr>
            <w:r w:rsidRPr="00C53F00">
              <w:t xml:space="preserve">4. </w:t>
            </w:r>
            <w:r w:rsidR="00B8090B" w:rsidRPr="00C53F00">
              <w:t xml:space="preserve">Support for </w:t>
            </w:r>
            <w:r w:rsidR="0098637F">
              <w:t>social security</w:t>
            </w:r>
            <w:r w:rsidR="00BF75CE">
              <w:rPr>
                <w:rStyle w:val="FootnoteReference"/>
              </w:rPr>
              <w:footnoteReference w:id="2"/>
            </w:r>
          </w:p>
          <w:p w14:paraId="4AD7D074" w14:textId="46BC8696" w:rsidR="00EB0B54" w:rsidRPr="00C53F00" w:rsidRDefault="00CC2AB9" w:rsidP="00807457">
            <w:pPr>
              <w:pStyle w:val="ListParagraph"/>
              <w:numPr>
                <w:ilvl w:val="0"/>
                <w:numId w:val="39"/>
              </w:numPr>
              <w:jc w:val="both"/>
            </w:pPr>
            <w:r>
              <w:t>Australia</w:t>
            </w:r>
            <w:r w:rsidR="00EB0B54" w:rsidRPr="00C53F00">
              <w:t xml:space="preserve"> has provided small levels of assistance to </w:t>
            </w:r>
            <w:r w:rsidR="0098637F">
              <w:t>social security</w:t>
            </w:r>
            <w:r w:rsidR="00EB0B54" w:rsidRPr="00C53F00">
              <w:t xml:space="preserve"> through PRSF and the World Bank. Because of </w:t>
            </w:r>
            <w:r w:rsidR="0098637F">
              <w:t>social security</w:t>
            </w:r>
            <w:r w:rsidR="00EB0B54" w:rsidRPr="00C53F00">
              <w:t xml:space="preserve">’s wide coverage and critical positioning in the labour market, improvements here can be </w:t>
            </w:r>
            <w:r w:rsidR="00807457">
              <w:t>transformational</w:t>
            </w:r>
            <w:r w:rsidR="00EB0B54" w:rsidRPr="00C53F00">
              <w:t xml:space="preserve"> for the Indonesian economy and help address one of the major binding constraints to growth</w:t>
            </w:r>
            <w:r w:rsidR="008043AE">
              <w:t xml:space="preserve"> and competitiveness</w:t>
            </w:r>
            <w:r w:rsidR="00EB0B54" w:rsidRPr="00C53F00">
              <w:t xml:space="preserve">. </w:t>
            </w:r>
            <w:r>
              <w:t>MAHKOTA</w:t>
            </w:r>
            <w:r w:rsidR="00D8313E">
              <w:t xml:space="preserve"> will also address the “missing middle”:</w:t>
            </w:r>
            <w:r w:rsidR="00EB0B54" w:rsidRPr="00C53F00">
              <w:t xml:space="preserve"> </w:t>
            </w:r>
            <w:r w:rsidR="00D8313E">
              <w:t xml:space="preserve">the informal sector that is not covered by poverty programs but are still too poor to contribute to </w:t>
            </w:r>
            <w:r w:rsidR="0098637F">
              <w:t>social security</w:t>
            </w:r>
            <w:r w:rsidR="00D8313E">
              <w:t>.</w:t>
            </w:r>
          </w:p>
        </w:tc>
      </w:tr>
      <w:tr w:rsidR="001C0381" w:rsidRPr="00DE245D" w14:paraId="0DC66C26" w14:textId="77777777" w:rsidTr="00014D17">
        <w:trPr>
          <w:jc w:val="center"/>
        </w:trPr>
        <w:tc>
          <w:tcPr>
            <w:tcW w:w="10963" w:type="dxa"/>
          </w:tcPr>
          <w:p w14:paraId="3851609C" w14:textId="2720214C" w:rsidR="001C0381" w:rsidRDefault="001C0381" w:rsidP="00945771">
            <w:pPr>
              <w:jc w:val="both"/>
              <w:rPr>
                <w:b/>
              </w:rPr>
            </w:pPr>
            <w:r>
              <w:rPr>
                <w:b/>
              </w:rPr>
              <w:t xml:space="preserve">Linkages to the new </w:t>
            </w:r>
            <w:r w:rsidR="00CC2AB9">
              <w:rPr>
                <w:b/>
              </w:rPr>
              <w:t xml:space="preserve">DFAT </w:t>
            </w:r>
            <w:r>
              <w:rPr>
                <w:b/>
              </w:rPr>
              <w:t>development policy and performance framework:</w:t>
            </w:r>
          </w:p>
          <w:p w14:paraId="24F409CE" w14:textId="695FA727" w:rsidR="001C0381" w:rsidRPr="00F773CB" w:rsidRDefault="001C0381" w:rsidP="00F773CB">
            <w:pPr>
              <w:pStyle w:val="ListParagraph"/>
              <w:numPr>
                <w:ilvl w:val="0"/>
                <w:numId w:val="39"/>
              </w:numPr>
              <w:jc w:val="both"/>
              <w:rPr>
                <w:rFonts w:asciiTheme="minorHAnsi" w:hAnsiTheme="minorHAnsi"/>
              </w:rPr>
            </w:pPr>
            <w:r w:rsidRPr="00F773CB">
              <w:rPr>
                <w:rFonts w:asciiTheme="minorHAnsi" w:hAnsiTheme="minorHAnsi"/>
                <w:b/>
              </w:rPr>
              <w:t>Innovation</w:t>
            </w:r>
            <w:r w:rsidRPr="00F773CB">
              <w:rPr>
                <w:rFonts w:asciiTheme="minorHAnsi" w:hAnsiTheme="minorHAnsi"/>
              </w:rPr>
              <w:t xml:space="preserve">: </w:t>
            </w:r>
            <w:r w:rsidR="00CC2AB9">
              <w:rPr>
                <w:rFonts w:asciiTheme="minorHAnsi" w:hAnsiTheme="minorHAnsi"/>
              </w:rPr>
              <w:t>MAHKOTA</w:t>
            </w:r>
            <w:r w:rsidRPr="00F773CB">
              <w:rPr>
                <w:rFonts w:asciiTheme="minorHAnsi" w:hAnsiTheme="minorHAnsi"/>
              </w:rPr>
              <w:t xml:space="preserve"> will support innovation</w:t>
            </w:r>
            <w:r w:rsidR="00D7791D">
              <w:rPr>
                <w:rFonts w:asciiTheme="minorHAnsi" w:hAnsiTheme="minorHAnsi"/>
              </w:rPr>
              <w:t>,</w:t>
            </w:r>
            <w:r w:rsidRPr="00F773CB">
              <w:rPr>
                <w:rFonts w:asciiTheme="minorHAnsi" w:hAnsiTheme="minorHAnsi"/>
              </w:rPr>
              <w:t xml:space="preserve"> for example </w:t>
            </w:r>
            <w:r w:rsidR="00CC2AB9">
              <w:rPr>
                <w:rFonts w:asciiTheme="minorHAnsi" w:hAnsiTheme="minorHAnsi"/>
              </w:rPr>
              <w:t>by improving and expanding</w:t>
            </w:r>
            <w:r w:rsidRPr="00F773CB">
              <w:rPr>
                <w:rFonts w:asciiTheme="minorHAnsi" w:hAnsiTheme="minorHAnsi"/>
              </w:rPr>
              <w:t xml:space="preserve"> GOI’s national conditional cash transfer (CCT) program and introducing new technologies for transferring benefits to beneficiaries that increase efficiency and promote financial inclusion</w:t>
            </w:r>
            <w:r w:rsidR="00A67C83">
              <w:rPr>
                <w:rFonts w:asciiTheme="minorHAnsi" w:hAnsiTheme="minorHAnsi"/>
              </w:rPr>
              <w:t>.</w:t>
            </w:r>
          </w:p>
          <w:p w14:paraId="4128E21A" w14:textId="2D3849EA" w:rsidR="001C0381" w:rsidRPr="00F773CB" w:rsidRDefault="001C0381" w:rsidP="00F773CB">
            <w:pPr>
              <w:pStyle w:val="ListParagraph"/>
              <w:numPr>
                <w:ilvl w:val="0"/>
                <w:numId w:val="39"/>
              </w:numPr>
              <w:jc w:val="both"/>
              <w:rPr>
                <w:rFonts w:asciiTheme="minorHAnsi" w:hAnsiTheme="minorHAnsi"/>
              </w:rPr>
            </w:pPr>
            <w:r w:rsidRPr="00F773CB">
              <w:rPr>
                <w:rFonts w:asciiTheme="minorHAnsi" w:hAnsiTheme="minorHAnsi"/>
                <w:b/>
              </w:rPr>
              <w:t>Social protection</w:t>
            </w:r>
            <w:r w:rsidRPr="00F773CB">
              <w:rPr>
                <w:rFonts w:asciiTheme="minorHAnsi" w:hAnsiTheme="minorHAnsi"/>
              </w:rPr>
              <w:t xml:space="preserve">: </w:t>
            </w:r>
            <w:r w:rsidR="00BB7AD7">
              <w:rPr>
                <w:rFonts w:asciiTheme="minorHAnsi" w:hAnsiTheme="minorHAnsi"/>
              </w:rPr>
              <w:t>MAHKOTA</w:t>
            </w:r>
            <w:r w:rsidRPr="00F773CB">
              <w:rPr>
                <w:rFonts w:asciiTheme="minorHAnsi" w:hAnsiTheme="minorHAnsi"/>
              </w:rPr>
              <w:t xml:space="preserve"> directly supports improving national social protection that helps more people and communities become more resilient to shocks and stresses and </w:t>
            </w:r>
            <w:r w:rsidR="005244C5">
              <w:rPr>
                <w:rFonts w:asciiTheme="minorHAnsi" w:hAnsiTheme="minorHAnsi"/>
              </w:rPr>
              <w:t xml:space="preserve">to </w:t>
            </w:r>
            <w:r w:rsidRPr="00F773CB">
              <w:rPr>
                <w:rFonts w:asciiTheme="minorHAnsi" w:hAnsiTheme="minorHAnsi"/>
              </w:rPr>
              <w:t xml:space="preserve">participate in their local economy. </w:t>
            </w:r>
          </w:p>
          <w:p w14:paraId="5876D71C" w14:textId="5887744A" w:rsidR="001C0381" w:rsidRPr="00F773CB" w:rsidRDefault="00A67C83" w:rsidP="00F773CB">
            <w:pPr>
              <w:pStyle w:val="ListParagraph"/>
              <w:numPr>
                <w:ilvl w:val="0"/>
                <w:numId w:val="39"/>
              </w:numPr>
              <w:jc w:val="both"/>
              <w:rPr>
                <w:rFonts w:asciiTheme="minorHAnsi" w:hAnsiTheme="minorHAnsi"/>
              </w:rPr>
            </w:pPr>
            <w:r>
              <w:rPr>
                <w:rFonts w:asciiTheme="minorHAnsi" w:hAnsiTheme="minorHAnsi"/>
                <w:b/>
              </w:rPr>
              <w:t>International competitiveness and effective governance</w:t>
            </w:r>
            <w:r w:rsidR="00771B81">
              <w:rPr>
                <w:rFonts w:asciiTheme="minorHAnsi" w:hAnsiTheme="minorHAnsi"/>
              </w:rPr>
              <w:t>: MAHKOTA can support</w:t>
            </w:r>
            <w:r w:rsidR="001C0381" w:rsidRPr="00F773CB">
              <w:rPr>
                <w:rFonts w:asciiTheme="minorHAnsi" w:hAnsiTheme="minorHAnsi"/>
              </w:rPr>
              <w:t xml:space="preserve"> Indonesia </w:t>
            </w:r>
            <w:r>
              <w:rPr>
                <w:rFonts w:asciiTheme="minorHAnsi" w:hAnsiTheme="minorHAnsi"/>
              </w:rPr>
              <w:t xml:space="preserve">to </w:t>
            </w:r>
            <w:r w:rsidR="001C0381" w:rsidRPr="00F773CB">
              <w:rPr>
                <w:rFonts w:asciiTheme="minorHAnsi" w:hAnsiTheme="minorHAnsi"/>
              </w:rPr>
              <w:t>roll</w:t>
            </w:r>
            <w:r w:rsidR="00840E9D">
              <w:rPr>
                <w:rFonts w:asciiTheme="minorHAnsi" w:hAnsiTheme="minorHAnsi"/>
              </w:rPr>
              <w:t xml:space="preserve"> </w:t>
            </w:r>
            <w:r w:rsidR="001C0381" w:rsidRPr="00F773CB">
              <w:rPr>
                <w:rFonts w:asciiTheme="minorHAnsi" w:hAnsiTheme="minorHAnsi"/>
              </w:rPr>
              <w:t>out its major employment insurance</w:t>
            </w:r>
            <w:r w:rsidRPr="00F51B26">
              <w:rPr>
                <w:rFonts w:asciiTheme="minorHAnsi" w:hAnsiTheme="minorHAnsi"/>
              </w:rPr>
              <w:t xml:space="preserve"> reforms</w:t>
            </w:r>
            <w:r w:rsidR="00771B81">
              <w:rPr>
                <w:rFonts w:asciiTheme="minorHAnsi" w:hAnsiTheme="minorHAnsi"/>
              </w:rPr>
              <w:t>;</w:t>
            </w:r>
            <w:r w:rsidR="001C0381" w:rsidRPr="00F773CB">
              <w:rPr>
                <w:rFonts w:asciiTheme="minorHAnsi" w:hAnsiTheme="minorHAnsi"/>
              </w:rPr>
              <w:t xml:space="preserve"> helping </w:t>
            </w:r>
            <w:r w:rsidR="00771B81">
              <w:rPr>
                <w:rFonts w:asciiTheme="minorHAnsi" w:hAnsiTheme="minorHAnsi"/>
              </w:rPr>
              <w:t>GOI</w:t>
            </w:r>
            <w:r w:rsidR="001C0381" w:rsidRPr="00F773CB">
              <w:rPr>
                <w:rFonts w:asciiTheme="minorHAnsi" w:hAnsiTheme="minorHAnsi"/>
              </w:rPr>
              <w:t xml:space="preserve"> reform rigid labour regulations that stifle investment and growth in jobs</w:t>
            </w:r>
            <w:r w:rsidR="00771B81">
              <w:rPr>
                <w:rFonts w:asciiTheme="minorHAnsi" w:hAnsiTheme="minorHAnsi"/>
              </w:rPr>
              <w:t xml:space="preserve"> and </w:t>
            </w:r>
            <w:r w:rsidR="001C0381" w:rsidRPr="00F773CB">
              <w:rPr>
                <w:rFonts w:asciiTheme="minorHAnsi" w:hAnsiTheme="minorHAnsi"/>
              </w:rPr>
              <w:t>address</w:t>
            </w:r>
            <w:r w:rsidR="00771B81">
              <w:rPr>
                <w:rFonts w:asciiTheme="minorHAnsi" w:hAnsiTheme="minorHAnsi"/>
              </w:rPr>
              <w:t>ing</w:t>
            </w:r>
            <w:r w:rsidR="001C0381" w:rsidRPr="00F773CB">
              <w:rPr>
                <w:rFonts w:asciiTheme="minorHAnsi" w:hAnsiTheme="minorHAnsi"/>
              </w:rPr>
              <w:t xml:space="preserve"> a key binding constraint to growth and competitiveness</w:t>
            </w:r>
            <w:r>
              <w:rPr>
                <w:rFonts w:asciiTheme="minorHAnsi" w:hAnsiTheme="minorHAnsi"/>
              </w:rPr>
              <w:t xml:space="preserve"> and improve </w:t>
            </w:r>
            <w:r w:rsidR="00D7791D">
              <w:rPr>
                <w:rFonts w:asciiTheme="minorHAnsi" w:hAnsiTheme="minorHAnsi"/>
              </w:rPr>
              <w:t xml:space="preserve">labour market </w:t>
            </w:r>
            <w:r>
              <w:rPr>
                <w:rFonts w:asciiTheme="minorHAnsi" w:hAnsiTheme="minorHAnsi"/>
              </w:rPr>
              <w:t xml:space="preserve">functions. This </w:t>
            </w:r>
            <w:r w:rsidR="001C0381" w:rsidRPr="00F773CB">
              <w:rPr>
                <w:rFonts w:asciiTheme="minorHAnsi" w:hAnsiTheme="minorHAnsi"/>
              </w:rPr>
              <w:t xml:space="preserve">will </w:t>
            </w:r>
            <w:r>
              <w:rPr>
                <w:rFonts w:asciiTheme="minorHAnsi" w:hAnsiTheme="minorHAnsi"/>
              </w:rPr>
              <w:t>lead to</w:t>
            </w:r>
            <w:r w:rsidR="001C0381" w:rsidRPr="00F773CB">
              <w:rPr>
                <w:rFonts w:asciiTheme="minorHAnsi" w:hAnsiTheme="minorHAnsi"/>
              </w:rPr>
              <w:t xml:space="preserve"> more investment, encourage more start-ups, and create more </w:t>
            </w:r>
            <w:r w:rsidR="00D7791D" w:rsidRPr="00F773CB">
              <w:rPr>
                <w:rFonts w:asciiTheme="minorHAnsi" w:hAnsiTheme="minorHAnsi"/>
              </w:rPr>
              <w:t xml:space="preserve">formal sector </w:t>
            </w:r>
            <w:r w:rsidR="001C0381" w:rsidRPr="00F773CB">
              <w:rPr>
                <w:rFonts w:asciiTheme="minorHAnsi" w:hAnsiTheme="minorHAnsi"/>
              </w:rPr>
              <w:t>jobs</w:t>
            </w:r>
            <w:r w:rsidR="00D7791D">
              <w:rPr>
                <w:rFonts w:asciiTheme="minorHAnsi" w:hAnsiTheme="minorHAnsi"/>
              </w:rPr>
              <w:t>.</w:t>
            </w:r>
            <w:r w:rsidR="001C0381" w:rsidRPr="00F773CB">
              <w:rPr>
                <w:rFonts w:asciiTheme="minorHAnsi" w:hAnsiTheme="minorHAnsi"/>
              </w:rPr>
              <w:t xml:space="preserve"> </w:t>
            </w:r>
          </w:p>
          <w:p w14:paraId="62273AF1" w14:textId="02458BA5" w:rsidR="001C0381" w:rsidRPr="00F773CB" w:rsidRDefault="001C0381" w:rsidP="00F773CB">
            <w:pPr>
              <w:pStyle w:val="ListParagraph"/>
              <w:numPr>
                <w:ilvl w:val="0"/>
                <w:numId w:val="39"/>
              </w:numPr>
              <w:jc w:val="both"/>
              <w:rPr>
                <w:rFonts w:asciiTheme="minorHAnsi" w:hAnsiTheme="minorHAnsi"/>
              </w:rPr>
            </w:pPr>
            <w:r w:rsidRPr="00F773CB">
              <w:rPr>
                <w:rFonts w:asciiTheme="minorHAnsi" w:hAnsiTheme="minorHAnsi"/>
                <w:b/>
              </w:rPr>
              <w:t xml:space="preserve">Education and health: </w:t>
            </w:r>
            <w:r w:rsidR="00771B81">
              <w:rPr>
                <w:rFonts w:asciiTheme="minorHAnsi" w:hAnsiTheme="minorHAnsi"/>
              </w:rPr>
              <w:t>social protection -</w:t>
            </w:r>
            <w:r w:rsidRPr="00F773CB">
              <w:rPr>
                <w:rFonts w:asciiTheme="minorHAnsi" w:hAnsiTheme="minorHAnsi"/>
              </w:rPr>
              <w:t xml:space="preserve"> and </w:t>
            </w:r>
            <w:r w:rsidR="00A67C83">
              <w:rPr>
                <w:rFonts w:asciiTheme="minorHAnsi" w:hAnsiTheme="minorHAnsi"/>
              </w:rPr>
              <w:t>CCTs</w:t>
            </w:r>
            <w:r w:rsidR="00771B81">
              <w:rPr>
                <w:rFonts w:asciiTheme="minorHAnsi" w:hAnsiTheme="minorHAnsi"/>
              </w:rPr>
              <w:t xml:space="preserve"> in particular -</w:t>
            </w:r>
            <w:r w:rsidRPr="00F773CB">
              <w:rPr>
                <w:rFonts w:asciiTheme="minorHAnsi" w:hAnsiTheme="minorHAnsi"/>
              </w:rPr>
              <w:t xml:space="preserve"> is seen as one of the most effective investments to help improve neo- and ante-natal care and reduce child stunting, thereby addressing a drain of</w:t>
            </w:r>
            <w:r w:rsidR="00771B81">
              <w:rPr>
                <w:rFonts w:asciiTheme="minorHAnsi" w:hAnsiTheme="minorHAnsi"/>
              </w:rPr>
              <w:t xml:space="preserve"> approximately</w:t>
            </w:r>
            <w:r w:rsidRPr="00F773CB">
              <w:rPr>
                <w:rFonts w:asciiTheme="minorHAnsi" w:hAnsiTheme="minorHAnsi"/>
              </w:rPr>
              <w:t xml:space="preserve"> 3-4% GDP on the Indonesian economy. Social protection is also proven to help families address cost constraints to sending their children to school. It helps improve demand for education and health services and promotes </w:t>
            </w:r>
            <w:r w:rsidR="00A67C83">
              <w:rPr>
                <w:rFonts w:asciiTheme="minorHAnsi" w:hAnsiTheme="minorHAnsi"/>
              </w:rPr>
              <w:t xml:space="preserve">parents’ </w:t>
            </w:r>
            <w:r w:rsidRPr="00F773CB">
              <w:rPr>
                <w:rFonts w:asciiTheme="minorHAnsi" w:hAnsiTheme="minorHAnsi"/>
              </w:rPr>
              <w:t>positive behaviour change. M</w:t>
            </w:r>
            <w:r w:rsidR="00945771">
              <w:rPr>
                <w:rFonts w:asciiTheme="minorHAnsi" w:hAnsiTheme="minorHAnsi"/>
              </w:rPr>
              <w:t>AHKOTA</w:t>
            </w:r>
            <w:r w:rsidRPr="00F773CB">
              <w:rPr>
                <w:rFonts w:asciiTheme="minorHAnsi" w:hAnsiTheme="minorHAnsi"/>
              </w:rPr>
              <w:t xml:space="preserve"> will continue to strengthen the results DFAT’s support has already achieved in these areas.</w:t>
            </w:r>
          </w:p>
          <w:p w14:paraId="160D0D5D" w14:textId="4C959587" w:rsidR="001C0381" w:rsidRPr="00F773CB" w:rsidRDefault="001C0381" w:rsidP="005244C5">
            <w:pPr>
              <w:pStyle w:val="ListParagraph"/>
              <w:numPr>
                <w:ilvl w:val="0"/>
                <w:numId w:val="39"/>
              </w:numPr>
              <w:jc w:val="both"/>
              <w:rPr>
                <w:rFonts w:asciiTheme="minorHAnsi" w:hAnsiTheme="minorHAnsi"/>
              </w:rPr>
            </w:pPr>
            <w:r w:rsidRPr="00F773CB">
              <w:rPr>
                <w:rFonts w:asciiTheme="minorHAnsi" w:hAnsiTheme="minorHAnsi"/>
                <w:b/>
              </w:rPr>
              <w:t xml:space="preserve">Gender equality and empowering women and girls: </w:t>
            </w:r>
            <w:r w:rsidRPr="00F773CB">
              <w:rPr>
                <w:rFonts w:asciiTheme="minorHAnsi" w:hAnsiTheme="minorHAnsi"/>
              </w:rPr>
              <w:t xml:space="preserve">GOI’s national CCT program is directly targeted to </w:t>
            </w:r>
            <w:r w:rsidRPr="00F773CB">
              <w:rPr>
                <w:rFonts w:asciiTheme="minorHAnsi" w:hAnsiTheme="minorHAnsi"/>
              </w:rPr>
              <w:lastRenderedPageBreak/>
              <w:t xml:space="preserve">mothers, pregnant and lactating </w:t>
            </w:r>
            <w:r w:rsidR="005244C5">
              <w:rPr>
                <w:rFonts w:asciiTheme="minorHAnsi" w:hAnsiTheme="minorHAnsi"/>
              </w:rPr>
              <w:t>mothers</w:t>
            </w:r>
            <w:r w:rsidRPr="00F773CB">
              <w:rPr>
                <w:rFonts w:asciiTheme="minorHAnsi" w:hAnsiTheme="minorHAnsi"/>
              </w:rPr>
              <w:t xml:space="preserve"> and women carers of children. It helps them overcome financial constraints to accessing health and education services for themselves and their children, and empowers them by increasing their financial independence. </w:t>
            </w:r>
            <w:r w:rsidR="00945771" w:rsidRPr="007D1F32">
              <w:rPr>
                <w:rFonts w:asciiTheme="minorHAnsi" w:hAnsiTheme="minorHAnsi"/>
              </w:rPr>
              <w:t>M</w:t>
            </w:r>
            <w:r w:rsidR="00945771">
              <w:rPr>
                <w:rFonts w:asciiTheme="minorHAnsi" w:hAnsiTheme="minorHAnsi"/>
              </w:rPr>
              <w:t>AHKOTA</w:t>
            </w:r>
            <w:r w:rsidR="00945771" w:rsidRPr="007D1F32">
              <w:rPr>
                <w:rFonts w:asciiTheme="minorHAnsi" w:hAnsiTheme="minorHAnsi"/>
              </w:rPr>
              <w:t xml:space="preserve"> </w:t>
            </w:r>
            <w:r w:rsidRPr="00F773CB">
              <w:rPr>
                <w:rFonts w:asciiTheme="minorHAnsi" w:hAnsiTheme="minorHAnsi"/>
              </w:rPr>
              <w:t xml:space="preserve">will </w:t>
            </w:r>
            <w:r w:rsidR="00A67C83">
              <w:rPr>
                <w:rFonts w:asciiTheme="minorHAnsi" w:hAnsiTheme="minorHAnsi"/>
              </w:rPr>
              <w:t xml:space="preserve">continue to </w:t>
            </w:r>
            <w:r w:rsidRPr="00F773CB">
              <w:rPr>
                <w:rFonts w:asciiTheme="minorHAnsi" w:hAnsiTheme="minorHAnsi"/>
              </w:rPr>
              <w:t xml:space="preserve">support the program to cover more poor women, especially in remote eastern Indonesia. </w:t>
            </w:r>
            <w:r w:rsidR="00945771" w:rsidRPr="007D1F32">
              <w:rPr>
                <w:rFonts w:asciiTheme="minorHAnsi" w:hAnsiTheme="minorHAnsi"/>
              </w:rPr>
              <w:t>M</w:t>
            </w:r>
            <w:r w:rsidR="00945771">
              <w:rPr>
                <w:rFonts w:asciiTheme="minorHAnsi" w:hAnsiTheme="minorHAnsi"/>
              </w:rPr>
              <w:t>AHKOTA</w:t>
            </w:r>
            <w:r w:rsidR="00945771" w:rsidRPr="007D1F32">
              <w:rPr>
                <w:rFonts w:asciiTheme="minorHAnsi" w:hAnsiTheme="minorHAnsi"/>
              </w:rPr>
              <w:t xml:space="preserve"> </w:t>
            </w:r>
            <w:r w:rsidRPr="00F773CB">
              <w:rPr>
                <w:rFonts w:asciiTheme="minorHAnsi" w:hAnsiTheme="minorHAnsi"/>
              </w:rPr>
              <w:t>will also continue to improve the national scholarships for the poor program, which helps 11 million poor girls and boys enrol and stay in school. Improvements that DFAT has supported to the national targeting system helps poor girls gain equal access to scholarships.</w:t>
            </w:r>
            <w:r w:rsidR="00840E9D">
              <w:rPr>
                <w:rFonts w:asciiTheme="minorHAnsi" w:hAnsiTheme="minorHAnsi"/>
              </w:rPr>
              <w:t xml:space="preserve"> The program will support any new investments by Indonesia in social protection to be gender-sensitive and promote women’s empowerment where possible.</w:t>
            </w:r>
          </w:p>
        </w:tc>
      </w:tr>
      <w:tr w:rsidR="00EB0B54" w:rsidRPr="00DE245D" w14:paraId="76F9FB45" w14:textId="77777777" w:rsidTr="00014D17">
        <w:trPr>
          <w:jc w:val="center"/>
        </w:trPr>
        <w:tc>
          <w:tcPr>
            <w:tcW w:w="10963" w:type="dxa"/>
          </w:tcPr>
          <w:p w14:paraId="102FAC99" w14:textId="77777777" w:rsidR="00EB0B54" w:rsidRPr="00C53F00" w:rsidRDefault="00EB0B54" w:rsidP="00C53F00">
            <w:pPr>
              <w:spacing w:line="276" w:lineRule="auto"/>
              <w:jc w:val="both"/>
              <w:rPr>
                <w:b/>
              </w:rPr>
            </w:pPr>
            <w:r w:rsidRPr="00C53F00">
              <w:rPr>
                <w:b/>
              </w:rPr>
              <w:lastRenderedPageBreak/>
              <w:t>Changes from existing support:</w:t>
            </w:r>
          </w:p>
          <w:p w14:paraId="7D8CCBE4" w14:textId="5A453FD7" w:rsidR="00EB0B54" w:rsidRPr="00C53F00" w:rsidRDefault="00EB0B54" w:rsidP="00C53F00">
            <w:pPr>
              <w:pStyle w:val="ListParagraph"/>
              <w:numPr>
                <w:ilvl w:val="0"/>
                <w:numId w:val="39"/>
              </w:numPr>
              <w:spacing w:line="276" w:lineRule="auto"/>
              <w:jc w:val="both"/>
            </w:pPr>
            <w:r w:rsidRPr="00C53F00">
              <w:t xml:space="preserve">Less support for </w:t>
            </w:r>
            <w:r w:rsidR="00532266">
              <w:t>delivery system</w:t>
            </w:r>
            <w:r w:rsidRPr="00C53F00">
              <w:t>s</w:t>
            </w:r>
            <w:r w:rsidR="002A3B3D">
              <w:t xml:space="preserve"> (e.g. </w:t>
            </w:r>
            <w:r w:rsidR="00771B81">
              <w:t>management information systems</w:t>
            </w:r>
            <w:r w:rsidR="002A3B3D">
              <w:t>, complaint handling)</w:t>
            </w:r>
            <w:r w:rsidRPr="00C53F00">
              <w:t>, more policy support</w:t>
            </w:r>
            <w:r w:rsidR="00771B81">
              <w:t>, reflecting a smaller resource envelope than under PRSF</w:t>
            </w:r>
            <w:r w:rsidR="005244C5">
              <w:t>.</w:t>
            </w:r>
            <w:r w:rsidR="00771B81">
              <w:t xml:space="preserve"> The budget may increase if opportunities arise in the future, but will still be subject to annual budget processes.</w:t>
            </w:r>
          </w:p>
          <w:p w14:paraId="49D77725" w14:textId="77777777" w:rsidR="00EB0B54" w:rsidRDefault="00EB0B54" w:rsidP="00C53F00">
            <w:pPr>
              <w:pStyle w:val="ListParagraph"/>
              <w:numPr>
                <w:ilvl w:val="0"/>
                <w:numId w:val="39"/>
              </w:numPr>
              <w:jc w:val="both"/>
            </w:pPr>
            <w:r w:rsidRPr="00C53F00">
              <w:t>Support for national think tanks</w:t>
            </w:r>
            <w:r w:rsidR="005244C5">
              <w:t>.</w:t>
            </w:r>
          </w:p>
          <w:p w14:paraId="1D76F0A0" w14:textId="4455703E" w:rsidR="00771B81" w:rsidRPr="00FD5665" w:rsidRDefault="00771B81" w:rsidP="00771B81">
            <w:pPr>
              <w:pStyle w:val="ListParagraph"/>
              <w:numPr>
                <w:ilvl w:val="0"/>
                <w:numId w:val="39"/>
              </w:numPr>
              <w:spacing w:line="276" w:lineRule="auto"/>
              <w:jc w:val="both"/>
            </w:pPr>
            <w:r>
              <w:t xml:space="preserve">Possible increase in </w:t>
            </w:r>
            <w:r w:rsidRPr="00C53F00">
              <w:t xml:space="preserve">support for </w:t>
            </w:r>
            <w:r>
              <w:t>social security.</w:t>
            </w:r>
          </w:p>
        </w:tc>
      </w:tr>
      <w:tr w:rsidR="00EA663D" w:rsidRPr="00DE245D" w14:paraId="51B515D4" w14:textId="77777777" w:rsidTr="00014D17">
        <w:trPr>
          <w:jc w:val="center"/>
        </w:trPr>
        <w:tc>
          <w:tcPr>
            <w:tcW w:w="10963" w:type="dxa"/>
          </w:tcPr>
          <w:p w14:paraId="6F297B67" w14:textId="77777777" w:rsidR="00EA663D" w:rsidRDefault="00051EB8" w:rsidP="00C53F00">
            <w:pPr>
              <w:jc w:val="both"/>
              <w:rPr>
                <w:b/>
              </w:rPr>
            </w:pPr>
            <w:r>
              <w:rPr>
                <w:b/>
              </w:rPr>
              <w:t>Coordination and links</w:t>
            </w:r>
            <w:r w:rsidR="00EA663D">
              <w:rPr>
                <w:b/>
              </w:rPr>
              <w:t xml:space="preserve"> with other </w:t>
            </w:r>
            <w:r w:rsidR="00945771">
              <w:rPr>
                <w:b/>
              </w:rPr>
              <w:t xml:space="preserve">approaches and </w:t>
            </w:r>
            <w:r w:rsidR="00EA663D">
              <w:rPr>
                <w:b/>
              </w:rPr>
              <w:t>sector programs:</w:t>
            </w:r>
          </w:p>
          <w:p w14:paraId="2570097E" w14:textId="7EF19929" w:rsidR="00945771" w:rsidRDefault="00945771" w:rsidP="00C53F00">
            <w:pPr>
              <w:pStyle w:val="ListParagraph"/>
              <w:numPr>
                <w:ilvl w:val="0"/>
                <w:numId w:val="42"/>
              </w:numPr>
              <w:jc w:val="both"/>
              <w:rPr>
                <w:b/>
              </w:rPr>
            </w:pPr>
            <w:r>
              <w:rPr>
                <w:b/>
              </w:rPr>
              <w:t xml:space="preserve">Frontline: </w:t>
            </w:r>
            <w:r w:rsidR="00E37FF5">
              <w:rPr>
                <w:rFonts w:asciiTheme="minorHAnsi" w:hAnsiTheme="minorHAnsi"/>
              </w:rPr>
              <w:t xml:space="preserve">adopt </w:t>
            </w:r>
            <w:r w:rsidR="00674997">
              <w:rPr>
                <w:rFonts w:asciiTheme="minorHAnsi" w:hAnsiTheme="minorHAnsi"/>
              </w:rPr>
              <w:t xml:space="preserve">DFAT’s </w:t>
            </w:r>
            <w:r w:rsidR="00532266">
              <w:rPr>
                <w:rFonts w:asciiTheme="minorHAnsi" w:hAnsiTheme="minorHAnsi"/>
              </w:rPr>
              <w:t xml:space="preserve">Frontline </w:t>
            </w:r>
            <w:r w:rsidR="00674997">
              <w:rPr>
                <w:rFonts w:asciiTheme="minorHAnsi" w:hAnsiTheme="minorHAnsi"/>
              </w:rPr>
              <w:t>approach of working cooperatively with other Australian-funded programs to mutually enhance results from Australian investments</w:t>
            </w:r>
            <w:r w:rsidR="00771B81">
              <w:rPr>
                <w:rFonts w:asciiTheme="minorHAnsi" w:hAnsiTheme="minorHAnsi"/>
              </w:rPr>
              <w:t xml:space="preserve"> (See section 1.3.2)</w:t>
            </w:r>
          </w:p>
          <w:p w14:paraId="5628EFFA" w14:textId="77777777" w:rsidR="00EA663D" w:rsidRPr="00C53F00" w:rsidRDefault="00EA663D" w:rsidP="00C53F00">
            <w:pPr>
              <w:pStyle w:val="ListParagraph"/>
              <w:numPr>
                <w:ilvl w:val="0"/>
                <w:numId w:val="42"/>
              </w:numPr>
              <w:jc w:val="both"/>
              <w:rPr>
                <w:b/>
              </w:rPr>
            </w:pPr>
            <w:r>
              <w:rPr>
                <w:b/>
              </w:rPr>
              <w:t xml:space="preserve">Economic governance: </w:t>
            </w:r>
            <w:r w:rsidR="00880C74">
              <w:t>on</w:t>
            </w:r>
            <w:r>
              <w:t xml:space="preserve"> </w:t>
            </w:r>
            <w:r w:rsidR="00880C74" w:rsidRPr="00880C74">
              <w:t>labour policies to promote flexibility</w:t>
            </w:r>
            <w:r w:rsidR="0000320F">
              <w:t xml:space="preserve"> for a more competitive labour market</w:t>
            </w:r>
          </w:p>
          <w:p w14:paraId="7B8B356A" w14:textId="3B691921" w:rsidR="00880C74" w:rsidRPr="00C53F00" w:rsidRDefault="00880C74" w:rsidP="00C53F00">
            <w:pPr>
              <w:pStyle w:val="ListParagraph"/>
              <w:numPr>
                <w:ilvl w:val="0"/>
                <w:numId w:val="42"/>
              </w:numPr>
              <w:jc w:val="both"/>
              <w:rPr>
                <w:b/>
              </w:rPr>
            </w:pPr>
            <w:r>
              <w:rPr>
                <w:b/>
              </w:rPr>
              <w:t xml:space="preserve">Education: </w:t>
            </w:r>
            <w:r>
              <w:t>on private sector</w:t>
            </w:r>
            <w:r w:rsidR="00771B81">
              <w:t>-</w:t>
            </w:r>
            <w:r>
              <w:t>led</w:t>
            </w:r>
            <w:r w:rsidR="00771B81">
              <w:t>,</w:t>
            </w:r>
            <w:r>
              <w:t xml:space="preserve"> and industry appropriate</w:t>
            </w:r>
            <w:r w:rsidR="00771B81">
              <w:t>,</w:t>
            </w:r>
            <w:r>
              <w:t xml:space="preserve"> tertiary education </w:t>
            </w:r>
            <w:r w:rsidR="008043AE">
              <w:t>for a more skilled workforce</w:t>
            </w:r>
          </w:p>
          <w:p w14:paraId="268D1D6B" w14:textId="77777777" w:rsidR="00880C74" w:rsidRPr="00C53F00" w:rsidRDefault="00880C74" w:rsidP="00C53F00">
            <w:pPr>
              <w:pStyle w:val="ListParagraph"/>
              <w:numPr>
                <w:ilvl w:val="0"/>
                <w:numId w:val="42"/>
              </w:numPr>
              <w:jc w:val="both"/>
              <w:rPr>
                <w:b/>
              </w:rPr>
            </w:pPr>
            <w:r>
              <w:rPr>
                <w:b/>
              </w:rPr>
              <w:t xml:space="preserve">Health: </w:t>
            </w:r>
            <w:r w:rsidR="00051EB8">
              <w:t>for</w:t>
            </w:r>
            <w:r w:rsidR="0000320F">
              <w:t xml:space="preserve"> synergy between health insurance and employment insurance programs</w:t>
            </w:r>
          </w:p>
          <w:p w14:paraId="0EAE59BB" w14:textId="77777777" w:rsidR="008043AE" w:rsidRPr="00C53F00" w:rsidRDefault="00F773CB" w:rsidP="00F773CB">
            <w:pPr>
              <w:pStyle w:val="ListParagraph"/>
              <w:numPr>
                <w:ilvl w:val="0"/>
                <w:numId w:val="42"/>
              </w:numPr>
              <w:jc w:val="both"/>
              <w:rPr>
                <w:b/>
              </w:rPr>
            </w:pPr>
            <w:r>
              <w:rPr>
                <w:b/>
              </w:rPr>
              <w:t>Women’s Empowerment</w:t>
            </w:r>
            <w:r w:rsidR="00051EB8">
              <w:rPr>
                <w:b/>
              </w:rPr>
              <w:t xml:space="preserve">: </w:t>
            </w:r>
            <w:r w:rsidR="00051EB8">
              <w:t xml:space="preserve">on </w:t>
            </w:r>
            <w:r w:rsidR="008043AE">
              <w:t>increasing women’s access to social protection and better jobs, and greater use of gendered analysis of poverty and vulnerability for more inclusive programs</w:t>
            </w:r>
            <w:r>
              <w:t>.</w:t>
            </w:r>
          </w:p>
        </w:tc>
      </w:tr>
    </w:tbl>
    <w:p w14:paraId="2B133704" w14:textId="77777777" w:rsidR="00BF75CE" w:rsidRDefault="00BF75CE" w:rsidP="00DA7861">
      <w:pPr>
        <w:pStyle w:val="InvestmentSumheadings"/>
        <w:spacing w:before="0" w:after="120"/>
        <w:sectPr w:rsidR="00BF75CE" w:rsidSect="00374313">
          <w:headerReference w:type="even" r:id="rId10"/>
          <w:headerReference w:type="default" r:id="rId11"/>
          <w:footerReference w:type="even" r:id="rId12"/>
          <w:footerReference w:type="default" r:id="rId13"/>
          <w:headerReference w:type="first" r:id="rId14"/>
          <w:footerReference w:type="first" r:id="rId15"/>
          <w:pgSz w:w="11906" w:h="16838"/>
          <w:pgMar w:top="1077" w:right="1134" w:bottom="1077" w:left="1134" w:header="709" w:footer="709" w:gutter="0"/>
          <w:cols w:space="708"/>
          <w:docGrid w:linePitch="360"/>
        </w:sectPr>
      </w:pPr>
    </w:p>
    <w:p w14:paraId="1B32557E" w14:textId="77777777" w:rsidR="00797700" w:rsidRPr="00A71B70" w:rsidRDefault="00C54D08" w:rsidP="00C53F00">
      <w:pPr>
        <w:pStyle w:val="InvestmentSumheadings"/>
        <w:spacing w:before="0" w:after="120"/>
      </w:pPr>
      <w:r>
        <w:lastRenderedPageBreak/>
        <w:t>INVESTMENT RATIONALE</w:t>
      </w:r>
    </w:p>
    <w:p w14:paraId="75068FB9" w14:textId="77777777" w:rsidR="00914364" w:rsidRDefault="002440F7" w:rsidP="00C53F00">
      <w:pPr>
        <w:pStyle w:val="Heading2"/>
        <w:spacing w:before="120"/>
      </w:pPr>
      <w:r>
        <w:t>Context</w:t>
      </w:r>
    </w:p>
    <w:p w14:paraId="17C49AF4" w14:textId="77777777" w:rsidR="006A7426" w:rsidRPr="008D7329" w:rsidRDefault="006A7426" w:rsidP="00C53F00">
      <w:pPr>
        <w:spacing w:before="120" w:after="120"/>
        <w:jc w:val="both"/>
        <w:rPr>
          <w:rFonts w:asciiTheme="minorHAnsi" w:hAnsiTheme="minorHAnsi"/>
          <w:b/>
        </w:rPr>
      </w:pPr>
      <w:r w:rsidRPr="008D7329">
        <w:rPr>
          <w:rFonts w:asciiTheme="minorHAnsi" w:hAnsiTheme="minorHAnsi"/>
          <w:b/>
        </w:rPr>
        <w:t>1.1.1</w:t>
      </w:r>
      <w:r w:rsidRPr="008D7329">
        <w:rPr>
          <w:rFonts w:asciiTheme="minorHAnsi" w:hAnsiTheme="minorHAnsi"/>
          <w:b/>
        </w:rPr>
        <w:tab/>
        <w:t>Background</w:t>
      </w:r>
    </w:p>
    <w:p w14:paraId="6C7947F2" w14:textId="686228F6" w:rsidR="003C2000" w:rsidRPr="003C2000" w:rsidRDefault="006A7426" w:rsidP="00C53F00">
      <w:pPr>
        <w:spacing w:after="120"/>
        <w:jc w:val="both"/>
        <w:rPr>
          <w:rFonts w:asciiTheme="minorHAnsi" w:hAnsiTheme="minorHAnsi"/>
        </w:rPr>
      </w:pPr>
      <w:r>
        <w:rPr>
          <w:rFonts w:asciiTheme="minorHAnsi" w:hAnsiTheme="minorHAnsi"/>
        </w:rPr>
        <w:t xml:space="preserve">In 2009 the Government of Indonesia </w:t>
      </w:r>
      <w:r w:rsidR="001770EE">
        <w:rPr>
          <w:rFonts w:asciiTheme="minorHAnsi" w:hAnsiTheme="minorHAnsi"/>
        </w:rPr>
        <w:t xml:space="preserve">(GOI) </w:t>
      </w:r>
      <w:r>
        <w:rPr>
          <w:rFonts w:asciiTheme="minorHAnsi" w:hAnsiTheme="minorHAnsi"/>
        </w:rPr>
        <w:t xml:space="preserve">established </w:t>
      </w:r>
      <w:r w:rsidR="00E651D9" w:rsidRPr="003C2000">
        <w:rPr>
          <w:rFonts w:asciiTheme="minorHAnsi" w:hAnsiTheme="minorHAnsi"/>
        </w:rPr>
        <w:t xml:space="preserve">the National Team for the Acceleration of Poverty Reduction </w:t>
      </w:r>
      <w:r w:rsidR="00E651D9">
        <w:rPr>
          <w:rFonts w:asciiTheme="minorHAnsi" w:hAnsiTheme="minorHAnsi"/>
        </w:rPr>
        <w:t>(</w:t>
      </w:r>
      <w:r>
        <w:rPr>
          <w:rFonts w:asciiTheme="minorHAnsi" w:hAnsiTheme="minorHAnsi"/>
        </w:rPr>
        <w:t>TNP2K</w:t>
      </w:r>
      <w:r w:rsidR="00E651D9">
        <w:rPr>
          <w:rFonts w:asciiTheme="minorHAnsi" w:hAnsiTheme="minorHAnsi"/>
        </w:rPr>
        <w:t>)</w:t>
      </w:r>
      <w:r>
        <w:rPr>
          <w:rFonts w:asciiTheme="minorHAnsi" w:hAnsiTheme="minorHAnsi"/>
        </w:rPr>
        <w:t xml:space="preserve"> under the office of the Vice President</w:t>
      </w:r>
      <w:r w:rsidRPr="006A7426">
        <w:rPr>
          <w:rFonts w:asciiTheme="minorHAnsi" w:hAnsiTheme="minorHAnsi"/>
        </w:rPr>
        <w:t xml:space="preserve"> </w:t>
      </w:r>
      <w:r w:rsidRPr="003C2000">
        <w:rPr>
          <w:rFonts w:asciiTheme="minorHAnsi" w:hAnsiTheme="minorHAnsi"/>
        </w:rPr>
        <w:t xml:space="preserve">as a policy think tank to improve the quality </w:t>
      </w:r>
      <w:r w:rsidR="001770EE">
        <w:rPr>
          <w:rFonts w:asciiTheme="minorHAnsi" w:hAnsiTheme="minorHAnsi"/>
        </w:rPr>
        <w:t xml:space="preserve">and effectiveness </w:t>
      </w:r>
      <w:r w:rsidRPr="003C2000">
        <w:rPr>
          <w:rFonts w:asciiTheme="minorHAnsi" w:hAnsiTheme="minorHAnsi"/>
        </w:rPr>
        <w:t xml:space="preserve">of Indonesia’s </w:t>
      </w:r>
      <w:r w:rsidR="001770EE">
        <w:rPr>
          <w:rFonts w:asciiTheme="minorHAnsi" w:hAnsiTheme="minorHAnsi"/>
        </w:rPr>
        <w:t>poverty reduction programs</w:t>
      </w:r>
      <w:r w:rsidR="007607B4">
        <w:rPr>
          <w:rFonts w:asciiTheme="minorHAnsi" w:hAnsiTheme="minorHAnsi"/>
        </w:rPr>
        <w:t xml:space="preserve"> that</w:t>
      </w:r>
      <w:r w:rsidR="001770EE">
        <w:rPr>
          <w:rFonts w:asciiTheme="minorHAnsi" w:hAnsiTheme="minorHAnsi"/>
        </w:rPr>
        <w:t xml:space="preserve"> reach</w:t>
      </w:r>
      <w:r w:rsidRPr="003C2000">
        <w:rPr>
          <w:rFonts w:asciiTheme="minorHAnsi" w:hAnsiTheme="minorHAnsi"/>
        </w:rPr>
        <w:t xml:space="preserve"> million</w:t>
      </w:r>
      <w:r w:rsidR="00021D22">
        <w:rPr>
          <w:rFonts w:asciiTheme="minorHAnsi" w:hAnsiTheme="minorHAnsi"/>
        </w:rPr>
        <w:t>s of</w:t>
      </w:r>
      <w:r w:rsidR="001770EE">
        <w:rPr>
          <w:rFonts w:asciiTheme="minorHAnsi" w:hAnsiTheme="minorHAnsi"/>
        </w:rPr>
        <w:t xml:space="preserve"> poor</w:t>
      </w:r>
      <w:r w:rsidRPr="003C2000">
        <w:rPr>
          <w:rFonts w:asciiTheme="minorHAnsi" w:hAnsiTheme="minorHAnsi"/>
        </w:rPr>
        <w:t xml:space="preserve"> Indonesians living below US$2 per day.</w:t>
      </w:r>
      <w:r>
        <w:rPr>
          <w:rFonts w:asciiTheme="minorHAnsi" w:hAnsiTheme="minorHAnsi"/>
        </w:rPr>
        <w:t xml:space="preserve"> </w:t>
      </w:r>
      <w:r w:rsidRPr="003C2000">
        <w:rPr>
          <w:rFonts w:asciiTheme="minorHAnsi" w:hAnsiTheme="minorHAnsi"/>
        </w:rPr>
        <w:t xml:space="preserve">Vice President Boediono </w:t>
      </w:r>
      <w:r w:rsidR="003C2000" w:rsidRPr="003C2000">
        <w:rPr>
          <w:rFonts w:asciiTheme="minorHAnsi" w:hAnsiTheme="minorHAnsi"/>
        </w:rPr>
        <w:t>request</w:t>
      </w:r>
      <w:r>
        <w:rPr>
          <w:rFonts w:asciiTheme="minorHAnsi" w:hAnsiTheme="minorHAnsi"/>
        </w:rPr>
        <w:t>ed</w:t>
      </w:r>
      <w:r w:rsidR="003C2000" w:rsidRPr="003C2000">
        <w:rPr>
          <w:rFonts w:asciiTheme="minorHAnsi" w:hAnsiTheme="minorHAnsi"/>
        </w:rPr>
        <w:t xml:space="preserve"> Australia’s support for</w:t>
      </w:r>
      <w:r>
        <w:rPr>
          <w:rFonts w:asciiTheme="minorHAnsi" w:hAnsiTheme="minorHAnsi"/>
        </w:rPr>
        <w:t xml:space="preserve"> TNP2K, and </w:t>
      </w:r>
      <w:r w:rsidR="00771B81">
        <w:rPr>
          <w:rFonts w:asciiTheme="minorHAnsi" w:hAnsiTheme="minorHAnsi"/>
        </w:rPr>
        <w:t>Australia</w:t>
      </w:r>
      <w:r>
        <w:rPr>
          <w:rFonts w:asciiTheme="minorHAnsi" w:hAnsiTheme="minorHAnsi"/>
        </w:rPr>
        <w:t xml:space="preserve"> </w:t>
      </w:r>
      <w:r w:rsidR="001770EE">
        <w:rPr>
          <w:rFonts w:asciiTheme="minorHAnsi" w:hAnsiTheme="minorHAnsi"/>
        </w:rPr>
        <w:t>quickly mobilised</w:t>
      </w:r>
      <w:r w:rsidRPr="003C2000">
        <w:rPr>
          <w:rFonts w:asciiTheme="minorHAnsi" w:hAnsiTheme="minorHAnsi"/>
        </w:rPr>
        <w:t xml:space="preserve"> </w:t>
      </w:r>
      <w:r>
        <w:rPr>
          <w:rFonts w:asciiTheme="minorHAnsi" w:hAnsiTheme="minorHAnsi"/>
        </w:rPr>
        <w:t>t</w:t>
      </w:r>
      <w:r w:rsidRPr="003C2000">
        <w:rPr>
          <w:rFonts w:asciiTheme="minorHAnsi" w:hAnsiTheme="minorHAnsi"/>
        </w:rPr>
        <w:t xml:space="preserve">he Poverty Reduction Support Facility (PRSF) </w:t>
      </w:r>
      <w:r w:rsidR="001770EE">
        <w:rPr>
          <w:rFonts w:asciiTheme="minorHAnsi" w:hAnsiTheme="minorHAnsi"/>
        </w:rPr>
        <w:t xml:space="preserve">in 2010. </w:t>
      </w:r>
      <w:r w:rsidR="003C2000" w:rsidRPr="003C2000">
        <w:rPr>
          <w:rFonts w:asciiTheme="minorHAnsi" w:hAnsiTheme="minorHAnsi"/>
        </w:rPr>
        <w:t xml:space="preserve">Australia’s support has </w:t>
      </w:r>
      <w:r w:rsidR="001770EE">
        <w:rPr>
          <w:rFonts w:asciiTheme="minorHAnsi" w:hAnsiTheme="minorHAnsi"/>
        </w:rPr>
        <w:t>helped GOI</w:t>
      </w:r>
      <w:r w:rsidR="003C2000" w:rsidRPr="003C2000">
        <w:rPr>
          <w:rFonts w:asciiTheme="minorHAnsi" w:hAnsiTheme="minorHAnsi"/>
        </w:rPr>
        <w:t xml:space="preserve"> </w:t>
      </w:r>
      <w:r w:rsidR="007607B4">
        <w:rPr>
          <w:rFonts w:asciiTheme="minorHAnsi" w:hAnsiTheme="minorHAnsi"/>
        </w:rPr>
        <w:t>make</w:t>
      </w:r>
      <w:r w:rsidR="001770EE">
        <w:rPr>
          <w:rFonts w:asciiTheme="minorHAnsi" w:hAnsiTheme="minorHAnsi"/>
        </w:rPr>
        <w:t xml:space="preserve"> its </w:t>
      </w:r>
      <w:r w:rsidR="007607B4">
        <w:rPr>
          <w:rFonts w:asciiTheme="minorHAnsi" w:hAnsiTheme="minorHAnsi"/>
        </w:rPr>
        <w:t xml:space="preserve">national </w:t>
      </w:r>
      <w:r w:rsidR="000D1297">
        <w:rPr>
          <w:rFonts w:asciiTheme="minorHAnsi" w:hAnsiTheme="minorHAnsi"/>
        </w:rPr>
        <w:t xml:space="preserve">social protection </w:t>
      </w:r>
      <w:r w:rsidR="007607B4">
        <w:rPr>
          <w:rFonts w:asciiTheme="minorHAnsi" w:hAnsiTheme="minorHAnsi"/>
        </w:rPr>
        <w:t>programs</w:t>
      </w:r>
      <w:r w:rsidR="005541FE">
        <w:rPr>
          <w:rFonts w:asciiTheme="minorHAnsi" w:hAnsiTheme="minorHAnsi"/>
        </w:rPr>
        <w:t>—</w:t>
      </w:r>
      <w:r w:rsidR="009644E7">
        <w:rPr>
          <w:rFonts w:asciiTheme="minorHAnsi" w:hAnsiTheme="minorHAnsi"/>
        </w:rPr>
        <w:t xml:space="preserve">which </w:t>
      </w:r>
      <w:r w:rsidR="005541FE">
        <w:rPr>
          <w:rFonts w:asciiTheme="minorHAnsi" w:hAnsiTheme="minorHAnsi"/>
        </w:rPr>
        <w:t>includ</w:t>
      </w:r>
      <w:r w:rsidR="009644E7">
        <w:rPr>
          <w:rFonts w:asciiTheme="minorHAnsi" w:hAnsiTheme="minorHAnsi"/>
        </w:rPr>
        <w:t>e</w:t>
      </w:r>
      <w:r w:rsidR="005541FE">
        <w:rPr>
          <w:rFonts w:asciiTheme="minorHAnsi" w:hAnsiTheme="minorHAnsi"/>
        </w:rPr>
        <w:t xml:space="preserve"> poverty-targeted </w:t>
      </w:r>
      <w:r w:rsidR="005541FE" w:rsidRPr="00C53F00">
        <w:rPr>
          <w:rFonts w:asciiTheme="minorHAnsi" w:hAnsiTheme="minorHAnsi"/>
          <w:i/>
        </w:rPr>
        <w:t>social assistance</w:t>
      </w:r>
      <w:r w:rsidR="005541FE">
        <w:rPr>
          <w:rFonts w:asciiTheme="minorHAnsi" w:hAnsiTheme="minorHAnsi"/>
        </w:rPr>
        <w:t xml:space="preserve"> funded by government revenue and </w:t>
      </w:r>
      <w:r w:rsidR="0098637F">
        <w:rPr>
          <w:rFonts w:asciiTheme="minorHAnsi" w:hAnsiTheme="minorHAnsi"/>
          <w:i/>
        </w:rPr>
        <w:t>social security</w:t>
      </w:r>
      <w:r w:rsidR="002C2B09">
        <w:rPr>
          <w:rFonts w:asciiTheme="minorHAnsi" w:hAnsiTheme="minorHAnsi"/>
        </w:rPr>
        <w:t xml:space="preserve"> funded by member contributions</w:t>
      </w:r>
      <w:r w:rsidR="005541FE">
        <w:rPr>
          <w:rFonts w:asciiTheme="minorHAnsi" w:hAnsiTheme="minorHAnsi"/>
        </w:rPr>
        <w:t>—more</w:t>
      </w:r>
      <w:r w:rsidR="007607B4">
        <w:rPr>
          <w:rFonts w:asciiTheme="minorHAnsi" w:hAnsiTheme="minorHAnsi"/>
        </w:rPr>
        <w:t xml:space="preserve"> efficient and effective</w:t>
      </w:r>
      <w:r w:rsidR="000D1297">
        <w:rPr>
          <w:rFonts w:asciiTheme="minorHAnsi" w:hAnsiTheme="minorHAnsi"/>
        </w:rPr>
        <w:t xml:space="preserve">, by increasing their coverage, accuracy, size of benefits and operational efficiency. </w:t>
      </w:r>
      <w:r w:rsidR="00740840">
        <w:rPr>
          <w:rFonts w:asciiTheme="minorHAnsi" w:hAnsiTheme="minorHAnsi"/>
        </w:rPr>
        <w:t xml:space="preserve">Not least of TNP2K’s achievements was </w:t>
      </w:r>
      <w:r w:rsidR="00C33D94">
        <w:rPr>
          <w:rFonts w:asciiTheme="minorHAnsi" w:hAnsiTheme="minorHAnsi"/>
        </w:rPr>
        <w:t xml:space="preserve">its role </w:t>
      </w:r>
      <w:r w:rsidR="004E4163">
        <w:rPr>
          <w:rFonts w:asciiTheme="minorHAnsi" w:hAnsiTheme="minorHAnsi"/>
        </w:rPr>
        <w:t xml:space="preserve">helping to </w:t>
      </w:r>
      <w:r w:rsidR="00124E68">
        <w:rPr>
          <w:rFonts w:asciiTheme="minorHAnsi" w:hAnsiTheme="minorHAnsi"/>
        </w:rPr>
        <w:t>secur</w:t>
      </w:r>
      <w:r w:rsidR="004E4163">
        <w:rPr>
          <w:rFonts w:asciiTheme="minorHAnsi" w:hAnsiTheme="minorHAnsi"/>
        </w:rPr>
        <w:t>e</w:t>
      </w:r>
      <w:r w:rsidR="00740840">
        <w:rPr>
          <w:rFonts w:asciiTheme="minorHAnsi" w:hAnsiTheme="minorHAnsi"/>
        </w:rPr>
        <w:t xml:space="preserve"> $3.2</w:t>
      </w:r>
      <w:r w:rsidR="004C088C">
        <w:rPr>
          <w:rFonts w:asciiTheme="minorHAnsi" w:hAnsiTheme="minorHAnsi"/>
        </w:rPr>
        <w:t> </w:t>
      </w:r>
      <w:r w:rsidR="00740840">
        <w:rPr>
          <w:rFonts w:asciiTheme="minorHAnsi" w:hAnsiTheme="minorHAnsi"/>
        </w:rPr>
        <w:t xml:space="preserve">billion in savings from the fuel subsidy reduction in 2013. </w:t>
      </w:r>
    </w:p>
    <w:p w14:paraId="03CA0FCB" w14:textId="18CA414F" w:rsidR="003C2000" w:rsidRDefault="008D7329" w:rsidP="00C53F00">
      <w:pPr>
        <w:spacing w:after="120"/>
        <w:jc w:val="both"/>
        <w:rPr>
          <w:rFonts w:asciiTheme="minorHAnsi" w:hAnsiTheme="minorHAnsi"/>
        </w:rPr>
      </w:pPr>
      <w:r w:rsidRPr="003C2000">
        <w:rPr>
          <w:rFonts w:asciiTheme="minorHAnsi" w:hAnsiTheme="minorHAnsi"/>
        </w:rPr>
        <w:t xml:space="preserve">PRSF </w:t>
      </w:r>
      <w:r w:rsidR="000D1297">
        <w:rPr>
          <w:rFonts w:asciiTheme="minorHAnsi" w:hAnsiTheme="minorHAnsi"/>
        </w:rPr>
        <w:t>will</w:t>
      </w:r>
      <w:r w:rsidR="003C2000" w:rsidRPr="003C2000">
        <w:rPr>
          <w:rFonts w:asciiTheme="minorHAnsi" w:hAnsiTheme="minorHAnsi"/>
        </w:rPr>
        <w:t xml:space="preserve"> end in June 2015. With the </w:t>
      </w:r>
      <w:r w:rsidR="006D1E4B">
        <w:rPr>
          <w:rFonts w:asciiTheme="minorHAnsi" w:hAnsiTheme="minorHAnsi"/>
        </w:rPr>
        <w:t>inauguration of a new Indonesian President in October 2014</w:t>
      </w:r>
      <w:r w:rsidR="003C2000" w:rsidRPr="003C2000">
        <w:rPr>
          <w:rFonts w:asciiTheme="minorHAnsi" w:hAnsiTheme="minorHAnsi"/>
        </w:rPr>
        <w:t>, the next phase of support to social protection will need to</w:t>
      </w:r>
      <w:r w:rsidR="00E651D9">
        <w:rPr>
          <w:rFonts w:asciiTheme="minorHAnsi" w:hAnsiTheme="minorHAnsi"/>
        </w:rPr>
        <w:t xml:space="preserve"> maximise</w:t>
      </w:r>
      <w:r w:rsidR="003C2000" w:rsidRPr="003C2000">
        <w:rPr>
          <w:rFonts w:asciiTheme="minorHAnsi" w:hAnsiTheme="minorHAnsi"/>
        </w:rPr>
        <w:t xml:space="preserve"> flexibility </w:t>
      </w:r>
      <w:r w:rsidR="00E651D9" w:rsidRPr="003C2000">
        <w:rPr>
          <w:rFonts w:asciiTheme="minorHAnsi" w:hAnsiTheme="minorHAnsi"/>
        </w:rPr>
        <w:t>to</w:t>
      </w:r>
      <w:r w:rsidR="00E651D9">
        <w:rPr>
          <w:rFonts w:asciiTheme="minorHAnsi" w:hAnsiTheme="minorHAnsi"/>
        </w:rPr>
        <w:t xml:space="preserve"> be able</w:t>
      </w:r>
      <w:r w:rsidR="00E651D9" w:rsidRPr="003C2000">
        <w:rPr>
          <w:rFonts w:asciiTheme="minorHAnsi" w:hAnsiTheme="minorHAnsi"/>
        </w:rPr>
        <w:t xml:space="preserve"> </w:t>
      </w:r>
      <w:r w:rsidR="003C2000" w:rsidRPr="003C2000">
        <w:rPr>
          <w:rFonts w:asciiTheme="minorHAnsi" w:hAnsiTheme="minorHAnsi"/>
        </w:rPr>
        <w:t>to respond</w:t>
      </w:r>
      <w:r w:rsidR="00E651D9">
        <w:rPr>
          <w:rFonts w:asciiTheme="minorHAnsi" w:hAnsiTheme="minorHAnsi"/>
        </w:rPr>
        <w:t xml:space="preserve"> to</w:t>
      </w:r>
      <w:r w:rsidR="003C2000" w:rsidRPr="003C2000">
        <w:rPr>
          <w:rFonts w:asciiTheme="minorHAnsi" w:hAnsiTheme="minorHAnsi"/>
        </w:rPr>
        <w:t xml:space="preserve"> </w:t>
      </w:r>
      <w:r w:rsidR="00E651D9">
        <w:rPr>
          <w:rFonts w:asciiTheme="minorHAnsi" w:hAnsiTheme="minorHAnsi"/>
        </w:rPr>
        <w:t>the ne</w:t>
      </w:r>
      <w:r>
        <w:rPr>
          <w:rFonts w:asciiTheme="minorHAnsi" w:hAnsiTheme="minorHAnsi"/>
        </w:rPr>
        <w:t>w</w:t>
      </w:r>
      <w:r w:rsidR="00E651D9">
        <w:rPr>
          <w:rFonts w:asciiTheme="minorHAnsi" w:hAnsiTheme="minorHAnsi"/>
        </w:rPr>
        <w:t xml:space="preserve"> government’s </w:t>
      </w:r>
      <w:r w:rsidR="003C2000" w:rsidRPr="003C2000">
        <w:rPr>
          <w:rFonts w:asciiTheme="minorHAnsi" w:hAnsiTheme="minorHAnsi"/>
        </w:rPr>
        <w:t xml:space="preserve">priorities. </w:t>
      </w:r>
      <w:r w:rsidR="00CA7919">
        <w:rPr>
          <w:rFonts w:asciiTheme="minorHAnsi" w:hAnsiTheme="minorHAnsi"/>
        </w:rPr>
        <w:t xml:space="preserve">The new </w:t>
      </w:r>
      <w:r w:rsidR="006D1E4B">
        <w:rPr>
          <w:rFonts w:asciiTheme="minorHAnsi" w:hAnsiTheme="minorHAnsi"/>
        </w:rPr>
        <w:t>Indonesian G</w:t>
      </w:r>
      <w:r w:rsidR="00CA7919">
        <w:rPr>
          <w:rFonts w:asciiTheme="minorHAnsi" w:hAnsiTheme="minorHAnsi"/>
        </w:rPr>
        <w:t>overnment will need to make further important reforms—</w:t>
      </w:r>
      <w:r w:rsidR="00B36BBB">
        <w:rPr>
          <w:rFonts w:asciiTheme="minorHAnsi" w:hAnsiTheme="minorHAnsi"/>
        </w:rPr>
        <w:t xml:space="preserve">including to the fuel subsidy—and our track record of support </w:t>
      </w:r>
      <w:r w:rsidR="00896DD4">
        <w:rPr>
          <w:rFonts w:asciiTheme="minorHAnsi" w:hAnsiTheme="minorHAnsi"/>
        </w:rPr>
        <w:t xml:space="preserve">for TNP2K </w:t>
      </w:r>
      <w:r w:rsidR="00B36BBB">
        <w:rPr>
          <w:rFonts w:asciiTheme="minorHAnsi" w:hAnsiTheme="minorHAnsi"/>
        </w:rPr>
        <w:t xml:space="preserve">puts </w:t>
      </w:r>
      <w:r w:rsidR="00124E68">
        <w:rPr>
          <w:rFonts w:asciiTheme="minorHAnsi" w:hAnsiTheme="minorHAnsi"/>
        </w:rPr>
        <w:t>Australia (through DFAT)</w:t>
      </w:r>
      <w:r w:rsidR="00B36BBB">
        <w:rPr>
          <w:rFonts w:asciiTheme="minorHAnsi" w:hAnsiTheme="minorHAnsi"/>
        </w:rPr>
        <w:t xml:space="preserve"> in</w:t>
      </w:r>
      <w:r w:rsidR="002C2B09">
        <w:rPr>
          <w:rFonts w:asciiTheme="minorHAnsi" w:hAnsiTheme="minorHAnsi"/>
        </w:rPr>
        <w:t xml:space="preserve"> a</w:t>
      </w:r>
      <w:r w:rsidR="00B36BBB">
        <w:rPr>
          <w:rFonts w:asciiTheme="minorHAnsi" w:hAnsiTheme="minorHAnsi"/>
        </w:rPr>
        <w:t xml:space="preserve"> good position to continue providing </w:t>
      </w:r>
      <w:r w:rsidR="00124E68">
        <w:rPr>
          <w:rFonts w:asciiTheme="minorHAnsi" w:hAnsiTheme="minorHAnsi"/>
        </w:rPr>
        <w:t>technical support</w:t>
      </w:r>
      <w:r w:rsidR="00B36BBB">
        <w:rPr>
          <w:rFonts w:asciiTheme="minorHAnsi" w:hAnsiTheme="minorHAnsi"/>
        </w:rPr>
        <w:t>.</w:t>
      </w:r>
      <w:r w:rsidR="00896DD4">
        <w:rPr>
          <w:rFonts w:asciiTheme="minorHAnsi" w:hAnsiTheme="minorHAnsi"/>
        </w:rPr>
        <w:t xml:space="preserve"> </w:t>
      </w:r>
      <w:r w:rsidR="00B36BBB">
        <w:rPr>
          <w:rFonts w:asciiTheme="minorHAnsi" w:hAnsiTheme="minorHAnsi"/>
        </w:rPr>
        <w:t xml:space="preserve">But </w:t>
      </w:r>
      <w:r w:rsidR="003C2000" w:rsidRPr="003C2000">
        <w:rPr>
          <w:rFonts w:asciiTheme="minorHAnsi" w:hAnsiTheme="minorHAnsi"/>
        </w:rPr>
        <w:t>TNP2K</w:t>
      </w:r>
      <w:r w:rsidR="00E651D9">
        <w:rPr>
          <w:rFonts w:asciiTheme="minorHAnsi" w:hAnsiTheme="minorHAnsi"/>
        </w:rPr>
        <w:t>’s</w:t>
      </w:r>
      <w:r w:rsidR="003C2000" w:rsidRPr="003C2000">
        <w:rPr>
          <w:rFonts w:asciiTheme="minorHAnsi" w:hAnsiTheme="minorHAnsi"/>
        </w:rPr>
        <w:t xml:space="preserve"> </w:t>
      </w:r>
      <w:r w:rsidR="00E651D9" w:rsidRPr="003C2000">
        <w:rPr>
          <w:rFonts w:asciiTheme="minorHAnsi" w:hAnsiTheme="minorHAnsi"/>
        </w:rPr>
        <w:t xml:space="preserve">role </w:t>
      </w:r>
      <w:r w:rsidR="003C2000" w:rsidRPr="003C2000">
        <w:rPr>
          <w:rFonts w:asciiTheme="minorHAnsi" w:hAnsiTheme="minorHAnsi"/>
        </w:rPr>
        <w:t xml:space="preserve">within the new administration </w:t>
      </w:r>
      <w:r w:rsidR="00BB127E">
        <w:rPr>
          <w:rFonts w:asciiTheme="minorHAnsi" w:hAnsiTheme="minorHAnsi"/>
        </w:rPr>
        <w:t xml:space="preserve">will take time to confirm </w:t>
      </w:r>
      <w:r w:rsidR="003C2000" w:rsidRPr="003C2000">
        <w:rPr>
          <w:rFonts w:asciiTheme="minorHAnsi" w:hAnsiTheme="minorHAnsi"/>
        </w:rPr>
        <w:t xml:space="preserve">following the </w:t>
      </w:r>
      <w:r w:rsidRPr="003C2000">
        <w:rPr>
          <w:rFonts w:asciiTheme="minorHAnsi" w:hAnsiTheme="minorHAnsi"/>
        </w:rPr>
        <w:t xml:space="preserve">election </w:t>
      </w:r>
      <w:r w:rsidR="003C2000" w:rsidRPr="003C2000">
        <w:rPr>
          <w:rFonts w:asciiTheme="minorHAnsi" w:hAnsiTheme="minorHAnsi"/>
        </w:rPr>
        <w:t xml:space="preserve">outcome. </w:t>
      </w:r>
      <w:r>
        <w:rPr>
          <w:rFonts w:asciiTheme="minorHAnsi" w:hAnsiTheme="minorHAnsi"/>
        </w:rPr>
        <w:t>Considering</w:t>
      </w:r>
      <w:r w:rsidR="003C2000" w:rsidRPr="003C2000">
        <w:rPr>
          <w:rFonts w:asciiTheme="minorHAnsi" w:hAnsiTheme="minorHAnsi"/>
        </w:rPr>
        <w:t xml:space="preserve"> </w:t>
      </w:r>
      <w:r w:rsidR="003F3265">
        <w:rPr>
          <w:rFonts w:asciiTheme="minorHAnsi" w:hAnsiTheme="minorHAnsi"/>
        </w:rPr>
        <w:t>progress under PRSF and TNP2K</w:t>
      </w:r>
      <w:r w:rsidR="002C2B09">
        <w:rPr>
          <w:rFonts w:asciiTheme="minorHAnsi" w:hAnsiTheme="minorHAnsi"/>
        </w:rPr>
        <w:t>,</w:t>
      </w:r>
      <w:r w:rsidR="003F3265">
        <w:rPr>
          <w:rFonts w:asciiTheme="minorHAnsi" w:hAnsiTheme="minorHAnsi"/>
        </w:rPr>
        <w:t xml:space="preserve"> </w:t>
      </w:r>
      <w:r w:rsidR="003C2000" w:rsidRPr="003C2000">
        <w:rPr>
          <w:rFonts w:asciiTheme="minorHAnsi" w:hAnsiTheme="minorHAnsi"/>
        </w:rPr>
        <w:t xml:space="preserve">changes in the political economy of </w:t>
      </w:r>
      <w:r w:rsidR="003F3265">
        <w:rPr>
          <w:rFonts w:asciiTheme="minorHAnsi" w:hAnsiTheme="minorHAnsi"/>
        </w:rPr>
        <w:t>poverty reduction</w:t>
      </w:r>
      <w:r w:rsidR="003C2000" w:rsidRPr="003C2000">
        <w:rPr>
          <w:rFonts w:asciiTheme="minorHAnsi" w:hAnsiTheme="minorHAnsi"/>
        </w:rPr>
        <w:t xml:space="preserve"> in Indonesia</w:t>
      </w:r>
      <w:r w:rsidR="002C2B09">
        <w:rPr>
          <w:rFonts w:asciiTheme="minorHAnsi" w:hAnsiTheme="minorHAnsi"/>
        </w:rPr>
        <w:t>,</w:t>
      </w:r>
      <w:r w:rsidR="003F3265">
        <w:rPr>
          <w:rFonts w:asciiTheme="minorHAnsi" w:hAnsiTheme="minorHAnsi"/>
        </w:rPr>
        <w:t xml:space="preserve"> and the country’s longer term evolution of social protection</w:t>
      </w:r>
      <w:r w:rsidR="003C2000" w:rsidRPr="003C2000">
        <w:rPr>
          <w:rFonts w:asciiTheme="minorHAnsi" w:hAnsiTheme="minorHAnsi"/>
        </w:rPr>
        <w:t xml:space="preserve">, this Investment Summary outlines the proposed approach to </w:t>
      </w:r>
      <w:r>
        <w:rPr>
          <w:rFonts w:asciiTheme="minorHAnsi" w:hAnsiTheme="minorHAnsi"/>
        </w:rPr>
        <w:t xml:space="preserve">DFAT’s </w:t>
      </w:r>
      <w:r w:rsidR="003C2000" w:rsidRPr="003C2000">
        <w:rPr>
          <w:rFonts w:asciiTheme="minorHAnsi" w:hAnsiTheme="minorHAnsi"/>
        </w:rPr>
        <w:t xml:space="preserve">next phase of </w:t>
      </w:r>
      <w:r>
        <w:rPr>
          <w:rFonts w:asciiTheme="minorHAnsi" w:hAnsiTheme="minorHAnsi"/>
        </w:rPr>
        <w:t>social protection support</w:t>
      </w:r>
      <w:r w:rsidR="003C2000" w:rsidRPr="003C2000">
        <w:rPr>
          <w:rFonts w:asciiTheme="minorHAnsi" w:hAnsiTheme="minorHAnsi"/>
        </w:rPr>
        <w:t xml:space="preserve"> from July 2015 to June 2019.</w:t>
      </w:r>
      <w:r w:rsidR="007D2BDD" w:rsidRPr="007D2BDD">
        <w:t xml:space="preserve"> </w:t>
      </w:r>
      <w:r w:rsidR="00284DF6">
        <w:t>MAHKOTA Indonesia—</w:t>
      </w:r>
      <w:proofErr w:type="spellStart"/>
      <w:r w:rsidR="00284DF6" w:rsidRPr="00C53F00">
        <w:rPr>
          <w:i/>
        </w:rPr>
        <w:t>Menuju</w:t>
      </w:r>
      <w:proofErr w:type="spellEnd"/>
      <w:r w:rsidR="00284DF6" w:rsidRPr="00C53F00">
        <w:rPr>
          <w:i/>
        </w:rPr>
        <w:t xml:space="preserve"> </w:t>
      </w:r>
      <w:proofErr w:type="spellStart"/>
      <w:r w:rsidR="00284DF6" w:rsidRPr="00C53F00">
        <w:rPr>
          <w:i/>
        </w:rPr>
        <w:t>Masyarakat</w:t>
      </w:r>
      <w:proofErr w:type="spellEnd"/>
      <w:r w:rsidR="00284DF6" w:rsidRPr="00C53F00">
        <w:rPr>
          <w:i/>
        </w:rPr>
        <w:t xml:space="preserve"> Indonesia Yang </w:t>
      </w:r>
      <w:proofErr w:type="spellStart"/>
      <w:r w:rsidR="00284DF6" w:rsidRPr="00C53F00">
        <w:rPr>
          <w:i/>
        </w:rPr>
        <w:t>Kokoh</w:t>
      </w:r>
      <w:proofErr w:type="spellEnd"/>
      <w:r w:rsidR="00284DF6" w:rsidRPr="00C53F00">
        <w:rPr>
          <w:i/>
        </w:rPr>
        <w:t xml:space="preserve"> Sejahtera</w:t>
      </w:r>
      <w:r w:rsidR="00284DF6">
        <w:t xml:space="preserve"> </w:t>
      </w:r>
      <w:r w:rsidR="008A5021">
        <w:t>(</w:t>
      </w:r>
      <w:r w:rsidR="00284DF6">
        <w:t>Towards a Strong and Prosperous Indonesian Society</w:t>
      </w:r>
      <w:r w:rsidR="008A5021">
        <w:t>)</w:t>
      </w:r>
      <w:r w:rsidR="00284DF6">
        <w:t xml:space="preserve">—aims </w:t>
      </w:r>
      <w:r w:rsidR="007D2BDD">
        <w:t xml:space="preserve">to continue efforts </w:t>
      </w:r>
      <w:r w:rsidR="002C2B09">
        <w:t xml:space="preserve">begun </w:t>
      </w:r>
      <w:r w:rsidR="007D2BDD">
        <w:t xml:space="preserve">under the current phase of Australian support to help Indonesia </w:t>
      </w:r>
      <w:r w:rsidR="00BC30D1">
        <w:t xml:space="preserve">better reach and </w:t>
      </w:r>
      <w:r w:rsidR="007D2BDD">
        <w:t xml:space="preserve">benefit the poorest as well as address key </w:t>
      </w:r>
      <w:r w:rsidR="007D2BDD" w:rsidRPr="007D2BDD">
        <w:rPr>
          <w:rFonts w:asciiTheme="minorHAnsi" w:hAnsiTheme="minorHAnsi"/>
        </w:rPr>
        <w:t>binding constraints to growth, competitiveness and rising inequality</w:t>
      </w:r>
      <w:r w:rsidR="007D2BDD">
        <w:rPr>
          <w:rFonts w:asciiTheme="minorHAnsi" w:hAnsiTheme="minorHAnsi"/>
        </w:rPr>
        <w:t xml:space="preserve"> through </w:t>
      </w:r>
      <w:r w:rsidR="00BC30D1">
        <w:rPr>
          <w:rFonts w:asciiTheme="minorHAnsi" w:hAnsiTheme="minorHAnsi"/>
        </w:rPr>
        <w:t>ongoing</w:t>
      </w:r>
      <w:r w:rsidR="005541FE">
        <w:rPr>
          <w:rFonts w:asciiTheme="minorHAnsi" w:hAnsiTheme="minorHAnsi"/>
        </w:rPr>
        <w:t xml:space="preserve"> labour market and</w:t>
      </w:r>
      <w:r w:rsidR="007D2BDD">
        <w:rPr>
          <w:rFonts w:asciiTheme="minorHAnsi" w:hAnsiTheme="minorHAnsi"/>
        </w:rPr>
        <w:t xml:space="preserve"> </w:t>
      </w:r>
      <w:r w:rsidR="00BC30D1">
        <w:rPr>
          <w:rFonts w:asciiTheme="minorHAnsi" w:hAnsiTheme="minorHAnsi"/>
        </w:rPr>
        <w:t xml:space="preserve">social </w:t>
      </w:r>
      <w:r w:rsidR="005541FE">
        <w:rPr>
          <w:rFonts w:asciiTheme="minorHAnsi" w:hAnsiTheme="minorHAnsi"/>
        </w:rPr>
        <w:t xml:space="preserve">protection </w:t>
      </w:r>
      <w:r w:rsidR="007D2BDD">
        <w:rPr>
          <w:rFonts w:asciiTheme="minorHAnsi" w:hAnsiTheme="minorHAnsi"/>
        </w:rPr>
        <w:t>reforms.</w:t>
      </w:r>
    </w:p>
    <w:p w14:paraId="79CCA267" w14:textId="540C04B4" w:rsidR="00284DF6" w:rsidRPr="00284DF6" w:rsidRDefault="00DA7861" w:rsidP="00C53F00">
      <w:pPr>
        <w:spacing w:after="120"/>
        <w:jc w:val="both"/>
        <w:rPr>
          <w:rFonts w:asciiTheme="minorHAnsi" w:hAnsiTheme="minorHAnsi"/>
        </w:rPr>
      </w:pPr>
      <w:r>
        <w:rPr>
          <w:rFonts w:asciiTheme="minorHAnsi" w:hAnsiTheme="minorHAnsi"/>
        </w:rPr>
        <w:t>Addressing the critical constraints to poverty reduction, economic growth and improved competitiveness goes beyond any single initiative.</w:t>
      </w:r>
      <w:r w:rsidR="00124E68">
        <w:rPr>
          <w:rFonts w:asciiTheme="minorHAnsi" w:hAnsiTheme="minorHAnsi"/>
        </w:rPr>
        <w:t xml:space="preserve"> To reach these outcomes MAHKOTA</w:t>
      </w:r>
      <w:r w:rsidR="00124E68" w:rsidRPr="00284DF6">
        <w:rPr>
          <w:rFonts w:asciiTheme="minorHAnsi" w:hAnsiTheme="minorHAnsi"/>
        </w:rPr>
        <w:t xml:space="preserve"> will work closely with other </w:t>
      </w:r>
      <w:r w:rsidR="00124E68">
        <w:rPr>
          <w:rFonts w:asciiTheme="minorHAnsi" w:hAnsiTheme="minorHAnsi"/>
        </w:rPr>
        <w:t>Australian development</w:t>
      </w:r>
      <w:r w:rsidR="00124E68" w:rsidRPr="00284DF6">
        <w:rPr>
          <w:rFonts w:asciiTheme="minorHAnsi" w:hAnsiTheme="minorHAnsi"/>
        </w:rPr>
        <w:t xml:space="preserve"> programs including </w:t>
      </w:r>
      <w:r w:rsidR="00124E68">
        <w:rPr>
          <w:rFonts w:asciiTheme="minorHAnsi" w:hAnsiTheme="minorHAnsi"/>
        </w:rPr>
        <w:t>e</w:t>
      </w:r>
      <w:r w:rsidR="00124E68" w:rsidRPr="00284DF6">
        <w:rPr>
          <w:rFonts w:asciiTheme="minorHAnsi" w:hAnsiTheme="minorHAnsi"/>
        </w:rPr>
        <w:t>conomic governance</w:t>
      </w:r>
      <w:r w:rsidR="00124E68">
        <w:rPr>
          <w:rFonts w:asciiTheme="minorHAnsi" w:hAnsiTheme="minorHAnsi"/>
        </w:rPr>
        <w:t>, education, health, and women’s empowerment.</w:t>
      </w:r>
    </w:p>
    <w:p w14:paraId="3A7F4A72" w14:textId="77777777" w:rsidR="001770EE" w:rsidRPr="008D7329" w:rsidRDefault="001770EE" w:rsidP="00C53F00">
      <w:pPr>
        <w:spacing w:after="120"/>
        <w:jc w:val="both"/>
        <w:rPr>
          <w:rFonts w:asciiTheme="minorHAnsi" w:hAnsiTheme="minorHAnsi"/>
          <w:b/>
        </w:rPr>
      </w:pPr>
      <w:r w:rsidRPr="008D7329">
        <w:rPr>
          <w:rFonts w:asciiTheme="minorHAnsi" w:hAnsiTheme="minorHAnsi"/>
          <w:b/>
        </w:rPr>
        <w:t>1.1.2 Key Issues</w:t>
      </w:r>
    </w:p>
    <w:p w14:paraId="4057C903" w14:textId="77777777" w:rsidR="00C61B19" w:rsidRPr="00C61B19" w:rsidRDefault="00EC59B5" w:rsidP="00FA54B7">
      <w:pPr>
        <w:spacing w:after="0"/>
        <w:jc w:val="both"/>
        <w:rPr>
          <w:rFonts w:asciiTheme="minorHAnsi" w:hAnsiTheme="minorHAnsi"/>
          <w:b/>
        </w:rPr>
      </w:pPr>
      <w:r>
        <w:rPr>
          <w:rFonts w:asciiTheme="minorHAnsi" w:hAnsiTheme="minorHAnsi"/>
          <w:b/>
        </w:rPr>
        <w:t xml:space="preserve">Falling economic growth as </w:t>
      </w:r>
      <w:r w:rsidR="00C61B19" w:rsidRPr="00C61B19">
        <w:rPr>
          <w:rFonts w:asciiTheme="minorHAnsi" w:hAnsiTheme="minorHAnsi"/>
          <w:b/>
        </w:rPr>
        <w:t>high levels of poverty and insecurity</w:t>
      </w:r>
      <w:r>
        <w:rPr>
          <w:rFonts w:asciiTheme="minorHAnsi" w:hAnsiTheme="minorHAnsi"/>
          <w:b/>
        </w:rPr>
        <w:t xml:space="preserve"> continue</w:t>
      </w:r>
    </w:p>
    <w:p w14:paraId="02C74A84" w14:textId="77777777" w:rsidR="00EC59B5" w:rsidRPr="00C61B19" w:rsidRDefault="00EC59B5" w:rsidP="00EC59B5">
      <w:pPr>
        <w:jc w:val="both"/>
        <w:rPr>
          <w:rFonts w:asciiTheme="minorHAnsi" w:hAnsiTheme="minorHAnsi"/>
        </w:rPr>
      </w:pPr>
      <w:r>
        <w:rPr>
          <w:rFonts w:asciiTheme="minorHAnsi" w:hAnsiTheme="minorHAnsi"/>
        </w:rPr>
        <w:t>Over</w:t>
      </w:r>
      <w:r w:rsidRPr="00C61B19">
        <w:rPr>
          <w:rFonts w:asciiTheme="minorHAnsi" w:hAnsiTheme="minorHAnsi"/>
        </w:rPr>
        <w:t xml:space="preserve"> the past 25 years Indonesia has enjoyed strong economic growth accompanied by a significant reduction in extreme poverty</w:t>
      </w:r>
      <w:r>
        <w:rPr>
          <w:rFonts w:asciiTheme="minorHAnsi" w:hAnsiTheme="minorHAnsi"/>
        </w:rPr>
        <w:t xml:space="preserve"> </w:t>
      </w:r>
      <w:r w:rsidRPr="00C61B19">
        <w:rPr>
          <w:rFonts w:asciiTheme="minorHAnsi" w:hAnsiTheme="minorHAnsi"/>
        </w:rPr>
        <w:t>from 23.4% in 1999 to 11.4% in 2013 (World Bank 2012; 2014a)</w:t>
      </w:r>
      <w:r>
        <w:rPr>
          <w:rFonts w:asciiTheme="minorHAnsi" w:hAnsiTheme="minorHAnsi"/>
        </w:rPr>
        <w:t>,</w:t>
      </w:r>
      <w:r w:rsidRPr="00C61B19">
        <w:rPr>
          <w:rFonts w:asciiTheme="minorHAnsi" w:hAnsiTheme="minorHAnsi"/>
        </w:rPr>
        <w:t xml:space="preserve"> but significant challenges remain</w:t>
      </w:r>
      <w:r>
        <w:rPr>
          <w:rFonts w:asciiTheme="minorHAnsi" w:hAnsiTheme="minorHAnsi"/>
        </w:rPr>
        <w:t>. C</w:t>
      </w:r>
      <w:r w:rsidRPr="00C61B19">
        <w:rPr>
          <w:rFonts w:asciiTheme="minorHAnsi" w:hAnsiTheme="minorHAnsi"/>
        </w:rPr>
        <w:t>ontinuing strong growth is not guaranteed</w:t>
      </w:r>
      <w:r>
        <w:rPr>
          <w:rFonts w:asciiTheme="minorHAnsi" w:hAnsiTheme="minorHAnsi"/>
        </w:rPr>
        <w:t>, poverty reduction is slowing and</w:t>
      </w:r>
      <w:r w:rsidRPr="00C61B19">
        <w:rPr>
          <w:rFonts w:asciiTheme="minorHAnsi" w:hAnsiTheme="minorHAnsi"/>
        </w:rPr>
        <w:t xml:space="preserve"> </w:t>
      </w:r>
      <w:r>
        <w:rPr>
          <w:rFonts w:asciiTheme="minorHAnsi" w:hAnsiTheme="minorHAnsi"/>
        </w:rPr>
        <w:t>large numbers</w:t>
      </w:r>
      <w:r w:rsidRPr="00C61B19">
        <w:rPr>
          <w:rFonts w:asciiTheme="minorHAnsi" w:hAnsiTheme="minorHAnsi"/>
        </w:rPr>
        <w:t xml:space="preserve"> of the population remain either poor or without income security.</w:t>
      </w:r>
    </w:p>
    <w:p w14:paraId="328255F0" w14:textId="6F97CA4C" w:rsidR="00397797" w:rsidRDefault="00C61B19" w:rsidP="00C53F00">
      <w:pPr>
        <w:spacing w:after="120"/>
        <w:jc w:val="both"/>
        <w:rPr>
          <w:rFonts w:asciiTheme="minorHAnsi" w:hAnsiTheme="minorHAnsi"/>
        </w:rPr>
      </w:pPr>
      <w:r w:rsidRPr="00C61B19">
        <w:rPr>
          <w:rFonts w:asciiTheme="minorHAnsi" w:hAnsiTheme="minorHAnsi"/>
        </w:rPr>
        <w:t xml:space="preserve">While extreme poverty has fallen, a high proportion of the population remains vulnerable to falling into extreme poverty. </w:t>
      </w:r>
      <w:r w:rsidR="00F13639">
        <w:rPr>
          <w:rFonts w:asciiTheme="minorHAnsi" w:hAnsiTheme="minorHAnsi"/>
        </w:rPr>
        <w:t>There are still more than 28 million people below the</w:t>
      </w:r>
      <w:r w:rsidR="004C088C">
        <w:rPr>
          <w:rFonts w:asciiTheme="minorHAnsi" w:hAnsiTheme="minorHAnsi"/>
        </w:rPr>
        <w:t xml:space="preserve"> current</w:t>
      </w:r>
      <w:r w:rsidR="00F13639">
        <w:rPr>
          <w:rFonts w:asciiTheme="minorHAnsi" w:hAnsiTheme="minorHAnsi"/>
        </w:rPr>
        <w:t xml:space="preserve"> national poverty line of Rp</w:t>
      </w:r>
      <w:r w:rsidR="005244C5">
        <w:rPr>
          <w:rFonts w:asciiTheme="minorHAnsi" w:hAnsiTheme="minorHAnsi"/>
        </w:rPr>
        <w:t>30</w:t>
      </w:r>
      <w:r w:rsidR="00F13639">
        <w:rPr>
          <w:rFonts w:asciiTheme="minorHAnsi" w:hAnsiTheme="minorHAnsi"/>
        </w:rPr>
        <w:t>2,</w:t>
      </w:r>
      <w:r w:rsidR="005244C5">
        <w:rPr>
          <w:rFonts w:asciiTheme="minorHAnsi" w:hAnsiTheme="minorHAnsi"/>
        </w:rPr>
        <w:t>735</w:t>
      </w:r>
      <w:r w:rsidR="000D4F5B">
        <w:rPr>
          <w:rFonts w:asciiTheme="minorHAnsi" w:hAnsiTheme="minorHAnsi"/>
        </w:rPr>
        <w:t xml:space="preserve"> per </w:t>
      </w:r>
      <w:r w:rsidR="00F13639">
        <w:rPr>
          <w:rFonts w:asciiTheme="minorHAnsi" w:hAnsiTheme="minorHAnsi"/>
        </w:rPr>
        <w:t xml:space="preserve">person </w:t>
      </w:r>
      <w:r w:rsidR="004C088C">
        <w:rPr>
          <w:rFonts w:asciiTheme="minorHAnsi" w:hAnsiTheme="minorHAnsi"/>
        </w:rPr>
        <w:t xml:space="preserve">per month (in </w:t>
      </w:r>
      <w:r w:rsidR="005244C5">
        <w:rPr>
          <w:rFonts w:asciiTheme="minorHAnsi" w:hAnsiTheme="minorHAnsi"/>
        </w:rPr>
        <w:t>March</w:t>
      </w:r>
      <w:r w:rsidR="004C088C">
        <w:rPr>
          <w:rFonts w:asciiTheme="minorHAnsi" w:hAnsiTheme="minorHAnsi"/>
        </w:rPr>
        <w:t xml:space="preserve"> 201</w:t>
      </w:r>
      <w:r w:rsidR="005244C5">
        <w:rPr>
          <w:rFonts w:asciiTheme="minorHAnsi" w:hAnsiTheme="minorHAnsi"/>
        </w:rPr>
        <w:t>4</w:t>
      </w:r>
      <w:r w:rsidR="004C088C">
        <w:rPr>
          <w:rFonts w:asciiTheme="minorHAnsi" w:hAnsiTheme="minorHAnsi"/>
        </w:rPr>
        <w:t>, equating to around US$25/month</w:t>
      </w:r>
      <w:r w:rsidR="00F13639">
        <w:rPr>
          <w:rFonts w:asciiTheme="minorHAnsi" w:hAnsiTheme="minorHAnsi"/>
        </w:rPr>
        <w:t xml:space="preserve">). </w:t>
      </w:r>
      <w:r w:rsidR="00265DD9">
        <w:rPr>
          <w:rFonts w:asciiTheme="minorHAnsi" w:hAnsiTheme="minorHAnsi"/>
        </w:rPr>
        <w:t>National survey data shows</w:t>
      </w:r>
      <w:r w:rsidRPr="00C61B19">
        <w:rPr>
          <w:rFonts w:asciiTheme="minorHAnsi" w:hAnsiTheme="minorHAnsi"/>
        </w:rPr>
        <w:t xml:space="preserve"> </w:t>
      </w:r>
      <w:r w:rsidR="00367AE4">
        <w:rPr>
          <w:rFonts w:asciiTheme="minorHAnsi" w:hAnsiTheme="minorHAnsi"/>
        </w:rPr>
        <w:t>that</w:t>
      </w:r>
      <w:r w:rsidR="00367AE4" w:rsidRPr="00C61B19">
        <w:rPr>
          <w:rFonts w:asciiTheme="minorHAnsi" w:hAnsiTheme="minorHAnsi"/>
        </w:rPr>
        <w:t xml:space="preserve"> </w:t>
      </w:r>
      <w:r w:rsidR="00807457">
        <w:rPr>
          <w:rFonts w:asciiTheme="minorHAnsi" w:hAnsiTheme="minorHAnsi"/>
        </w:rPr>
        <w:t>around</w:t>
      </w:r>
      <w:r w:rsidR="00725BAA">
        <w:rPr>
          <w:rFonts w:asciiTheme="minorHAnsi" w:hAnsiTheme="minorHAnsi"/>
        </w:rPr>
        <w:t xml:space="preserve"> </w:t>
      </w:r>
      <w:r w:rsidR="00807457">
        <w:rPr>
          <w:rFonts w:asciiTheme="minorHAnsi" w:hAnsiTheme="minorHAnsi"/>
        </w:rPr>
        <w:t>200</w:t>
      </w:r>
      <w:r w:rsidR="00725BAA">
        <w:rPr>
          <w:rFonts w:asciiTheme="minorHAnsi" w:hAnsiTheme="minorHAnsi"/>
        </w:rPr>
        <w:t xml:space="preserve"> million people</w:t>
      </w:r>
      <w:r w:rsidR="00124E68">
        <w:rPr>
          <w:rFonts w:asciiTheme="minorHAnsi" w:hAnsiTheme="minorHAnsi"/>
        </w:rPr>
        <w:t xml:space="preserve"> </w:t>
      </w:r>
      <w:r w:rsidR="00725BAA">
        <w:rPr>
          <w:rFonts w:asciiTheme="minorHAnsi" w:hAnsiTheme="minorHAnsi"/>
        </w:rPr>
        <w:t>—</w:t>
      </w:r>
      <w:r w:rsidR="00124E68">
        <w:rPr>
          <w:rFonts w:asciiTheme="minorHAnsi" w:hAnsiTheme="minorHAnsi"/>
        </w:rPr>
        <w:t xml:space="preserve"> </w:t>
      </w:r>
      <w:r w:rsidR="00725BAA">
        <w:rPr>
          <w:rFonts w:asciiTheme="minorHAnsi" w:hAnsiTheme="minorHAnsi"/>
        </w:rPr>
        <w:t xml:space="preserve">80% </w:t>
      </w:r>
      <w:r w:rsidR="00367AE4" w:rsidRPr="00C61B19">
        <w:rPr>
          <w:rFonts w:asciiTheme="minorHAnsi" w:hAnsiTheme="minorHAnsi"/>
        </w:rPr>
        <w:t>of Indonesia’s population</w:t>
      </w:r>
      <w:r w:rsidR="00124E68">
        <w:rPr>
          <w:rFonts w:asciiTheme="minorHAnsi" w:hAnsiTheme="minorHAnsi"/>
        </w:rPr>
        <w:t xml:space="preserve"> – </w:t>
      </w:r>
      <w:r w:rsidR="00725BAA">
        <w:rPr>
          <w:rFonts w:asciiTheme="minorHAnsi" w:hAnsiTheme="minorHAnsi"/>
        </w:rPr>
        <w:t>experience</w:t>
      </w:r>
      <w:r w:rsidR="00367AE4" w:rsidRPr="00C61B19">
        <w:rPr>
          <w:rFonts w:asciiTheme="minorHAnsi" w:hAnsiTheme="minorHAnsi"/>
        </w:rPr>
        <w:t xml:space="preserve"> poverty and/or insecurity and are highly vulnerable to shocks</w:t>
      </w:r>
      <w:r w:rsidR="00367AE4">
        <w:rPr>
          <w:rFonts w:asciiTheme="minorHAnsi" w:hAnsiTheme="minorHAnsi"/>
        </w:rPr>
        <w:t>:</w:t>
      </w:r>
      <w:r w:rsidR="00367AE4" w:rsidRPr="00C61B19">
        <w:rPr>
          <w:rFonts w:asciiTheme="minorHAnsi" w:hAnsiTheme="minorHAnsi"/>
        </w:rPr>
        <w:t xml:space="preserve"> </w:t>
      </w:r>
      <w:r w:rsidR="00725BAA">
        <w:rPr>
          <w:rFonts w:asciiTheme="minorHAnsi" w:hAnsiTheme="minorHAnsi"/>
        </w:rPr>
        <w:t xml:space="preserve">96 million people </w:t>
      </w:r>
      <w:r w:rsidRPr="00C61B19">
        <w:rPr>
          <w:rFonts w:asciiTheme="minorHAnsi" w:hAnsiTheme="minorHAnsi"/>
        </w:rPr>
        <w:t>either liv</w:t>
      </w:r>
      <w:r w:rsidR="00725BAA">
        <w:rPr>
          <w:rFonts w:asciiTheme="minorHAnsi" w:hAnsiTheme="minorHAnsi"/>
        </w:rPr>
        <w:t>e</w:t>
      </w:r>
      <w:r w:rsidRPr="00C61B19">
        <w:rPr>
          <w:rFonts w:asciiTheme="minorHAnsi" w:hAnsiTheme="minorHAnsi"/>
        </w:rPr>
        <w:t xml:space="preserve"> in or</w:t>
      </w:r>
      <w:r w:rsidR="001D14BD">
        <w:rPr>
          <w:rFonts w:asciiTheme="minorHAnsi" w:hAnsiTheme="minorHAnsi"/>
        </w:rPr>
        <w:t xml:space="preserve"> </w:t>
      </w:r>
      <w:r w:rsidR="00725BAA">
        <w:rPr>
          <w:rFonts w:asciiTheme="minorHAnsi" w:hAnsiTheme="minorHAnsi"/>
        </w:rPr>
        <w:t>are</w:t>
      </w:r>
      <w:r w:rsidRPr="00C61B19">
        <w:rPr>
          <w:rFonts w:asciiTheme="minorHAnsi" w:hAnsiTheme="minorHAnsi"/>
        </w:rPr>
        <w:t xml:space="preserve"> vulnerable to falling into extreme poverty</w:t>
      </w:r>
      <w:r w:rsidR="0051536A">
        <w:rPr>
          <w:rFonts w:asciiTheme="minorHAnsi" w:hAnsiTheme="minorHAnsi"/>
        </w:rPr>
        <w:t>,</w:t>
      </w:r>
      <w:r w:rsidRPr="00C61B19">
        <w:rPr>
          <w:rFonts w:asciiTheme="minorHAnsi" w:hAnsiTheme="minorHAnsi"/>
        </w:rPr>
        <w:t xml:space="preserve"> while a further </w:t>
      </w:r>
      <w:r w:rsidR="00725BAA">
        <w:rPr>
          <w:rFonts w:asciiTheme="minorHAnsi" w:hAnsiTheme="minorHAnsi"/>
        </w:rPr>
        <w:t>106 million</w:t>
      </w:r>
      <w:r w:rsidRPr="00C61B19">
        <w:rPr>
          <w:rFonts w:asciiTheme="minorHAnsi" w:hAnsiTheme="minorHAnsi"/>
        </w:rPr>
        <w:t xml:space="preserve"> belong to a “</w:t>
      </w:r>
      <w:r w:rsidR="001D061D">
        <w:rPr>
          <w:rFonts w:asciiTheme="minorHAnsi" w:hAnsiTheme="minorHAnsi"/>
        </w:rPr>
        <w:t>emerging consumer class</w:t>
      </w:r>
      <w:r w:rsidRPr="00C61B19">
        <w:rPr>
          <w:rFonts w:asciiTheme="minorHAnsi" w:hAnsiTheme="minorHAnsi"/>
        </w:rPr>
        <w:t>,” but still earn less than $3 a day</w:t>
      </w:r>
      <w:r w:rsidR="00E42B9B">
        <w:rPr>
          <w:rFonts w:asciiTheme="minorHAnsi" w:hAnsiTheme="minorHAnsi"/>
        </w:rPr>
        <w:t xml:space="preserve"> </w:t>
      </w:r>
      <w:r w:rsidR="00265DD9">
        <w:rPr>
          <w:rFonts w:asciiTheme="minorHAnsi" w:hAnsiTheme="minorHAnsi"/>
        </w:rPr>
        <w:t>(</w:t>
      </w:r>
      <w:r w:rsidR="00265DD9" w:rsidRPr="00C61B19">
        <w:rPr>
          <w:rFonts w:asciiTheme="minorHAnsi" w:hAnsiTheme="minorHAnsi"/>
        </w:rPr>
        <w:t>World Bank 2014a</w:t>
      </w:r>
      <w:r w:rsidR="00367AE4">
        <w:rPr>
          <w:rFonts w:asciiTheme="minorHAnsi" w:hAnsiTheme="minorHAnsi"/>
        </w:rPr>
        <w:t xml:space="preserve">; </w:t>
      </w:r>
      <w:r w:rsidR="00E42B9B">
        <w:rPr>
          <w:rFonts w:asciiTheme="minorHAnsi" w:hAnsiTheme="minorHAnsi"/>
        </w:rPr>
        <w:t>Figure 1)</w:t>
      </w:r>
      <w:r w:rsidRPr="00C61B19">
        <w:rPr>
          <w:rFonts w:asciiTheme="minorHAnsi" w:hAnsiTheme="minorHAnsi"/>
        </w:rPr>
        <w:t>.</w:t>
      </w:r>
    </w:p>
    <w:p w14:paraId="4D27A391" w14:textId="35AC42BF" w:rsidR="00B074EF" w:rsidRDefault="00D32C8C" w:rsidP="00C53F00">
      <w:pPr>
        <w:spacing w:after="120"/>
        <w:jc w:val="both"/>
        <w:rPr>
          <w:rFonts w:asciiTheme="minorHAnsi" w:hAnsiTheme="minorHAnsi"/>
        </w:rPr>
      </w:pPr>
      <w:r w:rsidRPr="009B6A33">
        <w:rPr>
          <w:rFonts w:asciiTheme="minorHAnsi" w:hAnsiTheme="minorHAnsi"/>
          <w:noProof/>
          <w:lang w:eastAsia="en-AU"/>
        </w:rPr>
        <mc:AlternateContent>
          <mc:Choice Requires="wps">
            <w:drawing>
              <wp:anchor distT="0" distB="0" distL="114300" distR="114300" simplePos="0" relativeHeight="251659264" behindDoc="1" locked="0" layoutInCell="1" allowOverlap="1" wp14:anchorId="33EF67FA" wp14:editId="0274C0FC">
                <wp:simplePos x="0" y="0"/>
                <wp:positionH relativeFrom="column">
                  <wp:posOffset>-47625</wp:posOffset>
                </wp:positionH>
                <wp:positionV relativeFrom="paragraph">
                  <wp:posOffset>-21590</wp:posOffset>
                </wp:positionV>
                <wp:extent cx="3667125" cy="2981325"/>
                <wp:effectExtent l="0" t="0" r="28575" b="28575"/>
                <wp:wrapTight wrapText="bothSides">
                  <wp:wrapPolygon edited="0">
                    <wp:start x="0" y="0"/>
                    <wp:lineTo x="0" y="21669"/>
                    <wp:lineTo x="21656" y="21669"/>
                    <wp:lineTo x="21656"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981325"/>
                        </a:xfrm>
                        <a:prstGeom prst="rect">
                          <a:avLst/>
                        </a:prstGeom>
                        <a:solidFill>
                          <a:srgbClr val="FFFFFF"/>
                        </a:solidFill>
                        <a:ln w="9525">
                          <a:solidFill>
                            <a:srgbClr val="000000"/>
                          </a:solidFill>
                          <a:miter lim="800000"/>
                          <a:headEnd/>
                          <a:tailEnd/>
                        </a:ln>
                      </wps:spPr>
                      <wps:txbx>
                        <w:txbxContent>
                          <w:p w14:paraId="37843B4F" w14:textId="77777777" w:rsidR="00807457" w:rsidRPr="00022737" w:rsidRDefault="00807457" w:rsidP="009B6A33">
                            <w:pPr>
                              <w:spacing w:after="0"/>
                              <w:rPr>
                                <w:rFonts w:asciiTheme="minorHAnsi" w:hAnsiTheme="minorHAnsi"/>
                                <w:b/>
                                <w:sz w:val="20"/>
                                <w:szCs w:val="20"/>
                              </w:rPr>
                            </w:pPr>
                            <w:r w:rsidRPr="00022737">
                              <w:rPr>
                                <w:rFonts w:asciiTheme="minorHAnsi" w:hAnsiTheme="minorHAnsi"/>
                                <w:b/>
                                <w:sz w:val="20"/>
                                <w:szCs w:val="20"/>
                              </w:rPr>
                              <w:t>Figure 1: Distribution of Indonesia</w:t>
                            </w:r>
                            <w:r>
                              <w:rPr>
                                <w:rFonts w:asciiTheme="minorHAnsi" w:hAnsiTheme="minorHAnsi"/>
                                <w:b/>
                                <w:sz w:val="20"/>
                                <w:szCs w:val="20"/>
                              </w:rPr>
                              <w:t>n</w:t>
                            </w:r>
                            <w:r w:rsidRPr="00022737">
                              <w:rPr>
                                <w:rFonts w:asciiTheme="minorHAnsi" w:hAnsiTheme="minorHAnsi"/>
                                <w:b/>
                                <w:sz w:val="20"/>
                                <w:szCs w:val="20"/>
                              </w:rPr>
                              <w:t xml:space="preserve"> households by consumption </w:t>
                            </w:r>
                          </w:p>
                          <w:p w14:paraId="66E420C6" w14:textId="77777777" w:rsidR="00807457" w:rsidRDefault="00807457" w:rsidP="009B6A33">
                            <w:pPr>
                              <w:spacing w:after="0"/>
                              <w:jc w:val="both"/>
                            </w:pPr>
                            <w:r>
                              <w:rPr>
                                <w:noProof/>
                                <w:lang w:eastAsia="en-AU"/>
                              </w:rPr>
                              <w:drawing>
                                <wp:inline distT="0" distB="0" distL="0" distR="0" wp14:anchorId="17389DDB" wp14:editId="720C9AEB">
                                  <wp:extent cx="3839962" cy="2878372"/>
                                  <wp:effectExtent l="0" t="0" r="8255" b="0"/>
                                  <wp:docPr id="15" name="Picture 15" descr="S:\Decentralisation\SOCIAL PROTECTION\Social protection adviser\Indonesia\TNP2K\inception\VfM\draft\Cdf grap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centralisation\SOCIAL PROTECTION\Social protection adviser\Indonesia\TNP2K\inception\VfM\draft\Cdf graph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9030" cy="288516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1.7pt;width:288.75pt;height:23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">
                <v:textbox>
                  <w:txbxContent>
                    <w:p w14:paraId="37843B4F" w14:textId="77777777" w:rsidR="00B52EBB" w:rsidRPr="00022737" w:rsidRDefault="00B52EBB" w:rsidP="009B6A33">
                      <w:pPr>
                        <w:spacing w:after="0"/>
                        <w:rPr>
                          <w:rFonts w:asciiTheme="minorHAnsi" w:hAnsiTheme="minorHAnsi"/>
                          <w:b/>
                          <w:sz w:val="20"/>
                          <w:szCs w:val="20"/>
                        </w:rPr>
                      </w:pPr>
                      <w:r w:rsidRPr="00022737">
                        <w:rPr>
                          <w:rFonts w:asciiTheme="minorHAnsi" w:hAnsiTheme="minorHAnsi"/>
                          <w:b/>
                          <w:sz w:val="20"/>
                          <w:szCs w:val="20"/>
                        </w:rPr>
                        <w:t>Figure 1: Distribution of Indonesia</w:t>
                      </w:r>
                      <w:r>
                        <w:rPr>
                          <w:rFonts w:asciiTheme="minorHAnsi" w:hAnsiTheme="minorHAnsi"/>
                          <w:b/>
                          <w:sz w:val="20"/>
                          <w:szCs w:val="20"/>
                        </w:rPr>
                        <w:t>n</w:t>
                      </w:r>
                      <w:r w:rsidRPr="00022737">
                        <w:rPr>
                          <w:rFonts w:asciiTheme="minorHAnsi" w:hAnsiTheme="minorHAnsi"/>
                          <w:b/>
                          <w:sz w:val="20"/>
                          <w:szCs w:val="20"/>
                        </w:rPr>
                        <w:t xml:space="preserve"> households by consumption </w:t>
                      </w:r>
                    </w:p>
                    <w:p w14:paraId="66E420C6" w14:textId="77777777" w:rsidR="00B52EBB" w:rsidRDefault="00B52EBB" w:rsidP="009B6A33">
                      <w:pPr>
                        <w:spacing w:after="0"/>
                        <w:jc w:val="both"/>
                      </w:pPr>
                      <w:r>
                        <w:rPr>
                          <w:noProof/>
                          <w:lang w:eastAsia="en-AU"/>
                        </w:rPr>
                        <w:drawing>
                          <wp:inline distT="0" distB="0" distL="0" distR="0" wp14:anchorId="17389DDB" wp14:editId="720C9AEB">
                            <wp:extent cx="3839962" cy="2878372"/>
                            <wp:effectExtent l="0" t="0" r="8255" b="0"/>
                            <wp:docPr id="15" name="Picture 15" descr="S:\Decentralisation\SOCIAL PROTECTION\Social protection adviser\Indonesia\TNP2K\inception\VfM\draft\Cdf grap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centralisation\SOCIAL PROTECTION\Social protection adviser\Indonesia\TNP2K\inception\VfM\draft\Cdf graph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49030" cy="2885169"/>
                                    </a:xfrm>
                                    <a:prstGeom prst="rect">
                                      <a:avLst/>
                                    </a:prstGeom>
                                    <a:noFill/>
                                    <a:ln>
                                      <a:noFill/>
                                    </a:ln>
                                  </pic:spPr>
                                </pic:pic>
                              </a:graphicData>
                            </a:graphic>
                          </wp:inline>
                        </w:drawing>
                      </w:r>
                    </w:p>
                  </w:txbxContent>
                </v:textbox>
                <w10:wrap type="tight"/>
              </v:shape>
            </w:pict>
          </mc:Fallback>
        </mc:AlternateContent>
      </w:r>
      <w:r w:rsidR="00B074EF">
        <w:rPr>
          <w:rFonts w:asciiTheme="minorHAnsi" w:hAnsiTheme="minorHAnsi"/>
        </w:rPr>
        <w:t xml:space="preserve">Poverty reduction has slowed in recent years and the poverty rate increased slightly in 2013 due to inflationary effects of the fuel subsidy reduction. The official poverty rate in </w:t>
      </w:r>
      <w:r w:rsidR="005244C5">
        <w:rPr>
          <w:rFonts w:asciiTheme="minorHAnsi" w:hAnsiTheme="minorHAnsi"/>
        </w:rPr>
        <w:t>March</w:t>
      </w:r>
      <w:r w:rsidR="00B074EF">
        <w:rPr>
          <w:rFonts w:asciiTheme="minorHAnsi" w:hAnsiTheme="minorHAnsi"/>
        </w:rPr>
        <w:t xml:space="preserve"> 201</w:t>
      </w:r>
      <w:r w:rsidR="005244C5">
        <w:rPr>
          <w:rFonts w:asciiTheme="minorHAnsi" w:hAnsiTheme="minorHAnsi"/>
        </w:rPr>
        <w:t>4</w:t>
      </w:r>
      <w:r w:rsidR="00B074EF">
        <w:rPr>
          <w:rFonts w:asciiTheme="minorHAnsi" w:hAnsiTheme="minorHAnsi"/>
        </w:rPr>
        <w:t xml:space="preserve"> was 11.</w:t>
      </w:r>
      <w:r w:rsidR="005244C5">
        <w:rPr>
          <w:rFonts w:asciiTheme="minorHAnsi" w:hAnsiTheme="minorHAnsi"/>
        </w:rPr>
        <w:t>25</w:t>
      </w:r>
      <w:r w:rsidR="00B074EF">
        <w:rPr>
          <w:rFonts w:asciiTheme="minorHAnsi" w:hAnsiTheme="minorHAnsi"/>
        </w:rPr>
        <w:t xml:space="preserve">%, suggesting that GOI is unlikely to achieve its goal of reducing poverty to </w:t>
      </w:r>
      <w:r w:rsidR="00D94BA3">
        <w:rPr>
          <w:rFonts w:asciiTheme="minorHAnsi" w:hAnsiTheme="minorHAnsi"/>
        </w:rPr>
        <w:t>9</w:t>
      </w:r>
      <w:r w:rsidR="00B074EF">
        <w:rPr>
          <w:rFonts w:asciiTheme="minorHAnsi" w:hAnsiTheme="minorHAnsi"/>
        </w:rPr>
        <w:t>-10</w:t>
      </w:r>
      <w:r w:rsidR="00D94BA3">
        <w:rPr>
          <w:rFonts w:asciiTheme="minorHAnsi" w:hAnsiTheme="minorHAnsi"/>
        </w:rPr>
        <w:t>.5</w:t>
      </w:r>
      <w:r w:rsidR="00B074EF">
        <w:rPr>
          <w:rFonts w:asciiTheme="minorHAnsi" w:hAnsiTheme="minorHAnsi"/>
        </w:rPr>
        <w:t xml:space="preserve">% by </w:t>
      </w:r>
      <w:r w:rsidR="00807457">
        <w:rPr>
          <w:rFonts w:asciiTheme="minorHAnsi" w:hAnsiTheme="minorHAnsi"/>
        </w:rPr>
        <w:t xml:space="preserve">the end of </w:t>
      </w:r>
      <w:r w:rsidR="00B074EF">
        <w:rPr>
          <w:rFonts w:asciiTheme="minorHAnsi" w:hAnsiTheme="minorHAnsi"/>
        </w:rPr>
        <w:t xml:space="preserve">2014. While GOI </w:t>
      </w:r>
      <w:r w:rsidR="00807457">
        <w:rPr>
          <w:rFonts w:asciiTheme="minorHAnsi" w:hAnsiTheme="minorHAnsi"/>
        </w:rPr>
        <w:t xml:space="preserve">originally </w:t>
      </w:r>
      <w:r w:rsidR="00B074EF">
        <w:rPr>
          <w:rFonts w:asciiTheme="minorHAnsi" w:hAnsiTheme="minorHAnsi"/>
        </w:rPr>
        <w:t xml:space="preserve">set its targets </w:t>
      </w:r>
      <w:r w:rsidR="002C2B09">
        <w:rPr>
          <w:rFonts w:asciiTheme="minorHAnsi" w:hAnsiTheme="minorHAnsi"/>
        </w:rPr>
        <w:t>assuming</w:t>
      </w:r>
      <w:r w:rsidR="00B074EF">
        <w:rPr>
          <w:rFonts w:asciiTheme="minorHAnsi" w:hAnsiTheme="minorHAnsi"/>
        </w:rPr>
        <w:t xml:space="preserve"> an annual 2% reduction in poverty, actual rates over the past four years </w:t>
      </w:r>
      <w:proofErr w:type="gramStart"/>
      <w:r w:rsidR="00B074EF">
        <w:rPr>
          <w:rFonts w:asciiTheme="minorHAnsi" w:hAnsiTheme="minorHAnsi"/>
        </w:rPr>
        <w:t>have</w:t>
      </w:r>
      <w:proofErr w:type="gramEnd"/>
      <w:r w:rsidR="00B074EF">
        <w:rPr>
          <w:rFonts w:asciiTheme="minorHAnsi" w:hAnsiTheme="minorHAnsi"/>
        </w:rPr>
        <w:t xml:space="preserve"> been less than 1%.</w:t>
      </w:r>
    </w:p>
    <w:p w14:paraId="04BAD82E" w14:textId="77777777" w:rsidR="00B074EF" w:rsidRDefault="00B074EF" w:rsidP="00C53F00">
      <w:pPr>
        <w:spacing w:after="120"/>
        <w:jc w:val="both"/>
        <w:rPr>
          <w:rFonts w:asciiTheme="minorHAnsi" w:hAnsiTheme="minorHAnsi"/>
        </w:rPr>
      </w:pPr>
      <w:r>
        <w:rPr>
          <w:rFonts w:asciiTheme="minorHAnsi" w:hAnsiTheme="minorHAnsi"/>
        </w:rPr>
        <w:t>The slowing rate of poverty reduction is due to a number of reasons, but one is that the extreme poor—those in the poorest 10% segment of the population—are much further below the poverty line, and so require greater growth to get out of poverty (World Bank 2013). Another important reason is that the benefits of growth are unequally shared, and much less reaches the poorest (see below and figure 2).</w:t>
      </w:r>
    </w:p>
    <w:p w14:paraId="0F0422C6" w14:textId="77777777" w:rsidR="00C31947" w:rsidRPr="00C61B19" w:rsidRDefault="00EC59B5" w:rsidP="00C31947">
      <w:pPr>
        <w:spacing w:after="0"/>
        <w:jc w:val="both"/>
        <w:rPr>
          <w:rFonts w:asciiTheme="minorHAnsi" w:hAnsiTheme="minorHAnsi"/>
          <w:b/>
        </w:rPr>
      </w:pPr>
      <w:r>
        <w:rPr>
          <w:rFonts w:asciiTheme="minorHAnsi" w:hAnsiTheme="minorHAnsi"/>
          <w:b/>
        </w:rPr>
        <w:t>S</w:t>
      </w:r>
      <w:r w:rsidR="00C31947" w:rsidRPr="00C61B19">
        <w:rPr>
          <w:rFonts w:asciiTheme="minorHAnsi" w:hAnsiTheme="minorHAnsi"/>
          <w:b/>
        </w:rPr>
        <w:t>tructural weaknesses in the labour market</w:t>
      </w:r>
    </w:p>
    <w:p w14:paraId="2CB6B30A" w14:textId="77777777" w:rsidR="00C31947" w:rsidRPr="00C61B19" w:rsidRDefault="00C31947" w:rsidP="00C53F00">
      <w:pPr>
        <w:spacing w:after="120"/>
        <w:jc w:val="both"/>
        <w:rPr>
          <w:rFonts w:asciiTheme="minorHAnsi" w:hAnsiTheme="minorHAnsi"/>
        </w:rPr>
      </w:pPr>
      <w:r>
        <w:rPr>
          <w:rFonts w:asciiTheme="minorHAnsi" w:hAnsiTheme="minorHAnsi"/>
        </w:rPr>
        <w:t>S</w:t>
      </w:r>
      <w:r w:rsidRPr="00C61B19">
        <w:rPr>
          <w:rFonts w:asciiTheme="minorHAnsi" w:hAnsiTheme="minorHAnsi"/>
        </w:rPr>
        <w:t xml:space="preserve">tructural weaknesses in the labour market are a key </w:t>
      </w:r>
      <w:r w:rsidR="00054259">
        <w:rPr>
          <w:rFonts w:asciiTheme="minorHAnsi" w:hAnsiTheme="minorHAnsi"/>
        </w:rPr>
        <w:t>risk</w:t>
      </w:r>
      <w:r w:rsidRPr="00C61B19">
        <w:rPr>
          <w:rFonts w:asciiTheme="minorHAnsi" w:hAnsiTheme="minorHAnsi"/>
        </w:rPr>
        <w:t xml:space="preserve"> to future economic growth. Although Indonesia enjoys abundant labour, it has not generated sufficient good jobs to fully share the benefits of growth with the working population (World Bank 2010). Too many</w:t>
      </w:r>
      <w:r>
        <w:rPr>
          <w:rFonts w:asciiTheme="minorHAnsi" w:hAnsiTheme="minorHAnsi"/>
        </w:rPr>
        <w:t xml:space="preserve"> new</w:t>
      </w:r>
      <w:r w:rsidRPr="00C61B19">
        <w:rPr>
          <w:rFonts w:asciiTheme="minorHAnsi" w:hAnsiTheme="minorHAnsi"/>
        </w:rPr>
        <w:t xml:space="preserve"> jobs </w:t>
      </w:r>
      <w:r w:rsidR="00054259">
        <w:rPr>
          <w:rFonts w:asciiTheme="minorHAnsi" w:hAnsiTheme="minorHAnsi"/>
        </w:rPr>
        <w:t>are</w:t>
      </w:r>
      <w:r w:rsidRPr="00C61B19">
        <w:rPr>
          <w:rFonts w:asciiTheme="minorHAnsi" w:hAnsiTheme="minorHAnsi"/>
        </w:rPr>
        <w:t xml:space="preserve"> </w:t>
      </w:r>
      <w:r>
        <w:rPr>
          <w:rFonts w:asciiTheme="minorHAnsi" w:hAnsiTheme="minorHAnsi"/>
        </w:rPr>
        <w:t>in the informal sector with</w:t>
      </w:r>
      <w:r w:rsidRPr="00C61B19">
        <w:rPr>
          <w:rFonts w:asciiTheme="minorHAnsi" w:hAnsiTheme="minorHAnsi"/>
        </w:rPr>
        <w:t xml:space="preserve"> limited expansion of employment in rural areas (World Bank 2013). Key weaknesses include low skill levels, low labour force participation by </w:t>
      </w:r>
      <w:r>
        <w:rPr>
          <w:rFonts w:asciiTheme="minorHAnsi" w:hAnsiTheme="minorHAnsi"/>
        </w:rPr>
        <w:t xml:space="preserve">women and other </w:t>
      </w:r>
      <w:r w:rsidRPr="00C61B19">
        <w:rPr>
          <w:rFonts w:asciiTheme="minorHAnsi" w:hAnsiTheme="minorHAnsi"/>
        </w:rPr>
        <w:t>key population groups</w:t>
      </w:r>
      <w:r>
        <w:rPr>
          <w:rFonts w:asciiTheme="minorHAnsi" w:hAnsiTheme="minorHAnsi"/>
        </w:rPr>
        <w:t>,</w:t>
      </w:r>
      <w:r w:rsidRPr="00C61B19">
        <w:rPr>
          <w:rFonts w:asciiTheme="minorHAnsi" w:hAnsiTheme="minorHAnsi"/>
        </w:rPr>
        <w:t xml:space="preserve"> and excessively rigid </w:t>
      </w:r>
      <w:r>
        <w:rPr>
          <w:rFonts w:asciiTheme="minorHAnsi" w:hAnsiTheme="minorHAnsi"/>
        </w:rPr>
        <w:t>regulations</w:t>
      </w:r>
      <w:r w:rsidRPr="00C61B19">
        <w:rPr>
          <w:rFonts w:asciiTheme="minorHAnsi" w:hAnsiTheme="minorHAnsi"/>
        </w:rPr>
        <w:t>. This combined with the capital-intensive nature of Indonesia’s natural resource-based growth puts it on a trajectory of jobless growth (</w:t>
      </w:r>
      <w:r>
        <w:rPr>
          <w:rFonts w:asciiTheme="minorHAnsi" w:hAnsiTheme="minorHAnsi"/>
        </w:rPr>
        <w:t>HKS</w:t>
      </w:r>
      <w:r w:rsidRPr="00C61B19">
        <w:rPr>
          <w:rFonts w:asciiTheme="minorHAnsi" w:hAnsiTheme="minorHAnsi"/>
        </w:rPr>
        <w:t xml:space="preserve"> 2013).</w:t>
      </w:r>
    </w:p>
    <w:p w14:paraId="77FF4771" w14:textId="3E9E772A" w:rsidR="00C31947" w:rsidRPr="00C61B19" w:rsidRDefault="00C31947" w:rsidP="00C53F00">
      <w:pPr>
        <w:spacing w:after="120"/>
        <w:jc w:val="both"/>
        <w:rPr>
          <w:rFonts w:asciiTheme="minorHAnsi" w:hAnsiTheme="minorHAnsi"/>
        </w:rPr>
      </w:pPr>
      <w:r>
        <w:rPr>
          <w:rFonts w:asciiTheme="minorHAnsi" w:hAnsiTheme="minorHAnsi"/>
        </w:rPr>
        <w:t>Education levels among t</w:t>
      </w:r>
      <w:r w:rsidRPr="00C61B19">
        <w:rPr>
          <w:rFonts w:asciiTheme="minorHAnsi" w:hAnsiTheme="minorHAnsi"/>
        </w:rPr>
        <w:t xml:space="preserve">he workforce </w:t>
      </w:r>
      <w:r>
        <w:rPr>
          <w:rFonts w:asciiTheme="minorHAnsi" w:hAnsiTheme="minorHAnsi"/>
        </w:rPr>
        <w:t>are low and</w:t>
      </w:r>
      <w:r w:rsidRPr="00C61B19">
        <w:rPr>
          <w:rFonts w:asciiTheme="minorHAnsi" w:hAnsiTheme="minorHAnsi"/>
        </w:rPr>
        <w:t xml:space="preserve"> well behind regional competitors</w:t>
      </w:r>
      <w:r>
        <w:rPr>
          <w:rFonts w:asciiTheme="minorHAnsi" w:hAnsiTheme="minorHAnsi"/>
        </w:rPr>
        <w:t xml:space="preserve">—only </w:t>
      </w:r>
      <w:r w:rsidRPr="00C61B19">
        <w:rPr>
          <w:rFonts w:asciiTheme="minorHAnsi" w:hAnsiTheme="minorHAnsi"/>
        </w:rPr>
        <w:t xml:space="preserve">25% have completed senior secondary </w:t>
      </w:r>
      <w:r>
        <w:rPr>
          <w:rFonts w:asciiTheme="minorHAnsi" w:hAnsiTheme="minorHAnsi"/>
        </w:rPr>
        <w:t>school</w:t>
      </w:r>
      <w:r w:rsidRPr="00C61B19">
        <w:rPr>
          <w:rFonts w:asciiTheme="minorHAnsi" w:hAnsiTheme="minorHAnsi"/>
        </w:rPr>
        <w:t xml:space="preserve">, </w:t>
      </w:r>
      <w:r w:rsidR="00124E68">
        <w:rPr>
          <w:rFonts w:asciiTheme="minorHAnsi" w:hAnsiTheme="minorHAnsi"/>
        </w:rPr>
        <w:t>and even for those who graduate</w:t>
      </w:r>
      <w:r w:rsidRPr="00C61B19">
        <w:rPr>
          <w:rFonts w:asciiTheme="minorHAnsi" w:hAnsiTheme="minorHAnsi"/>
        </w:rPr>
        <w:t xml:space="preserve"> the curriculum </w:t>
      </w:r>
      <w:r>
        <w:rPr>
          <w:rFonts w:asciiTheme="minorHAnsi" w:hAnsiTheme="minorHAnsi"/>
        </w:rPr>
        <w:t>does</w:t>
      </w:r>
      <w:r w:rsidRPr="00C61B19">
        <w:rPr>
          <w:rFonts w:asciiTheme="minorHAnsi" w:hAnsiTheme="minorHAnsi"/>
        </w:rPr>
        <w:t xml:space="preserve"> not provid</w:t>
      </w:r>
      <w:r>
        <w:rPr>
          <w:rFonts w:asciiTheme="minorHAnsi" w:hAnsiTheme="minorHAnsi"/>
        </w:rPr>
        <w:t>e</w:t>
      </w:r>
      <w:r w:rsidRPr="00C61B19">
        <w:rPr>
          <w:rFonts w:asciiTheme="minorHAnsi" w:hAnsiTheme="minorHAnsi"/>
        </w:rPr>
        <w:t xml:space="preserve"> adequate skills for the labour market (World Bank 2010; 2013). </w:t>
      </w:r>
      <w:r w:rsidR="00054259">
        <w:rPr>
          <w:rFonts w:asciiTheme="minorHAnsi" w:hAnsiTheme="minorHAnsi"/>
        </w:rPr>
        <w:t>U</w:t>
      </w:r>
      <w:r w:rsidRPr="00C61B19">
        <w:rPr>
          <w:rFonts w:asciiTheme="minorHAnsi" w:hAnsiTheme="minorHAnsi"/>
        </w:rPr>
        <w:t>nder-nutrition among young children is high and</w:t>
      </w:r>
      <w:r w:rsidR="00054259">
        <w:rPr>
          <w:rFonts w:asciiTheme="minorHAnsi" w:hAnsiTheme="minorHAnsi"/>
        </w:rPr>
        <w:t xml:space="preserve"> </w:t>
      </w:r>
      <w:r w:rsidR="00054259" w:rsidRPr="00C61B19">
        <w:rPr>
          <w:rFonts w:asciiTheme="minorHAnsi" w:hAnsiTheme="minorHAnsi"/>
        </w:rPr>
        <w:t>increasing</w:t>
      </w:r>
      <w:r w:rsidR="00054259">
        <w:rPr>
          <w:rFonts w:asciiTheme="minorHAnsi" w:hAnsiTheme="minorHAnsi"/>
        </w:rPr>
        <w:t>, threatening future productivity</w:t>
      </w:r>
      <w:r w:rsidR="00124E68">
        <w:rPr>
          <w:rFonts w:asciiTheme="minorHAnsi" w:hAnsiTheme="minorHAnsi"/>
        </w:rPr>
        <w:t xml:space="preserve"> </w:t>
      </w:r>
      <w:r w:rsidRPr="00C61B19">
        <w:rPr>
          <w:rFonts w:asciiTheme="minorHAnsi" w:hAnsiTheme="minorHAnsi"/>
        </w:rPr>
        <w:t>–</w:t>
      </w:r>
      <w:r w:rsidR="00124E68">
        <w:rPr>
          <w:rFonts w:asciiTheme="minorHAnsi" w:hAnsiTheme="minorHAnsi"/>
        </w:rPr>
        <w:t xml:space="preserve"> </w:t>
      </w:r>
      <w:r w:rsidRPr="00C61B19">
        <w:rPr>
          <w:rFonts w:asciiTheme="minorHAnsi" w:hAnsiTheme="minorHAnsi"/>
        </w:rPr>
        <w:t>37.2% of children under</w:t>
      </w:r>
      <w:r>
        <w:rPr>
          <w:rFonts w:asciiTheme="minorHAnsi" w:hAnsiTheme="minorHAnsi"/>
        </w:rPr>
        <w:t xml:space="preserve"> the age of </w:t>
      </w:r>
      <w:r w:rsidR="00124E68">
        <w:rPr>
          <w:rFonts w:asciiTheme="minorHAnsi" w:hAnsiTheme="minorHAnsi"/>
        </w:rPr>
        <w:t>five</w:t>
      </w:r>
      <w:r w:rsidRPr="00C61B19">
        <w:rPr>
          <w:rFonts w:asciiTheme="minorHAnsi" w:hAnsiTheme="minorHAnsi"/>
        </w:rPr>
        <w:t xml:space="preserve"> were</w:t>
      </w:r>
      <w:r w:rsidR="00054259">
        <w:rPr>
          <w:rFonts w:asciiTheme="minorHAnsi" w:hAnsiTheme="minorHAnsi"/>
        </w:rPr>
        <w:t xml:space="preserve"> stunted in 2013</w:t>
      </w:r>
      <w:r w:rsidRPr="00C61B19">
        <w:rPr>
          <w:rFonts w:asciiTheme="minorHAnsi" w:hAnsiTheme="minorHAnsi"/>
        </w:rPr>
        <w:t xml:space="preserve">. </w:t>
      </w:r>
      <w:r>
        <w:rPr>
          <w:rFonts w:asciiTheme="minorHAnsi" w:hAnsiTheme="minorHAnsi"/>
        </w:rPr>
        <w:t>T</w:t>
      </w:r>
      <w:r w:rsidRPr="00C61B19">
        <w:rPr>
          <w:rFonts w:asciiTheme="minorHAnsi" w:hAnsiTheme="minorHAnsi"/>
        </w:rPr>
        <w:t>h</w:t>
      </w:r>
      <w:r>
        <w:rPr>
          <w:rFonts w:asciiTheme="minorHAnsi" w:hAnsiTheme="minorHAnsi"/>
        </w:rPr>
        <w:t xml:space="preserve">is </w:t>
      </w:r>
      <w:r w:rsidRPr="00C61B19">
        <w:rPr>
          <w:rFonts w:asciiTheme="minorHAnsi" w:hAnsiTheme="minorHAnsi"/>
        </w:rPr>
        <w:t xml:space="preserve">lost cognitive development costs Indonesia </w:t>
      </w:r>
      <w:r w:rsidR="00124E68">
        <w:rPr>
          <w:rFonts w:asciiTheme="minorHAnsi" w:hAnsiTheme="minorHAnsi"/>
        </w:rPr>
        <w:t xml:space="preserve">approximately      </w:t>
      </w:r>
      <w:r w:rsidR="00A67C83">
        <w:rPr>
          <w:rFonts w:asciiTheme="minorHAnsi" w:hAnsiTheme="minorHAnsi"/>
        </w:rPr>
        <w:t>3</w:t>
      </w:r>
      <w:r w:rsidRPr="00C61B19">
        <w:rPr>
          <w:rFonts w:asciiTheme="minorHAnsi" w:hAnsiTheme="minorHAnsi"/>
        </w:rPr>
        <w:t>-</w:t>
      </w:r>
      <w:r w:rsidR="00A67C83">
        <w:rPr>
          <w:rFonts w:asciiTheme="minorHAnsi" w:hAnsiTheme="minorHAnsi"/>
        </w:rPr>
        <w:t>4</w:t>
      </w:r>
      <w:r w:rsidRPr="00C61B19">
        <w:rPr>
          <w:rFonts w:asciiTheme="minorHAnsi" w:hAnsiTheme="minorHAnsi"/>
        </w:rPr>
        <w:t>% of GDP</w:t>
      </w:r>
      <w:r>
        <w:rPr>
          <w:rFonts w:asciiTheme="minorHAnsi" w:hAnsiTheme="minorHAnsi"/>
        </w:rPr>
        <w:t xml:space="preserve"> annually</w:t>
      </w:r>
      <w:r w:rsidRPr="00C61B19">
        <w:rPr>
          <w:rFonts w:asciiTheme="minorHAnsi" w:hAnsiTheme="minorHAnsi"/>
        </w:rPr>
        <w:t xml:space="preserve"> (Ministry of Health 2013; UNICEF 2013; World Bank 2014c).</w:t>
      </w:r>
    </w:p>
    <w:p w14:paraId="1764BED4" w14:textId="77777777" w:rsidR="00C31947" w:rsidRPr="00C61B19" w:rsidRDefault="00C31947" w:rsidP="00C53F00">
      <w:pPr>
        <w:spacing w:after="120"/>
        <w:jc w:val="both"/>
        <w:rPr>
          <w:rFonts w:asciiTheme="minorHAnsi" w:hAnsiTheme="minorHAnsi"/>
        </w:rPr>
      </w:pPr>
      <w:r w:rsidRPr="00C61B19">
        <w:rPr>
          <w:rFonts w:asciiTheme="minorHAnsi" w:hAnsiTheme="minorHAnsi"/>
        </w:rPr>
        <w:t>In addition to high youth unemployment, both women and people with disabilities (PwDs) are under-represented in the labour force</w:t>
      </w:r>
      <w:r>
        <w:rPr>
          <w:rFonts w:asciiTheme="minorHAnsi" w:hAnsiTheme="minorHAnsi"/>
        </w:rPr>
        <w:t>.</w:t>
      </w:r>
      <w:r w:rsidRPr="00C61B19">
        <w:rPr>
          <w:rFonts w:asciiTheme="minorHAnsi" w:hAnsiTheme="minorHAnsi"/>
        </w:rPr>
        <w:t xml:space="preserve"> Compared to regional competitors, women’s labour force part</w:t>
      </w:r>
      <w:r>
        <w:rPr>
          <w:rFonts w:asciiTheme="minorHAnsi" w:hAnsiTheme="minorHAnsi"/>
        </w:rPr>
        <w:t xml:space="preserve">icipation is low and declining </w:t>
      </w:r>
      <w:r w:rsidRPr="00C61B19">
        <w:rPr>
          <w:rFonts w:asciiTheme="minorHAnsi" w:hAnsiTheme="minorHAnsi"/>
        </w:rPr>
        <w:t xml:space="preserve">and is an important factor </w:t>
      </w:r>
      <w:r>
        <w:rPr>
          <w:rFonts w:asciiTheme="minorHAnsi" w:hAnsiTheme="minorHAnsi"/>
        </w:rPr>
        <w:t>behind</w:t>
      </w:r>
      <w:r w:rsidRPr="00C61B19">
        <w:rPr>
          <w:rFonts w:asciiTheme="minorHAnsi" w:hAnsiTheme="minorHAnsi"/>
        </w:rPr>
        <w:t xml:space="preserve"> the countr</w:t>
      </w:r>
      <w:r>
        <w:rPr>
          <w:rFonts w:asciiTheme="minorHAnsi" w:hAnsiTheme="minorHAnsi"/>
        </w:rPr>
        <w:t>y’s</w:t>
      </w:r>
      <w:r w:rsidRPr="00C61B19">
        <w:rPr>
          <w:rFonts w:asciiTheme="minorHAnsi" w:hAnsiTheme="minorHAnsi"/>
        </w:rPr>
        <w:t xml:space="preserve"> </w:t>
      </w:r>
      <w:r w:rsidR="00D33E46">
        <w:rPr>
          <w:rFonts w:asciiTheme="minorHAnsi" w:hAnsiTheme="minorHAnsi"/>
        </w:rPr>
        <w:t>poor</w:t>
      </w:r>
      <w:r w:rsidRPr="00C61B19">
        <w:rPr>
          <w:rFonts w:asciiTheme="minorHAnsi" w:hAnsiTheme="minorHAnsi"/>
        </w:rPr>
        <w:t xml:space="preserve"> labour market </w:t>
      </w:r>
      <w:r w:rsidR="00D33E46">
        <w:rPr>
          <w:rFonts w:asciiTheme="minorHAnsi" w:hAnsiTheme="minorHAnsi"/>
        </w:rPr>
        <w:t>performance</w:t>
      </w:r>
      <w:r w:rsidRPr="00C61B19">
        <w:rPr>
          <w:rFonts w:asciiTheme="minorHAnsi" w:hAnsiTheme="minorHAnsi"/>
        </w:rPr>
        <w:t xml:space="preserve"> (World Economic Forum 2014). </w:t>
      </w:r>
    </w:p>
    <w:p w14:paraId="0EF97966" w14:textId="77777777" w:rsidR="00C31947" w:rsidRPr="00C61B19" w:rsidRDefault="00C31947" w:rsidP="00C53F00">
      <w:pPr>
        <w:spacing w:after="120"/>
        <w:jc w:val="both"/>
        <w:rPr>
          <w:rFonts w:asciiTheme="minorHAnsi" w:hAnsiTheme="minorHAnsi"/>
        </w:rPr>
      </w:pPr>
      <w:r>
        <w:rPr>
          <w:rFonts w:asciiTheme="minorHAnsi" w:hAnsiTheme="minorHAnsi"/>
        </w:rPr>
        <w:t>A major</w:t>
      </w:r>
      <w:r w:rsidRPr="00C61B19">
        <w:rPr>
          <w:rFonts w:asciiTheme="minorHAnsi" w:hAnsiTheme="minorHAnsi"/>
        </w:rPr>
        <w:t xml:space="preserve"> </w:t>
      </w:r>
      <w:r>
        <w:rPr>
          <w:rFonts w:asciiTheme="minorHAnsi" w:hAnsiTheme="minorHAnsi"/>
        </w:rPr>
        <w:t>constraint</w:t>
      </w:r>
      <w:r w:rsidRPr="00C61B19">
        <w:rPr>
          <w:rFonts w:asciiTheme="minorHAnsi" w:hAnsiTheme="minorHAnsi"/>
        </w:rPr>
        <w:t xml:space="preserve"> </w:t>
      </w:r>
      <w:r>
        <w:rPr>
          <w:rFonts w:asciiTheme="minorHAnsi" w:hAnsiTheme="minorHAnsi"/>
        </w:rPr>
        <w:t>to productivity is</w:t>
      </w:r>
      <w:r w:rsidRPr="00C61B19">
        <w:rPr>
          <w:rFonts w:asciiTheme="minorHAnsi" w:hAnsiTheme="minorHAnsi"/>
        </w:rPr>
        <w:t xml:space="preserve"> the labour market</w:t>
      </w:r>
      <w:r>
        <w:rPr>
          <w:rFonts w:asciiTheme="minorHAnsi" w:hAnsiTheme="minorHAnsi"/>
        </w:rPr>
        <w:t>’s</w:t>
      </w:r>
      <w:r w:rsidRPr="00C61B19">
        <w:rPr>
          <w:rFonts w:asciiTheme="minorHAnsi" w:hAnsiTheme="minorHAnsi"/>
        </w:rPr>
        <w:t xml:space="preserve"> excessive rigidity: although Indonesia scores in the top 25% of countries in global competitiveness, it is in the bottom third for labour market efficiency (World Economic Forum 2014)</w:t>
      </w:r>
      <w:r>
        <w:rPr>
          <w:rFonts w:asciiTheme="minorHAnsi" w:hAnsiTheme="minorHAnsi"/>
        </w:rPr>
        <w:t xml:space="preserve"> with</w:t>
      </w:r>
      <w:r w:rsidRPr="00C61B19">
        <w:rPr>
          <w:rFonts w:asciiTheme="minorHAnsi" w:hAnsiTheme="minorHAnsi"/>
        </w:rPr>
        <w:t xml:space="preserve"> </w:t>
      </w:r>
      <w:r>
        <w:rPr>
          <w:rFonts w:asciiTheme="minorHAnsi" w:hAnsiTheme="minorHAnsi"/>
        </w:rPr>
        <w:t>h</w:t>
      </w:r>
      <w:r w:rsidRPr="00C61B19">
        <w:rPr>
          <w:rFonts w:asciiTheme="minorHAnsi" w:hAnsiTheme="minorHAnsi"/>
        </w:rPr>
        <w:t>iring and firing regulations among the most inflexible in the wor</w:t>
      </w:r>
      <w:r>
        <w:rPr>
          <w:rFonts w:asciiTheme="minorHAnsi" w:hAnsiTheme="minorHAnsi"/>
        </w:rPr>
        <w:t xml:space="preserve">ld </w:t>
      </w:r>
      <w:r w:rsidRPr="00C61B19">
        <w:rPr>
          <w:rFonts w:asciiTheme="minorHAnsi" w:hAnsiTheme="minorHAnsi"/>
        </w:rPr>
        <w:t>(World Bank 2009). These</w:t>
      </w:r>
      <w:r w:rsidR="00054259">
        <w:rPr>
          <w:rFonts w:asciiTheme="minorHAnsi" w:hAnsiTheme="minorHAnsi"/>
        </w:rPr>
        <w:t xml:space="preserve"> negatively</w:t>
      </w:r>
      <w:r w:rsidRPr="00C61B19">
        <w:rPr>
          <w:rFonts w:asciiTheme="minorHAnsi" w:hAnsiTheme="minorHAnsi"/>
        </w:rPr>
        <w:t xml:space="preserve"> impact labour and growth: employers prefer to hire workers on informal or semi-formal terms or short contracts and are less likely to invest in skills development (World Bank 2014b); and they discourage investment by both national and international business (World Bank 2010). </w:t>
      </w:r>
      <w:r>
        <w:rPr>
          <w:rFonts w:asciiTheme="minorHAnsi" w:hAnsiTheme="minorHAnsi"/>
        </w:rPr>
        <w:t>Ultimately</w:t>
      </w:r>
      <w:r w:rsidR="00054259">
        <w:rPr>
          <w:rFonts w:asciiTheme="minorHAnsi" w:hAnsiTheme="minorHAnsi"/>
        </w:rPr>
        <w:t xml:space="preserve"> this pushes new workers into the informal sector, while</w:t>
      </w:r>
      <w:r>
        <w:rPr>
          <w:rFonts w:asciiTheme="minorHAnsi" w:hAnsiTheme="minorHAnsi"/>
        </w:rPr>
        <w:t xml:space="preserve"> few workers </w:t>
      </w:r>
      <w:r w:rsidR="00054259">
        <w:rPr>
          <w:rFonts w:asciiTheme="minorHAnsi" w:hAnsiTheme="minorHAnsi"/>
        </w:rPr>
        <w:t xml:space="preserve">in the formal sector </w:t>
      </w:r>
      <w:r>
        <w:rPr>
          <w:rFonts w:asciiTheme="minorHAnsi" w:hAnsiTheme="minorHAnsi"/>
        </w:rPr>
        <w:t xml:space="preserve">benefit, as </w:t>
      </w:r>
      <w:r w:rsidR="00054259">
        <w:rPr>
          <w:rFonts w:asciiTheme="minorHAnsi" w:hAnsiTheme="minorHAnsi"/>
        </w:rPr>
        <w:t xml:space="preserve">most receive little or none of their severance pay </w:t>
      </w:r>
      <w:r w:rsidRPr="00C61B19">
        <w:rPr>
          <w:rFonts w:asciiTheme="minorHAnsi" w:hAnsiTheme="minorHAnsi"/>
        </w:rPr>
        <w:t xml:space="preserve">(World Bank 2010). </w:t>
      </w:r>
    </w:p>
    <w:p w14:paraId="13B3023E" w14:textId="77777777" w:rsidR="00C61B19" w:rsidRPr="00C61B19" w:rsidRDefault="00C61B19" w:rsidP="00FA54B7">
      <w:pPr>
        <w:spacing w:after="0"/>
        <w:jc w:val="both"/>
        <w:rPr>
          <w:rFonts w:asciiTheme="minorHAnsi" w:hAnsiTheme="minorHAnsi"/>
        </w:rPr>
      </w:pPr>
      <w:r w:rsidRPr="00C61B19">
        <w:rPr>
          <w:rFonts w:asciiTheme="minorHAnsi" w:hAnsiTheme="minorHAnsi"/>
          <w:b/>
        </w:rPr>
        <w:t>Rising inequality and potential instability</w:t>
      </w:r>
    </w:p>
    <w:p w14:paraId="5569C33D" w14:textId="2C8979E5" w:rsidR="00C61B19" w:rsidRPr="00C61B19" w:rsidRDefault="00973872" w:rsidP="00C53F00">
      <w:pPr>
        <w:spacing w:after="120"/>
        <w:jc w:val="both"/>
        <w:rPr>
          <w:rFonts w:asciiTheme="minorHAnsi" w:hAnsiTheme="minorHAnsi"/>
        </w:rPr>
      </w:pPr>
      <w:r w:rsidRPr="0091586C">
        <w:rPr>
          <w:rFonts w:asciiTheme="minorHAnsi" w:hAnsiTheme="minorHAnsi"/>
          <w:b/>
          <w:noProof/>
          <w:sz w:val="20"/>
          <w:szCs w:val="20"/>
          <w:lang w:eastAsia="en-AU"/>
        </w:rPr>
        <mc:AlternateContent>
          <mc:Choice Requires="wps">
            <w:drawing>
              <wp:anchor distT="0" distB="0" distL="114300" distR="114300" simplePos="0" relativeHeight="251661312" behindDoc="1" locked="0" layoutInCell="1" allowOverlap="1" wp14:anchorId="3E3F8A0A" wp14:editId="269F7FBF">
                <wp:simplePos x="0" y="0"/>
                <wp:positionH relativeFrom="column">
                  <wp:posOffset>6985</wp:posOffset>
                </wp:positionH>
                <wp:positionV relativeFrom="paragraph">
                  <wp:posOffset>1469390</wp:posOffset>
                </wp:positionV>
                <wp:extent cx="3959860" cy="3060065"/>
                <wp:effectExtent l="0" t="0" r="21590" b="26035"/>
                <wp:wrapTight wrapText="bothSides">
                  <wp:wrapPolygon edited="0">
                    <wp:start x="0" y="0"/>
                    <wp:lineTo x="0" y="21649"/>
                    <wp:lineTo x="21614" y="21649"/>
                    <wp:lineTo x="21614"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3060065"/>
                        </a:xfrm>
                        <a:prstGeom prst="rect">
                          <a:avLst/>
                        </a:prstGeom>
                        <a:solidFill>
                          <a:srgbClr val="FFFFFF"/>
                        </a:solidFill>
                        <a:ln w="9525">
                          <a:solidFill>
                            <a:srgbClr val="000000"/>
                          </a:solidFill>
                          <a:miter lim="800000"/>
                          <a:headEnd/>
                          <a:tailEnd/>
                        </a:ln>
                      </wps:spPr>
                      <wps:txbx>
                        <w:txbxContent>
                          <w:p w14:paraId="5FBB755B" w14:textId="77777777" w:rsidR="00807457" w:rsidRDefault="00807457" w:rsidP="00973872">
                            <w:pPr>
                              <w:spacing w:after="0"/>
                              <w:rPr>
                                <w:rFonts w:asciiTheme="minorHAnsi" w:hAnsiTheme="minorHAnsi"/>
                                <w:b/>
                                <w:sz w:val="20"/>
                                <w:szCs w:val="20"/>
                              </w:rPr>
                            </w:pPr>
                            <w:r w:rsidRPr="0091586C">
                              <w:rPr>
                                <w:rFonts w:asciiTheme="minorHAnsi" w:hAnsiTheme="minorHAnsi"/>
                                <w:b/>
                                <w:sz w:val="20"/>
                                <w:szCs w:val="20"/>
                              </w:rPr>
                              <w:t>Figure 2: Distribution of growth benefits across population by wealth status (2008-12)</w:t>
                            </w:r>
                          </w:p>
                          <w:p w14:paraId="35920996" w14:textId="77777777" w:rsidR="00807457" w:rsidRPr="0091586C" w:rsidRDefault="00807457" w:rsidP="0091586C">
                            <w:pPr>
                              <w:spacing w:after="0"/>
                              <w:jc w:val="both"/>
                              <w:rPr>
                                <w:rFonts w:asciiTheme="minorHAnsi" w:hAnsiTheme="minorHAnsi"/>
                                <w:b/>
                                <w:sz w:val="20"/>
                                <w:szCs w:val="20"/>
                              </w:rPr>
                            </w:pPr>
                          </w:p>
                          <w:p w14:paraId="3E869E0D" w14:textId="2EF11AAB" w:rsidR="00807457" w:rsidRDefault="00807457">
                            <w:r w:rsidRPr="00BC0CB7">
                              <w:rPr>
                                <w:rFonts w:asciiTheme="minorHAnsi" w:hAnsiTheme="minorHAnsi"/>
                                <w:noProof/>
                                <w:sz w:val="16"/>
                                <w:szCs w:val="16"/>
                                <w:lang w:eastAsia="en-AU"/>
                              </w:rPr>
                              <w:drawing>
                                <wp:inline distT="0" distB="0" distL="0" distR="0" wp14:anchorId="02E9CF3D" wp14:editId="5EC019C5">
                                  <wp:extent cx="3867150" cy="265747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5pt;margin-top:115.7pt;width:311.8pt;height:24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">
                <v:textbox>
                  <w:txbxContent>
                    <w:p w14:paraId="5FBB755B" w14:textId="77777777" w:rsidR="00B52EBB" w:rsidRDefault="00B52EBB" w:rsidP="00973872">
                      <w:pPr>
                        <w:spacing w:after="0"/>
                        <w:rPr>
                          <w:rFonts w:asciiTheme="minorHAnsi" w:hAnsiTheme="minorHAnsi"/>
                          <w:b/>
                          <w:sz w:val="20"/>
                          <w:szCs w:val="20"/>
                        </w:rPr>
                      </w:pPr>
                      <w:r w:rsidRPr="0091586C">
                        <w:rPr>
                          <w:rFonts w:asciiTheme="minorHAnsi" w:hAnsiTheme="minorHAnsi"/>
                          <w:b/>
                          <w:sz w:val="20"/>
                          <w:szCs w:val="20"/>
                        </w:rPr>
                        <w:t>Figure 2: Distribution of growth benefits across population by wealth status (2008-12)</w:t>
                      </w:r>
                    </w:p>
                    <w:p w14:paraId="35920996" w14:textId="77777777" w:rsidR="00B52EBB" w:rsidRPr="0091586C" w:rsidRDefault="00B52EBB" w:rsidP="0091586C">
                      <w:pPr>
                        <w:spacing w:after="0"/>
                        <w:jc w:val="both"/>
                        <w:rPr>
                          <w:rFonts w:asciiTheme="minorHAnsi" w:hAnsiTheme="minorHAnsi"/>
                          <w:b/>
                          <w:sz w:val="20"/>
                          <w:szCs w:val="20"/>
                        </w:rPr>
                      </w:pPr>
                    </w:p>
                    <w:p w14:paraId="3E869E0D" w14:textId="2EF11AAB" w:rsidR="00B52EBB" w:rsidRDefault="00B52EBB">
                      <w:r w:rsidRPr="00BC0CB7">
                        <w:rPr>
                          <w:rFonts w:asciiTheme="minorHAnsi" w:hAnsiTheme="minorHAnsi"/>
                          <w:noProof/>
                          <w:sz w:val="16"/>
                          <w:szCs w:val="16"/>
                          <w:lang w:eastAsia="en-AU"/>
                        </w:rPr>
                        <w:drawing>
                          <wp:inline distT="0" distB="0" distL="0" distR="0" wp14:anchorId="02E9CF3D" wp14:editId="5EC019C5">
                            <wp:extent cx="3867150" cy="265747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v:textbox>
                <w10:wrap type="tight"/>
              </v:shape>
            </w:pict>
          </mc:Fallback>
        </mc:AlternateContent>
      </w:r>
      <w:r w:rsidR="00C61B19" w:rsidRPr="00C61B19">
        <w:rPr>
          <w:rFonts w:asciiTheme="minorHAnsi" w:hAnsiTheme="minorHAnsi"/>
        </w:rPr>
        <w:t>Widespread income insecurity is accompanied by growing inequality</w:t>
      </w:r>
      <w:r w:rsidR="00124E68">
        <w:rPr>
          <w:rFonts w:asciiTheme="minorHAnsi" w:hAnsiTheme="minorHAnsi"/>
        </w:rPr>
        <w:t xml:space="preserve">. </w:t>
      </w:r>
      <w:r w:rsidR="00C61B19" w:rsidRPr="00C61B19">
        <w:rPr>
          <w:rFonts w:asciiTheme="minorHAnsi" w:hAnsiTheme="minorHAnsi"/>
        </w:rPr>
        <w:t xml:space="preserve">Indonesia has had the highest sustained increase in inequality among </w:t>
      </w:r>
      <w:r w:rsidR="009B3342" w:rsidRPr="00C61B19">
        <w:rPr>
          <w:rFonts w:asciiTheme="minorHAnsi" w:hAnsiTheme="minorHAnsi"/>
        </w:rPr>
        <w:t>Asia</w:t>
      </w:r>
      <w:r w:rsidR="009B3342">
        <w:rPr>
          <w:rFonts w:asciiTheme="minorHAnsi" w:hAnsiTheme="minorHAnsi"/>
        </w:rPr>
        <w:t>’s</w:t>
      </w:r>
      <w:r w:rsidR="009B3342" w:rsidRPr="00C61B19">
        <w:rPr>
          <w:rFonts w:asciiTheme="minorHAnsi" w:hAnsiTheme="minorHAnsi"/>
        </w:rPr>
        <w:t xml:space="preserve"> </w:t>
      </w:r>
      <w:r w:rsidR="00C61B19" w:rsidRPr="00C61B19">
        <w:rPr>
          <w:rFonts w:asciiTheme="minorHAnsi" w:hAnsiTheme="minorHAnsi"/>
        </w:rPr>
        <w:t xml:space="preserve">larger countries (World Bank 2014c). </w:t>
      </w:r>
      <w:r w:rsidR="009B3342">
        <w:rPr>
          <w:rFonts w:asciiTheme="minorHAnsi" w:hAnsiTheme="minorHAnsi"/>
        </w:rPr>
        <w:t>The</w:t>
      </w:r>
      <w:r w:rsidR="00C61B19" w:rsidRPr="00C61B19">
        <w:rPr>
          <w:rFonts w:asciiTheme="minorHAnsi" w:hAnsiTheme="minorHAnsi"/>
        </w:rPr>
        <w:t xml:space="preserve"> </w:t>
      </w:r>
      <w:proofErr w:type="spellStart"/>
      <w:r w:rsidR="00C61B19" w:rsidRPr="00C61B19">
        <w:rPr>
          <w:rFonts w:asciiTheme="minorHAnsi" w:hAnsiTheme="minorHAnsi"/>
        </w:rPr>
        <w:t>Gini</w:t>
      </w:r>
      <w:proofErr w:type="spellEnd"/>
      <w:r w:rsidR="00C61B19" w:rsidRPr="00C61B19">
        <w:rPr>
          <w:rFonts w:asciiTheme="minorHAnsi" w:hAnsiTheme="minorHAnsi"/>
        </w:rPr>
        <w:t xml:space="preserve"> coefficient is 0.41 </w:t>
      </w:r>
      <w:r w:rsidR="00124E68">
        <w:rPr>
          <w:rFonts w:asciiTheme="minorHAnsi" w:hAnsiTheme="minorHAnsi"/>
        </w:rPr>
        <w:t>but</w:t>
      </w:r>
      <w:r w:rsidR="00C61B19" w:rsidRPr="00C61B19">
        <w:rPr>
          <w:rFonts w:asciiTheme="minorHAnsi" w:hAnsiTheme="minorHAnsi"/>
        </w:rPr>
        <w:t xml:space="preserve"> the real level of inequality may be higher since the wealthiest households are under</w:t>
      </w:r>
      <w:r w:rsidR="00124E68">
        <w:rPr>
          <w:rFonts w:asciiTheme="minorHAnsi" w:hAnsiTheme="minorHAnsi"/>
        </w:rPr>
        <w:t>-</w:t>
      </w:r>
      <w:r w:rsidR="00C61B19" w:rsidRPr="00C61B19">
        <w:rPr>
          <w:rFonts w:asciiTheme="minorHAnsi" w:hAnsiTheme="minorHAnsi"/>
        </w:rPr>
        <w:t xml:space="preserve">represented in </w:t>
      </w:r>
      <w:r w:rsidR="00807457">
        <w:rPr>
          <w:rFonts w:asciiTheme="minorHAnsi" w:hAnsiTheme="minorHAnsi"/>
        </w:rPr>
        <w:t xml:space="preserve">national </w:t>
      </w:r>
      <w:r w:rsidR="00124E68">
        <w:rPr>
          <w:rFonts w:asciiTheme="minorHAnsi" w:hAnsiTheme="minorHAnsi"/>
        </w:rPr>
        <w:t xml:space="preserve">Indonesian household surveys such as </w:t>
      </w:r>
      <w:r w:rsidR="00BA6A76">
        <w:rPr>
          <w:rFonts w:asciiTheme="minorHAnsi" w:hAnsiTheme="minorHAnsi"/>
        </w:rPr>
        <w:t>SUSENAS</w:t>
      </w:r>
      <w:r w:rsidR="00BA6A76" w:rsidRPr="00C61B19">
        <w:rPr>
          <w:rFonts w:asciiTheme="minorHAnsi" w:hAnsiTheme="minorHAnsi"/>
        </w:rPr>
        <w:t xml:space="preserve"> </w:t>
      </w:r>
      <w:r w:rsidR="00C61B19" w:rsidRPr="00C61B19">
        <w:rPr>
          <w:rFonts w:asciiTheme="minorHAnsi" w:hAnsiTheme="minorHAnsi"/>
        </w:rPr>
        <w:t>(World Bank 2014c). As a result, the benefits of growth have been unevenly shared</w:t>
      </w:r>
      <w:r w:rsidR="000A7E9F">
        <w:rPr>
          <w:rFonts w:asciiTheme="minorHAnsi" w:hAnsiTheme="minorHAnsi"/>
        </w:rPr>
        <w:t>:</w:t>
      </w:r>
      <w:r w:rsidR="00C61B19" w:rsidRPr="00C61B19">
        <w:rPr>
          <w:rFonts w:asciiTheme="minorHAnsi" w:hAnsiTheme="minorHAnsi"/>
        </w:rPr>
        <w:t xml:space="preserve"> </w:t>
      </w:r>
      <w:r w:rsidR="000A7E9F">
        <w:rPr>
          <w:rFonts w:asciiTheme="minorHAnsi" w:hAnsiTheme="minorHAnsi"/>
        </w:rPr>
        <w:t xml:space="preserve">while </w:t>
      </w:r>
      <w:r w:rsidR="007D3E34">
        <w:rPr>
          <w:rFonts w:asciiTheme="minorHAnsi" w:hAnsiTheme="minorHAnsi"/>
        </w:rPr>
        <w:t xml:space="preserve">the </w:t>
      </w:r>
      <w:r w:rsidR="00C61B19" w:rsidRPr="00C61B19">
        <w:rPr>
          <w:rFonts w:asciiTheme="minorHAnsi" w:hAnsiTheme="minorHAnsi"/>
        </w:rPr>
        <w:t xml:space="preserve">average </w:t>
      </w:r>
      <w:r w:rsidR="007D3E34">
        <w:rPr>
          <w:rFonts w:asciiTheme="minorHAnsi" w:hAnsiTheme="minorHAnsi"/>
        </w:rPr>
        <w:t xml:space="preserve">annual </w:t>
      </w:r>
      <w:r w:rsidR="000A7E9F" w:rsidRPr="00C61B19">
        <w:rPr>
          <w:rFonts w:asciiTheme="minorHAnsi" w:hAnsiTheme="minorHAnsi"/>
        </w:rPr>
        <w:t xml:space="preserve">growth </w:t>
      </w:r>
      <w:r w:rsidR="007D3E34">
        <w:rPr>
          <w:rFonts w:asciiTheme="minorHAnsi" w:hAnsiTheme="minorHAnsi"/>
        </w:rPr>
        <w:t>in</w:t>
      </w:r>
      <w:r w:rsidR="000A7E9F" w:rsidRPr="00C61B19">
        <w:rPr>
          <w:rFonts w:asciiTheme="minorHAnsi" w:hAnsiTheme="minorHAnsi"/>
        </w:rPr>
        <w:t xml:space="preserve"> household</w:t>
      </w:r>
      <w:r w:rsidR="007D3E34">
        <w:rPr>
          <w:rFonts w:asciiTheme="minorHAnsi" w:hAnsiTheme="minorHAnsi"/>
        </w:rPr>
        <w:t xml:space="preserve"> consumption was</w:t>
      </w:r>
      <w:r w:rsidR="00C61B19" w:rsidRPr="00C61B19">
        <w:rPr>
          <w:rFonts w:asciiTheme="minorHAnsi" w:hAnsiTheme="minorHAnsi"/>
        </w:rPr>
        <w:t xml:space="preserve"> 4.87%,</w:t>
      </w:r>
      <w:r w:rsidR="007D3E34">
        <w:rPr>
          <w:rFonts w:asciiTheme="minorHAnsi" w:hAnsiTheme="minorHAnsi"/>
        </w:rPr>
        <w:t xml:space="preserve"> it was </w:t>
      </w:r>
      <w:r w:rsidR="007D3E34" w:rsidRPr="00C61B19">
        <w:rPr>
          <w:rFonts w:asciiTheme="minorHAnsi" w:hAnsiTheme="minorHAnsi"/>
        </w:rPr>
        <w:t xml:space="preserve">less than </w:t>
      </w:r>
      <w:r w:rsidR="007D3E34">
        <w:rPr>
          <w:rFonts w:asciiTheme="minorHAnsi" w:hAnsiTheme="minorHAnsi"/>
        </w:rPr>
        <w:t>2% for</w:t>
      </w:r>
      <w:r w:rsidR="00C61B19" w:rsidRPr="00C61B19">
        <w:rPr>
          <w:rFonts w:asciiTheme="minorHAnsi" w:hAnsiTheme="minorHAnsi"/>
        </w:rPr>
        <w:t xml:space="preserve"> the poorest half of the population </w:t>
      </w:r>
      <w:r w:rsidR="001E1BE2">
        <w:rPr>
          <w:rFonts w:asciiTheme="minorHAnsi" w:hAnsiTheme="minorHAnsi"/>
        </w:rPr>
        <w:t>versus</w:t>
      </w:r>
      <w:r w:rsidR="007D3E34">
        <w:rPr>
          <w:rFonts w:asciiTheme="minorHAnsi" w:hAnsiTheme="minorHAnsi"/>
        </w:rPr>
        <w:t xml:space="preserve"> 7% for</w:t>
      </w:r>
      <w:r w:rsidR="001E1BE2">
        <w:rPr>
          <w:rFonts w:asciiTheme="minorHAnsi" w:hAnsiTheme="minorHAnsi"/>
        </w:rPr>
        <w:t xml:space="preserve"> </w:t>
      </w:r>
      <w:r w:rsidR="00C61B19" w:rsidRPr="00C61B19">
        <w:rPr>
          <w:rFonts w:asciiTheme="minorHAnsi" w:hAnsiTheme="minorHAnsi"/>
        </w:rPr>
        <w:t xml:space="preserve">the richest households </w:t>
      </w:r>
      <w:r w:rsidR="00BD19EC">
        <w:rPr>
          <w:rFonts w:asciiTheme="minorHAnsi" w:hAnsiTheme="minorHAnsi"/>
        </w:rPr>
        <w:t>(Figure 2)</w:t>
      </w:r>
      <w:r w:rsidR="00C61B19" w:rsidRPr="00C61B19">
        <w:rPr>
          <w:rFonts w:asciiTheme="minorHAnsi" w:hAnsiTheme="minorHAnsi"/>
        </w:rPr>
        <w:t>.</w:t>
      </w:r>
    </w:p>
    <w:p w14:paraId="1B934A06" w14:textId="77777777" w:rsidR="00124E68" w:rsidRDefault="00C61B19" w:rsidP="00C53F00">
      <w:pPr>
        <w:spacing w:after="120"/>
        <w:jc w:val="both"/>
        <w:rPr>
          <w:rFonts w:asciiTheme="minorHAnsi" w:hAnsiTheme="minorHAnsi"/>
        </w:rPr>
      </w:pPr>
      <w:r w:rsidRPr="00C61B19">
        <w:rPr>
          <w:rFonts w:asciiTheme="minorHAnsi" w:hAnsiTheme="minorHAnsi"/>
        </w:rPr>
        <w:t xml:space="preserve">High and growing inequality </w:t>
      </w:r>
      <w:r w:rsidR="009B3342" w:rsidRPr="00C61B19">
        <w:rPr>
          <w:rFonts w:asciiTheme="minorHAnsi" w:hAnsiTheme="minorHAnsi"/>
        </w:rPr>
        <w:t xml:space="preserve">negatively </w:t>
      </w:r>
      <w:r w:rsidRPr="00C61B19">
        <w:rPr>
          <w:rFonts w:asciiTheme="minorHAnsi" w:hAnsiTheme="minorHAnsi"/>
        </w:rPr>
        <w:t>impacts both economic growth and poverty reduction</w:t>
      </w:r>
      <w:r w:rsidRPr="00C61B19">
        <w:rPr>
          <w:rStyle w:val="FootnoteReference"/>
          <w:rFonts w:asciiTheme="minorHAnsi" w:hAnsiTheme="minorHAnsi"/>
        </w:rPr>
        <w:footnoteReference w:id="3"/>
      </w:r>
      <w:r w:rsidR="00C27DBE">
        <w:rPr>
          <w:rFonts w:asciiTheme="minorHAnsi" w:hAnsiTheme="minorHAnsi"/>
        </w:rPr>
        <w:t xml:space="preserve"> and can</w:t>
      </w:r>
      <w:r w:rsidRPr="00C61B19">
        <w:rPr>
          <w:rFonts w:asciiTheme="minorHAnsi" w:hAnsiTheme="minorHAnsi"/>
        </w:rPr>
        <w:t xml:space="preserve"> also lead to political instability. </w:t>
      </w:r>
    </w:p>
    <w:p w14:paraId="5573D646" w14:textId="7C8B83E5" w:rsidR="00C61B19" w:rsidRDefault="00015E62" w:rsidP="00C53F00">
      <w:pPr>
        <w:spacing w:after="120"/>
        <w:jc w:val="both"/>
        <w:rPr>
          <w:rFonts w:asciiTheme="minorHAnsi" w:hAnsiTheme="minorHAnsi"/>
        </w:rPr>
      </w:pPr>
      <w:r>
        <w:rPr>
          <w:rFonts w:asciiTheme="minorHAnsi" w:hAnsiTheme="minorHAnsi"/>
        </w:rPr>
        <w:t>A</w:t>
      </w:r>
      <w:r w:rsidR="00C61B19" w:rsidRPr="00C61B19">
        <w:rPr>
          <w:rFonts w:asciiTheme="minorHAnsi" w:hAnsiTheme="minorHAnsi"/>
        </w:rPr>
        <w:t xml:space="preserve">cross </w:t>
      </w:r>
      <w:r w:rsidR="006241B6" w:rsidRPr="00C61B19">
        <w:rPr>
          <w:rFonts w:asciiTheme="minorHAnsi" w:hAnsiTheme="minorHAnsi"/>
        </w:rPr>
        <w:t>Indonesia</w:t>
      </w:r>
      <w:r w:rsidR="006241B6">
        <w:rPr>
          <w:rFonts w:asciiTheme="minorHAnsi" w:hAnsiTheme="minorHAnsi"/>
        </w:rPr>
        <w:t>’s</w:t>
      </w:r>
      <w:r w:rsidR="006241B6" w:rsidRPr="00C61B19">
        <w:rPr>
          <w:rFonts w:asciiTheme="minorHAnsi" w:hAnsiTheme="minorHAnsi"/>
        </w:rPr>
        <w:t xml:space="preserve"> </w:t>
      </w:r>
      <w:r w:rsidR="00C61B19" w:rsidRPr="00C61B19">
        <w:rPr>
          <w:rFonts w:asciiTheme="minorHAnsi" w:hAnsiTheme="minorHAnsi"/>
        </w:rPr>
        <w:t xml:space="preserve">districts </w:t>
      </w:r>
      <w:r w:rsidR="006241B6" w:rsidRPr="00C61B19">
        <w:rPr>
          <w:rFonts w:asciiTheme="minorHAnsi" w:hAnsiTheme="minorHAnsi"/>
        </w:rPr>
        <w:t xml:space="preserve">high inequality </w:t>
      </w:r>
      <w:r w:rsidR="00C61B19" w:rsidRPr="00C61B19">
        <w:rPr>
          <w:rFonts w:asciiTheme="minorHAnsi" w:hAnsiTheme="minorHAnsi"/>
        </w:rPr>
        <w:t>correlat</w:t>
      </w:r>
      <w:r w:rsidR="006241B6">
        <w:rPr>
          <w:rFonts w:asciiTheme="minorHAnsi" w:hAnsiTheme="minorHAnsi"/>
        </w:rPr>
        <w:t>e</w:t>
      </w:r>
      <w:r w:rsidR="009B3342">
        <w:rPr>
          <w:rFonts w:asciiTheme="minorHAnsi" w:hAnsiTheme="minorHAnsi"/>
        </w:rPr>
        <w:t>s</w:t>
      </w:r>
      <w:r w:rsidR="006241B6">
        <w:rPr>
          <w:rFonts w:asciiTheme="minorHAnsi" w:hAnsiTheme="minorHAnsi"/>
        </w:rPr>
        <w:t xml:space="preserve"> with</w:t>
      </w:r>
      <w:r w:rsidR="00C61B19" w:rsidRPr="00C61B19">
        <w:rPr>
          <w:rFonts w:asciiTheme="minorHAnsi" w:hAnsiTheme="minorHAnsi"/>
        </w:rPr>
        <w:t xml:space="preserve"> conflict-related violence and deaths</w:t>
      </w:r>
      <w:r>
        <w:rPr>
          <w:rFonts w:asciiTheme="minorHAnsi" w:hAnsiTheme="minorHAnsi"/>
        </w:rPr>
        <w:t xml:space="preserve"> (</w:t>
      </w:r>
      <w:r w:rsidRPr="00C61B19">
        <w:rPr>
          <w:rFonts w:asciiTheme="minorHAnsi" w:hAnsiTheme="minorHAnsi"/>
        </w:rPr>
        <w:t>World Bank 2014c)</w:t>
      </w:r>
      <w:r>
        <w:rPr>
          <w:rFonts w:asciiTheme="minorHAnsi" w:hAnsiTheme="minorHAnsi"/>
        </w:rPr>
        <w:t>, and i</w:t>
      </w:r>
      <w:r w:rsidR="00C61B19" w:rsidRPr="00C61B19">
        <w:rPr>
          <w:rFonts w:asciiTheme="minorHAnsi" w:hAnsiTheme="minorHAnsi"/>
        </w:rPr>
        <w:t xml:space="preserve">n </w:t>
      </w:r>
      <w:r>
        <w:rPr>
          <w:rFonts w:asciiTheme="minorHAnsi" w:hAnsiTheme="minorHAnsi"/>
        </w:rPr>
        <w:t>its</w:t>
      </w:r>
      <w:r w:rsidR="00C61B19" w:rsidRPr="00C61B19">
        <w:rPr>
          <w:rFonts w:asciiTheme="minorHAnsi" w:hAnsiTheme="minorHAnsi"/>
        </w:rPr>
        <w:t xml:space="preserve"> recent past inequality </w:t>
      </w:r>
      <w:r w:rsidR="00BB1073" w:rsidRPr="00C61B19">
        <w:rPr>
          <w:rFonts w:asciiTheme="minorHAnsi" w:hAnsiTheme="minorHAnsi"/>
        </w:rPr>
        <w:t xml:space="preserve">and poverty </w:t>
      </w:r>
      <w:r w:rsidR="00C61B19" w:rsidRPr="00C61B19">
        <w:rPr>
          <w:rFonts w:asciiTheme="minorHAnsi" w:hAnsiTheme="minorHAnsi"/>
        </w:rPr>
        <w:t xml:space="preserve">in ethnically divided </w:t>
      </w:r>
      <w:r w:rsidR="00BB1073">
        <w:rPr>
          <w:rFonts w:asciiTheme="minorHAnsi" w:hAnsiTheme="minorHAnsi"/>
        </w:rPr>
        <w:t>areas</w:t>
      </w:r>
      <w:r w:rsidR="00C61B19" w:rsidRPr="00C61B19">
        <w:rPr>
          <w:rFonts w:asciiTheme="minorHAnsi" w:hAnsiTheme="minorHAnsi"/>
        </w:rPr>
        <w:t xml:space="preserve"> have been major sources of violence (</w:t>
      </w:r>
      <w:r w:rsidR="009B3342">
        <w:rPr>
          <w:rFonts w:asciiTheme="minorHAnsi" w:hAnsiTheme="minorHAnsi"/>
        </w:rPr>
        <w:t>HKS</w:t>
      </w:r>
      <w:r w:rsidR="00C61B19" w:rsidRPr="00C61B19">
        <w:rPr>
          <w:rFonts w:asciiTheme="minorHAnsi" w:hAnsiTheme="minorHAnsi"/>
        </w:rPr>
        <w:t xml:space="preserve"> 2013). </w:t>
      </w:r>
    </w:p>
    <w:p w14:paraId="57F01079" w14:textId="77777777" w:rsidR="00C61B19" w:rsidRPr="00C61B19" w:rsidRDefault="00C61B19" w:rsidP="00505241">
      <w:pPr>
        <w:spacing w:before="360" w:after="0"/>
        <w:jc w:val="both"/>
        <w:rPr>
          <w:rFonts w:asciiTheme="minorHAnsi" w:hAnsiTheme="minorHAnsi"/>
          <w:b/>
        </w:rPr>
      </w:pPr>
      <w:r w:rsidRPr="00C61B19">
        <w:rPr>
          <w:rFonts w:asciiTheme="minorHAnsi" w:hAnsiTheme="minorHAnsi"/>
          <w:b/>
        </w:rPr>
        <w:t>The national social protection system</w:t>
      </w:r>
    </w:p>
    <w:p w14:paraId="2FB4D204" w14:textId="14B43963" w:rsidR="00C61B19" w:rsidRPr="00C61B19" w:rsidRDefault="00C61B19" w:rsidP="00C53F00">
      <w:pPr>
        <w:spacing w:after="120"/>
        <w:jc w:val="both"/>
        <w:rPr>
          <w:rFonts w:asciiTheme="minorHAnsi" w:hAnsiTheme="minorHAnsi"/>
        </w:rPr>
      </w:pPr>
      <w:r w:rsidRPr="00C61B19">
        <w:rPr>
          <w:rFonts w:asciiTheme="minorHAnsi" w:hAnsiTheme="minorHAnsi"/>
        </w:rPr>
        <w:t xml:space="preserve">Indonesia’s national social protection system consists of several centrally-administered, poverty-targeted programs and a set of new </w:t>
      </w:r>
      <w:r w:rsidR="0098637F">
        <w:rPr>
          <w:rFonts w:asciiTheme="minorHAnsi" w:hAnsiTheme="minorHAnsi"/>
        </w:rPr>
        <w:t>social security</w:t>
      </w:r>
      <w:r w:rsidRPr="00C61B19">
        <w:rPr>
          <w:rFonts w:asciiTheme="minorHAnsi" w:hAnsiTheme="minorHAnsi"/>
        </w:rPr>
        <w:t xml:space="preserve"> programs. Although the system aims to cover all Indonesians, there are significant gaps related to children, </w:t>
      </w:r>
      <w:r w:rsidR="00674997">
        <w:rPr>
          <w:rFonts w:asciiTheme="minorHAnsi" w:hAnsiTheme="minorHAnsi"/>
        </w:rPr>
        <w:t>PwDs</w:t>
      </w:r>
      <w:r w:rsidRPr="00C61B19">
        <w:rPr>
          <w:rFonts w:asciiTheme="minorHAnsi" w:hAnsiTheme="minorHAnsi"/>
        </w:rPr>
        <w:t>, the unemployed and the elderly. Investment in social assistance is only 0.5% of GDP, below the developing country average of 1.5% (World Bank 2012)</w:t>
      </w:r>
      <w:r w:rsidR="00C27DBE">
        <w:rPr>
          <w:rFonts w:asciiTheme="minorHAnsi" w:hAnsiTheme="minorHAnsi"/>
        </w:rPr>
        <w:t>,</w:t>
      </w:r>
      <w:r w:rsidR="00D41D07">
        <w:rPr>
          <w:rFonts w:asciiTheme="minorHAnsi" w:hAnsiTheme="minorHAnsi"/>
        </w:rPr>
        <w:t xml:space="preserve"> and c</w:t>
      </w:r>
      <w:r w:rsidR="00D41D07" w:rsidRPr="00C61B19">
        <w:rPr>
          <w:rFonts w:asciiTheme="minorHAnsi" w:hAnsiTheme="minorHAnsi"/>
        </w:rPr>
        <w:t>overage is limited</w:t>
      </w:r>
      <w:r w:rsidR="00C27DBE">
        <w:rPr>
          <w:rFonts w:asciiTheme="minorHAnsi" w:hAnsiTheme="minorHAnsi"/>
        </w:rPr>
        <w:t xml:space="preserve"> to </w:t>
      </w:r>
      <w:r w:rsidR="00D41D07">
        <w:rPr>
          <w:rFonts w:asciiTheme="minorHAnsi" w:hAnsiTheme="minorHAnsi"/>
        </w:rPr>
        <w:t xml:space="preserve">between </w:t>
      </w:r>
      <w:r w:rsidR="00D41D07" w:rsidRPr="00C61B19">
        <w:rPr>
          <w:rFonts w:asciiTheme="minorHAnsi" w:hAnsiTheme="minorHAnsi"/>
        </w:rPr>
        <w:t>6% and 12% of poor households</w:t>
      </w:r>
      <w:r w:rsidRPr="00C61B19">
        <w:rPr>
          <w:rFonts w:asciiTheme="minorHAnsi" w:hAnsiTheme="minorHAnsi"/>
        </w:rPr>
        <w:t>.</w:t>
      </w:r>
      <w:r w:rsidR="00D41D07" w:rsidRPr="00C61B19">
        <w:rPr>
          <w:rStyle w:val="FootnoteReference"/>
          <w:rFonts w:asciiTheme="minorHAnsi" w:hAnsiTheme="minorHAnsi"/>
        </w:rPr>
        <w:footnoteReference w:id="4"/>
      </w:r>
      <w:r w:rsidRPr="00C61B19">
        <w:rPr>
          <w:rFonts w:asciiTheme="minorHAnsi" w:hAnsiTheme="minorHAnsi"/>
        </w:rPr>
        <w:t xml:space="preserve"> </w:t>
      </w:r>
      <w:r w:rsidR="00D41D07">
        <w:rPr>
          <w:rFonts w:asciiTheme="minorHAnsi" w:hAnsiTheme="minorHAnsi"/>
        </w:rPr>
        <w:t xml:space="preserve">These factors contribute to why </w:t>
      </w:r>
      <w:r w:rsidR="00D41D07" w:rsidRPr="00C61B19">
        <w:rPr>
          <w:rFonts w:asciiTheme="minorHAnsi" w:hAnsiTheme="minorHAnsi"/>
        </w:rPr>
        <w:t>Indonesia</w:t>
      </w:r>
      <w:r w:rsidR="00D41D07">
        <w:rPr>
          <w:rFonts w:asciiTheme="minorHAnsi" w:hAnsiTheme="minorHAnsi"/>
        </w:rPr>
        <w:t xml:space="preserve"> was </w:t>
      </w:r>
      <w:r w:rsidR="00D41D07" w:rsidRPr="00C61B19">
        <w:rPr>
          <w:rFonts w:asciiTheme="minorHAnsi" w:hAnsiTheme="minorHAnsi"/>
        </w:rPr>
        <w:t>rank</w:t>
      </w:r>
      <w:r w:rsidR="00D41D07">
        <w:rPr>
          <w:rFonts w:asciiTheme="minorHAnsi" w:hAnsiTheme="minorHAnsi"/>
        </w:rPr>
        <w:t>ed</w:t>
      </w:r>
      <w:r w:rsidR="00D41D07" w:rsidRPr="00C61B19">
        <w:rPr>
          <w:rFonts w:asciiTheme="minorHAnsi" w:hAnsiTheme="minorHAnsi"/>
        </w:rPr>
        <w:t xml:space="preserve"> 27</w:t>
      </w:r>
      <w:r w:rsidR="00D41D07" w:rsidRPr="00C61B19">
        <w:rPr>
          <w:rFonts w:asciiTheme="minorHAnsi" w:hAnsiTheme="minorHAnsi"/>
          <w:vertAlign w:val="superscript"/>
        </w:rPr>
        <w:t>th</w:t>
      </w:r>
      <w:r w:rsidR="00D41D07" w:rsidRPr="00C61B19">
        <w:rPr>
          <w:rFonts w:asciiTheme="minorHAnsi" w:hAnsiTheme="minorHAnsi"/>
        </w:rPr>
        <w:t xml:space="preserve"> </w:t>
      </w:r>
      <w:r w:rsidR="009B3342">
        <w:rPr>
          <w:rFonts w:asciiTheme="minorHAnsi" w:hAnsiTheme="minorHAnsi"/>
        </w:rPr>
        <w:t xml:space="preserve">out of 35 Asian countries </w:t>
      </w:r>
      <w:r w:rsidR="00D41D07">
        <w:rPr>
          <w:rFonts w:asciiTheme="minorHAnsi" w:hAnsiTheme="minorHAnsi"/>
        </w:rPr>
        <w:t>i</w:t>
      </w:r>
      <w:r w:rsidRPr="00C61B19">
        <w:rPr>
          <w:rFonts w:asciiTheme="minorHAnsi" w:hAnsiTheme="minorHAnsi"/>
        </w:rPr>
        <w:t>n a</w:t>
      </w:r>
      <w:r w:rsidR="00C27DBE">
        <w:rPr>
          <w:rFonts w:asciiTheme="minorHAnsi" w:hAnsiTheme="minorHAnsi"/>
        </w:rPr>
        <w:t xml:space="preserve"> recent</w:t>
      </w:r>
      <w:r w:rsidRPr="00C61B19">
        <w:rPr>
          <w:rFonts w:asciiTheme="minorHAnsi" w:hAnsiTheme="minorHAnsi"/>
        </w:rPr>
        <w:t xml:space="preserve"> review of social protection</w:t>
      </w:r>
      <w:r w:rsidR="00C27DBE">
        <w:rPr>
          <w:rFonts w:asciiTheme="minorHAnsi" w:hAnsiTheme="minorHAnsi"/>
        </w:rPr>
        <w:t xml:space="preserve"> </w:t>
      </w:r>
      <w:r w:rsidRPr="00C61B19">
        <w:rPr>
          <w:rFonts w:asciiTheme="minorHAnsi" w:hAnsiTheme="minorHAnsi"/>
        </w:rPr>
        <w:t>across Asia.</w:t>
      </w:r>
      <w:r w:rsidRPr="00C61B19">
        <w:rPr>
          <w:rStyle w:val="FootnoteReference"/>
          <w:rFonts w:asciiTheme="minorHAnsi" w:hAnsiTheme="minorHAnsi"/>
        </w:rPr>
        <w:footnoteReference w:id="5"/>
      </w:r>
      <w:r w:rsidRPr="00C61B19">
        <w:rPr>
          <w:rFonts w:asciiTheme="minorHAnsi" w:hAnsiTheme="minorHAnsi"/>
        </w:rPr>
        <w:t xml:space="preserve"> </w:t>
      </w:r>
    </w:p>
    <w:p w14:paraId="46E9B80C" w14:textId="7C6FFC52" w:rsidR="0019105D" w:rsidRDefault="0019105D" w:rsidP="00C53F00">
      <w:pPr>
        <w:spacing w:after="120"/>
        <w:jc w:val="both"/>
        <w:rPr>
          <w:rFonts w:asciiTheme="minorHAnsi" w:hAnsiTheme="minorHAnsi"/>
        </w:rPr>
      </w:pPr>
      <w:r w:rsidRPr="00C61B19">
        <w:rPr>
          <w:rFonts w:asciiTheme="minorHAnsi" w:hAnsiTheme="minorHAnsi"/>
        </w:rPr>
        <w:t xml:space="preserve">Indonesia’s </w:t>
      </w:r>
      <w:r w:rsidR="0098637F">
        <w:rPr>
          <w:rFonts w:asciiTheme="minorHAnsi" w:hAnsiTheme="minorHAnsi"/>
        </w:rPr>
        <w:t>social security</w:t>
      </w:r>
      <w:r w:rsidRPr="00C61B19">
        <w:rPr>
          <w:rFonts w:asciiTheme="minorHAnsi" w:hAnsiTheme="minorHAnsi"/>
        </w:rPr>
        <w:t xml:space="preserve"> schemes are </w:t>
      </w:r>
      <w:r w:rsidR="00124E68">
        <w:rPr>
          <w:rFonts w:asciiTheme="minorHAnsi" w:hAnsiTheme="minorHAnsi"/>
        </w:rPr>
        <w:t xml:space="preserve">still </w:t>
      </w:r>
      <w:r w:rsidR="00124E68" w:rsidRPr="00C61B19">
        <w:rPr>
          <w:rFonts w:asciiTheme="minorHAnsi" w:hAnsiTheme="minorHAnsi"/>
        </w:rPr>
        <w:t>emerging</w:t>
      </w:r>
      <w:r>
        <w:rPr>
          <w:rFonts w:asciiTheme="minorHAnsi" w:hAnsiTheme="minorHAnsi"/>
        </w:rPr>
        <w:t xml:space="preserve"> and agencies to </w:t>
      </w:r>
      <w:r w:rsidRPr="00C61B19">
        <w:rPr>
          <w:rFonts w:asciiTheme="minorHAnsi" w:hAnsiTheme="minorHAnsi"/>
        </w:rPr>
        <w:t xml:space="preserve">provide health and employment </w:t>
      </w:r>
      <w:r w:rsidR="002D7459">
        <w:rPr>
          <w:rFonts w:asciiTheme="minorHAnsi" w:hAnsiTheme="minorHAnsi"/>
        </w:rPr>
        <w:t xml:space="preserve">benefits </w:t>
      </w:r>
      <w:r w:rsidRPr="00C61B19">
        <w:rPr>
          <w:rFonts w:asciiTheme="minorHAnsi" w:hAnsiTheme="minorHAnsi"/>
        </w:rPr>
        <w:t>only came into force</w:t>
      </w:r>
      <w:r w:rsidR="00AB0D28">
        <w:rPr>
          <w:rFonts w:asciiTheme="minorHAnsi" w:hAnsiTheme="minorHAnsi"/>
        </w:rPr>
        <w:t xml:space="preserve"> </w:t>
      </w:r>
      <w:r w:rsidR="0046185F">
        <w:rPr>
          <w:rFonts w:asciiTheme="minorHAnsi" w:hAnsiTheme="minorHAnsi"/>
        </w:rPr>
        <w:t>in 2014</w:t>
      </w:r>
      <w:r w:rsidRPr="00C61B19">
        <w:rPr>
          <w:rFonts w:asciiTheme="minorHAnsi" w:hAnsiTheme="minorHAnsi"/>
        </w:rPr>
        <w:t xml:space="preserve">. </w:t>
      </w:r>
      <w:r w:rsidR="00B705A2">
        <w:rPr>
          <w:rFonts w:asciiTheme="minorHAnsi" w:hAnsiTheme="minorHAnsi"/>
        </w:rPr>
        <w:t>As of this year Indonesia has the world’s largest single payer health insurance system, and it will have the largest employment insurance scheme in 2015 when it starts to roll out coverage</w:t>
      </w:r>
      <w:r w:rsidR="00BA6A76">
        <w:rPr>
          <w:rFonts w:asciiTheme="minorHAnsi" w:hAnsiTheme="minorHAnsi"/>
        </w:rPr>
        <w:t xml:space="preserve"> as mandated in Law</w:t>
      </w:r>
      <w:r w:rsidR="007634E3">
        <w:rPr>
          <w:rFonts w:asciiTheme="minorHAnsi" w:hAnsiTheme="minorHAnsi"/>
        </w:rPr>
        <w:t>s</w:t>
      </w:r>
      <w:r w:rsidR="00BA6A76">
        <w:rPr>
          <w:rFonts w:asciiTheme="minorHAnsi" w:hAnsiTheme="minorHAnsi"/>
        </w:rPr>
        <w:t xml:space="preserve"> </w:t>
      </w:r>
      <w:r w:rsidR="00CC1A41">
        <w:rPr>
          <w:rFonts w:asciiTheme="minorHAnsi" w:hAnsiTheme="minorHAnsi"/>
        </w:rPr>
        <w:t>40</w:t>
      </w:r>
      <w:r w:rsidR="00A16793">
        <w:rPr>
          <w:rFonts w:asciiTheme="minorHAnsi" w:hAnsiTheme="minorHAnsi"/>
        </w:rPr>
        <w:t>/2004</w:t>
      </w:r>
      <w:r w:rsidR="007634E3">
        <w:rPr>
          <w:rFonts w:asciiTheme="minorHAnsi" w:hAnsiTheme="minorHAnsi"/>
        </w:rPr>
        <w:t xml:space="preserve"> and 24</w:t>
      </w:r>
      <w:r w:rsidR="00A16793">
        <w:rPr>
          <w:rFonts w:asciiTheme="minorHAnsi" w:hAnsiTheme="minorHAnsi"/>
        </w:rPr>
        <w:t>/2011</w:t>
      </w:r>
      <w:r w:rsidR="00B705A2">
        <w:rPr>
          <w:rFonts w:asciiTheme="minorHAnsi" w:hAnsiTheme="minorHAnsi"/>
        </w:rPr>
        <w:t xml:space="preserve">. </w:t>
      </w:r>
      <w:r w:rsidRPr="00C61B19">
        <w:rPr>
          <w:rFonts w:asciiTheme="minorHAnsi" w:hAnsiTheme="minorHAnsi"/>
        </w:rPr>
        <w:t>GOI</w:t>
      </w:r>
      <w:r w:rsidR="00AB0D28">
        <w:rPr>
          <w:rFonts w:asciiTheme="minorHAnsi" w:hAnsiTheme="minorHAnsi"/>
        </w:rPr>
        <w:t>’s</w:t>
      </w:r>
      <w:r w:rsidRPr="00C61B19">
        <w:rPr>
          <w:rFonts w:asciiTheme="minorHAnsi" w:hAnsiTheme="minorHAnsi"/>
        </w:rPr>
        <w:t xml:space="preserve"> aim </w:t>
      </w:r>
      <w:r w:rsidR="00AB0D28">
        <w:rPr>
          <w:rFonts w:asciiTheme="minorHAnsi" w:hAnsiTheme="minorHAnsi"/>
        </w:rPr>
        <w:t xml:space="preserve">to cover </w:t>
      </w:r>
      <w:r w:rsidRPr="00C61B19">
        <w:rPr>
          <w:rFonts w:asciiTheme="minorHAnsi" w:hAnsiTheme="minorHAnsi"/>
        </w:rPr>
        <w:t xml:space="preserve">all workers </w:t>
      </w:r>
      <w:r w:rsidR="00B705A2">
        <w:rPr>
          <w:rFonts w:asciiTheme="minorHAnsi" w:hAnsiTheme="minorHAnsi"/>
        </w:rPr>
        <w:t xml:space="preserve">by </w:t>
      </w:r>
      <w:r w:rsidR="00B705A2" w:rsidRPr="00C61B19">
        <w:rPr>
          <w:rFonts w:asciiTheme="minorHAnsi" w:hAnsiTheme="minorHAnsi"/>
        </w:rPr>
        <w:t>2019</w:t>
      </w:r>
      <w:r w:rsidR="00AB0D28">
        <w:rPr>
          <w:rFonts w:asciiTheme="minorHAnsi" w:hAnsiTheme="minorHAnsi"/>
        </w:rPr>
        <w:t xml:space="preserve"> will be difficult</w:t>
      </w:r>
      <w:r w:rsidR="00B705A2">
        <w:rPr>
          <w:rFonts w:asciiTheme="minorHAnsi" w:hAnsiTheme="minorHAnsi"/>
        </w:rPr>
        <w:t xml:space="preserve"> with </w:t>
      </w:r>
      <w:r w:rsidRPr="00C61B19">
        <w:rPr>
          <w:rFonts w:asciiTheme="minorHAnsi" w:hAnsiTheme="minorHAnsi"/>
        </w:rPr>
        <w:t xml:space="preserve">only </w:t>
      </w:r>
      <w:r>
        <w:rPr>
          <w:rFonts w:asciiTheme="minorHAnsi" w:hAnsiTheme="minorHAnsi"/>
        </w:rPr>
        <w:t>1</w:t>
      </w:r>
      <w:r w:rsidRPr="00C61B19">
        <w:rPr>
          <w:rFonts w:asciiTheme="minorHAnsi" w:hAnsiTheme="minorHAnsi"/>
        </w:rPr>
        <w:t xml:space="preserve">0% of </w:t>
      </w:r>
      <w:r w:rsidR="00AB0D28">
        <w:rPr>
          <w:rFonts w:asciiTheme="minorHAnsi" w:hAnsiTheme="minorHAnsi"/>
        </w:rPr>
        <w:t>the</w:t>
      </w:r>
      <w:r>
        <w:rPr>
          <w:rFonts w:asciiTheme="minorHAnsi" w:hAnsiTheme="minorHAnsi"/>
        </w:rPr>
        <w:t xml:space="preserve"> 120 million member workforce</w:t>
      </w:r>
      <w:r w:rsidR="00AB0D28">
        <w:rPr>
          <w:rFonts w:asciiTheme="minorHAnsi" w:hAnsiTheme="minorHAnsi"/>
        </w:rPr>
        <w:t xml:space="preserve"> currently contributing</w:t>
      </w:r>
      <w:r w:rsidRPr="00C61B19">
        <w:rPr>
          <w:rFonts w:asciiTheme="minorHAnsi" w:hAnsiTheme="minorHAnsi"/>
        </w:rPr>
        <w:t xml:space="preserve">. </w:t>
      </w:r>
      <w:r>
        <w:rPr>
          <w:rFonts w:asciiTheme="minorHAnsi" w:hAnsiTheme="minorHAnsi"/>
        </w:rPr>
        <w:t xml:space="preserve">To reach its targets </w:t>
      </w:r>
      <w:r w:rsidR="00AB0D28">
        <w:rPr>
          <w:rFonts w:asciiTheme="minorHAnsi" w:hAnsiTheme="minorHAnsi"/>
        </w:rPr>
        <w:t>the employment insurance agency BPJS</w:t>
      </w:r>
      <w:r w:rsidRPr="00C61B19">
        <w:rPr>
          <w:rFonts w:asciiTheme="minorHAnsi" w:hAnsiTheme="minorHAnsi"/>
        </w:rPr>
        <w:t xml:space="preserve"> </w:t>
      </w:r>
      <w:r w:rsidR="006C2B1F">
        <w:rPr>
          <w:rFonts w:asciiTheme="minorHAnsi" w:hAnsiTheme="minorHAnsi"/>
        </w:rPr>
        <w:t xml:space="preserve">Employment </w:t>
      </w:r>
      <w:r w:rsidRPr="00C61B19">
        <w:rPr>
          <w:rFonts w:asciiTheme="minorHAnsi" w:hAnsiTheme="minorHAnsi"/>
        </w:rPr>
        <w:t xml:space="preserve">needs </w:t>
      </w:r>
      <w:r w:rsidR="00B943C9" w:rsidRPr="00C61B19">
        <w:rPr>
          <w:rFonts w:asciiTheme="minorHAnsi" w:hAnsiTheme="minorHAnsi"/>
        </w:rPr>
        <w:t>technical assistance to enable members</w:t>
      </w:r>
      <w:r w:rsidR="00B943C9">
        <w:rPr>
          <w:rFonts w:asciiTheme="minorHAnsi" w:hAnsiTheme="minorHAnsi"/>
        </w:rPr>
        <w:t xml:space="preserve"> </w:t>
      </w:r>
      <w:r w:rsidR="00B943C9" w:rsidRPr="00C61B19">
        <w:rPr>
          <w:rFonts w:asciiTheme="minorHAnsi" w:hAnsiTheme="minorHAnsi"/>
        </w:rPr>
        <w:t>wherever they live</w:t>
      </w:r>
      <w:r w:rsidR="00B943C9">
        <w:rPr>
          <w:rFonts w:asciiTheme="minorHAnsi" w:hAnsiTheme="minorHAnsi"/>
        </w:rPr>
        <w:t xml:space="preserve"> </w:t>
      </w:r>
      <w:r w:rsidR="00B943C9" w:rsidRPr="00C61B19">
        <w:rPr>
          <w:rFonts w:asciiTheme="minorHAnsi" w:hAnsiTheme="minorHAnsi"/>
        </w:rPr>
        <w:t>to pay regular contributions;</w:t>
      </w:r>
      <w:r w:rsidR="00B943C9">
        <w:rPr>
          <w:rFonts w:asciiTheme="minorHAnsi" w:hAnsiTheme="minorHAnsi"/>
        </w:rPr>
        <w:t xml:space="preserve"> </w:t>
      </w:r>
      <w:r w:rsidRPr="00C61B19">
        <w:rPr>
          <w:rFonts w:asciiTheme="minorHAnsi" w:hAnsiTheme="minorHAnsi"/>
        </w:rPr>
        <w:t xml:space="preserve">actuarial assistance to ensure contribution rates are fiscally sound; and advice on fund investment. </w:t>
      </w:r>
      <w:r w:rsidR="00B943C9">
        <w:rPr>
          <w:rFonts w:asciiTheme="minorHAnsi" w:hAnsiTheme="minorHAnsi"/>
        </w:rPr>
        <w:t>Poorly designed</w:t>
      </w:r>
      <w:r w:rsidRPr="00C61B19">
        <w:rPr>
          <w:rFonts w:asciiTheme="minorHAnsi" w:hAnsiTheme="minorHAnsi"/>
        </w:rPr>
        <w:t xml:space="preserve"> </w:t>
      </w:r>
      <w:r w:rsidR="0098637F">
        <w:rPr>
          <w:rFonts w:asciiTheme="minorHAnsi" w:hAnsiTheme="minorHAnsi"/>
        </w:rPr>
        <w:t>social security</w:t>
      </w:r>
      <w:r>
        <w:rPr>
          <w:rFonts w:asciiTheme="minorHAnsi" w:hAnsiTheme="minorHAnsi"/>
        </w:rPr>
        <w:t xml:space="preserve"> </w:t>
      </w:r>
      <w:r w:rsidR="00B943C9">
        <w:rPr>
          <w:rFonts w:asciiTheme="minorHAnsi" w:hAnsiTheme="minorHAnsi"/>
        </w:rPr>
        <w:t>can</w:t>
      </w:r>
      <w:r w:rsidRPr="00C61B19">
        <w:rPr>
          <w:rFonts w:asciiTheme="minorHAnsi" w:hAnsiTheme="minorHAnsi"/>
        </w:rPr>
        <w:t xml:space="preserve"> negatively </w:t>
      </w:r>
      <w:r w:rsidR="00AB0D28">
        <w:rPr>
          <w:rFonts w:asciiTheme="minorHAnsi" w:hAnsiTheme="minorHAnsi"/>
        </w:rPr>
        <w:t>affect</w:t>
      </w:r>
      <w:r w:rsidRPr="00C61B19">
        <w:rPr>
          <w:rFonts w:asciiTheme="minorHAnsi" w:hAnsiTheme="minorHAnsi"/>
        </w:rPr>
        <w:t xml:space="preserve"> the labour market and growth. Setting employee and employer contributions too high create</w:t>
      </w:r>
      <w:r>
        <w:rPr>
          <w:rFonts w:asciiTheme="minorHAnsi" w:hAnsiTheme="minorHAnsi"/>
        </w:rPr>
        <w:t>s</w:t>
      </w:r>
      <w:r w:rsidRPr="00C61B19">
        <w:rPr>
          <w:rFonts w:asciiTheme="minorHAnsi" w:hAnsiTheme="minorHAnsi"/>
        </w:rPr>
        <w:t xml:space="preserve"> incentives for avoidance, </w:t>
      </w:r>
      <w:r>
        <w:rPr>
          <w:rFonts w:asciiTheme="minorHAnsi" w:hAnsiTheme="minorHAnsi"/>
        </w:rPr>
        <w:t>dissuades</w:t>
      </w:r>
      <w:r w:rsidRPr="00C61B19">
        <w:rPr>
          <w:rFonts w:asciiTheme="minorHAnsi" w:hAnsiTheme="minorHAnsi"/>
        </w:rPr>
        <w:t xml:space="preserve"> employers taking on additional employees and discourage</w:t>
      </w:r>
      <w:r>
        <w:rPr>
          <w:rFonts w:asciiTheme="minorHAnsi" w:hAnsiTheme="minorHAnsi"/>
        </w:rPr>
        <w:t>s</w:t>
      </w:r>
      <w:r w:rsidRPr="00C61B19">
        <w:rPr>
          <w:rFonts w:asciiTheme="minorHAnsi" w:hAnsiTheme="minorHAnsi"/>
        </w:rPr>
        <w:t xml:space="preserve"> </w:t>
      </w:r>
      <w:r w:rsidR="00AB0D28" w:rsidRPr="00C61B19">
        <w:rPr>
          <w:rFonts w:asciiTheme="minorHAnsi" w:hAnsiTheme="minorHAnsi"/>
        </w:rPr>
        <w:t xml:space="preserve">business </w:t>
      </w:r>
      <w:r w:rsidRPr="00C61B19">
        <w:rPr>
          <w:rFonts w:asciiTheme="minorHAnsi" w:hAnsiTheme="minorHAnsi"/>
        </w:rPr>
        <w:t>investment. If contributions are too low</w:t>
      </w:r>
      <w:r w:rsidR="006C2B1F">
        <w:rPr>
          <w:rFonts w:asciiTheme="minorHAnsi" w:hAnsiTheme="minorHAnsi"/>
        </w:rPr>
        <w:t>,</w:t>
      </w:r>
      <w:r w:rsidRPr="00C61B19">
        <w:rPr>
          <w:rFonts w:asciiTheme="minorHAnsi" w:hAnsiTheme="minorHAnsi"/>
        </w:rPr>
        <w:t xml:space="preserve"> </w:t>
      </w:r>
      <w:r w:rsidR="002E2274">
        <w:rPr>
          <w:rFonts w:asciiTheme="minorHAnsi" w:hAnsiTheme="minorHAnsi"/>
        </w:rPr>
        <w:t>government</w:t>
      </w:r>
      <w:r w:rsidR="002E2274" w:rsidRPr="00C61B19">
        <w:rPr>
          <w:rFonts w:asciiTheme="minorHAnsi" w:hAnsiTheme="minorHAnsi"/>
        </w:rPr>
        <w:t xml:space="preserve"> </w:t>
      </w:r>
      <w:r w:rsidR="006C2B1F">
        <w:rPr>
          <w:rFonts w:asciiTheme="minorHAnsi" w:hAnsiTheme="minorHAnsi"/>
        </w:rPr>
        <w:t>bailout schemes may be required</w:t>
      </w:r>
      <w:r w:rsidRPr="00C61B19">
        <w:rPr>
          <w:rFonts w:asciiTheme="minorHAnsi" w:hAnsiTheme="minorHAnsi"/>
        </w:rPr>
        <w:t xml:space="preserve">. </w:t>
      </w:r>
    </w:p>
    <w:p w14:paraId="0F4680F9" w14:textId="77777777" w:rsidR="002C2B09" w:rsidRPr="00C53F00" w:rsidRDefault="002C2B09" w:rsidP="00C53F00">
      <w:pPr>
        <w:spacing w:after="0"/>
        <w:jc w:val="both"/>
        <w:rPr>
          <w:rFonts w:asciiTheme="minorHAnsi" w:hAnsiTheme="minorHAnsi"/>
          <w:b/>
        </w:rPr>
      </w:pPr>
      <w:r w:rsidRPr="00C53F00">
        <w:rPr>
          <w:rFonts w:asciiTheme="minorHAnsi" w:hAnsiTheme="minorHAnsi"/>
          <w:b/>
        </w:rPr>
        <w:t>Moving to</w:t>
      </w:r>
      <w:r>
        <w:rPr>
          <w:rFonts w:asciiTheme="minorHAnsi" w:hAnsiTheme="minorHAnsi"/>
          <w:b/>
        </w:rPr>
        <w:t>wards</w:t>
      </w:r>
      <w:r w:rsidRPr="00C53F00">
        <w:rPr>
          <w:rFonts w:asciiTheme="minorHAnsi" w:hAnsiTheme="minorHAnsi"/>
          <w:b/>
        </w:rPr>
        <w:t xml:space="preserve"> comprehensive social protection</w:t>
      </w:r>
    </w:p>
    <w:p w14:paraId="1ECE976B" w14:textId="3892A7AF" w:rsidR="00505241" w:rsidRDefault="00C61B19" w:rsidP="00C53F00">
      <w:pPr>
        <w:spacing w:after="120"/>
        <w:jc w:val="both"/>
        <w:rPr>
          <w:rFonts w:asciiTheme="minorHAnsi" w:hAnsiTheme="minorHAnsi"/>
        </w:rPr>
      </w:pPr>
      <w:r w:rsidRPr="00C61B19">
        <w:rPr>
          <w:rFonts w:asciiTheme="minorHAnsi" w:hAnsiTheme="minorHAnsi"/>
        </w:rPr>
        <w:t xml:space="preserve">A major challenge </w:t>
      </w:r>
      <w:r w:rsidR="002D10A0">
        <w:rPr>
          <w:rFonts w:asciiTheme="minorHAnsi" w:hAnsiTheme="minorHAnsi"/>
        </w:rPr>
        <w:t>for</w:t>
      </w:r>
      <w:r w:rsidRPr="00C61B19">
        <w:rPr>
          <w:rFonts w:asciiTheme="minorHAnsi" w:hAnsiTheme="minorHAnsi"/>
        </w:rPr>
        <w:t xml:space="preserve"> Indonesia is how to align </w:t>
      </w:r>
      <w:r w:rsidR="0046185F">
        <w:rPr>
          <w:rFonts w:asciiTheme="minorHAnsi" w:hAnsiTheme="minorHAnsi"/>
        </w:rPr>
        <w:t xml:space="preserve">its new </w:t>
      </w:r>
      <w:r w:rsidR="0098637F">
        <w:rPr>
          <w:rFonts w:asciiTheme="minorHAnsi" w:hAnsiTheme="minorHAnsi"/>
        </w:rPr>
        <w:t>social security</w:t>
      </w:r>
      <w:r w:rsidR="0046185F">
        <w:rPr>
          <w:rFonts w:asciiTheme="minorHAnsi" w:hAnsiTheme="minorHAnsi"/>
        </w:rPr>
        <w:t xml:space="preserve"> programs with</w:t>
      </w:r>
      <w:r w:rsidR="0046185F" w:rsidRPr="00C61B19">
        <w:rPr>
          <w:rFonts w:asciiTheme="minorHAnsi" w:hAnsiTheme="minorHAnsi"/>
        </w:rPr>
        <w:t xml:space="preserve"> </w:t>
      </w:r>
      <w:r w:rsidRPr="00C61B19">
        <w:rPr>
          <w:rFonts w:asciiTheme="minorHAnsi" w:hAnsiTheme="minorHAnsi"/>
        </w:rPr>
        <w:t xml:space="preserve">social assistance to </w:t>
      </w:r>
      <w:r w:rsidR="0046185F">
        <w:rPr>
          <w:rFonts w:asciiTheme="minorHAnsi" w:hAnsiTheme="minorHAnsi"/>
        </w:rPr>
        <w:t>create</w:t>
      </w:r>
      <w:r w:rsidRPr="00C61B19">
        <w:rPr>
          <w:rFonts w:asciiTheme="minorHAnsi" w:hAnsiTheme="minorHAnsi"/>
        </w:rPr>
        <w:t xml:space="preserve"> a better-functioning social protection system. GOI’s </w:t>
      </w:r>
      <w:r w:rsidR="0046185F">
        <w:rPr>
          <w:rFonts w:asciiTheme="minorHAnsi" w:hAnsiTheme="minorHAnsi"/>
        </w:rPr>
        <w:t xml:space="preserve">aspirational </w:t>
      </w:r>
      <w:r w:rsidRPr="00C61B19">
        <w:rPr>
          <w:rFonts w:asciiTheme="minorHAnsi" w:hAnsiTheme="minorHAnsi"/>
        </w:rPr>
        <w:t>poverty reduction strategy</w:t>
      </w:r>
      <w:r w:rsidRPr="00C61B19">
        <w:rPr>
          <w:rStyle w:val="FootnoteReference"/>
          <w:rFonts w:asciiTheme="minorHAnsi" w:hAnsiTheme="minorHAnsi"/>
        </w:rPr>
        <w:footnoteReference w:id="6"/>
      </w:r>
      <w:r w:rsidRPr="00C61B19">
        <w:rPr>
          <w:rFonts w:asciiTheme="minorHAnsi" w:hAnsiTheme="minorHAnsi"/>
        </w:rPr>
        <w:t xml:space="preserve"> advocates for this in the long-term, with a vision of comprehensive social protection that will address key lifecycle risks and provide protection to all Indonesians by 2025.</w:t>
      </w:r>
      <w:r w:rsidR="00505241">
        <w:rPr>
          <w:rFonts w:asciiTheme="minorHAnsi" w:hAnsiTheme="minorHAnsi"/>
        </w:rPr>
        <w:t xml:space="preserve"> </w:t>
      </w:r>
      <w:r w:rsidR="006C2B1F">
        <w:rPr>
          <w:rFonts w:asciiTheme="minorHAnsi" w:hAnsiTheme="minorHAnsi"/>
        </w:rPr>
        <w:t>Australia</w:t>
      </w:r>
      <w:r w:rsidR="00505241">
        <w:rPr>
          <w:rFonts w:asciiTheme="minorHAnsi" w:hAnsiTheme="minorHAnsi"/>
        </w:rPr>
        <w:t xml:space="preserve"> provided financial and technical support to </w:t>
      </w:r>
      <w:r w:rsidR="006C2B1F">
        <w:rPr>
          <w:rFonts w:asciiTheme="minorHAnsi" w:hAnsiTheme="minorHAnsi"/>
        </w:rPr>
        <w:t>Indonesia’s National Development Planning Agency (</w:t>
      </w:r>
      <w:r w:rsidR="00505241">
        <w:rPr>
          <w:rFonts w:asciiTheme="minorHAnsi" w:hAnsiTheme="minorHAnsi"/>
        </w:rPr>
        <w:t>Bappenas</w:t>
      </w:r>
      <w:r w:rsidR="006C2B1F">
        <w:rPr>
          <w:rFonts w:asciiTheme="minorHAnsi" w:hAnsiTheme="minorHAnsi"/>
        </w:rPr>
        <w:t>)</w:t>
      </w:r>
      <w:r w:rsidR="00505241">
        <w:rPr>
          <w:rFonts w:asciiTheme="minorHAnsi" w:hAnsiTheme="minorHAnsi"/>
        </w:rPr>
        <w:t xml:space="preserve"> to develop its long-term poverty reduction strategy and is now supporting Bappenas to develop its next </w:t>
      </w:r>
      <w:r w:rsidR="00807457">
        <w:rPr>
          <w:rFonts w:asciiTheme="minorHAnsi" w:hAnsiTheme="minorHAnsi"/>
        </w:rPr>
        <w:t>five</w:t>
      </w:r>
      <w:r w:rsidR="00505241">
        <w:rPr>
          <w:rFonts w:asciiTheme="minorHAnsi" w:hAnsiTheme="minorHAnsi"/>
        </w:rPr>
        <w:t xml:space="preserve">-year plan for poverty reduction, including the role of social protection. </w:t>
      </w:r>
    </w:p>
    <w:p w14:paraId="769397DE" w14:textId="5FAC28A0" w:rsidR="00C61B19" w:rsidRPr="00C61B19" w:rsidRDefault="00C61B19" w:rsidP="00C53F00">
      <w:pPr>
        <w:spacing w:after="120"/>
        <w:jc w:val="both"/>
        <w:rPr>
          <w:rFonts w:asciiTheme="minorHAnsi" w:hAnsiTheme="minorHAnsi"/>
        </w:rPr>
      </w:pPr>
      <w:r w:rsidRPr="00C61B19">
        <w:rPr>
          <w:rFonts w:asciiTheme="minorHAnsi" w:hAnsiTheme="minorHAnsi"/>
        </w:rPr>
        <w:t xml:space="preserve">In the short term the policy priority has been to target programs to the poor and extreme poor. </w:t>
      </w:r>
      <w:r w:rsidR="0052277A">
        <w:rPr>
          <w:rFonts w:asciiTheme="minorHAnsi" w:hAnsiTheme="minorHAnsi"/>
        </w:rPr>
        <w:t>Through</w:t>
      </w:r>
      <w:r w:rsidR="0046185F">
        <w:rPr>
          <w:rFonts w:asciiTheme="minorHAnsi" w:hAnsiTheme="minorHAnsi"/>
        </w:rPr>
        <w:t xml:space="preserve"> TNP2K’s</w:t>
      </w:r>
      <w:r w:rsidR="0052277A">
        <w:rPr>
          <w:rFonts w:asciiTheme="minorHAnsi" w:hAnsiTheme="minorHAnsi"/>
        </w:rPr>
        <w:t xml:space="preserve"> work</w:t>
      </w:r>
      <w:r w:rsidR="0046185F">
        <w:rPr>
          <w:rFonts w:asciiTheme="minorHAnsi" w:hAnsiTheme="minorHAnsi"/>
        </w:rPr>
        <w:t xml:space="preserve"> </w:t>
      </w:r>
      <w:r w:rsidRPr="00C61B19">
        <w:rPr>
          <w:rFonts w:asciiTheme="minorHAnsi" w:hAnsiTheme="minorHAnsi"/>
        </w:rPr>
        <w:t>GOI has develop</w:t>
      </w:r>
      <w:r w:rsidR="0046185F">
        <w:rPr>
          <w:rFonts w:asciiTheme="minorHAnsi" w:hAnsiTheme="minorHAnsi"/>
        </w:rPr>
        <w:t>ed</w:t>
      </w:r>
      <w:r w:rsidRPr="00C61B19">
        <w:rPr>
          <w:rFonts w:asciiTheme="minorHAnsi" w:hAnsiTheme="minorHAnsi"/>
        </w:rPr>
        <w:t xml:space="preserve"> a </w:t>
      </w:r>
      <w:r w:rsidR="00400702">
        <w:rPr>
          <w:rFonts w:asciiTheme="minorHAnsi" w:hAnsiTheme="minorHAnsi"/>
        </w:rPr>
        <w:t>single</w:t>
      </w:r>
      <w:r w:rsidR="00A36D3F">
        <w:rPr>
          <w:rFonts w:asciiTheme="minorHAnsi" w:hAnsiTheme="minorHAnsi"/>
        </w:rPr>
        <w:t xml:space="preserve"> </w:t>
      </w:r>
      <w:r w:rsidR="006C2B1F">
        <w:rPr>
          <w:rFonts w:asciiTheme="minorHAnsi" w:hAnsiTheme="minorHAnsi"/>
        </w:rPr>
        <w:t>U</w:t>
      </w:r>
      <w:r w:rsidR="00A36D3F">
        <w:rPr>
          <w:rFonts w:asciiTheme="minorHAnsi" w:hAnsiTheme="minorHAnsi"/>
        </w:rPr>
        <w:t>nified</w:t>
      </w:r>
      <w:r w:rsidR="00400702">
        <w:rPr>
          <w:rFonts w:asciiTheme="minorHAnsi" w:hAnsiTheme="minorHAnsi"/>
        </w:rPr>
        <w:t xml:space="preserve"> </w:t>
      </w:r>
      <w:r w:rsidR="006C2B1F">
        <w:rPr>
          <w:rFonts w:asciiTheme="minorHAnsi" w:hAnsiTheme="minorHAnsi"/>
        </w:rPr>
        <w:t>D</w:t>
      </w:r>
      <w:r w:rsidR="002D10A0">
        <w:rPr>
          <w:rFonts w:asciiTheme="minorHAnsi" w:hAnsiTheme="minorHAnsi"/>
        </w:rPr>
        <w:t>atabase</w:t>
      </w:r>
      <w:r w:rsidR="00A36D3F">
        <w:rPr>
          <w:rFonts w:asciiTheme="minorHAnsi" w:hAnsiTheme="minorHAnsi"/>
        </w:rPr>
        <w:t xml:space="preserve"> (UDB)</w:t>
      </w:r>
      <w:r w:rsidRPr="00C61B19">
        <w:rPr>
          <w:rFonts w:asciiTheme="minorHAnsi" w:hAnsiTheme="minorHAnsi"/>
        </w:rPr>
        <w:t xml:space="preserve"> for </w:t>
      </w:r>
      <w:r w:rsidR="002D10A0">
        <w:rPr>
          <w:rFonts w:asciiTheme="minorHAnsi" w:hAnsiTheme="minorHAnsi"/>
        </w:rPr>
        <w:t xml:space="preserve">all </w:t>
      </w:r>
      <w:r w:rsidRPr="00C61B19">
        <w:rPr>
          <w:rFonts w:asciiTheme="minorHAnsi" w:hAnsiTheme="minorHAnsi"/>
        </w:rPr>
        <w:t>s</w:t>
      </w:r>
      <w:r w:rsidR="002D10A0">
        <w:rPr>
          <w:rFonts w:asciiTheme="minorHAnsi" w:hAnsiTheme="minorHAnsi"/>
        </w:rPr>
        <w:t>ocial assistance beneficiaries</w:t>
      </w:r>
      <w:r w:rsidRPr="00C61B19">
        <w:rPr>
          <w:rFonts w:asciiTheme="minorHAnsi" w:hAnsiTheme="minorHAnsi"/>
        </w:rPr>
        <w:t xml:space="preserve">. The main national programs have adopted the database and improved their outreach to the poor, but methodological and implementation constraints place an upper boundary on the database’s accuracy (SMERU 2011). At the same time the policy focus on reaching the poorest limits the constituency for improving and expanding </w:t>
      </w:r>
      <w:r w:rsidR="00646FEB" w:rsidRPr="00C61B19">
        <w:rPr>
          <w:rFonts w:asciiTheme="minorHAnsi" w:hAnsiTheme="minorHAnsi"/>
        </w:rPr>
        <w:t>programs</w:t>
      </w:r>
      <w:r w:rsidRPr="00C61B19">
        <w:rPr>
          <w:rFonts w:asciiTheme="minorHAnsi" w:hAnsiTheme="minorHAnsi"/>
        </w:rPr>
        <w:t xml:space="preserve"> and this contributes to underinvestment, low coverage and benefit levels, and weak </w:t>
      </w:r>
      <w:r w:rsidR="00C213D7">
        <w:rPr>
          <w:rFonts w:asciiTheme="minorHAnsi" w:hAnsiTheme="minorHAnsi"/>
        </w:rPr>
        <w:t>delivery</w:t>
      </w:r>
      <w:r w:rsidRPr="00C61B19">
        <w:rPr>
          <w:rFonts w:asciiTheme="minorHAnsi" w:hAnsiTheme="minorHAnsi"/>
        </w:rPr>
        <w:t xml:space="preserve"> systems. Without a change in approach it will be difficult to reach GOI’s vision for a social </w:t>
      </w:r>
      <w:r w:rsidR="0046185F">
        <w:rPr>
          <w:rFonts w:asciiTheme="minorHAnsi" w:hAnsiTheme="minorHAnsi"/>
        </w:rPr>
        <w:t>protection</w:t>
      </w:r>
      <w:r w:rsidRPr="00C61B19">
        <w:rPr>
          <w:rFonts w:asciiTheme="minorHAnsi" w:hAnsiTheme="minorHAnsi"/>
        </w:rPr>
        <w:t xml:space="preserve"> system that can address the needs of the poor</w:t>
      </w:r>
      <w:r w:rsidR="0046185F">
        <w:rPr>
          <w:rFonts w:asciiTheme="minorHAnsi" w:hAnsiTheme="minorHAnsi"/>
        </w:rPr>
        <w:t>,</w:t>
      </w:r>
      <w:r w:rsidRPr="00C61B19">
        <w:rPr>
          <w:rFonts w:asciiTheme="minorHAnsi" w:hAnsiTheme="minorHAnsi"/>
        </w:rPr>
        <w:t xml:space="preserve"> </w:t>
      </w:r>
      <w:r w:rsidR="00400702">
        <w:rPr>
          <w:rFonts w:asciiTheme="minorHAnsi" w:hAnsiTheme="minorHAnsi"/>
        </w:rPr>
        <w:t>vulnerable</w:t>
      </w:r>
      <w:r w:rsidR="0046185F">
        <w:rPr>
          <w:rFonts w:asciiTheme="minorHAnsi" w:hAnsiTheme="minorHAnsi"/>
        </w:rPr>
        <w:t xml:space="preserve"> and </w:t>
      </w:r>
      <w:r w:rsidR="001D061D">
        <w:rPr>
          <w:rFonts w:asciiTheme="minorHAnsi" w:hAnsiTheme="minorHAnsi"/>
        </w:rPr>
        <w:t>emerging consumer class</w:t>
      </w:r>
      <w:r w:rsidR="0046185F">
        <w:rPr>
          <w:rFonts w:asciiTheme="minorHAnsi" w:hAnsiTheme="minorHAnsi"/>
        </w:rPr>
        <w:t>,</w:t>
      </w:r>
      <w:r w:rsidR="00400702">
        <w:rPr>
          <w:rFonts w:asciiTheme="minorHAnsi" w:hAnsiTheme="minorHAnsi"/>
        </w:rPr>
        <w:t xml:space="preserve"> </w:t>
      </w:r>
      <w:r w:rsidRPr="00C61B19">
        <w:rPr>
          <w:rFonts w:asciiTheme="minorHAnsi" w:hAnsiTheme="minorHAnsi"/>
        </w:rPr>
        <w:t xml:space="preserve">and effectively address inequality. </w:t>
      </w:r>
    </w:p>
    <w:p w14:paraId="1736221A" w14:textId="2F2EDEF6" w:rsidR="00E14FC0" w:rsidRDefault="008105A0" w:rsidP="00C53F00">
      <w:pPr>
        <w:spacing w:after="120"/>
        <w:jc w:val="both"/>
        <w:rPr>
          <w:rFonts w:asciiTheme="minorHAnsi" w:hAnsiTheme="minorHAnsi"/>
        </w:rPr>
      </w:pPr>
      <w:r>
        <w:rPr>
          <w:rFonts w:asciiTheme="minorHAnsi" w:hAnsiTheme="minorHAnsi"/>
        </w:rPr>
        <w:t xml:space="preserve">To </w:t>
      </w:r>
      <w:r w:rsidR="0052277A">
        <w:rPr>
          <w:rFonts w:asciiTheme="minorHAnsi" w:hAnsiTheme="minorHAnsi"/>
        </w:rPr>
        <w:t xml:space="preserve">help </w:t>
      </w:r>
      <w:r>
        <w:rPr>
          <w:rFonts w:asciiTheme="minorHAnsi" w:hAnsiTheme="minorHAnsi"/>
        </w:rPr>
        <w:t>meet these challenges Indonesia needs creative, local solutions appropriate to its unique context. But wi</w:t>
      </w:r>
      <w:r w:rsidR="004973E1" w:rsidRPr="00C61B19">
        <w:rPr>
          <w:rFonts w:asciiTheme="minorHAnsi" w:hAnsiTheme="minorHAnsi"/>
        </w:rPr>
        <w:t xml:space="preserve">thin national think tanks </w:t>
      </w:r>
      <w:r w:rsidR="004973E1">
        <w:rPr>
          <w:rFonts w:asciiTheme="minorHAnsi" w:hAnsiTheme="minorHAnsi"/>
        </w:rPr>
        <w:t>t</w:t>
      </w:r>
      <w:r w:rsidR="00C61B19" w:rsidRPr="00C61B19">
        <w:rPr>
          <w:rFonts w:asciiTheme="minorHAnsi" w:hAnsiTheme="minorHAnsi"/>
        </w:rPr>
        <w:t>here is limited capacity to generate and promote new ways of thinking</w:t>
      </w:r>
      <w:r w:rsidRPr="008105A0">
        <w:rPr>
          <w:rFonts w:asciiTheme="minorHAnsi" w:hAnsiTheme="minorHAnsi"/>
        </w:rPr>
        <w:t xml:space="preserve"> </w:t>
      </w:r>
      <w:r w:rsidRPr="00C61B19">
        <w:rPr>
          <w:rFonts w:asciiTheme="minorHAnsi" w:hAnsiTheme="minorHAnsi"/>
        </w:rPr>
        <w:t>in the social protection field</w:t>
      </w:r>
      <w:r w:rsidR="00C61B19" w:rsidRPr="00C61B19">
        <w:rPr>
          <w:rFonts w:asciiTheme="minorHAnsi" w:hAnsiTheme="minorHAnsi"/>
        </w:rPr>
        <w:t xml:space="preserve">. </w:t>
      </w:r>
      <w:r w:rsidR="00C3635E">
        <w:rPr>
          <w:rFonts w:asciiTheme="minorHAnsi" w:hAnsiTheme="minorHAnsi"/>
        </w:rPr>
        <w:t>A</w:t>
      </w:r>
      <w:r w:rsidR="00C61B19" w:rsidRPr="00C61B19">
        <w:rPr>
          <w:rFonts w:asciiTheme="minorHAnsi" w:hAnsiTheme="minorHAnsi"/>
        </w:rPr>
        <w:t>side from SMERU</w:t>
      </w:r>
      <w:r w:rsidR="00C3635E">
        <w:rPr>
          <w:rFonts w:asciiTheme="minorHAnsi" w:hAnsiTheme="minorHAnsi"/>
        </w:rPr>
        <w:t xml:space="preserve"> and</w:t>
      </w:r>
      <w:r w:rsidR="00C61B19" w:rsidRPr="00C61B19">
        <w:rPr>
          <w:rFonts w:asciiTheme="minorHAnsi" w:hAnsiTheme="minorHAnsi"/>
        </w:rPr>
        <w:t xml:space="preserve"> </w:t>
      </w:r>
      <w:r w:rsidR="00C3635E" w:rsidRPr="00C61B19">
        <w:rPr>
          <w:rFonts w:asciiTheme="minorHAnsi" w:hAnsiTheme="minorHAnsi"/>
        </w:rPr>
        <w:t xml:space="preserve">a small pool of national social protection experts </w:t>
      </w:r>
      <w:r w:rsidR="00C61B19" w:rsidRPr="00C61B19">
        <w:rPr>
          <w:rFonts w:asciiTheme="minorHAnsi" w:hAnsiTheme="minorHAnsi"/>
        </w:rPr>
        <w:t>there is no other independent (i.e. non-government) institutional capacity. The potential for institutional growth exists but is constrained by lack of financing and (often donor-driven) competition for experts. Historically the World Bank</w:t>
      </w:r>
      <w:r w:rsidR="000170C2">
        <w:rPr>
          <w:rFonts w:asciiTheme="minorHAnsi" w:hAnsiTheme="minorHAnsi"/>
        </w:rPr>
        <w:t xml:space="preserve"> </w:t>
      </w:r>
      <w:r w:rsidR="00C61B19" w:rsidRPr="00C61B19">
        <w:rPr>
          <w:rFonts w:asciiTheme="minorHAnsi" w:hAnsiTheme="minorHAnsi"/>
        </w:rPr>
        <w:t>has filled this gap, providing high-quality analysis and po</w:t>
      </w:r>
      <w:r w:rsidR="006C2B1F">
        <w:rPr>
          <w:rFonts w:asciiTheme="minorHAnsi" w:hAnsiTheme="minorHAnsi"/>
        </w:rPr>
        <w:t xml:space="preserve">licy advice, but with little </w:t>
      </w:r>
      <w:r w:rsidR="00C61B19" w:rsidRPr="00C61B19">
        <w:rPr>
          <w:rFonts w:asciiTheme="minorHAnsi" w:hAnsiTheme="minorHAnsi"/>
        </w:rPr>
        <w:t>debate or contesta</w:t>
      </w:r>
      <w:r>
        <w:rPr>
          <w:rFonts w:asciiTheme="minorHAnsi" w:hAnsiTheme="minorHAnsi"/>
        </w:rPr>
        <w:t>bility</w:t>
      </w:r>
      <w:r w:rsidR="00C61B19" w:rsidRPr="00C61B19">
        <w:rPr>
          <w:rFonts w:asciiTheme="minorHAnsi" w:hAnsiTheme="minorHAnsi"/>
        </w:rPr>
        <w:t xml:space="preserve">. </w:t>
      </w:r>
      <w:r w:rsidR="00C3635E">
        <w:rPr>
          <w:rFonts w:asciiTheme="minorHAnsi" w:hAnsiTheme="minorHAnsi"/>
        </w:rPr>
        <w:t>R</w:t>
      </w:r>
      <w:r w:rsidR="00C61B19" w:rsidRPr="00C61B19">
        <w:rPr>
          <w:rFonts w:asciiTheme="minorHAnsi" w:hAnsiTheme="minorHAnsi"/>
        </w:rPr>
        <w:t>ecently TNP2K has stepped in</w:t>
      </w:r>
      <w:r>
        <w:rPr>
          <w:rFonts w:asciiTheme="minorHAnsi" w:hAnsiTheme="minorHAnsi"/>
        </w:rPr>
        <w:t>,</w:t>
      </w:r>
      <w:r w:rsidR="00C61B19" w:rsidRPr="00C61B19">
        <w:rPr>
          <w:rFonts w:asciiTheme="minorHAnsi" w:hAnsiTheme="minorHAnsi"/>
        </w:rPr>
        <w:t xml:space="preserve"> </w:t>
      </w:r>
      <w:r>
        <w:rPr>
          <w:rFonts w:asciiTheme="minorHAnsi" w:hAnsiTheme="minorHAnsi"/>
        </w:rPr>
        <w:t>and w</w:t>
      </w:r>
      <w:r w:rsidR="004973E1">
        <w:rPr>
          <w:rFonts w:asciiTheme="minorHAnsi" w:hAnsiTheme="minorHAnsi"/>
        </w:rPr>
        <w:t>ith</w:t>
      </w:r>
      <w:r w:rsidR="00C61B19" w:rsidRPr="00C61B19">
        <w:rPr>
          <w:rFonts w:asciiTheme="minorHAnsi" w:hAnsiTheme="minorHAnsi"/>
        </w:rPr>
        <w:t xml:space="preserve"> some of the country’s best researchers and analysts </w:t>
      </w:r>
      <w:r w:rsidR="004973E1">
        <w:rPr>
          <w:rFonts w:asciiTheme="minorHAnsi" w:hAnsiTheme="minorHAnsi"/>
        </w:rPr>
        <w:t>it</w:t>
      </w:r>
      <w:r w:rsidR="00C61B19" w:rsidRPr="00C61B19">
        <w:rPr>
          <w:rFonts w:asciiTheme="minorHAnsi" w:hAnsiTheme="minorHAnsi"/>
        </w:rPr>
        <w:t xml:space="preserve"> has successfully brokered a series of policy reforms, but as a GOI institution it cannot provide independent views</w:t>
      </w:r>
      <w:r w:rsidR="006C2B1F">
        <w:rPr>
          <w:rFonts w:asciiTheme="minorHAnsi" w:hAnsiTheme="minorHAnsi"/>
        </w:rPr>
        <w:t>.</w:t>
      </w:r>
      <w:r w:rsidR="00C61B19" w:rsidRPr="00C61B19">
        <w:rPr>
          <w:rFonts w:asciiTheme="minorHAnsi" w:hAnsiTheme="minorHAnsi"/>
        </w:rPr>
        <w:t xml:space="preserve"> </w:t>
      </w:r>
    </w:p>
    <w:p w14:paraId="12C6FC11" w14:textId="77777777" w:rsidR="00AC4402" w:rsidRPr="00E14FC0" w:rsidRDefault="00AC4402" w:rsidP="00133958">
      <w:pPr>
        <w:spacing w:after="0"/>
        <w:jc w:val="both"/>
        <w:rPr>
          <w:rFonts w:asciiTheme="minorHAnsi" w:hAnsiTheme="minorHAnsi"/>
        </w:rPr>
      </w:pPr>
      <w:r w:rsidRPr="00AC4402">
        <w:rPr>
          <w:rFonts w:asciiTheme="minorHAnsi" w:hAnsiTheme="minorHAnsi"/>
          <w:b/>
        </w:rPr>
        <w:t xml:space="preserve">Fiscal space for </w:t>
      </w:r>
      <w:r>
        <w:rPr>
          <w:rFonts w:asciiTheme="minorHAnsi" w:hAnsiTheme="minorHAnsi"/>
          <w:b/>
        </w:rPr>
        <w:t xml:space="preserve">expanding </w:t>
      </w:r>
      <w:r w:rsidRPr="00AC4402">
        <w:rPr>
          <w:rFonts w:asciiTheme="minorHAnsi" w:hAnsiTheme="minorHAnsi"/>
          <w:b/>
        </w:rPr>
        <w:t>social protection</w:t>
      </w:r>
    </w:p>
    <w:p w14:paraId="76C0C9A0" w14:textId="00C19B32" w:rsidR="00C61B19" w:rsidRDefault="006469B9" w:rsidP="00C53F00">
      <w:pPr>
        <w:spacing w:after="120"/>
        <w:jc w:val="both"/>
        <w:rPr>
          <w:rFonts w:asciiTheme="minorHAnsi" w:hAnsiTheme="minorHAnsi"/>
        </w:rPr>
      </w:pPr>
      <w:r w:rsidRPr="006469B9">
        <w:rPr>
          <w:rFonts w:asciiTheme="minorHAnsi" w:hAnsiTheme="minorHAnsi"/>
          <w:b/>
          <w:noProof/>
          <w:sz w:val="20"/>
          <w:szCs w:val="20"/>
          <w:lang w:eastAsia="en-AU"/>
        </w:rPr>
        <mc:AlternateContent>
          <mc:Choice Requires="wps">
            <w:drawing>
              <wp:anchor distT="0" distB="0" distL="114300" distR="114300" simplePos="0" relativeHeight="251663360" behindDoc="1" locked="0" layoutInCell="1" allowOverlap="1" wp14:anchorId="67BD1BFC" wp14:editId="5CE776E0">
                <wp:simplePos x="0" y="0"/>
                <wp:positionH relativeFrom="column">
                  <wp:posOffset>-123825</wp:posOffset>
                </wp:positionH>
                <wp:positionV relativeFrom="paragraph">
                  <wp:posOffset>375285</wp:posOffset>
                </wp:positionV>
                <wp:extent cx="3384550" cy="2276475"/>
                <wp:effectExtent l="0" t="0" r="25400" b="28575"/>
                <wp:wrapTight wrapText="bothSides">
                  <wp:wrapPolygon edited="0">
                    <wp:start x="0" y="0"/>
                    <wp:lineTo x="0" y="21690"/>
                    <wp:lineTo x="21641" y="21690"/>
                    <wp:lineTo x="21641"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2276475"/>
                        </a:xfrm>
                        <a:prstGeom prst="rect">
                          <a:avLst/>
                        </a:prstGeom>
                        <a:solidFill>
                          <a:srgbClr val="FFFFFF"/>
                        </a:solidFill>
                        <a:ln w="9525">
                          <a:solidFill>
                            <a:srgbClr val="000000"/>
                          </a:solidFill>
                          <a:miter lim="800000"/>
                          <a:headEnd/>
                          <a:tailEnd/>
                        </a:ln>
                      </wps:spPr>
                      <wps:txbx>
                        <w:txbxContent>
                          <w:p w14:paraId="7F75C0B8" w14:textId="77777777" w:rsidR="00807457" w:rsidRPr="006469B9" w:rsidRDefault="00807457" w:rsidP="006469B9">
                            <w:pPr>
                              <w:spacing w:after="0"/>
                              <w:jc w:val="both"/>
                              <w:rPr>
                                <w:rFonts w:asciiTheme="minorHAnsi" w:hAnsiTheme="minorHAnsi"/>
                                <w:b/>
                                <w:sz w:val="20"/>
                                <w:szCs w:val="20"/>
                              </w:rPr>
                            </w:pPr>
                            <w:r w:rsidRPr="006469B9">
                              <w:rPr>
                                <w:rFonts w:asciiTheme="minorHAnsi" w:hAnsiTheme="minorHAnsi"/>
                                <w:b/>
                                <w:sz w:val="20"/>
                                <w:szCs w:val="20"/>
                              </w:rPr>
                              <w:t>Figure 3: Distribution of subsidy spending across deciles and per capita expenditure (PCE)</w:t>
                            </w:r>
                          </w:p>
                          <w:p w14:paraId="636F5F08" w14:textId="712C41C4" w:rsidR="00807457" w:rsidRDefault="00807457">
                            <w:r w:rsidRPr="00BC0CB7">
                              <w:rPr>
                                <w:rFonts w:asciiTheme="minorHAnsi" w:hAnsiTheme="minorHAnsi"/>
                                <w:noProof/>
                                <w:lang w:eastAsia="en-AU"/>
                              </w:rPr>
                              <w:drawing>
                                <wp:inline distT="0" distB="0" distL="0" distR="0" wp14:anchorId="25E781D4" wp14:editId="3D6C690C">
                                  <wp:extent cx="3124200" cy="18669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75pt;margin-top:29.55pt;width:266.5pt;height:17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">
                <v:textbox>
                  <w:txbxContent>
                    <w:p w14:paraId="7F75C0B8" w14:textId="77777777" w:rsidR="00B52EBB" w:rsidRPr="006469B9" w:rsidRDefault="00B52EBB" w:rsidP="006469B9">
                      <w:pPr>
                        <w:spacing w:after="0"/>
                        <w:jc w:val="both"/>
                        <w:rPr>
                          <w:rFonts w:asciiTheme="minorHAnsi" w:hAnsiTheme="minorHAnsi"/>
                          <w:b/>
                          <w:sz w:val="20"/>
                          <w:szCs w:val="20"/>
                        </w:rPr>
                      </w:pPr>
                      <w:r w:rsidRPr="006469B9">
                        <w:rPr>
                          <w:rFonts w:asciiTheme="minorHAnsi" w:hAnsiTheme="minorHAnsi"/>
                          <w:b/>
                          <w:sz w:val="20"/>
                          <w:szCs w:val="20"/>
                        </w:rPr>
                        <w:t>Figure 3: Distribution of subsidy spending across deciles and per capita expenditure (PCE)</w:t>
                      </w:r>
                    </w:p>
                    <w:p w14:paraId="636F5F08" w14:textId="712C41C4" w:rsidR="00B52EBB" w:rsidRDefault="00B52EBB">
                      <w:r w:rsidRPr="00BC0CB7">
                        <w:rPr>
                          <w:rFonts w:asciiTheme="minorHAnsi" w:hAnsiTheme="minorHAnsi"/>
                          <w:noProof/>
                          <w:lang w:eastAsia="en-AU"/>
                        </w:rPr>
                        <w:drawing>
                          <wp:inline distT="0" distB="0" distL="0" distR="0" wp14:anchorId="25E781D4" wp14:editId="3D6C690C">
                            <wp:extent cx="3124200" cy="18669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v:textbox>
                <w10:wrap type="tight"/>
              </v:shape>
            </w:pict>
          </mc:Fallback>
        </mc:AlternateContent>
      </w:r>
      <w:r w:rsidR="00C61B19" w:rsidRPr="00C61B19">
        <w:rPr>
          <w:rFonts w:asciiTheme="minorHAnsi" w:hAnsiTheme="minorHAnsi"/>
        </w:rPr>
        <w:t xml:space="preserve">One of TNP2K’s major policy achievements </w:t>
      </w:r>
      <w:r w:rsidR="006C2B1F">
        <w:rPr>
          <w:rFonts w:asciiTheme="minorHAnsi" w:hAnsiTheme="minorHAnsi"/>
        </w:rPr>
        <w:t xml:space="preserve">(with PRSF’s assistance) </w:t>
      </w:r>
      <w:r w:rsidR="00C61B19" w:rsidRPr="00C61B19">
        <w:rPr>
          <w:rFonts w:asciiTheme="minorHAnsi" w:hAnsiTheme="minorHAnsi"/>
        </w:rPr>
        <w:t>was design of a compensation package that enabled GOI to reduce the fuel subs</w:t>
      </w:r>
      <w:r w:rsidR="006C2B1F">
        <w:rPr>
          <w:rFonts w:asciiTheme="minorHAnsi" w:hAnsiTheme="minorHAnsi"/>
        </w:rPr>
        <w:t xml:space="preserve">idy in 2013, freeing up </w:t>
      </w:r>
      <w:r w:rsidR="004E4163">
        <w:rPr>
          <w:rFonts w:asciiTheme="minorHAnsi" w:hAnsiTheme="minorHAnsi"/>
        </w:rPr>
        <w:t xml:space="preserve">well </w:t>
      </w:r>
      <w:r w:rsidR="006C2B1F">
        <w:rPr>
          <w:rFonts w:asciiTheme="minorHAnsi" w:hAnsiTheme="minorHAnsi"/>
        </w:rPr>
        <w:t>over $2 </w:t>
      </w:r>
      <w:r w:rsidR="00C61B19" w:rsidRPr="00C61B19">
        <w:rPr>
          <w:rFonts w:asciiTheme="minorHAnsi" w:hAnsiTheme="minorHAnsi"/>
        </w:rPr>
        <w:t xml:space="preserve">billion for social protection programs. </w:t>
      </w:r>
      <w:r w:rsidR="00C3635E">
        <w:rPr>
          <w:rFonts w:asciiTheme="minorHAnsi" w:hAnsiTheme="minorHAnsi"/>
        </w:rPr>
        <w:t>F</w:t>
      </w:r>
      <w:r w:rsidR="00C3635E" w:rsidRPr="00C61B19">
        <w:rPr>
          <w:rFonts w:asciiTheme="minorHAnsi" w:hAnsiTheme="minorHAnsi"/>
        </w:rPr>
        <w:t xml:space="preserve">uel subsidy </w:t>
      </w:r>
      <w:r w:rsidR="00C3635E">
        <w:rPr>
          <w:rFonts w:asciiTheme="minorHAnsi" w:hAnsiTheme="minorHAnsi"/>
        </w:rPr>
        <w:t>r</w:t>
      </w:r>
      <w:r w:rsidR="00C61B19" w:rsidRPr="00C61B19">
        <w:rPr>
          <w:rFonts w:asciiTheme="minorHAnsi" w:hAnsiTheme="minorHAnsi"/>
        </w:rPr>
        <w:t xml:space="preserve">eform is a critical ongoing policy concern because it </w:t>
      </w:r>
      <w:r w:rsidR="00C3635E">
        <w:rPr>
          <w:rFonts w:asciiTheme="minorHAnsi" w:hAnsiTheme="minorHAnsi"/>
        </w:rPr>
        <w:t>is</w:t>
      </w:r>
      <w:r w:rsidR="00C61B19" w:rsidRPr="00C61B19">
        <w:rPr>
          <w:rFonts w:asciiTheme="minorHAnsi" w:hAnsiTheme="minorHAnsi"/>
        </w:rPr>
        <w:t xml:space="preserve"> a massive drain on the budget</w:t>
      </w:r>
      <w:r w:rsidR="00C3635E">
        <w:rPr>
          <w:rFonts w:asciiTheme="minorHAnsi" w:hAnsiTheme="minorHAnsi"/>
        </w:rPr>
        <w:t xml:space="preserve">, crowding out other </w:t>
      </w:r>
      <w:r w:rsidR="00C61B19" w:rsidRPr="00C61B19">
        <w:rPr>
          <w:rFonts w:asciiTheme="minorHAnsi" w:hAnsiTheme="minorHAnsi"/>
        </w:rPr>
        <w:t xml:space="preserve">government spending, </w:t>
      </w:r>
      <w:r w:rsidR="00C3635E">
        <w:rPr>
          <w:rFonts w:asciiTheme="minorHAnsi" w:hAnsiTheme="minorHAnsi"/>
        </w:rPr>
        <w:t>but</w:t>
      </w:r>
      <w:r w:rsidR="00E9103C">
        <w:rPr>
          <w:rFonts w:asciiTheme="minorHAnsi" w:hAnsiTheme="minorHAnsi"/>
        </w:rPr>
        <w:t xml:space="preserve"> </w:t>
      </w:r>
      <w:r w:rsidR="00C3635E">
        <w:rPr>
          <w:rFonts w:asciiTheme="minorHAnsi" w:hAnsiTheme="minorHAnsi"/>
        </w:rPr>
        <w:t xml:space="preserve">politically </w:t>
      </w:r>
      <w:r w:rsidR="00E9103C">
        <w:rPr>
          <w:rFonts w:asciiTheme="minorHAnsi" w:hAnsiTheme="minorHAnsi"/>
        </w:rPr>
        <w:t xml:space="preserve">is </w:t>
      </w:r>
      <w:r w:rsidR="00C3635E">
        <w:rPr>
          <w:rFonts w:asciiTheme="minorHAnsi" w:hAnsiTheme="minorHAnsi"/>
        </w:rPr>
        <w:t>extremely difficult to remove</w:t>
      </w:r>
      <w:r w:rsidR="00C61B19" w:rsidRPr="00C61B19">
        <w:rPr>
          <w:rFonts w:asciiTheme="minorHAnsi" w:hAnsiTheme="minorHAnsi"/>
        </w:rPr>
        <w:t xml:space="preserve">. </w:t>
      </w:r>
      <w:r w:rsidR="00C3635E">
        <w:rPr>
          <w:rFonts w:asciiTheme="minorHAnsi" w:hAnsiTheme="minorHAnsi"/>
        </w:rPr>
        <w:t>W</w:t>
      </w:r>
      <w:r w:rsidR="00C61B19" w:rsidRPr="00C61B19">
        <w:rPr>
          <w:rFonts w:asciiTheme="minorHAnsi" w:hAnsiTheme="minorHAnsi"/>
        </w:rPr>
        <w:t xml:space="preserve">hile the subsidy mainly benefits </w:t>
      </w:r>
      <w:r w:rsidR="00A36D3F">
        <w:rPr>
          <w:rFonts w:asciiTheme="minorHAnsi" w:hAnsiTheme="minorHAnsi"/>
        </w:rPr>
        <w:t>the better off</w:t>
      </w:r>
      <w:r w:rsidR="00C61B19" w:rsidRPr="00C61B19">
        <w:rPr>
          <w:rFonts w:asciiTheme="minorHAnsi" w:hAnsiTheme="minorHAnsi"/>
        </w:rPr>
        <w:t xml:space="preserve"> in terms of aggregate spending, in terms of its contribution to household consumption the main beneficiaries are the </w:t>
      </w:r>
      <w:r w:rsidR="002C2B09">
        <w:rPr>
          <w:rFonts w:asciiTheme="minorHAnsi" w:hAnsiTheme="minorHAnsi"/>
        </w:rPr>
        <w:t>emerging</w:t>
      </w:r>
      <w:r w:rsidR="002C2B09" w:rsidRPr="00C61B19">
        <w:rPr>
          <w:rFonts w:asciiTheme="minorHAnsi" w:hAnsiTheme="minorHAnsi"/>
        </w:rPr>
        <w:t xml:space="preserve"> </w:t>
      </w:r>
      <w:r w:rsidR="00C61B19" w:rsidRPr="00C61B19">
        <w:rPr>
          <w:rFonts w:asciiTheme="minorHAnsi" w:hAnsiTheme="minorHAnsi"/>
        </w:rPr>
        <w:t>consumer and middle classes</w:t>
      </w:r>
      <w:r w:rsidR="00C3635E" w:rsidRPr="00C3635E">
        <w:rPr>
          <w:rFonts w:asciiTheme="minorHAnsi" w:hAnsiTheme="minorHAnsi"/>
        </w:rPr>
        <w:t xml:space="preserve"> </w:t>
      </w:r>
      <w:r w:rsidR="00C3635E">
        <w:rPr>
          <w:rFonts w:asciiTheme="minorHAnsi" w:hAnsiTheme="minorHAnsi"/>
        </w:rPr>
        <w:t>(f</w:t>
      </w:r>
      <w:r w:rsidR="00C3635E" w:rsidRPr="00C61B19">
        <w:rPr>
          <w:rFonts w:asciiTheme="minorHAnsi" w:hAnsiTheme="minorHAnsi"/>
        </w:rPr>
        <w:t>igure 3</w:t>
      </w:r>
      <w:r w:rsidR="00C3635E">
        <w:rPr>
          <w:rFonts w:asciiTheme="minorHAnsi" w:hAnsiTheme="minorHAnsi"/>
        </w:rPr>
        <w:t>)</w:t>
      </w:r>
      <w:r w:rsidR="00C61B19" w:rsidRPr="00C61B19">
        <w:rPr>
          <w:rFonts w:asciiTheme="minorHAnsi" w:hAnsiTheme="minorHAnsi"/>
        </w:rPr>
        <w:t>.</w:t>
      </w:r>
      <w:r w:rsidR="00743E13">
        <w:rPr>
          <w:rFonts w:asciiTheme="minorHAnsi" w:hAnsiTheme="minorHAnsi"/>
        </w:rPr>
        <w:t xml:space="preserve"> </w:t>
      </w:r>
      <w:r w:rsidR="00311054">
        <w:rPr>
          <w:rFonts w:asciiTheme="minorHAnsi" w:hAnsiTheme="minorHAnsi"/>
        </w:rPr>
        <w:t>The implication is that any future cut in the subsidy without compensation to this group will be opposed, as occurred in the past.</w:t>
      </w:r>
    </w:p>
    <w:p w14:paraId="66B45FF1" w14:textId="672FF4F7" w:rsidR="000541C9" w:rsidRPr="00C61B19" w:rsidRDefault="006C2B1F" w:rsidP="00C53F00">
      <w:pPr>
        <w:spacing w:after="120"/>
        <w:jc w:val="both"/>
        <w:rPr>
          <w:rFonts w:asciiTheme="minorHAnsi" w:hAnsiTheme="minorHAnsi"/>
        </w:rPr>
      </w:pPr>
      <w:r>
        <w:rPr>
          <w:rFonts w:asciiTheme="minorHAnsi" w:hAnsiTheme="minorHAnsi"/>
        </w:rPr>
        <w:t>R</w:t>
      </w:r>
      <w:r w:rsidR="000541C9">
        <w:rPr>
          <w:rFonts w:asciiTheme="minorHAnsi" w:hAnsiTheme="minorHAnsi"/>
        </w:rPr>
        <w:t xml:space="preserve">educing fuel subsidies </w:t>
      </w:r>
      <w:r w:rsidR="001F187D">
        <w:rPr>
          <w:rFonts w:asciiTheme="minorHAnsi" w:hAnsiTheme="minorHAnsi"/>
        </w:rPr>
        <w:t>will be</w:t>
      </w:r>
      <w:r w:rsidR="000541C9">
        <w:rPr>
          <w:rFonts w:asciiTheme="minorHAnsi" w:hAnsiTheme="minorHAnsi"/>
        </w:rPr>
        <w:t xml:space="preserve"> </w:t>
      </w:r>
      <w:r w:rsidR="001F187D">
        <w:rPr>
          <w:rFonts w:asciiTheme="minorHAnsi" w:hAnsiTheme="minorHAnsi"/>
        </w:rPr>
        <w:t>a</w:t>
      </w:r>
      <w:r w:rsidR="000541C9">
        <w:rPr>
          <w:rFonts w:asciiTheme="minorHAnsi" w:hAnsiTheme="minorHAnsi"/>
        </w:rPr>
        <w:t xml:space="preserve"> top priority</w:t>
      </w:r>
      <w:r w:rsidR="001F187D">
        <w:rPr>
          <w:rFonts w:asciiTheme="minorHAnsi" w:hAnsiTheme="minorHAnsi"/>
        </w:rPr>
        <w:t xml:space="preserve"> for the new</w:t>
      </w:r>
      <w:r>
        <w:rPr>
          <w:rFonts w:asciiTheme="minorHAnsi" w:hAnsiTheme="minorHAnsi"/>
        </w:rPr>
        <w:t xml:space="preserve"> President’s</w:t>
      </w:r>
      <w:r w:rsidR="001F187D">
        <w:rPr>
          <w:rFonts w:asciiTheme="minorHAnsi" w:hAnsiTheme="minorHAnsi"/>
        </w:rPr>
        <w:t xml:space="preserve"> administration</w:t>
      </w:r>
      <w:r w:rsidR="000541C9">
        <w:rPr>
          <w:rFonts w:asciiTheme="minorHAnsi" w:hAnsiTheme="minorHAnsi"/>
        </w:rPr>
        <w:t>. But with</w:t>
      </w:r>
      <w:r w:rsidR="009A4832">
        <w:rPr>
          <w:rFonts w:asciiTheme="minorHAnsi" w:hAnsiTheme="minorHAnsi"/>
        </w:rPr>
        <w:t xml:space="preserve"> any</w:t>
      </w:r>
      <w:r w:rsidR="000541C9">
        <w:rPr>
          <w:rFonts w:asciiTheme="minorHAnsi" w:hAnsiTheme="minorHAnsi"/>
        </w:rPr>
        <w:t xml:space="preserve"> plans to </w:t>
      </w:r>
      <w:r w:rsidR="002053DB">
        <w:rPr>
          <w:rFonts w:asciiTheme="minorHAnsi" w:hAnsiTheme="minorHAnsi"/>
        </w:rPr>
        <w:t>reduce subsidies</w:t>
      </w:r>
      <w:r w:rsidR="000541C9">
        <w:rPr>
          <w:rFonts w:asciiTheme="minorHAnsi" w:hAnsiTheme="minorHAnsi"/>
        </w:rPr>
        <w:t xml:space="preserve"> gradually</w:t>
      </w:r>
      <w:r w:rsidR="002053DB">
        <w:rPr>
          <w:rFonts w:asciiTheme="minorHAnsi" w:hAnsiTheme="minorHAnsi"/>
        </w:rPr>
        <w:t>, pressure on the budget will remain</w:t>
      </w:r>
      <w:r w:rsidR="003E33BB">
        <w:rPr>
          <w:rFonts w:asciiTheme="minorHAnsi" w:hAnsiTheme="minorHAnsi"/>
        </w:rPr>
        <w:t xml:space="preserve"> strong</w:t>
      </w:r>
      <w:r w:rsidR="002053DB">
        <w:rPr>
          <w:rFonts w:asciiTheme="minorHAnsi" w:hAnsiTheme="minorHAnsi"/>
        </w:rPr>
        <w:t xml:space="preserve"> and </w:t>
      </w:r>
      <w:r w:rsidR="003E33BB">
        <w:rPr>
          <w:rFonts w:asciiTheme="minorHAnsi" w:hAnsiTheme="minorHAnsi"/>
        </w:rPr>
        <w:t xml:space="preserve">this </w:t>
      </w:r>
      <w:r w:rsidR="002053DB">
        <w:rPr>
          <w:rFonts w:asciiTheme="minorHAnsi" w:hAnsiTheme="minorHAnsi"/>
        </w:rPr>
        <w:t>will prolong any planned expansion of sustained social protection</w:t>
      </w:r>
      <w:r w:rsidR="000541C9">
        <w:rPr>
          <w:rFonts w:asciiTheme="minorHAnsi" w:hAnsiTheme="minorHAnsi"/>
        </w:rPr>
        <w:t xml:space="preserve">, </w:t>
      </w:r>
      <w:r w:rsidR="002053DB">
        <w:rPr>
          <w:rFonts w:asciiTheme="minorHAnsi" w:hAnsiTheme="minorHAnsi"/>
        </w:rPr>
        <w:t>although subsidy reform will likely be smoothed with intermittent short-term compensation programs.</w:t>
      </w:r>
    </w:p>
    <w:p w14:paraId="5D03FAD5" w14:textId="77777777" w:rsidR="002440F7" w:rsidRDefault="002440F7" w:rsidP="00133958">
      <w:pPr>
        <w:pStyle w:val="Heading2"/>
        <w:spacing w:before="0"/>
      </w:pPr>
      <w:r>
        <w:t>Australian support</w:t>
      </w:r>
      <w:r w:rsidR="00FA54B7">
        <w:t xml:space="preserve"> </w:t>
      </w:r>
      <w:r w:rsidR="005F6B9B">
        <w:t>to date</w:t>
      </w:r>
    </w:p>
    <w:p w14:paraId="7CBA9305" w14:textId="1AAD8D40" w:rsidR="005475A6" w:rsidRDefault="00063524" w:rsidP="00C53F00">
      <w:pPr>
        <w:spacing w:after="120"/>
        <w:jc w:val="both"/>
      </w:pPr>
      <w:r w:rsidRPr="003C2000">
        <w:t xml:space="preserve">Since 2010 Australia has supported </w:t>
      </w:r>
      <w:r w:rsidR="00B519B3">
        <w:t>GOI’s poverty reduction policy and programs</w:t>
      </w:r>
      <w:r w:rsidRPr="003C2000">
        <w:t xml:space="preserve"> through two main vehicles: the PRSF, </w:t>
      </w:r>
      <w:r>
        <w:t>administered by</w:t>
      </w:r>
      <w:r w:rsidR="00B519B3">
        <w:t xml:space="preserve"> a commercial contractor</w:t>
      </w:r>
      <w:r w:rsidRPr="003C2000">
        <w:t xml:space="preserve">, and the Partnership for Knowledge Based Poverty Reduction, a </w:t>
      </w:r>
      <w:r w:rsidR="006C2B1F">
        <w:t>World Bank</w:t>
      </w:r>
      <w:r w:rsidRPr="003C2000">
        <w:t xml:space="preserve"> trust fund. The majority of Australia</w:t>
      </w:r>
      <w:r w:rsidR="00B519B3">
        <w:t>n</w:t>
      </w:r>
      <w:r w:rsidRPr="003C2000">
        <w:t xml:space="preserve"> funding is channelled through PRSF</w:t>
      </w:r>
      <w:r w:rsidR="005475A6">
        <w:t xml:space="preserve"> </w:t>
      </w:r>
      <w:r w:rsidR="005475A6" w:rsidRPr="005475A6">
        <w:t>for activities that allowed TNP2K to undertake research, pilots and evaluations. To date PRSF has supported TNP2K with technical assistance; operation</w:t>
      </w:r>
      <w:r w:rsidR="00311054">
        <w:t>al</w:t>
      </w:r>
      <w:r w:rsidR="005475A6" w:rsidRPr="005475A6">
        <w:t xml:space="preserve"> support; commissioning and quality assuring</w:t>
      </w:r>
      <w:r w:rsidR="00807457">
        <w:t>, and implementing</w:t>
      </w:r>
      <w:r w:rsidR="005475A6" w:rsidRPr="005475A6">
        <w:t xml:space="preserve"> TNP2K activities.</w:t>
      </w:r>
    </w:p>
    <w:p w14:paraId="1CA71843" w14:textId="77777777" w:rsidR="00D2314E" w:rsidRDefault="00063524" w:rsidP="00C53F00">
      <w:pPr>
        <w:spacing w:after="120"/>
        <w:jc w:val="both"/>
      </w:pPr>
      <w:r w:rsidRPr="003C2000">
        <w:t xml:space="preserve">In the first phase Australian funds </w:t>
      </w:r>
      <w:r w:rsidR="00311054">
        <w:t>were</w:t>
      </w:r>
      <w:r w:rsidRPr="003C2000">
        <w:t xml:space="preserve"> used to establish TNP2K</w:t>
      </w:r>
      <w:r w:rsidR="00B519B3">
        <w:t>;</w:t>
      </w:r>
      <w:r w:rsidRPr="003C2000">
        <w:t xml:space="preserve"> engage</w:t>
      </w:r>
      <w:r w:rsidR="00B519B3">
        <w:t xml:space="preserve"> national and</w:t>
      </w:r>
      <w:r w:rsidRPr="003C2000">
        <w:t xml:space="preserve"> international experts to advise GOI on reforms to </w:t>
      </w:r>
      <w:r w:rsidR="00B519B3" w:rsidRPr="003C2000">
        <w:t>Indonesia</w:t>
      </w:r>
      <w:r w:rsidR="00B519B3">
        <w:t xml:space="preserve">’s </w:t>
      </w:r>
      <w:r w:rsidRPr="003C2000">
        <w:t>major social assistance programs</w:t>
      </w:r>
      <w:r w:rsidR="00B519B3">
        <w:t xml:space="preserve">; and establish the </w:t>
      </w:r>
      <w:r w:rsidR="00A36D3F">
        <w:t>UDB</w:t>
      </w:r>
      <w:r w:rsidR="00B519B3">
        <w:t>, a single registry of the poorest 40% of Indonesians (approximately 96 million individuals), now used by national programs to determine eligible beneficiaries</w:t>
      </w:r>
      <w:r w:rsidRPr="003C2000">
        <w:t xml:space="preserve">. PRSF also assisted GOI to expand the reach of </w:t>
      </w:r>
      <w:r w:rsidR="00B519B3">
        <w:t>its</w:t>
      </w:r>
      <w:r w:rsidRPr="003C2000">
        <w:t xml:space="preserve"> social assistance programs</w:t>
      </w:r>
      <w:r w:rsidR="00BB6628">
        <w:t xml:space="preserve">, covering an additional </w:t>
      </w:r>
      <w:r w:rsidR="00DB7017">
        <w:t>9.2</w:t>
      </w:r>
      <w:r w:rsidR="00BB6628">
        <w:t xml:space="preserve"> million poor </w:t>
      </w:r>
      <w:r w:rsidR="00EA3A3A">
        <w:t>people</w:t>
      </w:r>
      <w:r w:rsidR="00DB7017">
        <w:t xml:space="preserve"> (more than half of whom are women)</w:t>
      </w:r>
      <w:r w:rsidRPr="003C2000">
        <w:t xml:space="preserve">. </w:t>
      </w:r>
      <w:r w:rsidR="00BB6628">
        <w:t xml:space="preserve">The compensation package for </w:t>
      </w:r>
      <w:r w:rsidR="00A36D3F">
        <w:t>increased</w:t>
      </w:r>
      <w:r w:rsidR="00BB6628">
        <w:t xml:space="preserve"> fuel </w:t>
      </w:r>
      <w:r w:rsidR="00A36D3F">
        <w:t>prices</w:t>
      </w:r>
      <w:r w:rsidR="00BB6628">
        <w:t xml:space="preserve"> kept 6 million people from falling into poverty</w:t>
      </w:r>
      <w:r w:rsidR="002162E9">
        <w:t xml:space="preserve"> in 2013</w:t>
      </w:r>
      <w:r w:rsidR="00BB6628">
        <w:t>.</w:t>
      </w:r>
      <w:r w:rsidR="003E6453">
        <w:t xml:space="preserve"> </w:t>
      </w:r>
    </w:p>
    <w:p w14:paraId="515A75F7" w14:textId="7BEF8106" w:rsidR="00063524" w:rsidRDefault="00D2314E" w:rsidP="00C53F00">
      <w:pPr>
        <w:spacing w:after="120"/>
        <w:jc w:val="both"/>
      </w:pPr>
      <w:r>
        <w:t xml:space="preserve">Since 2010 </w:t>
      </w:r>
      <w:r w:rsidR="009A4832">
        <w:t>Australia</w:t>
      </w:r>
      <w:r>
        <w:t xml:space="preserve"> has invested </w:t>
      </w:r>
      <w:r w:rsidRPr="00D2314E">
        <w:t>$7</w:t>
      </w:r>
      <w:r>
        <w:t>2</w:t>
      </w:r>
      <w:r w:rsidRPr="00D2314E">
        <w:t xml:space="preserve"> million </w:t>
      </w:r>
      <w:r>
        <w:t>in support of TNP2K which has</w:t>
      </w:r>
      <w:r w:rsidRPr="00D2314E">
        <w:t xml:space="preserve"> leveraged</w:t>
      </w:r>
      <w:r>
        <w:t xml:space="preserve"> over</w:t>
      </w:r>
      <w:r w:rsidR="00646FEB">
        <w:t xml:space="preserve"> $5 </w:t>
      </w:r>
      <w:r w:rsidRPr="00D2314E">
        <w:t>billion of GOI investment</w:t>
      </w:r>
      <w:r>
        <w:t xml:space="preserve"> in national poverty-targeted programs,</w:t>
      </w:r>
      <w:r w:rsidRPr="00D2314E">
        <w:t xml:space="preserve"> benefitting up to 85 million poor individuals. </w:t>
      </w:r>
      <w:r>
        <w:t xml:space="preserve">For additional results </w:t>
      </w:r>
      <w:r w:rsidR="004103DF">
        <w:t xml:space="preserve">and details </w:t>
      </w:r>
      <w:r>
        <w:t>s</w:t>
      </w:r>
      <w:r w:rsidR="00A54C76">
        <w:t>ee Annex 1.</w:t>
      </w:r>
    </w:p>
    <w:p w14:paraId="166C6458" w14:textId="77777777" w:rsidR="002440F7" w:rsidRDefault="002440F7" w:rsidP="00C53F00">
      <w:pPr>
        <w:pStyle w:val="Heading2"/>
        <w:spacing w:before="120"/>
      </w:pPr>
      <w:r>
        <w:t>Future support</w:t>
      </w:r>
      <w:r w:rsidR="005541FE">
        <w:t xml:space="preserve"> to the new Government of Indonesia in the next phase</w:t>
      </w:r>
    </w:p>
    <w:p w14:paraId="57522EC0" w14:textId="57CF4390" w:rsidR="00B30867" w:rsidRPr="00B30867" w:rsidRDefault="00355DFC" w:rsidP="00C53F00">
      <w:pPr>
        <w:spacing w:after="120"/>
        <w:jc w:val="both"/>
        <w:rPr>
          <w:rFonts w:asciiTheme="minorHAnsi" w:hAnsiTheme="minorHAnsi"/>
        </w:rPr>
      </w:pPr>
      <w:r>
        <w:rPr>
          <w:rFonts w:asciiTheme="minorHAnsi" w:hAnsiTheme="minorHAnsi"/>
        </w:rPr>
        <w:t>Australia</w:t>
      </w:r>
      <w:r w:rsidR="00B30867" w:rsidRPr="00B30867">
        <w:rPr>
          <w:rFonts w:asciiTheme="minorHAnsi" w:hAnsiTheme="minorHAnsi"/>
        </w:rPr>
        <w:t xml:space="preserve"> is well positioned to build on the success of its on-going investments in social protection. It has developed an in-depth understanding of the social protection context in Indonesia, built strong partnerships across government and with other development partners, and is recognised as having expertise and a strong comparative advantage in the field. </w:t>
      </w:r>
      <w:r w:rsidR="00FA54B7">
        <w:rPr>
          <w:rFonts w:asciiTheme="minorHAnsi" w:hAnsiTheme="minorHAnsi"/>
        </w:rPr>
        <w:t>Our</w:t>
      </w:r>
      <w:r w:rsidR="00740840" w:rsidRPr="00740840">
        <w:rPr>
          <w:rFonts w:asciiTheme="minorHAnsi" w:hAnsiTheme="minorHAnsi"/>
        </w:rPr>
        <w:t xml:space="preserve"> support for TNP2K has been successful and is highly valued, and </w:t>
      </w:r>
      <w:r>
        <w:rPr>
          <w:rFonts w:asciiTheme="minorHAnsi" w:hAnsiTheme="minorHAnsi"/>
        </w:rPr>
        <w:t>Australia is well positioned to continue with further support to</w:t>
      </w:r>
      <w:r w:rsidR="00740840" w:rsidRPr="00740840">
        <w:rPr>
          <w:rFonts w:asciiTheme="minorHAnsi" w:hAnsiTheme="minorHAnsi"/>
        </w:rPr>
        <w:t xml:space="preserve"> GOI’s poverty re</w:t>
      </w:r>
      <w:r w:rsidR="0009016E">
        <w:rPr>
          <w:rFonts w:asciiTheme="minorHAnsi" w:hAnsiTheme="minorHAnsi"/>
        </w:rPr>
        <w:t xml:space="preserve">duction and development agenda. </w:t>
      </w:r>
      <w:r>
        <w:rPr>
          <w:rFonts w:asciiTheme="minorHAnsi" w:hAnsiTheme="minorHAnsi"/>
        </w:rPr>
        <w:t>Our support</w:t>
      </w:r>
      <w:r w:rsidR="0009016E">
        <w:rPr>
          <w:rFonts w:asciiTheme="minorHAnsi" w:hAnsiTheme="minorHAnsi"/>
        </w:rPr>
        <w:t xml:space="preserve"> has </w:t>
      </w:r>
      <w:r w:rsidR="00740840" w:rsidRPr="00740840">
        <w:rPr>
          <w:rFonts w:asciiTheme="minorHAnsi" w:hAnsiTheme="minorHAnsi"/>
        </w:rPr>
        <w:t xml:space="preserve">created openings for key decisions on the fuel subsidy </w:t>
      </w:r>
      <w:r w:rsidR="00807457">
        <w:rPr>
          <w:rFonts w:asciiTheme="minorHAnsi" w:hAnsiTheme="minorHAnsi"/>
        </w:rPr>
        <w:t xml:space="preserve">to be made </w:t>
      </w:r>
      <w:r w:rsidR="00740840" w:rsidRPr="00740840">
        <w:rPr>
          <w:rFonts w:asciiTheme="minorHAnsi" w:hAnsiTheme="minorHAnsi"/>
        </w:rPr>
        <w:t xml:space="preserve">and </w:t>
      </w:r>
      <w:r w:rsidR="00807457">
        <w:rPr>
          <w:rFonts w:asciiTheme="minorHAnsi" w:hAnsiTheme="minorHAnsi"/>
        </w:rPr>
        <w:t>supported a productive partnership with high level</w:t>
      </w:r>
      <w:r w:rsidR="00740840" w:rsidRPr="00740840">
        <w:rPr>
          <w:rFonts w:asciiTheme="minorHAnsi" w:hAnsiTheme="minorHAnsi"/>
        </w:rPr>
        <w:t xml:space="preserve">s of </w:t>
      </w:r>
      <w:r w:rsidR="00807457">
        <w:rPr>
          <w:rFonts w:asciiTheme="minorHAnsi" w:hAnsiTheme="minorHAnsi"/>
        </w:rPr>
        <w:t xml:space="preserve">the </w:t>
      </w:r>
      <w:r w:rsidR="00740840" w:rsidRPr="00740840">
        <w:rPr>
          <w:rFonts w:asciiTheme="minorHAnsi" w:hAnsiTheme="minorHAnsi"/>
        </w:rPr>
        <w:t xml:space="preserve">government. Further </w:t>
      </w:r>
      <w:r w:rsidR="00751A04">
        <w:rPr>
          <w:rFonts w:asciiTheme="minorHAnsi" w:hAnsiTheme="minorHAnsi"/>
        </w:rPr>
        <w:t>critical</w:t>
      </w:r>
      <w:r w:rsidR="00740840" w:rsidRPr="00740840">
        <w:rPr>
          <w:rFonts w:asciiTheme="minorHAnsi" w:hAnsiTheme="minorHAnsi"/>
        </w:rPr>
        <w:t xml:space="preserve"> economic reforms (not least to the fuel subsidy) </w:t>
      </w:r>
      <w:r w:rsidR="0009016E">
        <w:rPr>
          <w:rFonts w:asciiTheme="minorHAnsi" w:hAnsiTheme="minorHAnsi"/>
        </w:rPr>
        <w:t>will</w:t>
      </w:r>
      <w:r w:rsidR="00740840" w:rsidRPr="00740840">
        <w:rPr>
          <w:rFonts w:asciiTheme="minorHAnsi" w:hAnsiTheme="minorHAnsi"/>
        </w:rPr>
        <w:t xml:space="preserve"> be needed early in the new </w:t>
      </w:r>
      <w:r>
        <w:rPr>
          <w:rFonts w:asciiTheme="minorHAnsi" w:hAnsiTheme="minorHAnsi"/>
        </w:rPr>
        <w:t xml:space="preserve">Indonesian </w:t>
      </w:r>
      <w:r w:rsidR="00740840" w:rsidRPr="00740840">
        <w:rPr>
          <w:rFonts w:asciiTheme="minorHAnsi" w:hAnsiTheme="minorHAnsi"/>
        </w:rPr>
        <w:t xml:space="preserve">government’s term, and </w:t>
      </w:r>
      <w:r>
        <w:rPr>
          <w:rFonts w:asciiTheme="minorHAnsi" w:hAnsiTheme="minorHAnsi"/>
        </w:rPr>
        <w:t>Australia</w:t>
      </w:r>
      <w:r w:rsidR="0009016E">
        <w:rPr>
          <w:rFonts w:asciiTheme="minorHAnsi" w:hAnsiTheme="minorHAnsi"/>
        </w:rPr>
        <w:t xml:space="preserve"> can constructively </w:t>
      </w:r>
      <w:r>
        <w:rPr>
          <w:rFonts w:asciiTheme="minorHAnsi" w:hAnsiTheme="minorHAnsi"/>
        </w:rPr>
        <w:t>assist</w:t>
      </w:r>
      <w:r w:rsidR="00740840" w:rsidRPr="00740840">
        <w:rPr>
          <w:rFonts w:asciiTheme="minorHAnsi" w:hAnsiTheme="minorHAnsi"/>
        </w:rPr>
        <w:t xml:space="preserve"> </w:t>
      </w:r>
      <w:r>
        <w:rPr>
          <w:rFonts w:asciiTheme="minorHAnsi" w:hAnsiTheme="minorHAnsi"/>
        </w:rPr>
        <w:t>GOI</w:t>
      </w:r>
      <w:r w:rsidR="00740840" w:rsidRPr="00740840">
        <w:rPr>
          <w:rFonts w:asciiTheme="minorHAnsi" w:hAnsiTheme="minorHAnsi"/>
        </w:rPr>
        <w:t xml:space="preserve"> </w:t>
      </w:r>
      <w:r w:rsidR="00807457">
        <w:rPr>
          <w:rFonts w:asciiTheme="minorHAnsi" w:hAnsiTheme="minorHAnsi"/>
        </w:rPr>
        <w:t xml:space="preserve">to determine </w:t>
      </w:r>
      <w:r w:rsidR="00740840" w:rsidRPr="00740840">
        <w:rPr>
          <w:rFonts w:asciiTheme="minorHAnsi" w:hAnsiTheme="minorHAnsi"/>
        </w:rPr>
        <w:t xml:space="preserve">how to create the policy space and public support to </w:t>
      </w:r>
      <w:r w:rsidR="0009016E">
        <w:rPr>
          <w:rFonts w:asciiTheme="minorHAnsi" w:hAnsiTheme="minorHAnsi"/>
        </w:rPr>
        <w:t>succeed</w:t>
      </w:r>
      <w:r w:rsidR="00740840" w:rsidRPr="00740840">
        <w:rPr>
          <w:rFonts w:asciiTheme="minorHAnsi" w:hAnsiTheme="minorHAnsi"/>
        </w:rPr>
        <w:t>.</w:t>
      </w:r>
    </w:p>
    <w:p w14:paraId="06D87117" w14:textId="77777777" w:rsidR="00B30867" w:rsidRDefault="00B30867" w:rsidP="00C53F00">
      <w:pPr>
        <w:spacing w:after="120"/>
        <w:jc w:val="both"/>
        <w:rPr>
          <w:rFonts w:asciiTheme="minorHAnsi" w:hAnsiTheme="minorHAnsi"/>
        </w:rPr>
      </w:pPr>
      <w:r w:rsidRPr="00B30867">
        <w:rPr>
          <w:rFonts w:asciiTheme="minorHAnsi" w:hAnsiTheme="minorHAnsi"/>
        </w:rPr>
        <w:t xml:space="preserve">GOI’s long-term strategy is guided by a broad vision of comprehensive social protection for all Indonesians by 2025. It can potentially help address the challenges of reforming and strengthening the labour market, dealing with the insecurity felt by a majority of the population, and preparing the country for demographic change as it becomes an ageing society. But the strategy is less clear on the specifics of how Indonesia can reach this ambitious goal in 10 years. It also requires significant development of policy alternatives, operating systems and the capacity to implement them. </w:t>
      </w:r>
    </w:p>
    <w:p w14:paraId="38774411" w14:textId="3DF0CED5" w:rsidR="00AF4BD6" w:rsidRDefault="00EC02AA" w:rsidP="00C53F00">
      <w:pPr>
        <w:spacing w:after="120"/>
        <w:jc w:val="both"/>
        <w:rPr>
          <w:rFonts w:asciiTheme="minorHAnsi" w:hAnsiTheme="minorHAnsi"/>
        </w:rPr>
      </w:pPr>
      <w:r w:rsidRPr="00EC02AA">
        <w:rPr>
          <w:rFonts w:asciiTheme="minorHAnsi" w:hAnsiTheme="minorHAnsi"/>
        </w:rPr>
        <w:t xml:space="preserve">The </w:t>
      </w:r>
      <w:r w:rsidR="00355DFC">
        <w:rPr>
          <w:rFonts w:asciiTheme="minorHAnsi" w:hAnsiTheme="minorHAnsi"/>
        </w:rPr>
        <w:t xml:space="preserve">implementation </w:t>
      </w:r>
      <w:r w:rsidRPr="00EC02AA">
        <w:rPr>
          <w:rFonts w:asciiTheme="minorHAnsi" w:hAnsiTheme="minorHAnsi"/>
        </w:rPr>
        <w:t>modality</w:t>
      </w:r>
      <w:r w:rsidR="00355DFC">
        <w:rPr>
          <w:rFonts w:asciiTheme="minorHAnsi" w:hAnsiTheme="minorHAnsi"/>
        </w:rPr>
        <w:t xml:space="preserve"> for MAHKOTA</w:t>
      </w:r>
      <w:r w:rsidRPr="00EC02AA">
        <w:rPr>
          <w:rFonts w:asciiTheme="minorHAnsi" w:hAnsiTheme="minorHAnsi"/>
        </w:rPr>
        <w:t xml:space="preserve"> will be similar to the current PRSF: a flexible facility that is able to respond to GOI priorities, provide world class and top Indonesian expertise, and allow GOI to take risks with innovating policy.</w:t>
      </w:r>
      <w:r>
        <w:rPr>
          <w:rFonts w:asciiTheme="minorHAnsi" w:hAnsiTheme="minorHAnsi"/>
        </w:rPr>
        <w:t xml:space="preserve"> PRSF has </w:t>
      </w:r>
      <w:r w:rsidR="002C6C68">
        <w:rPr>
          <w:rFonts w:asciiTheme="minorHAnsi" w:hAnsiTheme="minorHAnsi"/>
        </w:rPr>
        <w:t>deliver</w:t>
      </w:r>
      <w:r>
        <w:rPr>
          <w:rFonts w:asciiTheme="minorHAnsi" w:hAnsiTheme="minorHAnsi"/>
        </w:rPr>
        <w:t>ed</w:t>
      </w:r>
      <w:r w:rsidR="00AF4BD6">
        <w:rPr>
          <w:rFonts w:asciiTheme="minorHAnsi" w:hAnsiTheme="minorHAnsi"/>
        </w:rPr>
        <w:t xml:space="preserve"> the right support when and where needed in a relatively fluid, difficult to predict environment. Those characteristics will continue to define the policy context in which </w:t>
      </w:r>
      <w:r w:rsidR="00355DFC">
        <w:rPr>
          <w:rFonts w:asciiTheme="minorHAnsi" w:hAnsiTheme="minorHAnsi"/>
        </w:rPr>
        <w:t>Australia’s</w:t>
      </w:r>
      <w:r w:rsidR="00AF4BD6">
        <w:rPr>
          <w:rFonts w:asciiTheme="minorHAnsi" w:hAnsiTheme="minorHAnsi"/>
        </w:rPr>
        <w:t xml:space="preserve"> support will operate, particularly at the start of a new Indonesian government, and it will be important to apply an approach that maximizes flexibility and responsiveness.</w:t>
      </w:r>
    </w:p>
    <w:p w14:paraId="527B094E" w14:textId="455FC6BA" w:rsidR="00B17176" w:rsidRPr="00B17176" w:rsidRDefault="00B17176" w:rsidP="00C53F00">
      <w:pPr>
        <w:spacing w:after="120"/>
        <w:jc w:val="both"/>
        <w:rPr>
          <w:rFonts w:asciiTheme="minorHAnsi" w:hAnsiTheme="minorHAnsi"/>
        </w:rPr>
      </w:pPr>
      <w:r>
        <w:rPr>
          <w:rFonts w:asciiTheme="minorHAnsi" w:hAnsiTheme="minorHAnsi"/>
        </w:rPr>
        <w:t>This</w:t>
      </w:r>
      <w:r w:rsidRPr="00B17176">
        <w:rPr>
          <w:rFonts w:asciiTheme="minorHAnsi" w:hAnsiTheme="minorHAnsi"/>
        </w:rPr>
        <w:t xml:space="preserve"> follows an evolution of support that began with a focus on poverty programs </w:t>
      </w:r>
      <w:r w:rsidR="003153ED">
        <w:rPr>
          <w:rFonts w:asciiTheme="minorHAnsi" w:hAnsiTheme="minorHAnsi"/>
        </w:rPr>
        <w:t>and</w:t>
      </w:r>
      <w:r w:rsidR="003153ED" w:rsidRPr="00B17176">
        <w:rPr>
          <w:rFonts w:asciiTheme="minorHAnsi" w:hAnsiTheme="minorHAnsi"/>
        </w:rPr>
        <w:t xml:space="preserve"> </w:t>
      </w:r>
      <w:r w:rsidRPr="00B17176">
        <w:rPr>
          <w:rFonts w:asciiTheme="minorHAnsi" w:hAnsiTheme="minorHAnsi"/>
        </w:rPr>
        <w:t xml:space="preserve">provided intensive funding and </w:t>
      </w:r>
      <w:r w:rsidR="002C2B09">
        <w:rPr>
          <w:rFonts w:asciiTheme="minorHAnsi" w:hAnsiTheme="minorHAnsi"/>
        </w:rPr>
        <w:t>assistance</w:t>
      </w:r>
      <w:r w:rsidR="002C2B09" w:rsidRPr="00B17176">
        <w:rPr>
          <w:rFonts w:asciiTheme="minorHAnsi" w:hAnsiTheme="minorHAnsi"/>
        </w:rPr>
        <w:t xml:space="preserve"> </w:t>
      </w:r>
      <w:r w:rsidRPr="00B17176">
        <w:rPr>
          <w:rFonts w:asciiTheme="minorHAnsi" w:hAnsiTheme="minorHAnsi"/>
        </w:rPr>
        <w:t xml:space="preserve">for both policy and operations, with some small, key support for GOI’s </w:t>
      </w:r>
      <w:r w:rsidR="0098637F">
        <w:rPr>
          <w:rFonts w:asciiTheme="minorHAnsi" w:hAnsiTheme="minorHAnsi"/>
        </w:rPr>
        <w:t>social security</w:t>
      </w:r>
      <w:r w:rsidRPr="00B17176">
        <w:rPr>
          <w:rFonts w:asciiTheme="minorHAnsi" w:hAnsiTheme="minorHAnsi"/>
        </w:rPr>
        <w:t xml:space="preserve"> programs and its long-term strategy for social protection. </w:t>
      </w:r>
      <w:r w:rsidR="00355DFC">
        <w:rPr>
          <w:rFonts w:asciiTheme="minorHAnsi" w:hAnsiTheme="minorHAnsi"/>
        </w:rPr>
        <w:t>MAHKOTA</w:t>
      </w:r>
      <w:r w:rsidR="003153ED">
        <w:rPr>
          <w:rFonts w:asciiTheme="minorHAnsi" w:hAnsiTheme="minorHAnsi"/>
        </w:rPr>
        <w:t xml:space="preserve"> will be developed and finalised in consultation with the new government</w:t>
      </w:r>
      <w:r w:rsidR="005541FE">
        <w:rPr>
          <w:rFonts w:asciiTheme="minorHAnsi" w:hAnsiTheme="minorHAnsi"/>
        </w:rPr>
        <w:t>. It will</w:t>
      </w:r>
      <w:r w:rsidRPr="00B17176">
        <w:rPr>
          <w:rFonts w:asciiTheme="minorHAnsi" w:hAnsiTheme="minorHAnsi"/>
        </w:rPr>
        <w:t xml:space="preserve"> continue policy-level and targeted assistance to the poverty programs, making sure </w:t>
      </w:r>
      <w:r w:rsidR="00355DFC">
        <w:rPr>
          <w:rFonts w:asciiTheme="minorHAnsi" w:hAnsiTheme="minorHAnsi"/>
        </w:rPr>
        <w:t>GOI is able</w:t>
      </w:r>
      <w:r w:rsidRPr="00B17176">
        <w:rPr>
          <w:rFonts w:asciiTheme="minorHAnsi" w:hAnsiTheme="minorHAnsi"/>
        </w:rPr>
        <w:t xml:space="preserve"> to maintain the reforms instituted under TNP2K; and provide more intensive policy and</w:t>
      </w:r>
      <w:r w:rsidR="00EA3A3A">
        <w:rPr>
          <w:rFonts w:asciiTheme="minorHAnsi" w:hAnsiTheme="minorHAnsi"/>
        </w:rPr>
        <w:t>, if resources allow,</w:t>
      </w:r>
      <w:r w:rsidRPr="00B17176">
        <w:rPr>
          <w:rFonts w:asciiTheme="minorHAnsi" w:hAnsiTheme="minorHAnsi"/>
        </w:rPr>
        <w:t xml:space="preserve"> operational support for </w:t>
      </w:r>
      <w:r w:rsidR="0098637F">
        <w:rPr>
          <w:rFonts w:asciiTheme="minorHAnsi" w:hAnsiTheme="minorHAnsi"/>
        </w:rPr>
        <w:t>social security</w:t>
      </w:r>
      <w:r w:rsidRPr="00B17176">
        <w:rPr>
          <w:rFonts w:asciiTheme="minorHAnsi" w:hAnsiTheme="minorHAnsi"/>
        </w:rPr>
        <w:t>.</w:t>
      </w:r>
      <w:r>
        <w:rPr>
          <w:rFonts w:asciiTheme="minorHAnsi" w:hAnsiTheme="minorHAnsi"/>
        </w:rPr>
        <w:t xml:space="preserve"> </w:t>
      </w:r>
      <w:r w:rsidR="00355DFC">
        <w:rPr>
          <w:rFonts w:asciiTheme="minorHAnsi" w:hAnsiTheme="minorHAnsi"/>
        </w:rPr>
        <w:t>A</w:t>
      </w:r>
      <w:r>
        <w:rPr>
          <w:rFonts w:asciiTheme="minorHAnsi" w:hAnsiTheme="minorHAnsi"/>
        </w:rPr>
        <w:t>n economic appraisal and value for money analysis</w:t>
      </w:r>
      <w:r w:rsidR="0079564C">
        <w:rPr>
          <w:rFonts w:asciiTheme="minorHAnsi" w:hAnsiTheme="minorHAnsi"/>
        </w:rPr>
        <w:t xml:space="preserve"> has</w:t>
      </w:r>
      <w:r>
        <w:rPr>
          <w:rFonts w:asciiTheme="minorHAnsi" w:hAnsiTheme="minorHAnsi"/>
        </w:rPr>
        <w:t xml:space="preserve"> </w:t>
      </w:r>
      <w:r w:rsidR="00355DFC">
        <w:rPr>
          <w:rFonts w:asciiTheme="minorHAnsi" w:hAnsiTheme="minorHAnsi"/>
        </w:rPr>
        <w:t>confirmed</w:t>
      </w:r>
      <w:r>
        <w:rPr>
          <w:rFonts w:asciiTheme="minorHAnsi" w:hAnsiTheme="minorHAnsi"/>
        </w:rPr>
        <w:t xml:space="preserve"> a high return on investment </w:t>
      </w:r>
      <w:r w:rsidR="00807457">
        <w:rPr>
          <w:rFonts w:asciiTheme="minorHAnsi" w:hAnsiTheme="minorHAnsi"/>
        </w:rPr>
        <w:t xml:space="preserve">for Indonesia and Australia </w:t>
      </w:r>
      <w:r w:rsidR="00355DFC">
        <w:rPr>
          <w:rFonts w:asciiTheme="minorHAnsi" w:hAnsiTheme="minorHAnsi"/>
        </w:rPr>
        <w:t>of</w:t>
      </w:r>
      <w:r>
        <w:rPr>
          <w:rFonts w:asciiTheme="minorHAnsi" w:hAnsiTheme="minorHAnsi"/>
        </w:rPr>
        <w:t xml:space="preserve"> this approach.</w:t>
      </w:r>
    </w:p>
    <w:p w14:paraId="5520D9F7" w14:textId="77777777" w:rsidR="00B30867" w:rsidRPr="00B30867" w:rsidRDefault="002B445C" w:rsidP="0031125D">
      <w:pPr>
        <w:spacing w:after="0"/>
        <w:jc w:val="both"/>
        <w:rPr>
          <w:rFonts w:asciiTheme="minorHAnsi" w:hAnsiTheme="minorHAnsi"/>
        </w:rPr>
      </w:pPr>
      <w:r>
        <w:rPr>
          <w:rFonts w:asciiTheme="minorHAnsi" w:hAnsiTheme="minorHAnsi"/>
        </w:rPr>
        <w:t>P</w:t>
      </w:r>
      <w:r w:rsidR="00B30867" w:rsidRPr="00B30867">
        <w:rPr>
          <w:rFonts w:asciiTheme="minorHAnsi" w:hAnsiTheme="minorHAnsi"/>
        </w:rPr>
        <w:t>riority areas for strengthening and reforming the national social protection system</w:t>
      </w:r>
      <w:r>
        <w:rPr>
          <w:rFonts w:asciiTheme="minorHAnsi" w:hAnsiTheme="minorHAnsi"/>
        </w:rPr>
        <w:t xml:space="preserve"> </w:t>
      </w:r>
      <w:r w:rsidR="008C51D4">
        <w:rPr>
          <w:rFonts w:asciiTheme="minorHAnsi" w:hAnsiTheme="minorHAnsi"/>
        </w:rPr>
        <w:t>includ</w:t>
      </w:r>
      <w:r>
        <w:rPr>
          <w:rFonts w:asciiTheme="minorHAnsi" w:hAnsiTheme="minorHAnsi"/>
        </w:rPr>
        <w:t>e</w:t>
      </w:r>
      <w:r w:rsidR="00B30867" w:rsidRPr="00B30867">
        <w:rPr>
          <w:rFonts w:asciiTheme="minorHAnsi" w:hAnsiTheme="minorHAnsi"/>
        </w:rPr>
        <w:t xml:space="preserve">: </w:t>
      </w:r>
    </w:p>
    <w:p w14:paraId="6856B065" w14:textId="77777777" w:rsidR="00C06538" w:rsidRDefault="00C06538" w:rsidP="005F6B9B">
      <w:pPr>
        <w:numPr>
          <w:ilvl w:val="0"/>
          <w:numId w:val="24"/>
        </w:numPr>
        <w:spacing w:after="0" w:line="240" w:lineRule="auto"/>
        <w:jc w:val="both"/>
        <w:rPr>
          <w:rFonts w:asciiTheme="minorHAnsi" w:hAnsiTheme="minorHAnsi"/>
        </w:rPr>
      </w:pPr>
      <w:r>
        <w:rPr>
          <w:rFonts w:asciiTheme="minorHAnsi" w:hAnsiTheme="minorHAnsi"/>
        </w:rPr>
        <w:t>Continu</w:t>
      </w:r>
      <w:r w:rsidR="004103DF">
        <w:rPr>
          <w:rFonts w:asciiTheme="minorHAnsi" w:hAnsiTheme="minorHAnsi"/>
        </w:rPr>
        <w:t>ing</w:t>
      </w:r>
      <w:r>
        <w:rPr>
          <w:rFonts w:asciiTheme="minorHAnsi" w:hAnsiTheme="minorHAnsi"/>
        </w:rPr>
        <w:t xml:space="preserve"> support to TNP2K to operate the UDB and expand reforms to </w:t>
      </w:r>
      <w:r w:rsidR="005D62BE">
        <w:rPr>
          <w:rFonts w:asciiTheme="minorHAnsi" w:hAnsiTheme="minorHAnsi"/>
        </w:rPr>
        <w:t>poverty-targeted</w:t>
      </w:r>
      <w:r>
        <w:rPr>
          <w:rFonts w:asciiTheme="minorHAnsi" w:hAnsiTheme="minorHAnsi"/>
        </w:rPr>
        <w:t xml:space="preserve"> programs;</w:t>
      </w:r>
    </w:p>
    <w:p w14:paraId="60BA0076" w14:textId="77777777" w:rsidR="004103DF" w:rsidRDefault="004103DF" w:rsidP="004103DF">
      <w:pPr>
        <w:numPr>
          <w:ilvl w:val="0"/>
          <w:numId w:val="24"/>
        </w:numPr>
        <w:spacing w:after="0" w:line="240" w:lineRule="auto"/>
        <w:jc w:val="both"/>
        <w:rPr>
          <w:rFonts w:asciiTheme="minorHAnsi" w:hAnsiTheme="minorHAnsi"/>
        </w:rPr>
      </w:pPr>
      <w:r w:rsidRPr="00B30867">
        <w:rPr>
          <w:rFonts w:asciiTheme="minorHAnsi" w:hAnsiTheme="minorHAnsi"/>
        </w:rPr>
        <w:t>Reforming labour legislation and introducing unemployment insurance to promote greater labour market flexibility</w:t>
      </w:r>
      <w:r w:rsidR="00543240">
        <w:rPr>
          <w:rFonts w:asciiTheme="minorHAnsi" w:hAnsiTheme="minorHAnsi"/>
        </w:rPr>
        <w:t>, lead to more, better jobs</w:t>
      </w:r>
      <w:r>
        <w:rPr>
          <w:rFonts w:asciiTheme="minorHAnsi" w:hAnsiTheme="minorHAnsi"/>
        </w:rPr>
        <w:t xml:space="preserve"> and improve Indonesia’s competitiveness.</w:t>
      </w:r>
    </w:p>
    <w:p w14:paraId="5AB08CAD" w14:textId="77777777" w:rsidR="005F6B9B" w:rsidRDefault="005F6B9B" w:rsidP="005F6B9B">
      <w:pPr>
        <w:numPr>
          <w:ilvl w:val="0"/>
          <w:numId w:val="24"/>
        </w:numPr>
        <w:spacing w:after="0" w:line="240" w:lineRule="auto"/>
        <w:jc w:val="both"/>
        <w:rPr>
          <w:rFonts w:asciiTheme="minorHAnsi" w:hAnsiTheme="minorHAnsi"/>
        </w:rPr>
      </w:pPr>
      <w:r w:rsidRPr="00B30867">
        <w:rPr>
          <w:rFonts w:asciiTheme="minorHAnsi" w:hAnsiTheme="minorHAnsi"/>
        </w:rPr>
        <w:t xml:space="preserve">Developing mechanisms to deliver and integrate social protection services across </w:t>
      </w:r>
      <w:r>
        <w:rPr>
          <w:rFonts w:asciiTheme="minorHAnsi" w:hAnsiTheme="minorHAnsi"/>
        </w:rPr>
        <w:t>local government</w:t>
      </w:r>
      <w:r w:rsidRPr="00B30867">
        <w:rPr>
          <w:rFonts w:asciiTheme="minorHAnsi" w:hAnsiTheme="minorHAnsi"/>
        </w:rPr>
        <w:t xml:space="preserve">, mediate central </w:t>
      </w:r>
      <w:r>
        <w:rPr>
          <w:rFonts w:asciiTheme="minorHAnsi" w:hAnsiTheme="minorHAnsi"/>
        </w:rPr>
        <w:t>GOI</w:t>
      </w:r>
      <w:r w:rsidRPr="00B30867">
        <w:rPr>
          <w:rFonts w:asciiTheme="minorHAnsi" w:hAnsiTheme="minorHAnsi"/>
        </w:rPr>
        <w:t xml:space="preserve"> processes and facilitate supply, demand and accountability</w:t>
      </w:r>
      <w:r>
        <w:rPr>
          <w:rFonts w:asciiTheme="minorHAnsi" w:hAnsiTheme="minorHAnsi"/>
        </w:rPr>
        <w:t>;</w:t>
      </w:r>
    </w:p>
    <w:p w14:paraId="4211B292" w14:textId="77777777" w:rsidR="00AF4BD6" w:rsidRPr="00B30867" w:rsidRDefault="00AF4BD6" w:rsidP="00AF4BD6">
      <w:pPr>
        <w:numPr>
          <w:ilvl w:val="0"/>
          <w:numId w:val="24"/>
        </w:numPr>
        <w:spacing w:after="0" w:line="240" w:lineRule="auto"/>
        <w:jc w:val="both"/>
        <w:rPr>
          <w:rFonts w:asciiTheme="minorHAnsi" w:hAnsiTheme="minorHAnsi"/>
        </w:rPr>
      </w:pPr>
      <w:r w:rsidRPr="00B30867">
        <w:rPr>
          <w:rFonts w:asciiTheme="minorHAnsi" w:hAnsiTheme="minorHAnsi"/>
        </w:rPr>
        <w:t>Strengthening human development</w:t>
      </w:r>
      <w:r w:rsidR="00C06538">
        <w:rPr>
          <w:rFonts w:asciiTheme="minorHAnsi" w:hAnsiTheme="minorHAnsi"/>
        </w:rPr>
        <w:t xml:space="preserve"> especially for the poor</w:t>
      </w:r>
      <w:r w:rsidRPr="00B30867">
        <w:rPr>
          <w:rFonts w:asciiTheme="minorHAnsi" w:hAnsiTheme="minorHAnsi"/>
        </w:rPr>
        <w:t xml:space="preserve"> by helping </w:t>
      </w:r>
      <w:r>
        <w:rPr>
          <w:rFonts w:asciiTheme="minorHAnsi" w:hAnsiTheme="minorHAnsi"/>
        </w:rPr>
        <w:t>reduce</w:t>
      </w:r>
      <w:r w:rsidRPr="00B30867">
        <w:rPr>
          <w:rFonts w:asciiTheme="minorHAnsi" w:hAnsiTheme="minorHAnsi"/>
        </w:rPr>
        <w:t xml:space="preserve"> under-nutrition and enabling </w:t>
      </w:r>
      <w:r>
        <w:rPr>
          <w:rFonts w:asciiTheme="minorHAnsi" w:hAnsiTheme="minorHAnsi"/>
        </w:rPr>
        <w:t xml:space="preserve">more children </w:t>
      </w:r>
      <w:r w:rsidRPr="00B30867">
        <w:rPr>
          <w:rFonts w:asciiTheme="minorHAnsi" w:hAnsiTheme="minorHAnsi"/>
        </w:rPr>
        <w:t>to gain a</w:t>
      </w:r>
      <w:r w:rsidR="008E4BD1">
        <w:rPr>
          <w:rFonts w:asciiTheme="minorHAnsi" w:hAnsiTheme="minorHAnsi"/>
        </w:rPr>
        <w:t>n</w:t>
      </w:r>
      <w:r w:rsidRPr="00B30867">
        <w:rPr>
          <w:rFonts w:asciiTheme="minorHAnsi" w:hAnsiTheme="minorHAnsi"/>
        </w:rPr>
        <w:t xml:space="preserve"> education that prepares them </w:t>
      </w:r>
      <w:r w:rsidR="002C2B09">
        <w:rPr>
          <w:rFonts w:asciiTheme="minorHAnsi" w:hAnsiTheme="minorHAnsi"/>
        </w:rPr>
        <w:t xml:space="preserve">for </w:t>
      </w:r>
      <w:r w:rsidRPr="00B30867">
        <w:rPr>
          <w:rFonts w:asciiTheme="minorHAnsi" w:hAnsiTheme="minorHAnsi"/>
        </w:rPr>
        <w:t xml:space="preserve">the </w:t>
      </w:r>
      <w:r w:rsidR="002C2B09">
        <w:rPr>
          <w:rFonts w:asciiTheme="minorHAnsi" w:hAnsiTheme="minorHAnsi"/>
        </w:rPr>
        <w:t>work</w:t>
      </w:r>
      <w:r w:rsidR="002C2B09" w:rsidRPr="00B30867">
        <w:rPr>
          <w:rFonts w:asciiTheme="minorHAnsi" w:hAnsiTheme="minorHAnsi"/>
        </w:rPr>
        <w:t xml:space="preserve"> </w:t>
      </w:r>
      <w:r w:rsidRPr="00B30867">
        <w:rPr>
          <w:rFonts w:asciiTheme="minorHAnsi" w:hAnsiTheme="minorHAnsi"/>
        </w:rPr>
        <w:t>force;</w:t>
      </w:r>
    </w:p>
    <w:p w14:paraId="3BFC7031" w14:textId="77777777" w:rsidR="00B30867" w:rsidRPr="00B30867" w:rsidRDefault="00B30867" w:rsidP="00B30867">
      <w:pPr>
        <w:numPr>
          <w:ilvl w:val="0"/>
          <w:numId w:val="24"/>
        </w:numPr>
        <w:spacing w:after="0" w:line="240" w:lineRule="auto"/>
        <w:jc w:val="both"/>
        <w:rPr>
          <w:rFonts w:asciiTheme="minorHAnsi" w:hAnsiTheme="minorHAnsi"/>
        </w:rPr>
      </w:pPr>
      <w:r w:rsidRPr="00B30867">
        <w:rPr>
          <w:rFonts w:asciiTheme="minorHAnsi" w:hAnsiTheme="minorHAnsi"/>
        </w:rPr>
        <w:t>Ensuring social protection</w:t>
      </w:r>
      <w:r w:rsidR="002C2B09">
        <w:rPr>
          <w:rFonts w:asciiTheme="minorHAnsi" w:hAnsiTheme="minorHAnsi"/>
        </w:rPr>
        <w:t xml:space="preserve"> helps workers</w:t>
      </w:r>
      <w:r w:rsidRPr="00B30867">
        <w:rPr>
          <w:rFonts w:asciiTheme="minorHAnsi" w:hAnsiTheme="minorHAnsi"/>
        </w:rPr>
        <w:t xml:space="preserve"> develop skills and</w:t>
      </w:r>
      <w:r w:rsidR="00447177">
        <w:rPr>
          <w:rFonts w:asciiTheme="minorHAnsi" w:hAnsiTheme="minorHAnsi"/>
        </w:rPr>
        <w:t xml:space="preserve"> </w:t>
      </w:r>
      <w:r w:rsidRPr="00B30867">
        <w:rPr>
          <w:rFonts w:asciiTheme="minorHAnsi" w:hAnsiTheme="minorHAnsi"/>
        </w:rPr>
        <w:t xml:space="preserve">enables young people, women and </w:t>
      </w:r>
      <w:r w:rsidR="00674997">
        <w:rPr>
          <w:rFonts w:asciiTheme="minorHAnsi" w:hAnsiTheme="minorHAnsi"/>
        </w:rPr>
        <w:t>PwDs</w:t>
      </w:r>
      <w:r w:rsidR="00447177">
        <w:rPr>
          <w:rFonts w:asciiTheme="minorHAnsi" w:hAnsiTheme="minorHAnsi"/>
        </w:rPr>
        <w:t xml:space="preserve"> </w:t>
      </w:r>
      <w:r w:rsidRPr="00B30867">
        <w:rPr>
          <w:rFonts w:asciiTheme="minorHAnsi" w:hAnsiTheme="minorHAnsi"/>
        </w:rPr>
        <w:t>to engage more actively and productively in the labour market;</w:t>
      </w:r>
    </w:p>
    <w:p w14:paraId="5E68E9E1" w14:textId="77777777" w:rsidR="00B30867" w:rsidRPr="00B30867" w:rsidRDefault="00B30867" w:rsidP="00B30867">
      <w:pPr>
        <w:numPr>
          <w:ilvl w:val="0"/>
          <w:numId w:val="24"/>
        </w:numPr>
        <w:spacing w:after="0" w:line="240" w:lineRule="auto"/>
        <w:jc w:val="both"/>
        <w:rPr>
          <w:rFonts w:asciiTheme="minorHAnsi" w:hAnsiTheme="minorHAnsi"/>
        </w:rPr>
      </w:pPr>
      <w:r w:rsidRPr="00B30867">
        <w:rPr>
          <w:rFonts w:asciiTheme="minorHAnsi" w:hAnsiTheme="minorHAnsi"/>
        </w:rPr>
        <w:t xml:space="preserve">Establishing an effective old age and disability pension system and ensuring BPJS Employment generates investment funds </w:t>
      </w:r>
      <w:r w:rsidR="00B82E36">
        <w:rPr>
          <w:rFonts w:asciiTheme="minorHAnsi" w:hAnsiTheme="minorHAnsi"/>
        </w:rPr>
        <w:t>without</w:t>
      </w:r>
      <w:r w:rsidRPr="00B30867">
        <w:rPr>
          <w:rFonts w:asciiTheme="minorHAnsi" w:hAnsiTheme="minorHAnsi"/>
        </w:rPr>
        <w:t xml:space="preserve"> </w:t>
      </w:r>
      <w:r w:rsidR="00B82E36">
        <w:rPr>
          <w:rFonts w:asciiTheme="minorHAnsi" w:hAnsiTheme="minorHAnsi"/>
        </w:rPr>
        <w:t>distorting</w:t>
      </w:r>
      <w:r w:rsidRPr="00B30867">
        <w:rPr>
          <w:rFonts w:asciiTheme="minorHAnsi" w:hAnsiTheme="minorHAnsi"/>
        </w:rPr>
        <w:t xml:space="preserve"> employment and productivity growth; </w:t>
      </w:r>
      <w:r w:rsidR="005F6B9B">
        <w:rPr>
          <w:rFonts w:asciiTheme="minorHAnsi" w:hAnsiTheme="minorHAnsi"/>
        </w:rPr>
        <w:t>and</w:t>
      </w:r>
    </w:p>
    <w:p w14:paraId="79E15405" w14:textId="06579821" w:rsidR="005541FE" w:rsidRPr="00B30867" w:rsidRDefault="005541FE" w:rsidP="00C53F00">
      <w:pPr>
        <w:numPr>
          <w:ilvl w:val="0"/>
          <w:numId w:val="24"/>
        </w:numPr>
        <w:spacing w:after="120" w:line="240" w:lineRule="auto"/>
        <w:jc w:val="both"/>
        <w:rPr>
          <w:rFonts w:asciiTheme="minorHAnsi" w:hAnsiTheme="minorHAnsi"/>
        </w:rPr>
      </w:pPr>
      <w:r>
        <w:rPr>
          <w:rFonts w:asciiTheme="minorHAnsi" w:hAnsiTheme="minorHAnsi"/>
        </w:rPr>
        <w:t xml:space="preserve">Other areas </w:t>
      </w:r>
      <w:r w:rsidR="00807457">
        <w:rPr>
          <w:rFonts w:asciiTheme="minorHAnsi" w:hAnsiTheme="minorHAnsi"/>
        </w:rPr>
        <w:t xml:space="preserve">supporting emerging priorities, </w:t>
      </w:r>
      <w:r w:rsidR="0079564C">
        <w:rPr>
          <w:rFonts w:asciiTheme="minorHAnsi" w:hAnsiTheme="minorHAnsi"/>
        </w:rPr>
        <w:t>to be</w:t>
      </w:r>
      <w:r>
        <w:rPr>
          <w:rFonts w:asciiTheme="minorHAnsi" w:hAnsiTheme="minorHAnsi"/>
        </w:rPr>
        <w:t xml:space="preserve"> agreed with the incoming GOI.</w:t>
      </w:r>
    </w:p>
    <w:p w14:paraId="54614A9D" w14:textId="77777777" w:rsidR="00B30867" w:rsidRPr="00B30867" w:rsidRDefault="00B30867" w:rsidP="0031125D">
      <w:pPr>
        <w:spacing w:after="0"/>
        <w:jc w:val="both"/>
        <w:rPr>
          <w:rFonts w:asciiTheme="minorHAnsi" w:hAnsiTheme="minorHAnsi"/>
        </w:rPr>
      </w:pPr>
      <w:r w:rsidRPr="00B30867">
        <w:rPr>
          <w:rFonts w:asciiTheme="minorHAnsi" w:hAnsiTheme="minorHAnsi"/>
        </w:rPr>
        <w:t>Investment by Australia in social protection will complement and e</w:t>
      </w:r>
      <w:r w:rsidR="00277C63">
        <w:rPr>
          <w:rFonts w:asciiTheme="minorHAnsi" w:hAnsiTheme="minorHAnsi"/>
        </w:rPr>
        <w:t>nhance the effectiveness of its support</w:t>
      </w:r>
      <w:r w:rsidRPr="00B30867">
        <w:rPr>
          <w:rFonts w:asciiTheme="minorHAnsi" w:hAnsiTheme="minorHAnsi"/>
        </w:rPr>
        <w:t xml:space="preserve"> in other areas. </w:t>
      </w:r>
      <w:r w:rsidR="000B1B00">
        <w:rPr>
          <w:rFonts w:asciiTheme="minorHAnsi" w:hAnsiTheme="minorHAnsi"/>
        </w:rPr>
        <w:t>Social protection is a key driver of the demand side for services, facilitating access and strengthening results from other sectoral interventions.</w:t>
      </w:r>
      <w:r w:rsidR="00674997">
        <w:rPr>
          <w:rFonts w:asciiTheme="minorHAnsi" w:hAnsiTheme="minorHAnsi"/>
        </w:rPr>
        <w:t xml:space="preserve"> </w:t>
      </w:r>
      <w:r w:rsidR="000D2778">
        <w:rPr>
          <w:rFonts w:asciiTheme="minorHAnsi" w:hAnsiTheme="minorHAnsi"/>
        </w:rPr>
        <w:t>This</w:t>
      </w:r>
      <w:r w:rsidRPr="00B30867">
        <w:rPr>
          <w:rFonts w:asciiTheme="minorHAnsi" w:hAnsiTheme="minorHAnsi"/>
        </w:rPr>
        <w:t xml:space="preserve"> include</w:t>
      </w:r>
      <w:r w:rsidR="000D2778">
        <w:rPr>
          <w:rFonts w:asciiTheme="minorHAnsi" w:hAnsiTheme="minorHAnsi"/>
        </w:rPr>
        <w:t>s</w:t>
      </w:r>
      <w:r w:rsidRPr="00B30867">
        <w:rPr>
          <w:rFonts w:asciiTheme="minorHAnsi" w:hAnsiTheme="minorHAnsi"/>
        </w:rPr>
        <w:t>:</w:t>
      </w:r>
      <w:r w:rsidR="00D373C1">
        <w:rPr>
          <w:rFonts w:asciiTheme="minorHAnsi" w:hAnsiTheme="minorHAnsi"/>
        </w:rPr>
        <w:t xml:space="preserve"> </w:t>
      </w:r>
    </w:p>
    <w:p w14:paraId="33783A2F" w14:textId="77777777" w:rsidR="004103DF" w:rsidRPr="00C53F00" w:rsidRDefault="004103DF" w:rsidP="00B30867">
      <w:pPr>
        <w:numPr>
          <w:ilvl w:val="0"/>
          <w:numId w:val="25"/>
        </w:numPr>
        <w:spacing w:after="0" w:line="240" w:lineRule="auto"/>
        <w:jc w:val="both"/>
        <w:rPr>
          <w:rFonts w:asciiTheme="minorHAnsi" w:hAnsiTheme="minorHAnsi"/>
        </w:rPr>
      </w:pPr>
      <w:r w:rsidRPr="00B30867">
        <w:rPr>
          <w:rFonts w:asciiTheme="minorHAnsi" w:hAnsiTheme="minorHAnsi"/>
          <w:b/>
        </w:rPr>
        <w:t xml:space="preserve">Economic governance: </w:t>
      </w:r>
      <w:r w:rsidRPr="004A137E">
        <w:rPr>
          <w:rFonts w:asciiTheme="minorHAnsi" w:hAnsiTheme="minorHAnsi"/>
        </w:rPr>
        <w:t>w</w:t>
      </w:r>
      <w:r w:rsidRPr="00B30867">
        <w:rPr>
          <w:rFonts w:asciiTheme="minorHAnsi" w:hAnsiTheme="minorHAnsi"/>
        </w:rPr>
        <w:t xml:space="preserve">ell-designed social protection can </w:t>
      </w:r>
      <w:r>
        <w:rPr>
          <w:rFonts w:asciiTheme="minorHAnsi" w:hAnsiTheme="minorHAnsi"/>
        </w:rPr>
        <w:t>be</w:t>
      </w:r>
      <w:r w:rsidRPr="00B30867">
        <w:rPr>
          <w:rFonts w:asciiTheme="minorHAnsi" w:hAnsiTheme="minorHAnsi"/>
        </w:rPr>
        <w:t xml:space="preserve"> part of the solution to economic governance priorities</w:t>
      </w:r>
      <w:r>
        <w:rPr>
          <w:rFonts w:asciiTheme="minorHAnsi" w:hAnsiTheme="minorHAnsi"/>
        </w:rPr>
        <w:t xml:space="preserve"> and help manage difficult reforms</w:t>
      </w:r>
      <w:r w:rsidRPr="00B30867">
        <w:rPr>
          <w:rFonts w:asciiTheme="minorHAnsi" w:hAnsiTheme="minorHAnsi"/>
        </w:rPr>
        <w:t>, such as</w:t>
      </w:r>
      <w:r>
        <w:rPr>
          <w:rFonts w:asciiTheme="minorHAnsi" w:hAnsiTheme="minorHAnsi"/>
        </w:rPr>
        <w:t xml:space="preserve"> reducing the</w:t>
      </w:r>
      <w:r w:rsidRPr="00B30867">
        <w:rPr>
          <w:rFonts w:asciiTheme="minorHAnsi" w:hAnsiTheme="minorHAnsi"/>
        </w:rPr>
        <w:t xml:space="preserve"> </w:t>
      </w:r>
      <w:r>
        <w:rPr>
          <w:rFonts w:asciiTheme="minorHAnsi" w:hAnsiTheme="minorHAnsi"/>
        </w:rPr>
        <w:t>fuel subsidy or promoting more flexible markets.</w:t>
      </w:r>
    </w:p>
    <w:p w14:paraId="265CEC0D" w14:textId="25830A8A" w:rsidR="00B30867" w:rsidRPr="00B30867" w:rsidRDefault="00B30867" w:rsidP="00B30867">
      <w:pPr>
        <w:numPr>
          <w:ilvl w:val="0"/>
          <w:numId w:val="25"/>
        </w:numPr>
        <w:spacing w:after="0" w:line="240" w:lineRule="auto"/>
        <w:jc w:val="both"/>
        <w:rPr>
          <w:rFonts w:asciiTheme="minorHAnsi" w:hAnsiTheme="minorHAnsi"/>
        </w:rPr>
      </w:pPr>
      <w:r w:rsidRPr="00B30867">
        <w:rPr>
          <w:rFonts w:asciiTheme="minorHAnsi" w:hAnsiTheme="minorHAnsi"/>
          <w:b/>
        </w:rPr>
        <w:t xml:space="preserve">Education: </w:t>
      </w:r>
      <w:r w:rsidR="00BF6ADE" w:rsidRPr="00BF6ADE">
        <w:rPr>
          <w:rFonts w:asciiTheme="minorHAnsi" w:hAnsiTheme="minorHAnsi"/>
        </w:rPr>
        <w:t>i</w:t>
      </w:r>
      <w:r w:rsidRPr="00B30867">
        <w:rPr>
          <w:rFonts w:asciiTheme="minorHAnsi" w:hAnsiTheme="minorHAnsi"/>
        </w:rPr>
        <w:t>ncreasing fa</w:t>
      </w:r>
      <w:r w:rsidR="00277C63">
        <w:rPr>
          <w:rFonts w:asciiTheme="minorHAnsi" w:hAnsiTheme="minorHAnsi"/>
        </w:rPr>
        <w:t>mily income</w:t>
      </w:r>
      <w:r w:rsidRPr="00B30867">
        <w:rPr>
          <w:rFonts w:asciiTheme="minorHAnsi" w:hAnsiTheme="minorHAnsi"/>
        </w:rPr>
        <w:t xml:space="preserve"> addresses</w:t>
      </w:r>
      <w:r w:rsidRPr="00B30867" w:rsidDel="00CE3B9B">
        <w:rPr>
          <w:rFonts w:asciiTheme="minorHAnsi" w:hAnsiTheme="minorHAnsi"/>
        </w:rPr>
        <w:t xml:space="preserve"> </w:t>
      </w:r>
      <w:r w:rsidR="00277C63">
        <w:rPr>
          <w:rFonts w:asciiTheme="minorHAnsi" w:hAnsiTheme="minorHAnsi"/>
        </w:rPr>
        <w:t>a</w:t>
      </w:r>
      <w:r w:rsidRPr="00B30867">
        <w:rPr>
          <w:rFonts w:asciiTheme="minorHAnsi" w:hAnsiTheme="minorHAnsi"/>
        </w:rPr>
        <w:t xml:space="preserve"> key reason children drop out of school</w:t>
      </w:r>
      <w:r w:rsidR="00612541">
        <w:rPr>
          <w:rFonts w:asciiTheme="minorHAnsi" w:hAnsiTheme="minorHAnsi"/>
        </w:rPr>
        <w:t>. H</w:t>
      </w:r>
      <w:r w:rsidRPr="00B30867">
        <w:rPr>
          <w:rFonts w:asciiTheme="minorHAnsi" w:hAnsiTheme="minorHAnsi"/>
        </w:rPr>
        <w:t>elping tackle under-nutrition</w:t>
      </w:r>
      <w:r w:rsidR="002B445C">
        <w:rPr>
          <w:rFonts w:asciiTheme="minorHAnsi" w:hAnsiTheme="minorHAnsi"/>
        </w:rPr>
        <w:t xml:space="preserve"> improve</w:t>
      </w:r>
      <w:r w:rsidR="00612541">
        <w:rPr>
          <w:rFonts w:asciiTheme="minorHAnsi" w:hAnsiTheme="minorHAnsi"/>
        </w:rPr>
        <w:t>s</w:t>
      </w:r>
      <w:r w:rsidRPr="00B30867">
        <w:rPr>
          <w:rFonts w:asciiTheme="minorHAnsi" w:hAnsiTheme="minorHAnsi"/>
        </w:rPr>
        <w:t xml:space="preserve"> </w:t>
      </w:r>
      <w:r w:rsidR="00612541">
        <w:rPr>
          <w:rFonts w:asciiTheme="minorHAnsi" w:hAnsiTheme="minorHAnsi"/>
        </w:rPr>
        <w:t xml:space="preserve">the </w:t>
      </w:r>
      <w:r w:rsidRPr="00B30867">
        <w:rPr>
          <w:rFonts w:asciiTheme="minorHAnsi" w:hAnsiTheme="minorHAnsi"/>
        </w:rPr>
        <w:t xml:space="preserve">cognitive development </w:t>
      </w:r>
      <w:r w:rsidR="00612541">
        <w:rPr>
          <w:rFonts w:asciiTheme="minorHAnsi" w:hAnsiTheme="minorHAnsi"/>
        </w:rPr>
        <w:t xml:space="preserve">of children </w:t>
      </w:r>
      <w:r w:rsidRPr="00B30867">
        <w:rPr>
          <w:rFonts w:asciiTheme="minorHAnsi" w:hAnsiTheme="minorHAnsi"/>
        </w:rPr>
        <w:t>so they perform better at school.</w:t>
      </w:r>
      <w:r w:rsidR="00277C63" w:rsidRPr="00277C63">
        <w:rPr>
          <w:rFonts w:asciiTheme="minorHAnsi" w:hAnsiTheme="minorHAnsi"/>
        </w:rPr>
        <w:t xml:space="preserve"> </w:t>
      </w:r>
    </w:p>
    <w:p w14:paraId="55D8736E" w14:textId="77777777" w:rsidR="00B30867" w:rsidRDefault="00B30867" w:rsidP="00F773CB">
      <w:pPr>
        <w:numPr>
          <w:ilvl w:val="0"/>
          <w:numId w:val="25"/>
        </w:numPr>
        <w:spacing w:after="120" w:line="240" w:lineRule="auto"/>
        <w:jc w:val="both"/>
        <w:rPr>
          <w:rFonts w:asciiTheme="minorHAnsi" w:hAnsiTheme="minorHAnsi"/>
        </w:rPr>
      </w:pPr>
      <w:r w:rsidRPr="00B30867">
        <w:rPr>
          <w:rFonts w:asciiTheme="minorHAnsi" w:hAnsiTheme="minorHAnsi"/>
          <w:b/>
        </w:rPr>
        <w:t>Health:</w:t>
      </w:r>
      <w:r w:rsidRPr="00B30867">
        <w:rPr>
          <w:rFonts w:asciiTheme="minorHAnsi" w:hAnsiTheme="minorHAnsi"/>
        </w:rPr>
        <w:t xml:space="preserve"> access to social protection can improve health outcomes </w:t>
      </w:r>
      <w:r w:rsidR="00277C63">
        <w:rPr>
          <w:rFonts w:asciiTheme="minorHAnsi" w:hAnsiTheme="minorHAnsi"/>
        </w:rPr>
        <w:t>for</w:t>
      </w:r>
      <w:r w:rsidRPr="00B30867">
        <w:rPr>
          <w:rFonts w:asciiTheme="minorHAnsi" w:hAnsiTheme="minorHAnsi"/>
        </w:rPr>
        <w:t xml:space="preserve"> both children and adults</w:t>
      </w:r>
      <w:r w:rsidR="002B445C">
        <w:rPr>
          <w:rFonts w:asciiTheme="minorHAnsi" w:hAnsiTheme="minorHAnsi"/>
        </w:rPr>
        <w:t xml:space="preserve">, and </w:t>
      </w:r>
      <w:r w:rsidRPr="00B30867">
        <w:rPr>
          <w:rFonts w:asciiTheme="minorHAnsi" w:hAnsiTheme="minorHAnsi"/>
        </w:rPr>
        <w:t xml:space="preserve">health insurance and social protection are both essential </w:t>
      </w:r>
      <w:r w:rsidR="002B445C">
        <w:rPr>
          <w:rFonts w:asciiTheme="minorHAnsi" w:hAnsiTheme="minorHAnsi"/>
        </w:rPr>
        <w:t>to</w:t>
      </w:r>
      <w:r w:rsidRPr="00B30867">
        <w:rPr>
          <w:rFonts w:asciiTheme="minorHAnsi" w:hAnsiTheme="minorHAnsi"/>
        </w:rPr>
        <w:t xml:space="preserve"> help families deal with the risk and consequences of ill</w:t>
      </w:r>
      <w:r w:rsidR="002B445C">
        <w:rPr>
          <w:rFonts w:asciiTheme="minorHAnsi" w:hAnsiTheme="minorHAnsi"/>
        </w:rPr>
        <w:t>-health</w:t>
      </w:r>
      <w:r w:rsidRPr="00B30867">
        <w:rPr>
          <w:rFonts w:asciiTheme="minorHAnsi" w:hAnsiTheme="minorHAnsi"/>
        </w:rPr>
        <w:t>.</w:t>
      </w:r>
    </w:p>
    <w:p w14:paraId="6BD13274" w14:textId="77777777" w:rsidR="0025053B" w:rsidRDefault="0025053B" w:rsidP="0025053B">
      <w:pPr>
        <w:pStyle w:val="Heading3Jo"/>
        <w:spacing w:before="0"/>
      </w:pPr>
      <w:r>
        <w:t>Gender</w:t>
      </w:r>
    </w:p>
    <w:p w14:paraId="538970C5" w14:textId="3FEC84A4" w:rsidR="000E7854" w:rsidRPr="009106F4" w:rsidRDefault="000E7854" w:rsidP="00F773CB">
      <w:pPr>
        <w:spacing w:after="120"/>
        <w:jc w:val="both"/>
      </w:pPr>
      <w:r w:rsidRPr="009106F4">
        <w:t>Gender co</w:t>
      </w:r>
      <w:r w:rsidR="00612541">
        <w:t xml:space="preserve">nsiderations are central to MAHKOTA’s </w:t>
      </w:r>
      <w:r w:rsidRPr="009106F4">
        <w:t xml:space="preserve">design. </w:t>
      </w:r>
      <w:r w:rsidR="000B10CA" w:rsidRPr="009106F4">
        <w:t xml:space="preserve">Strengthening </w:t>
      </w:r>
      <w:r w:rsidR="00532266" w:rsidRPr="009106F4">
        <w:t>Indonesia</w:t>
      </w:r>
      <w:r w:rsidR="00532266">
        <w:t>’s</w:t>
      </w:r>
      <w:r w:rsidR="00532266" w:rsidRPr="009106F4">
        <w:t xml:space="preserve"> </w:t>
      </w:r>
      <w:r w:rsidR="000B10CA" w:rsidRPr="009106F4">
        <w:t xml:space="preserve">national social protection system provides a </w:t>
      </w:r>
      <w:r w:rsidRPr="009106F4">
        <w:t>major opportunity to develop poverty reduction programs that will benefit a large number of women</w:t>
      </w:r>
      <w:r w:rsidR="000B10CA" w:rsidRPr="009106F4">
        <w:t xml:space="preserve"> and girls</w:t>
      </w:r>
      <w:r w:rsidRPr="009106F4">
        <w:t xml:space="preserve">. Indonesia’s policies and programs for dealing with the gender aspects of poverty reduction </w:t>
      </w:r>
      <w:r w:rsidR="009106F4" w:rsidRPr="009106F4">
        <w:t xml:space="preserve">can still be improved to ensure women and girls have access to programs and </w:t>
      </w:r>
      <w:r w:rsidR="00532266" w:rsidRPr="009106F4">
        <w:t xml:space="preserve">maximise </w:t>
      </w:r>
      <w:r w:rsidR="009106F4" w:rsidRPr="009106F4">
        <w:t xml:space="preserve">opportunities to empower women through social protection. </w:t>
      </w:r>
    </w:p>
    <w:p w14:paraId="5AB80D4E" w14:textId="1E49AFF3" w:rsidR="000E7854" w:rsidRPr="009106F4" w:rsidRDefault="00612541" w:rsidP="00F773CB">
      <w:pPr>
        <w:spacing w:after="120"/>
        <w:jc w:val="both"/>
      </w:pPr>
      <w:r>
        <w:t>Australia’s</w:t>
      </w:r>
      <w:r w:rsidR="009106F4" w:rsidRPr="009106F4">
        <w:t xml:space="preserve"> support to social protection programs will operate on a principle of gender-sensitive programing, including: improving the </w:t>
      </w:r>
      <w:r w:rsidR="000E7854" w:rsidRPr="009106F4">
        <w:t xml:space="preserve">accuracy of </w:t>
      </w:r>
      <w:r w:rsidR="009106F4" w:rsidRPr="009106F4">
        <w:t>gender-disaggregated</w:t>
      </w:r>
      <w:r w:rsidR="000E7854" w:rsidRPr="009106F4">
        <w:t xml:space="preserve"> data</w:t>
      </w:r>
      <w:r w:rsidR="009106F4" w:rsidRPr="009106F4">
        <w:t xml:space="preserve"> wherever possible; including quantitative and qualitative analyses of gender as it is linked to poverty programming; and pioneering new program concepts or components that can address the gendered aspects of programs. </w:t>
      </w:r>
    </w:p>
    <w:p w14:paraId="61E35E13" w14:textId="7204C9DA" w:rsidR="000E7854" w:rsidRDefault="00612541" w:rsidP="00F773CB">
      <w:pPr>
        <w:spacing w:after="120"/>
        <w:jc w:val="both"/>
      </w:pPr>
      <w:r>
        <w:t>Australian</w:t>
      </w:r>
      <w:r w:rsidR="009106F4" w:rsidRPr="009106F4">
        <w:t xml:space="preserve"> support </w:t>
      </w:r>
      <w:r>
        <w:t>will</w:t>
      </w:r>
      <w:r w:rsidR="009106F4" w:rsidRPr="009106F4">
        <w:t xml:space="preserve"> also provide</w:t>
      </w:r>
      <w:r w:rsidR="000E7854" w:rsidRPr="009106F4">
        <w:t xml:space="preserve"> a useful mechanism </w:t>
      </w:r>
      <w:r w:rsidR="009106F4" w:rsidRPr="009106F4">
        <w:t xml:space="preserve">to expand policy </w:t>
      </w:r>
      <w:r w:rsidR="000E7854" w:rsidRPr="009106F4">
        <w:t xml:space="preserve">dialogue </w:t>
      </w:r>
      <w:r w:rsidR="009106F4" w:rsidRPr="009106F4">
        <w:t xml:space="preserve">with key partners </w:t>
      </w:r>
      <w:r w:rsidR="000E7854" w:rsidRPr="009106F4">
        <w:t>to involve women’s organisations in</w:t>
      </w:r>
      <w:r w:rsidR="009106F4" w:rsidRPr="009106F4">
        <w:t xml:space="preserve"> advisory and operational roles</w:t>
      </w:r>
      <w:r w:rsidR="00031887">
        <w:t xml:space="preserve"> and</w:t>
      </w:r>
      <w:r w:rsidR="009106F4" w:rsidRPr="009106F4">
        <w:t xml:space="preserve"> draw on other </w:t>
      </w:r>
      <w:r>
        <w:t>development</w:t>
      </w:r>
      <w:r w:rsidR="009106F4" w:rsidRPr="009106F4">
        <w:t xml:space="preserve"> programs (such as </w:t>
      </w:r>
      <w:r w:rsidR="000B1B00">
        <w:t>women’s empowerment</w:t>
      </w:r>
      <w:r w:rsidR="009106F4" w:rsidRPr="009106F4">
        <w:t>) to p</w:t>
      </w:r>
      <w:r w:rsidR="000E7854" w:rsidRPr="009106F4">
        <w:t>rovide useful platforms for promoting dialogue between government and these non-traditional partners</w:t>
      </w:r>
      <w:r w:rsidR="00031887">
        <w:t xml:space="preserve">. </w:t>
      </w:r>
      <w:r w:rsidR="00F835B1">
        <w:t>DFAT</w:t>
      </w:r>
      <w:r w:rsidR="000E7854" w:rsidRPr="009106F4">
        <w:t xml:space="preserve">’s </w:t>
      </w:r>
      <w:r w:rsidR="005B3354">
        <w:t>ability</w:t>
      </w:r>
      <w:r w:rsidR="000E7854" w:rsidRPr="009106F4">
        <w:t xml:space="preserve"> to bring such partners to the general poverty discussion is a unique reason for Australian engagement in this area.</w:t>
      </w:r>
    </w:p>
    <w:p w14:paraId="6A9CD897" w14:textId="77777777" w:rsidR="0025053B" w:rsidRDefault="0025053B" w:rsidP="0025053B">
      <w:pPr>
        <w:pStyle w:val="Heading3Jo"/>
        <w:spacing w:before="0"/>
      </w:pPr>
      <w:r>
        <w:t>Frontline</w:t>
      </w:r>
    </w:p>
    <w:p w14:paraId="1E2E02F5" w14:textId="5DE8AA82" w:rsidR="006D53AE" w:rsidRDefault="0025053B" w:rsidP="005B3354">
      <w:pPr>
        <w:spacing w:after="0"/>
        <w:jc w:val="both"/>
      </w:pPr>
      <w:r>
        <w:t xml:space="preserve">DFAT has adopted as a priority an approach that </w:t>
      </w:r>
      <w:r w:rsidRPr="0025053B">
        <w:t>support</w:t>
      </w:r>
      <w:r>
        <w:t>s</w:t>
      </w:r>
      <w:r w:rsidRPr="0025053B">
        <w:t xml:space="preserve"> </w:t>
      </w:r>
      <w:r>
        <w:t>GOI’s</w:t>
      </w:r>
      <w:r w:rsidRPr="0025053B">
        <w:t xml:space="preserve"> efforts to improve frontline service delivery in its own programs</w:t>
      </w:r>
      <w:r>
        <w:t>. Th</w:t>
      </w:r>
      <w:r w:rsidR="00532266">
        <w:t>e Frontline</w:t>
      </w:r>
      <w:r>
        <w:t xml:space="preserve"> approach </w:t>
      </w:r>
      <w:r w:rsidRPr="0025053B">
        <w:t>embrace</w:t>
      </w:r>
      <w:r>
        <w:t>s</w:t>
      </w:r>
      <w:r w:rsidRPr="0025053B">
        <w:t xml:space="preserve"> the principles of local solutions for local problems, flexibility of programming, cross-sector coordination and leveraging</w:t>
      </w:r>
      <w:r w:rsidR="00532266">
        <w:t>,</w:t>
      </w:r>
      <w:r w:rsidRPr="0025053B">
        <w:t xml:space="preserve"> and strong monitoring and evaluation to inform</w:t>
      </w:r>
      <w:r w:rsidR="00612541">
        <w:t xml:space="preserve"> decisions on</w:t>
      </w:r>
      <w:r w:rsidRPr="0025053B">
        <w:t xml:space="preserve"> scaling up by the Government of Indonesia.</w:t>
      </w:r>
      <w:r>
        <w:t xml:space="preserve"> </w:t>
      </w:r>
      <w:r w:rsidR="006D53AE">
        <w:t xml:space="preserve">It assumes that better service delivery outcomes will only be achieved when programs cooperatively and collaboratively work together. To </w:t>
      </w:r>
      <w:r w:rsidR="00D54C18">
        <w:t>ensure</w:t>
      </w:r>
      <w:r w:rsidR="006D53AE">
        <w:t xml:space="preserve"> this</w:t>
      </w:r>
      <w:r w:rsidR="00532266">
        <w:t>,</w:t>
      </w:r>
      <w:r w:rsidR="006D53AE">
        <w:t xml:space="preserve"> DFAT has developed the following operational principles</w:t>
      </w:r>
      <w:r w:rsidR="00D54C18">
        <w:t xml:space="preserve"> for managing contractors</w:t>
      </w:r>
      <w:r w:rsidR="006D53AE">
        <w:t>:</w:t>
      </w:r>
    </w:p>
    <w:p w14:paraId="66342C45" w14:textId="77777777" w:rsidR="006D53AE" w:rsidRDefault="00D54C18" w:rsidP="00BA6FDF">
      <w:pPr>
        <w:pStyle w:val="ListParagraph"/>
        <w:numPr>
          <w:ilvl w:val="0"/>
          <w:numId w:val="44"/>
        </w:numPr>
        <w:spacing w:after="0"/>
        <w:jc w:val="both"/>
      </w:pPr>
      <w:r>
        <w:t>E</w:t>
      </w:r>
      <w:r w:rsidR="006D53AE">
        <w:t>nsure managing contractors in a geographic co-location</w:t>
      </w:r>
      <w:r>
        <w:t xml:space="preserve"> </w:t>
      </w:r>
      <w:r w:rsidR="0051321F">
        <w:t xml:space="preserve">collaborate </w:t>
      </w:r>
      <w:r>
        <w:t>by</w:t>
      </w:r>
      <w:r w:rsidR="006D53AE">
        <w:t>:</w:t>
      </w:r>
    </w:p>
    <w:p w14:paraId="7A9346E7" w14:textId="41E229A6" w:rsidR="006D53AE" w:rsidRDefault="006D53AE" w:rsidP="00BA6FDF">
      <w:pPr>
        <w:pStyle w:val="ListParagraph"/>
        <w:numPr>
          <w:ilvl w:val="1"/>
          <w:numId w:val="44"/>
        </w:numPr>
        <w:spacing w:after="0"/>
        <w:jc w:val="both"/>
      </w:pPr>
      <w:r>
        <w:t>work</w:t>
      </w:r>
      <w:r w:rsidR="00D54C18">
        <w:t>ing</w:t>
      </w:r>
      <w:r>
        <w:t xml:space="preserve"> together and complement</w:t>
      </w:r>
      <w:r w:rsidR="0051321F">
        <w:t>ing</w:t>
      </w:r>
      <w:r>
        <w:t xml:space="preserve"> each other based on their comparative advantage to achieve better outcome</w:t>
      </w:r>
      <w:r w:rsidR="0051321F">
        <w:t>s</w:t>
      </w:r>
      <w:r w:rsidR="00612541">
        <w:t>;</w:t>
      </w:r>
    </w:p>
    <w:p w14:paraId="7F140513" w14:textId="1C6498C7" w:rsidR="006D53AE" w:rsidRDefault="006D53AE" w:rsidP="00BA6FDF">
      <w:pPr>
        <w:pStyle w:val="ListParagraph"/>
        <w:numPr>
          <w:ilvl w:val="1"/>
          <w:numId w:val="44"/>
        </w:numPr>
        <w:spacing w:after="0"/>
        <w:jc w:val="both"/>
      </w:pPr>
      <w:r>
        <w:t>avoid</w:t>
      </w:r>
      <w:r w:rsidR="00D54C18">
        <w:t>ing</w:t>
      </w:r>
      <w:r>
        <w:t xml:space="preserve"> redundancy and gain</w:t>
      </w:r>
      <w:r w:rsidR="00D54C18">
        <w:t>ing</w:t>
      </w:r>
      <w:r>
        <w:t xml:space="preserve"> efficiency</w:t>
      </w:r>
      <w:r w:rsidR="00612541">
        <w:t>;</w:t>
      </w:r>
    </w:p>
    <w:p w14:paraId="3E139F2A" w14:textId="5A45CB1B" w:rsidR="006D53AE" w:rsidRDefault="00D54C18" w:rsidP="00BA6FDF">
      <w:pPr>
        <w:pStyle w:val="ListParagraph"/>
        <w:numPr>
          <w:ilvl w:val="1"/>
          <w:numId w:val="44"/>
        </w:numPr>
        <w:spacing w:after="0"/>
        <w:jc w:val="both"/>
      </w:pPr>
      <w:r>
        <w:t>improving</w:t>
      </w:r>
      <w:r w:rsidR="006D53AE">
        <w:t xml:space="preserve"> coordination and communication with stakeholders representing  a single DFAT position in policy dialogue with GOI</w:t>
      </w:r>
      <w:r w:rsidR="00612541">
        <w:t>; and</w:t>
      </w:r>
    </w:p>
    <w:p w14:paraId="11CDF271" w14:textId="643B695A" w:rsidR="006D53AE" w:rsidRDefault="00D54C18" w:rsidP="00BA6FDF">
      <w:pPr>
        <w:pStyle w:val="ListParagraph"/>
        <w:numPr>
          <w:ilvl w:val="1"/>
          <w:numId w:val="44"/>
        </w:numPr>
        <w:spacing w:after="0"/>
        <w:jc w:val="both"/>
      </w:pPr>
      <w:proofErr w:type="gramStart"/>
      <w:r>
        <w:t>having</w:t>
      </w:r>
      <w:proofErr w:type="gramEnd"/>
      <w:r w:rsidR="006D53AE">
        <w:t xml:space="preserve"> a mechanism to resolve division of labour issues in the collaboration</w:t>
      </w:r>
      <w:r w:rsidR="00532266">
        <w:t>.</w:t>
      </w:r>
    </w:p>
    <w:p w14:paraId="24DA86E9" w14:textId="77777777" w:rsidR="006D53AE" w:rsidRDefault="006D53AE" w:rsidP="00BA6FDF">
      <w:pPr>
        <w:pStyle w:val="ListParagraph"/>
        <w:numPr>
          <w:ilvl w:val="0"/>
          <w:numId w:val="44"/>
        </w:numPr>
        <w:spacing w:after="0"/>
      </w:pPr>
      <w:r w:rsidRPr="006D53AE">
        <w:t>Recognise GOI responsibility for service delivery and DFAT’s supportive role</w:t>
      </w:r>
      <w:r w:rsidR="00532266">
        <w:t>.</w:t>
      </w:r>
    </w:p>
    <w:p w14:paraId="6E765269" w14:textId="6FCE9BC9" w:rsidR="006D53AE" w:rsidRDefault="006D53AE" w:rsidP="00BA6FDF">
      <w:pPr>
        <w:pStyle w:val="ListParagraph"/>
        <w:numPr>
          <w:ilvl w:val="0"/>
          <w:numId w:val="44"/>
        </w:numPr>
        <w:spacing w:after="0"/>
      </w:pPr>
      <w:r>
        <w:t xml:space="preserve">Have flexibility to work together with other </w:t>
      </w:r>
      <w:r w:rsidR="00D54C18">
        <w:t>monitoring and evaluation</w:t>
      </w:r>
      <w:r>
        <w:t xml:space="preserve"> support to provide independent and credible evidence on program results</w:t>
      </w:r>
      <w:r w:rsidR="00532266">
        <w:t>.</w:t>
      </w:r>
    </w:p>
    <w:p w14:paraId="4C448812" w14:textId="11943F37" w:rsidR="006D53AE" w:rsidRPr="006D53AE" w:rsidRDefault="006D53AE" w:rsidP="00BA6FDF">
      <w:pPr>
        <w:pStyle w:val="ListParagraph"/>
        <w:numPr>
          <w:ilvl w:val="0"/>
          <w:numId w:val="44"/>
        </w:numPr>
        <w:spacing w:after="0"/>
      </w:pPr>
      <w:r w:rsidRPr="006D53AE">
        <w:t>Have flexibility to support demonstrations, experiments and exploration</w:t>
      </w:r>
      <w:r w:rsidR="00612541">
        <w:t>s on innovative local solutions.</w:t>
      </w:r>
    </w:p>
    <w:p w14:paraId="7C24F307" w14:textId="77777777" w:rsidR="0025053B" w:rsidRDefault="0025053B" w:rsidP="00BA6FDF">
      <w:pPr>
        <w:spacing w:after="120"/>
        <w:jc w:val="both"/>
      </w:pPr>
      <w:r>
        <w:t xml:space="preserve">DFAT expects the MAHKOTA managing contractor to </w:t>
      </w:r>
      <w:r w:rsidR="00FE26AD">
        <w:t>actively incorporate these principles into its own implementation approach.</w:t>
      </w:r>
    </w:p>
    <w:p w14:paraId="308C413D" w14:textId="77777777" w:rsidR="007F3D5E" w:rsidRPr="00CC1B86" w:rsidRDefault="00C54D08" w:rsidP="00CC1B86">
      <w:pPr>
        <w:pStyle w:val="InvestmentSumheadings"/>
      </w:pPr>
      <w:r>
        <w:t>INVESTMENT</w:t>
      </w:r>
      <w:r w:rsidR="00A74931">
        <w:t xml:space="preserve"> STRATEGY</w:t>
      </w:r>
    </w:p>
    <w:p w14:paraId="0FAF9801" w14:textId="77777777" w:rsidR="00F93B1A" w:rsidRDefault="001F2015" w:rsidP="00CC1B86">
      <w:pPr>
        <w:pStyle w:val="Heading2"/>
      </w:pPr>
      <w:r>
        <w:t xml:space="preserve">Australia’s </w:t>
      </w:r>
      <w:r w:rsidR="00FA54B7">
        <w:t>social protection</w:t>
      </w:r>
      <w:r>
        <w:t xml:space="preserve"> support portfolio</w:t>
      </w:r>
    </w:p>
    <w:p w14:paraId="5E6725D8" w14:textId="6973D332" w:rsidR="00FA54B7" w:rsidRDefault="00E73F06" w:rsidP="00C53F00">
      <w:pPr>
        <w:spacing w:after="120"/>
      </w:pPr>
      <w:r>
        <w:t>MAHKOTA</w:t>
      </w:r>
      <w:r w:rsidR="00FA54B7">
        <w:t xml:space="preserve"> and</w:t>
      </w:r>
      <w:r>
        <w:t xml:space="preserve"> </w:t>
      </w:r>
      <w:r w:rsidR="00612541">
        <w:t>support through the World Bank</w:t>
      </w:r>
      <w:r>
        <w:t xml:space="preserve"> are</w:t>
      </w:r>
      <w:r w:rsidR="00FA54B7">
        <w:t xml:space="preserve"> two mechanisms supporting a single, GOI-led agenda. </w:t>
      </w:r>
      <w:r w:rsidR="004A137E">
        <w:t xml:space="preserve">Each </w:t>
      </w:r>
      <w:r w:rsidR="00FA54B7">
        <w:t xml:space="preserve">will be guided by </w:t>
      </w:r>
      <w:r>
        <w:t xml:space="preserve">a </w:t>
      </w:r>
      <w:r w:rsidR="00430EE8">
        <w:t>separate</w:t>
      </w:r>
      <w:r>
        <w:t xml:space="preserve"> </w:t>
      </w:r>
      <w:r w:rsidR="00F46278">
        <w:t>Steering Committee</w:t>
      </w:r>
      <w:r>
        <w:t xml:space="preserve"> (SC)</w:t>
      </w:r>
      <w:r w:rsidR="00FA54B7">
        <w:t>, chaired by Bappenas</w:t>
      </w:r>
      <w:r w:rsidR="00807457">
        <w:t xml:space="preserve"> or another agency,</w:t>
      </w:r>
      <w:r w:rsidR="00FA54B7">
        <w:t xml:space="preserve"> with representation from</w:t>
      </w:r>
      <w:r>
        <w:t xml:space="preserve"> </w:t>
      </w:r>
      <w:r w:rsidR="00FA54B7">
        <w:t xml:space="preserve">other agencies </w:t>
      </w:r>
      <w:r>
        <w:t>supporting GOI’s social protection</w:t>
      </w:r>
      <w:r w:rsidR="00FA54B7">
        <w:t xml:space="preserve">. </w:t>
      </w:r>
    </w:p>
    <w:p w14:paraId="3623B440" w14:textId="77777777" w:rsidR="00FA54B7" w:rsidRDefault="00FA54B7" w:rsidP="00C53F00">
      <w:pPr>
        <w:spacing w:after="120"/>
      </w:pPr>
      <w:r>
        <w:t xml:space="preserve">The </w:t>
      </w:r>
      <w:r w:rsidR="00704024">
        <w:t xml:space="preserve">SC’s </w:t>
      </w:r>
      <w:r>
        <w:t xml:space="preserve">role in guiding the </w:t>
      </w:r>
      <w:r w:rsidR="00E73F06">
        <w:t>DFAT social protection</w:t>
      </w:r>
      <w:r>
        <w:t xml:space="preserve"> portfolio as well as arrangements for coordination between the multiple modalities described here are discussed further in Section 3</w:t>
      </w:r>
      <w:r w:rsidR="00C65FD6">
        <w:t>.2</w:t>
      </w:r>
      <w:r>
        <w:t xml:space="preserve">. </w:t>
      </w:r>
    </w:p>
    <w:p w14:paraId="12C6BA7E" w14:textId="602A8C61" w:rsidR="006F5753" w:rsidRDefault="00FA54B7" w:rsidP="00C53F00">
      <w:pPr>
        <w:spacing w:after="120"/>
      </w:pPr>
      <w:r>
        <w:t>This section focuses on</w:t>
      </w:r>
      <w:r w:rsidR="00704024">
        <w:t xml:space="preserve"> the</w:t>
      </w:r>
      <w:r>
        <w:t xml:space="preserve"> purpose and strategy for the MAHKOTA program, except where it links with other investments, including through the </w:t>
      </w:r>
      <w:r w:rsidR="00612541">
        <w:t>World Bank</w:t>
      </w:r>
      <w:r>
        <w:t xml:space="preserve"> and other DFAT-supported programs.</w:t>
      </w:r>
    </w:p>
    <w:p w14:paraId="6CED32F0" w14:textId="32879C88" w:rsidR="005F6B9B" w:rsidRDefault="005F6B9B" w:rsidP="00C53F00">
      <w:pPr>
        <w:pStyle w:val="BodyText"/>
        <w:spacing w:before="120" w:after="120"/>
      </w:pPr>
      <w:r>
        <w:t>As part of a</w:t>
      </w:r>
      <w:r w:rsidR="004523FF">
        <w:t xml:space="preserve"> small</w:t>
      </w:r>
      <w:r>
        <w:t xml:space="preserve"> extension to our support for </w:t>
      </w:r>
      <w:r w:rsidR="00612541">
        <w:t>World Bank</w:t>
      </w:r>
      <w:r>
        <w:t xml:space="preserve"> under this initiative, the Partnership for Knowledge Based Poverty Reduction will expand its analytical work and develop a flagship research product on a key emerging challenge, to be agreed with GOI and DFAT. </w:t>
      </w:r>
      <w:r w:rsidR="00612541">
        <w:t>The World Bank</w:t>
      </w:r>
      <w:r>
        <w:t xml:space="preserve"> </w:t>
      </w:r>
      <w:r w:rsidR="005307F0">
        <w:t>w</w:t>
      </w:r>
      <w:r>
        <w:t xml:space="preserve">ill also strengthen its coordination with partners and other research and policy users; enhance the monitoring and evaluation of its own work; and continue planned technical assistance for </w:t>
      </w:r>
      <w:r w:rsidR="0098637F">
        <w:t>social security</w:t>
      </w:r>
      <w:r>
        <w:t xml:space="preserve"> reform implementation.</w:t>
      </w:r>
      <w:r w:rsidR="008460F4">
        <w:t xml:space="preserve"> </w:t>
      </w:r>
    </w:p>
    <w:p w14:paraId="62C7FFBF" w14:textId="77777777" w:rsidR="00704024" w:rsidRDefault="00704024" w:rsidP="00617D1E">
      <w:pPr>
        <w:pStyle w:val="Heading2"/>
        <w:spacing w:before="0"/>
      </w:pPr>
      <w:r>
        <w:t>Purpose</w:t>
      </w:r>
    </w:p>
    <w:p w14:paraId="2DAB2512" w14:textId="22F36BE9" w:rsidR="00617D1E" w:rsidRDefault="00617D1E" w:rsidP="00C53F00">
      <w:pPr>
        <w:pStyle w:val="BodyText"/>
        <w:spacing w:before="0" w:after="120"/>
      </w:pPr>
      <w:r>
        <w:t xml:space="preserve">In four years of </w:t>
      </w:r>
      <w:r w:rsidR="00165EAD">
        <w:t>operation</w:t>
      </w:r>
      <w:r>
        <w:t xml:space="preserve"> PRSF has focused support on reforms to the operational elements of Indonesia’s national social assistance programs</w:t>
      </w:r>
      <w:r w:rsidR="00165EAD">
        <w:t>—in line with TNP2K’s mandate</w:t>
      </w:r>
      <w:r w:rsidR="008460F4">
        <w:t>. I</w:t>
      </w:r>
      <w:r>
        <w:t>n its final year PRSF</w:t>
      </w:r>
      <w:r w:rsidR="00165EAD">
        <w:t xml:space="preserve"> will </w:t>
      </w:r>
      <w:r>
        <w:t xml:space="preserve">consolidate and embed those reforms and hand over to the respective implementing agencies. </w:t>
      </w:r>
      <w:r w:rsidR="008460F4">
        <w:t>The</w:t>
      </w:r>
      <w:r>
        <w:t xml:space="preserve"> next phase of support </w:t>
      </w:r>
      <w:r w:rsidR="005F6B9B">
        <w:t>will continue improvements to social assi</w:t>
      </w:r>
      <w:r w:rsidR="00B17176">
        <w:t xml:space="preserve">stance programs—including a home for the UDB—and </w:t>
      </w:r>
      <w:r w:rsidR="005F6B9B">
        <w:t xml:space="preserve">also </w:t>
      </w:r>
      <w:r>
        <w:t>look at</w:t>
      </w:r>
      <w:r w:rsidR="006875C6">
        <w:t xml:space="preserve"> </w:t>
      </w:r>
      <w:r>
        <w:t>how the</w:t>
      </w:r>
      <w:r w:rsidR="00BE755A">
        <w:t xml:space="preserve">y complement GOI’s </w:t>
      </w:r>
      <w:r w:rsidR="0098637F">
        <w:t>social security</w:t>
      </w:r>
      <w:r w:rsidR="00BE755A">
        <w:t xml:space="preserve"> programs</w:t>
      </w:r>
      <w:r>
        <w:t>. Under MAHKOTA</w:t>
      </w:r>
      <w:r w:rsidR="008460F4">
        <w:t>,</w:t>
      </w:r>
      <w:r>
        <w:t xml:space="preserve"> DFAT takes a </w:t>
      </w:r>
      <w:r w:rsidR="00B17176">
        <w:t>holistic</w:t>
      </w:r>
      <w:r>
        <w:t xml:space="preserve"> view and aims to help establish and strengthen a social protection </w:t>
      </w:r>
      <w:r w:rsidRPr="00B32629">
        <w:rPr>
          <w:i/>
        </w:rPr>
        <w:t>system</w:t>
      </w:r>
      <w:r>
        <w:t xml:space="preserve"> by providing strategic support to key system elements</w:t>
      </w:r>
      <w:r w:rsidR="00606C64">
        <w:t>—policies, programs and tools—and</w:t>
      </w:r>
      <w:r>
        <w:t xml:space="preserve"> how they interact.</w:t>
      </w:r>
    </w:p>
    <w:p w14:paraId="19B9DF7C" w14:textId="75C1B2C0" w:rsidR="00AD01A7" w:rsidRDefault="00AD01A7" w:rsidP="00C53F00">
      <w:pPr>
        <w:pStyle w:val="BodyText"/>
        <w:spacing w:after="120"/>
      </w:pPr>
      <w:r>
        <w:t>Th</w:t>
      </w:r>
      <w:r w:rsidR="00165EAD">
        <w:t>is</w:t>
      </w:r>
      <w:r>
        <w:t xml:space="preserve"> rationale also recognises the need to support programs that address not only the</w:t>
      </w:r>
      <w:r w:rsidR="008E4BD1">
        <w:t xml:space="preserve"> extreme</w:t>
      </w:r>
      <w:r>
        <w:t xml:space="preserve"> poor but the near poor and vulnerable.</w:t>
      </w:r>
      <w:r w:rsidR="00EC02AA" w:rsidRPr="00EC02AA">
        <w:t xml:space="preserve"> TNP2K has focused on improving programs that target the poorest 10% of the population. However </w:t>
      </w:r>
      <w:r w:rsidR="008460F4">
        <w:t>the World Bank</w:t>
      </w:r>
      <w:r w:rsidR="00EC02AA" w:rsidRPr="00EC02AA">
        <w:t xml:space="preserve"> estimates that nearly 40% of the population live in or ne</w:t>
      </w:r>
      <w:r w:rsidR="00EC02AA">
        <w:t xml:space="preserve">ar poverty </w:t>
      </w:r>
      <w:r w:rsidR="00EC02AA" w:rsidRPr="00EC02AA">
        <w:t xml:space="preserve">and another 40% just above this, </w:t>
      </w:r>
      <w:r w:rsidR="00B17176">
        <w:t>surviving</w:t>
      </w:r>
      <w:r w:rsidR="00EC02AA" w:rsidRPr="00EC02AA">
        <w:t xml:space="preserve"> on </w:t>
      </w:r>
      <w:r w:rsidR="00EC02AA">
        <w:t xml:space="preserve">less than </w:t>
      </w:r>
      <w:r w:rsidR="00EC02AA" w:rsidRPr="00EC02AA">
        <w:t xml:space="preserve">$3/day and vulnerable to shocks even though </w:t>
      </w:r>
      <w:r w:rsidR="00800AC5">
        <w:t xml:space="preserve">they are </w:t>
      </w:r>
      <w:r w:rsidR="00EC02AA" w:rsidRPr="00EC02AA">
        <w:t>considered the “</w:t>
      </w:r>
      <w:r w:rsidR="001D061D">
        <w:t>emerging consumer class</w:t>
      </w:r>
      <w:r w:rsidR="00EC02AA" w:rsidRPr="00EC02AA">
        <w:t>.” Progra</w:t>
      </w:r>
      <w:r w:rsidR="00EC02AA">
        <w:t xml:space="preserve">ms targeted to the poorest 10% </w:t>
      </w:r>
      <w:r w:rsidR="00EC02AA" w:rsidRPr="00EC02AA">
        <w:t>will not reach the majority of this group</w:t>
      </w:r>
      <w:r w:rsidR="008E4BD1">
        <w:t>, and</w:t>
      </w:r>
      <w:r w:rsidR="00062762">
        <w:t xml:space="preserve"> because of methodological limitations of the targeting process</w:t>
      </w:r>
      <w:r w:rsidR="008E4BD1">
        <w:t xml:space="preserve"> it will not fully cover the poorest 10%</w:t>
      </w:r>
      <w:r w:rsidR="00062762">
        <w:t>.</w:t>
      </w:r>
      <w:r w:rsidR="00062762">
        <w:rPr>
          <w:rStyle w:val="FootnoteReference"/>
        </w:rPr>
        <w:footnoteReference w:id="7"/>
      </w:r>
      <w:r w:rsidR="00EC02AA">
        <w:t xml:space="preserve"> </w:t>
      </w:r>
      <w:r w:rsidR="00062762">
        <w:t xml:space="preserve">Also vulnerability in Indonesia is high and many people </w:t>
      </w:r>
      <w:r w:rsidR="00EC02AA">
        <w:t xml:space="preserve">frequently </w:t>
      </w:r>
      <w:r>
        <w:t>fal</w:t>
      </w:r>
      <w:r w:rsidR="00EC02AA">
        <w:t>l</w:t>
      </w:r>
      <w:r>
        <w:t xml:space="preserve"> in to poverty through </w:t>
      </w:r>
      <w:proofErr w:type="spellStart"/>
      <w:r>
        <w:t>everyday</w:t>
      </w:r>
      <w:proofErr w:type="spellEnd"/>
      <w:r>
        <w:t xml:space="preserve"> or catastrophic shocks</w:t>
      </w:r>
      <w:r w:rsidR="00062762">
        <w:t>, and a static database cannot capture this dynamic movement</w:t>
      </w:r>
      <w:r>
        <w:t xml:space="preserve">. </w:t>
      </w:r>
      <w:r w:rsidR="00062762">
        <w:t>Targeting the poorest</w:t>
      </w:r>
      <w:r w:rsidR="00C60A69">
        <w:t xml:space="preserve"> also miss</w:t>
      </w:r>
      <w:r w:rsidR="00062762">
        <w:t>es</w:t>
      </w:r>
      <w:r w:rsidR="00C60A69">
        <w:t xml:space="preserve"> many affected by widespread stunting and poor nutrition</w:t>
      </w:r>
      <w:r w:rsidR="00062762">
        <w:t>, which cuts across income levels</w:t>
      </w:r>
      <w:r w:rsidR="00C60A69">
        <w:t>.</w:t>
      </w:r>
    </w:p>
    <w:p w14:paraId="0ABF5784" w14:textId="166B0E49" w:rsidR="00B17176" w:rsidRDefault="00B17176" w:rsidP="00C53F00">
      <w:pPr>
        <w:pStyle w:val="BodyText"/>
        <w:spacing w:before="120" w:after="120"/>
      </w:pPr>
      <w:r>
        <w:t xml:space="preserve">GOI’s long-term strategy is </w:t>
      </w:r>
      <w:r w:rsidR="001C1636">
        <w:t xml:space="preserve">to </w:t>
      </w:r>
      <w:r>
        <w:t xml:space="preserve">provide protection for all Indonesians, but coverage for key vulnerable groups—e.g. elderly poor, PwDs, the working poor and unemployed—is inadequate or missing. GOI’s strategy is to cover these groups by expanding poverty programs and through participation in the new </w:t>
      </w:r>
      <w:r w:rsidR="0098637F">
        <w:t>social security</w:t>
      </w:r>
      <w:r>
        <w:t xml:space="preserve"> programs. However this creates a problem of a “missing middle</w:t>
      </w:r>
      <w:r w:rsidR="00800AC5">
        <w:t>”</w:t>
      </w:r>
      <w:r w:rsidR="008460F4">
        <w:t>. T</w:t>
      </w:r>
      <w:r>
        <w:t xml:space="preserve">he very poor are covered by GOI assistance, and those in formal sector or salaried jobs will benefit from </w:t>
      </w:r>
      <w:r w:rsidR="0098637F">
        <w:t>social security</w:t>
      </w:r>
      <w:r>
        <w:t>. The vast majority in the middle</w:t>
      </w:r>
      <w:r w:rsidR="008460F4">
        <w:t xml:space="preserve"> </w:t>
      </w:r>
      <w:r>
        <w:t>—</w:t>
      </w:r>
      <w:r w:rsidR="008460F4">
        <w:t xml:space="preserve"> </w:t>
      </w:r>
      <w:r>
        <w:t xml:space="preserve">the vulnerable and </w:t>
      </w:r>
      <w:r w:rsidR="001D061D">
        <w:t>emerging consumer class</w:t>
      </w:r>
      <w:r>
        <w:t xml:space="preserve"> who don’t qualify for social assistance, and find it too difficult to contribute to </w:t>
      </w:r>
      <w:r w:rsidR="0098637F">
        <w:t>social security</w:t>
      </w:r>
      <w:r w:rsidR="008460F4">
        <w:t xml:space="preserve"> –</w:t>
      </w:r>
      <w:r>
        <w:t xml:space="preserve"> will be left out.</w:t>
      </w:r>
    </w:p>
    <w:p w14:paraId="698D10A8" w14:textId="315E237A" w:rsidR="00704024" w:rsidRDefault="00704024" w:rsidP="00C53F00">
      <w:pPr>
        <w:pStyle w:val="BodyText"/>
        <w:spacing w:before="120" w:after="120"/>
      </w:pPr>
      <w:r>
        <w:t xml:space="preserve">MAHKOTA </w:t>
      </w:r>
      <w:r w:rsidR="008460F4">
        <w:t>will</w:t>
      </w:r>
      <w:r w:rsidR="00800AC5">
        <w:t xml:space="preserve"> </w:t>
      </w:r>
      <w:r>
        <w:t xml:space="preserve">tackle </w:t>
      </w:r>
      <w:r w:rsidR="00AD01A7">
        <w:t>these</w:t>
      </w:r>
      <w:r>
        <w:t xml:space="preserve"> key challenges</w:t>
      </w:r>
      <w:r w:rsidR="00AD01A7">
        <w:t xml:space="preserve"> as well as some of the</w:t>
      </w:r>
      <w:r w:rsidR="005F6B9B">
        <w:t xml:space="preserve"> institutional and</w:t>
      </w:r>
      <w:r w:rsidR="00AD01A7">
        <w:t xml:space="preserve"> labour market constraints</w:t>
      </w:r>
      <w:r>
        <w:t xml:space="preserve"> that hinder economic growth and </w:t>
      </w:r>
      <w:r w:rsidR="00AD01A7">
        <w:t>can lead to</w:t>
      </w:r>
      <w:r>
        <w:t xml:space="preserve"> greater instability</w:t>
      </w:r>
      <w:r w:rsidR="006875C6">
        <w:t xml:space="preserve">. </w:t>
      </w:r>
      <w:r>
        <w:t>It will help Indonesia stren</w:t>
      </w:r>
      <w:r w:rsidRPr="000264D7">
        <w:t>gthen and</w:t>
      </w:r>
      <w:r w:rsidR="00CF38AB">
        <w:t xml:space="preserve"> expand</w:t>
      </w:r>
      <w:r w:rsidRPr="000264D7">
        <w:t xml:space="preserve"> social assistance</w:t>
      </w:r>
      <w:r w:rsidR="00133958">
        <w:t>, continuing the series of reforms begun under TNP2K</w:t>
      </w:r>
      <w:r w:rsidR="00CF38AB">
        <w:t>;</w:t>
      </w:r>
      <w:r w:rsidRPr="000264D7">
        <w:t xml:space="preserve"> </w:t>
      </w:r>
      <w:r w:rsidR="00CF38AB">
        <w:t xml:space="preserve">align it with </w:t>
      </w:r>
      <w:r w:rsidR="0098637F">
        <w:t>social security</w:t>
      </w:r>
      <w:r w:rsidRPr="000264D7">
        <w:t xml:space="preserve"> programs</w:t>
      </w:r>
      <w:r w:rsidR="00CF38AB">
        <w:t>;</w:t>
      </w:r>
      <w:r>
        <w:t xml:space="preserve"> and develop policies that address </w:t>
      </w:r>
      <w:r w:rsidR="00AD01A7">
        <w:t xml:space="preserve">both </w:t>
      </w:r>
      <w:r>
        <w:t>the needs of the</w:t>
      </w:r>
      <w:r w:rsidR="00AD01A7">
        <w:t xml:space="preserve"> extreme poor and the </w:t>
      </w:r>
      <w:r w:rsidR="00543240">
        <w:t xml:space="preserve">emerging </w:t>
      </w:r>
      <w:r w:rsidR="00CF38AB">
        <w:t>but vulnerable consumer class</w:t>
      </w:r>
      <w:r>
        <w:t>. It responds to a clear demand by GOI (</w:t>
      </w:r>
      <w:r w:rsidR="005475A6">
        <w:t>from the</w:t>
      </w:r>
      <w:r>
        <w:t xml:space="preserve"> Ministry of Finance, </w:t>
      </w:r>
      <w:r w:rsidR="00165EAD">
        <w:t>the National Social Security Agency</w:t>
      </w:r>
      <w:r w:rsidR="00646FEB">
        <w:t xml:space="preserve"> (DJSN)</w:t>
      </w:r>
      <w:r>
        <w:t xml:space="preserve"> and Bappenas) to support implementation </w:t>
      </w:r>
      <w:r w:rsidR="008536F1">
        <w:t xml:space="preserve">and rollout </w:t>
      </w:r>
      <w:r>
        <w:t xml:space="preserve">of BPJS Employment, a high-profile, major national initiative with important implications for several critical areas of the economy, operating under an extremely ambitious timeframe. GOI has also requested assistance to develop policy capacity for employment insurance, an area in which Australia has </w:t>
      </w:r>
      <w:r w:rsidR="00612B72">
        <w:t xml:space="preserve">a </w:t>
      </w:r>
      <w:r>
        <w:t>comparative strength.</w:t>
      </w:r>
    </w:p>
    <w:p w14:paraId="63C4F597" w14:textId="0423A0CD" w:rsidR="00B17176" w:rsidRDefault="00B17176" w:rsidP="00C53F00">
      <w:pPr>
        <w:pStyle w:val="BodyText"/>
        <w:spacing w:before="120" w:after="120"/>
      </w:pPr>
      <w:r w:rsidRPr="00B17176">
        <w:t xml:space="preserve">This is part of a long-term strategy of support that </w:t>
      </w:r>
      <w:r w:rsidR="008460F4">
        <w:t>will</w:t>
      </w:r>
      <w:r w:rsidR="00800AC5" w:rsidRPr="00B17176">
        <w:t xml:space="preserve"> </w:t>
      </w:r>
      <w:r w:rsidRPr="00B17176">
        <w:t>achieve some results in the short to medium term—primarily around continued improvements to social assistance programs and better operations for BPJS</w:t>
      </w:r>
      <w:r w:rsidR="008460F4">
        <w:t xml:space="preserve"> Employment and</w:t>
      </w:r>
      <w:r w:rsidRPr="00B17176">
        <w:t xml:space="preserve"> DJSN—and some results in the longer term, e.g. employment insurance policy. Because of </w:t>
      </w:r>
      <w:r w:rsidR="0098637F">
        <w:t>social security</w:t>
      </w:r>
      <w:r w:rsidRPr="00B17176">
        <w:t xml:space="preserve">’s wide coverage and critical positioning in the labour market, improvements here can be </w:t>
      </w:r>
      <w:r w:rsidR="008460F4">
        <w:t>transformat</w:t>
      </w:r>
      <w:r w:rsidR="00522B4C">
        <w:t>ional</w:t>
      </w:r>
      <w:r w:rsidRPr="00B17176">
        <w:t xml:space="preserve"> for the Indonesian economy. Of course these need to be complemented by addressing the other major constraints to Indonesia’s poor job growth, including a poorly skilled workforce; low infrastructure spending and poor connectivity; and counterproductive trade and investment policies. </w:t>
      </w:r>
      <w:r w:rsidR="00522B4C">
        <w:t>MAHKOTA</w:t>
      </w:r>
      <w:r w:rsidRPr="00B17176">
        <w:t xml:space="preserve"> will </w:t>
      </w:r>
      <w:r w:rsidR="00522B4C">
        <w:t>continue the provision of</w:t>
      </w:r>
      <w:r w:rsidRPr="00B17176">
        <w:t xml:space="preserve"> policy support </w:t>
      </w:r>
      <w:r w:rsidR="00522B4C">
        <w:t>to cover</w:t>
      </w:r>
      <w:r w:rsidRPr="00B17176">
        <w:t xml:space="preserve"> those left out of </w:t>
      </w:r>
      <w:r w:rsidR="0098637F">
        <w:t>social security</w:t>
      </w:r>
      <w:r w:rsidRPr="00B17176">
        <w:t>.</w:t>
      </w:r>
    </w:p>
    <w:p w14:paraId="160E85AA" w14:textId="77777777" w:rsidR="00CA2DAD" w:rsidRDefault="00B35D0B" w:rsidP="00C53F00">
      <w:pPr>
        <w:pStyle w:val="Heading2"/>
        <w:spacing w:before="0" w:after="120"/>
      </w:pPr>
      <w:r>
        <w:t>Investment logic</w:t>
      </w:r>
    </w:p>
    <w:p w14:paraId="462A7C23" w14:textId="77777777" w:rsidR="00CA2DAD" w:rsidRDefault="00CA2DAD" w:rsidP="00E73F06">
      <w:pPr>
        <w:pStyle w:val="Heading3Jo"/>
        <w:spacing w:before="0"/>
      </w:pPr>
      <w:r>
        <w:t>Overview</w:t>
      </w:r>
    </w:p>
    <w:p w14:paraId="66E91916" w14:textId="34E83F0B" w:rsidR="006F6015" w:rsidRPr="00807559" w:rsidRDefault="00300463" w:rsidP="004E4163">
      <w:pPr>
        <w:spacing w:after="120" w:line="240" w:lineRule="auto"/>
        <w:jc w:val="both"/>
        <w:rPr>
          <w:rFonts w:asciiTheme="minorHAnsi" w:hAnsiTheme="minorHAnsi"/>
          <w:i/>
        </w:rPr>
      </w:pPr>
      <w:bookmarkStart w:id="1" w:name="_Ref388741370"/>
      <w:bookmarkStart w:id="2" w:name="_Toc389655026"/>
      <w:r w:rsidRPr="004E4163">
        <w:rPr>
          <w:rFonts w:eastAsiaTheme="minorEastAsia"/>
          <w:lang w:val="en-GB"/>
        </w:rPr>
        <w:t>In line with GOI’s long-term strategy, t</w:t>
      </w:r>
      <w:r w:rsidR="006F6015" w:rsidRPr="004E4163">
        <w:rPr>
          <w:rFonts w:eastAsiaTheme="minorEastAsia"/>
          <w:lang w:val="en-GB"/>
        </w:rPr>
        <w:t xml:space="preserve">he program </w:t>
      </w:r>
      <w:r w:rsidR="00522B4C" w:rsidRPr="004E4163">
        <w:rPr>
          <w:rFonts w:eastAsiaTheme="minorEastAsia"/>
          <w:lang w:val="en-GB"/>
        </w:rPr>
        <w:t>g</w:t>
      </w:r>
      <w:r w:rsidR="006F6015" w:rsidRPr="004E4163">
        <w:rPr>
          <w:rFonts w:eastAsiaTheme="minorEastAsia"/>
          <w:lang w:val="en-GB"/>
        </w:rPr>
        <w:t>oal for MAHKOTA is “</w:t>
      </w:r>
      <w:r w:rsidR="00135E97" w:rsidRPr="004E4163">
        <w:rPr>
          <w:rFonts w:eastAsiaTheme="minorEastAsia"/>
          <w:lang w:val="en-GB"/>
        </w:rPr>
        <w:t>Contribute to a</w:t>
      </w:r>
      <w:r w:rsidR="006F6015" w:rsidRPr="004E4163">
        <w:rPr>
          <w:rFonts w:eastAsiaTheme="minorEastAsia"/>
          <w:lang w:val="en-GB"/>
        </w:rPr>
        <w:t xml:space="preserve"> comprehensive and equitable social protection system</w:t>
      </w:r>
      <w:r w:rsidR="00237A19" w:rsidRPr="00EA4312">
        <w:rPr>
          <w:rFonts w:eastAsiaTheme="minorEastAsia"/>
          <w:vertAlign w:val="superscript"/>
          <w:lang w:val="en-GB"/>
        </w:rPr>
        <w:footnoteReference w:id="8"/>
      </w:r>
      <w:r w:rsidR="006F6015" w:rsidRPr="004E4163">
        <w:rPr>
          <w:rFonts w:eastAsiaTheme="minorEastAsia"/>
          <w:lang w:val="en-GB"/>
        </w:rPr>
        <w:t xml:space="preserve"> for the whole of Indonesia</w:t>
      </w:r>
      <w:r w:rsidR="00135E97" w:rsidRPr="004E4163">
        <w:rPr>
          <w:rFonts w:eastAsiaTheme="minorEastAsia"/>
          <w:lang w:val="en-GB"/>
        </w:rPr>
        <w:t xml:space="preserve"> by 2025</w:t>
      </w:r>
      <w:r w:rsidR="006F6015" w:rsidRPr="004E4163">
        <w:rPr>
          <w:rFonts w:eastAsiaTheme="minorEastAsia"/>
          <w:lang w:val="en-GB"/>
        </w:rPr>
        <w:t xml:space="preserve">.” If this </w:t>
      </w:r>
      <w:r w:rsidR="00DD0BCF">
        <w:rPr>
          <w:rFonts w:eastAsiaTheme="minorEastAsia"/>
          <w:lang w:val="en-GB"/>
        </w:rPr>
        <w:t>i</w:t>
      </w:r>
      <w:r w:rsidR="00522B4C" w:rsidRPr="004E4163">
        <w:rPr>
          <w:rFonts w:eastAsiaTheme="minorEastAsia"/>
          <w:lang w:val="en-GB"/>
        </w:rPr>
        <w:t>s</w:t>
      </w:r>
      <w:r w:rsidR="006F6015" w:rsidRPr="004E4163">
        <w:rPr>
          <w:rFonts w:eastAsiaTheme="minorEastAsia"/>
          <w:lang w:val="en-GB"/>
        </w:rPr>
        <w:t xml:space="preserve"> achieved–although not by MAHKOTA alone–it will </w:t>
      </w:r>
      <w:r w:rsidR="00135E97" w:rsidRPr="004E4163">
        <w:rPr>
          <w:rFonts w:eastAsiaTheme="minorEastAsia"/>
          <w:lang w:val="en-GB"/>
        </w:rPr>
        <w:t>support</w:t>
      </w:r>
      <w:r w:rsidR="006F6015" w:rsidRPr="004E4163">
        <w:rPr>
          <w:rFonts w:eastAsiaTheme="minorEastAsia"/>
          <w:lang w:val="en-GB"/>
        </w:rPr>
        <w:t xml:space="preserve"> </w:t>
      </w:r>
      <w:r w:rsidR="00522B4C" w:rsidRPr="004E4163">
        <w:rPr>
          <w:rFonts w:eastAsiaTheme="minorEastAsia"/>
          <w:lang w:val="en-GB"/>
        </w:rPr>
        <w:t>the</w:t>
      </w:r>
      <w:r w:rsidR="00B20E00" w:rsidRPr="004E4163">
        <w:rPr>
          <w:rFonts w:eastAsiaTheme="minorEastAsia"/>
          <w:lang w:val="en-GB"/>
        </w:rPr>
        <w:t xml:space="preserve"> </w:t>
      </w:r>
      <w:r w:rsidR="006F6015" w:rsidRPr="004E4163">
        <w:rPr>
          <w:rFonts w:eastAsiaTheme="minorEastAsia"/>
          <w:lang w:val="en-GB"/>
        </w:rPr>
        <w:t>higher-level development goal of: “</w:t>
      </w:r>
      <w:r w:rsidR="006F6015" w:rsidRPr="00623434">
        <w:rPr>
          <w:rFonts w:eastAsiaTheme="minorEastAsia"/>
          <w:i/>
          <w:lang w:val="en-GB"/>
        </w:rPr>
        <w:t>All</w:t>
      </w:r>
      <w:r w:rsidR="006F6015" w:rsidRPr="009547BD">
        <w:rPr>
          <w:rFonts w:asciiTheme="minorHAnsi" w:hAnsiTheme="minorHAnsi"/>
          <w:i/>
        </w:rPr>
        <w:t xml:space="preserve"> people are able to withstand economic, political and environmental shocks and</w:t>
      </w:r>
      <w:r w:rsidR="005D62BE" w:rsidRPr="009547BD">
        <w:rPr>
          <w:rFonts w:asciiTheme="minorHAnsi" w:hAnsiTheme="minorHAnsi"/>
          <w:i/>
        </w:rPr>
        <w:t xml:space="preserve"> stresses</w:t>
      </w:r>
      <w:r w:rsidR="006F6015" w:rsidRPr="009547BD">
        <w:rPr>
          <w:rFonts w:asciiTheme="minorHAnsi" w:hAnsiTheme="minorHAnsi"/>
          <w:i/>
        </w:rPr>
        <w:t>.”</w:t>
      </w:r>
    </w:p>
    <w:p w14:paraId="1774610C" w14:textId="321B490A" w:rsidR="006F6015" w:rsidRPr="00807559" w:rsidRDefault="006F6015" w:rsidP="004E4163">
      <w:pPr>
        <w:spacing w:before="120" w:after="120" w:line="240" w:lineRule="auto"/>
        <w:jc w:val="both"/>
        <w:rPr>
          <w:rFonts w:asciiTheme="minorHAnsi" w:hAnsiTheme="minorHAnsi"/>
        </w:rPr>
      </w:pPr>
      <w:r w:rsidRPr="004E4163">
        <w:rPr>
          <w:rFonts w:eastAsiaTheme="minorEastAsia"/>
          <w:lang w:val="en-GB"/>
        </w:rPr>
        <w:t>This, in turn, will contribute to</w:t>
      </w:r>
      <w:r w:rsidR="00F517C5" w:rsidRPr="004E4163">
        <w:rPr>
          <w:rFonts w:eastAsiaTheme="minorEastAsia"/>
          <w:lang w:val="en-GB"/>
        </w:rPr>
        <w:t xml:space="preserve"> the </w:t>
      </w:r>
      <w:r w:rsidR="00522B4C" w:rsidRPr="004E4163">
        <w:rPr>
          <w:rFonts w:eastAsiaTheme="minorEastAsia"/>
          <w:lang w:val="en-GB"/>
        </w:rPr>
        <w:t xml:space="preserve">Australian </w:t>
      </w:r>
      <w:r w:rsidR="00F517C5" w:rsidRPr="004E4163">
        <w:rPr>
          <w:rFonts w:eastAsiaTheme="minorEastAsia"/>
          <w:lang w:val="en-GB"/>
        </w:rPr>
        <w:t>aid program’s overall purpose of</w:t>
      </w:r>
      <w:r w:rsidRPr="004E4163">
        <w:rPr>
          <w:rFonts w:eastAsiaTheme="minorEastAsia"/>
          <w:lang w:val="en-GB"/>
        </w:rPr>
        <w:t xml:space="preserve"> “</w:t>
      </w:r>
      <w:r w:rsidR="00B20E00" w:rsidRPr="004E4163">
        <w:rPr>
          <w:rFonts w:eastAsiaTheme="minorEastAsia"/>
          <w:lang w:val="en-GB"/>
        </w:rPr>
        <w:t>Promoting Australia’s national interests by contributing to s</w:t>
      </w:r>
      <w:r w:rsidR="005D62BE" w:rsidRPr="004E4163">
        <w:rPr>
          <w:rFonts w:eastAsiaTheme="minorEastAsia"/>
          <w:lang w:val="en-GB"/>
        </w:rPr>
        <w:t>ustainable economic growth and poverty reduction</w:t>
      </w:r>
      <w:r w:rsidRPr="00807559">
        <w:rPr>
          <w:rFonts w:asciiTheme="minorHAnsi" w:hAnsiTheme="minorHAnsi"/>
          <w:i/>
        </w:rPr>
        <w:t>.”</w:t>
      </w:r>
      <w:r w:rsidR="00F517C5" w:rsidRPr="00F03607">
        <w:rPr>
          <w:rStyle w:val="FootnoteReference"/>
          <w:rFonts w:asciiTheme="minorHAnsi" w:hAnsiTheme="minorHAnsi"/>
        </w:rPr>
        <w:footnoteReference w:id="9"/>
      </w:r>
    </w:p>
    <w:p w14:paraId="66BBCD18" w14:textId="2D98163D" w:rsidR="006F6015" w:rsidRPr="00807559" w:rsidRDefault="006F6015" w:rsidP="004E4163">
      <w:pPr>
        <w:spacing w:after="0" w:line="240" w:lineRule="auto"/>
        <w:jc w:val="both"/>
        <w:rPr>
          <w:rFonts w:asciiTheme="minorHAnsi" w:hAnsiTheme="minorHAnsi"/>
        </w:rPr>
      </w:pPr>
      <w:r>
        <w:rPr>
          <w:rFonts w:asciiTheme="minorHAnsi" w:hAnsiTheme="minorHAnsi"/>
        </w:rPr>
        <w:t>G</w:t>
      </w:r>
      <w:r w:rsidRPr="00807559">
        <w:rPr>
          <w:rFonts w:asciiTheme="minorHAnsi" w:hAnsiTheme="minorHAnsi"/>
        </w:rPr>
        <w:t xml:space="preserve">iven the </w:t>
      </w:r>
      <w:r w:rsidR="007E5590">
        <w:rPr>
          <w:rFonts w:asciiTheme="minorHAnsi" w:hAnsiTheme="minorHAnsi"/>
        </w:rPr>
        <w:t>evolving</w:t>
      </w:r>
      <w:r w:rsidRPr="00807559">
        <w:rPr>
          <w:rFonts w:asciiTheme="minorHAnsi" w:hAnsiTheme="minorHAnsi"/>
        </w:rPr>
        <w:t xml:space="preserve"> nature of Indonesia’s social protection system</w:t>
      </w:r>
      <w:r w:rsidR="00135E97">
        <w:rPr>
          <w:rFonts w:asciiTheme="minorHAnsi" w:hAnsiTheme="minorHAnsi"/>
        </w:rPr>
        <w:t xml:space="preserve"> and DFAT’s limited investment</w:t>
      </w:r>
      <w:r w:rsidRPr="00807559">
        <w:rPr>
          <w:rFonts w:asciiTheme="minorHAnsi" w:hAnsiTheme="minorHAnsi"/>
        </w:rPr>
        <w:t>,</w:t>
      </w:r>
      <w:r w:rsidR="00BC1544">
        <w:rPr>
          <w:rFonts w:asciiTheme="minorHAnsi" w:hAnsiTheme="minorHAnsi"/>
        </w:rPr>
        <w:t xml:space="preserve"> by 2019</w:t>
      </w:r>
      <w:r w:rsidRPr="00807559">
        <w:rPr>
          <w:rFonts w:asciiTheme="minorHAnsi" w:hAnsiTheme="minorHAnsi"/>
        </w:rPr>
        <w:t xml:space="preserve"> </w:t>
      </w:r>
      <w:r w:rsidR="00881F1B" w:rsidRPr="00807559">
        <w:rPr>
          <w:rFonts w:asciiTheme="minorHAnsi" w:hAnsiTheme="minorHAnsi"/>
        </w:rPr>
        <w:t>MAHKOTA</w:t>
      </w:r>
      <w:r w:rsidR="00BC1544">
        <w:rPr>
          <w:rFonts w:asciiTheme="minorHAnsi" w:hAnsiTheme="minorHAnsi"/>
        </w:rPr>
        <w:t xml:space="preserve"> will have </w:t>
      </w:r>
      <w:r w:rsidR="00E01D5A">
        <w:rPr>
          <w:rFonts w:asciiTheme="minorHAnsi" w:hAnsiTheme="minorHAnsi"/>
        </w:rPr>
        <w:t>help</w:t>
      </w:r>
      <w:r w:rsidR="00BC1544">
        <w:rPr>
          <w:rFonts w:asciiTheme="minorHAnsi" w:hAnsiTheme="minorHAnsi"/>
        </w:rPr>
        <w:t>ed to</w:t>
      </w:r>
      <w:r w:rsidR="00E01D5A">
        <w:rPr>
          <w:rFonts w:asciiTheme="minorHAnsi" w:hAnsiTheme="minorHAnsi"/>
        </w:rPr>
        <w:t xml:space="preserve"> lay the groundwork for an eventual national social protection system through better policies with measurable improvements in welfare and coverage</w:t>
      </w:r>
      <w:r w:rsidR="00BC1544" w:rsidRPr="00BC1544">
        <w:rPr>
          <w:rFonts w:asciiTheme="minorHAnsi" w:hAnsiTheme="minorHAnsi"/>
        </w:rPr>
        <w:t xml:space="preserve"> </w:t>
      </w:r>
      <w:r w:rsidR="00BC1544">
        <w:rPr>
          <w:rFonts w:asciiTheme="minorHAnsi" w:hAnsiTheme="minorHAnsi"/>
        </w:rPr>
        <w:t xml:space="preserve">through </w:t>
      </w:r>
      <w:r w:rsidR="00BC1544" w:rsidRPr="00807559">
        <w:rPr>
          <w:rFonts w:asciiTheme="minorHAnsi" w:hAnsiTheme="minorHAnsi"/>
        </w:rPr>
        <w:t>three overlapping outcomes</w:t>
      </w:r>
      <w:r w:rsidRPr="00807559">
        <w:rPr>
          <w:rFonts w:asciiTheme="minorHAnsi" w:hAnsiTheme="minorHAnsi"/>
        </w:rPr>
        <w:t>:</w:t>
      </w:r>
    </w:p>
    <w:p w14:paraId="4DB7F35A" w14:textId="351A7586" w:rsidR="006F6015" w:rsidRPr="00807559" w:rsidRDefault="006F6015" w:rsidP="006F6015">
      <w:pPr>
        <w:numPr>
          <w:ilvl w:val="0"/>
          <w:numId w:val="26"/>
        </w:numPr>
        <w:spacing w:after="0" w:line="240" w:lineRule="auto"/>
        <w:jc w:val="both"/>
        <w:rPr>
          <w:rFonts w:asciiTheme="minorHAnsi" w:hAnsiTheme="minorHAnsi"/>
        </w:rPr>
      </w:pPr>
      <w:r w:rsidRPr="00807559">
        <w:rPr>
          <w:rFonts w:asciiTheme="minorHAnsi" w:hAnsiTheme="minorHAnsi"/>
          <w:b/>
        </w:rPr>
        <w:t xml:space="preserve">Outcome 1: </w:t>
      </w:r>
      <w:r w:rsidRPr="00807559">
        <w:rPr>
          <w:rFonts w:asciiTheme="minorHAnsi" w:hAnsiTheme="minorHAnsi"/>
          <w:i/>
        </w:rPr>
        <w:t>Quality of the national social protection system is improved</w:t>
      </w:r>
      <w:r w:rsidR="00FC2216">
        <w:rPr>
          <w:rFonts w:asciiTheme="minorHAnsi" w:hAnsiTheme="minorHAnsi"/>
          <w:i/>
        </w:rPr>
        <w:t>;</w:t>
      </w:r>
    </w:p>
    <w:p w14:paraId="24FF912C" w14:textId="004A82C2" w:rsidR="006F6015" w:rsidRPr="00807559" w:rsidRDefault="006F6015" w:rsidP="006F6015">
      <w:pPr>
        <w:numPr>
          <w:ilvl w:val="0"/>
          <w:numId w:val="26"/>
        </w:numPr>
        <w:spacing w:after="0" w:line="240" w:lineRule="auto"/>
        <w:jc w:val="both"/>
        <w:rPr>
          <w:rFonts w:asciiTheme="minorHAnsi" w:hAnsiTheme="minorHAnsi"/>
        </w:rPr>
      </w:pPr>
      <w:r w:rsidRPr="00807559">
        <w:rPr>
          <w:rFonts w:asciiTheme="minorHAnsi" w:hAnsiTheme="minorHAnsi"/>
          <w:b/>
        </w:rPr>
        <w:t>Outcome 2:</w:t>
      </w:r>
      <w:r w:rsidRPr="00807559">
        <w:rPr>
          <w:rFonts w:asciiTheme="minorHAnsi" w:hAnsiTheme="minorHAnsi"/>
        </w:rPr>
        <w:t xml:space="preserve"> </w:t>
      </w:r>
      <w:r w:rsidRPr="00807559">
        <w:rPr>
          <w:rFonts w:asciiTheme="minorHAnsi" w:hAnsiTheme="minorHAnsi"/>
          <w:i/>
        </w:rPr>
        <w:t xml:space="preserve">More comprehensive and joined up social protection </w:t>
      </w:r>
      <w:r w:rsidR="00522B4C">
        <w:rPr>
          <w:rFonts w:asciiTheme="minorHAnsi" w:hAnsiTheme="minorHAnsi"/>
          <w:i/>
        </w:rPr>
        <w:t>and</w:t>
      </w:r>
      <w:r w:rsidR="00146DB9">
        <w:rPr>
          <w:rFonts w:asciiTheme="minorHAnsi" w:hAnsiTheme="minorHAnsi"/>
          <w:i/>
        </w:rPr>
        <w:t xml:space="preserve"> labour market policy </w:t>
      </w:r>
      <w:r w:rsidRPr="00807559">
        <w:rPr>
          <w:rFonts w:asciiTheme="minorHAnsi" w:hAnsiTheme="minorHAnsi"/>
          <w:i/>
        </w:rPr>
        <w:t>is delivered;</w:t>
      </w:r>
      <w:r w:rsidR="00FC2216">
        <w:rPr>
          <w:rFonts w:asciiTheme="minorHAnsi" w:hAnsiTheme="minorHAnsi"/>
          <w:i/>
        </w:rPr>
        <w:t xml:space="preserve"> and</w:t>
      </w:r>
    </w:p>
    <w:p w14:paraId="7B7117C7" w14:textId="3E9A00B8" w:rsidR="006F6015" w:rsidRPr="00807559" w:rsidRDefault="006F6015" w:rsidP="00C53F00">
      <w:pPr>
        <w:numPr>
          <w:ilvl w:val="0"/>
          <w:numId w:val="26"/>
        </w:numPr>
        <w:spacing w:after="120" w:line="240" w:lineRule="auto"/>
        <w:jc w:val="both"/>
        <w:rPr>
          <w:rFonts w:asciiTheme="minorHAnsi" w:hAnsiTheme="minorHAnsi"/>
        </w:rPr>
      </w:pPr>
      <w:r w:rsidRPr="00807559">
        <w:rPr>
          <w:rFonts w:asciiTheme="minorHAnsi" w:hAnsiTheme="minorHAnsi"/>
          <w:b/>
        </w:rPr>
        <w:t>Outcome 3:</w:t>
      </w:r>
      <w:r w:rsidRPr="00807559">
        <w:rPr>
          <w:rFonts w:asciiTheme="minorHAnsi" w:hAnsiTheme="minorHAnsi"/>
        </w:rPr>
        <w:t xml:space="preserve"> </w:t>
      </w:r>
      <w:r w:rsidRPr="00807559">
        <w:rPr>
          <w:rFonts w:asciiTheme="minorHAnsi" w:hAnsiTheme="minorHAnsi"/>
          <w:i/>
        </w:rPr>
        <w:t>Synergies with wider social and economic policy and planning are enhanced</w:t>
      </w:r>
      <w:r w:rsidR="00FC2216">
        <w:rPr>
          <w:rFonts w:asciiTheme="minorHAnsi" w:hAnsiTheme="minorHAnsi"/>
          <w:i/>
        </w:rPr>
        <w:t>.</w:t>
      </w:r>
    </w:p>
    <w:p w14:paraId="3CAA227B" w14:textId="67F07B7C" w:rsidR="006F6015" w:rsidRPr="0077193C" w:rsidRDefault="006F6015" w:rsidP="006F6015">
      <w:pPr>
        <w:pStyle w:val="BodyText"/>
        <w:spacing w:before="0" w:after="0"/>
        <w:rPr>
          <w:rFonts w:asciiTheme="minorHAnsi" w:hAnsiTheme="minorHAnsi"/>
        </w:rPr>
      </w:pPr>
      <w:r>
        <w:rPr>
          <w:rFonts w:asciiTheme="minorHAnsi" w:hAnsiTheme="minorHAnsi"/>
        </w:rPr>
        <w:t xml:space="preserve">MAHKOTA </w:t>
      </w:r>
      <w:r w:rsidR="00522B4C">
        <w:rPr>
          <w:rFonts w:asciiTheme="minorHAnsi" w:hAnsiTheme="minorHAnsi"/>
        </w:rPr>
        <w:t>could</w:t>
      </w:r>
      <w:r w:rsidR="004523FF">
        <w:rPr>
          <w:rFonts w:asciiTheme="minorHAnsi" w:hAnsiTheme="minorHAnsi"/>
        </w:rPr>
        <w:t xml:space="preserve"> </w:t>
      </w:r>
      <w:r>
        <w:rPr>
          <w:rFonts w:asciiTheme="minorHAnsi" w:hAnsiTheme="minorHAnsi"/>
        </w:rPr>
        <w:t>achieve these outcomes through</w:t>
      </w:r>
      <w:r w:rsidRPr="0077193C">
        <w:rPr>
          <w:rFonts w:asciiTheme="minorHAnsi" w:hAnsiTheme="minorHAnsi"/>
        </w:rPr>
        <w:t xml:space="preserve"> </w:t>
      </w:r>
      <w:r>
        <w:rPr>
          <w:rFonts w:asciiTheme="minorHAnsi" w:hAnsiTheme="minorHAnsi"/>
        </w:rPr>
        <w:t>support for the following</w:t>
      </w:r>
      <w:r w:rsidRPr="0077193C">
        <w:rPr>
          <w:rFonts w:asciiTheme="minorHAnsi" w:hAnsiTheme="minorHAnsi"/>
        </w:rPr>
        <w:t>:</w:t>
      </w:r>
    </w:p>
    <w:p w14:paraId="355B3AAA" w14:textId="08C6AB43" w:rsidR="006F6015" w:rsidRPr="00DF14AC" w:rsidRDefault="006F6015" w:rsidP="00DF14AC">
      <w:pPr>
        <w:pStyle w:val="ListBullet"/>
        <w:spacing w:before="0" w:after="0"/>
        <w:rPr>
          <w:rFonts w:asciiTheme="minorHAnsi" w:hAnsiTheme="minorHAnsi"/>
        </w:rPr>
      </w:pPr>
      <w:r w:rsidRPr="00DF14AC">
        <w:rPr>
          <w:rFonts w:asciiTheme="minorHAnsi" w:hAnsiTheme="minorHAnsi"/>
        </w:rPr>
        <w:t xml:space="preserve">Building on the experience and relationships established under PRSF, and guided by the priorities of the new government, continue </w:t>
      </w:r>
      <w:r w:rsidRPr="00D87A08">
        <w:rPr>
          <w:rFonts w:asciiTheme="minorHAnsi" w:hAnsiTheme="minorHAnsi"/>
        </w:rPr>
        <w:t>support for consolidati</w:t>
      </w:r>
      <w:r w:rsidRPr="00DF14AC">
        <w:rPr>
          <w:rFonts w:asciiTheme="minorHAnsi" w:hAnsiTheme="minorHAnsi"/>
        </w:rPr>
        <w:t>n</w:t>
      </w:r>
      <w:r w:rsidR="000A0CC7">
        <w:rPr>
          <w:rFonts w:asciiTheme="minorHAnsi" w:hAnsiTheme="minorHAnsi"/>
        </w:rPr>
        <w:t>g</w:t>
      </w:r>
      <w:r w:rsidRPr="00D87A08">
        <w:rPr>
          <w:rFonts w:asciiTheme="minorHAnsi" w:hAnsiTheme="minorHAnsi"/>
        </w:rPr>
        <w:t xml:space="preserve"> </w:t>
      </w:r>
      <w:r w:rsidRPr="00DF14AC">
        <w:rPr>
          <w:rFonts w:asciiTheme="minorHAnsi" w:hAnsiTheme="minorHAnsi"/>
        </w:rPr>
        <w:t>TNP2K’s progress with poverty targeted programs and evolution of the national targeting system</w:t>
      </w:r>
      <w:r w:rsidR="000A0CC7">
        <w:rPr>
          <w:rFonts w:asciiTheme="minorHAnsi" w:hAnsiTheme="minorHAnsi"/>
        </w:rPr>
        <w:t>;</w:t>
      </w:r>
      <w:r w:rsidR="00DF14AC" w:rsidRPr="00DF14AC">
        <w:rPr>
          <w:rFonts w:asciiTheme="minorHAnsi" w:hAnsiTheme="minorHAnsi"/>
        </w:rPr>
        <w:t xml:space="preserve"> and </w:t>
      </w:r>
      <w:r w:rsidR="00DF14AC">
        <w:rPr>
          <w:rFonts w:asciiTheme="minorHAnsi" w:hAnsiTheme="minorHAnsi"/>
        </w:rPr>
        <w:t>w</w:t>
      </w:r>
      <w:r w:rsidRPr="00DF14AC">
        <w:rPr>
          <w:rFonts w:asciiTheme="minorHAnsi" w:hAnsiTheme="minorHAnsi"/>
        </w:rPr>
        <w:t xml:space="preserve">ork with </w:t>
      </w:r>
      <w:r w:rsidR="00DF14AC">
        <w:rPr>
          <w:rFonts w:asciiTheme="minorHAnsi" w:hAnsiTheme="minorHAnsi"/>
        </w:rPr>
        <w:t xml:space="preserve">GOI ministries and agencies </w:t>
      </w:r>
      <w:r w:rsidRPr="00DF14AC">
        <w:rPr>
          <w:rFonts w:asciiTheme="minorHAnsi" w:hAnsiTheme="minorHAnsi"/>
        </w:rPr>
        <w:t>to provide technical assistance to develop and improve their</w:t>
      </w:r>
      <w:r w:rsidR="00DF14AC">
        <w:rPr>
          <w:rFonts w:asciiTheme="minorHAnsi" w:hAnsiTheme="minorHAnsi"/>
        </w:rPr>
        <w:t xml:space="preserve"> social protection</w:t>
      </w:r>
      <w:r w:rsidRPr="00DF14AC">
        <w:rPr>
          <w:rFonts w:asciiTheme="minorHAnsi" w:hAnsiTheme="minorHAnsi"/>
        </w:rPr>
        <w:t xml:space="preserve"> programs</w:t>
      </w:r>
      <w:r w:rsidR="00415BE1" w:rsidRPr="00DF14AC">
        <w:rPr>
          <w:rFonts w:asciiTheme="minorHAnsi" w:hAnsiTheme="minorHAnsi"/>
        </w:rPr>
        <w:t xml:space="preserve"> (</w:t>
      </w:r>
      <w:r w:rsidR="00415BE1" w:rsidRPr="00DF14AC">
        <w:rPr>
          <w:rFonts w:asciiTheme="minorHAnsi" w:hAnsiTheme="minorHAnsi"/>
          <w:b/>
        </w:rPr>
        <w:t xml:space="preserve">Output </w:t>
      </w:r>
      <w:r w:rsidR="00566993" w:rsidRPr="00DF14AC">
        <w:rPr>
          <w:rFonts w:asciiTheme="minorHAnsi" w:hAnsiTheme="minorHAnsi"/>
          <w:b/>
        </w:rPr>
        <w:t>1</w:t>
      </w:r>
      <w:r w:rsidR="00415BE1" w:rsidRPr="00DF14AC">
        <w:rPr>
          <w:rFonts w:asciiTheme="minorHAnsi" w:hAnsiTheme="minorHAnsi"/>
        </w:rPr>
        <w:t>)</w:t>
      </w:r>
      <w:r w:rsidRPr="00DF14AC">
        <w:rPr>
          <w:rFonts w:asciiTheme="minorHAnsi" w:hAnsiTheme="minorHAnsi"/>
        </w:rPr>
        <w:t xml:space="preserve">. </w:t>
      </w:r>
    </w:p>
    <w:p w14:paraId="07E64947" w14:textId="48A4F026" w:rsidR="006F6015" w:rsidRDefault="006F6015" w:rsidP="006F6015">
      <w:pPr>
        <w:pStyle w:val="ListBullet"/>
        <w:spacing w:before="0" w:after="0"/>
        <w:rPr>
          <w:rFonts w:asciiTheme="minorHAnsi" w:hAnsiTheme="minorHAnsi"/>
        </w:rPr>
      </w:pPr>
      <w:r w:rsidRPr="00B83D10">
        <w:rPr>
          <w:rFonts w:asciiTheme="minorHAnsi" w:hAnsiTheme="minorHAnsi"/>
        </w:rPr>
        <w:t xml:space="preserve">Support think tanks to improve </w:t>
      </w:r>
      <w:r>
        <w:rPr>
          <w:rFonts w:asciiTheme="minorHAnsi" w:hAnsiTheme="minorHAnsi"/>
        </w:rPr>
        <w:t>national</w:t>
      </w:r>
      <w:r w:rsidRPr="00B83D10">
        <w:rPr>
          <w:rFonts w:asciiTheme="minorHAnsi" w:hAnsiTheme="minorHAnsi"/>
        </w:rPr>
        <w:t xml:space="preserve"> capacity for social protectio</w:t>
      </w:r>
      <w:r>
        <w:rPr>
          <w:rFonts w:asciiTheme="minorHAnsi" w:hAnsiTheme="minorHAnsi"/>
        </w:rPr>
        <w:t xml:space="preserve">n </w:t>
      </w:r>
      <w:r w:rsidR="00A94186">
        <w:rPr>
          <w:rFonts w:asciiTheme="minorHAnsi" w:hAnsiTheme="minorHAnsi"/>
        </w:rPr>
        <w:t xml:space="preserve">and labour market </w:t>
      </w:r>
      <w:r>
        <w:rPr>
          <w:rFonts w:asciiTheme="minorHAnsi" w:hAnsiTheme="minorHAnsi"/>
        </w:rPr>
        <w:t>policy analysis and dialogue</w:t>
      </w:r>
      <w:r w:rsidR="00415BE1">
        <w:rPr>
          <w:rFonts w:asciiTheme="minorHAnsi" w:hAnsiTheme="minorHAnsi"/>
        </w:rPr>
        <w:t xml:space="preserve"> (</w:t>
      </w:r>
      <w:r w:rsidR="00415BE1" w:rsidRPr="00415BE1">
        <w:rPr>
          <w:rFonts w:asciiTheme="minorHAnsi" w:hAnsiTheme="minorHAnsi"/>
          <w:b/>
        </w:rPr>
        <w:t xml:space="preserve">Output </w:t>
      </w:r>
      <w:r w:rsidR="00DF14AC">
        <w:rPr>
          <w:rFonts w:asciiTheme="minorHAnsi" w:hAnsiTheme="minorHAnsi"/>
          <w:b/>
        </w:rPr>
        <w:t>2</w:t>
      </w:r>
      <w:r w:rsidR="00415BE1">
        <w:rPr>
          <w:rFonts w:asciiTheme="minorHAnsi" w:hAnsiTheme="minorHAnsi"/>
        </w:rPr>
        <w:t>)</w:t>
      </w:r>
      <w:r>
        <w:rPr>
          <w:rFonts w:asciiTheme="minorHAnsi" w:hAnsiTheme="minorHAnsi"/>
        </w:rPr>
        <w:t>.</w:t>
      </w:r>
    </w:p>
    <w:p w14:paraId="2895E124" w14:textId="3CB56B56" w:rsidR="00C30392" w:rsidRPr="00C30392" w:rsidRDefault="00C30392" w:rsidP="00A717D7">
      <w:pPr>
        <w:pStyle w:val="ListBullet"/>
        <w:spacing w:before="0"/>
        <w:rPr>
          <w:rFonts w:asciiTheme="minorHAnsi" w:hAnsiTheme="minorHAnsi"/>
        </w:rPr>
      </w:pPr>
      <w:r w:rsidRPr="00C30392">
        <w:rPr>
          <w:rFonts w:asciiTheme="minorHAnsi" w:hAnsiTheme="minorHAnsi"/>
        </w:rPr>
        <w:t xml:space="preserve">In close collaboration with the Australia-Indonesia Program for Decentralisation (AIPD) </w:t>
      </w:r>
      <w:r>
        <w:rPr>
          <w:rFonts w:asciiTheme="minorHAnsi" w:hAnsiTheme="minorHAnsi"/>
        </w:rPr>
        <w:t xml:space="preserve">support expansion of </w:t>
      </w:r>
      <w:r w:rsidRPr="00C30392">
        <w:rPr>
          <w:rFonts w:asciiTheme="minorHAnsi" w:hAnsiTheme="minorHAnsi"/>
        </w:rPr>
        <w:t xml:space="preserve">district-level mechanisms to integrate and coordinate social protection services and manage complaints, referrals, public awareness and information management. The current PRSF is developing a pilot </w:t>
      </w:r>
      <w:r w:rsidR="00522F06">
        <w:rPr>
          <w:rFonts w:asciiTheme="minorHAnsi" w:hAnsiTheme="minorHAnsi"/>
        </w:rPr>
        <w:t>for this with Bappenas</w:t>
      </w:r>
      <w:r w:rsidRPr="00C30392">
        <w:rPr>
          <w:rFonts w:asciiTheme="minorHAnsi" w:hAnsiTheme="minorHAnsi"/>
        </w:rPr>
        <w:t xml:space="preserve">. </w:t>
      </w:r>
      <w:r>
        <w:rPr>
          <w:rFonts w:asciiTheme="minorHAnsi" w:hAnsiTheme="minorHAnsi"/>
        </w:rPr>
        <w:t>This</w:t>
      </w:r>
      <w:r w:rsidRPr="00C30392">
        <w:rPr>
          <w:rFonts w:asciiTheme="minorHAnsi" w:hAnsiTheme="minorHAnsi"/>
        </w:rPr>
        <w:t xml:space="preserve"> will be the entr</w:t>
      </w:r>
      <w:r>
        <w:rPr>
          <w:rFonts w:asciiTheme="minorHAnsi" w:hAnsiTheme="minorHAnsi"/>
        </w:rPr>
        <w:t xml:space="preserve">y point for integrating DFAT’s </w:t>
      </w:r>
      <w:r w:rsidR="00B23995">
        <w:rPr>
          <w:rFonts w:asciiTheme="minorHAnsi" w:hAnsiTheme="minorHAnsi"/>
        </w:rPr>
        <w:t>Frontline</w:t>
      </w:r>
      <w:r w:rsidR="000D5DCE" w:rsidRPr="00C30392">
        <w:rPr>
          <w:rFonts w:asciiTheme="minorHAnsi" w:hAnsiTheme="minorHAnsi"/>
        </w:rPr>
        <w:t xml:space="preserve"> </w:t>
      </w:r>
      <w:r w:rsidRPr="00C30392">
        <w:rPr>
          <w:rFonts w:asciiTheme="minorHAnsi" w:hAnsiTheme="minorHAnsi"/>
        </w:rPr>
        <w:t xml:space="preserve">approach </w:t>
      </w:r>
      <w:r w:rsidR="00BA6FDF">
        <w:rPr>
          <w:rFonts w:asciiTheme="minorHAnsi" w:hAnsiTheme="minorHAnsi"/>
        </w:rPr>
        <w:t xml:space="preserve">and principles </w:t>
      </w:r>
      <w:r w:rsidRPr="00C30392">
        <w:rPr>
          <w:rFonts w:asciiTheme="minorHAnsi" w:hAnsiTheme="minorHAnsi"/>
        </w:rPr>
        <w:t>into MAHKOTA. Social protection cuts acros</w:t>
      </w:r>
      <w:r w:rsidR="00B23995">
        <w:rPr>
          <w:rFonts w:asciiTheme="minorHAnsi" w:hAnsiTheme="minorHAnsi"/>
        </w:rPr>
        <w:t>s all aspects of the F</w:t>
      </w:r>
      <w:r w:rsidRPr="00C30392">
        <w:rPr>
          <w:rFonts w:asciiTheme="minorHAnsi" w:hAnsiTheme="minorHAnsi"/>
        </w:rPr>
        <w:t xml:space="preserve">rontline </w:t>
      </w:r>
      <w:r w:rsidR="00225D48">
        <w:rPr>
          <w:rFonts w:asciiTheme="minorHAnsi" w:hAnsiTheme="minorHAnsi"/>
        </w:rPr>
        <w:t>approach</w:t>
      </w:r>
      <w:r w:rsidR="00225D48" w:rsidRPr="00C30392">
        <w:rPr>
          <w:rFonts w:asciiTheme="minorHAnsi" w:hAnsiTheme="minorHAnsi"/>
        </w:rPr>
        <w:t xml:space="preserve"> </w:t>
      </w:r>
      <w:r w:rsidRPr="00C30392">
        <w:rPr>
          <w:rFonts w:asciiTheme="minorHAnsi" w:hAnsiTheme="minorHAnsi"/>
        </w:rPr>
        <w:t>and the integrated referral services concept is a pragmatic way to link the two programs</w:t>
      </w:r>
      <w:r w:rsidR="00415BE1">
        <w:rPr>
          <w:rFonts w:asciiTheme="minorHAnsi" w:hAnsiTheme="minorHAnsi"/>
        </w:rPr>
        <w:t xml:space="preserve"> (</w:t>
      </w:r>
      <w:r w:rsidR="00415BE1" w:rsidRPr="00415BE1">
        <w:rPr>
          <w:rFonts w:asciiTheme="minorHAnsi" w:hAnsiTheme="minorHAnsi"/>
          <w:b/>
        </w:rPr>
        <w:t xml:space="preserve">Output </w:t>
      </w:r>
      <w:r w:rsidR="00DF14AC">
        <w:rPr>
          <w:rFonts w:asciiTheme="minorHAnsi" w:hAnsiTheme="minorHAnsi"/>
          <w:b/>
        </w:rPr>
        <w:t>3</w:t>
      </w:r>
      <w:r w:rsidR="00415BE1">
        <w:rPr>
          <w:rFonts w:asciiTheme="minorHAnsi" w:hAnsiTheme="minorHAnsi"/>
        </w:rPr>
        <w:t>)</w:t>
      </w:r>
      <w:r w:rsidRPr="00C30392">
        <w:rPr>
          <w:rFonts w:asciiTheme="minorHAnsi" w:hAnsiTheme="minorHAnsi"/>
        </w:rPr>
        <w:t xml:space="preserve">. </w:t>
      </w:r>
    </w:p>
    <w:p w14:paraId="546FCE20" w14:textId="4650CF88" w:rsidR="004523FF" w:rsidRPr="00CB7181" w:rsidRDefault="00AE6C3E" w:rsidP="00CB7181">
      <w:pPr>
        <w:spacing w:after="120" w:line="240" w:lineRule="auto"/>
        <w:jc w:val="both"/>
        <w:rPr>
          <w:rFonts w:eastAsiaTheme="minorEastAsia"/>
          <w:lang w:val="en-GB"/>
        </w:rPr>
      </w:pPr>
      <w:r w:rsidRPr="00CB7181">
        <w:rPr>
          <w:rFonts w:eastAsiaTheme="minorEastAsia"/>
          <w:lang w:val="en-GB"/>
        </w:rPr>
        <w:t>With uncertainty around what the new government’s specific priorities will be</w:t>
      </w:r>
      <w:r w:rsidR="00A557D3" w:rsidRPr="00CB7181">
        <w:rPr>
          <w:rFonts w:eastAsiaTheme="minorEastAsia"/>
          <w:lang w:val="en-GB"/>
        </w:rPr>
        <w:t>,</w:t>
      </w:r>
      <w:r w:rsidRPr="00CB7181">
        <w:rPr>
          <w:rFonts w:eastAsiaTheme="minorEastAsia"/>
          <w:lang w:val="en-GB"/>
        </w:rPr>
        <w:t xml:space="preserve"> </w:t>
      </w:r>
      <w:r w:rsidR="00B23995" w:rsidRPr="00CB7181">
        <w:rPr>
          <w:rFonts w:eastAsiaTheme="minorEastAsia"/>
          <w:lang w:val="en-GB"/>
        </w:rPr>
        <w:t>the facility</w:t>
      </w:r>
      <w:r w:rsidRPr="00CB7181">
        <w:rPr>
          <w:rFonts w:eastAsiaTheme="minorEastAsia"/>
          <w:lang w:val="en-GB"/>
        </w:rPr>
        <w:t xml:space="preserve"> approach provides</w:t>
      </w:r>
      <w:r w:rsidR="00B16384" w:rsidRPr="00CB7181">
        <w:rPr>
          <w:rFonts w:eastAsiaTheme="minorEastAsia"/>
          <w:lang w:val="en-GB"/>
        </w:rPr>
        <w:t xml:space="preserve"> the greatest flexibility</w:t>
      </w:r>
      <w:r w:rsidR="00B23995" w:rsidRPr="00CB7181">
        <w:rPr>
          <w:rFonts w:eastAsiaTheme="minorEastAsia"/>
          <w:lang w:val="en-GB"/>
        </w:rPr>
        <w:t xml:space="preserve"> and </w:t>
      </w:r>
      <w:r w:rsidR="00B16384" w:rsidRPr="00CB7181">
        <w:rPr>
          <w:rFonts w:eastAsiaTheme="minorEastAsia"/>
          <w:lang w:val="en-GB"/>
        </w:rPr>
        <w:t>allows flexible, responsive support that can be adjusted to GOI’s needs and priorities</w:t>
      </w:r>
      <w:r w:rsidR="00E82689" w:rsidRPr="00CB7181">
        <w:rPr>
          <w:rFonts w:eastAsiaTheme="minorEastAsia"/>
          <w:lang w:val="en-GB"/>
        </w:rPr>
        <w:t>–while the longer term GOI strategy is fairly well articulated, the incoming GOI in late 2014 may have additional related priorities</w:t>
      </w:r>
      <w:r w:rsidR="00F835B1" w:rsidRPr="00CB7181">
        <w:rPr>
          <w:rFonts w:eastAsiaTheme="minorEastAsia"/>
          <w:lang w:val="en-GB"/>
        </w:rPr>
        <w:t xml:space="preserve"> that</w:t>
      </w:r>
      <w:r w:rsidR="00E82689" w:rsidRPr="00CB7181">
        <w:rPr>
          <w:rFonts w:eastAsiaTheme="minorEastAsia"/>
          <w:lang w:val="en-GB"/>
        </w:rPr>
        <w:t xml:space="preserve"> </w:t>
      </w:r>
      <w:r w:rsidR="00BA6FDF" w:rsidRPr="00CB7181">
        <w:rPr>
          <w:rFonts w:eastAsiaTheme="minorEastAsia"/>
          <w:lang w:val="en-GB"/>
        </w:rPr>
        <w:t>will</w:t>
      </w:r>
      <w:r w:rsidR="00E82689" w:rsidRPr="00CB7181">
        <w:rPr>
          <w:rFonts w:eastAsiaTheme="minorEastAsia"/>
          <w:lang w:val="en-GB"/>
        </w:rPr>
        <w:t xml:space="preserve"> </w:t>
      </w:r>
      <w:r w:rsidR="00B23995" w:rsidRPr="00CB7181">
        <w:rPr>
          <w:rFonts w:eastAsiaTheme="minorEastAsia"/>
          <w:lang w:val="en-GB"/>
        </w:rPr>
        <w:t xml:space="preserve">need to </w:t>
      </w:r>
      <w:r w:rsidR="00E82689" w:rsidRPr="00CB7181">
        <w:rPr>
          <w:rFonts w:eastAsiaTheme="minorEastAsia"/>
          <w:lang w:val="en-GB"/>
        </w:rPr>
        <w:t>be accommodated.</w:t>
      </w:r>
      <w:r w:rsidR="00B23995" w:rsidRPr="00CB7181">
        <w:rPr>
          <w:rFonts w:eastAsiaTheme="minorEastAsia"/>
          <w:lang w:val="en-GB"/>
        </w:rPr>
        <w:t xml:space="preserve"> </w:t>
      </w:r>
      <w:r w:rsidR="00B16384" w:rsidRPr="00CB7181">
        <w:rPr>
          <w:rFonts w:eastAsiaTheme="minorEastAsia"/>
          <w:lang w:val="en-GB"/>
        </w:rPr>
        <w:t xml:space="preserve">The logic of supporting a social protection system and including </w:t>
      </w:r>
      <w:r w:rsidR="0098637F" w:rsidRPr="00CB7181">
        <w:rPr>
          <w:rFonts w:eastAsiaTheme="minorEastAsia"/>
          <w:lang w:val="en-GB"/>
        </w:rPr>
        <w:t>social security</w:t>
      </w:r>
      <w:r w:rsidR="00B16384" w:rsidRPr="00CB7181">
        <w:rPr>
          <w:rFonts w:eastAsiaTheme="minorEastAsia"/>
          <w:lang w:val="en-GB"/>
        </w:rPr>
        <w:t xml:space="preserve"> and social assistance (i.e. </w:t>
      </w:r>
      <w:r w:rsidR="00944CBA" w:rsidRPr="00CB7181">
        <w:rPr>
          <w:rFonts w:eastAsiaTheme="minorEastAsia"/>
          <w:lang w:val="en-GB"/>
        </w:rPr>
        <w:t xml:space="preserve">current </w:t>
      </w:r>
      <w:r w:rsidR="00B16384" w:rsidRPr="00CB7181">
        <w:rPr>
          <w:rFonts w:eastAsiaTheme="minorEastAsia"/>
          <w:lang w:val="en-GB"/>
        </w:rPr>
        <w:t xml:space="preserve">poverty-targeted programs) opens up a </w:t>
      </w:r>
      <w:r w:rsidR="00C14677" w:rsidRPr="00CB7181">
        <w:rPr>
          <w:rFonts w:eastAsiaTheme="minorEastAsia"/>
          <w:lang w:val="en-GB"/>
        </w:rPr>
        <w:t>greater range of</w:t>
      </w:r>
      <w:r w:rsidR="00B16384" w:rsidRPr="00CB7181">
        <w:rPr>
          <w:rFonts w:eastAsiaTheme="minorEastAsia"/>
          <w:lang w:val="en-GB"/>
        </w:rPr>
        <w:t xml:space="preserve"> capacities and choices in addition to the ones currently supported by PRSF.</w:t>
      </w:r>
    </w:p>
    <w:p w14:paraId="60439503" w14:textId="1B7A219F" w:rsidR="001F227B" w:rsidRPr="00CB7181" w:rsidRDefault="001F227B" w:rsidP="00CB7181">
      <w:pPr>
        <w:spacing w:after="120" w:line="240" w:lineRule="auto"/>
        <w:jc w:val="both"/>
        <w:rPr>
          <w:rFonts w:eastAsiaTheme="minorEastAsia"/>
          <w:lang w:val="en-GB"/>
        </w:rPr>
      </w:pPr>
      <w:r w:rsidRPr="00CB7181">
        <w:rPr>
          <w:rFonts w:eastAsiaTheme="minorEastAsia"/>
          <w:lang w:val="en-GB"/>
        </w:rPr>
        <w:t xml:space="preserve">To date, DFAT has supported PRSF with a significant operating budget. With a smaller resource envelope from DFAT at the start of phase </w:t>
      </w:r>
      <w:r w:rsidR="008E4BD1" w:rsidRPr="00CB7181">
        <w:rPr>
          <w:rFonts w:eastAsiaTheme="minorEastAsia"/>
          <w:lang w:val="en-GB"/>
        </w:rPr>
        <w:t>two</w:t>
      </w:r>
      <w:r w:rsidRPr="00CB7181">
        <w:rPr>
          <w:rFonts w:eastAsiaTheme="minorEastAsia"/>
          <w:lang w:val="en-GB"/>
        </w:rPr>
        <w:t xml:space="preserve"> we will </w:t>
      </w:r>
      <w:r w:rsidR="00B23995" w:rsidRPr="00CB7181">
        <w:rPr>
          <w:rFonts w:eastAsiaTheme="minorEastAsia"/>
          <w:lang w:val="en-GB"/>
        </w:rPr>
        <w:t xml:space="preserve">no longer </w:t>
      </w:r>
      <w:r w:rsidR="00807457">
        <w:rPr>
          <w:rFonts w:eastAsiaTheme="minorEastAsia"/>
          <w:lang w:val="en-GB"/>
        </w:rPr>
        <w:t xml:space="preserve">be able to </w:t>
      </w:r>
      <w:r w:rsidR="00B23995" w:rsidRPr="00CB7181">
        <w:rPr>
          <w:rFonts w:eastAsiaTheme="minorEastAsia"/>
          <w:lang w:val="en-GB"/>
        </w:rPr>
        <w:t>provide</w:t>
      </w:r>
      <w:r w:rsidRPr="00CB7181">
        <w:rPr>
          <w:rFonts w:eastAsiaTheme="minorEastAsia"/>
          <w:lang w:val="en-GB"/>
        </w:rPr>
        <w:t xml:space="preserve"> operational support</w:t>
      </w:r>
      <w:r w:rsidR="008E4BD1" w:rsidRPr="00807457">
        <w:rPr>
          <w:rFonts w:eastAsiaTheme="minorEastAsia"/>
          <w:vertAlign w:val="superscript"/>
          <w:lang w:val="en-GB"/>
        </w:rPr>
        <w:footnoteReference w:id="10"/>
      </w:r>
      <w:r w:rsidRPr="00CB7181">
        <w:rPr>
          <w:rFonts w:eastAsiaTheme="minorEastAsia"/>
          <w:lang w:val="en-GB"/>
        </w:rPr>
        <w:t xml:space="preserve"> in social protection programs. The focus will be narrowed and the program will provide high level policy dialogue opportunities through targeted assistance for policy advice and development. The full range of GOI partners will be determined once priorities are clear in 2015</w:t>
      </w:r>
      <w:r w:rsidR="00060B93" w:rsidRPr="00CB7181">
        <w:rPr>
          <w:rFonts w:eastAsiaTheme="minorEastAsia"/>
          <w:lang w:val="en-GB"/>
        </w:rPr>
        <w:t xml:space="preserve"> after </w:t>
      </w:r>
      <w:r w:rsidR="00E82689" w:rsidRPr="00CB7181">
        <w:rPr>
          <w:rFonts w:eastAsiaTheme="minorEastAsia"/>
          <w:lang w:val="en-GB"/>
        </w:rPr>
        <w:t xml:space="preserve">the </w:t>
      </w:r>
      <w:r w:rsidR="00060B93" w:rsidRPr="00CB7181">
        <w:rPr>
          <w:rFonts w:eastAsiaTheme="minorEastAsia"/>
          <w:lang w:val="en-GB"/>
        </w:rPr>
        <w:t>new Indonesian government is in place</w:t>
      </w:r>
      <w:r w:rsidRPr="00CB7181">
        <w:rPr>
          <w:rFonts w:eastAsiaTheme="minorEastAsia"/>
          <w:lang w:val="en-GB"/>
        </w:rPr>
        <w:t>, and work</w:t>
      </w:r>
      <w:r w:rsidR="001701C7" w:rsidRPr="00CB7181">
        <w:rPr>
          <w:rFonts w:eastAsiaTheme="minorEastAsia"/>
          <w:lang w:val="en-GB"/>
        </w:rPr>
        <w:t xml:space="preserve"> </w:t>
      </w:r>
      <w:r w:rsidRPr="00CB7181">
        <w:rPr>
          <w:rFonts w:eastAsiaTheme="minorEastAsia"/>
          <w:lang w:val="en-GB"/>
        </w:rPr>
        <w:t xml:space="preserve">plans can be designed for priority social protection interventions. A wide range of possible partners has been included in the proposed organisational and governance structures, to illustrate the breadth of work that could be undertaken by MAHKOTA. This gives us maximum flexibility in being able to respond to new GOI priorities, </w:t>
      </w:r>
      <w:r w:rsidR="00B23995" w:rsidRPr="00CB7181">
        <w:rPr>
          <w:rFonts w:eastAsiaTheme="minorEastAsia"/>
          <w:lang w:val="en-GB"/>
        </w:rPr>
        <w:t>within the proposed budget</w:t>
      </w:r>
      <w:r w:rsidRPr="00CB7181">
        <w:rPr>
          <w:rFonts w:eastAsiaTheme="minorEastAsia"/>
          <w:lang w:val="en-GB"/>
        </w:rPr>
        <w:t xml:space="preserve">. If further resources become available, this model can be scaled up, or the size of investments with different partners can be designed </w:t>
      </w:r>
      <w:r w:rsidR="00E82689" w:rsidRPr="00CB7181">
        <w:rPr>
          <w:rFonts w:eastAsiaTheme="minorEastAsia"/>
          <w:lang w:val="en-GB"/>
        </w:rPr>
        <w:t xml:space="preserve">and scaled </w:t>
      </w:r>
      <w:r w:rsidRPr="00CB7181">
        <w:rPr>
          <w:rFonts w:eastAsiaTheme="minorEastAsia"/>
          <w:lang w:val="en-GB"/>
        </w:rPr>
        <w:t xml:space="preserve">accordingly. </w:t>
      </w:r>
    </w:p>
    <w:p w14:paraId="1BB889CE" w14:textId="77777777" w:rsidR="007E5590" w:rsidRPr="00387C95" w:rsidRDefault="00545005" w:rsidP="00387C95">
      <w:pPr>
        <w:pStyle w:val="Caption"/>
        <w:spacing w:before="0"/>
        <w:rPr>
          <w:rFonts w:asciiTheme="minorHAnsi" w:hAnsiTheme="minorHAnsi"/>
          <w:i w:val="0"/>
          <w:color w:val="auto"/>
        </w:rPr>
      </w:pPr>
      <w:r w:rsidRPr="007E5590">
        <w:rPr>
          <w:rFonts w:asciiTheme="minorHAnsi" w:hAnsiTheme="minorHAnsi"/>
          <w:i w:val="0"/>
          <w:color w:val="auto"/>
        </w:rPr>
        <w:t xml:space="preserve">Figure </w:t>
      </w:r>
      <w:r w:rsidR="00757CA7" w:rsidRPr="007E5590">
        <w:rPr>
          <w:rFonts w:asciiTheme="minorHAnsi" w:hAnsiTheme="minorHAnsi"/>
          <w:i w:val="0"/>
          <w:color w:val="auto"/>
        </w:rPr>
        <w:t>4</w:t>
      </w:r>
      <w:bookmarkEnd w:id="1"/>
      <w:r w:rsidRPr="007E5590">
        <w:rPr>
          <w:rFonts w:asciiTheme="minorHAnsi" w:hAnsiTheme="minorHAnsi"/>
          <w:i w:val="0"/>
          <w:color w:val="auto"/>
        </w:rPr>
        <w:t xml:space="preserve">: </w:t>
      </w:r>
      <w:r w:rsidR="00B83D10" w:rsidRPr="007E5590">
        <w:rPr>
          <w:rFonts w:asciiTheme="minorHAnsi" w:hAnsiTheme="minorHAnsi"/>
          <w:i w:val="0"/>
          <w:color w:val="auto"/>
        </w:rPr>
        <w:t xml:space="preserve">MAHKOTA </w:t>
      </w:r>
      <w:r w:rsidRPr="007E5590">
        <w:rPr>
          <w:rFonts w:asciiTheme="minorHAnsi" w:hAnsiTheme="minorHAnsi"/>
          <w:i w:val="0"/>
          <w:color w:val="auto"/>
        </w:rPr>
        <w:t>Theory of Change</w:t>
      </w:r>
      <w:bookmarkEnd w:id="2"/>
    </w:p>
    <w:p w14:paraId="118B6507" w14:textId="3EAD54B9" w:rsidR="00291DE7" w:rsidRDefault="00F517C5" w:rsidP="00162075">
      <w:pPr>
        <w:spacing w:after="0"/>
        <w:ind w:left="-630"/>
        <w:jc w:val="center"/>
      </w:pPr>
      <w:r w:rsidRPr="00F517C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FC4B98">
        <w:rPr>
          <w:rFonts w:ascii="Times New Roman" w:eastAsia="Times New Roman" w:hAnsi="Times New Roman" w:cs="Times New Roman"/>
          <w:noProof/>
          <w:color w:val="000000"/>
          <w:w w:val="0"/>
          <w:sz w:val="0"/>
          <w:szCs w:val="0"/>
          <w:u w:color="000000"/>
          <w:bdr w:val="none" w:sz="0" w:space="0" w:color="000000"/>
          <w:shd w:val="clear" w:color="000000" w:fill="000000"/>
          <w:lang w:eastAsia="en-AU"/>
        </w:rPr>
        <w:drawing>
          <wp:inline distT="0" distB="0" distL="0" distR="0" wp14:anchorId="2F7FDF61" wp14:editId="2B61C90F">
            <wp:extent cx="5697939" cy="4273455"/>
            <wp:effectExtent l="0" t="0" r="0" b="0"/>
            <wp:docPr id="1" name="Picture 1" descr="S:\Decentralisation\SOCIAL PROTECTION\Social protection adviser\Indonesia\TNP2K\inception\Design\IPAG\ToC-2014Au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centralisation\SOCIAL PROTECTION\Social protection adviser\Indonesia\TNP2K\inception\Design\IPAG\ToC-2014Aug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97393" cy="4273045"/>
                    </a:xfrm>
                    <a:prstGeom prst="rect">
                      <a:avLst/>
                    </a:prstGeom>
                    <a:noFill/>
                    <a:ln w="0">
                      <a:noFill/>
                    </a:ln>
                  </pic:spPr>
                </pic:pic>
              </a:graphicData>
            </a:graphic>
          </wp:inline>
        </w:drawing>
      </w:r>
      <w:r w:rsidRPr="00F517C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2BAF7212" w14:textId="77777777" w:rsidR="00E5317E" w:rsidRDefault="00D26EB7" w:rsidP="00927D33">
      <w:pPr>
        <w:pStyle w:val="InvestmentSumheadings"/>
        <w:spacing w:before="0"/>
      </w:pPr>
      <w:r>
        <w:t>ROLES AND RESPONSIBILITIES</w:t>
      </w:r>
    </w:p>
    <w:p w14:paraId="04B7DCAE" w14:textId="77777777" w:rsidR="00576243" w:rsidRDefault="0077193C" w:rsidP="00C53F00">
      <w:pPr>
        <w:pStyle w:val="Heading2"/>
        <w:numPr>
          <w:ilvl w:val="1"/>
          <w:numId w:val="15"/>
        </w:numPr>
        <w:spacing w:before="120"/>
      </w:pPr>
      <w:r>
        <w:t>Organisation</w:t>
      </w:r>
    </w:p>
    <w:p w14:paraId="1C99C545" w14:textId="47BECF85" w:rsidR="0077193C" w:rsidRPr="008D0305" w:rsidRDefault="00757CA7" w:rsidP="00D35B12">
      <w:pPr>
        <w:spacing w:after="0" w:line="240" w:lineRule="auto"/>
        <w:jc w:val="both"/>
      </w:pPr>
      <w:r>
        <w:t xml:space="preserve">Figure 4 </w:t>
      </w:r>
      <w:r w:rsidR="0077193C">
        <w:t xml:space="preserve">summarizes the overall </w:t>
      </w:r>
      <w:r w:rsidR="00E220DF">
        <w:t xml:space="preserve">MAHKOTA </w:t>
      </w:r>
      <w:r w:rsidR="0077193C">
        <w:t xml:space="preserve">structure. DFAT </w:t>
      </w:r>
      <w:r w:rsidR="00E220DF">
        <w:t>will</w:t>
      </w:r>
      <w:r w:rsidR="0077193C">
        <w:t xml:space="preserve"> manage two contracts: one with a </w:t>
      </w:r>
      <w:r w:rsidR="00F46278">
        <w:t>Managing Contractor (MC)</w:t>
      </w:r>
      <w:r w:rsidR="0077193C">
        <w:t xml:space="preserve"> and the other with the </w:t>
      </w:r>
      <w:r w:rsidR="00B23995">
        <w:t>World Bank</w:t>
      </w:r>
      <w:r w:rsidR="0077193C">
        <w:t xml:space="preserve">. The </w:t>
      </w:r>
      <w:r w:rsidR="00F46278">
        <w:t>MC</w:t>
      </w:r>
      <w:r w:rsidR="0077193C">
        <w:t xml:space="preserve"> </w:t>
      </w:r>
      <w:r w:rsidR="00E220DF">
        <w:t>will</w:t>
      </w:r>
      <w:r w:rsidR="0077193C">
        <w:t xml:space="preserve"> be responsible for all </w:t>
      </w:r>
      <w:r w:rsidR="0077193C" w:rsidRPr="00D35B12">
        <w:rPr>
          <w:rFonts w:asciiTheme="minorHAnsi" w:hAnsiTheme="minorHAnsi"/>
        </w:rPr>
        <w:t>technical</w:t>
      </w:r>
      <w:r w:rsidR="0077193C">
        <w:t xml:space="preserve"> assistance and other support placed within each institution, while also managing the Jakarta-based component of the Social Protection Hub</w:t>
      </w:r>
      <w:r w:rsidR="00860678">
        <w:t xml:space="preserve"> (SP Hub)</w:t>
      </w:r>
      <w:r w:rsidR="0077193C">
        <w:t>.</w:t>
      </w:r>
      <w:r w:rsidR="00E22089">
        <w:rPr>
          <w:rStyle w:val="FootnoteReference"/>
        </w:rPr>
        <w:footnoteReference w:id="11"/>
      </w:r>
      <w:r w:rsidR="0077193C">
        <w:t xml:space="preserve"> While each institution </w:t>
      </w:r>
      <w:r w:rsidR="00E220DF">
        <w:t>will</w:t>
      </w:r>
      <w:r w:rsidR="0077193C">
        <w:t xml:space="preserve"> have indicative staff and budgets allocated to it, the </w:t>
      </w:r>
      <w:r w:rsidR="00F46278">
        <w:t>MC</w:t>
      </w:r>
      <w:r w:rsidR="0077193C">
        <w:t xml:space="preserve"> </w:t>
      </w:r>
      <w:r w:rsidR="00E220DF">
        <w:t>will</w:t>
      </w:r>
      <w:r w:rsidR="0077193C">
        <w:t xml:space="preserve"> manage additional funds that </w:t>
      </w:r>
      <w:r w:rsidR="00E220DF">
        <w:t>can</w:t>
      </w:r>
      <w:r w:rsidR="0077193C">
        <w:t xml:space="preserve"> be allocated across institutions on an annual basis. The </w:t>
      </w:r>
      <w:r w:rsidR="00B23995">
        <w:t>World Bank</w:t>
      </w:r>
      <w:r w:rsidR="0077193C">
        <w:t xml:space="preserve"> </w:t>
      </w:r>
      <w:r w:rsidR="00E220DF">
        <w:t>will</w:t>
      </w:r>
      <w:r w:rsidR="0077193C">
        <w:t xml:space="preserve"> manage its own funds and report directly to DFAT.</w:t>
      </w:r>
    </w:p>
    <w:p w14:paraId="5231BB89" w14:textId="60E586B3" w:rsidR="00DB59D0" w:rsidRDefault="00A557D3" w:rsidP="00C53F00">
      <w:pPr>
        <w:pStyle w:val="Caption"/>
        <w:spacing w:before="0"/>
        <w:rPr>
          <w:rFonts w:asciiTheme="minorHAnsi" w:hAnsiTheme="minorHAnsi"/>
          <w:i w:val="0"/>
          <w:noProof/>
          <w:color w:val="auto"/>
          <w:lang w:val="en-AU" w:eastAsia="en-AU"/>
        </w:rPr>
      </w:pPr>
      <w:r>
        <w:rPr>
          <w:rFonts w:asciiTheme="minorHAnsi" w:hAnsiTheme="minorHAnsi"/>
          <w:i w:val="0"/>
          <w:color w:val="auto"/>
        </w:rPr>
        <w:t xml:space="preserve">Figure 5: </w:t>
      </w:r>
      <w:r w:rsidR="00573ADC">
        <w:rPr>
          <w:rFonts w:asciiTheme="minorHAnsi" w:hAnsiTheme="minorHAnsi"/>
          <w:i w:val="0"/>
          <w:color w:val="auto"/>
        </w:rPr>
        <w:t>E</w:t>
      </w:r>
      <w:r w:rsidR="004523FF">
        <w:rPr>
          <w:rFonts w:asciiTheme="minorHAnsi" w:hAnsiTheme="minorHAnsi"/>
          <w:i w:val="0"/>
          <w:color w:val="auto"/>
        </w:rPr>
        <w:t xml:space="preserve">xample </w:t>
      </w:r>
      <w:r>
        <w:rPr>
          <w:rFonts w:asciiTheme="minorHAnsi" w:hAnsiTheme="minorHAnsi"/>
          <w:i w:val="0"/>
          <w:color w:val="auto"/>
        </w:rPr>
        <w:t>o</w:t>
      </w:r>
      <w:r w:rsidR="00757CA7" w:rsidRPr="007E5590">
        <w:rPr>
          <w:rFonts w:asciiTheme="minorHAnsi" w:hAnsiTheme="minorHAnsi"/>
          <w:i w:val="0"/>
          <w:color w:val="auto"/>
        </w:rPr>
        <w:t>rganisational structure</w:t>
      </w:r>
      <w:r w:rsidR="004523FF">
        <w:rPr>
          <w:rFonts w:asciiTheme="minorHAnsi" w:hAnsiTheme="minorHAnsi"/>
          <w:i w:val="0"/>
          <w:color w:val="auto"/>
        </w:rPr>
        <w:t xml:space="preserve">, priorities </w:t>
      </w:r>
      <w:r w:rsidR="006843B3">
        <w:rPr>
          <w:rFonts w:asciiTheme="minorHAnsi" w:hAnsiTheme="minorHAnsi"/>
          <w:i w:val="0"/>
          <w:color w:val="auto"/>
        </w:rPr>
        <w:t xml:space="preserve">and partners to be </w:t>
      </w:r>
      <w:r w:rsidR="004523FF">
        <w:rPr>
          <w:rFonts w:asciiTheme="minorHAnsi" w:hAnsiTheme="minorHAnsi"/>
          <w:i w:val="0"/>
          <w:color w:val="auto"/>
        </w:rPr>
        <w:t>confirmed with ne</w:t>
      </w:r>
      <w:r w:rsidR="006843B3">
        <w:rPr>
          <w:rFonts w:asciiTheme="minorHAnsi" w:hAnsiTheme="minorHAnsi"/>
          <w:i w:val="0"/>
          <w:color w:val="auto"/>
        </w:rPr>
        <w:t>xt</w:t>
      </w:r>
      <w:r w:rsidR="005527E2">
        <w:rPr>
          <w:rFonts w:asciiTheme="minorHAnsi" w:hAnsiTheme="minorHAnsi"/>
          <w:i w:val="0"/>
          <w:color w:val="auto"/>
        </w:rPr>
        <w:t xml:space="preserve"> GOI</w:t>
      </w:r>
      <w:r w:rsidR="004523FF">
        <w:rPr>
          <w:rFonts w:asciiTheme="minorHAnsi" w:hAnsiTheme="minorHAnsi"/>
          <w:i w:val="0"/>
          <w:color w:val="auto"/>
        </w:rPr>
        <w:t xml:space="preserve"> </w:t>
      </w:r>
    </w:p>
    <w:p w14:paraId="58533CF6" w14:textId="5149F345" w:rsidR="007959D1" w:rsidRPr="007959D1" w:rsidRDefault="007959D1" w:rsidP="007959D1">
      <w:pPr>
        <w:rPr>
          <w:lang w:eastAsia="en-AU"/>
        </w:rPr>
      </w:pPr>
      <w:r>
        <w:rPr>
          <w:noProof/>
          <w:lang w:eastAsia="en-AU"/>
        </w:rPr>
        <w:drawing>
          <wp:inline distT="0" distB="0" distL="0" distR="0" wp14:anchorId="1DF70807" wp14:editId="7C1BA771">
            <wp:extent cx="5731510" cy="4298633"/>
            <wp:effectExtent l="0" t="0" r="2540" b="6985"/>
            <wp:docPr id="5" name="Picture 5" descr="S:\Decentralisation\SOCIAL PROTECTION\Social protection adviser\Indonesia\TNP2K\inception\Design\IPAG\140806_Structure of resources-2014June14 no budget no 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ecentralisation\SOCIAL PROTECTION\Social protection adviser\Indonesia\TNP2K\inception\Design\IPAG\140806_Structure of resources-2014June14 no budget no W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58F45DF2" w14:textId="77777777" w:rsidR="00576243" w:rsidRDefault="00DB59D0" w:rsidP="00C53F00">
      <w:pPr>
        <w:pStyle w:val="Heading2"/>
        <w:spacing w:before="120"/>
      </w:pPr>
      <w:r>
        <w:t>Governance structure</w:t>
      </w:r>
    </w:p>
    <w:p w14:paraId="31C4EB53" w14:textId="77777777" w:rsidR="0074265F" w:rsidRDefault="0074265F" w:rsidP="00C53F00">
      <w:pPr>
        <w:pStyle w:val="BodyText"/>
        <w:spacing w:before="0" w:after="120"/>
      </w:pPr>
      <w:r>
        <w:t>The primary stakeholders of MAHKOTA are DFAT, GOI ministries and agencies involved in the program, and two national think tanks (to be identified). All organisations funded through MAHKOTA will work closely with GOI to strengthen the national social protection system.</w:t>
      </w:r>
    </w:p>
    <w:p w14:paraId="6A84A3E5" w14:textId="7E2BF7C8" w:rsidR="0074265F" w:rsidRPr="00BF01B7" w:rsidRDefault="0074265F" w:rsidP="00C53F00">
      <w:pPr>
        <w:pStyle w:val="BodyText"/>
        <w:spacing w:before="120" w:after="0"/>
      </w:pPr>
      <w:r>
        <w:t xml:space="preserve">An overview of the </w:t>
      </w:r>
      <w:r w:rsidR="00A557D3">
        <w:t xml:space="preserve">MAHKOTA </w:t>
      </w:r>
      <w:r>
        <w:t xml:space="preserve">governance and management structure is set </w:t>
      </w:r>
      <w:r w:rsidR="0039118E">
        <w:t xml:space="preserve">out in Figure 6. </w:t>
      </w:r>
      <w:r>
        <w:t xml:space="preserve">The program </w:t>
      </w:r>
      <w:r w:rsidR="00C74FAC">
        <w:t xml:space="preserve">will be </w:t>
      </w:r>
      <w:r>
        <w:t xml:space="preserve">anchored in a </w:t>
      </w:r>
      <w:r w:rsidR="00F46278">
        <w:t>S</w:t>
      </w:r>
      <w:r w:rsidR="00072520">
        <w:t xml:space="preserve">teering </w:t>
      </w:r>
      <w:r w:rsidR="00F46278">
        <w:t>C</w:t>
      </w:r>
      <w:r w:rsidR="00072520">
        <w:t>ommittee (SC)</w:t>
      </w:r>
      <w:r>
        <w:t xml:space="preserve"> comprising senior management from DFAT, Bappenas, Ministry of Finance</w:t>
      </w:r>
      <w:r w:rsidR="00183906">
        <w:t xml:space="preserve"> </w:t>
      </w:r>
      <w:r w:rsidR="00B23995">
        <w:t>(</w:t>
      </w:r>
      <w:proofErr w:type="spellStart"/>
      <w:r w:rsidR="00B23995">
        <w:t>MoF</w:t>
      </w:r>
      <w:proofErr w:type="spellEnd"/>
      <w:r w:rsidR="00B23995">
        <w:t xml:space="preserve">) </w:t>
      </w:r>
      <w:r w:rsidR="00183906">
        <w:t>and</w:t>
      </w:r>
      <w:r>
        <w:t xml:space="preserve"> TNP2K (if it continues).</w:t>
      </w:r>
      <w:r w:rsidRPr="0085317D">
        <w:t xml:space="preserve"> </w:t>
      </w:r>
      <w:r w:rsidR="00C74FAC">
        <w:t xml:space="preserve">Member </w:t>
      </w:r>
      <w:r w:rsidR="00183906">
        <w:t>m</w:t>
      </w:r>
      <w:r w:rsidR="00C74FAC">
        <w:t>inistries will depend on priorities supported by the Facility, to be determined in early 2015</w:t>
      </w:r>
      <w:r w:rsidR="00183906">
        <w:t xml:space="preserve"> by the new GOI</w:t>
      </w:r>
      <w:r w:rsidR="00C74FAC">
        <w:t xml:space="preserve">. </w:t>
      </w:r>
      <w:r>
        <w:t xml:space="preserve">The </w:t>
      </w:r>
      <w:r w:rsidR="00F46278">
        <w:t>SC</w:t>
      </w:r>
      <w:r>
        <w:t xml:space="preserve"> will meet on a six-monthly basis, providing strategic direction to the program. It will endorse work plans and budgets, review six-monthly and annual reports, discuss progress, recommend strategic-level changes to the program and communicate the results of the program to GOI and DFAT.</w:t>
      </w:r>
      <w:r w:rsidR="00F83F29" w:rsidRPr="00F83F29">
        <w:t xml:space="preserve"> The MC will coordinate annual reporting and contribute secretariat support to the SC as required</w:t>
      </w:r>
      <w:r w:rsidR="00C74FAC">
        <w:t>.</w:t>
      </w:r>
    </w:p>
    <w:p w14:paraId="7D9072BC" w14:textId="77777777" w:rsidR="005F072A" w:rsidRPr="00E22089" w:rsidRDefault="0074265F" w:rsidP="00C53F00">
      <w:pPr>
        <w:pStyle w:val="Caption"/>
        <w:spacing w:before="0"/>
        <w:rPr>
          <w:rFonts w:asciiTheme="minorHAnsi" w:hAnsiTheme="minorHAnsi"/>
          <w:i w:val="0"/>
          <w:color w:val="auto"/>
        </w:rPr>
      </w:pPr>
      <w:bookmarkStart w:id="3" w:name="_Ref388741635"/>
      <w:bookmarkStart w:id="4" w:name="_Toc389655029"/>
      <w:r w:rsidRPr="007E5590">
        <w:rPr>
          <w:rFonts w:asciiTheme="minorHAnsi" w:hAnsiTheme="minorHAnsi"/>
          <w:i w:val="0"/>
          <w:color w:val="auto"/>
        </w:rPr>
        <w:t>Figure 6</w:t>
      </w:r>
      <w:bookmarkEnd w:id="3"/>
      <w:r w:rsidRPr="007E5590">
        <w:rPr>
          <w:rFonts w:asciiTheme="minorHAnsi" w:hAnsiTheme="minorHAnsi"/>
          <w:i w:val="0"/>
          <w:color w:val="auto"/>
        </w:rPr>
        <w:t xml:space="preserve">: </w:t>
      </w:r>
      <w:r w:rsidR="00573ADC">
        <w:rPr>
          <w:rFonts w:asciiTheme="minorHAnsi" w:hAnsiTheme="minorHAnsi"/>
          <w:i w:val="0"/>
          <w:color w:val="auto"/>
        </w:rPr>
        <w:t>E</w:t>
      </w:r>
      <w:r w:rsidR="004523FF">
        <w:rPr>
          <w:rFonts w:asciiTheme="minorHAnsi" w:hAnsiTheme="minorHAnsi"/>
          <w:i w:val="0"/>
          <w:color w:val="auto"/>
        </w:rPr>
        <w:t xml:space="preserve">xample </w:t>
      </w:r>
      <w:r w:rsidR="00573ADC">
        <w:rPr>
          <w:rFonts w:asciiTheme="minorHAnsi" w:hAnsiTheme="minorHAnsi"/>
          <w:i w:val="0"/>
          <w:color w:val="auto"/>
        </w:rPr>
        <w:t>g</w:t>
      </w:r>
      <w:r w:rsidRPr="007E5590">
        <w:rPr>
          <w:rFonts w:asciiTheme="minorHAnsi" w:hAnsiTheme="minorHAnsi"/>
          <w:i w:val="0"/>
          <w:color w:val="auto"/>
        </w:rPr>
        <w:t xml:space="preserve">overnance and management </w:t>
      </w:r>
      <w:r w:rsidR="004523FF">
        <w:rPr>
          <w:rFonts w:asciiTheme="minorHAnsi" w:hAnsiTheme="minorHAnsi"/>
          <w:i w:val="0"/>
          <w:color w:val="auto"/>
        </w:rPr>
        <w:t>structure, if the widest range of activities is undertaken</w:t>
      </w:r>
      <w:bookmarkEnd w:id="4"/>
    </w:p>
    <w:p w14:paraId="298EA1BD" w14:textId="6B1E4D2A" w:rsidR="00291DE7" w:rsidRDefault="0066365F" w:rsidP="00F46278">
      <w:pPr>
        <w:spacing w:after="0"/>
      </w:pPr>
      <w:r>
        <w:rPr>
          <w:noProof/>
          <w:lang w:eastAsia="en-AU"/>
        </w:rPr>
        <w:drawing>
          <wp:inline distT="0" distB="0" distL="0" distR="0" wp14:anchorId="1E760E40" wp14:editId="1EA338B3">
            <wp:extent cx="5731510" cy="4298633"/>
            <wp:effectExtent l="0" t="0" r="2540" b="6985"/>
            <wp:docPr id="2" name="Picture 2" descr="S:\Decentralisation\SOCIAL PROTECTION\Social protection adviser\Indonesia\TNP2K\inception\Design\IPAG\Governance structure - 2014July31 no 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centralisation\SOCIAL PROTECTION\Social protection adviser\Indonesia\TNP2K\inception\Design\IPAG\Governance structure - 2014July31 no WB.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5FDFAAD9" w14:textId="2740AA47" w:rsidR="0074265F" w:rsidRDefault="0074265F" w:rsidP="00C53F00">
      <w:pPr>
        <w:pStyle w:val="BodyText"/>
        <w:spacing w:before="120" w:after="120"/>
      </w:pPr>
      <w:r>
        <w:t xml:space="preserve">There are two branches to the program: one delivered by a </w:t>
      </w:r>
      <w:r w:rsidR="00F46278">
        <w:t>MC</w:t>
      </w:r>
      <w:r>
        <w:t xml:space="preserve"> and the other delivered through the </w:t>
      </w:r>
      <w:r w:rsidR="00B23995">
        <w:t>World Bank</w:t>
      </w:r>
      <w:r>
        <w:t>. The governance and management of each branch is discussed below.</w:t>
      </w:r>
    </w:p>
    <w:p w14:paraId="22AA22D9" w14:textId="77777777" w:rsidR="00576243" w:rsidRPr="00320C90" w:rsidRDefault="00F46278" w:rsidP="00C53F00">
      <w:pPr>
        <w:pStyle w:val="Heading2"/>
        <w:numPr>
          <w:ilvl w:val="1"/>
          <w:numId w:val="15"/>
        </w:numPr>
        <w:spacing w:before="120"/>
      </w:pPr>
      <w:r>
        <w:t>M</w:t>
      </w:r>
      <w:r w:rsidR="00E22089">
        <w:t xml:space="preserve">anaging </w:t>
      </w:r>
      <w:r>
        <w:t>C</w:t>
      </w:r>
      <w:r w:rsidR="00E22089">
        <w:t>ontractor</w:t>
      </w:r>
    </w:p>
    <w:p w14:paraId="74079467" w14:textId="76D12A33" w:rsidR="0074265F" w:rsidRDefault="00E70EE7" w:rsidP="00C53F00">
      <w:pPr>
        <w:pStyle w:val="BodyText"/>
        <w:spacing w:before="0" w:after="120"/>
      </w:pPr>
      <w:r>
        <w:t xml:space="preserve">A Technical Committee </w:t>
      </w:r>
      <w:r w:rsidR="00B23995">
        <w:t xml:space="preserve">(TC) </w:t>
      </w:r>
      <w:r>
        <w:t>led by DFAT and</w:t>
      </w:r>
      <w:r w:rsidR="0074265F">
        <w:t xml:space="preserve"> comprising staff from Bappenas, TNP2K </w:t>
      </w:r>
      <w:r w:rsidR="004523FF">
        <w:t xml:space="preserve">and other relevant ministries </w:t>
      </w:r>
      <w:r>
        <w:t xml:space="preserve">will meet </w:t>
      </w:r>
      <w:r w:rsidR="004523FF">
        <w:t>regular</w:t>
      </w:r>
      <w:r>
        <w:t>ly</w:t>
      </w:r>
      <w:r w:rsidR="00E22089">
        <w:t xml:space="preserve"> </w:t>
      </w:r>
      <w:r w:rsidR="0074265F">
        <w:t xml:space="preserve">with the </w:t>
      </w:r>
      <w:r w:rsidR="00F46278">
        <w:t>MC</w:t>
      </w:r>
      <w:r w:rsidR="0074265F">
        <w:t xml:space="preserve">. </w:t>
      </w:r>
      <w:r w:rsidR="00927D33">
        <w:t>It will review program plans, budgets and reports before they are considered by the SC and</w:t>
      </w:r>
      <w:r w:rsidR="0074265F">
        <w:t xml:space="preserve"> will discuss progress with the program</w:t>
      </w:r>
      <w:r w:rsidR="00927D33">
        <w:t>,</w:t>
      </w:r>
      <w:r w:rsidR="0074265F">
        <w:t xml:space="preserve"> endorsing any changes to annual plans and budgets.</w:t>
      </w:r>
    </w:p>
    <w:p w14:paraId="61D52EC0" w14:textId="0D4DD058" w:rsidR="0074265F" w:rsidRPr="0074265F" w:rsidRDefault="0074265F" w:rsidP="00C53F00">
      <w:pPr>
        <w:pStyle w:val="BodyText"/>
        <w:spacing w:before="120" w:after="0"/>
        <w:rPr>
          <w:rFonts w:asciiTheme="minorHAnsi" w:hAnsiTheme="minorHAnsi"/>
        </w:rPr>
      </w:pPr>
      <w:r w:rsidRPr="0074265F">
        <w:rPr>
          <w:rFonts w:asciiTheme="minorHAnsi" w:hAnsiTheme="minorHAnsi"/>
        </w:rPr>
        <w:t xml:space="preserve">The </w:t>
      </w:r>
      <w:r w:rsidR="00F46278">
        <w:rPr>
          <w:rFonts w:asciiTheme="minorHAnsi" w:hAnsiTheme="minorHAnsi"/>
        </w:rPr>
        <w:t>MC</w:t>
      </w:r>
      <w:r w:rsidRPr="0074265F">
        <w:rPr>
          <w:rFonts w:asciiTheme="minorHAnsi" w:hAnsiTheme="minorHAnsi"/>
        </w:rPr>
        <w:t xml:space="preserve"> will be responsible for the implementation of MAHKOTA (apart from the </w:t>
      </w:r>
      <w:r w:rsidR="00B23995">
        <w:rPr>
          <w:rFonts w:asciiTheme="minorHAnsi" w:hAnsiTheme="minorHAnsi"/>
        </w:rPr>
        <w:t>World Bank component</w:t>
      </w:r>
      <w:r w:rsidRPr="0074265F">
        <w:rPr>
          <w:rFonts w:asciiTheme="minorHAnsi" w:hAnsiTheme="minorHAnsi"/>
        </w:rPr>
        <w:t xml:space="preserve">). Its specific responsibilities will be set out in terms of reference </w:t>
      </w:r>
      <w:r w:rsidR="00E70EE7">
        <w:rPr>
          <w:rFonts w:asciiTheme="minorHAnsi" w:hAnsiTheme="minorHAnsi"/>
        </w:rPr>
        <w:t>and</w:t>
      </w:r>
      <w:r w:rsidRPr="0074265F">
        <w:rPr>
          <w:rFonts w:asciiTheme="minorHAnsi" w:hAnsiTheme="minorHAnsi"/>
        </w:rPr>
        <w:t xml:space="preserve"> will include:</w:t>
      </w:r>
    </w:p>
    <w:p w14:paraId="4A6F54D7" w14:textId="77777777" w:rsidR="00A557D3" w:rsidRDefault="00A557D3" w:rsidP="0074265F">
      <w:pPr>
        <w:pStyle w:val="ListBullet"/>
        <w:spacing w:before="0" w:after="0"/>
        <w:rPr>
          <w:rFonts w:asciiTheme="minorHAnsi" w:hAnsiTheme="minorHAnsi"/>
        </w:rPr>
      </w:pPr>
      <w:r>
        <w:rPr>
          <w:rFonts w:asciiTheme="minorHAnsi" w:hAnsiTheme="minorHAnsi"/>
        </w:rPr>
        <w:t xml:space="preserve">Managing an inception phase to mobilise the facility, confirm GOI </w:t>
      </w:r>
      <w:r w:rsidR="00E70EE7">
        <w:rPr>
          <w:rFonts w:asciiTheme="minorHAnsi" w:hAnsiTheme="minorHAnsi"/>
        </w:rPr>
        <w:t>priorities and plans and produc</w:t>
      </w:r>
      <w:r w:rsidR="005527E2">
        <w:rPr>
          <w:rFonts w:asciiTheme="minorHAnsi" w:hAnsiTheme="minorHAnsi"/>
        </w:rPr>
        <w:t>e</w:t>
      </w:r>
      <w:r>
        <w:rPr>
          <w:rFonts w:asciiTheme="minorHAnsi" w:hAnsiTheme="minorHAnsi"/>
        </w:rPr>
        <w:t xml:space="preserve"> a detailed first year work plan.</w:t>
      </w:r>
    </w:p>
    <w:p w14:paraId="2C1694D2" w14:textId="77777777" w:rsidR="0074265F" w:rsidRPr="0074265F" w:rsidRDefault="0074265F" w:rsidP="0074265F">
      <w:pPr>
        <w:pStyle w:val="ListBullet"/>
        <w:spacing w:before="0" w:after="0"/>
        <w:rPr>
          <w:rFonts w:asciiTheme="minorHAnsi" w:hAnsiTheme="minorHAnsi"/>
        </w:rPr>
      </w:pPr>
      <w:r w:rsidRPr="0074265F">
        <w:rPr>
          <w:rFonts w:asciiTheme="minorHAnsi" w:hAnsiTheme="minorHAnsi"/>
        </w:rPr>
        <w:t>Establishing an in-house technical and administrative team that will be responsible for the management, administration and technical oversight of the program, reporting to DFAT.</w:t>
      </w:r>
    </w:p>
    <w:p w14:paraId="79581886" w14:textId="77777777" w:rsidR="0074265F" w:rsidRPr="0074265F" w:rsidRDefault="0074265F" w:rsidP="0074265F">
      <w:pPr>
        <w:pStyle w:val="ListBullet"/>
        <w:spacing w:before="0" w:after="0"/>
        <w:rPr>
          <w:rFonts w:asciiTheme="minorHAnsi" w:hAnsiTheme="minorHAnsi"/>
        </w:rPr>
      </w:pPr>
      <w:r w:rsidRPr="0074265F">
        <w:rPr>
          <w:rFonts w:asciiTheme="minorHAnsi" w:hAnsiTheme="minorHAnsi"/>
        </w:rPr>
        <w:t>Contracting all long-term consultants embedded within GOI ministries and agencies, ensuring their effective performance.</w:t>
      </w:r>
    </w:p>
    <w:p w14:paraId="43B1BD86" w14:textId="77777777" w:rsidR="0074265F" w:rsidRPr="0074265F" w:rsidRDefault="0074265F" w:rsidP="0074265F">
      <w:pPr>
        <w:pStyle w:val="ListBullet"/>
        <w:spacing w:before="0" w:after="0"/>
        <w:rPr>
          <w:rFonts w:asciiTheme="minorHAnsi" w:hAnsiTheme="minorHAnsi"/>
        </w:rPr>
      </w:pPr>
      <w:r w:rsidRPr="0074265F">
        <w:rPr>
          <w:rFonts w:asciiTheme="minorHAnsi" w:hAnsiTheme="minorHAnsi"/>
        </w:rPr>
        <w:t>Managing a pool of short-term consultants that can undertake assignments for GOI in support of the embedded engagement teams and DFAT.</w:t>
      </w:r>
    </w:p>
    <w:p w14:paraId="14C0864A" w14:textId="77777777" w:rsidR="0074265F" w:rsidRPr="0074265F" w:rsidRDefault="0074265F" w:rsidP="0074265F">
      <w:pPr>
        <w:pStyle w:val="ListBullet"/>
        <w:spacing w:before="0" w:after="0"/>
        <w:rPr>
          <w:rFonts w:asciiTheme="minorHAnsi" w:hAnsiTheme="minorHAnsi"/>
        </w:rPr>
      </w:pPr>
      <w:r w:rsidRPr="0074265F">
        <w:rPr>
          <w:rFonts w:asciiTheme="minorHAnsi" w:hAnsiTheme="minorHAnsi"/>
        </w:rPr>
        <w:t>Selecting the two national think tanks and overseeing their performance.</w:t>
      </w:r>
      <w:r w:rsidR="00A557D3">
        <w:rPr>
          <w:rStyle w:val="FootnoteReference"/>
          <w:rFonts w:asciiTheme="minorHAnsi" w:hAnsiTheme="minorHAnsi"/>
        </w:rPr>
        <w:footnoteReference w:id="12"/>
      </w:r>
    </w:p>
    <w:p w14:paraId="38EC78BC" w14:textId="77777777" w:rsidR="0074265F" w:rsidRDefault="0074265F" w:rsidP="0074265F">
      <w:pPr>
        <w:pStyle w:val="ListBullet"/>
        <w:spacing w:before="0" w:after="0"/>
        <w:rPr>
          <w:rFonts w:asciiTheme="minorHAnsi" w:hAnsiTheme="minorHAnsi"/>
        </w:rPr>
      </w:pPr>
      <w:r w:rsidRPr="0074265F">
        <w:rPr>
          <w:rFonts w:asciiTheme="minorHAnsi" w:hAnsiTheme="minorHAnsi"/>
        </w:rPr>
        <w:t xml:space="preserve">Facilitating the operations of the </w:t>
      </w:r>
      <w:r w:rsidR="00860678">
        <w:rPr>
          <w:rFonts w:asciiTheme="minorHAnsi" w:hAnsiTheme="minorHAnsi"/>
        </w:rPr>
        <w:t>SP Hub</w:t>
      </w:r>
      <w:r w:rsidRPr="0074265F">
        <w:rPr>
          <w:rFonts w:asciiTheme="minorHAnsi" w:hAnsiTheme="minorHAnsi"/>
        </w:rPr>
        <w:t>.</w:t>
      </w:r>
    </w:p>
    <w:p w14:paraId="62E09272" w14:textId="6E9DDE0C" w:rsidR="00CC2421" w:rsidRPr="0074265F" w:rsidRDefault="00CC2421" w:rsidP="0074265F">
      <w:pPr>
        <w:pStyle w:val="ListBullet"/>
        <w:spacing w:before="0" w:after="0"/>
        <w:rPr>
          <w:rFonts w:asciiTheme="minorHAnsi" w:hAnsiTheme="minorHAnsi"/>
        </w:rPr>
      </w:pPr>
      <w:r>
        <w:rPr>
          <w:rFonts w:asciiTheme="minorHAnsi" w:hAnsiTheme="minorHAnsi"/>
        </w:rPr>
        <w:t xml:space="preserve">Coordinating with AIPD to deliver Output </w:t>
      </w:r>
      <w:r w:rsidR="003D5F52">
        <w:rPr>
          <w:rFonts w:asciiTheme="minorHAnsi" w:hAnsiTheme="minorHAnsi"/>
        </w:rPr>
        <w:t>3</w:t>
      </w:r>
      <w:r w:rsidR="00255E85">
        <w:rPr>
          <w:rFonts w:asciiTheme="minorHAnsi" w:hAnsiTheme="minorHAnsi"/>
        </w:rPr>
        <w:t>,</w:t>
      </w:r>
      <w:r w:rsidR="00F835B1">
        <w:rPr>
          <w:rFonts w:asciiTheme="minorHAnsi" w:hAnsiTheme="minorHAnsi"/>
        </w:rPr>
        <w:t xml:space="preserve"> </w:t>
      </w:r>
      <w:r w:rsidR="00255E85">
        <w:rPr>
          <w:rFonts w:asciiTheme="minorHAnsi" w:hAnsiTheme="minorHAnsi"/>
        </w:rPr>
        <w:t>and coordinating with other program areas as directed.</w:t>
      </w:r>
    </w:p>
    <w:p w14:paraId="5C5F0A8F" w14:textId="768D214A" w:rsidR="0074265F" w:rsidRPr="0074265F" w:rsidRDefault="0074265F" w:rsidP="0074265F">
      <w:pPr>
        <w:pStyle w:val="ListBullet"/>
        <w:spacing w:before="0" w:after="0"/>
        <w:rPr>
          <w:rFonts w:asciiTheme="minorHAnsi" w:hAnsiTheme="minorHAnsi"/>
        </w:rPr>
      </w:pPr>
      <w:r w:rsidRPr="0074265F">
        <w:rPr>
          <w:rFonts w:asciiTheme="minorHAnsi" w:hAnsiTheme="minorHAnsi"/>
        </w:rPr>
        <w:t xml:space="preserve">Facilitating the development of work plans, budgets and reports for the </w:t>
      </w:r>
      <w:r w:rsidR="00F46278">
        <w:rPr>
          <w:rFonts w:asciiTheme="minorHAnsi" w:hAnsiTheme="minorHAnsi"/>
        </w:rPr>
        <w:t>m</w:t>
      </w:r>
      <w:r w:rsidRPr="0074265F">
        <w:rPr>
          <w:rFonts w:asciiTheme="minorHAnsi" w:hAnsiTheme="minorHAnsi"/>
        </w:rPr>
        <w:t xml:space="preserve">inistries, agencies and think tanks supported by MAHKOTA and consolidating them for the </w:t>
      </w:r>
      <w:r w:rsidR="000D1EF6">
        <w:rPr>
          <w:rFonts w:asciiTheme="minorHAnsi" w:hAnsiTheme="minorHAnsi"/>
        </w:rPr>
        <w:t>T</w:t>
      </w:r>
      <w:r w:rsidR="000C2586">
        <w:rPr>
          <w:rFonts w:asciiTheme="minorHAnsi" w:hAnsiTheme="minorHAnsi"/>
        </w:rPr>
        <w:t>C</w:t>
      </w:r>
      <w:r w:rsidRPr="0074265F">
        <w:rPr>
          <w:rFonts w:asciiTheme="minorHAnsi" w:hAnsiTheme="minorHAnsi"/>
        </w:rPr>
        <w:t xml:space="preserve"> and </w:t>
      </w:r>
      <w:r w:rsidR="00F46278">
        <w:rPr>
          <w:rFonts w:asciiTheme="minorHAnsi" w:hAnsiTheme="minorHAnsi"/>
        </w:rPr>
        <w:t>SC</w:t>
      </w:r>
      <w:r w:rsidRPr="0074265F">
        <w:rPr>
          <w:rFonts w:asciiTheme="minorHAnsi" w:hAnsiTheme="minorHAnsi"/>
        </w:rPr>
        <w:t>.</w:t>
      </w:r>
    </w:p>
    <w:p w14:paraId="45250669" w14:textId="77777777" w:rsidR="0074265F" w:rsidRDefault="0074265F" w:rsidP="0074265F">
      <w:pPr>
        <w:pStyle w:val="ListBullet"/>
        <w:spacing w:before="0" w:after="0"/>
        <w:rPr>
          <w:rFonts w:asciiTheme="minorHAnsi" w:hAnsiTheme="minorHAnsi"/>
        </w:rPr>
      </w:pPr>
      <w:r w:rsidRPr="0074265F">
        <w:rPr>
          <w:rFonts w:asciiTheme="minorHAnsi" w:hAnsiTheme="minorHAnsi"/>
        </w:rPr>
        <w:t xml:space="preserve">Providing effective management of all funds available to the ministries, agencies and think tanks, as well as funds directly implemented by the </w:t>
      </w:r>
      <w:r w:rsidR="00F46278">
        <w:rPr>
          <w:rFonts w:asciiTheme="minorHAnsi" w:hAnsiTheme="minorHAnsi"/>
        </w:rPr>
        <w:t>MC</w:t>
      </w:r>
      <w:r w:rsidRPr="0074265F">
        <w:rPr>
          <w:rFonts w:asciiTheme="minorHAnsi" w:hAnsiTheme="minorHAnsi"/>
        </w:rPr>
        <w:t xml:space="preserve"> and SP Hub.</w:t>
      </w:r>
    </w:p>
    <w:p w14:paraId="3873CAA7" w14:textId="77777777" w:rsidR="00545D2A" w:rsidRPr="0074265F" w:rsidRDefault="00573ADC" w:rsidP="0074265F">
      <w:pPr>
        <w:pStyle w:val="ListBullet"/>
        <w:spacing w:before="0" w:after="0"/>
        <w:rPr>
          <w:rFonts w:asciiTheme="minorHAnsi" w:hAnsiTheme="minorHAnsi"/>
        </w:rPr>
      </w:pPr>
      <w:r>
        <w:rPr>
          <w:rFonts w:asciiTheme="minorHAnsi" w:hAnsiTheme="minorHAnsi"/>
        </w:rPr>
        <w:t>Prepare a</w:t>
      </w:r>
      <w:r w:rsidR="00545D2A">
        <w:rPr>
          <w:rFonts w:asciiTheme="minorHAnsi" w:hAnsiTheme="minorHAnsi"/>
        </w:rPr>
        <w:t xml:space="preserve"> capacity developm</w:t>
      </w:r>
      <w:r>
        <w:rPr>
          <w:rFonts w:asciiTheme="minorHAnsi" w:hAnsiTheme="minorHAnsi"/>
        </w:rPr>
        <w:t>ent strategy including for think tanks</w:t>
      </w:r>
      <w:r w:rsidR="00545D2A">
        <w:rPr>
          <w:rFonts w:asciiTheme="minorHAnsi" w:hAnsiTheme="minorHAnsi"/>
        </w:rPr>
        <w:t>.</w:t>
      </w:r>
    </w:p>
    <w:p w14:paraId="4D3240B5" w14:textId="77777777" w:rsidR="0074265F" w:rsidRPr="0074265F" w:rsidRDefault="0074265F" w:rsidP="00C53F00">
      <w:pPr>
        <w:pStyle w:val="ListBullet"/>
        <w:spacing w:before="0"/>
        <w:rPr>
          <w:rFonts w:asciiTheme="minorHAnsi" w:hAnsiTheme="minorHAnsi"/>
        </w:rPr>
      </w:pPr>
      <w:r w:rsidRPr="0074265F">
        <w:rPr>
          <w:rFonts w:asciiTheme="minorHAnsi" w:hAnsiTheme="minorHAnsi"/>
        </w:rPr>
        <w:t xml:space="preserve">Quality assuring all deliverables produced by MAHKOTA, including those produced by the </w:t>
      </w:r>
      <w:r w:rsidR="001F227B">
        <w:rPr>
          <w:rFonts w:asciiTheme="minorHAnsi" w:hAnsiTheme="minorHAnsi"/>
        </w:rPr>
        <w:t>SP Hub</w:t>
      </w:r>
      <w:r w:rsidRPr="0074265F">
        <w:rPr>
          <w:rFonts w:asciiTheme="minorHAnsi" w:hAnsiTheme="minorHAnsi"/>
        </w:rPr>
        <w:t xml:space="preserve"> if requested by DFAT.</w:t>
      </w:r>
    </w:p>
    <w:p w14:paraId="1BE94A01" w14:textId="395C72CA" w:rsidR="0074265F" w:rsidRPr="0074265F" w:rsidRDefault="0074265F" w:rsidP="00C53F00">
      <w:pPr>
        <w:pStyle w:val="BodyText"/>
        <w:spacing w:before="120" w:after="120"/>
        <w:rPr>
          <w:rFonts w:asciiTheme="minorHAnsi" w:hAnsiTheme="minorHAnsi"/>
        </w:rPr>
      </w:pPr>
      <w:r w:rsidRPr="0074265F">
        <w:rPr>
          <w:rFonts w:asciiTheme="minorHAnsi" w:hAnsiTheme="minorHAnsi"/>
        </w:rPr>
        <w:t xml:space="preserve">During the </w:t>
      </w:r>
      <w:r w:rsidR="00072520">
        <w:rPr>
          <w:rFonts w:asciiTheme="minorHAnsi" w:hAnsiTheme="minorHAnsi"/>
        </w:rPr>
        <w:t>MC</w:t>
      </w:r>
      <w:r w:rsidR="00072520" w:rsidRPr="0074265F">
        <w:rPr>
          <w:rFonts w:asciiTheme="minorHAnsi" w:hAnsiTheme="minorHAnsi"/>
        </w:rPr>
        <w:t xml:space="preserve"> </w:t>
      </w:r>
      <w:r w:rsidRPr="0074265F">
        <w:rPr>
          <w:rFonts w:asciiTheme="minorHAnsi" w:hAnsiTheme="minorHAnsi"/>
        </w:rPr>
        <w:t xml:space="preserve">tender process, bidders will present proposals on </w:t>
      </w:r>
      <w:r w:rsidR="00A557D3">
        <w:rPr>
          <w:rFonts w:asciiTheme="minorHAnsi" w:hAnsiTheme="minorHAnsi"/>
        </w:rPr>
        <w:t xml:space="preserve">their ability and experience to source </w:t>
      </w:r>
      <w:r w:rsidRPr="0074265F">
        <w:rPr>
          <w:rFonts w:asciiTheme="minorHAnsi" w:hAnsiTheme="minorHAnsi"/>
        </w:rPr>
        <w:t xml:space="preserve">technical and administrative </w:t>
      </w:r>
      <w:r w:rsidR="00B43226">
        <w:rPr>
          <w:rFonts w:asciiTheme="minorHAnsi" w:hAnsiTheme="minorHAnsi"/>
        </w:rPr>
        <w:t>facility staff</w:t>
      </w:r>
      <w:r w:rsidRPr="0074265F">
        <w:rPr>
          <w:rFonts w:asciiTheme="minorHAnsi" w:hAnsiTheme="minorHAnsi"/>
        </w:rPr>
        <w:t xml:space="preserve">. </w:t>
      </w:r>
      <w:r w:rsidR="00B43226">
        <w:rPr>
          <w:rFonts w:asciiTheme="minorHAnsi" w:hAnsiTheme="minorHAnsi"/>
        </w:rPr>
        <w:t>T</w:t>
      </w:r>
      <w:r w:rsidRPr="0074265F">
        <w:rPr>
          <w:rFonts w:asciiTheme="minorHAnsi" w:hAnsiTheme="minorHAnsi"/>
        </w:rPr>
        <w:t xml:space="preserve">echnical </w:t>
      </w:r>
      <w:r w:rsidR="00B43226">
        <w:rPr>
          <w:rFonts w:asciiTheme="minorHAnsi" w:hAnsiTheme="minorHAnsi"/>
        </w:rPr>
        <w:t>staff</w:t>
      </w:r>
      <w:r w:rsidRPr="0074265F">
        <w:rPr>
          <w:rFonts w:asciiTheme="minorHAnsi" w:hAnsiTheme="minorHAnsi"/>
        </w:rPr>
        <w:t xml:space="preserve"> </w:t>
      </w:r>
      <w:r w:rsidR="00072520">
        <w:rPr>
          <w:rFonts w:asciiTheme="minorHAnsi" w:hAnsiTheme="minorHAnsi"/>
        </w:rPr>
        <w:t>will</w:t>
      </w:r>
      <w:r w:rsidRPr="0074265F">
        <w:rPr>
          <w:rFonts w:asciiTheme="minorHAnsi" w:hAnsiTheme="minorHAnsi"/>
        </w:rPr>
        <w:t xml:space="preserve"> have the skills to provide advice and support to the long-term consultants, quality assure all deliverables and undertake research and analysis as required by DFAT, providing advice to the DFAT social protection team and </w:t>
      </w:r>
      <w:r w:rsidR="003D5F52">
        <w:rPr>
          <w:rFonts w:asciiTheme="minorHAnsi" w:hAnsiTheme="minorHAnsi"/>
        </w:rPr>
        <w:t xml:space="preserve">the </w:t>
      </w:r>
      <w:r w:rsidRPr="0074265F">
        <w:rPr>
          <w:rFonts w:asciiTheme="minorHAnsi" w:hAnsiTheme="minorHAnsi"/>
        </w:rPr>
        <w:t>SP Hub.</w:t>
      </w:r>
    </w:p>
    <w:p w14:paraId="5FC8D191" w14:textId="361CB604" w:rsidR="0074265F" w:rsidRDefault="0074265F" w:rsidP="00C53F00">
      <w:pPr>
        <w:pStyle w:val="BodyText"/>
        <w:spacing w:before="120" w:after="120"/>
      </w:pPr>
      <w:r>
        <w:t xml:space="preserve">“Engagement teams” will be established within GOI ministries and agencies. They will be embedded within GOI structures, working alongside government counterparts. They will report into government management structures, which will be agreed during the Inception Phase. </w:t>
      </w:r>
      <w:r w:rsidR="00B43226">
        <w:t>C</w:t>
      </w:r>
      <w:r>
        <w:t xml:space="preserve">ombined GOI and technical assistance teams will produce regular work plans, budgets and reports provided to the </w:t>
      </w:r>
      <w:r w:rsidR="00F46278">
        <w:t>MC</w:t>
      </w:r>
      <w:r>
        <w:t xml:space="preserve">, and will be responsible for the effective delivery of their work plans. They will also be responsible for developing more detailed proposals for specific activities, which will be reviewed by the </w:t>
      </w:r>
      <w:r w:rsidR="00F46278">
        <w:t>MC</w:t>
      </w:r>
      <w:r>
        <w:t xml:space="preserve"> and endorsed by the </w:t>
      </w:r>
      <w:r w:rsidR="000D1EF6">
        <w:t>TC</w:t>
      </w:r>
      <w:r>
        <w:t>.</w:t>
      </w:r>
    </w:p>
    <w:p w14:paraId="361C9346" w14:textId="6B7B9A83" w:rsidR="0074265F" w:rsidRDefault="0074265F" w:rsidP="00C53F00">
      <w:pPr>
        <w:pStyle w:val="BodyText"/>
        <w:spacing w:before="120" w:after="120"/>
      </w:pPr>
      <w:r>
        <w:t xml:space="preserve">Each combined team within a GOI ministry or agency will </w:t>
      </w:r>
      <w:r w:rsidR="00F20987">
        <w:t xml:space="preserve">be allocated </w:t>
      </w:r>
      <w:r>
        <w:t>an an</w:t>
      </w:r>
      <w:r w:rsidR="00F20987">
        <w:t>nual, minimum funding envelope</w:t>
      </w:r>
      <w:r>
        <w:t xml:space="preserve">. However, they will be able to access additional funds from the </w:t>
      </w:r>
      <w:r w:rsidR="00F46278">
        <w:t>MC</w:t>
      </w:r>
      <w:r>
        <w:t xml:space="preserve"> through proposals set out in their work plans, if endorsed by the </w:t>
      </w:r>
      <w:r w:rsidR="000D1EF6">
        <w:t>TC</w:t>
      </w:r>
      <w:r w:rsidR="003D5F52">
        <w:t xml:space="preserve"> </w:t>
      </w:r>
      <w:r>
        <w:t xml:space="preserve">and/or </w:t>
      </w:r>
      <w:r w:rsidR="00F46278">
        <w:t>SC</w:t>
      </w:r>
      <w:r>
        <w:t>.</w:t>
      </w:r>
    </w:p>
    <w:p w14:paraId="014AB7FB" w14:textId="77777777" w:rsidR="0074265F" w:rsidRDefault="00F44153" w:rsidP="00C53F00">
      <w:pPr>
        <w:pStyle w:val="BodyText"/>
        <w:spacing w:before="120" w:after="120"/>
      </w:pPr>
      <w:r>
        <w:t>The national think t</w:t>
      </w:r>
      <w:r w:rsidR="0074265F">
        <w:t xml:space="preserve">anks will be allocated funding on an annual basis, which should be used to contract specialist staff and undertake research, analysis and communications. The </w:t>
      </w:r>
      <w:r w:rsidR="00C74FAC">
        <w:t xml:space="preserve">think tanks </w:t>
      </w:r>
      <w:r w:rsidR="0074265F">
        <w:t xml:space="preserve">will produce annual work plans and budgets that will be endorsed by the </w:t>
      </w:r>
      <w:r w:rsidR="00F46278">
        <w:t>SC</w:t>
      </w:r>
      <w:r w:rsidR="0074265F">
        <w:t xml:space="preserve">. </w:t>
      </w:r>
    </w:p>
    <w:p w14:paraId="2A80B99A" w14:textId="77777777" w:rsidR="0074265F" w:rsidRDefault="0074265F" w:rsidP="00C53F00">
      <w:pPr>
        <w:pStyle w:val="BodyText"/>
        <w:spacing w:before="120" w:after="120"/>
      </w:pPr>
      <w:r>
        <w:t xml:space="preserve">The </w:t>
      </w:r>
      <w:r w:rsidR="00F46278">
        <w:t>MC</w:t>
      </w:r>
      <w:r>
        <w:t xml:space="preserve"> will contract staff to work within the </w:t>
      </w:r>
      <w:r w:rsidR="00860678">
        <w:t>SP Hub</w:t>
      </w:r>
      <w:r>
        <w:t xml:space="preserve"> on behalf of DFAT</w:t>
      </w:r>
      <w:r w:rsidR="00F20987">
        <w:t xml:space="preserve">, and </w:t>
      </w:r>
      <w:r w:rsidR="00860678">
        <w:t>SP Hub</w:t>
      </w:r>
      <w:r>
        <w:t xml:space="preserve"> staff will report directly to a Senior Social Protection Specialist based in Canberra. Together they will produce annual work plans and budgets</w:t>
      </w:r>
      <w:r w:rsidR="00F20987">
        <w:t xml:space="preserve"> that</w:t>
      </w:r>
      <w:r>
        <w:t xml:space="preserve"> will be endorsed by DFAT</w:t>
      </w:r>
      <w:r w:rsidR="00B734ED">
        <w:t xml:space="preserve"> Canberra</w:t>
      </w:r>
      <w:r>
        <w:t xml:space="preserve">. Annual reports from the SP Hub will be reviewed and endorsed </w:t>
      </w:r>
      <w:r w:rsidR="00B43226">
        <w:t>by</w:t>
      </w:r>
      <w:r>
        <w:t xml:space="preserve"> DFAT</w:t>
      </w:r>
      <w:r w:rsidR="00B734ED">
        <w:t xml:space="preserve"> Canberra</w:t>
      </w:r>
      <w:r>
        <w:t>.</w:t>
      </w:r>
    </w:p>
    <w:p w14:paraId="275D233D" w14:textId="77777777" w:rsidR="00576243" w:rsidRPr="00320C90" w:rsidRDefault="0074265F" w:rsidP="00C53F00">
      <w:pPr>
        <w:pStyle w:val="Heading2"/>
        <w:numPr>
          <w:ilvl w:val="1"/>
          <w:numId w:val="15"/>
        </w:numPr>
        <w:spacing w:before="120"/>
      </w:pPr>
      <w:r>
        <w:t>World Bank</w:t>
      </w:r>
    </w:p>
    <w:p w14:paraId="3B1D956B" w14:textId="7F025089" w:rsidR="00307B10" w:rsidRDefault="00174796" w:rsidP="00C53F00">
      <w:pPr>
        <w:spacing w:after="120" w:line="240" w:lineRule="auto"/>
        <w:jc w:val="both"/>
        <w:rPr>
          <w:rFonts w:eastAsia="Times New Roman" w:cs="Times New Roman"/>
        </w:rPr>
      </w:pPr>
      <w:r>
        <w:rPr>
          <w:rFonts w:eastAsia="Times New Roman" w:cs="Times New Roman"/>
        </w:rPr>
        <w:t xml:space="preserve">The </w:t>
      </w:r>
      <w:r w:rsidR="003D5F52">
        <w:rPr>
          <w:rFonts w:eastAsia="Times New Roman" w:cs="Times New Roman"/>
        </w:rPr>
        <w:t>World Bank’s</w:t>
      </w:r>
      <w:r>
        <w:rPr>
          <w:rFonts w:eastAsia="Times New Roman" w:cs="Times New Roman"/>
        </w:rPr>
        <w:t xml:space="preserve"> role under the first phase of DFAT’s social protection support was to </w:t>
      </w:r>
      <w:r w:rsidR="00307B10">
        <w:rPr>
          <w:rFonts w:eastAsia="Times New Roman" w:cs="Times New Roman"/>
        </w:rPr>
        <w:t xml:space="preserve">play a think tank function, </w:t>
      </w:r>
      <w:r>
        <w:rPr>
          <w:rFonts w:eastAsia="Times New Roman" w:cs="Times New Roman"/>
        </w:rPr>
        <w:t>provid</w:t>
      </w:r>
      <w:r w:rsidR="00307B10">
        <w:rPr>
          <w:rFonts w:eastAsia="Times New Roman" w:cs="Times New Roman"/>
        </w:rPr>
        <w:t>ing</w:t>
      </w:r>
      <w:r>
        <w:rPr>
          <w:rFonts w:eastAsia="Times New Roman" w:cs="Times New Roman"/>
        </w:rPr>
        <w:t xml:space="preserve"> analysis and policy advice to GOI for poverty reduction and social protection. In addition to just-in-time policy advice</w:t>
      </w:r>
      <w:r w:rsidR="00B56D58">
        <w:rPr>
          <w:rFonts w:eastAsia="Times New Roman" w:cs="Times New Roman"/>
        </w:rPr>
        <w:t>,</w:t>
      </w:r>
      <w:r>
        <w:rPr>
          <w:rFonts w:eastAsia="Times New Roman" w:cs="Times New Roman"/>
        </w:rPr>
        <w:t xml:space="preserve"> </w:t>
      </w:r>
      <w:r w:rsidR="003D5F52">
        <w:rPr>
          <w:rFonts w:eastAsia="Times New Roman" w:cs="Times New Roman"/>
        </w:rPr>
        <w:t>the World Bank</w:t>
      </w:r>
      <w:r>
        <w:rPr>
          <w:rFonts w:eastAsia="Times New Roman" w:cs="Times New Roman"/>
        </w:rPr>
        <w:t xml:space="preserve"> made key contributions to the development of the UDB; produced the first public expenditure reviews of the national poverty-targeted social assistance programs; and catalysed development of GOI’s employment </w:t>
      </w:r>
      <w:r w:rsidR="0098637F">
        <w:rPr>
          <w:rFonts w:eastAsia="Times New Roman" w:cs="Times New Roman"/>
        </w:rPr>
        <w:t>social security</w:t>
      </w:r>
      <w:r>
        <w:rPr>
          <w:rFonts w:eastAsia="Times New Roman" w:cs="Times New Roman"/>
        </w:rPr>
        <w:t xml:space="preserve"> roadmap. </w:t>
      </w:r>
    </w:p>
    <w:p w14:paraId="78F9F92E" w14:textId="0234995A" w:rsidR="007E6A65" w:rsidRPr="00BC0CB7" w:rsidRDefault="003D5F52" w:rsidP="00C53F00">
      <w:pPr>
        <w:spacing w:before="120" w:after="120" w:line="240" w:lineRule="auto"/>
        <w:jc w:val="both"/>
        <w:rPr>
          <w:rFonts w:eastAsia="Times New Roman" w:cs="Times New Roman"/>
        </w:rPr>
      </w:pPr>
      <w:r>
        <w:rPr>
          <w:rFonts w:eastAsia="Times New Roman" w:cs="Times New Roman"/>
        </w:rPr>
        <w:t>I</w:t>
      </w:r>
      <w:r w:rsidR="00307B10">
        <w:rPr>
          <w:rFonts w:eastAsia="Times New Roman" w:cs="Times New Roman"/>
        </w:rPr>
        <w:t xml:space="preserve">t will take some time before national institutions are able to deliver policy advice of the same quality and responsiveness as </w:t>
      </w:r>
      <w:r>
        <w:rPr>
          <w:rFonts w:eastAsia="Times New Roman" w:cs="Times New Roman"/>
        </w:rPr>
        <w:t>the World Bank</w:t>
      </w:r>
      <w:r w:rsidR="00307B10">
        <w:rPr>
          <w:rFonts w:eastAsia="Times New Roman" w:cs="Times New Roman"/>
        </w:rPr>
        <w:t xml:space="preserve">, so </w:t>
      </w:r>
      <w:r w:rsidR="005558D5" w:rsidRPr="0003745C">
        <w:rPr>
          <w:rFonts w:eastAsia="Times New Roman" w:cs="Times New Roman"/>
        </w:rPr>
        <w:t xml:space="preserve">DFAT will continue </w:t>
      </w:r>
      <w:r w:rsidR="005558D5">
        <w:rPr>
          <w:rFonts w:eastAsia="Times New Roman" w:cs="Times New Roman"/>
        </w:rPr>
        <w:t xml:space="preserve">to support </w:t>
      </w:r>
      <w:r>
        <w:rPr>
          <w:rFonts w:eastAsia="Times New Roman" w:cs="Times New Roman"/>
        </w:rPr>
        <w:t>the World Bank</w:t>
      </w:r>
      <w:r w:rsidR="005558D5">
        <w:rPr>
          <w:rFonts w:eastAsia="Times New Roman" w:cs="Times New Roman"/>
        </w:rPr>
        <w:t xml:space="preserve"> in this role. </w:t>
      </w:r>
      <w:r w:rsidR="00602DDC">
        <w:rPr>
          <w:rFonts w:eastAsia="Times New Roman" w:cs="Times New Roman"/>
        </w:rPr>
        <w:t xml:space="preserve">We will maintain </w:t>
      </w:r>
      <w:r w:rsidR="00307B10">
        <w:rPr>
          <w:rFonts w:eastAsia="Times New Roman" w:cs="Times New Roman"/>
        </w:rPr>
        <w:t xml:space="preserve">the </w:t>
      </w:r>
      <w:r w:rsidR="007E6A65" w:rsidRPr="0003745C">
        <w:rPr>
          <w:rFonts w:eastAsia="Times New Roman" w:cs="Times New Roman"/>
        </w:rPr>
        <w:t xml:space="preserve">current Trust Fund arrangements with the </w:t>
      </w:r>
      <w:r>
        <w:rPr>
          <w:rFonts w:eastAsia="Times New Roman" w:cs="Times New Roman"/>
        </w:rPr>
        <w:t>World Bank</w:t>
      </w:r>
      <w:r w:rsidR="00F44153">
        <w:rPr>
          <w:rFonts w:eastAsia="Times New Roman" w:cs="Times New Roman"/>
        </w:rPr>
        <w:t xml:space="preserve"> </w:t>
      </w:r>
      <w:r w:rsidR="00F83F29">
        <w:rPr>
          <w:rFonts w:eastAsia="Times New Roman" w:cs="Times New Roman"/>
        </w:rPr>
        <w:t>including</w:t>
      </w:r>
      <w:r w:rsidR="00F44153">
        <w:rPr>
          <w:rFonts w:eastAsia="Times New Roman" w:cs="Times New Roman"/>
        </w:rPr>
        <w:t xml:space="preserve"> the existing governance structure and reporting arrangements</w:t>
      </w:r>
      <w:r w:rsidR="007E6A65" w:rsidRPr="0003745C">
        <w:rPr>
          <w:rFonts w:eastAsia="Times New Roman" w:cs="Times New Roman"/>
        </w:rPr>
        <w:t xml:space="preserve">. </w:t>
      </w:r>
      <w:r w:rsidR="00F44153">
        <w:rPr>
          <w:rFonts w:eastAsia="Times New Roman" w:cs="Times New Roman"/>
        </w:rPr>
        <w:t xml:space="preserve">The Trust Fund operates under the oversight of </w:t>
      </w:r>
      <w:r w:rsidR="00F44153" w:rsidRPr="002E7882">
        <w:rPr>
          <w:rFonts w:eastAsia="Times New Roman" w:cs="Times New Roman"/>
        </w:rPr>
        <w:t>a S</w:t>
      </w:r>
      <w:r>
        <w:rPr>
          <w:rFonts w:eastAsia="Times New Roman" w:cs="Times New Roman"/>
        </w:rPr>
        <w:t xml:space="preserve">teering </w:t>
      </w:r>
      <w:r w:rsidR="00F44153" w:rsidRPr="002E7882">
        <w:rPr>
          <w:rFonts w:eastAsia="Times New Roman" w:cs="Times New Roman"/>
        </w:rPr>
        <w:t>C</w:t>
      </w:r>
      <w:r>
        <w:rPr>
          <w:rFonts w:eastAsia="Times New Roman" w:cs="Times New Roman"/>
        </w:rPr>
        <w:t>ommittee</w:t>
      </w:r>
      <w:r w:rsidR="00F44153" w:rsidRPr="002E7882">
        <w:rPr>
          <w:rFonts w:eastAsia="Times New Roman" w:cs="Times New Roman"/>
        </w:rPr>
        <w:t xml:space="preserve"> co-chaired by DFAT, TNP2K and </w:t>
      </w:r>
      <w:r>
        <w:rPr>
          <w:rFonts w:eastAsia="Times New Roman" w:cs="Times New Roman"/>
        </w:rPr>
        <w:t>the World Bank</w:t>
      </w:r>
      <w:r w:rsidR="00F44153" w:rsidRPr="002E7882">
        <w:rPr>
          <w:rFonts w:eastAsia="Times New Roman" w:cs="Times New Roman"/>
        </w:rPr>
        <w:t xml:space="preserve"> that meets annually.</w:t>
      </w:r>
      <w:r w:rsidR="00F44153">
        <w:rPr>
          <w:rFonts w:eastAsia="Times New Roman" w:cs="Times New Roman"/>
        </w:rPr>
        <w:t xml:space="preserve"> A Technical Committee consisting of DFAT, TNP2K, World Bank and Bappenas meets quarterly to assess critical needs and recommend </w:t>
      </w:r>
      <w:r w:rsidR="00F83F29">
        <w:rPr>
          <w:rFonts w:eastAsia="Times New Roman" w:cs="Times New Roman"/>
        </w:rPr>
        <w:t xml:space="preserve">appropriate actions. To improve coordination with MAHKOTA and reduce transaction costs the </w:t>
      </w:r>
      <w:r>
        <w:rPr>
          <w:rFonts w:eastAsia="Times New Roman" w:cs="Times New Roman"/>
        </w:rPr>
        <w:t>World Bank</w:t>
      </w:r>
      <w:r w:rsidR="00F83F29">
        <w:rPr>
          <w:rFonts w:eastAsia="Times New Roman" w:cs="Times New Roman"/>
        </w:rPr>
        <w:t xml:space="preserve"> Trust Fund and MAHKOTA Technical Committees will be merged, but the existing </w:t>
      </w:r>
      <w:r>
        <w:rPr>
          <w:rFonts w:eastAsia="Times New Roman" w:cs="Times New Roman"/>
        </w:rPr>
        <w:t>Trust Fund Steering Committee</w:t>
      </w:r>
      <w:r w:rsidR="00F83F29">
        <w:rPr>
          <w:rFonts w:eastAsia="Times New Roman" w:cs="Times New Roman"/>
        </w:rPr>
        <w:t xml:space="preserve"> will be maintained.</w:t>
      </w:r>
    </w:p>
    <w:p w14:paraId="28D95100" w14:textId="2B6CD6B8" w:rsidR="007E6A65" w:rsidRPr="0003745C" w:rsidRDefault="007E6A65" w:rsidP="00C53F00">
      <w:pPr>
        <w:spacing w:before="120" w:after="120" w:line="240" w:lineRule="auto"/>
        <w:jc w:val="both"/>
        <w:rPr>
          <w:rFonts w:eastAsia="Times New Roman" w:cs="Times New Roman"/>
        </w:rPr>
      </w:pPr>
      <w:r w:rsidRPr="0003745C">
        <w:rPr>
          <w:rFonts w:eastAsia="Times New Roman" w:cs="Times New Roman"/>
        </w:rPr>
        <w:t xml:space="preserve">The </w:t>
      </w:r>
      <w:r w:rsidR="003D5F52">
        <w:rPr>
          <w:rFonts w:eastAsia="Times New Roman" w:cs="Times New Roman"/>
        </w:rPr>
        <w:t>World Bank</w:t>
      </w:r>
      <w:r w:rsidRPr="0003745C">
        <w:rPr>
          <w:rFonts w:eastAsia="Times New Roman" w:cs="Times New Roman"/>
        </w:rPr>
        <w:t xml:space="preserve"> team p</w:t>
      </w:r>
      <w:r>
        <w:rPr>
          <w:rFonts w:eastAsia="Times New Roman" w:cs="Times New Roman"/>
        </w:rPr>
        <w:t>rovide</w:t>
      </w:r>
      <w:r w:rsidR="00F44153">
        <w:rPr>
          <w:rFonts w:eastAsia="Times New Roman" w:cs="Times New Roman"/>
        </w:rPr>
        <w:t>s</w:t>
      </w:r>
      <w:r>
        <w:rPr>
          <w:rFonts w:eastAsia="Times New Roman" w:cs="Times New Roman"/>
        </w:rPr>
        <w:t xml:space="preserve"> annual plans and budgets</w:t>
      </w:r>
      <w:r w:rsidRPr="0003745C">
        <w:rPr>
          <w:rFonts w:eastAsia="Times New Roman" w:cs="Times New Roman"/>
        </w:rPr>
        <w:t xml:space="preserve"> </w:t>
      </w:r>
      <w:r w:rsidR="00F44153">
        <w:rPr>
          <w:rFonts w:eastAsia="Times New Roman" w:cs="Times New Roman"/>
        </w:rPr>
        <w:t xml:space="preserve">that are </w:t>
      </w:r>
      <w:r w:rsidR="003D5F52">
        <w:rPr>
          <w:rFonts w:eastAsia="Times New Roman" w:cs="Times New Roman"/>
        </w:rPr>
        <w:t>approved by the Trust Fund Steering Committee</w:t>
      </w:r>
      <w:r w:rsidRPr="0003745C">
        <w:rPr>
          <w:rFonts w:eastAsia="Times New Roman" w:cs="Times New Roman"/>
        </w:rPr>
        <w:t>.</w:t>
      </w:r>
      <w:r w:rsidR="00F44153">
        <w:rPr>
          <w:rFonts w:eastAsia="Times New Roman" w:cs="Times New Roman"/>
        </w:rPr>
        <w:t xml:space="preserve"> In addition to quarterly TC meetings</w:t>
      </w:r>
      <w:r w:rsidRPr="0003745C">
        <w:rPr>
          <w:rFonts w:eastAsia="Times New Roman" w:cs="Times New Roman"/>
        </w:rPr>
        <w:t xml:space="preserve"> </w:t>
      </w:r>
      <w:r w:rsidR="00F44153">
        <w:rPr>
          <w:rFonts w:eastAsia="Times New Roman" w:cs="Times New Roman"/>
        </w:rPr>
        <w:t>t</w:t>
      </w:r>
      <w:r w:rsidRPr="0003745C">
        <w:rPr>
          <w:rFonts w:eastAsia="Times New Roman" w:cs="Times New Roman"/>
        </w:rPr>
        <w:t xml:space="preserve">he </w:t>
      </w:r>
      <w:r w:rsidR="00F44153">
        <w:rPr>
          <w:rFonts w:eastAsia="Times New Roman" w:cs="Times New Roman"/>
        </w:rPr>
        <w:t>DFAT</w:t>
      </w:r>
      <w:r w:rsidR="00F44153" w:rsidRPr="0003745C">
        <w:rPr>
          <w:rFonts w:eastAsia="Times New Roman" w:cs="Times New Roman"/>
        </w:rPr>
        <w:t xml:space="preserve"> Jakarta </w:t>
      </w:r>
      <w:r w:rsidR="00F44153">
        <w:rPr>
          <w:rFonts w:eastAsia="Times New Roman" w:cs="Times New Roman"/>
        </w:rPr>
        <w:t>social p</w:t>
      </w:r>
      <w:r w:rsidR="00F44153" w:rsidRPr="0003745C">
        <w:rPr>
          <w:rFonts w:eastAsia="Times New Roman" w:cs="Times New Roman"/>
        </w:rPr>
        <w:t xml:space="preserve">rotection team </w:t>
      </w:r>
      <w:r w:rsidRPr="0003745C">
        <w:rPr>
          <w:rFonts w:eastAsia="Times New Roman" w:cs="Times New Roman"/>
        </w:rPr>
        <w:t xml:space="preserve">program manager and adviser meet regularly with the </w:t>
      </w:r>
      <w:r w:rsidR="003D5F52">
        <w:rPr>
          <w:rFonts w:eastAsia="Times New Roman" w:cs="Times New Roman"/>
        </w:rPr>
        <w:t>World Bank</w:t>
      </w:r>
      <w:r w:rsidRPr="0003745C">
        <w:rPr>
          <w:rFonts w:eastAsia="Times New Roman" w:cs="Times New Roman"/>
        </w:rPr>
        <w:t xml:space="preserve"> team to review progress and </w:t>
      </w:r>
      <w:r w:rsidR="00F44153">
        <w:rPr>
          <w:rFonts w:eastAsia="Times New Roman" w:cs="Times New Roman"/>
        </w:rPr>
        <w:t>expenditure</w:t>
      </w:r>
      <w:r w:rsidRPr="0003745C">
        <w:rPr>
          <w:rFonts w:eastAsia="Times New Roman" w:cs="Times New Roman"/>
        </w:rPr>
        <w:t xml:space="preserve">. Any significant changes in plans and budgets will have to be approved by the </w:t>
      </w:r>
      <w:r w:rsidR="003D5F52">
        <w:rPr>
          <w:rFonts w:eastAsia="Times New Roman" w:cs="Times New Roman"/>
        </w:rPr>
        <w:t>Trust Fund Steering Committee</w:t>
      </w:r>
      <w:r w:rsidRPr="0003745C">
        <w:rPr>
          <w:rFonts w:eastAsia="Times New Roman" w:cs="Times New Roman"/>
        </w:rPr>
        <w:t xml:space="preserve">. </w:t>
      </w:r>
    </w:p>
    <w:p w14:paraId="34052712" w14:textId="77777777" w:rsidR="00E766FE" w:rsidRPr="00320C90" w:rsidRDefault="005B6461" w:rsidP="00C53F00">
      <w:pPr>
        <w:pStyle w:val="Heading2"/>
        <w:numPr>
          <w:ilvl w:val="1"/>
          <w:numId w:val="15"/>
        </w:numPr>
        <w:spacing w:before="120"/>
      </w:pPr>
      <w:r w:rsidRPr="00320C90">
        <w:t xml:space="preserve">Coordination – </w:t>
      </w:r>
      <w:r w:rsidR="004644D9">
        <w:t>MAHKOTA</w:t>
      </w:r>
      <w:r w:rsidR="009E7ED9">
        <w:t xml:space="preserve"> MC</w:t>
      </w:r>
      <w:r w:rsidR="009E7ED9" w:rsidRPr="00320C90">
        <w:t xml:space="preserve"> and </w:t>
      </w:r>
      <w:r w:rsidR="00B15164">
        <w:t>W</w:t>
      </w:r>
      <w:r w:rsidR="004644D9">
        <w:t xml:space="preserve">orld </w:t>
      </w:r>
      <w:r w:rsidR="00B15164">
        <w:t>B</w:t>
      </w:r>
      <w:r w:rsidR="004644D9">
        <w:t>ank</w:t>
      </w:r>
      <w:r w:rsidR="00B15164">
        <w:t xml:space="preserve"> </w:t>
      </w:r>
    </w:p>
    <w:p w14:paraId="44B8AE9D" w14:textId="49B52367" w:rsidR="005B6461" w:rsidRPr="00A16793" w:rsidRDefault="005B6461" w:rsidP="00C53F00">
      <w:pPr>
        <w:spacing w:after="120" w:line="240" w:lineRule="auto"/>
        <w:jc w:val="both"/>
        <w:rPr>
          <w:rFonts w:eastAsia="Times New Roman" w:cs="Times New Roman"/>
        </w:rPr>
      </w:pPr>
      <w:r w:rsidRPr="00A16793">
        <w:rPr>
          <w:rFonts w:eastAsia="Times New Roman" w:cs="Times New Roman"/>
        </w:rPr>
        <w:t xml:space="preserve">The </w:t>
      </w:r>
      <w:r w:rsidR="00B43226" w:rsidRPr="00A16793">
        <w:rPr>
          <w:rFonts w:eastAsia="Times New Roman" w:cs="Times New Roman"/>
        </w:rPr>
        <w:t xml:space="preserve">MAHKOTA MC Team Leader and the </w:t>
      </w:r>
      <w:r w:rsidR="003D5F52">
        <w:rPr>
          <w:rFonts w:eastAsia="Times New Roman" w:cs="Times New Roman"/>
        </w:rPr>
        <w:t>World Bank</w:t>
      </w:r>
      <w:r w:rsidRPr="00A16793">
        <w:rPr>
          <w:rFonts w:eastAsia="Times New Roman" w:cs="Times New Roman"/>
        </w:rPr>
        <w:t xml:space="preserve"> Manager will not have any formal accountability to, or </w:t>
      </w:r>
      <w:r w:rsidR="00320C90" w:rsidRPr="00A16793">
        <w:rPr>
          <w:rFonts w:eastAsia="Times New Roman" w:cs="Times New Roman"/>
        </w:rPr>
        <w:t>responsibility for, one another. They will coordinate over annual work planning</w:t>
      </w:r>
      <w:r w:rsidR="00CE20E3" w:rsidRPr="00A16793">
        <w:rPr>
          <w:rFonts w:eastAsia="Times New Roman" w:cs="Times New Roman"/>
        </w:rPr>
        <w:t xml:space="preserve"> and activity development through the</w:t>
      </w:r>
      <w:r w:rsidR="00320C90" w:rsidRPr="00A16793">
        <w:rPr>
          <w:rFonts w:eastAsia="Times New Roman" w:cs="Times New Roman"/>
        </w:rPr>
        <w:t xml:space="preserve"> </w:t>
      </w:r>
      <w:r w:rsidR="000D1EF6" w:rsidRPr="00A16793">
        <w:rPr>
          <w:rFonts w:eastAsia="Times New Roman" w:cs="Times New Roman"/>
        </w:rPr>
        <w:t>TC</w:t>
      </w:r>
      <w:r w:rsidR="00320C90" w:rsidRPr="00A16793">
        <w:rPr>
          <w:rFonts w:eastAsia="Times New Roman" w:cs="Times New Roman"/>
        </w:rPr>
        <w:t xml:space="preserve">. </w:t>
      </w:r>
      <w:r w:rsidR="00B43226" w:rsidRPr="00A16793">
        <w:rPr>
          <w:rFonts w:eastAsia="Times New Roman" w:cs="Times New Roman"/>
        </w:rPr>
        <w:t xml:space="preserve">MC </w:t>
      </w:r>
      <w:r w:rsidR="00320C90" w:rsidRPr="00A16793">
        <w:rPr>
          <w:rFonts w:eastAsia="Times New Roman" w:cs="Times New Roman"/>
        </w:rPr>
        <w:t xml:space="preserve">and </w:t>
      </w:r>
      <w:r w:rsidR="003D5F52">
        <w:rPr>
          <w:rFonts w:eastAsia="Times New Roman" w:cs="Times New Roman"/>
        </w:rPr>
        <w:t>World Bank</w:t>
      </w:r>
      <w:r w:rsidR="00B43226" w:rsidRPr="00A16793">
        <w:rPr>
          <w:rFonts w:eastAsia="Times New Roman" w:cs="Times New Roman"/>
        </w:rPr>
        <w:t xml:space="preserve"> </w:t>
      </w:r>
      <w:r w:rsidR="00320C90" w:rsidRPr="00A16793">
        <w:rPr>
          <w:rFonts w:eastAsia="Times New Roman" w:cs="Times New Roman"/>
        </w:rPr>
        <w:t xml:space="preserve">staff </w:t>
      </w:r>
      <w:r w:rsidR="002E7882">
        <w:rPr>
          <w:rFonts w:eastAsia="Times New Roman" w:cs="Times New Roman"/>
        </w:rPr>
        <w:t>will</w:t>
      </w:r>
      <w:r w:rsidR="002E7882" w:rsidRPr="00A16793">
        <w:rPr>
          <w:rFonts w:eastAsia="Times New Roman" w:cs="Times New Roman"/>
        </w:rPr>
        <w:t xml:space="preserve"> </w:t>
      </w:r>
      <w:r w:rsidR="00320C90" w:rsidRPr="00A16793">
        <w:rPr>
          <w:rFonts w:eastAsia="Times New Roman" w:cs="Times New Roman"/>
        </w:rPr>
        <w:t>collaborate on individual activities as determined by the</w:t>
      </w:r>
      <w:r w:rsidR="002E7882">
        <w:rPr>
          <w:rFonts w:eastAsia="Times New Roman" w:cs="Times New Roman"/>
        </w:rPr>
        <w:t>ir</w:t>
      </w:r>
      <w:r w:rsidR="00320C90" w:rsidRPr="00A16793">
        <w:rPr>
          <w:rFonts w:eastAsia="Times New Roman" w:cs="Times New Roman"/>
        </w:rPr>
        <w:t xml:space="preserve"> work</w:t>
      </w:r>
      <w:r w:rsidR="00F83F29" w:rsidRPr="00A16793">
        <w:rPr>
          <w:rFonts w:eastAsia="Times New Roman" w:cs="Times New Roman"/>
        </w:rPr>
        <w:t xml:space="preserve"> </w:t>
      </w:r>
      <w:r w:rsidR="00320C90" w:rsidRPr="00A16793">
        <w:rPr>
          <w:rFonts w:eastAsia="Times New Roman" w:cs="Times New Roman"/>
        </w:rPr>
        <w:t>plan</w:t>
      </w:r>
      <w:r w:rsidR="002E7882">
        <w:rPr>
          <w:rFonts w:eastAsia="Times New Roman" w:cs="Times New Roman"/>
        </w:rPr>
        <w:t>s, which will be developed in coordination with one another</w:t>
      </w:r>
      <w:r w:rsidR="00320C90" w:rsidRPr="00A16793">
        <w:rPr>
          <w:rFonts w:eastAsia="Times New Roman" w:cs="Times New Roman"/>
        </w:rPr>
        <w:t>.</w:t>
      </w:r>
    </w:p>
    <w:p w14:paraId="7C0F850A" w14:textId="77777777" w:rsidR="005E3207" w:rsidRDefault="005E3207" w:rsidP="005E3207">
      <w:pPr>
        <w:pStyle w:val="Heading2"/>
      </w:pPr>
      <w:r>
        <w:t>DFAT</w:t>
      </w:r>
    </w:p>
    <w:p w14:paraId="7A6FBFD3" w14:textId="606D79F6" w:rsidR="0074265F" w:rsidRPr="0003745C" w:rsidRDefault="0074265F" w:rsidP="00C53F00">
      <w:pPr>
        <w:spacing w:after="120" w:line="240" w:lineRule="auto"/>
        <w:jc w:val="both"/>
        <w:rPr>
          <w:rFonts w:eastAsia="Times New Roman" w:cs="Times New Roman"/>
        </w:rPr>
      </w:pPr>
      <w:r w:rsidRPr="0003745C">
        <w:rPr>
          <w:rFonts w:eastAsia="Times New Roman" w:cs="Times New Roman"/>
        </w:rPr>
        <w:t xml:space="preserve">The DFAT </w:t>
      </w:r>
      <w:r w:rsidR="00B734ED">
        <w:rPr>
          <w:rFonts w:eastAsia="Times New Roman" w:cs="Times New Roman"/>
        </w:rPr>
        <w:t>Social Protection Unit</w:t>
      </w:r>
      <w:r w:rsidR="00B734ED" w:rsidRPr="0003745C">
        <w:rPr>
          <w:rFonts w:eastAsia="Times New Roman" w:cs="Times New Roman"/>
        </w:rPr>
        <w:t xml:space="preserve"> </w:t>
      </w:r>
      <w:r w:rsidRPr="0003745C">
        <w:rPr>
          <w:rFonts w:eastAsia="Times New Roman" w:cs="Times New Roman"/>
        </w:rPr>
        <w:t xml:space="preserve">and adviser in the Jakarta team will regularly engage with the </w:t>
      </w:r>
      <w:r w:rsidR="00F46278">
        <w:rPr>
          <w:rFonts w:eastAsia="Times New Roman" w:cs="Times New Roman"/>
        </w:rPr>
        <w:t>MC</w:t>
      </w:r>
      <w:r w:rsidR="00E82689">
        <w:rPr>
          <w:rFonts w:eastAsia="Times New Roman" w:cs="Times New Roman"/>
        </w:rPr>
        <w:t xml:space="preserve"> and GOI partners</w:t>
      </w:r>
      <w:r w:rsidRPr="0003745C">
        <w:rPr>
          <w:rFonts w:eastAsia="Times New Roman" w:cs="Times New Roman"/>
        </w:rPr>
        <w:t xml:space="preserve"> to </w:t>
      </w:r>
      <w:r w:rsidR="00E82689">
        <w:rPr>
          <w:rFonts w:eastAsia="Times New Roman" w:cs="Times New Roman"/>
        </w:rPr>
        <w:t xml:space="preserve">monitor the strategic direction of the program and </w:t>
      </w:r>
      <w:r w:rsidRPr="0003745C">
        <w:rPr>
          <w:rFonts w:eastAsia="Times New Roman" w:cs="Times New Roman"/>
        </w:rPr>
        <w:t xml:space="preserve">monitor performance. They will ensure that activities are on track and deliverables are of high quality. Payment to the </w:t>
      </w:r>
      <w:r w:rsidR="007E6A65">
        <w:rPr>
          <w:rFonts w:eastAsia="Times New Roman" w:cs="Times New Roman"/>
        </w:rPr>
        <w:t>MC</w:t>
      </w:r>
      <w:r w:rsidRPr="0003745C">
        <w:rPr>
          <w:rFonts w:eastAsia="Times New Roman" w:cs="Times New Roman"/>
        </w:rPr>
        <w:t xml:space="preserve"> will be on a reimbursable basis and dependent on acceptable performance. </w:t>
      </w:r>
    </w:p>
    <w:p w14:paraId="2C1EF0C6" w14:textId="77777777" w:rsidR="0074265F" w:rsidRPr="0003745C" w:rsidRDefault="0074265F" w:rsidP="00162CB8">
      <w:pPr>
        <w:overflowPunct w:val="0"/>
        <w:autoSpaceDE w:val="0"/>
        <w:autoSpaceDN w:val="0"/>
        <w:adjustRightInd w:val="0"/>
        <w:spacing w:before="120" w:after="0"/>
        <w:jc w:val="both"/>
        <w:rPr>
          <w:rFonts w:eastAsia="Calibri" w:cs="Times New Roman"/>
          <w:kern w:val="28"/>
        </w:rPr>
      </w:pPr>
      <w:r w:rsidRPr="0003745C">
        <w:rPr>
          <w:rFonts w:eastAsia="Calibri" w:cs="Times New Roman"/>
          <w:kern w:val="28"/>
        </w:rPr>
        <w:t>The contract and supplier performance will be managed via:</w:t>
      </w:r>
    </w:p>
    <w:p w14:paraId="3A079DCB" w14:textId="77777777" w:rsidR="0074265F" w:rsidRPr="0003745C" w:rsidRDefault="002A036F" w:rsidP="0074265F">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Pr>
          <w:rFonts w:eastAsia="Calibri" w:cs="Times New Roman"/>
          <w:kern w:val="28"/>
        </w:rPr>
        <w:t>R</w:t>
      </w:r>
      <w:r w:rsidRPr="0003745C">
        <w:rPr>
          <w:rFonts w:eastAsia="Calibri" w:cs="Times New Roman"/>
          <w:kern w:val="28"/>
        </w:rPr>
        <w:t xml:space="preserve">egular </w:t>
      </w:r>
      <w:r>
        <w:rPr>
          <w:rFonts w:eastAsia="Calibri" w:cs="Times New Roman"/>
          <w:kern w:val="28"/>
        </w:rPr>
        <w:t>semi-annual</w:t>
      </w:r>
      <w:r w:rsidRPr="0003745C">
        <w:rPr>
          <w:rFonts w:eastAsia="Calibri" w:cs="Times New Roman"/>
          <w:kern w:val="28"/>
        </w:rPr>
        <w:t xml:space="preserve"> progress </w:t>
      </w:r>
      <w:r>
        <w:rPr>
          <w:rFonts w:eastAsia="Calibri" w:cs="Times New Roman"/>
          <w:kern w:val="28"/>
        </w:rPr>
        <w:t>reports</w:t>
      </w:r>
      <w:r w:rsidRPr="0003745C">
        <w:rPr>
          <w:rFonts w:eastAsia="Calibri" w:cs="Times New Roman"/>
          <w:kern w:val="28"/>
        </w:rPr>
        <w:t xml:space="preserve"> </w:t>
      </w:r>
      <w:r>
        <w:rPr>
          <w:rFonts w:eastAsia="Calibri" w:cs="Times New Roman"/>
          <w:kern w:val="28"/>
        </w:rPr>
        <w:t>by</w:t>
      </w:r>
      <w:r w:rsidRPr="0003745C">
        <w:rPr>
          <w:rFonts w:eastAsia="Calibri" w:cs="Times New Roman"/>
          <w:kern w:val="28"/>
        </w:rPr>
        <w:t xml:space="preserve"> </w:t>
      </w:r>
      <w:r>
        <w:rPr>
          <w:rFonts w:eastAsia="Calibri" w:cs="Times New Roman"/>
          <w:kern w:val="28"/>
        </w:rPr>
        <w:t>t</w:t>
      </w:r>
      <w:r w:rsidR="00802C2B" w:rsidRPr="0003745C">
        <w:rPr>
          <w:rFonts w:eastAsia="Calibri" w:cs="Times New Roman"/>
          <w:kern w:val="28"/>
        </w:rPr>
        <w:t xml:space="preserve">he </w:t>
      </w:r>
      <w:r w:rsidR="00802C2B">
        <w:rPr>
          <w:rFonts w:eastAsia="Calibri" w:cs="Times New Roman"/>
          <w:kern w:val="28"/>
        </w:rPr>
        <w:t xml:space="preserve">MC </w:t>
      </w:r>
      <w:r>
        <w:rPr>
          <w:rFonts w:eastAsia="Calibri" w:cs="Times New Roman"/>
          <w:kern w:val="28"/>
        </w:rPr>
        <w:t xml:space="preserve">that </w:t>
      </w:r>
      <w:r w:rsidR="00802C2B">
        <w:rPr>
          <w:rFonts w:eastAsia="Calibri" w:cs="Times New Roman"/>
          <w:kern w:val="28"/>
        </w:rPr>
        <w:t xml:space="preserve">will </w:t>
      </w:r>
      <w:r w:rsidR="0074265F" w:rsidRPr="0003745C">
        <w:rPr>
          <w:rFonts w:eastAsia="Calibri" w:cs="Times New Roman"/>
          <w:kern w:val="28"/>
        </w:rPr>
        <w:t xml:space="preserve">be responded to </w:t>
      </w:r>
      <w:r>
        <w:rPr>
          <w:rFonts w:eastAsia="Calibri" w:cs="Times New Roman"/>
          <w:kern w:val="28"/>
        </w:rPr>
        <w:t xml:space="preserve">by </w:t>
      </w:r>
      <w:r w:rsidR="0074265F" w:rsidRPr="0003745C">
        <w:rPr>
          <w:rFonts w:eastAsia="Calibri" w:cs="Times New Roman"/>
          <w:kern w:val="28"/>
        </w:rPr>
        <w:t xml:space="preserve">the </w:t>
      </w:r>
      <w:r w:rsidR="00802C2B" w:rsidRPr="0003745C">
        <w:rPr>
          <w:rFonts w:eastAsia="Calibri" w:cs="Times New Roman"/>
          <w:kern w:val="28"/>
        </w:rPr>
        <w:t xml:space="preserve">Jakarta office </w:t>
      </w:r>
      <w:r>
        <w:rPr>
          <w:rFonts w:eastAsia="Calibri" w:cs="Times New Roman"/>
          <w:kern w:val="28"/>
        </w:rPr>
        <w:t>s</w:t>
      </w:r>
      <w:r w:rsidR="0074265F" w:rsidRPr="0003745C">
        <w:rPr>
          <w:rFonts w:eastAsia="Calibri" w:cs="Times New Roman"/>
          <w:kern w:val="28"/>
        </w:rPr>
        <w:t xml:space="preserve">ocial </w:t>
      </w:r>
      <w:r>
        <w:rPr>
          <w:rFonts w:eastAsia="Calibri" w:cs="Times New Roman"/>
          <w:kern w:val="28"/>
        </w:rPr>
        <w:t>p</w:t>
      </w:r>
      <w:r w:rsidR="0074265F" w:rsidRPr="0003745C">
        <w:rPr>
          <w:rFonts w:eastAsia="Calibri" w:cs="Times New Roman"/>
          <w:kern w:val="28"/>
        </w:rPr>
        <w:t xml:space="preserve">rotection </w:t>
      </w:r>
      <w:r>
        <w:rPr>
          <w:rFonts w:eastAsia="Calibri" w:cs="Times New Roman"/>
          <w:kern w:val="28"/>
        </w:rPr>
        <w:t>t</w:t>
      </w:r>
      <w:r w:rsidR="0074265F" w:rsidRPr="0003745C">
        <w:rPr>
          <w:rFonts w:eastAsia="Calibri" w:cs="Times New Roman"/>
          <w:kern w:val="28"/>
        </w:rPr>
        <w:t xml:space="preserve">eam. </w:t>
      </w:r>
    </w:p>
    <w:p w14:paraId="513D419F" w14:textId="532D6C77" w:rsidR="0074265F" w:rsidRPr="0003745C" w:rsidRDefault="0074265F" w:rsidP="0074265F">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sidRPr="0003745C">
        <w:rPr>
          <w:rFonts w:eastAsia="Calibri" w:cs="Times New Roman"/>
          <w:kern w:val="28"/>
        </w:rPr>
        <w:t>Independent Annual Reviews</w:t>
      </w:r>
      <w:r w:rsidR="003D5F52">
        <w:rPr>
          <w:rFonts w:eastAsia="Calibri" w:cs="Times New Roman"/>
          <w:kern w:val="28"/>
        </w:rPr>
        <w:t xml:space="preserve"> </w:t>
      </w:r>
      <w:r w:rsidRPr="0003745C">
        <w:rPr>
          <w:rFonts w:eastAsia="Calibri" w:cs="Times New Roman"/>
          <w:kern w:val="28"/>
        </w:rPr>
        <w:t xml:space="preserve">and a more comprehensive mid-term </w:t>
      </w:r>
      <w:r w:rsidR="00802C2B">
        <w:rPr>
          <w:rFonts w:eastAsia="Calibri" w:cs="Times New Roman"/>
          <w:kern w:val="28"/>
        </w:rPr>
        <w:t>r</w:t>
      </w:r>
      <w:r w:rsidRPr="0003745C">
        <w:rPr>
          <w:rFonts w:eastAsia="Calibri" w:cs="Times New Roman"/>
          <w:kern w:val="28"/>
        </w:rPr>
        <w:t>eview</w:t>
      </w:r>
      <w:r w:rsidR="003D5F52">
        <w:rPr>
          <w:rFonts w:eastAsia="Calibri" w:cs="Times New Roman"/>
          <w:kern w:val="28"/>
        </w:rPr>
        <w:t xml:space="preserve"> </w:t>
      </w:r>
      <w:r w:rsidR="002F37E5">
        <w:rPr>
          <w:rFonts w:eastAsia="Calibri" w:cs="Times New Roman"/>
          <w:kern w:val="28"/>
        </w:rPr>
        <w:t>that will inform contractor performance assessments</w:t>
      </w:r>
      <w:r w:rsidRPr="0003745C">
        <w:rPr>
          <w:rFonts w:eastAsia="Calibri" w:cs="Times New Roman"/>
          <w:kern w:val="28"/>
        </w:rPr>
        <w:t>. DFAT</w:t>
      </w:r>
      <w:r w:rsidR="00802C2B">
        <w:rPr>
          <w:rFonts w:eastAsia="Calibri" w:cs="Times New Roman"/>
          <w:kern w:val="28"/>
        </w:rPr>
        <w:t xml:space="preserve"> staff will participate in r</w:t>
      </w:r>
      <w:r w:rsidRPr="0003745C">
        <w:rPr>
          <w:rFonts w:eastAsia="Calibri" w:cs="Times New Roman"/>
          <w:kern w:val="28"/>
        </w:rPr>
        <w:t>eviews</w:t>
      </w:r>
      <w:r w:rsidR="00140C80">
        <w:rPr>
          <w:rFonts w:eastAsia="Calibri" w:cs="Times New Roman"/>
          <w:kern w:val="28"/>
        </w:rPr>
        <w:t xml:space="preserve"> where appropriate</w:t>
      </w:r>
      <w:r w:rsidRPr="0003745C">
        <w:rPr>
          <w:rFonts w:eastAsia="Calibri" w:cs="Times New Roman"/>
          <w:kern w:val="28"/>
        </w:rPr>
        <w:t xml:space="preserve"> and ensure recommendations are agreed and acted upon.</w:t>
      </w:r>
    </w:p>
    <w:p w14:paraId="360B588A" w14:textId="77777777" w:rsidR="0074265F" w:rsidRPr="0003745C" w:rsidRDefault="00A11704" w:rsidP="0074265F">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Pr>
          <w:rFonts w:eastAsia="Calibri" w:cs="Times New Roman"/>
          <w:kern w:val="28"/>
        </w:rPr>
        <w:t>A</w:t>
      </w:r>
      <w:r w:rsidR="0074265F" w:rsidRPr="0003745C">
        <w:rPr>
          <w:rFonts w:eastAsia="Calibri" w:cs="Times New Roman"/>
          <w:kern w:val="28"/>
        </w:rPr>
        <w:t>n annual audit</w:t>
      </w:r>
      <w:r>
        <w:rPr>
          <w:rFonts w:eastAsia="Calibri" w:cs="Times New Roman"/>
          <w:kern w:val="28"/>
        </w:rPr>
        <w:t xml:space="preserve"> commissioned by the MC</w:t>
      </w:r>
      <w:r w:rsidR="0074265F" w:rsidRPr="0003745C">
        <w:rPr>
          <w:rFonts w:eastAsia="Calibri" w:cs="Times New Roman"/>
          <w:kern w:val="28"/>
        </w:rPr>
        <w:t xml:space="preserve"> through an independent audit firm to monitor expenditure, procurement and asset management.</w:t>
      </w:r>
    </w:p>
    <w:p w14:paraId="6C506F8F" w14:textId="77777777" w:rsidR="0074265F" w:rsidRDefault="00A11704" w:rsidP="0074265F">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Pr>
          <w:rFonts w:eastAsia="Calibri" w:cs="Times New Roman"/>
          <w:kern w:val="28"/>
        </w:rPr>
        <w:t>DFAT</w:t>
      </w:r>
      <w:r w:rsidRPr="0003745C">
        <w:rPr>
          <w:rFonts w:eastAsia="Calibri" w:cs="Times New Roman"/>
          <w:kern w:val="28"/>
        </w:rPr>
        <w:t xml:space="preserve"> will assess </w:t>
      </w:r>
      <w:r>
        <w:rPr>
          <w:rFonts w:eastAsia="Calibri" w:cs="Times New Roman"/>
          <w:kern w:val="28"/>
        </w:rPr>
        <w:t>progress and t</w:t>
      </w:r>
      <w:r w:rsidR="0074265F" w:rsidRPr="0003745C">
        <w:rPr>
          <w:rFonts w:eastAsia="Calibri" w:cs="Times New Roman"/>
          <w:kern w:val="28"/>
        </w:rPr>
        <w:t xml:space="preserve">he </w:t>
      </w:r>
      <w:r w:rsidR="007E6A65">
        <w:rPr>
          <w:rFonts w:eastAsia="Calibri" w:cs="Times New Roman"/>
          <w:kern w:val="28"/>
        </w:rPr>
        <w:t>MC’s</w:t>
      </w:r>
      <w:r w:rsidR="007E6A65" w:rsidRPr="0003745C">
        <w:rPr>
          <w:rFonts w:eastAsia="Calibri" w:cs="Times New Roman"/>
          <w:kern w:val="28"/>
        </w:rPr>
        <w:t xml:space="preserve"> </w:t>
      </w:r>
      <w:r w:rsidR="0074265F" w:rsidRPr="0003745C">
        <w:rPr>
          <w:rFonts w:eastAsia="Calibri" w:cs="Times New Roman"/>
          <w:kern w:val="28"/>
        </w:rPr>
        <w:t>performance</w:t>
      </w:r>
      <w:r>
        <w:rPr>
          <w:rFonts w:eastAsia="Calibri" w:cs="Times New Roman"/>
          <w:kern w:val="28"/>
        </w:rPr>
        <w:t xml:space="preserve"> in monthly update meetings with the facility management and consultation with MAHKOTA partners</w:t>
      </w:r>
      <w:r w:rsidR="0074265F" w:rsidRPr="0003745C">
        <w:rPr>
          <w:rFonts w:eastAsia="Calibri" w:cs="Times New Roman"/>
          <w:kern w:val="28"/>
        </w:rPr>
        <w:t>.</w:t>
      </w:r>
      <w:r>
        <w:rPr>
          <w:rFonts w:eastAsia="Calibri" w:cs="Times New Roman"/>
          <w:kern w:val="28"/>
        </w:rPr>
        <w:t xml:space="preserve"> To facilitate this</w:t>
      </w:r>
      <w:r w:rsidR="00B67B06">
        <w:rPr>
          <w:rFonts w:eastAsia="Calibri" w:cs="Times New Roman"/>
          <w:kern w:val="28"/>
        </w:rPr>
        <w:t>,</w:t>
      </w:r>
      <w:r>
        <w:rPr>
          <w:rFonts w:eastAsia="Calibri" w:cs="Times New Roman"/>
          <w:kern w:val="28"/>
        </w:rPr>
        <w:t xml:space="preserve"> the social protection adviser will be co-</w:t>
      </w:r>
      <w:r w:rsidR="0019653D">
        <w:rPr>
          <w:rFonts w:eastAsia="Calibri" w:cs="Times New Roman"/>
          <w:kern w:val="28"/>
        </w:rPr>
        <w:t xml:space="preserve">located </w:t>
      </w:r>
      <w:r w:rsidR="005527E2">
        <w:rPr>
          <w:rFonts w:eastAsia="Calibri" w:cs="Times New Roman"/>
          <w:kern w:val="28"/>
        </w:rPr>
        <w:t xml:space="preserve">part-time </w:t>
      </w:r>
      <w:r w:rsidR="0019653D">
        <w:rPr>
          <w:rFonts w:eastAsia="Calibri" w:cs="Times New Roman"/>
          <w:kern w:val="28"/>
        </w:rPr>
        <w:t>in the facility offices, a practice that has worked well under PRSF.</w:t>
      </w:r>
    </w:p>
    <w:p w14:paraId="64D4C173" w14:textId="77777777" w:rsidR="0074265F" w:rsidRDefault="0074265F" w:rsidP="0074265F">
      <w:pPr>
        <w:overflowPunct w:val="0"/>
        <w:autoSpaceDE w:val="0"/>
        <w:autoSpaceDN w:val="0"/>
        <w:adjustRightInd w:val="0"/>
        <w:spacing w:after="0" w:line="240" w:lineRule="auto"/>
        <w:jc w:val="both"/>
        <w:rPr>
          <w:rFonts w:eastAsia="Calibri" w:cs="Times New Roman"/>
          <w:kern w:val="28"/>
        </w:rPr>
      </w:pPr>
    </w:p>
    <w:p w14:paraId="510E4666" w14:textId="77777777" w:rsidR="00F93B1A" w:rsidRPr="00B471AC" w:rsidRDefault="00666BD4" w:rsidP="00A31B93">
      <w:pPr>
        <w:pStyle w:val="InvestmentSumheadings"/>
        <w:spacing w:before="240"/>
      </w:pPr>
      <w:r w:rsidRPr="00D26EB7">
        <w:t>IMPLEMEN</w:t>
      </w:r>
      <w:r w:rsidR="00CB042D">
        <w:t>T</w:t>
      </w:r>
      <w:r w:rsidRPr="00D26EB7">
        <w:t>ATION</w:t>
      </w:r>
      <w:r w:rsidR="00D26EB7">
        <w:t xml:space="preserve"> ARRANGEMENTS</w:t>
      </w:r>
    </w:p>
    <w:p w14:paraId="2BAF86EE" w14:textId="77777777" w:rsidR="00F93B1A" w:rsidRPr="00C53F00" w:rsidRDefault="00C54D08" w:rsidP="00C53F00">
      <w:pPr>
        <w:pStyle w:val="Heading2"/>
        <w:spacing w:before="120"/>
        <w:rPr>
          <w:szCs w:val="24"/>
        </w:rPr>
      </w:pPr>
      <w:r w:rsidRPr="00C53F00">
        <w:rPr>
          <w:szCs w:val="24"/>
        </w:rPr>
        <w:t>Inception</w:t>
      </w:r>
    </w:p>
    <w:p w14:paraId="07D82411" w14:textId="77777777" w:rsidR="00501EB6" w:rsidRPr="0054669B" w:rsidRDefault="00A32AB5" w:rsidP="00C53F00">
      <w:pPr>
        <w:pStyle w:val="Heading3Jo"/>
        <w:spacing w:before="120"/>
      </w:pPr>
      <w:r w:rsidRPr="0054669B">
        <w:t>Mobili</w:t>
      </w:r>
      <w:r w:rsidR="00581B53" w:rsidRPr="0054669B">
        <w:t>sation</w:t>
      </w:r>
      <w:r w:rsidR="00DC34FF" w:rsidRPr="0054669B">
        <w:t xml:space="preserve"> (</w:t>
      </w:r>
      <w:r w:rsidR="00695406">
        <w:t>July</w:t>
      </w:r>
      <w:r w:rsidR="00DC34FF" w:rsidRPr="0054669B">
        <w:t>-</w:t>
      </w:r>
      <w:r w:rsidR="00695406">
        <w:t>September</w:t>
      </w:r>
      <w:r w:rsidR="00DC34FF" w:rsidRPr="0054669B">
        <w:t xml:space="preserve"> 201</w:t>
      </w:r>
      <w:r w:rsidR="00695406">
        <w:t>5</w:t>
      </w:r>
      <w:r w:rsidR="00DC34FF" w:rsidRPr="0054669B">
        <w:t>)</w:t>
      </w:r>
    </w:p>
    <w:p w14:paraId="09EC5E38" w14:textId="10A6EDB2" w:rsidR="0028739A" w:rsidRPr="00A16793" w:rsidRDefault="0028739A" w:rsidP="00C53F00">
      <w:pPr>
        <w:spacing w:after="120" w:line="240" w:lineRule="auto"/>
        <w:jc w:val="both"/>
        <w:rPr>
          <w:rFonts w:eastAsia="Times New Roman" w:cs="Times New Roman"/>
        </w:rPr>
      </w:pPr>
      <w:r w:rsidRPr="00A16793">
        <w:rPr>
          <w:rFonts w:eastAsia="Times New Roman" w:cs="Times New Roman"/>
        </w:rPr>
        <w:t xml:space="preserve">DFAT anticipates that management of an unspecified set of activities and personnel will move from the PRSF </w:t>
      </w:r>
      <w:r w:rsidR="00B15164" w:rsidRPr="00A16793">
        <w:rPr>
          <w:rFonts w:eastAsia="Times New Roman" w:cs="Times New Roman"/>
        </w:rPr>
        <w:t xml:space="preserve">and </w:t>
      </w:r>
      <w:r w:rsidR="00CB042D" w:rsidRPr="00A16793">
        <w:rPr>
          <w:rFonts w:eastAsia="Times New Roman" w:cs="Times New Roman"/>
        </w:rPr>
        <w:t xml:space="preserve">any </w:t>
      </w:r>
      <w:r w:rsidR="00B15164" w:rsidRPr="00A16793">
        <w:rPr>
          <w:rFonts w:eastAsia="Times New Roman" w:cs="Times New Roman"/>
        </w:rPr>
        <w:t xml:space="preserve">directly administered contracts </w:t>
      </w:r>
      <w:r w:rsidRPr="00A16793">
        <w:rPr>
          <w:rFonts w:eastAsia="Times New Roman" w:cs="Times New Roman"/>
        </w:rPr>
        <w:t xml:space="preserve">to the </w:t>
      </w:r>
      <w:r w:rsidR="00CB042D" w:rsidRPr="00A16793">
        <w:rPr>
          <w:rFonts w:eastAsia="Times New Roman" w:cs="Times New Roman"/>
        </w:rPr>
        <w:t>new</w:t>
      </w:r>
      <w:r w:rsidR="00ED0AA4" w:rsidRPr="00A16793">
        <w:rPr>
          <w:rFonts w:eastAsia="Times New Roman" w:cs="Times New Roman"/>
        </w:rPr>
        <w:t xml:space="preserve"> MC</w:t>
      </w:r>
      <w:r w:rsidRPr="00A16793">
        <w:rPr>
          <w:rFonts w:eastAsia="Times New Roman" w:cs="Times New Roman"/>
        </w:rPr>
        <w:t xml:space="preserve">. DFAT will work with </w:t>
      </w:r>
      <w:r w:rsidR="00596097" w:rsidRPr="00A16793">
        <w:rPr>
          <w:rFonts w:eastAsia="Times New Roman" w:cs="Times New Roman"/>
        </w:rPr>
        <w:t>PRSF</w:t>
      </w:r>
      <w:r w:rsidRPr="00A16793">
        <w:rPr>
          <w:rFonts w:eastAsia="Times New Roman" w:cs="Times New Roman"/>
        </w:rPr>
        <w:t xml:space="preserve"> </w:t>
      </w:r>
      <w:r w:rsidR="00D26EB7" w:rsidRPr="00A16793">
        <w:rPr>
          <w:rFonts w:eastAsia="Times New Roman" w:cs="Times New Roman"/>
        </w:rPr>
        <w:t xml:space="preserve">from </w:t>
      </w:r>
      <w:r w:rsidR="00695406" w:rsidRPr="00A16793">
        <w:rPr>
          <w:rFonts w:eastAsia="Times New Roman" w:cs="Times New Roman"/>
        </w:rPr>
        <w:t>early</w:t>
      </w:r>
      <w:r w:rsidR="00D26EB7" w:rsidRPr="00A16793">
        <w:rPr>
          <w:rFonts w:eastAsia="Times New Roman" w:cs="Times New Roman"/>
        </w:rPr>
        <w:t>-</w:t>
      </w:r>
      <w:r w:rsidR="00596097" w:rsidRPr="00A16793">
        <w:rPr>
          <w:rFonts w:eastAsia="Times New Roman" w:cs="Times New Roman"/>
        </w:rPr>
        <w:t>201</w:t>
      </w:r>
      <w:r w:rsidR="00695406" w:rsidRPr="00A16793">
        <w:rPr>
          <w:rFonts w:eastAsia="Times New Roman" w:cs="Times New Roman"/>
        </w:rPr>
        <w:t>5</w:t>
      </w:r>
      <w:r w:rsidR="00596097" w:rsidRPr="00A16793">
        <w:rPr>
          <w:rFonts w:eastAsia="Times New Roman" w:cs="Times New Roman"/>
        </w:rPr>
        <w:t xml:space="preserve"> </w:t>
      </w:r>
      <w:r w:rsidRPr="00A16793">
        <w:rPr>
          <w:rFonts w:eastAsia="Times New Roman" w:cs="Times New Roman"/>
        </w:rPr>
        <w:t xml:space="preserve">to identify these and develop a transfer plan, prioritising activities or support </w:t>
      </w:r>
      <w:r w:rsidR="00E7679B" w:rsidRPr="00A16793">
        <w:rPr>
          <w:rFonts w:eastAsia="Times New Roman" w:cs="Times New Roman"/>
        </w:rPr>
        <w:t xml:space="preserve">where disruption poses significant risks. The expectation is that the </w:t>
      </w:r>
      <w:r w:rsidR="00ED0AA4" w:rsidRPr="00A16793">
        <w:rPr>
          <w:rFonts w:eastAsia="Times New Roman" w:cs="Times New Roman"/>
        </w:rPr>
        <w:t>MC</w:t>
      </w:r>
      <w:r w:rsidR="00E7679B" w:rsidRPr="00A16793">
        <w:rPr>
          <w:rFonts w:eastAsia="Times New Roman" w:cs="Times New Roman"/>
        </w:rPr>
        <w:t xml:space="preserve"> </w:t>
      </w:r>
      <w:proofErr w:type="gramStart"/>
      <w:r w:rsidR="00AC76E3" w:rsidRPr="00A16793">
        <w:rPr>
          <w:rFonts w:eastAsia="Times New Roman" w:cs="Times New Roman"/>
        </w:rPr>
        <w:t>will</w:t>
      </w:r>
      <w:proofErr w:type="gramEnd"/>
      <w:r w:rsidR="00AC76E3" w:rsidRPr="00A16793">
        <w:rPr>
          <w:rFonts w:eastAsia="Times New Roman" w:cs="Times New Roman"/>
        </w:rPr>
        <w:t xml:space="preserve"> </w:t>
      </w:r>
      <w:r w:rsidR="00E7679B" w:rsidRPr="00A16793">
        <w:rPr>
          <w:rFonts w:eastAsia="Times New Roman" w:cs="Times New Roman"/>
        </w:rPr>
        <w:t>action this plan so new contracts are p</w:t>
      </w:r>
      <w:r w:rsidR="005B6461" w:rsidRPr="00A16793">
        <w:rPr>
          <w:rFonts w:eastAsia="Times New Roman" w:cs="Times New Roman"/>
        </w:rPr>
        <w:t xml:space="preserve">rocessed </w:t>
      </w:r>
      <w:r w:rsidR="00695406" w:rsidRPr="00A16793">
        <w:rPr>
          <w:rFonts w:eastAsia="Times New Roman" w:cs="Times New Roman"/>
        </w:rPr>
        <w:t>during the mobilisation period</w:t>
      </w:r>
      <w:r w:rsidR="005B6461" w:rsidRPr="00A16793">
        <w:rPr>
          <w:rFonts w:eastAsia="Times New Roman" w:cs="Times New Roman"/>
        </w:rPr>
        <w:t>.</w:t>
      </w:r>
      <w:r w:rsidR="00C32DDA" w:rsidRPr="00A16793">
        <w:rPr>
          <w:rFonts w:eastAsia="Times New Roman" w:cs="Times New Roman"/>
        </w:rPr>
        <w:t xml:space="preserve"> Not all PRSF activities </w:t>
      </w:r>
      <w:r w:rsidR="00E7679B" w:rsidRPr="00A16793">
        <w:rPr>
          <w:rFonts w:eastAsia="Times New Roman" w:cs="Times New Roman"/>
        </w:rPr>
        <w:t>will automatically move to the</w:t>
      </w:r>
      <w:r w:rsidR="00AC76E3" w:rsidRPr="00A16793">
        <w:rPr>
          <w:rFonts w:eastAsia="Times New Roman" w:cs="Times New Roman"/>
        </w:rPr>
        <w:t xml:space="preserve"> </w:t>
      </w:r>
      <w:r w:rsidR="00ED0AA4" w:rsidRPr="00A16793">
        <w:rPr>
          <w:rFonts w:eastAsia="Times New Roman" w:cs="Times New Roman"/>
        </w:rPr>
        <w:t>MC</w:t>
      </w:r>
      <w:r w:rsidR="00E7679B" w:rsidRPr="00A16793">
        <w:rPr>
          <w:rFonts w:eastAsia="Times New Roman" w:cs="Times New Roman"/>
        </w:rPr>
        <w:t>.</w:t>
      </w:r>
    </w:p>
    <w:p w14:paraId="4BE74D1B" w14:textId="77777777" w:rsidR="00AC76E3" w:rsidRPr="00A16793" w:rsidRDefault="00B15164" w:rsidP="00C53F00">
      <w:pPr>
        <w:spacing w:before="120" w:after="120" w:line="240" w:lineRule="auto"/>
        <w:jc w:val="both"/>
        <w:rPr>
          <w:rFonts w:eastAsia="Times New Roman" w:cs="Times New Roman"/>
        </w:rPr>
      </w:pPr>
      <w:r w:rsidRPr="00A16793">
        <w:rPr>
          <w:rFonts w:eastAsia="Times New Roman" w:cs="Times New Roman"/>
        </w:rPr>
        <w:t>A small number of s</w:t>
      </w:r>
      <w:r w:rsidR="0028739A" w:rsidRPr="00A16793">
        <w:rPr>
          <w:rFonts w:eastAsia="Times New Roman" w:cs="Times New Roman"/>
        </w:rPr>
        <w:t xml:space="preserve">pecific individuals </w:t>
      </w:r>
      <w:r w:rsidR="00695406" w:rsidRPr="00A16793">
        <w:rPr>
          <w:rFonts w:eastAsia="Times New Roman" w:cs="Times New Roman"/>
        </w:rPr>
        <w:t>may</w:t>
      </w:r>
      <w:r w:rsidRPr="00A16793">
        <w:rPr>
          <w:rFonts w:eastAsia="Times New Roman" w:cs="Times New Roman"/>
        </w:rPr>
        <w:t xml:space="preserve"> be </w:t>
      </w:r>
      <w:r w:rsidR="0028739A" w:rsidRPr="00A16793">
        <w:rPr>
          <w:rFonts w:eastAsia="Times New Roman" w:cs="Times New Roman"/>
        </w:rPr>
        <w:t xml:space="preserve">moved to </w:t>
      </w:r>
      <w:r w:rsidR="00743E13">
        <w:rPr>
          <w:rFonts w:eastAsia="Times New Roman" w:cs="Times New Roman"/>
        </w:rPr>
        <w:t>the MC</w:t>
      </w:r>
      <w:r w:rsidR="00743E13" w:rsidRPr="00A16793">
        <w:rPr>
          <w:rFonts w:eastAsia="Times New Roman" w:cs="Times New Roman"/>
        </w:rPr>
        <w:t xml:space="preserve"> </w:t>
      </w:r>
      <w:r w:rsidR="00AC76E3" w:rsidRPr="00A16793">
        <w:rPr>
          <w:rFonts w:eastAsia="Times New Roman" w:cs="Times New Roman"/>
        </w:rPr>
        <w:t xml:space="preserve">from TNP2K </w:t>
      </w:r>
      <w:r w:rsidR="0028739A" w:rsidRPr="00A16793">
        <w:rPr>
          <w:rFonts w:eastAsia="Times New Roman" w:cs="Times New Roman"/>
        </w:rPr>
        <w:t xml:space="preserve">at </w:t>
      </w:r>
      <w:r w:rsidR="00743E13" w:rsidRPr="00A16793">
        <w:rPr>
          <w:rFonts w:eastAsia="Times New Roman" w:cs="Times New Roman"/>
        </w:rPr>
        <w:t>DFAT</w:t>
      </w:r>
      <w:r w:rsidR="00743E13">
        <w:rPr>
          <w:rFonts w:eastAsia="Times New Roman" w:cs="Times New Roman"/>
        </w:rPr>
        <w:t>’s</w:t>
      </w:r>
      <w:r w:rsidR="00743E13" w:rsidRPr="00A16793">
        <w:rPr>
          <w:rFonts w:eastAsia="Times New Roman" w:cs="Times New Roman"/>
        </w:rPr>
        <w:t xml:space="preserve"> </w:t>
      </w:r>
      <w:r w:rsidR="0028739A" w:rsidRPr="00A16793">
        <w:rPr>
          <w:rFonts w:eastAsia="Times New Roman" w:cs="Times New Roman"/>
        </w:rPr>
        <w:t>request</w:t>
      </w:r>
      <w:r w:rsidRPr="00A16793">
        <w:rPr>
          <w:rFonts w:eastAsia="Times New Roman" w:cs="Times New Roman"/>
        </w:rPr>
        <w:t xml:space="preserve">. They </w:t>
      </w:r>
      <w:r w:rsidR="0028739A" w:rsidRPr="00A16793">
        <w:rPr>
          <w:rFonts w:eastAsia="Times New Roman" w:cs="Times New Roman"/>
        </w:rPr>
        <w:t>will be subject to probation periods</w:t>
      </w:r>
      <w:r w:rsidRPr="00A16793">
        <w:rPr>
          <w:rFonts w:eastAsia="Times New Roman" w:cs="Times New Roman"/>
        </w:rPr>
        <w:t xml:space="preserve"> with the MC deciding whether or not to continue their contracts based on performance</w:t>
      </w:r>
      <w:r w:rsidR="0028739A" w:rsidRPr="00A16793">
        <w:rPr>
          <w:rFonts w:eastAsia="Times New Roman" w:cs="Times New Roman"/>
        </w:rPr>
        <w:t xml:space="preserve">. </w:t>
      </w:r>
      <w:r w:rsidR="00E7679B" w:rsidRPr="00A16793">
        <w:rPr>
          <w:rFonts w:eastAsia="Times New Roman" w:cs="Times New Roman"/>
        </w:rPr>
        <w:t>Some</w:t>
      </w:r>
      <w:r w:rsidRPr="00A16793">
        <w:rPr>
          <w:rFonts w:eastAsia="Times New Roman" w:cs="Times New Roman"/>
        </w:rPr>
        <w:t xml:space="preserve"> sub-contracts may need to be novated or renewed.</w:t>
      </w:r>
      <w:r w:rsidR="00743E13">
        <w:rPr>
          <w:rFonts w:eastAsia="Times New Roman" w:cs="Times New Roman"/>
        </w:rPr>
        <w:t xml:space="preserve"> </w:t>
      </w:r>
      <w:r w:rsidR="0028739A" w:rsidRPr="00A16793">
        <w:rPr>
          <w:rFonts w:eastAsia="Times New Roman" w:cs="Times New Roman"/>
        </w:rPr>
        <w:t xml:space="preserve">Activities in this category will be subject to review </w:t>
      </w:r>
      <w:r w:rsidR="00596097" w:rsidRPr="00A16793">
        <w:rPr>
          <w:rFonts w:eastAsia="Times New Roman" w:cs="Times New Roman"/>
        </w:rPr>
        <w:t xml:space="preserve">at a time agreed with the </w:t>
      </w:r>
      <w:r w:rsidR="00F46278" w:rsidRPr="00A16793">
        <w:rPr>
          <w:rFonts w:eastAsia="Times New Roman" w:cs="Times New Roman"/>
        </w:rPr>
        <w:t>MC</w:t>
      </w:r>
      <w:r w:rsidR="0028739A" w:rsidRPr="00A16793">
        <w:rPr>
          <w:rFonts w:eastAsia="Times New Roman" w:cs="Times New Roman"/>
        </w:rPr>
        <w:t xml:space="preserve"> to ensure they are still contributing to the facility’s strategic direction.</w:t>
      </w:r>
      <w:r w:rsidR="00AC76E3" w:rsidRPr="00A16793">
        <w:rPr>
          <w:rFonts w:eastAsia="Times New Roman" w:cs="Times New Roman"/>
        </w:rPr>
        <w:t xml:space="preserve"> By the end of this period the MC will have produced</w:t>
      </w:r>
      <w:r w:rsidR="000F7C05" w:rsidRPr="00A16793">
        <w:rPr>
          <w:rFonts w:eastAsia="Times New Roman" w:cs="Times New Roman"/>
        </w:rPr>
        <w:t xml:space="preserve"> a facility operations manual</w:t>
      </w:r>
      <w:r w:rsidR="001125C6" w:rsidRPr="00A16793">
        <w:rPr>
          <w:rFonts w:eastAsia="Times New Roman" w:cs="Times New Roman"/>
        </w:rPr>
        <w:t xml:space="preserve"> that will include a</w:t>
      </w:r>
      <w:r w:rsidR="00AC76E3" w:rsidRPr="00A16793">
        <w:rPr>
          <w:rFonts w:eastAsia="Times New Roman" w:cs="Times New Roman"/>
        </w:rPr>
        <w:t xml:space="preserve"> communication and knowledge management strategy</w:t>
      </w:r>
      <w:r w:rsidR="001125C6" w:rsidRPr="00A16793">
        <w:rPr>
          <w:rFonts w:eastAsia="Times New Roman" w:cs="Times New Roman"/>
        </w:rPr>
        <w:t xml:space="preserve"> and a</w:t>
      </w:r>
      <w:r w:rsidR="00AC76E3" w:rsidRPr="00A16793">
        <w:rPr>
          <w:rFonts w:eastAsia="Times New Roman" w:cs="Times New Roman"/>
        </w:rPr>
        <w:t>n easy to follow</w:t>
      </w:r>
      <w:r w:rsidR="000F7C05" w:rsidRPr="00A16793">
        <w:rPr>
          <w:rFonts w:eastAsia="Times New Roman" w:cs="Times New Roman"/>
        </w:rPr>
        <w:t xml:space="preserve"> </w:t>
      </w:r>
      <w:r w:rsidR="00AC76E3" w:rsidRPr="00A16793">
        <w:rPr>
          <w:rFonts w:eastAsia="Times New Roman" w:cs="Times New Roman"/>
        </w:rPr>
        <w:t>quality assurance process for individual activities and investments</w:t>
      </w:r>
      <w:r w:rsidR="001125C6" w:rsidRPr="00A16793">
        <w:rPr>
          <w:rFonts w:eastAsia="Times New Roman" w:cs="Times New Roman"/>
        </w:rPr>
        <w:t>.</w:t>
      </w:r>
    </w:p>
    <w:p w14:paraId="0385D895" w14:textId="77777777" w:rsidR="00AC76E3" w:rsidRPr="00A16793" w:rsidRDefault="00AC76E3" w:rsidP="00C53F00">
      <w:pPr>
        <w:spacing w:before="120" w:after="120" w:line="240" w:lineRule="auto"/>
        <w:jc w:val="both"/>
        <w:rPr>
          <w:rFonts w:eastAsia="Times New Roman" w:cs="Times New Roman"/>
        </w:rPr>
      </w:pPr>
      <w:r w:rsidRPr="00A16793">
        <w:rPr>
          <w:rFonts w:eastAsia="Times New Roman" w:cs="Times New Roman"/>
        </w:rPr>
        <w:t xml:space="preserve">Additional outputs normally completed at the end of a mobilisation phase may be better completed during the Strategic Planning Phase, as </w:t>
      </w:r>
      <w:r w:rsidR="005527E2">
        <w:rPr>
          <w:rFonts w:eastAsia="Times New Roman" w:cs="Times New Roman"/>
        </w:rPr>
        <w:t>described</w:t>
      </w:r>
      <w:r w:rsidR="005527E2" w:rsidRPr="00A16793">
        <w:rPr>
          <w:rFonts w:eastAsia="Times New Roman" w:cs="Times New Roman"/>
        </w:rPr>
        <w:t xml:space="preserve"> </w:t>
      </w:r>
      <w:r w:rsidRPr="00A16793">
        <w:rPr>
          <w:rFonts w:eastAsia="Times New Roman" w:cs="Times New Roman"/>
        </w:rPr>
        <w:t>below.</w:t>
      </w:r>
    </w:p>
    <w:p w14:paraId="40D28274" w14:textId="77777777" w:rsidR="00666BD4" w:rsidRDefault="00666BD4" w:rsidP="00C53F00">
      <w:pPr>
        <w:pStyle w:val="Heading3Jo"/>
        <w:spacing w:before="120"/>
      </w:pPr>
      <w:r>
        <w:t>Strategic Planning phase (</w:t>
      </w:r>
      <w:r w:rsidR="00695406">
        <w:t>July</w:t>
      </w:r>
      <w:r>
        <w:t>-</w:t>
      </w:r>
      <w:r w:rsidR="00695406">
        <w:t>December</w:t>
      </w:r>
      <w:r>
        <w:t xml:space="preserve"> 2015)</w:t>
      </w:r>
    </w:p>
    <w:p w14:paraId="66E36A10" w14:textId="77777777" w:rsidR="00CD699D" w:rsidRPr="00A16793" w:rsidRDefault="002B7464" w:rsidP="00C53F00">
      <w:pPr>
        <w:spacing w:after="0" w:line="240" w:lineRule="auto"/>
        <w:jc w:val="both"/>
        <w:rPr>
          <w:rFonts w:eastAsia="Times New Roman" w:cs="Times New Roman"/>
        </w:rPr>
      </w:pPr>
      <w:r w:rsidRPr="00A16793">
        <w:rPr>
          <w:rFonts w:eastAsia="Times New Roman" w:cs="Times New Roman"/>
        </w:rPr>
        <w:t>Regardless of what activities transfer from P</w:t>
      </w:r>
      <w:r w:rsidR="00B81708" w:rsidRPr="00A16793">
        <w:rPr>
          <w:rFonts w:eastAsia="Times New Roman" w:cs="Times New Roman"/>
        </w:rPr>
        <w:t>R</w:t>
      </w:r>
      <w:r w:rsidRPr="00A16793">
        <w:rPr>
          <w:rFonts w:eastAsia="Times New Roman" w:cs="Times New Roman"/>
        </w:rPr>
        <w:t>SF</w:t>
      </w:r>
      <w:r w:rsidR="00D26EB7" w:rsidRPr="00A16793">
        <w:rPr>
          <w:rFonts w:eastAsia="Times New Roman" w:cs="Times New Roman"/>
        </w:rPr>
        <w:t xml:space="preserve"> </w:t>
      </w:r>
      <w:r w:rsidRPr="00A16793">
        <w:rPr>
          <w:rFonts w:eastAsia="Times New Roman" w:cs="Times New Roman"/>
        </w:rPr>
        <w:t xml:space="preserve">to </w:t>
      </w:r>
      <w:r w:rsidR="00B81708" w:rsidRPr="00A16793">
        <w:rPr>
          <w:rFonts w:eastAsia="Times New Roman" w:cs="Times New Roman"/>
        </w:rPr>
        <w:t>MAHKOTA</w:t>
      </w:r>
      <w:r w:rsidRPr="00A16793">
        <w:rPr>
          <w:rFonts w:eastAsia="Times New Roman" w:cs="Times New Roman"/>
        </w:rPr>
        <w:t>, t</w:t>
      </w:r>
      <w:r w:rsidR="00E7679B" w:rsidRPr="00A16793">
        <w:rPr>
          <w:rFonts w:eastAsia="Times New Roman" w:cs="Times New Roman"/>
        </w:rPr>
        <w:t xml:space="preserve">he </w:t>
      </w:r>
      <w:r w:rsidR="00ED0AA4" w:rsidRPr="00A16793">
        <w:rPr>
          <w:rFonts w:eastAsia="Times New Roman" w:cs="Times New Roman"/>
        </w:rPr>
        <w:t>MC</w:t>
      </w:r>
      <w:r w:rsidR="00E7679B" w:rsidRPr="00A16793">
        <w:rPr>
          <w:rFonts w:eastAsia="Times New Roman" w:cs="Times New Roman"/>
        </w:rPr>
        <w:t xml:space="preserve"> will</w:t>
      </w:r>
      <w:r w:rsidRPr="00A16793">
        <w:rPr>
          <w:rFonts w:eastAsia="Times New Roman" w:cs="Times New Roman"/>
        </w:rPr>
        <w:t xml:space="preserve"> </w:t>
      </w:r>
      <w:r w:rsidR="00E7679B" w:rsidRPr="00A16793">
        <w:rPr>
          <w:rFonts w:eastAsia="Times New Roman" w:cs="Times New Roman"/>
        </w:rPr>
        <w:t>work with DFAT</w:t>
      </w:r>
      <w:r w:rsidR="00B471AC" w:rsidRPr="00A16793">
        <w:rPr>
          <w:rFonts w:eastAsia="Times New Roman" w:cs="Times New Roman"/>
        </w:rPr>
        <w:t xml:space="preserve"> and other stakeholders</w:t>
      </w:r>
      <w:r w:rsidR="00CD699D" w:rsidRPr="00A16793">
        <w:rPr>
          <w:rFonts w:eastAsia="Times New Roman" w:cs="Times New Roman"/>
        </w:rPr>
        <w:t xml:space="preserve"> to </w:t>
      </w:r>
      <w:r w:rsidR="00B81708" w:rsidRPr="00A16793">
        <w:rPr>
          <w:rFonts w:eastAsia="Times New Roman" w:cs="Times New Roman"/>
        </w:rPr>
        <w:t>confirm</w:t>
      </w:r>
      <w:r w:rsidR="00CD699D" w:rsidRPr="00A16793">
        <w:rPr>
          <w:rFonts w:eastAsia="Times New Roman" w:cs="Times New Roman"/>
        </w:rPr>
        <w:t xml:space="preserve"> </w:t>
      </w:r>
      <w:r w:rsidR="005527E2">
        <w:rPr>
          <w:rFonts w:eastAsia="Times New Roman" w:cs="Times New Roman"/>
        </w:rPr>
        <w:t>the</w:t>
      </w:r>
      <w:r w:rsidR="005527E2" w:rsidRPr="00A16793">
        <w:rPr>
          <w:rFonts w:eastAsia="Times New Roman" w:cs="Times New Roman"/>
        </w:rPr>
        <w:t xml:space="preserve"> </w:t>
      </w:r>
      <w:r w:rsidR="00B81708" w:rsidRPr="00A16793">
        <w:rPr>
          <w:rFonts w:eastAsia="Times New Roman" w:cs="Times New Roman"/>
        </w:rPr>
        <w:t>new</w:t>
      </w:r>
      <w:r w:rsidR="005527E2">
        <w:rPr>
          <w:rFonts w:eastAsia="Times New Roman" w:cs="Times New Roman"/>
        </w:rPr>
        <w:t xml:space="preserve"> Indonesian</w:t>
      </w:r>
      <w:r w:rsidR="00B81708" w:rsidRPr="00A16793">
        <w:rPr>
          <w:rFonts w:eastAsia="Times New Roman" w:cs="Times New Roman"/>
        </w:rPr>
        <w:t xml:space="preserve"> government’s </w:t>
      </w:r>
      <w:r w:rsidR="00CD699D" w:rsidRPr="00A16793">
        <w:rPr>
          <w:rFonts w:eastAsia="Times New Roman" w:cs="Times New Roman"/>
        </w:rPr>
        <w:t xml:space="preserve">direction </w:t>
      </w:r>
      <w:r w:rsidR="00B471AC" w:rsidRPr="00A16793">
        <w:rPr>
          <w:rFonts w:eastAsia="Times New Roman" w:cs="Times New Roman"/>
        </w:rPr>
        <w:t xml:space="preserve">and priorities </w:t>
      </w:r>
      <w:r w:rsidR="00B81708" w:rsidRPr="00A16793">
        <w:rPr>
          <w:rFonts w:eastAsia="Times New Roman" w:cs="Times New Roman"/>
        </w:rPr>
        <w:t>for social protection and poverty reduction</w:t>
      </w:r>
      <w:r w:rsidR="00E7679B" w:rsidRPr="00A16793">
        <w:rPr>
          <w:rFonts w:eastAsia="Times New Roman" w:cs="Times New Roman"/>
        </w:rPr>
        <w:t>.</w:t>
      </w:r>
      <w:r w:rsidR="00B471AC" w:rsidRPr="00A16793">
        <w:rPr>
          <w:rFonts w:eastAsia="Times New Roman" w:cs="Times New Roman"/>
        </w:rPr>
        <w:t xml:space="preserve"> It will take </w:t>
      </w:r>
      <w:r w:rsidR="00B81708" w:rsidRPr="00A16793">
        <w:rPr>
          <w:rFonts w:eastAsia="Times New Roman" w:cs="Times New Roman"/>
        </w:rPr>
        <w:t>the</w:t>
      </w:r>
      <w:r w:rsidR="00B471AC" w:rsidRPr="00A16793">
        <w:rPr>
          <w:rFonts w:eastAsia="Times New Roman" w:cs="Times New Roman"/>
        </w:rPr>
        <w:t xml:space="preserve"> 2013</w:t>
      </w:r>
      <w:r w:rsidR="00B81708" w:rsidRPr="00A16793">
        <w:rPr>
          <w:rFonts w:eastAsia="Times New Roman" w:cs="Times New Roman"/>
        </w:rPr>
        <w:t xml:space="preserve"> inception</w:t>
      </w:r>
      <w:r w:rsidR="00B471AC" w:rsidRPr="00A16793">
        <w:rPr>
          <w:rFonts w:eastAsia="Times New Roman" w:cs="Times New Roman"/>
        </w:rPr>
        <w:t xml:space="preserve"> strategy</w:t>
      </w:r>
      <w:r w:rsidR="00B81708" w:rsidRPr="00A16793">
        <w:rPr>
          <w:rFonts w:eastAsia="Times New Roman" w:cs="Times New Roman"/>
        </w:rPr>
        <w:t xml:space="preserve"> for PRSF’s second phase</w:t>
      </w:r>
      <w:r w:rsidR="00B471AC" w:rsidRPr="00A16793">
        <w:rPr>
          <w:rFonts w:eastAsia="Times New Roman" w:cs="Times New Roman"/>
        </w:rPr>
        <w:t xml:space="preserve"> as a starting point, bearing in mind that much will have changed in the intervening two years. </w:t>
      </w:r>
      <w:r w:rsidR="009130F3" w:rsidRPr="00A16793">
        <w:rPr>
          <w:rFonts w:eastAsia="Times New Roman" w:cs="Times New Roman"/>
        </w:rPr>
        <w:t xml:space="preserve">This strategic planning phase should also include a review of technical assistance currently provided through PRSF, and make recommendations for consolidating and adjusting technical assistance to support the directions set by the strategy. By the end of this period the </w:t>
      </w:r>
      <w:r w:rsidR="00ED0AA4" w:rsidRPr="00A16793">
        <w:rPr>
          <w:rFonts w:eastAsia="Times New Roman" w:cs="Times New Roman"/>
        </w:rPr>
        <w:t>MC</w:t>
      </w:r>
      <w:r w:rsidR="009130F3" w:rsidRPr="00A16793">
        <w:rPr>
          <w:rFonts w:eastAsia="Times New Roman" w:cs="Times New Roman"/>
        </w:rPr>
        <w:t xml:space="preserve"> will have produced:</w:t>
      </w:r>
    </w:p>
    <w:p w14:paraId="3D68E46B" w14:textId="77777777" w:rsidR="009130F3" w:rsidRPr="00A16793" w:rsidRDefault="009130F3" w:rsidP="00A16793">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sidRPr="00A16793">
        <w:rPr>
          <w:rFonts w:eastAsia="Calibri" w:cs="Times New Roman"/>
          <w:kern w:val="28"/>
        </w:rPr>
        <w:t xml:space="preserve">A </w:t>
      </w:r>
      <w:r w:rsidR="00B81708" w:rsidRPr="00A16793">
        <w:rPr>
          <w:rFonts w:eastAsia="Calibri" w:cs="Times New Roman"/>
          <w:kern w:val="28"/>
        </w:rPr>
        <w:t>four</w:t>
      </w:r>
      <w:r w:rsidRPr="00A16793">
        <w:rPr>
          <w:rFonts w:eastAsia="Calibri" w:cs="Times New Roman"/>
          <w:kern w:val="28"/>
        </w:rPr>
        <w:t xml:space="preserve">-year </w:t>
      </w:r>
      <w:r w:rsidR="00B81708" w:rsidRPr="00A16793">
        <w:rPr>
          <w:rFonts w:eastAsia="Calibri" w:cs="Times New Roman"/>
          <w:kern w:val="28"/>
        </w:rPr>
        <w:t xml:space="preserve">guiding strategy </w:t>
      </w:r>
      <w:r w:rsidRPr="00A16793">
        <w:rPr>
          <w:rFonts w:eastAsia="Calibri" w:cs="Times New Roman"/>
          <w:kern w:val="28"/>
        </w:rPr>
        <w:t xml:space="preserve">to be endorsed by the </w:t>
      </w:r>
      <w:r w:rsidR="00B81708" w:rsidRPr="00A16793">
        <w:rPr>
          <w:rFonts w:eastAsia="Calibri" w:cs="Times New Roman"/>
          <w:kern w:val="28"/>
        </w:rPr>
        <w:t>S</w:t>
      </w:r>
      <w:r w:rsidRPr="00A16793">
        <w:rPr>
          <w:rFonts w:eastAsia="Calibri" w:cs="Times New Roman"/>
          <w:kern w:val="28"/>
        </w:rPr>
        <w:t>C</w:t>
      </w:r>
      <w:r w:rsidR="00237A19">
        <w:rPr>
          <w:rFonts w:eastAsia="Calibri" w:cs="Times New Roman"/>
          <w:kern w:val="28"/>
        </w:rPr>
        <w:t>;</w:t>
      </w:r>
    </w:p>
    <w:p w14:paraId="7C0FB954" w14:textId="1C5ADA0D" w:rsidR="009130F3" w:rsidRPr="00A16793" w:rsidRDefault="009130F3" w:rsidP="00237A19">
      <w:pPr>
        <w:numPr>
          <w:ilvl w:val="0"/>
          <w:numId w:val="31"/>
        </w:numPr>
        <w:overflowPunct w:val="0"/>
        <w:autoSpaceDE w:val="0"/>
        <w:autoSpaceDN w:val="0"/>
        <w:adjustRightInd w:val="0"/>
        <w:spacing w:after="0" w:line="240" w:lineRule="auto"/>
        <w:jc w:val="both"/>
        <w:rPr>
          <w:rFonts w:eastAsia="Calibri" w:cs="Times New Roman"/>
          <w:kern w:val="28"/>
        </w:rPr>
      </w:pPr>
      <w:r w:rsidRPr="00A16793">
        <w:rPr>
          <w:rFonts w:eastAsia="Calibri" w:cs="Times New Roman"/>
          <w:kern w:val="28"/>
        </w:rPr>
        <w:t>A monitoring and evaluation framework and plan</w:t>
      </w:r>
      <w:r w:rsidR="001125C6" w:rsidRPr="00A16793">
        <w:rPr>
          <w:rFonts w:eastAsia="Calibri" w:cs="Times New Roman"/>
          <w:kern w:val="28"/>
        </w:rPr>
        <w:t xml:space="preserve"> and value for money reporting strategy</w:t>
      </w:r>
      <w:r w:rsidR="0083164E" w:rsidRPr="00A16793">
        <w:rPr>
          <w:rFonts w:eastAsia="Calibri" w:cs="Times New Roman"/>
          <w:kern w:val="28"/>
        </w:rPr>
        <w:t xml:space="preserve">, </w:t>
      </w:r>
      <w:r w:rsidR="009146A0" w:rsidRPr="00A16793">
        <w:rPr>
          <w:rFonts w:eastAsia="Calibri" w:cs="Times New Roman"/>
          <w:kern w:val="28"/>
        </w:rPr>
        <w:t>in line with DFAT requirements for quality and results/benchmarks reporting</w:t>
      </w:r>
      <w:r w:rsidR="00237A19">
        <w:rPr>
          <w:rFonts w:eastAsia="Calibri" w:cs="Times New Roman"/>
          <w:kern w:val="28"/>
        </w:rPr>
        <w:t>. P</w:t>
      </w:r>
      <w:r w:rsidR="00237A19" w:rsidRPr="00237A19">
        <w:rPr>
          <w:rFonts w:eastAsia="Calibri" w:cs="Times New Roman"/>
          <w:kern w:val="28"/>
        </w:rPr>
        <w:t xml:space="preserve">rogram-level </w:t>
      </w:r>
      <w:r w:rsidR="003D5F52">
        <w:rPr>
          <w:rFonts w:eastAsia="Calibri" w:cs="Times New Roman"/>
          <w:kern w:val="28"/>
        </w:rPr>
        <w:t>monitoring and evaluation</w:t>
      </w:r>
      <w:r w:rsidR="00237A19" w:rsidRPr="00237A19">
        <w:rPr>
          <w:rFonts w:eastAsia="Calibri" w:cs="Times New Roman"/>
          <w:kern w:val="28"/>
        </w:rPr>
        <w:t xml:space="preserve"> </w:t>
      </w:r>
      <w:r w:rsidR="00237A19">
        <w:rPr>
          <w:rFonts w:eastAsia="Calibri" w:cs="Times New Roman"/>
          <w:kern w:val="28"/>
        </w:rPr>
        <w:t xml:space="preserve">will </w:t>
      </w:r>
      <w:r w:rsidR="00237A19" w:rsidRPr="00237A19">
        <w:rPr>
          <w:rFonts w:eastAsia="Calibri" w:cs="Times New Roman"/>
          <w:kern w:val="28"/>
        </w:rPr>
        <w:t>feed into</w:t>
      </w:r>
      <w:r w:rsidR="00237A19">
        <w:rPr>
          <w:rFonts w:eastAsia="Calibri" w:cs="Times New Roman"/>
          <w:kern w:val="28"/>
        </w:rPr>
        <w:t xml:space="preserve"> Frontline sector outcomes, c</w:t>
      </w:r>
      <w:r w:rsidR="00237A19" w:rsidRPr="00237A19">
        <w:rPr>
          <w:rFonts w:eastAsia="Calibri" w:cs="Times New Roman"/>
          <w:kern w:val="28"/>
        </w:rPr>
        <w:t xml:space="preserve">ountry level outcomes and </w:t>
      </w:r>
      <w:r w:rsidR="005527E2">
        <w:rPr>
          <w:rFonts w:eastAsia="Calibri" w:cs="Times New Roman"/>
          <w:kern w:val="28"/>
        </w:rPr>
        <w:t>a</w:t>
      </w:r>
      <w:r w:rsidR="00237A19" w:rsidRPr="00237A19">
        <w:rPr>
          <w:rFonts w:eastAsia="Calibri" w:cs="Times New Roman"/>
          <w:kern w:val="28"/>
        </w:rPr>
        <w:t xml:space="preserve">id </w:t>
      </w:r>
      <w:r w:rsidR="005527E2">
        <w:rPr>
          <w:rFonts w:eastAsia="Calibri" w:cs="Times New Roman"/>
          <w:kern w:val="28"/>
        </w:rPr>
        <w:t>b</w:t>
      </w:r>
      <w:r w:rsidR="00237A19" w:rsidRPr="00237A19">
        <w:rPr>
          <w:rFonts w:eastAsia="Calibri" w:cs="Times New Roman"/>
          <w:kern w:val="28"/>
        </w:rPr>
        <w:t>enchmarks</w:t>
      </w:r>
      <w:r w:rsidR="00237A19">
        <w:rPr>
          <w:rFonts w:eastAsia="Calibri" w:cs="Times New Roman"/>
          <w:kern w:val="28"/>
        </w:rPr>
        <w:t>;</w:t>
      </w:r>
    </w:p>
    <w:p w14:paraId="0245D144" w14:textId="77777777" w:rsidR="000F7C05" w:rsidRPr="00A16793" w:rsidRDefault="000F7C05" w:rsidP="00A16793">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sidRPr="00A16793">
        <w:rPr>
          <w:rFonts w:eastAsia="Calibri" w:cs="Times New Roman"/>
          <w:kern w:val="28"/>
        </w:rPr>
        <w:t>A capacity development strategy</w:t>
      </w:r>
      <w:r w:rsidR="00237A19">
        <w:rPr>
          <w:rFonts w:eastAsia="Calibri" w:cs="Times New Roman"/>
          <w:kern w:val="28"/>
        </w:rPr>
        <w:t>;</w:t>
      </w:r>
    </w:p>
    <w:p w14:paraId="4B79DA05" w14:textId="77777777" w:rsidR="00B81708" w:rsidRPr="00A16793" w:rsidRDefault="0083164E" w:rsidP="00C53F00">
      <w:pPr>
        <w:numPr>
          <w:ilvl w:val="0"/>
          <w:numId w:val="31"/>
        </w:numPr>
        <w:overflowPunct w:val="0"/>
        <w:autoSpaceDE w:val="0"/>
        <w:autoSpaceDN w:val="0"/>
        <w:adjustRightInd w:val="0"/>
        <w:spacing w:after="120" w:line="240" w:lineRule="auto"/>
        <w:ind w:left="924" w:hanging="357"/>
        <w:jc w:val="both"/>
        <w:rPr>
          <w:rFonts w:eastAsia="Calibri" w:cs="Times New Roman"/>
          <w:kern w:val="28"/>
        </w:rPr>
      </w:pPr>
      <w:r w:rsidRPr="00A16793">
        <w:rPr>
          <w:rFonts w:eastAsia="Calibri" w:cs="Times New Roman"/>
          <w:kern w:val="28"/>
        </w:rPr>
        <w:t>The first annual work</w:t>
      </w:r>
      <w:r w:rsidR="001125C6" w:rsidRPr="00A16793">
        <w:rPr>
          <w:rFonts w:eastAsia="Calibri" w:cs="Times New Roman"/>
          <w:kern w:val="28"/>
        </w:rPr>
        <w:t xml:space="preserve"> </w:t>
      </w:r>
      <w:r w:rsidRPr="00A16793">
        <w:rPr>
          <w:rFonts w:eastAsia="Calibri" w:cs="Times New Roman"/>
          <w:kern w:val="28"/>
        </w:rPr>
        <w:t>plan, setting out clear deliverables,</w:t>
      </w:r>
      <w:r w:rsidR="00596097" w:rsidRPr="00A16793">
        <w:rPr>
          <w:rFonts w:eastAsia="Calibri" w:cs="Times New Roman"/>
          <w:kern w:val="28"/>
        </w:rPr>
        <w:t xml:space="preserve"> together with other partners,</w:t>
      </w:r>
      <w:r w:rsidRPr="00A16793">
        <w:rPr>
          <w:rFonts w:eastAsia="Calibri" w:cs="Times New Roman"/>
          <w:kern w:val="28"/>
        </w:rPr>
        <w:t xml:space="preserve"> to be endorsed by the </w:t>
      </w:r>
      <w:r w:rsidR="00B81708" w:rsidRPr="00A16793">
        <w:rPr>
          <w:rFonts w:eastAsia="Calibri" w:cs="Times New Roman"/>
          <w:kern w:val="28"/>
        </w:rPr>
        <w:t>S</w:t>
      </w:r>
      <w:r w:rsidRPr="00A16793">
        <w:rPr>
          <w:rFonts w:eastAsia="Calibri" w:cs="Times New Roman"/>
          <w:kern w:val="28"/>
        </w:rPr>
        <w:t>C.</w:t>
      </w:r>
    </w:p>
    <w:p w14:paraId="1CADD421" w14:textId="77777777" w:rsidR="00666BD4" w:rsidRDefault="00666BD4" w:rsidP="00C53F00">
      <w:pPr>
        <w:pStyle w:val="Heading2"/>
        <w:spacing w:before="120"/>
      </w:pPr>
      <w:r>
        <w:t>Program management and delivery</w:t>
      </w:r>
    </w:p>
    <w:p w14:paraId="53AFA617" w14:textId="77777777" w:rsidR="009A155C" w:rsidRDefault="009A155C" w:rsidP="00C53F00">
      <w:pPr>
        <w:pStyle w:val="Heading3Jo"/>
        <w:spacing w:before="120"/>
      </w:pPr>
      <w:r>
        <w:t>Annual work plan</w:t>
      </w:r>
    </w:p>
    <w:p w14:paraId="1483B1BA" w14:textId="77777777" w:rsidR="00E7679B" w:rsidRPr="00A16793" w:rsidRDefault="00CB042D" w:rsidP="00C53F00">
      <w:pPr>
        <w:spacing w:after="120" w:line="240" w:lineRule="auto"/>
        <w:jc w:val="both"/>
        <w:rPr>
          <w:rFonts w:eastAsia="Times New Roman" w:cs="Times New Roman"/>
        </w:rPr>
      </w:pPr>
      <w:r w:rsidRPr="00A16793">
        <w:rPr>
          <w:rFonts w:eastAsia="Times New Roman" w:cs="Times New Roman"/>
        </w:rPr>
        <w:t>The</w:t>
      </w:r>
      <w:r w:rsidR="009A155C" w:rsidRPr="00A16793">
        <w:rPr>
          <w:rFonts w:eastAsia="Times New Roman" w:cs="Times New Roman"/>
        </w:rPr>
        <w:t xml:space="preserve"> MC</w:t>
      </w:r>
      <w:r w:rsidR="00585765" w:rsidRPr="00A16793">
        <w:rPr>
          <w:rFonts w:eastAsia="Times New Roman" w:cs="Times New Roman"/>
        </w:rPr>
        <w:t xml:space="preserve"> will </w:t>
      </w:r>
      <w:r w:rsidR="00A55152" w:rsidRPr="00A16793">
        <w:rPr>
          <w:rFonts w:eastAsia="Times New Roman" w:cs="Times New Roman"/>
        </w:rPr>
        <w:t>be responsible for resourcing an</w:t>
      </w:r>
      <w:r w:rsidR="00585765" w:rsidRPr="00A16793">
        <w:rPr>
          <w:rFonts w:eastAsia="Times New Roman" w:cs="Times New Roman"/>
        </w:rPr>
        <w:t xml:space="preserve"> annual work</w:t>
      </w:r>
      <w:r w:rsidR="00E7679B" w:rsidRPr="00A16793">
        <w:rPr>
          <w:rFonts w:eastAsia="Times New Roman" w:cs="Times New Roman"/>
        </w:rPr>
        <w:t xml:space="preserve"> </w:t>
      </w:r>
      <w:r w:rsidR="00585765" w:rsidRPr="00A16793">
        <w:rPr>
          <w:rFonts w:eastAsia="Times New Roman" w:cs="Times New Roman"/>
        </w:rPr>
        <w:t>planning process</w:t>
      </w:r>
      <w:r w:rsidR="00A55152" w:rsidRPr="00A16793">
        <w:rPr>
          <w:rFonts w:eastAsia="Times New Roman" w:cs="Times New Roman"/>
        </w:rPr>
        <w:t>, which will</w:t>
      </w:r>
      <w:r w:rsidR="00D26EB7" w:rsidRPr="00A16793">
        <w:rPr>
          <w:rFonts w:eastAsia="Times New Roman" w:cs="Times New Roman"/>
        </w:rPr>
        <w:t xml:space="preserve"> set</w:t>
      </w:r>
      <w:r w:rsidR="00585765" w:rsidRPr="00A16793">
        <w:rPr>
          <w:rFonts w:eastAsia="Times New Roman" w:cs="Times New Roman"/>
        </w:rPr>
        <w:t xml:space="preserve"> out priority activities for the coming year. This will be </w:t>
      </w:r>
      <w:r w:rsidR="009A155C" w:rsidRPr="00A16793">
        <w:rPr>
          <w:rFonts w:eastAsia="Times New Roman" w:cs="Times New Roman"/>
        </w:rPr>
        <w:t xml:space="preserve">directed by the needs of GOI and </w:t>
      </w:r>
      <w:r w:rsidR="00585765" w:rsidRPr="00A16793">
        <w:rPr>
          <w:rFonts w:eastAsia="Times New Roman" w:cs="Times New Roman"/>
        </w:rPr>
        <w:t>prepared in consultation with key stakeholders</w:t>
      </w:r>
      <w:r w:rsidR="00F776CA" w:rsidRPr="00A16793">
        <w:rPr>
          <w:rFonts w:eastAsia="Times New Roman" w:cs="Times New Roman"/>
        </w:rPr>
        <w:t>, with an emphasis on balancing their multiple needs</w:t>
      </w:r>
      <w:r w:rsidR="00585765" w:rsidRPr="00A16793">
        <w:rPr>
          <w:rFonts w:eastAsia="Times New Roman" w:cs="Times New Roman"/>
        </w:rPr>
        <w:t xml:space="preserve">. </w:t>
      </w:r>
      <w:r w:rsidR="00A55152" w:rsidRPr="00A16793">
        <w:rPr>
          <w:rFonts w:eastAsia="Times New Roman" w:cs="Times New Roman"/>
        </w:rPr>
        <w:t>The MC will prepare the work</w:t>
      </w:r>
      <w:r w:rsidR="00AB5A6E" w:rsidRPr="00A16793">
        <w:rPr>
          <w:rFonts w:eastAsia="Times New Roman" w:cs="Times New Roman"/>
        </w:rPr>
        <w:t xml:space="preserve"> </w:t>
      </w:r>
      <w:r w:rsidR="00A55152" w:rsidRPr="00A16793">
        <w:rPr>
          <w:rFonts w:eastAsia="Times New Roman" w:cs="Times New Roman"/>
        </w:rPr>
        <w:t>plan</w:t>
      </w:r>
      <w:r w:rsidR="00122633" w:rsidRPr="00A16793">
        <w:rPr>
          <w:rFonts w:eastAsia="Times New Roman" w:cs="Times New Roman"/>
        </w:rPr>
        <w:t xml:space="preserve"> and </w:t>
      </w:r>
      <w:r w:rsidR="00A55152" w:rsidRPr="00A16793">
        <w:rPr>
          <w:rFonts w:eastAsia="Times New Roman" w:cs="Times New Roman"/>
        </w:rPr>
        <w:t xml:space="preserve">present to the </w:t>
      </w:r>
      <w:r w:rsidR="00122633" w:rsidRPr="00A16793">
        <w:rPr>
          <w:rFonts w:eastAsia="Times New Roman" w:cs="Times New Roman"/>
        </w:rPr>
        <w:t>SC</w:t>
      </w:r>
      <w:r w:rsidR="00A55152" w:rsidRPr="00A16793">
        <w:rPr>
          <w:rFonts w:eastAsia="Times New Roman" w:cs="Times New Roman"/>
        </w:rPr>
        <w:t xml:space="preserve"> for endorsement. The annual work</w:t>
      </w:r>
      <w:r w:rsidR="00AB5A6E" w:rsidRPr="00A16793">
        <w:rPr>
          <w:rFonts w:eastAsia="Times New Roman" w:cs="Times New Roman"/>
        </w:rPr>
        <w:t xml:space="preserve"> </w:t>
      </w:r>
      <w:r w:rsidR="00A55152" w:rsidRPr="00A16793">
        <w:rPr>
          <w:rFonts w:eastAsia="Times New Roman" w:cs="Times New Roman"/>
        </w:rPr>
        <w:t>plan will set out tasks</w:t>
      </w:r>
      <w:r w:rsidR="000F7C05" w:rsidRPr="00A16793">
        <w:rPr>
          <w:rFonts w:eastAsia="Times New Roman" w:cs="Times New Roman"/>
        </w:rPr>
        <w:t xml:space="preserve"> and deliverables for the MC that will be the basis for</w:t>
      </w:r>
      <w:r w:rsidR="00A55152" w:rsidRPr="00A16793">
        <w:rPr>
          <w:rFonts w:eastAsia="Times New Roman" w:cs="Times New Roman"/>
        </w:rPr>
        <w:t xml:space="preserve"> </w:t>
      </w:r>
      <w:r w:rsidR="000F7C05" w:rsidRPr="00A16793">
        <w:rPr>
          <w:rFonts w:eastAsia="Times New Roman" w:cs="Times New Roman"/>
        </w:rPr>
        <w:t xml:space="preserve">assessing </w:t>
      </w:r>
      <w:r w:rsidR="00A55152" w:rsidRPr="00A16793">
        <w:rPr>
          <w:rFonts w:eastAsia="Times New Roman" w:cs="Times New Roman"/>
        </w:rPr>
        <w:t>c</w:t>
      </w:r>
      <w:r w:rsidR="00585765" w:rsidRPr="00A16793">
        <w:rPr>
          <w:rFonts w:eastAsia="Times New Roman" w:cs="Times New Roman"/>
        </w:rPr>
        <w:t>ontractor</w:t>
      </w:r>
      <w:r w:rsidR="000F7C05" w:rsidRPr="00A16793">
        <w:rPr>
          <w:rFonts w:eastAsia="Times New Roman" w:cs="Times New Roman"/>
        </w:rPr>
        <w:t xml:space="preserve"> performance</w:t>
      </w:r>
      <w:r w:rsidR="00585765" w:rsidRPr="00A16793">
        <w:rPr>
          <w:rFonts w:eastAsia="Times New Roman" w:cs="Times New Roman"/>
        </w:rPr>
        <w:t>.</w:t>
      </w:r>
    </w:p>
    <w:p w14:paraId="1B45D93B" w14:textId="77777777" w:rsidR="007A7306" w:rsidRDefault="007A7306" w:rsidP="00C53F00">
      <w:pPr>
        <w:pStyle w:val="Heading3Jo"/>
        <w:spacing w:before="120"/>
        <w:jc w:val="both"/>
      </w:pPr>
      <w:r>
        <w:t>Activity development and quality assurance</w:t>
      </w:r>
    </w:p>
    <w:p w14:paraId="61AB69CC" w14:textId="67C05E95" w:rsidR="00585765" w:rsidRPr="00A16793" w:rsidRDefault="00122633" w:rsidP="00C53F00">
      <w:pPr>
        <w:spacing w:after="120" w:line="240" w:lineRule="auto"/>
        <w:jc w:val="both"/>
        <w:rPr>
          <w:rFonts w:eastAsia="Times New Roman" w:cs="Times New Roman"/>
        </w:rPr>
      </w:pPr>
      <w:r w:rsidRPr="00A16793">
        <w:rPr>
          <w:rFonts w:eastAsia="Times New Roman" w:cs="Times New Roman"/>
        </w:rPr>
        <w:t>The</w:t>
      </w:r>
      <w:r w:rsidR="007A7306" w:rsidRPr="00A16793">
        <w:rPr>
          <w:rFonts w:eastAsia="Times New Roman" w:cs="Times New Roman"/>
        </w:rPr>
        <w:t xml:space="preserve"> MC will be responsible for developing high quality activities as set out by the annual work</w:t>
      </w:r>
      <w:r w:rsidR="00AB5A6E" w:rsidRPr="00A16793">
        <w:rPr>
          <w:rFonts w:eastAsia="Times New Roman" w:cs="Times New Roman"/>
        </w:rPr>
        <w:t xml:space="preserve"> </w:t>
      </w:r>
      <w:r w:rsidR="007A7306" w:rsidRPr="00A16793">
        <w:rPr>
          <w:rFonts w:eastAsia="Times New Roman" w:cs="Times New Roman"/>
        </w:rPr>
        <w:t xml:space="preserve">plan. It will establish a </w:t>
      </w:r>
      <w:r w:rsidR="00F776CA" w:rsidRPr="00A16793">
        <w:rPr>
          <w:rFonts w:eastAsia="Times New Roman" w:cs="Times New Roman"/>
        </w:rPr>
        <w:t>simple Qua</w:t>
      </w:r>
      <w:r w:rsidR="00E7679B" w:rsidRPr="00A16793">
        <w:rPr>
          <w:rFonts w:eastAsia="Times New Roman" w:cs="Times New Roman"/>
        </w:rPr>
        <w:t>lity Assurance</w:t>
      </w:r>
      <w:r w:rsidR="00B94B62" w:rsidRPr="00A16793">
        <w:rPr>
          <w:rFonts w:eastAsia="Times New Roman" w:cs="Times New Roman"/>
        </w:rPr>
        <w:t xml:space="preserve"> (QA)</w:t>
      </w:r>
      <w:r w:rsidR="00E7679B" w:rsidRPr="00A16793">
        <w:rPr>
          <w:rFonts w:eastAsia="Times New Roman" w:cs="Times New Roman"/>
        </w:rPr>
        <w:t xml:space="preserve"> process for individual activities over a given value </w:t>
      </w:r>
      <w:r w:rsidR="00F776CA" w:rsidRPr="00A16793">
        <w:rPr>
          <w:rFonts w:eastAsia="Times New Roman" w:cs="Times New Roman"/>
        </w:rPr>
        <w:t xml:space="preserve">to ensure </w:t>
      </w:r>
      <w:r w:rsidR="00B94B62" w:rsidRPr="00A16793">
        <w:rPr>
          <w:rFonts w:eastAsia="Times New Roman" w:cs="Times New Roman"/>
        </w:rPr>
        <w:t>their quality, value for money</w:t>
      </w:r>
      <w:r w:rsidR="00E7679B" w:rsidRPr="00A16793">
        <w:rPr>
          <w:rFonts w:eastAsia="Times New Roman" w:cs="Times New Roman"/>
        </w:rPr>
        <w:t xml:space="preserve"> and coherence with strategic objectives. The QA process will incorporate external review for activities over a given value, with the T</w:t>
      </w:r>
      <w:r w:rsidR="003D5F52">
        <w:rPr>
          <w:rFonts w:eastAsia="Times New Roman" w:cs="Times New Roman"/>
        </w:rPr>
        <w:t>C</w:t>
      </w:r>
      <w:r w:rsidR="00E7679B" w:rsidRPr="00A16793">
        <w:rPr>
          <w:rFonts w:eastAsia="Times New Roman" w:cs="Times New Roman"/>
        </w:rPr>
        <w:t xml:space="preserve"> </w:t>
      </w:r>
      <w:r w:rsidR="007A7306" w:rsidRPr="00A16793">
        <w:rPr>
          <w:rFonts w:eastAsia="Times New Roman" w:cs="Times New Roman"/>
        </w:rPr>
        <w:t>playing a role in endorsement of final technical designs.</w:t>
      </w:r>
    </w:p>
    <w:p w14:paraId="0806AE40" w14:textId="77777777" w:rsidR="009A155C" w:rsidRDefault="009A155C" w:rsidP="00C53F00">
      <w:pPr>
        <w:pStyle w:val="Heading3Jo"/>
        <w:spacing w:before="120"/>
        <w:jc w:val="both"/>
      </w:pPr>
      <w:r>
        <w:t>Reporting</w:t>
      </w:r>
    </w:p>
    <w:p w14:paraId="03577963" w14:textId="77777777" w:rsidR="007A7306" w:rsidRDefault="00122633" w:rsidP="00162075">
      <w:pPr>
        <w:jc w:val="both"/>
      </w:pPr>
      <w:r>
        <w:t>The</w:t>
      </w:r>
      <w:r w:rsidR="00A55152">
        <w:t xml:space="preserve"> MC will be responsible for preparing annual and </w:t>
      </w:r>
      <w:r w:rsidR="00B94B62">
        <w:t>semi-annual reports</w:t>
      </w:r>
      <w:r w:rsidR="00293889">
        <w:t xml:space="preserve">. </w:t>
      </w:r>
    </w:p>
    <w:p w14:paraId="4DD87DEA" w14:textId="77777777" w:rsidR="00F93B1A" w:rsidRDefault="00241B5B" w:rsidP="00C53F00">
      <w:pPr>
        <w:pStyle w:val="Heading2"/>
        <w:spacing w:before="120"/>
        <w:jc w:val="both"/>
      </w:pPr>
      <w:r>
        <w:t>Personnel</w:t>
      </w:r>
    </w:p>
    <w:p w14:paraId="056367A2" w14:textId="77777777" w:rsidR="00241B5B" w:rsidRDefault="00241B5B" w:rsidP="00C53F00">
      <w:pPr>
        <w:pStyle w:val="Heading3Jo"/>
        <w:spacing w:before="120"/>
        <w:jc w:val="both"/>
      </w:pPr>
      <w:r>
        <w:t>Core management team</w:t>
      </w:r>
    </w:p>
    <w:p w14:paraId="518B5B5C" w14:textId="794BE95B" w:rsidR="00F776CA" w:rsidRDefault="006F75D3" w:rsidP="00162075">
      <w:pPr>
        <w:spacing w:after="0"/>
        <w:jc w:val="both"/>
      </w:pPr>
      <w:r>
        <w:t>DFAT’s approach</w:t>
      </w:r>
      <w:r w:rsidR="007E2416">
        <w:t xml:space="preserve"> to market will </w:t>
      </w:r>
      <w:r w:rsidR="00444C90">
        <w:t>suggest</w:t>
      </w:r>
      <w:r w:rsidR="000C658A">
        <w:t xml:space="preserve"> </w:t>
      </w:r>
      <w:r w:rsidR="002F37E5">
        <w:t xml:space="preserve">five </w:t>
      </w:r>
      <w:r>
        <w:t>key roles</w:t>
      </w:r>
      <w:r w:rsidR="00444C90">
        <w:t xml:space="preserve">, </w:t>
      </w:r>
      <w:r w:rsidR="000A0CC7">
        <w:t>with</w:t>
      </w:r>
      <w:r w:rsidR="00444C90">
        <w:t xml:space="preserve"> the MC determin</w:t>
      </w:r>
      <w:r w:rsidR="000A0CC7">
        <w:t>ing</w:t>
      </w:r>
      <w:r w:rsidR="00444C90">
        <w:t xml:space="preserve"> the actual organisational structure</w:t>
      </w:r>
      <w:r w:rsidR="00F776CA">
        <w:t xml:space="preserve">: </w:t>
      </w:r>
    </w:p>
    <w:p w14:paraId="6A3CCA63" w14:textId="77777777" w:rsidR="00F776CA" w:rsidRPr="00A16793" w:rsidRDefault="00F776CA" w:rsidP="00A16793">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sidRPr="00A16793">
        <w:rPr>
          <w:rFonts w:eastAsia="Calibri" w:cs="Times New Roman"/>
          <w:kern w:val="28"/>
        </w:rPr>
        <w:t xml:space="preserve">A Team Leader, responsible for setting and maintaining </w:t>
      </w:r>
      <w:r w:rsidR="00122633" w:rsidRPr="00A16793">
        <w:rPr>
          <w:rFonts w:eastAsia="Calibri" w:cs="Times New Roman"/>
          <w:kern w:val="28"/>
        </w:rPr>
        <w:t>MAHKOTA</w:t>
      </w:r>
      <w:r w:rsidR="00ED0AA4" w:rsidRPr="00A16793">
        <w:rPr>
          <w:rFonts w:eastAsia="Calibri" w:cs="Times New Roman"/>
          <w:kern w:val="28"/>
        </w:rPr>
        <w:t xml:space="preserve"> </w:t>
      </w:r>
      <w:r w:rsidRPr="00A16793">
        <w:rPr>
          <w:rFonts w:eastAsia="Calibri" w:cs="Times New Roman"/>
          <w:kern w:val="28"/>
        </w:rPr>
        <w:t xml:space="preserve">strategic direction, navigating multiple and sometimes competing needs </w:t>
      </w:r>
      <w:r w:rsidR="000C658A" w:rsidRPr="00A16793">
        <w:rPr>
          <w:rFonts w:eastAsia="Calibri" w:cs="Times New Roman"/>
          <w:kern w:val="28"/>
        </w:rPr>
        <w:t>for support. The Team L</w:t>
      </w:r>
      <w:r w:rsidR="00C377D6" w:rsidRPr="00A16793">
        <w:rPr>
          <w:rFonts w:eastAsia="Calibri" w:cs="Times New Roman"/>
          <w:kern w:val="28"/>
        </w:rPr>
        <w:t xml:space="preserve">eader should have a good </w:t>
      </w:r>
      <w:r w:rsidRPr="00A16793">
        <w:rPr>
          <w:rFonts w:eastAsia="Calibri" w:cs="Times New Roman"/>
          <w:kern w:val="28"/>
        </w:rPr>
        <w:t xml:space="preserve">understanding of </w:t>
      </w:r>
      <w:r w:rsidR="00122633" w:rsidRPr="00A16793">
        <w:rPr>
          <w:rFonts w:eastAsia="Calibri" w:cs="Times New Roman"/>
          <w:kern w:val="28"/>
        </w:rPr>
        <w:t>social protection and poverty reduction</w:t>
      </w:r>
      <w:r w:rsidRPr="00A16793">
        <w:rPr>
          <w:rFonts w:eastAsia="Calibri" w:cs="Times New Roman"/>
          <w:kern w:val="28"/>
        </w:rPr>
        <w:t xml:space="preserve"> </w:t>
      </w:r>
      <w:r w:rsidR="009A155C" w:rsidRPr="00A16793">
        <w:rPr>
          <w:rFonts w:eastAsia="Calibri" w:cs="Times New Roman"/>
          <w:kern w:val="28"/>
        </w:rPr>
        <w:t>and excellent cross cultural and interpersonal skills</w:t>
      </w:r>
      <w:r w:rsidRPr="00A16793">
        <w:rPr>
          <w:rFonts w:eastAsia="Calibri" w:cs="Times New Roman"/>
          <w:kern w:val="28"/>
        </w:rPr>
        <w:t>.</w:t>
      </w:r>
    </w:p>
    <w:p w14:paraId="392D1C5F" w14:textId="77777777" w:rsidR="00241B5B" w:rsidRDefault="00F776CA" w:rsidP="00A16793">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sidRPr="00A16793">
        <w:rPr>
          <w:rFonts w:eastAsia="Calibri" w:cs="Times New Roman"/>
          <w:kern w:val="28"/>
        </w:rPr>
        <w:t xml:space="preserve">An Operations Manager, responsible for human resources, </w:t>
      </w:r>
      <w:r w:rsidR="00437478" w:rsidRPr="00A16793">
        <w:rPr>
          <w:rFonts w:eastAsia="Calibri" w:cs="Times New Roman"/>
          <w:kern w:val="28"/>
        </w:rPr>
        <w:t xml:space="preserve">finance and </w:t>
      </w:r>
      <w:r w:rsidRPr="00A16793">
        <w:rPr>
          <w:rFonts w:eastAsia="Calibri" w:cs="Times New Roman"/>
          <w:kern w:val="28"/>
        </w:rPr>
        <w:t>procurement, IT services, facility logistics and other operational matters.</w:t>
      </w:r>
    </w:p>
    <w:p w14:paraId="12A62B47" w14:textId="4A0E8F07" w:rsidR="002F37E5" w:rsidRPr="00A16793" w:rsidRDefault="002F37E5" w:rsidP="002F37E5">
      <w:pPr>
        <w:numPr>
          <w:ilvl w:val="0"/>
          <w:numId w:val="31"/>
        </w:numPr>
        <w:overflowPunct w:val="0"/>
        <w:autoSpaceDE w:val="0"/>
        <w:autoSpaceDN w:val="0"/>
        <w:adjustRightInd w:val="0"/>
        <w:spacing w:after="0" w:line="240" w:lineRule="auto"/>
        <w:jc w:val="both"/>
        <w:rPr>
          <w:rFonts w:eastAsia="Calibri" w:cs="Times New Roman"/>
          <w:kern w:val="28"/>
        </w:rPr>
      </w:pPr>
      <w:r>
        <w:rPr>
          <w:rFonts w:eastAsia="Calibri" w:cs="Times New Roman"/>
          <w:kern w:val="28"/>
        </w:rPr>
        <w:t xml:space="preserve">A Technical Manager </w:t>
      </w:r>
      <w:r w:rsidR="005527E2">
        <w:rPr>
          <w:rFonts w:eastAsia="Calibri" w:cs="Times New Roman"/>
          <w:kern w:val="28"/>
        </w:rPr>
        <w:t>with</w:t>
      </w:r>
      <w:r w:rsidRPr="002F37E5">
        <w:rPr>
          <w:rFonts w:eastAsia="Calibri" w:cs="Times New Roman"/>
          <w:kern w:val="28"/>
        </w:rPr>
        <w:t xml:space="preserve"> primary responsibility for </w:t>
      </w:r>
      <w:r>
        <w:rPr>
          <w:rFonts w:eastAsia="Calibri" w:cs="Times New Roman"/>
          <w:kern w:val="28"/>
        </w:rPr>
        <w:t>ensuring</w:t>
      </w:r>
      <w:r w:rsidRPr="002F37E5">
        <w:rPr>
          <w:rFonts w:eastAsia="Calibri" w:cs="Times New Roman"/>
          <w:kern w:val="28"/>
        </w:rPr>
        <w:t xml:space="preserve"> the overall quality of activities and outputs</w:t>
      </w:r>
      <w:r w:rsidR="005527E2">
        <w:rPr>
          <w:rFonts w:eastAsia="Calibri" w:cs="Times New Roman"/>
          <w:kern w:val="28"/>
        </w:rPr>
        <w:t xml:space="preserve"> and systems to support that.</w:t>
      </w:r>
    </w:p>
    <w:p w14:paraId="0BD6F034" w14:textId="77777777" w:rsidR="000C658A" w:rsidRPr="00A16793" w:rsidRDefault="000C658A" w:rsidP="00A16793">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sidRPr="00A16793">
        <w:rPr>
          <w:rFonts w:eastAsia="Calibri" w:cs="Times New Roman"/>
          <w:kern w:val="28"/>
        </w:rPr>
        <w:t xml:space="preserve">A Monitoring and Evaluation Specialist, who will support M&amp;E for individual activities, as well as developing and reporting against the </w:t>
      </w:r>
      <w:r w:rsidR="00122633" w:rsidRPr="00A16793">
        <w:rPr>
          <w:rFonts w:eastAsia="Calibri" w:cs="Times New Roman"/>
          <w:kern w:val="28"/>
        </w:rPr>
        <w:t>MAHKOTA</w:t>
      </w:r>
      <w:r w:rsidR="00ED0AA4" w:rsidRPr="00A16793">
        <w:rPr>
          <w:rFonts w:eastAsia="Calibri" w:cs="Times New Roman"/>
          <w:kern w:val="28"/>
        </w:rPr>
        <w:t xml:space="preserve"> </w:t>
      </w:r>
      <w:r w:rsidRPr="00A16793">
        <w:rPr>
          <w:rFonts w:eastAsia="Calibri" w:cs="Times New Roman"/>
          <w:kern w:val="28"/>
        </w:rPr>
        <w:t>M&amp;E framework.</w:t>
      </w:r>
    </w:p>
    <w:p w14:paraId="4FC9B137" w14:textId="7CA52298" w:rsidR="00B94B62" w:rsidRPr="00A16793" w:rsidRDefault="00B94B62" w:rsidP="00A16793">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sidRPr="00A16793">
        <w:rPr>
          <w:rFonts w:eastAsia="Calibri" w:cs="Times New Roman"/>
          <w:kern w:val="28"/>
        </w:rPr>
        <w:t xml:space="preserve">A Capacity Development specialist, who will be responsible </w:t>
      </w:r>
      <w:r w:rsidR="00F85088">
        <w:rPr>
          <w:rFonts w:eastAsia="Calibri" w:cs="Times New Roman"/>
          <w:kern w:val="28"/>
        </w:rPr>
        <w:t>for</w:t>
      </w:r>
      <w:r w:rsidRPr="00A16793">
        <w:rPr>
          <w:rFonts w:eastAsia="Calibri" w:cs="Times New Roman"/>
          <w:kern w:val="28"/>
        </w:rPr>
        <w:t xml:space="preserve"> develop</w:t>
      </w:r>
      <w:r w:rsidR="00F85088">
        <w:rPr>
          <w:rFonts w:eastAsia="Calibri" w:cs="Times New Roman"/>
          <w:kern w:val="28"/>
        </w:rPr>
        <w:t>ing</w:t>
      </w:r>
      <w:r w:rsidRPr="00A16793">
        <w:rPr>
          <w:rFonts w:eastAsia="Calibri" w:cs="Times New Roman"/>
          <w:kern w:val="28"/>
        </w:rPr>
        <w:t xml:space="preserve"> the facility</w:t>
      </w:r>
      <w:r w:rsidR="00F85088">
        <w:rPr>
          <w:rFonts w:eastAsia="Calibri" w:cs="Times New Roman"/>
          <w:kern w:val="28"/>
        </w:rPr>
        <w:t>’s</w:t>
      </w:r>
      <w:r w:rsidRPr="00A16793">
        <w:rPr>
          <w:rFonts w:eastAsia="Calibri" w:cs="Times New Roman"/>
          <w:kern w:val="28"/>
        </w:rPr>
        <w:t xml:space="preserve"> capacity development strategy and </w:t>
      </w:r>
      <w:proofErr w:type="gramStart"/>
      <w:r w:rsidRPr="00A16793">
        <w:rPr>
          <w:rFonts w:eastAsia="Calibri" w:cs="Times New Roman"/>
          <w:kern w:val="28"/>
        </w:rPr>
        <w:t>coordinat</w:t>
      </w:r>
      <w:r w:rsidR="00F85088">
        <w:rPr>
          <w:rFonts w:eastAsia="Calibri" w:cs="Times New Roman"/>
          <w:kern w:val="28"/>
        </w:rPr>
        <w:t>ing</w:t>
      </w:r>
      <w:proofErr w:type="gramEnd"/>
      <w:r w:rsidRPr="00A16793">
        <w:rPr>
          <w:rFonts w:eastAsia="Calibri" w:cs="Times New Roman"/>
          <w:kern w:val="28"/>
        </w:rPr>
        <w:t xml:space="preserve"> needs assessments and capacity building activities.</w:t>
      </w:r>
    </w:p>
    <w:p w14:paraId="07A058E9" w14:textId="77777777" w:rsidR="00241B5B" w:rsidRDefault="00241B5B" w:rsidP="00C53F00">
      <w:pPr>
        <w:pStyle w:val="Heading3Jo"/>
        <w:spacing w:before="120"/>
        <w:jc w:val="both"/>
      </w:pPr>
      <w:r>
        <w:t>Policy and Technical Specialist team</w:t>
      </w:r>
    </w:p>
    <w:p w14:paraId="2D7F9286" w14:textId="62ECB2A6" w:rsidR="00241B5B" w:rsidRPr="00C74FAC" w:rsidRDefault="00B15164" w:rsidP="00C53F00">
      <w:pPr>
        <w:spacing w:after="120" w:line="240" w:lineRule="auto"/>
        <w:jc w:val="both"/>
      </w:pPr>
      <w:r w:rsidRPr="00A16793">
        <w:rPr>
          <w:rFonts w:eastAsia="Times New Roman" w:cs="Times New Roman"/>
        </w:rPr>
        <w:t xml:space="preserve">A small number of </w:t>
      </w:r>
      <w:r w:rsidR="00241B5B" w:rsidRPr="00A16793">
        <w:rPr>
          <w:rFonts w:eastAsia="Times New Roman" w:cs="Times New Roman"/>
        </w:rPr>
        <w:t>seni</w:t>
      </w:r>
      <w:r w:rsidR="00B94B62" w:rsidRPr="00A16793">
        <w:rPr>
          <w:rFonts w:eastAsia="Times New Roman" w:cs="Times New Roman"/>
        </w:rPr>
        <w:t>or national and international p</w:t>
      </w:r>
      <w:r w:rsidR="00241B5B" w:rsidRPr="00A16793">
        <w:rPr>
          <w:rFonts w:eastAsia="Times New Roman" w:cs="Times New Roman"/>
        </w:rPr>
        <w:t xml:space="preserve">olicy and </w:t>
      </w:r>
      <w:r w:rsidR="00B94B62" w:rsidRPr="00A16793">
        <w:rPr>
          <w:rFonts w:eastAsia="Times New Roman" w:cs="Times New Roman"/>
        </w:rPr>
        <w:t>t</w:t>
      </w:r>
      <w:r w:rsidR="00241B5B" w:rsidRPr="00A16793">
        <w:rPr>
          <w:rFonts w:eastAsia="Times New Roman" w:cs="Times New Roman"/>
        </w:rPr>
        <w:t xml:space="preserve">echnical </w:t>
      </w:r>
      <w:r w:rsidR="00B94B62" w:rsidRPr="00A16793">
        <w:rPr>
          <w:rFonts w:eastAsia="Times New Roman" w:cs="Times New Roman"/>
        </w:rPr>
        <w:t>s</w:t>
      </w:r>
      <w:r w:rsidR="00241B5B" w:rsidRPr="00A16793">
        <w:rPr>
          <w:rFonts w:eastAsia="Times New Roman" w:cs="Times New Roman"/>
        </w:rPr>
        <w:t>pecialists</w:t>
      </w:r>
      <w:r w:rsidR="000C658A" w:rsidRPr="00A16793">
        <w:rPr>
          <w:rFonts w:eastAsia="Times New Roman" w:cs="Times New Roman"/>
        </w:rPr>
        <w:t xml:space="preserve"> </w:t>
      </w:r>
      <w:r w:rsidR="00814B60" w:rsidRPr="00A16793">
        <w:rPr>
          <w:rFonts w:eastAsia="Times New Roman" w:cs="Times New Roman"/>
        </w:rPr>
        <w:t>may</w:t>
      </w:r>
      <w:r w:rsidR="000C658A" w:rsidRPr="00A16793">
        <w:rPr>
          <w:rFonts w:eastAsia="Times New Roman" w:cs="Times New Roman"/>
        </w:rPr>
        <w:t xml:space="preserve"> be </w:t>
      </w:r>
      <w:r w:rsidR="00655519" w:rsidRPr="00A16793">
        <w:rPr>
          <w:rFonts w:eastAsia="Times New Roman" w:cs="Times New Roman"/>
        </w:rPr>
        <w:t xml:space="preserve">individually </w:t>
      </w:r>
      <w:r w:rsidR="000C658A" w:rsidRPr="00A16793">
        <w:rPr>
          <w:rFonts w:eastAsia="Times New Roman" w:cs="Times New Roman"/>
        </w:rPr>
        <w:t>specified by DFAT in the Scope of Services.</w:t>
      </w:r>
      <w:r w:rsidR="009206E0" w:rsidRPr="00A16793">
        <w:rPr>
          <w:rFonts w:eastAsia="Times New Roman" w:cs="Times New Roman"/>
        </w:rPr>
        <w:t xml:space="preserve"> All</w:t>
      </w:r>
      <w:r w:rsidRPr="00A16793">
        <w:rPr>
          <w:rFonts w:eastAsia="Times New Roman" w:cs="Times New Roman"/>
        </w:rPr>
        <w:t xml:space="preserve"> </w:t>
      </w:r>
      <w:r w:rsidR="00E21A0C" w:rsidRPr="00A16793">
        <w:rPr>
          <w:rFonts w:eastAsia="Times New Roman" w:cs="Times New Roman"/>
        </w:rPr>
        <w:t>will be subject to probation periods</w:t>
      </w:r>
      <w:r w:rsidR="00140C80">
        <w:rPr>
          <w:rFonts w:eastAsia="Times New Roman" w:cs="Times New Roman"/>
        </w:rPr>
        <w:t xml:space="preserve">. </w:t>
      </w:r>
      <w:r w:rsidR="000C658A" w:rsidRPr="00A16793">
        <w:rPr>
          <w:rFonts w:eastAsia="Times New Roman" w:cs="Times New Roman"/>
        </w:rPr>
        <w:t xml:space="preserve">The </w:t>
      </w:r>
      <w:r w:rsidR="00B94B62" w:rsidRPr="00A16793">
        <w:rPr>
          <w:rFonts w:eastAsia="Times New Roman" w:cs="Times New Roman"/>
        </w:rPr>
        <w:t>p</w:t>
      </w:r>
      <w:r w:rsidR="000C658A" w:rsidRPr="00A16793">
        <w:rPr>
          <w:rFonts w:eastAsia="Times New Roman" w:cs="Times New Roman"/>
        </w:rPr>
        <w:t xml:space="preserve">olicy and </w:t>
      </w:r>
      <w:r w:rsidR="00B94B62" w:rsidRPr="00A16793">
        <w:rPr>
          <w:rFonts w:eastAsia="Times New Roman" w:cs="Times New Roman"/>
        </w:rPr>
        <w:t>t</w:t>
      </w:r>
      <w:r w:rsidR="000C658A" w:rsidRPr="00A16793">
        <w:rPr>
          <w:rFonts w:eastAsia="Times New Roman" w:cs="Times New Roman"/>
        </w:rPr>
        <w:t xml:space="preserve">echnical </w:t>
      </w:r>
      <w:r w:rsidR="00B94B62" w:rsidRPr="00A16793">
        <w:rPr>
          <w:rFonts w:eastAsia="Times New Roman" w:cs="Times New Roman"/>
        </w:rPr>
        <w:t>s</w:t>
      </w:r>
      <w:r w:rsidR="000C658A" w:rsidRPr="00A16793">
        <w:rPr>
          <w:rFonts w:eastAsia="Times New Roman" w:cs="Times New Roman"/>
        </w:rPr>
        <w:t>pecialist</w:t>
      </w:r>
      <w:r w:rsidR="00E21A0C" w:rsidRPr="00A16793">
        <w:rPr>
          <w:rFonts w:eastAsia="Times New Roman" w:cs="Times New Roman"/>
        </w:rPr>
        <w:t>s</w:t>
      </w:r>
      <w:r w:rsidR="000C658A" w:rsidRPr="00A16793">
        <w:rPr>
          <w:rFonts w:eastAsia="Times New Roman" w:cs="Times New Roman"/>
        </w:rPr>
        <w:t xml:space="preserve"> </w:t>
      </w:r>
      <w:r w:rsidR="00241B5B" w:rsidRPr="00A16793">
        <w:rPr>
          <w:rFonts w:eastAsia="Times New Roman" w:cs="Times New Roman"/>
        </w:rPr>
        <w:t xml:space="preserve">will </w:t>
      </w:r>
      <w:r w:rsidR="0037155B" w:rsidRPr="00A16793">
        <w:rPr>
          <w:rFonts w:eastAsia="Times New Roman" w:cs="Times New Roman"/>
        </w:rPr>
        <w:t xml:space="preserve">lead on discrete </w:t>
      </w:r>
      <w:r w:rsidR="00713B28" w:rsidRPr="00A16793">
        <w:rPr>
          <w:rFonts w:eastAsia="Times New Roman" w:cs="Times New Roman"/>
        </w:rPr>
        <w:t xml:space="preserve">work areas </w:t>
      </w:r>
      <w:r w:rsidR="0037155B" w:rsidRPr="00A16793">
        <w:rPr>
          <w:rFonts w:eastAsia="Times New Roman" w:cs="Times New Roman"/>
        </w:rPr>
        <w:t>and activities</w:t>
      </w:r>
      <w:r w:rsidR="009206E0" w:rsidRPr="00A16793">
        <w:rPr>
          <w:rFonts w:eastAsia="Times New Roman" w:cs="Times New Roman"/>
        </w:rPr>
        <w:t xml:space="preserve">, </w:t>
      </w:r>
      <w:r w:rsidR="009A155C" w:rsidRPr="00A16793">
        <w:rPr>
          <w:rFonts w:eastAsia="Times New Roman" w:cs="Times New Roman"/>
        </w:rPr>
        <w:t>with</w:t>
      </w:r>
      <w:r w:rsidR="00F85088">
        <w:rPr>
          <w:rFonts w:eastAsia="Times New Roman" w:cs="Times New Roman"/>
        </w:rPr>
        <w:t xml:space="preserve"> roles to be determined by the T</w:t>
      </w:r>
      <w:r w:rsidR="00B94B62" w:rsidRPr="00A16793">
        <w:rPr>
          <w:rFonts w:eastAsia="Times New Roman" w:cs="Times New Roman"/>
        </w:rPr>
        <w:t xml:space="preserve">eam </w:t>
      </w:r>
      <w:r w:rsidR="00F85088">
        <w:rPr>
          <w:rFonts w:eastAsia="Times New Roman" w:cs="Times New Roman"/>
        </w:rPr>
        <w:t>L</w:t>
      </w:r>
      <w:r w:rsidR="009A155C" w:rsidRPr="00A16793">
        <w:rPr>
          <w:rFonts w:eastAsia="Times New Roman" w:cs="Times New Roman"/>
        </w:rPr>
        <w:t xml:space="preserve">eader. </w:t>
      </w:r>
      <w:r w:rsidR="00655519" w:rsidRPr="00A16793">
        <w:rPr>
          <w:rFonts w:eastAsia="Times New Roman" w:cs="Times New Roman"/>
        </w:rPr>
        <w:t xml:space="preserve">Broadly, however, </w:t>
      </w:r>
      <w:r w:rsidR="009A155C" w:rsidRPr="00A16793">
        <w:rPr>
          <w:rFonts w:eastAsia="Times New Roman" w:cs="Times New Roman"/>
        </w:rPr>
        <w:t xml:space="preserve">individuals </w:t>
      </w:r>
      <w:r w:rsidR="00BB57B0" w:rsidRPr="00A16793">
        <w:rPr>
          <w:rFonts w:eastAsia="Times New Roman" w:cs="Times New Roman"/>
        </w:rPr>
        <w:t xml:space="preserve">will </w:t>
      </w:r>
      <w:r w:rsidR="009A155C" w:rsidRPr="00A16793">
        <w:rPr>
          <w:rFonts w:eastAsia="Times New Roman" w:cs="Times New Roman"/>
        </w:rPr>
        <w:t>have been identifi</w:t>
      </w:r>
      <w:r w:rsidR="00D26EB7" w:rsidRPr="00A16793">
        <w:rPr>
          <w:rFonts w:eastAsia="Times New Roman" w:cs="Times New Roman"/>
        </w:rPr>
        <w:t>ed for their capacity to act as</w:t>
      </w:r>
      <w:r w:rsidR="009A155C" w:rsidRPr="00A16793">
        <w:rPr>
          <w:rFonts w:eastAsia="Times New Roman" w:cs="Times New Roman"/>
        </w:rPr>
        <w:t xml:space="preserve"> brokers</w:t>
      </w:r>
      <w:r w:rsidR="00655519" w:rsidRPr="00A16793">
        <w:rPr>
          <w:rFonts w:eastAsia="Times New Roman" w:cs="Times New Roman"/>
        </w:rPr>
        <w:t xml:space="preserve"> bringing together relevant government agencies to further policy agendas, coordinate effective technical assistance, and ensure linkage</w:t>
      </w:r>
      <w:r w:rsidR="00C74FAC">
        <w:rPr>
          <w:rFonts w:eastAsia="Times New Roman" w:cs="Times New Roman"/>
        </w:rPr>
        <w:t>s</w:t>
      </w:r>
      <w:r w:rsidR="00655519" w:rsidRPr="00A16793">
        <w:rPr>
          <w:rFonts w:eastAsia="Times New Roman" w:cs="Times New Roman"/>
        </w:rPr>
        <w:t xml:space="preserve"> with other </w:t>
      </w:r>
      <w:r w:rsidR="009A155C" w:rsidRPr="00A16793">
        <w:rPr>
          <w:rFonts w:eastAsia="Times New Roman" w:cs="Times New Roman"/>
        </w:rPr>
        <w:t>GOI</w:t>
      </w:r>
      <w:r w:rsidR="00655519" w:rsidRPr="00A16793">
        <w:rPr>
          <w:rFonts w:eastAsia="Times New Roman" w:cs="Times New Roman"/>
        </w:rPr>
        <w:t xml:space="preserve"> development priorities. Specialists will</w:t>
      </w:r>
      <w:r w:rsidR="00293889" w:rsidRPr="00A16793">
        <w:rPr>
          <w:rFonts w:eastAsia="Times New Roman" w:cs="Times New Roman"/>
        </w:rPr>
        <w:t xml:space="preserve"> be capable of</w:t>
      </w:r>
      <w:r w:rsidR="00655519" w:rsidRPr="00A16793">
        <w:rPr>
          <w:rFonts w:eastAsia="Times New Roman" w:cs="Times New Roman"/>
        </w:rPr>
        <w:t xml:space="preserve"> provid</w:t>
      </w:r>
      <w:r w:rsidR="00293889" w:rsidRPr="00A16793">
        <w:rPr>
          <w:rFonts w:eastAsia="Times New Roman" w:cs="Times New Roman"/>
        </w:rPr>
        <w:t>ing</w:t>
      </w:r>
      <w:r w:rsidR="00655519" w:rsidRPr="00A16793">
        <w:rPr>
          <w:rFonts w:eastAsia="Times New Roman" w:cs="Times New Roman"/>
        </w:rPr>
        <w:t xml:space="preserve"> advice to government relating to financing, technical design and implementation arrangements for </w:t>
      </w:r>
      <w:r w:rsidR="00814B60" w:rsidRPr="00A16793">
        <w:rPr>
          <w:rFonts w:eastAsia="Times New Roman" w:cs="Times New Roman"/>
        </w:rPr>
        <w:t xml:space="preserve">the </w:t>
      </w:r>
      <w:r w:rsidR="00B94B62" w:rsidRPr="00A16793">
        <w:rPr>
          <w:rFonts w:eastAsia="Times New Roman" w:cs="Times New Roman"/>
        </w:rPr>
        <w:t>UDB</w:t>
      </w:r>
      <w:r w:rsidR="00814B60" w:rsidRPr="00A16793">
        <w:rPr>
          <w:rFonts w:eastAsia="Times New Roman" w:cs="Times New Roman"/>
        </w:rPr>
        <w:t xml:space="preserve"> and national social assistance program reform</w:t>
      </w:r>
      <w:r w:rsidR="00655519" w:rsidRPr="00A16793">
        <w:rPr>
          <w:rFonts w:eastAsia="Times New Roman" w:cs="Times New Roman"/>
        </w:rPr>
        <w:t xml:space="preserve">, drawing on </w:t>
      </w:r>
      <w:r w:rsidR="00814B60" w:rsidRPr="00A16793">
        <w:rPr>
          <w:rFonts w:eastAsia="Times New Roman" w:cs="Times New Roman"/>
        </w:rPr>
        <w:t>their engagement in these areas under PRSF</w:t>
      </w:r>
      <w:r w:rsidR="00E21A0C" w:rsidRPr="00A16793">
        <w:rPr>
          <w:rFonts w:eastAsia="Times New Roman" w:cs="Times New Roman"/>
        </w:rPr>
        <w:t>.</w:t>
      </w:r>
    </w:p>
    <w:p w14:paraId="1224FB25" w14:textId="77777777" w:rsidR="005F072A" w:rsidRDefault="005F072A" w:rsidP="00C53F00">
      <w:pPr>
        <w:pStyle w:val="Heading2"/>
        <w:spacing w:before="120"/>
        <w:jc w:val="both"/>
      </w:pPr>
      <w:r>
        <w:t xml:space="preserve">Indicative </w:t>
      </w:r>
      <w:r w:rsidR="00654682">
        <w:t>capacities</w:t>
      </w:r>
    </w:p>
    <w:p w14:paraId="2FC37377" w14:textId="77777777" w:rsidR="005F072A" w:rsidRDefault="00D26EB7" w:rsidP="00162075">
      <w:pPr>
        <w:spacing w:after="0"/>
        <w:jc w:val="both"/>
      </w:pPr>
      <w:r>
        <w:t xml:space="preserve">In order to deliver the strategies set out in Section 2, the </w:t>
      </w:r>
      <w:r w:rsidR="00654682">
        <w:t>MC will be expected to be able to:</w:t>
      </w:r>
    </w:p>
    <w:p w14:paraId="78315878" w14:textId="2E2017F5" w:rsidR="005F072A" w:rsidRPr="00A16793" w:rsidRDefault="005F072A" w:rsidP="00A16793">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sidRPr="00A16793">
        <w:rPr>
          <w:rFonts w:eastAsia="Calibri" w:cs="Times New Roman"/>
          <w:kern w:val="28"/>
        </w:rPr>
        <w:t xml:space="preserve">Source and recruit high quality national and international </w:t>
      </w:r>
      <w:r w:rsidR="00BB57B0" w:rsidRPr="00A16793">
        <w:rPr>
          <w:rFonts w:eastAsia="Calibri" w:cs="Times New Roman"/>
          <w:kern w:val="28"/>
        </w:rPr>
        <w:t xml:space="preserve">technical assistance personnel </w:t>
      </w:r>
      <w:r w:rsidRPr="00A16793">
        <w:rPr>
          <w:rFonts w:eastAsia="Calibri" w:cs="Times New Roman"/>
          <w:kern w:val="28"/>
        </w:rPr>
        <w:t xml:space="preserve">to support GOI, as well as monitor </w:t>
      </w:r>
      <w:r w:rsidR="00F85088">
        <w:rPr>
          <w:rFonts w:eastAsia="Calibri" w:cs="Times New Roman"/>
          <w:kern w:val="28"/>
        </w:rPr>
        <w:t xml:space="preserve">the technical assistance provided </w:t>
      </w:r>
      <w:r w:rsidRPr="00A16793">
        <w:rPr>
          <w:rFonts w:eastAsia="Calibri" w:cs="Times New Roman"/>
          <w:kern w:val="28"/>
        </w:rPr>
        <w:t xml:space="preserve">to ensure its effectiveness and continued relevance to the </w:t>
      </w:r>
      <w:r w:rsidR="00513307" w:rsidRPr="00A16793">
        <w:rPr>
          <w:rFonts w:eastAsia="Calibri" w:cs="Times New Roman"/>
          <w:kern w:val="28"/>
        </w:rPr>
        <w:t>MAHKOTA</w:t>
      </w:r>
      <w:r w:rsidRPr="00A16793">
        <w:rPr>
          <w:rFonts w:eastAsia="Calibri" w:cs="Times New Roman"/>
          <w:kern w:val="28"/>
        </w:rPr>
        <w:t xml:space="preserve"> implementation strategy.</w:t>
      </w:r>
    </w:p>
    <w:p w14:paraId="181BF54C" w14:textId="77777777" w:rsidR="005F072A" w:rsidRPr="00A16793" w:rsidRDefault="005F072A" w:rsidP="00A16793">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sidRPr="00A16793">
        <w:rPr>
          <w:rFonts w:eastAsia="Calibri" w:cs="Times New Roman"/>
          <w:kern w:val="28"/>
        </w:rPr>
        <w:t>Support GOI in the development of strategic policy documents and implementation plans.</w:t>
      </w:r>
      <w:r w:rsidR="008424FA">
        <w:rPr>
          <w:rFonts w:eastAsia="Calibri" w:cs="Times New Roman"/>
          <w:kern w:val="28"/>
        </w:rPr>
        <w:t xml:space="preserve"> </w:t>
      </w:r>
    </w:p>
    <w:p w14:paraId="039E2846" w14:textId="77777777" w:rsidR="005F072A" w:rsidRPr="00A16793" w:rsidRDefault="005F072A" w:rsidP="00A16793">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sidRPr="00A16793">
        <w:rPr>
          <w:rFonts w:eastAsia="Calibri" w:cs="Times New Roman"/>
          <w:kern w:val="28"/>
        </w:rPr>
        <w:t xml:space="preserve">Develop and procure strategies, systems and tools to support monitoring of GOI’s </w:t>
      </w:r>
      <w:r w:rsidR="00513307" w:rsidRPr="00A16793">
        <w:rPr>
          <w:rFonts w:eastAsia="Calibri" w:cs="Times New Roman"/>
          <w:kern w:val="28"/>
        </w:rPr>
        <w:t xml:space="preserve">program </w:t>
      </w:r>
      <w:r w:rsidRPr="00A16793">
        <w:rPr>
          <w:rFonts w:eastAsia="Calibri" w:cs="Times New Roman"/>
          <w:kern w:val="28"/>
        </w:rPr>
        <w:t>investments.</w:t>
      </w:r>
    </w:p>
    <w:p w14:paraId="657BB9BA" w14:textId="77777777" w:rsidR="008424FA" w:rsidRDefault="008424FA" w:rsidP="00A16793">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Pr>
          <w:rFonts w:eastAsia="Calibri" w:cs="Times New Roman"/>
          <w:kern w:val="28"/>
        </w:rPr>
        <w:t>Work flexibly, to be able to manage a potential scale up of resources to respond to emerging priorities and to be able to respond quickly when key opportunities for support to GOI arise.</w:t>
      </w:r>
    </w:p>
    <w:p w14:paraId="56910C88" w14:textId="77777777" w:rsidR="005F072A" w:rsidRPr="00A16793" w:rsidRDefault="00BB57B0" w:rsidP="00A16793">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sidRPr="00A16793">
        <w:rPr>
          <w:rFonts w:eastAsia="Calibri" w:cs="Times New Roman"/>
          <w:kern w:val="28"/>
        </w:rPr>
        <w:t>Should additional resources become available during the program, c</w:t>
      </w:r>
      <w:r w:rsidR="005F072A" w:rsidRPr="00A16793">
        <w:rPr>
          <w:rFonts w:eastAsia="Calibri" w:cs="Times New Roman"/>
          <w:kern w:val="28"/>
        </w:rPr>
        <w:t xml:space="preserve">ommission, </w:t>
      </w:r>
      <w:proofErr w:type="gramStart"/>
      <w:r w:rsidR="005F072A" w:rsidRPr="00A16793">
        <w:rPr>
          <w:rFonts w:eastAsia="Calibri" w:cs="Times New Roman"/>
          <w:kern w:val="28"/>
        </w:rPr>
        <w:t>design</w:t>
      </w:r>
      <w:proofErr w:type="gramEnd"/>
      <w:r w:rsidR="005F072A" w:rsidRPr="00A16793">
        <w:rPr>
          <w:rFonts w:eastAsia="Calibri" w:cs="Times New Roman"/>
          <w:kern w:val="28"/>
        </w:rPr>
        <w:t xml:space="preserve"> and implement pilots, for the purposes of experimentation, establishing proof of concept and practicing delivery, using a range of methodologies.</w:t>
      </w:r>
    </w:p>
    <w:p w14:paraId="159A8FD5" w14:textId="77777777" w:rsidR="005F072A" w:rsidRPr="00A16793" w:rsidRDefault="005F072A" w:rsidP="00A16793">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sidRPr="00A16793">
        <w:rPr>
          <w:rFonts w:eastAsia="Calibri" w:cs="Times New Roman"/>
          <w:kern w:val="28"/>
        </w:rPr>
        <w:t>Commission, design and implement high quality analytical work and evaluations using a range of methodologies.</w:t>
      </w:r>
    </w:p>
    <w:p w14:paraId="658C8A5C" w14:textId="77777777" w:rsidR="005F072A" w:rsidRPr="00A16793" w:rsidRDefault="005F072A" w:rsidP="00A16793">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sidRPr="00A16793">
        <w:rPr>
          <w:rFonts w:eastAsia="Calibri" w:cs="Times New Roman"/>
          <w:kern w:val="28"/>
        </w:rPr>
        <w:t xml:space="preserve">Communicate effectively with a variety of audiences and key stakeholders, including by organising and hosting visits for national and international groups. </w:t>
      </w:r>
    </w:p>
    <w:p w14:paraId="5BA4DD29" w14:textId="77777777" w:rsidR="005F072A" w:rsidRPr="00A16793" w:rsidRDefault="005F072A" w:rsidP="00A16793">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sidRPr="00A16793">
        <w:rPr>
          <w:rFonts w:eastAsia="Calibri" w:cs="Times New Roman"/>
          <w:kern w:val="28"/>
        </w:rPr>
        <w:t>Support national and international knowledge exchanges, through organisation and delivery of site visits, national or international workshop</w:t>
      </w:r>
      <w:r w:rsidR="005527E2">
        <w:rPr>
          <w:rFonts w:eastAsia="Calibri" w:cs="Times New Roman"/>
          <w:kern w:val="28"/>
        </w:rPr>
        <w:t>s</w:t>
      </w:r>
      <w:r w:rsidRPr="00A16793">
        <w:rPr>
          <w:rFonts w:eastAsia="Calibri" w:cs="Times New Roman"/>
          <w:kern w:val="28"/>
        </w:rPr>
        <w:t xml:space="preserve"> and training activities. </w:t>
      </w:r>
    </w:p>
    <w:p w14:paraId="5EC563C1" w14:textId="77777777" w:rsidR="00513307" w:rsidRPr="00A16793" w:rsidRDefault="00513307" w:rsidP="00A16793">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sidRPr="00A16793">
        <w:rPr>
          <w:rFonts w:eastAsia="Calibri" w:cs="Times New Roman"/>
          <w:kern w:val="28"/>
        </w:rPr>
        <w:t>Provide exceptional back-office support for the facility’s management and operations</w:t>
      </w:r>
      <w:r w:rsidR="005527E2">
        <w:rPr>
          <w:rFonts w:eastAsia="Calibri" w:cs="Times New Roman"/>
          <w:kern w:val="28"/>
        </w:rPr>
        <w:t>,</w:t>
      </w:r>
      <w:r w:rsidRPr="00A16793">
        <w:rPr>
          <w:rFonts w:eastAsia="Calibri" w:cs="Times New Roman"/>
          <w:kern w:val="28"/>
        </w:rPr>
        <w:t xml:space="preserve"> for example</w:t>
      </w:r>
      <w:r w:rsidR="00BB57B0" w:rsidRPr="00A16793">
        <w:rPr>
          <w:rFonts w:eastAsia="Calibri" w:cs="Times New Roman"/>
          <w:kern w:val="28"/>
        </w:rPr>
        <w:t>:</w:t>
      </w:r>
      <w:r w:rsidRPr="00A16793">
        <w:rPr>
          <w:rFonts w:eastAsia="Calibri" w:cs="Times New Roman"/>
          <w:kern w:val="28"/>
        </w:rPr>
        <w:t xml:space="preserve"> procurement, IT, </w:t>
      </w:r>
      <w:r w:rsidR="00BB57B0" w:rsidRPr="00A16793">
        <w:rPr>
          <w:rFonts w:eastAsia="Calibri" w:cs="Times New Roman"/>
          <w:kern w:val="28"/>
        </w:rPr>
        <w:t xml:space="preserve">human resources, and </w:t>
      </w:r>
      <w:r w:rsidRPr="00A16793">
        <w:rPr>
          <w:rFonts w:eastAsia="Calibri" w:cs="Times New Roman"/>
          <w:kern w:val="28"/>
        </w:rPr>
        <w:t xml:space="preserve">strategy </w:t>
      </w:r>
      <w:r w:rsidR="00BB57B0" w:rsidRPr="00A16793">
        <w:rPr>
          <w:rFonts w:eastAsia="Calibri" w:cs="Times New Roman"/>
          <w:kern w:val="28"/>
        </w:rPr>
        <w:t xml:space="preserve">and </w:t>
      </w:r>
      <w:r w:rsidR="0063645F" w:rsidRPr="00A16793">
        <w:rPr>
          <w:rFonts w:eastAsia="Calibri" w:cs="Times New Roman"/>
          <w:kern w:val="28"/>
        </w:rPr>
        <w:t>work plan</w:t>
      </w:r>
      <w:r w:rsidR="00BB57B0" w:rsidRPr="00A16793">
        <w:rPr>
          <w:rFonts w:eastAsia="Calibri" w:cs="Times New Roman"/>
          <w:kern w:val="28"/>
        </w:rPr>
        <w:t xml:space="preserve"> </w:t>
      </w:r>
      <w:r w:rsidRPr="00A16793">
        <w:rPr>
          <w:rFonts w:eastAsia="Calibri" w:cs="Times New Roman"/>
          <w:kern w:val="28"/>
        </w:rPr>
        <w:t>development</w:t>
      </w:r>
      <w:r w:rsidR="00BB57B0" w:rsidRPr="00A16793">
        <w:rPr>
          <w:rFonts w:eastAsia="Calibri" w:cs="Times New Roman"/>
          <w:kern w:val="28"/>
        </w:rPr>
        <w:t xml:space="preserve"> and management</w:t>
      </w:r>
      <w:r w:rsidRPr="00A16793">
        <w:rPr>
          <w:rFonts w:eastAsia="Calibri" w:cs="Times New Roman"/>
          <w:kern w:val="28"/>
        </w:rPr>
        <w:t>.</w:t>
      </w:r>
    </w:p>
    <w:p w14:paraId="5590D89A" w14:textId="77777777" w:rsidR="005F072A" w:rsidRDefault="005F072A" w:rsidP="00C53F00">
      <w:pPr>
        <w:pStyle w:val="Heading2"/>
        <w:spacing w:before="120"/>
        <w:jc w:val="both"/>
      </w:pPr>
      <w:r>
        <w:t>Operating principles</w:t>
      </w:r>
    </w:p>
    <w:p w14:paraId="30D25E98" w14:textId="77777777" w:rsidR="005F072A" w:rsidRDefault="007950B0" w:rsidP="00162075">
      <w:pPr>
        <w:spacing w:after="0"/>
        <w:jc w:val="both"/>
      </w:pPr>
      <w:r>
        <w:t>T</w:t>
      </w:r>
      <w:r w:rsidR="005F072A">
        <w:t>he MC will be guided by the following principles</w:t>
      </w:r>
      <w:r w:rsidRPr="007950B0">
        <w:t xml:space="preserve"> </w:t>
      </w:r>
      <w:r>
        <w:t>in its approach to supporting GOI:</w:t>
      </w:r>
    </w:p>
    <w:p w14:paraId="1183AE1C" w14:textId="77777777" w:rsidR="005F072A" w:rsidRPr="00A16793" w:rsidRDefault="005F072A" w:rsidP="00A16793">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sidRPr="00A16793">
        <w:rPr>
          <w:rFonts w:eastAsia="Calibri" w:cs="Times New Roman"/>
          <w:b/>
          <w:kern w:val="28"/>
        </w:rPr>
        <w:t>Play a brokering and consolidating</w:t>
      </w:r>
      <w:r w:rsidRPr="00A16793">
        <w:rPr>
          <w:rFonts w:eastAsia="Calibri" w:cs="Times New Roman"/>
          <w:kern w:val="28"/>
        </w:rPr>
        <w:t xml:space="preserve"> </w:t>
      </w:r>
      <w:r w:rsidRPr="00A16793">
        <w:rPr>
          <w:rFonts w:eastAsia="Calibri" w:cs="Times New Roman"/>
          <w:b/>
          <w:kern w:val="28"/>
        </w:rPr>
        <w:t>role</w:t>
      </w:r>
      <w:r w:rsidR="003C5AE8" w:rsidRPr="00A16793">
        <w:rPr>
          <w:rFonts w:eastAsia="Calibri" w:cs="Times New Roman"/>
          <w:kern w:val="28"/>
        </w:rPr>
        <w:t>:</w:t>
      </w:r>
      <w:r w:rsidRPr="00A16793">
        <w:rPr>
          <w:rFonts w:eastAsia="Calibri" w:cs="Times New Roman"/>
          <w:kern w:val="28"/>
        </w:rPr>
        <w:t xml:space="preserve"> </w:t>
      </w:r>
      <w:r w:rsidR="004707BF" w:rsidRPr="00A16793">
        <w:rPr>
          <w:rFonts w:eastAsia="Calibri" w:cs="Times New Roman"/>
          <w:kern w:val="28"/>
        </w:rPr>
        <w:t xml:space="preserve">MAHKOTA will </w:t>
      </w:r>
      <w:r w:rsidR="00BB57B0" w:rsidRPr="00A16793">
        <w:rPr>
          <w:rFonts w:eastAsia="Calibri" w:cs="Times New Roman"/>
          <w:kern w:val="28"/>
        </w:rPr>
        <w:t xml:space="preserve">likely </w:t>
      </w:r>
      <w:r w:rsidR="004707BF" w:rsidRPr="00A16793">
        <w:rPr>
          <w:rFonts w:eastAsia="Calibri" w:cs="Times New Roman"/>
          <w:kern w:val="28"/>
        </w:rPr>
        <w:t>work with</w:t>
      </w:r>
      <w:r w:rsidRPr="00A16793">
        <w:rPr>
          <w:rFonts w:eastAsia="Calibri" w:cs="Times New Roman"/>
          <w:kern w:val="28"/>
        </w:rPr>
        <w:t xml:space="preserve"> multiple government stakeholders with various </w:t>
      </w:r>
      <w:r w:rsidR="00974650" w:rsidRPr="00A16793">
        <w:rPr>
          <w:rFonts w:eastAsia="Calibri" w:cs="Times New Roman"/>
          <w:kern w:val="28"/>
        </w:rPr>
        <w:t xml:space="preserve">technical and capacity building </w:t>
      </w:r>
      <w:r w:rsidRPr="00A16793">
        <w:rPr>
          <w:rFonts w:eastAsia="Calibri" w:cs="Times New Roman"/>
          <w:kern w:val="28"/>
        </w:rPr>
        <w:t>needs. The MC will play a brokering role between stakeholders, most importantly for the development of a consolidated work plan as well as for activity implementation.</w:t>
      </w:r>
      <w:r w:rsidR="008424FA">
        <w:rPr>
          <w:rFonts w:eastAsia="Calibri" w:cs="Times New Roman"/>
          <w:kern w:val="28"/>
        </w:rPr>
        <w:t xml:space="preserve"> Rapid response support may be required to take advantage of key windows of opportunity that arise </w:t>
      </w:r>
      <w:r w:rsidR="00B67B06">
        <w:rPr>
          <w:rFonts w:eastAsia="Calibri" w:cs="Times New Roman"/>
          <w:kern w:val="28"/>
        </w:rPr>
        <w:t>in</w:t>
      </w:r>
      <w:r w:rsidR="008424FA">
        <w:rPr>
          <w:rFonts w:eastAsia="Calibri" w:cs="Times New Roman"/>
          <w:kern w:val="28"/>
        </w:rPr>
        <w:t xml:space="preserve"> policy dialogue. </w:t>
      </w:r>
    </w:p>
    <w:p w14:paraId="03BB2731" w14:textId="77777777" w:rsidR="005F072A" w:rsidRPr="00A16793" w:rsidRDefault="005F072A" w:rsidP="00A16793">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sidRPr="00A16793">
        <w:rPr>
          <w:rFonts w:eastAsia="Calibri" w:cs="Times New Roman"/>
          <w:b/>
          <w:kern w:val="28"/>
        </w:rPr>
        <w:t>Tak</w:t>
      </w:r>
      <w:r w:rsidR="00E31E39" w:rsidRPr="00A16793">
        <w:rPr>
          <w:rFonts w:eastAsia="Calibri" w:cs="Times New Roman"/>
          <w:b/>
          <w:kern w:val="28"/>
        </w:rPr>
        <w:t>e</w:t>
      </w:r>
      <w:r w:rsidRPr="00A16793">
        <w:rPr>
          <w:rFonts w:eastAsia="Calibri" w:cs="Times New Roman"/>
          <w:b/>
          <w:kern w:val="28"/>
        </w:rPr>
        <w:t xml:space="preserve"> a problem-solving</w:t>
      </w:r>
      <w:r w:rsidR="004410EA" w:rsidRPr="00A16793">
        <w:rPr>
          <w:rFonts w:eastAsia="Calibri" w:cs="Times New Roman"/>
          <w:b/>
          <w:kern w:val="28"/>
        </w:rPr>
        <w:t xml:space="preserve"> and hypothesis-driven</w:t>
      </w:r>
      <w:r w:rsidR="007950B0" w:rsidRPr="00A16793">
        <w:rPr>
          <w:rFonts w:eastAsia="Calibri" w:cs="Times New Roman"/>
          <w:b/>
          <w:kern w:val="28"/>
        </w:rPr>
        <w:t xml:space="preserve"> </w:t>
      </w:r>
      <w:r w:rsidRPr="00A16793">
        <w:rPr>
          <w:rFonts w:eastAsia="Calibri" w:cs="Times New Roman"/>
          <w:b/>
          <w:kern w:val="28"/>
        </w:rPr>
        <w:t>approach</w:t>
      </w:r>
      <w:r w:rsidR="003C5AE8" w:rsidRPr="00A16793">
        <w:rPr>
          <w:rFonts w:eastAsia="Calibri" w:cs="Times New Roman"/>
          <w:kern w:val="28"/>
        </w:rPr>
        <w:t>:</w:t>
      </w:r>
      <w:r w:rsidRPr="00A16793">
        <w:rPr>
          <w:rFonts w:eastAsia="Calibri" w:cs="Times New Roman"/>
          <w:kern w:val="28"/>
        </w:rPr>
        <w:t xml:space="preserve"> Activities, especially analysis and evaluation, will be</w:t>
      </w:r>
      <w:r w:rsidR="00974650" w:rsidRPr="00A16793">
        <w:rPr>
          <w:rFonts w:eastAsia="Calibri" w:cs="Times New Roman"/>
          <w:kern w:val="28"/>
        </w:rPr>
        <w:t xml:space="preserve"> relevant to GOI’s needs and </w:t>
      </w:r>
      <w:r w:rsidR="00E31E39" w:rsidRPr="00A16793">
        <w:rPr>
          <w:rFonts w:eastAsia="Calibri" w:cs="Times New Roman"/>
          <w:kern w:val="28"/>
        </w:rPr>
        <w:t>framed</w:t>
      </w:r>
      <w:r w:rsidRPr="00A16793">
        <w:rPr>
          <w:rFonts w:eastAsia="Calibri" w:cs="Times New Roman"/>
          <w:kern w:val="28"/>
        </w:rPr>
        <w:t xml:space="preserve"> to answer questions </w:t>
      </w:r>
      <w:r w:rsidR="004410EA" w:rsidRPr="00A16793">
        <w:rPr>
          <w:rFonts w:eastAsia="Calibri" w:cs="Times New Roman"/>
          <w:kern w:val="28"/>
        </w:rPr>
        <w:t>it</w:t>
      </w:r>
      <w:r w:rsidRPr="00A16793">
        <w:rPr>
          <w:rFonts w:eastAsia="Calibri" w:cs="Times New Roman"/>
          <w:kern w:val="28"/>
        </w:rPr>
        <w:t xml:space="preserve"> ask</w:t>
      </w:r>
      <w:r w:rsidR="00974650" w:rsidRPr="00A16793">
        <w:rPr>
          <w:rFonts w:eastAsia="Calibri" w:cs="Times New Roman"/>
          <w:kern w:val="28"/>
        </w:rPr>
        <w:t>s</w:t>
      </w:r>
      <w:r w:rsidRPr="00A16793">
        <w:rPr>
          <w:rFonts w:eastAsia="Calibri" w:cs="Times New Roman"/>
          <w:kern w:val="28"/>
        </w:rPr>
        <w:t xml:space="preserve">, starting </w:t>
      </w:r>
      <w:r w:rsidR="00146523" w:rsidRPr="00A16793">
        <w:rPr>
          <w:rFonts w:eastAsia="Calibri" w:cs="Times New Roman"/>
          <w:kern w:val="28"/>
        </w:rPr>
        <w:t>with</w:t>
      </w:r>
      <w:r w:rsidRPr="00A16793">
        <w:rPr>
          <w:rFonts w:eastAsia="Calibri" w:cs="Times New Roman"/>
          <w:kern w:val="28"/>
        </w:rPr>
        <w:t xml:space="preserve"> strong consultation, for develop</w:t>
      </w:r>
      <w:r w:rsidR="00146523" w:rsidRPr="00A16793">
        <w:rPr>
          <w:rFonts w:eastAsia="Calibri" w:cs="Times New Roman"/>
          <w:kern w:val="28"/>
        </w:rPr>
        <w:t xml:space="preserve">ing </w:t>
      </w:r>
      <w:r w:rsidRPr="00A16793">
        <w:rPr>
          <w:rFonts w:eastAsia="Calibri" w:cs="Times New Roman"/>
          <w:kern w:val="28"/>
        </w:rPr>
        <w:t xml:space="preserve">annual </w:t>
      </w:r>
      <w:r w:rsidR="002A036F" w:rsidRPr="00A16793">
        <w:rPr>
          <w:rFonts w:eastAsia="Calibri" w:cs="Times New Roman"/>
          <w:kern w:val="28"/>
        </w:rPr>
        <w:t>work plans</w:t>
      </w:r>
      <w:r w:rsidRPr="00A16793">
        <w:rPr>
          <w:rFonts w:eastAsia="Calibri" w:cs="Times New Roman"/>
          <w:kern w:val="28"/>
        </w:rPr>
        <w:t xml:space="preserve"> </w:t>
      </w:r>
      <w:r w:rsidR="005527E2">
        <w:rPr>
          <w:rFonts w:eastAsia="Calibri" w:cs="Times New Roman"/>
          <w:kern w:val="28"/>
        </w:rPr>
        <w:t>and</w:t>
      </w:r>
      <w:r w:rsidRPr="00A16793">
        <w:rPr>
          <w:rFonts w:eastAsia="Calibri" w:cs="Times New Roman"/>
          <w:kern w:val="28"/>
        </w:rPr>
        <w:t xml:space="preserve"> activities.</w:t>
      </w:r>
    </w:p>
    <w:p w14:paraId="3DDB2D10" w14:textId="77777777" w:rsidR="005F072A" w:rsidRPr="00A16793" w:rsidRDefault="005F072A" w:rsidP="00A16793">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sidRPr="00A16793">
        <w:rPr>
          <w:rFonts w:eastAsia="Calibri" w:cs="Times New Roman"/>
          <w:b/>
          <w:kern w:val="28"/>
        </w:rPr>
        <w:t>Communicat</w:t>
      </w:r>
      <w:r w:rsidR="00E31E39" w:rsidRPr="00A16793">
        <w:rPr>
          <w:rFonts w:eastAsia="Calibri" w:cs="Times New Roman"/>
          <w:b/>
          <w:kern w:val="28"/>
        </w:rPr>
        <w:t>e</w:t>
      </w:r>
      <w:r w:rsidRPr="00A16793">
        <w:rPr>
          <w:rFonts w:eastAsia="Calibri" w:cs="Times New Roman"/>
          <w:b/>
          <w:kern w:val="28"/>
        </w:rPr>
        <w:t xml:space="preserve"> well</w:t>
      </w:r>
      <w:r w:rsidR="007E622A" w:rsidRPr="00A16793">
        <w:rPr>
          <w:rFonts w:eastAsia="Calibri" w:cs="Times New Roman"/>
          <w:kern w:val="28"/>
        </w:rPr>
        <w:t>:</w:t>
      </w:r>
      <w:r w:rsidRPr="00A16793">
        <w:rPr>
          <w:rFonts w:eastAsia="Calibri" w:cs="Times New Roman"/>
          <w:kern w:val="28"/>
        </w:rPr>
        <w:t xml:space="preserve"> </w:t>
      </w:r>
      <w:r w:rsidR="007E622A" w:rsidRPr="00A16793">
        <w:rPr>
          <w:rFonts w:eastAsia="Calibri" w:cs="Times New Roman"/>
          <w:kern w:val="28"/>
        </w:rPr>
        <w:t>b</w:t>
      </w:r>
      <w:r w:rsidRPr="00A16793">
        <w:rPr>
          <w:rFonts w:eastAsia="Calibri" w:cs="Times New Roman"/>
          <w:kern w:val="28"/>
        </w:rPr>
        <w:t xml:space="preserve">y keeping stakeholders regularly informed of progress, involved in activities, and presenting results in ways </w:t>
      </w:r>
      <w:r w:rsidR="00146523" w:rsidRPr="00A16793">
        <w:rPr>
          <w:rFonts w:eastAsia="Calibri" w:cs="Times New Roman"/>
          <w:kern w:val="28"/>
        </w:rPr>
        <w:t>useful</w:t>
      </w:r>
      <w:r w:rsidRPr="00A16793">
        <w:rPr>
          <w:rFonts w:eastAsia="Calibri" w:cs="Times New Roman"/>
          <w:kern w:val="28"/>
        </w:rPr>
        <w:t xml:space="preserve"> for policy making and implementation.</w:t>
      </w:r>
    </w:p>
    <w:p w14:paraId="1C5C8360" w14:textId="67B31B09" w:rsidR="005F072A" w:rsidRPr="00A16793" w:rsidRDefault="005F072A" w:rsidP="00A16793">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sidRPr="00A16793">
        <w:rPr>
          <w:rFonts w:eastAsia="Calibri" w:cs="Times New Roman"/>
          <w:b/>
          <w:kern w:val="28"/>
        </w:rPr>
        <w:t>Valu</w:t>
      </w:r>
      <w:r w:rsidR="00E31E39" w:rsidRPr="00A16793">
        <w:rPr>
          <w:rFonts w:eastAsia="Calibri" w:cs="Times New Roman"/>
          <w:b/>
          <w:kern w:val="28"/>
        </w:rPr>
        <w:t>e</w:t>
      </w:r>
      <w:r w:rsidRPr="00A16793">
        <w:rPr>
          <w:rFonts w:eastAsia="Calibri" w:cs="Times New Roman"/>
          <w:b/>
          <w:kern w:val="28"/>
        </w:rPr>
        <w:t xml:space="preserve"> evidence</w:t>
      </w:r>
      <w:r w:rsidR="003C5AE8" w:rsidRPr="00A16793">
        <w:rPr>
          <w:rFonts w:eastAsia="Calibri" w:cs="Times New Roman"/>
          <w:kern w:val="28"/>
        </w:rPr>
        <w:t>:</w:t>
      </w:r>
      <w:r w:rsidRPr="00A16793">
        <w:rPr>
          <w:rFonts w:eastAsia="Calibri" w:cs="Times New Roman"/>
          <w:kern w:val="28"/>
        </w:rPr>
        <w:t xml:space="preserve"> The MC will invest in</w:t>
      </w:r>
      <w:r w:rsidR="00F85088">
        <w:rPr>
          <w:rFonts w:eastAsia="Calibri" w:cs="Times New Roman"/>
          <w:kern w:val="28"/>
        </w:rPr>
        <w:t>,</w:t>
      </w:r>
      <w:r w:rsidRPr="00A16793">
        <w:rPr>
          <w:rFonts w:eastAsia="Calibri" w:cs="Times New Roman"/>
          <w:kern w:val="28"/>
        </w:rPr>
        <w:t xml:space="preserve"> and use</w:t>
      </w:r>
      <w:r w:rsidR="00F85088">
        <w:rPr>
          <w:rFonts w:eastAsia="Calibri" w:cs="Times New Roman"/>
          <w:kern w:val="28"/>
        </w:rPr>
        <w:t>,</w:t>
      </w:r>
      <w:r w:rsidRPr="00A16793">
        <w:rPr>
          <w:rFonts w:eastAsia="Calibri" w:cs="Times New Roman"/>
          <w:kern w:val="28"/>
        </w:rPr>
        <w:t xml:space="preserve"> high quality evidence to inform effective </w:t>
      </w:r>
      <w:r w:rsidR="003C5AE8" w:rsidRPr="00A16793">
        <w:rPr>
          <w:rFonts w:eastAsia="Calibri" w:cs="Times New Roman"/>
          <w:kern w:val="28"/>
        </w:rPr>
        <w:t xml:space="preserve">policies and </w:t>
      </w:r>
      <w:r w:rsidRPr="00A16793">
        <w:rPr>
          <w:rFonts w:eastAsia="Calibri" w:cs="Times New Roman"/>
          <w:kern w:val="28"/>
        </w:rPr>
        <w:t>programs.</w:t>
      </w:r>
    </w:p>
    <w:p w14:paraId="2428B512" w14:textId="77777777" w:rsidR="005F072A" w:rsidRPr="00A16793" w:rsidRDefault="003C5AE8" w:rsidP="00A16793">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sidRPr="00A16793">
        <w:rPr>
          <w:rFonts w:eastAsia="Calibri" w:cs="Times New Roman"/>
          <w:b/>
          <w:kern w:val="28"/>
        </w:rPr>
        <w:t>Complement capacity</w:t>
      </w:r>
      <w:r w:rsidRPr="00A16793">
        <w:rPr>
          <w:rFonts w:eastAsia="Calibri" w:cs="Times New Roman"/>
          <w:kern w:val="28"/>
        </w:rPr>
        <w:t>:</w:t>
      </w:r>
      <w:r w:rsidR="005F072A" w:rsidRPr="00A16793">
        <w:rPr>
          <w:rFonts w:eastAsia="Calibri" w:cs="Times New Roman"/>
          <w:kern w:val="28"/>
        </w:rPr>
        <w:t xml:space="preserve"> The MC will </w:t>
      </w:r>
      <w:r w:rsidR="007950B0" w:rsidRPr="00A16793">
        <w:rPr>
          <w:rFonts w:eastAsia="Calibri" w:cs="Times New Roman"/>
          <w:kern w:val="28"/>
        </w:rPr>
        <w:t>avoid</w:t>
      </w:r>
      <w:r w:rsidR="005F072A" w:rsidRPr="00A16793">
        <w:rPr>
          <w:rFonts w:eastAsia="Calibri" w:cs="Times New Roman"/>
          <w:kern w:val="28"/>
        </w:rPr>
        <w:t xml:space="preserve"> displac</w:t>
      </w:r>
      <w:r w:rsidR="007950B0" w:rsidRPr="00A16793">
        <w:rPr>
          <w:rFonts w:eastAsia="Calibri" w:cs="Times New Roman"/>
          <w:kern w:val="28"/>
        </w:rPr>
        <w:t>ing</w:t>
      </w:r>
      <w:r w:rsidR="005F072A" w:rsidRPr="00A16793">
        <w:rPr>
          <w:rFonts w:eastAsia="Calibri" w:cs="Times New Roman"/>
          <w:kern w:val="28"/>
        </w:rPr>
        <w:t xml:space="preserve"> or replac</w:t>
      </w:r>
      <w:r w:rsidR="007950B0" w:rsidRPr="00A16793">
        <w:rPr>
          <w:rFonts w:eastAsia="Calibri" w:cs="Times New Roman"/>
          <w:kern w:val="28"/>
        </w:rPr>
        <w:t>ing</w:t>
      </w:r>
      <w:r w:rsidR="005F072A" w:rsidRPr="00A16793">
        <w:rPr>
          <w:rFonts w:eastAsia="Calibri" w:cs="Times New Roman"/>
          <w:kern w:val="28"/>
        </w:rPr>
        <w:t xml:space="preserve"> government capacity or roles. </w:t>
      </w:r>
      <w:r w:rsidR="007950B0" w:rsidRPr="00A16793">
        <w:rPr>
          <w:rFonts w:eastAsia="Calibri" w:cs="Times New Roman"/>
          <w:kern w:val="28"/>
        </w:rPr>
        <w:t>I</w:t>
      </w:r>
      <w:r w:rsidR="005F072A" w:rsidRPr="00A16793">
        <w:rPr>
          <w:rFonts w:eastAsia="Calibri" w:cs="Times New Roman"/>
          <w:kern w:val="28"/>
        </w:rPr>
        <w:t xml:space="preserve">t will provide complementary capacity under </w:t>
      </w:r>
      <w:r w:rsidR="007950B0" w:rsidRPr="00A16793">
        <w:rPr>
          <w:rFonts w:eastAsia="Calibri" w:cs="Times New Roman"/>
          <w:kern w:val="28"/>
        </w:rPr>
        <w:t xml:space="preserve">GOI </w:t>
      </w:r>
      <w:r w:rsidR="005F072A" w:rsidRPr="00A16793">
        <w:rPr>
          <w:rFonts w:eastAsia="Calibri" w:cs="Times New Roman"/>
          <w:kern w:val="28"/>
        </w:rPr>
        <w:t>leadership, creating a sustainable model for sourcing high quality national and internation</w:t>
      </w:r>
      <w:r w:rsidR="007950B0" w:rsidRPr="00A16793">
        <w:rPr>
          <w:rFonts w:eastAsia="Calibri" w:cs="Times New Roman"/>
          <w:kern w:val="28"/>
        </w:rPr>
        <w:t>al technical expertise to comple</w:t>
      </w:r>
      <w:r w:rsidR="005F072A" w:rsidRPr="00A16793">
        <w:rPr>
          <w:rFonts w:eastAsia="Calibri" w:cs="Times New Roman"/>
          <w:kern w:val="28"/>
        </w:rPr>
        <w:t>ment core public service staff.</w:t>
      </w:r>
    </w:p>
    <w:p w14:paraId="48B73A0C" w14:textId="77777777" w:rsidR="00654682" w:rsidRPr="00A16793" w:rsidRDefault="005F072A" w:rsidP="00A16793">
      <w:pPr>
        <w:numPr>
          <w:ilvl w:val="0"/>
          <w:numId w:val="31"/>
        </w:numPr>
        <w:overflowPunct w:val="0"/>
        <w:autoSpaceDE w:val="0"/>
        <w:autoSpaceDN w:val="0"/>
        <w:adjustRightInd w:val="0"/>
        <w:spacing w:after="0" w:line="240" w:lineRule="auto"/>
        <w:ind w:left="924" w:hanging="357"/>
        <w:jc w:val="both"/>
        <w:rPr>
          <w:rFonts w:eastAsia="Calibri" w:cs="Times New Roman"/>
          <w:kern w:val="28"/>
        </w:rPr>
      </w:pPr>
      <w:r w:rsidRPr="00A16793">
        <w:rPr>
          <w:rFonts w:eastAsia="Calibri" w:cs="Times New Roman"/>
          <w:b/>
          <w:kern w:val="28"/>
        </w:rPr>
        <w:t>Creat</w:t>
      </w:r>
      <w:r w:rsidR="00E31E39" w:rsidRPr="00A16793">
        <w:rPr>
          <w:rFonts w:eastAsia="Calibri" w:cs="Times New Roman"/>
          <w:b/>
          <w:kern w:val="28"/>
        </w:rPr>
        <w:t>e</w:t>
      </w:r>
      <w:r w:rsidRPr="00A16793">
        <w:rPr>
          <w:rFonts w:eastAsia="Calibri" w:cs="Times New Roman"/>
          <w:b/>
          <w:kern w:val="28"/>
        </w:rPr>
        <w:t xml:space="preserve"> space for innovation</w:t>
      </w:r>
      <w:r w:rsidR="003C5AE8" w:rsidRPr="00A16793">
        <w:rPr>
          <w:rFonts w:eastAsia="Calibri" w:cs="Times New Roman"/>
          <w:kern w:val="28"/>
        </w:rPr>
        <w:t>:</w:t>
      </w:r>
      <w:r w:rsidRPr="00A16793">
        <w:rPr>
          <w:rFonts w:eastAsia="Calibri" w:cs="Times New Roman"/>
          <w:kern w:val="28"/>
        </w:rPr>
        <w:t xml:space="preserve"> The MC will take on innovative concepts while working towards </w:t>
      </w:r>
      <w:r w:rsidR="002A036F" w:rsidRPr="00A16793">
        <w:rPr>
          <w:rFonts w:eastAsia="Calibri" w:cs="Times New Roman"/>
          <w:kern w:val="28"/>
        </w:rPr>
        <w:t>take-up</w:t>
      </w:r>
      <w:r w:rsidRPr="00A16793">
        <w:rPr>
          <w:rFonts w:eastAsia="Calibri" w:cs="Times New Roman"/>
          <w:kern w:val="28"/>
        </w:rPr>
        <w:t xml:space="preserve"> and mainstreaming once concepts </w:t>
      </w:r>
      <w:r w:rsidR="005527E2">
        <w:rPr>
          <w:rFonts w:eastAsia="Calibri" w:cs="Times New Roman"/>
          <w:kern w:val="28"/>
        </w:rPr>
        <w:t>are</w:t>
      </w:r>
      <w:r w:rsidRPr="00A16793">
        <w:rPr>
          <w:rFonts w:eastAsia="Calibri" w:cs="Times New Roman"/>
          <w:kern w:val="28"/>
        </w:rPr>
        <w:t xml:space="preserve"> proven to work.</w:t>
      </w:r>
    </w:p>
    <w:p w14:paraId="383AB547" w14:textId="77777777" w:rsidR="00654682" w:rsidRPr="00A16793" w:rsidRDefault="005F072A" w:rsidP="00C53F00">
      <w:pPr>
        <w:numPr>
          <w:ilvl w:val="0"/>
          <w:numId w:val="31"/>
        </w:numPr>
        <w:overflowPunct w:val="0"/>
        <w:autoSpaceDE w:val="0"/>
        <w:autoSpaceDN w:val="0"/>
        <w:adjustRightInd w:val="0"/>
        <w:spacing w:after="120" w:line="240" w:lineRule="auto"/>
        <w:ind w:left="924" w:hanging="357"/>
        <w:jc w:val="both"/>
        <w:rPr>
          <w:rFonts w:eastAsia="Calibri" w:cs="Times New Roman"/>
          <w:kern w:val="28"/>
        </w:rPr>
      </w:pPr>
      <w:r w:rsidRPr="00A16793">
        <w:rPr>
          <w:rFonts w:eastAsia="Calibri" w:cs="Times New Roman"/>
          <w:b/>
          <w:kern w:val="28"/>
        </w:rPr>
        <w:t>Rema</w:t>
      </w:r>
      <w:r w:rsidR="003C5AE8" w:rsidRPr="00A16793">
        <w:rPr>
          <w:rFonts w:eastAsia="Calibri" w:cs="Times New Roman"/>
          <w:b/>
          <w:kern w:val="28"/>
        </w:rPr>
        <w:t>in flexible</w:t>
      </w:r>
      <w:r w:rsidR="003C5AE8" w:rsidRPr="00A16793">
        <w:rPr>
          <w:rFonts w:eastAsia="Calibri" w:cs="Times New Roman"/>
          <w:kern w:val="28"/>
        </w:rPr>
        <w:t>:</w:t>
      </w:r>
      <w:r w:rsidRPr="00A16793">
        <w:rPr>
          <w:rFonts w:eastAsia="Calibri" w:cs="Times New Roman"/>
          <w:kern w:val="28"/>
        </w:rPr>
        <w:t xml:space="preserve"> The MC will operat</w:t>
      </w:r>
      <w:r w:rsidR="00E31E39" w:rsidRPr="00A16793">
        <w:rPr>
          <w:rFonts w:eastAsia="Calibri" w:cs="Times New Roman"/>
          <w:kern w:val="28"/>
        </w:rPr>
        <w:t>e</w:t>
      </w:r>
      <w:r w:rsidRPr="00A16793">
        <w:rPr>
          <w:rFonts w:eastAsia="Calibri" w:cs="Times New Roman"/>
          <w:kern w:val="28"/>
        </w:rPr>
        <w:t xml:space="preserve"> in a time of change and transition for GOI programs and policy, as well as key stakeholders. The MC may also need to manage increases to funding.</w:t>
      </w:r>
    </w:p>
    <w:p w14:paraId="3F49333E" w14:textId="77777777" w:rsidR="00241B5B" w:rsidRDefault="00D532E5" w:rsidP="00C53F00">
      <w:pPr>
        <w:pStyle w:val="Heading2"/>
        <w:spacing w:before="120"/>
        <w:jc w:val="both"/>
      </w:pPr>
      <w:r w:rsidRPr="001F3264">
        <w:t>Services</w:t>
      </w:r>
    </w:p>
    <w:p w14:paraId="763FB22E" w14:textId="77777777" w:rsidR="00F56CC3" w:rsidRDefault="00713B28" w:rsidP="00162075">
      <w:pPr>
        <w:spacing w:after="0"/>
        <w:jc w:val="both"/>
      </w:pPr>
      <w:r>
        <w:t xml:space="preserve">DFAT will ask </w:t>
      </w:r>
      <w:r w:rsidR="00F46278">
        <w:t>MC</w:t>
      </w:r>
      <w:r>
        <w:t xml:space="preserve"> bidders to propose long and short term staffing arrangements, structures and processes that will ensure </w:t>
      </w:r>
      <w:r w:rsidR="004707BF">
        <w:t>MAHKOTA</w:t>
      </w:r>
      <w:r w:rsidR="00F56CC3">
        <w:t>:</w:t>
      </w:r>
    </w:p>
    <w:p w14:paraId="04A374B1" w14:textId="5B5CC42A" w:rsidR="00654682" w:rsidRDefault="00F85088" w:rsidP="00162075">
      <w:pPr>
        <w:pStyle w:val="ListParagraph"/>
        <w:numPr>
          <w:ilvl w:val="0"/>
          <w:numId w:val="6"/>
        </w:numPr>
        <w:jc w:val="both"/>
      </w:pPr>
      <w:r>
        <w:t>m</w:t>
      </w:r>
      <w:r w:rsidR="00D532E5">
        <w:t>obilise</w:t>
      </w:r>
      <w:r w:rsidR="00654682">
        <w:t>s</w:t>
      </w:r>
      <w:r w:rsidR="00D532E5">
        <w:t>, plan</w:t>
      </w:r>
      <w:r w:rsidR="00654682">
        <w:t xml:space="preserve">s, manages and delivers a program </w:t>
      </w:r>
      <w:r w:rsidR="00D532E5">
        <w:t xml:space="preserve">as described in </w:t>
      </w:r>
      <w:r w:rsidR="0054669B">
        <w:t>4.1 and 4.2</w:t>
      </w:r>
      <w:r w:rsidR="00654682">
        <w:t>;</w:t>
      </w:r>
    </w:p>
    <w:p w14:paraId="0DC06606" w14:textId="3D7FE095" w:rsidR="00654682" w:rsidRDefault="00F85088" w:rsidP="00162075">
      <w:pPr>
        <w:pStyle w:val="ListParagraph"/>
        <w:numPr>
          <w:ilvl w:val="0"/>
          <w:numId w:val="6"/>
        </w:numPr>
        <w:jc w:val="both"/>
      </w:pPr>
      <w:r>
        <w:t>h</w:t>
      </w:r>
      <w:r w:rsidR="00654682">
        <w:t>as the capacities described in 4.4;</w:t>
      </w:r>
    </w:p>
    <w:p w14:paraId="29169EBE" w14:textId="7FA80932" w:rsidR="00654682" w:rsidRDefault="00F85088" w:rsidP="00162075">
      <w:pPr>
        <w:pStyle w:val="ListParagraph"/>
        <w:numPr>
          <w:ilvl w:val="0"/>
          <w:numId w:val="6"/>
        </w:numPr>
        <w:jc w:val="both"/>
      </w:pPr>
      <w:r>
        <w:t>o</w:t>
      </w:r>
      <w:r w:rsidR="00654682">
        <w:t>perate</w:t>
      </w:r>
      <w:r w:rsidR="00BB57B0">
        <w:t>s</w:t>
      </w:r>
      <w:r w:rsidR="00654682">
        <w:t xml:space="preserve"> according </w:t>
      </w:r>
      <w:r w:rsidR="00C377D6">
        <w:t>to the principles described in 4</w:t>
      </w:r>
      <w:r w:rsidR="00654682">
        <w:t>.5;</w:t>
      </w:r>
    </w:p>
    <w:p w14:paraId="63D49917" w14:textId="65D86719" w:rsidR="00BB57B0" w:rsidRDefault="00F85088" w:rsidP="00162075">
      <w:pPr>
        <w:pStyle w:val="ListParagraph"/>
        <w:numPr>
          <w:ilvl w:val="0"/>
          <w:numId w:val="6"/>
        </w:numPr>
        <w:jc w:val="both"/>
      </w:pPr>
      <w:r>
        <w:t>s</w:t>
      </w:r>
      <w:r w:rsidR="00654682">
        <w:t>upport</w:t>
      </w:r>
      <w:r w:rsidR="00BB57B0">
        <w:t>s</w:t>
      </w:r>
      <w:r w:rsidR="00654682">
        <w:t xml:space="preserve"> GOI’s </w:t>
      </w:r>
      <w:r w:rsidR="00C9203B">
        <w:t>social protection</w:t>
      </w:r>
      <w:r w:rsidR="00654682">
        <w:t xml:space="preserve"> agenda </w:t>
      </w:r>
      <w:r w:rsidR="00C377D6">
        <w:t>through strategies described</w:t>
      </w:r>
      <w:r w:rsidR="00654682">
        <w:t xml:space="preserve"> in Section 2</w:t>
      </w:r>
      <w:r w:rsidR="00BB57B0">
        <w:t>;</w:t>
      </w:r>
      <w:r>
        <w:t xml:space="preserve"> and</w:t>
      </w:r>
    </w:p>
    <w:p w14:paraId="6E01FECA" w14:textId="0FE88238" w:rsidR="00654682" w:rsidRDefault="00F85088" w:rsidP="00C53F00">
      <w:pPr>
        <w:pStyle w:val="ListParagraph"/>
        <w:numPr>
          <w:ilvl w:val="0"/>
          <w:numId w:val="6"/>
        </w:numPr>
        <w:spacing w:after="120"/>
        <w:jc w:val="both"/>
      </w:pPr>
      <w:proofErr w:type="gramStart"/>
      <w:r>
        <w:t>c</w:t>
      </w:r>
      <w:r w:rsidR="00BB57B0">
        <w:t>an</w:t>
      </w:r>
      <w:proofErr w:type="gramEnd"/>
      <w:r w:rsidR="00BB57B0">
        <w:t xml:space="preserve"> scale up operations should additional resourcing become available.</w:t>
      </w:r>
    </w:p>
    <w:p w14:paraId="5D9879C0" w14:textId="77777777" w:rsidR="00A54C76" w:rsidRPr="00C53F00" w:rsidRDefault="00492BCE" w:rsidP="00C53F00">
      <w:pPr>
        <w:pStyle w:val="InvestmentSumheadings"/>
        <w:spacing w:after="120"/>
        <w:rPr>
          <w:b w:val="0"/>
        </w:rPr>
      </w:pPr>
      <w:r>
        <w:br w:type="page"/>
      </w:r>
      <w:r w:rsidR="005527E2">
        <w:t xml:space="preserve">Selected </w:t>
      </w:r>
      <w:r w:rsidRPr="0012797C">
        <w:t>References</w:t>
      </w:r>
    </w:p>
    <w:p w14:paraId="3D83AA05" w14:textId="197A7D77" w:rsidR="0012797C" w:rsidRPr="0012797C" w:rsidRDefault="0012797C" w:rsidP="00BC0CB7">
      <w:pPr>
        <w:spacing w:before="120" w:after="0" w:line="240" w:lineRule="auto"/>
        <w:jc w:val="both"/>
        <w:rPr>
          <w:rFonts w:eastAsia="MS Mincho" w:cs="Times New Roman"/>
          <w:lang w:val="en-GB"/>
        </w:rPr>
      </w:pPr>
      <w:r w:rsidRPr="0012797C">
        <w:rPr>
          <w:rFonts w:eastAsia="MS Mincho" w:cs="Times New Roman"/>
          <w:b/>
          <w:lang w:val="en-GB"/>
        </w:rPr>
        <w:t xml:space="preserve">ADB </w:t>
      </w:r>
      <w:r w:rsidRPr="0012797C">
        <w:rPr>
          <w:rFonts w:eastAsia="MS Mincho" w:cs="Times New Roman"/>
          <w:lang w:val="en-GB"/>
        </w:rPr>
        <w:t xml:space="preserve">(2013) </w:t>
      </w:r>
      <w:proofErr w:type="gramStart"/>
      <w:r w:rsidRPr="0012797C">
        <w:rPr>
          <w:rFonts w:eastAsia="MS Mincho" w:cs="Times New Roman"/>
          <w:i/>
          <w:lang w:val="en-GB"/>
        </w:rPr>
        <w:t>The</w:t>
      </w:r>
      <w:proofErr w:type="gramEnd"/>
      <w:r w:rsidRPr="0012797C">
        <w:rPr>
          <w:rFonts w:eastAsia="MS Mincho" w:cs="Times New Roman"/>
          <w:i/>
          <w:lang w:val="en-GB"/>
        </w:rPr>
        <w:t xml:space="preserve"> Social Protection Index: Assessing Results for Asia and the Pacific. </w:t>
      </w:r>
      <w:r w:rsidR="001715D5">
        <w:rPr>
          <w:rFonts w:eastAsia="MS Mincho" w:cs="Times New Roman"/>
          <w:lang w:val="en-GB"/>
        </w:rPr>
        <w:t>Manila: Asian Development Bank.</w:t>
      </w:r>
    </w:p>
    <w:p w14:paraId="7F1E5189" w14:textId="77777777" w:rsidR="0012797C" w:rsidRDefault="0012797C" w:rsidP="00BC0CB7">
      <w:pPr>
        <w:spacing w:after="0" w:line="240" w:lineRule="auto"/>
        <w:jc w:val="both"/>
        <w:rPr>
          <w:rFonts w:eastAsia="MS Mincho" w:cs="Times New Roman"/>
          <w:b/>
          <w:lang w:val="en-GB"/>
        </w:rPr>
      </w:pPr>
    </w:p>
    <w:p w14:paraId="492AFF29" w14:textId="77777777" w:rsidR="0039118E" w:rsidRPr="0039118E" w:rsidRDefault="0039118E" w:rsidP="00BC0CB7">
      <w:pPr>
        <w:spacing w:after="0" w:line="240" w:lineRule="auto"/>
        <w:jc w:val="both"/>
        <w:rPr>
          <w:rFonts w:eastAsia="MS Mincho" w:cs="Times New Roman"/>
          <w:lang w:val="en-GB"/>
        </w:rPr>
      </w:pPr>
      <w:r>
        <w:rPr>
          <w:rFonts w:eastAsia="MS Mincho" w:cs="Times New Roman"/>
          <w:b/>
          <w:lang w:val="en-GB"/>
        </w:rPr>
        <w:t xml:space="preserve">AusAID </w:t>
      </w:r>
      <w:r>
        <w:rPr>
          <w:rFonts w:eastAsia="MS Mincho" w:cs="Times New Roman"/>
          <w:lang w:val="en-GB"/>
        </w:rPr>
        <w:t xml:space="preserve">(2011) </w:t>
      </w:r>
      <w:r w:rsidRPr="00C53F00">
        <w:rPr>
          <w:rFonts w:eastAsia="MS Mincho" w:cs="Times New Roman"/>
          <w:i/>
          <w:lang w:val="en-GB"/>
        </w:rPr>
        <w:t>Targeting the Poorest: An assessment of the proxy means test methodology</w:t>
      </w:r>
      <w:r>
        <w:rPr>
          <w:rFonts w:eastAsia="MS Mincho" w:cs="Times New Roman"/>
          <w:lang w:val="en-GB"/>
        </w:rPr>
        <w:t xml:space="preserve">. Canberra: AusAID. </w:t>
      </w:r>
      <w:hyperlink r:id="rId25" w:history="1">
        <w:r w:rsidRPr="00581C1C">
          <w:rPr>
            <w:rStyle w:val="Hyperlink"/>
            <w:rFonts w:eastAsia="MS Mincho" w:cs="Times New Roman"/>
            <w:lang w:val="en-GB"/>
          </w:rPr>
          <w:t>http://aid.dfat.gov.au/Publications/Documents/targeting-poorest.pdf</w:t>
        </w:r>
      </w:hyperlink>
      <w:r>
        <w:rPr>
          <w:rFonts w:eastAsia="MS Mincho" w:cs="Times New Roman"/>
          <w:lang w:val="en-GB"/>
        </w:rPr>
        <w:t xml:space="preserve">. </w:t>
      </w:r>
    </w:p>
    <w:p w14:paraId="118BB49E" w14:textId="77777777" w:rsidR="0012797C" w:rsidRDefault="0012797C" w:rsidP="00BC0CB7">
      <w:pPr>
        <w:spacing w:after="0" w:line="240" w:lineRule="auto"/>
        <w:jc w:val="both"/>
        <w:rPr>
          <w:rFonts w:eastAsia="MS Mincho" w:cs="Times New Roman"/>
          <w:b/>
          <w:lang w:val="en-GB"/>
        </w:rPr>
      </w:pPr>
    </w:p>
    <w:p w14:paraId="379CDA61" w14:textId="1FB1DCEE" w:rsidR="005527E2" w:rsidRDefault="00C53F00" w:rsidP="00BC0CB7">
      <w:pPr>
        <w:spacing w:after="0"/>
        <w:jc w:val="both"/>
      </w:pPr>
      <w:proofErr w:type="gramStart"/>
      <w:r w:rsidRPr="00C53F00">
        <w:rPr>
          <w:b/>
        </w:rPr>
        <w:t>Bappenas</w:t>
      </w:r>
      <w:r>
        <w:rPr>
          <w:b/>
        </w:rPr>
        <w:t>/</w:t>
      </w:r>
      <w:r w:rsidR="00A21EEC" w:rsidRPr="00C53F00">
        <w:rPr>
          <w:b/>
        </w:rPr>
        <w:t>Ministry o</w:t>
      </w:r>
      <w:r>
        <w:rPr>
          <w:b/>
        </w:rPr>
        <w:t xml:space="preserve">f National Development Planning </w:t>
      </w:r>
      <w:r w:rsidR="00A21EEC">
        <w:rPr>
          <w:b/>
        </w:rPr>
        <w:t>RI</w:t>
      </w:r>
      <w:r w:rsidR="005527E2">
        <w:t xml:space="preserve"> </w:t>
      </w:r>
      <w:r w:rsidR="00AC536B">
        <w:t>(</w:t>
      </w:r>
      <w:r w:rsidR="005527E2">
        <w:t>2013</w:t>
      </w:r>
      <w:r w:rsidR="00AC536B">
        <w:t>)</w:t>
      </w:r>
      <w:r w:rsidR="00A21EEC">
        <w:t xml:space="preserve"> </w:t>
      </w:r>
      <w:r w:rsidR="00A21EEC" w:rsidRPr="00C53F00">
        <w:rPr>
          <w:i/>
        </w:rPr>
        <w:t>Master Plan for Acceleration and Expansion of Indonesia’s Poverty Reduction (MP3KI)</w:t>
      </w:r>
      <w:r w:rsidR="00A21EEC">
        <w:t>.</w:t>
      </w:r>
      <w:proofErr w:type="gramEnd"/>
      <w:r w:rsidR="00A21EEC">
        <w:t xml:space="preserve"> </w:t>
      </w:r>
      <w:proofErr w:type="gramStart"/>
      <w:r w:rsidR="00A21EEC">
        <w:t>Unpublished.</w:t>
      </w:r>
      <w:proofErr w:type="gramEnd"/>
    </w:p>
    <w:p w14:paraId="177291EF" w14:textId="77777777" w:rsidR="00394B74" w:rsidRPr="0012797C" w:rsidRDefault="00394B74" w:rsidP="00BC0CB7">
      <w:pPr>
        <w:spacing w:after="0"/>
        <w:jc w:val="both"/>
      </w:pPr>
    </w:p>
    <w:p w14:paraId="2155375F" w14:textId="77777777" w:rsidR="0012797C" w:rsidRPr="0012797C" w:rsidRDefault="0012797C" w:rsidP="00BC0CB7">
      <w:pPr>
        <w:spacing w:after="0" w:line="240" w:lineRule="auto"/>
        <w:jc w:val="both"/>
        <w:rPr>
          <w:rFonts w:eastAsia="MS Mincho" w:cs="Times New Roman"/>
          <w:color w:val="FF0000"/>
          <w:lang w:val="en-GB"/>
        </w:rPr>
      </w:pPr>
      <w:r w:rsidRPr="0012797C">
        <w:rPr>
          <w:rFonts w:eastAsia="MS Mincho" w:cs="Times New Roman"/>
          <w:b/>
          <w:lang w:val="en-GB"/>
        </w:rPr>
        <w:t>Harvard Kennedy School</w:t>
      </w:r>
      <w:r>
        <w:rPr>
          <w:rFonts w:eastAsia="MS Mincho" w:cs="Times New Roman"/>
          <w:b/>
          <w:lang w:val="en-GB"/>
        </w:rPr>
        <w:t xml:space="preserve"> (HKS)</w:t>
      </w:r>
      <w:r w:rsidRPr="0012797C">
        <w:rPr>
          <w:rFonts w:eastAsia="MS Mincho" w:cs="Times New Roman"/>
          <w:b/>
          <w:lang w:val="en-GB"/>
        </w:rPr>
        <w:t xml:space="preserve"> ASH </w:t>
      </w:r>
      <w:proofErr w:type="spellStart"/>
      <w:r w:rsidRPr="0012797C">
        <w:rPr>
          <w:rFonts w:eastAsia="MS Mincho" w:cs="Times New Roman"/>
          <w:b/>
          <w:lang w:val="en-GB"/>
        </w:rPr>
        <w:t>Center</w:t>
      </w:r>
      <w:proofErr w:type="spellEnd"/>
      <w:r w:rsidRPr="0012797C">
        <w:rPr>
          <w:rFonts w:eastAsia="MS Mincho" w:cs="Times New Roman"/>
          <w:b/>
          <w:lang w:val="en-GB"/>
        </w:rPr>
        <w:t xml:space="preserve"> (2103) </w:t>
      </w:r>
      <w:proofErr w:type="gramStart"/>
      <w:r w:rsidRPr="0012797C">
        <w:rPr>
          <w:rFonts w:eastAsia="MS Mincho" w:cs="Times New Roman"/>
          <w:i/>
          <w:lang w:val="en-GB"/>
        </w:rPr>
        <w:t>The</w:t>
      </w:r>
      <w:proofErr w:type="gramEnd"/>
      <w:r w:rsidRPr="0012797C">
        <w:rPr>
          <w:rFonts w:eastAsia="MS Mincho" w:cs="Times New Roman"/>
          <w:i/>
          <w:lang w:val="en-GB"/>
        </w:rPr>
        <w:t xml:space="preserve"> sum is greater than the parts: doubling shared prosperity in Indonesia through local and global integration</w:t>
      </w:r>
      <w:r w:rsidRPr="0012797C">
        <w:rPr>
          <w:rFonts w:eastAsia="MS Mincho" w:cs="Times New Roman"/>
          <w:lang w:val="en-GB"/>
        </w:rPr>
        <w:t xml:space="preserve">. Jakarta: PT </w:t>
      </w:r>
      <w:proofErr w:type="spellStart"/>
      <w:r w:rsidRPr="0012797C">
        <w:rPr>
          <w:rFonts w:eastAsia="MS Mincho" w:cs="Times New Roman"/>
          <w:lang w:val="en-GB"/>
        </w:rPr>
        <w:t>Gramedia</w:t>
      </w:r>
      <w:proofErr w:type="spellEnd"/>
      <w:r w:rsidRPr="0012797C">
        <w:rPr>
          <w:rFonts w:eastAsia="MS Mincho" w:cs="Times New Roman"/>
          <w:lang w:val="en-GB"/>
        </w:rPr>
        <w:t xml:space="preserve"> </w:t>
      </w:r>
      <w:proofErr w:type="spellStart"/>
      <w:r w:rsidRPr="0012797C">
        <w:rPr>
          <w:rFonts w:eastAsia="MS Mincho" w:cs="Times New Roman"/>
          <w:lang w:val="en-GB"/>
        </w:rPr>
        <w:t>Pustaka</w:t>
      </w:r>
      <w:proofErr w:type="spellEnd"/>
      <w:r w:rsidRPr="0012797C">
        <w:rPr>
          <w:rFonts w:eastAsia="MS Mincho" w:cs="Times New Roman"/>
          <w:lang w:val="en-GB"/>
        </w:rPr>
        <w:t xml:space="preserve"> </w:t>
      </w:r>
      <w:proofErr w:type="spellStart"/>
      <w:r w:rsidRPr="0012797C">
        <w:rPr>
          <w:rFonts w:eastAsia="MS Mincho" w:cs="Times New Roman"/>
          <w:lang w:val="en-GB"/>
        </w:rPr>
        <w:t>Utama</w:t>
      </w:r>
      <w:proofErr w:type="spellEnd"/>
      <w:r w:rsidRPr="0012797C">
        <w:rPr>
          <w:rFonts w:eastAsia="MS Mincho" w:cs="Times New Roman"/>
          <w:lang w:val="en-GB"/>
        </w:rPr>
        <w:t xml:space="preserve">. </w:t>
      </w:r>
      <w:hyperlink r:id="rId26" w:history="1">
        <w:r w:rsidRPr="0012797C">
          <w:rPr>
            <w:rFonts w:eastAsia="MS Mincho" w:cs="Times New Roman"/>
            <w:color w:val="0000FF"/>
            <w:u w:val="single"/>
            <w:lang w:val="en-GB"/>
          </w:rPr>
          <w:t>http://www.ash.harvard.edu/extension/ash/docs/indonesia2013.pdf</w:t>
        </w:r>
      </w:hyperlink>
      <w:r w:rsidRPr="0012797C">
        <w:rPr>
          <w:rFonts w:eastAsia="MS Mincho" w:cs="Times New Roman"/>
          <w:lang w:val="en-GB"/>
        </w:rPr>
        <w:t>.</w:t>
      </w:r>
    </w:p>
    <w:p w14:paraId="5D39FE2B" w14:textId="77777777" w:rsidR="0012797C" w:rsidRDefault="0012797C" w:rsidP="00BC0CB7">
      <w:pPr>
        <w:spacing w:after="0" w:line="240" w:lineRule="auto"/>
        <w:jc w:val="both"/>
        <w:rPr>
          <w:rFonts w:eastAsia="MS Mincho" w:cs="Times New Roman"/>
          <w:b/>
          <w:lang w:val="en-GB"/>
        </w:rPr>
      </w:pPr>
    </w:p>
    <w:p w14:paraId="14D89C7A" w14:textId="77777777" w:rsidR="0012797C" w:rsidRPr="0012797C" w:rsidRDefault="0012797C" w:rsidP="00BC0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eastAsia="MS Mincho" w:cs="Times New Roman"/>
          <w:lang w:val="en-GB"/>
        </w:rPr>
      </w:pPr>
      <w:proofErr w:type="gramStart"/>
      <w:r w:rsidRPr="0012797C">
        <w:rPr>
          <w:rFonts w:eastAsia="MS Mincho" w:cs="Times New Roman"/>
          <w:b/>
          <w:lang w:val="en-GB"/>
        </w:rPr>
        <w:t>Ministry of Health</w:t>
      </w:r>
      <w:r w:rsidR="00A21EEC">
        <w:rPr>
          <w:rFonts w:eastAsia="MS Mincho" w:cs="Times New Roman"/>
          <w:b/>
          <w:lang w:val="en-GB"/>
        </w:rPr>
        <w:t xml:space="preserve"> RI</w:t>
      </w:r>
      <w:r w:rsidRPr="0012797C">
        <w:rPr>
          <w:rFonts w:eastAsia="MS Mincho" w:cs="Times New Roman"/>
          <w:lang w:val="en-GB"/>
        </w:rPr>
        <w:t xml:space="preserve"> (2013) </w:t>
      </w:r>
      <w:proofErr w:type="spellStart"/>
      <w:r w:rsidRPr="0012797C">
        <w:rPr>
          <w:rFonts w:eastAsia="MS Mincho" w:cs="Times New Roman"/>
          <w:i/>
          <w:lang w:val="en-GB"/>
        </w:rPr>
        <w:t>Laporan</w:t>
      </w:r>
      <w:proofErr w:type="spellEnd"/>
      <w:r w:rsidRPr="0012797C">
        <w:rPr>
          <w:rFonts w:eastAsia="MS Mincho" w:cs="Times New Roman"/>
          <w:i/>
          <w:lang w:val="en-GB"/>
        </w:rPr>
        <w:t xml:space="preserve"> </w:t>
      </w:r>
      <w:proofErr w:type="spellStart"/>
      <w:r w:rsidRPr="0012797C">
        <w:rPr>
          <w:rFonts w:eastAsia="MS Mincho" w:cs="Times New Roman"/>
          <w:i/>
          <w:lang w:val="en-GB"/>
        </w:rPr>
        <w:t>hasil</w:t>
      </w:r>
      <w:proofErr w:type="spellEnd"/>
      <w:r w:rsidRPr="0012797C">
        <w:rPr>
          <w:rFonts w:eastAsia="MS Mincho" w:cs="Times New Roman"/>
          <w:i/>
          <w:lang w:val="en-GB"/>
        </w:rPr>
        <w:t xml:space="preserve"> </w:t>
      </w:r>
      <w:proofErr w:type="spellStart"/>
      <w:r w:rsidRPr="0012797C">
        <w:rPr>
          <w:rFonts w:eastAsia="MS Mincho" w:cs="Times New Roman"/>
          <w:i/>
          <w:lang w:val="en-GB"/>
        </w:rPr>
        <w:t>riset</w:t>
      </w:r>
      <w:proofErr w:type="spellEnd"/>
      <w:r w:rsidRPr="0012797C">
        <w:rPr>
          <w:rFonts w:eastAsia="MS Mincho" w:cs="Times New Roman"/>
          <w:i/>
          <w:lang w:val="en-GB"/>
        </w:rPr>
        <w:t xml:space="preserve"> </w:t>
      </w:r>
      <w:proofErr w:type="spellStart"/>
      <w:r w:rsidRPr="0012797C">
        <w:rPr>
          <w:rFonts w:eastAsia="MS Mincho" w:cs="Times New Roman"/>
          <w:i/>
          <w:lang w:val="en-GB"/>
        </w:rPr>
        <w:t>kesehatan</w:t>
      </w:r>
      <w:proofErr w:type="spellEnd"/>
      <w:r w:rsidRPr="0012797C">
        <w:rPr>
          <w:rFonts w:eastAsia="MS Mincho" w:cs="Times New Roman"/>
          <w:i/>
          <w:lang w:val="en-GB"/>
        </w:rPr>
        <w:t xml:space="preserve"> </w:t>
      </w:r>
      <w:proofErr w:type="spellStart"/>
      <w:r w:rsidRPr="0012797C">
        <w:rPr>
          <w:rFonts w:eastAsia="MS Mincho" w:cs="Times New Roman"/>
          <w:i/>
          <w:lang w:val="en-GB"/>
        </w:rPr>
        <w:t>dasar</w:t>
      </w:r>
      <w:proofErr w:type="spellEnd"/>
      <w:r w:rsidRPr="0012797C">
        <w:rPr>
          <w:rFonts w:eastAsia="MS Mincho" w:cs="Times New Roman"/>
          <w:i/>
          <w:lang w:val="en-GB"/>
        </w:rPr>
        <w:t xml:space="preserve"> (</w:t>
      </w:r>
      <w:proofErr w:type="spellStart"/>
      <w:r w:rsidRPr="0012797C">
        <w:rPr>
          <w:rFonts w:eastAsia="MS Mincho" w:cs="Times New Roman"/>
          <w:i/>
          <w:lang w:val="en-GB"/>
        </w:rPr>
        <w:t>Riskesdas</w:t>
      </w:r>
      <w:proofErr w:type="spellEnd"/>
      <w:r w:rsidRPr="0012797C">
        <w:rPr>
          <w:rFonts w:eastAsia="MS Mincho" w:cs="Times New Roman"/>
          <w:i/>
          <w:lang w:val="en-GB"/>
        </w:rPr>
        <w:t>)/Report on result of national basic health research</w:t>
      </w:r>
      <w:r w:rsidRPr="0012797C">
        <w:rPr>
          <w:rFonts w:eastAsia="MS Mincho" w:cs="Times New Roman"/>
          <w:lang w:val="en-GB"/>
        </w:rPr>
        <w:t>.</w:t>
      </w:r>
      <w:proofErr w:type="gramEnd"/>
      <w:r w:rsidRPr="0012797C">
        <w:rPr>
          <w:rFonts w:eastAsia="MS Mincho" w:cs="Times New Roman"/>
          <w:lang w:val="en-GB"/>
        </w:rPr>
        <w:t xml:space="preserve"> Jakarta: </w:t>
      </w:r>
      <w:proofErr w:type="spellStart"/>
      <w:r w:rsidRPr="0012797C">
        <w:rPr>
          <w:rFonts w:eastAsia="MS Mincho" w:cs="Times New Roman"/>
          <w:lang w:val="en-GB"/>
        </w:rPr>
        <w:t>Badan</w:t>
      </w:r>
      <w:proofErr w:type="spellEnd"/>
      <w:r w:rsidRPr="0012797C">
        <w:rPr>
          <w:rFonts w:eastAsia="MS Mincho" w:cs="Times New Roman"/>
          <w:lang w:val="en-GB"/>
        </w:rPr>
        <w:t xml:space="preserve"> </w:t>
      </w:r>
      <w:proofErr w:type="spellStart"/>
      <w:r w:rsidRPr="0012797C">
        <w:rPr>
          <w:rFonts w:eastAsia="MS Mincho" w:cs="Times New Roman"/>
          <w:lang w:val="en-GB"/>
        </w:rPr>
        <w:t>Penelitian</w:t>
      </w:r>
      <w:proofErr w:type="spellEnd"/>
      <w:r w:rsidRPr="0012797C">
        <w:rPr>
          <w:rFonts w:eastAsia="MS Mincho" w:cs="Times New Roman"/>
          <w:lang w:val="en-GB"/>
        </w:rPr>
        <w:t xml:space="preserve"> </w:t>
      </w:r>
      <w:proofErr w:type="spellStart"/>
      <w:r w:rsidRPr="0012797C">
        <w:rPr>
          <w:rFonts w:eastAsia="MS Mincho" w:cs="Times New Roman"/>
          <w:lang w:val="en-GB"/>
        </w:rPr>
        <w:t>dan</w:t>
      </w:r>
      <w:proofErr w:type="spellEnd"/>
      <w:r w:rsidRPr="0012797C">
        <w:rPr>
          <w:rFonts w:eastAsia="MS Mincho" w:cs="Times New Roman"/>
          <w:lang w:val="en-GB"/>
        </w:rPr>
        <w:t xml:space="preserve"> </w:t>
      </w:r>
      <w:proofErr w:type="spellStart"/>
      <w:r w:rsidRPr="0012797C">
        <w:rPr>
          <w:rFonts w:eastAsia="MS Mincho" w:cs="Times New Roman"/>
          <w:lang w:val="en-GB"/>
        </w:rPr>
        <w:t>Pengembangan</w:t>
      </w:r>
      <w:proofErr w:type="spellEnd"/>
      <w:r w:rsidRPr="0012797C">
        <w:rPr>
          <w:rFonts w:eastAsia="MS Mincho" w:cs="Times New Roman"/>
          <w:lang w:val="en-GB"/>
        </w:rPr>
        <w:t xml:space="preserve"> </w:t>
      </w:r>
      <w:proofErr w:type="spellStart"/>
      <w:r w:rsidRPr="0012797C">
        <w:rPr>
          <w:rFonts w:eastAsia="MS Mincho" w:cs="Times New Roman"/>
          <w:lang w:val="en-GB"/>
        </w:rPr>
        <w:t>Kesehatan</w:t>
      </w:r>
      <w:proofErr w:type="spellEnd"/>
      <w:r w:rsidRPr="0012797C">
        <w:rPr>
          <w:rFonts w:eastAsia="MS Mincho" w:cs="Times New Roman"/>
          <w:lang w:val="en-GB"/>
        </w:rPr>
        <w:t xml:space="preserve">, </w:t>
      </w:r>
      <w:proofErr w:type="spellStart"/>
      <w:r w:rsidRPr="0012797C">
        <w:rPr>
          <w:rFonts w:eastAsia="MS Mincho" w:cs="Times New Roman"/>
          <w:lang w:val="en-GB"/>
        </w:rPr>
        <w:t>Departemen</w:t>
      </w:r>
      <w:proofErr w:type="spellEnd"/>
      <w:r w:rsidRPr="0012797C">
        <w:rPr>
          <w:rFonts w:eastAsia="MS Mincho" w:cs="Times New Roman"/>
          <w:lang w:val="en-GB"/>
        </w:rPr>
        <w:t xml:space="preserve"> </w:t>
      </w:r>
      <w:proofErr w:type="spellStart"/>
      <w:r w:rsidRPr="0012797C">
        <w:rPr>
          <w:rFonts w:eastAsia="MS Mincho" w:cs="Times New Roman"/>
          <w:lang w:val="en-GB"/>
        </w:rPr>
        <w:t>Kesehatan</w:t>
      </w:r>
      <w:proofErr w:type="spellEnd"/>
      <w:r w:rsidRPr="0012797C">
        <w:rPr>
          <w:rFonts w:eastAsia="MS Mincho" w:cs="Times New Roman"/>
          <w:lang w:val="en-GB"/>
        </w:rPr>
        <w:t xml:space="preserve"> RI.</w:t>
      </w:r>
    </w:p>
    <w:p w14:paraId="54F7BA87" w14:textId="77777777" w:rsidR="0012797C" w:rsidRDefault="0012797C" w:rsidP="00BC0CB7">
      <w:pPr>
        <w:spacing w:after="0" w:line="240" w:lineRule="auto"/>
        <w:jc w:val="both"/>
        <w:rPr>
          <w:rFonts w:eastAsia="MS Mincho" w:cs="Times New Roman"/>
          <w:b/>
          <w:lang w:val="en-GB"/>
        </w:rPr>
      </w:pPr>
    </w:p>
    <w:p w14:paraId="3EBBAE73" w14:textId="77777777" w:rsidR="0012797C" w:rsidRPr="0012797C" w:rsidRDefault="0012797C" w:rsidP="00BC0CB7">
      <w:pPr>
        <w:spacing w:after="0" w:line="240" w:lineRule="auto"/>
        <w:jc w:val="both"/>
        <w:rPr>
          <w:rFonts w:eastAsia="MS Mincho" w:cs="Times New Roman"/>
          <w:lang w:val="en-GB"/>
        </w:rPr>
      </w:pPr>
      <w:proofErr w:type="spellStart"/>
      <w:proofErr w:type="gramStart"/>
      <w:r w:rsidRPr="0012797C">
        <w:rPr>
          <w:rFonts w:eastAsia="MS Mincho" w:cs="Times New Roman"/>
          <w:b/>
          <w:lang w:val="en-GB"/>
        </w:rPr>
        <w:t>Ostry</w:t>
      </w:r>
      <w:proofErr w:type="spellEnd"/>
      <w:r w:rsidRPr="0012797C">
        <w:rPr>
          <w:rFonts w:eastAsia="MS Mincho" w:cs="Times New Roman"/>
          <w:b/>
          <w:lang w:val="en-GB"/>
        </w:rPr>
        <w:t xml:space="preserve">, J. D., A. Berg and C. G. </w:t>
      </w:r>
      <w:proofErr w:type="spellStart"/>
      <w:r w:rsidRPr="0012797C">
        <w:rPr>
          <w:rFonts w:eastAsia="MS Mincho" w:cs="Times New Roman"/>
          <w:b/>
          <w:lang w:val="en-GB"/>
        </w:rPr>
        <w:t>Tsangarides</w:t>
      </w:r>
      <w:proofErr w:type="spellEnd"/>
      <w:r w:rsidRPr="0012797C">
        <w:rPr>
          <w:rFonts w:eastAsia="MS Mincho" w:cs="Times New Roman"/>
          <w:b/>
          <w:lang w:val="en-GB"/>
        </w:rPr>
        <w:t xml:space="preserve"> </w:t>
      </w:r>
      <w:r w:rsidRPr="0012797C">
        <w:rPr>
          <w:rFonts w:eastAsia="MS Mincho" w:cs="Times New Roman"/>
          <w:lang w:val="en-GB"/>
        </w:rPr>
        <w:t xml:space="preserve">(2014) </w:t>
      </w:r>
      <w:r w:rsidRPr="0012797C">
        <w:rPr>
          <w:rFonts w:eastAsia="MS Mincho" w:cs="Times New Roman"/>
          <w:i/>
          <w:lang w:val="en-GB"/>
        </w:rPr>
        <w:t>Redistribution, Inequality, and Growth.</w:t>
      </w:r>
      <w:proofErr w:type="gramEnd"/>
      <w:r w:rsidRPr="0012797C">
        <w:rPr>
          <w:rFonts w:eastAsia="MS Mincho" w:cs="Times New Roman"/>
          <w:i/>
          <w:lang w:val="en-GB"/>
        </w:rPr>
        <w:t xml:space="preserve"> </w:t>
      </w:r>
      <w:r w:rsidRPr="0012797C">
        <w:rPr>
          <w:rFonts w:eastAsia="MS Mincho" w:cs="Times New Roman"/>
          <w:lang w:val="en-GB"/>
        </w:rPr>
        <w:t>IMF Staff Discussion Note, February 2014.</w:t>
      </w:r>
    </w:p>
    <w:p w14:paraId="412050B6" w14:textId="77777777" w:rsidR="0012797C" w:rsidRDefault="0012797C" w:rsidP="00BC0CB7">
      <w:pPr>
        <w:spacing w:after="0" w:line="240" w:lineRule="auto"/>
        <w:jc w:val="both"/>
        <w:rPr>
          <w:rFonts w:eastAsia="MS Mincho" w:cs="Times New Roman"/>
          <w:b/>
          <w:lang w:val="en-GB"/>
        </w:rPr>
      </w:pPr>
    </w:p>
    <w:p w14:paraId="0FC53548" w14:textId="0B2BEC17" w:rsidR="0012797C" w:rsidRPr="00EF219D" w:rsidRDefault="0012797C" w:rsidP="00BC0CB7">
      <w:pPr>
        <w:spacing w:after="0" w:line="240" w:lineRule="auto"/>
        <w:jc w:val="both"/>
        <w:rPr>
          <w:rFonts w:eastAsia="MS Mincho" w:cs="Times New Roman"/>
          <w:lang w:val="en-GB"/>
        </w:rPr>
      </w:pPr>
      <w:r w:rsidRPr="0012797C">
        <w:rPr>
          <w:rFonts w:eastAsia="MS Mincho" w:cs="Times New Roman"/>
          <w:b/>
          <w:lang w:val="en-GB"/>
        </w:rPr>
        <w:t xml:space="preserve">UNICEF </w:t>
      </w:r>
      <w:r w:rsidRPr="0012797C">
        <w:rPr>
          <w:rFonts w:eastAsia="MS Mincho" w:cs="Times New Roman"/>
          <w:lang w:val="en-GB"/>
        </w:rPr>
        <w:t xml:space="preserve">(2013) </w:t>
      </w:r>
      <w:r w:rsidRPr="0012797C">
        <w:rPr>
          <w:rFonts w:eastAsia="MS Mincho" w:cs="Times New Roman"/>
          <w:i/>
          <w:lang w:val="en-GB"/>
        </w:rPr>
        <w:t>Child Poverty and Disparities in Indonesia</w:t>
      </w:r>
      <w:r w:rsidRPr="0012797C">
        <w:rPr>
          <w:rFonts w:eastAsia="MS Mincho" w:cs="Times New Roman"/>
          <w:i/>
          <w:lang w:val="en-US"/>
        </w:rPr>
        <w:t xml:space="preserve">: Challenges for Inclusive Growth. </w:t>
      </w:r>
      <w:r w:rsidR="001715D5">
        <w:rPr>
          <w:rFonts w:eastAsia="MS Mincho" w:cs="Times New Roman"/>
          <w:lang w:val="en-US"/>
        </w:rPr>
        <w:t xml:space="preserve">Jakarta: </w:t>
      </w:r>
      <w:r w:rsidRPr="0012797C">
        <w:rPr>
          <w:rFonts w:eastAsia="MS Mincho" w:cs="Times New Roman"/>
          <w:lang w:val="en-US"/>
        </w:rPr>
        <w:t>UNICEF.</w:t>
      </w:r>
    </w:p>
    <w:p w14:paraId="1B99B27F" w14:textId="77777777" w:rsidR="0012797C" w:rsidRDefault="0012797C" w:rsidP="00BC0CB7">
      <w:pPr>
        <w:spacing w:after="0" w:line="240" w:lineRule="auto"/>
        <w:jc w:val="both"/>
        <w:rPr>
          <w:rFonts w:eastAsia="MS Mincho" w:cs="Times New Roman"/>
          <w:b/>
          <w:lang w:val="en-GB"/>
        </w:rPr>
      </w:pPr>
    </w:p>
    <w:p w14:paraId="72617379" w14:textId="2F0CE820" w:rsidR="0012797C" w:rsidRPr="0012797C" w:rsidRDefault="0012797C" w:rsidP="00BC0CB7">
      <w:pPr>
        <w:spacing w:after="0" w:line="240" w:lineRule="auto"/>
        <w:jc w:val="both"/>
        <w:rPr>
          <w:rFonts w:eastAsia="MS Mincho" w:cs="Times New Roman"/>
          <w:b/>
          <w:lang w:val="en-GB"/>
        </w:rPr>
      </w:pPr>
      <w:r w:rsidRPr="0012797C">
        <w:rPr>
          <w:rFonts w:eastAsia="MS Mincho" w:cs="Times New Roman"/>
          <w:b/>
          <w:lang w:val="en-GB"/>
        </w:rPr>
        <w:t xml:space="preserve">World Bank </w:t>
      </w:r>
      <w:r w:rsidRPr="0012797C">
        <w:rPr>
          <w:rFonts w:eastAsia="MS Mincho" w:cs="Times New Roman"/>
          <w:lang w:val="en-GB"/>
        </w:rPr>
        <w:t xml:space="preserve">(2009) </w:t>
      </w:r>
      <w:r w:rsidRPr="0012797C">
        <w:rPr>
          <w:rFonts w:eastAsia="MS Mincho" w:cs="Times New Roman"/>
          <w:i/>
          <w:lang w:val="en-GB"/>
        </w:rPr>
        <w:t xml:space="preserve">Doing Business 2009. </w:t>
      </w:r>
      <w:r w:rsidRPr="0012797C">
        <w:rPr>
          <w:rFonts w:eastAsia="MS Mincho" w:cs="Times New Roman"/>
          <w:lang w:val="en-GB"/>
        </w:rPr>
        <w:t xml:space="preserve"> </w:t>
      </w:r>
      <w:r w:rsidR="00A31439">
        <w:rPr>
          <w:rFonts w:eastAsia="MS Mincho" w:cs="Times New Roman"/>
          <w:lang w:val="en-GB"/>
        </w:rPr>
        <w:t>Washington</w:t>
      </w:r>
      <w:r w:rsidR="00A739D4">
        <w:rPr>
          <w:rFonts w:eastAsia="MS Mincho" w:cs="Times New Roman"/>
          <w:lang w:val="en-GB"/>
        </w:rPr>
        <w:t>, DC</w:t>
      </w:r>
      <w:r w:rsidR="00A31439">
        <w:rPr>
          <w:rFonts w:eastAsia="MS Mincho" w:cs="Times New Roman"/>
          <w:lang w:val="en-GB"/>
        </w:rPr>
        <w:t xml:space="preserve">: </w:t>
      </w:r>
      <w:r w:rsidRPr="0012797C">
        <w:rPr>
          <w:rFonts w:eastAsia="MS Mincho" w:cs="Times New Roman"/>
          <w:lang w:val="en-GB"/>
        </w:rPr>
        <w:t xml:space="preserve">World Bank </w:t>
      </w:r>
      <w:r w:rsidR="00A739D4">
        <w:rPr>
          <w:rFonts w:eastAsia="MS Mincho" w:cs="Times New Roman"/>
          <w:lang w:val="en-GB"/>
        </w:rPr>
        <w:t>Group</w:t>
      </w:r>
      <w:r w:rsidRPr="0012797C">
        <w:rPr>
          <w:rFonts w:eastAsia="MS Mincho" w:cs="Times New Roman"/>
          <w:lang w:val="en-GB"/>
        </w:rPr>
        <w:t>.</w:t>
      </w:r>
      <w:r w:rsidRPr="0012797C">
        <w:rPr>
          <w:rFonts w:eastAsia="MS Mincho" w:cs="Times New Roman"/>
          <w:b/>
          <w:lang w:val="en-GB"/>
        </w:rPr>
        <w:br/>
      </w:r>
    </w:p>
    <w:p w14:paraId="1F97D1C9" w14:textId="05755DCC" w:rsidR="0012797C" w:rsidRPr="0012797C" w:rsidRDefault="0012797C" w:rsidP="00BC0CB7">
      <w:pPr>
        <w:spacing w:after="0" w:line="240" w:lineRule="auto"/>
        <w:jc w:val="both"/>
        <w:rPr>
          <w:rFonts w:eastAsia="MS Mincho" w:cs="Times New Roman"/>
          <w:lang w:val="en-GB"/>
        </w:rPr>
      </w:pPr>
      <w:r w:rsidRPr="0012797C">
        <w:rPr>
          <w:rFonts w:eastAsia="MS Mincho" w:cs="Times New Roman"/>
          <w:b/>
          <w:lang w:val="en-GB"/>
        </w:rPr>
        <w:t>World Bank</w:t>
      </w:r>
      <w:r w:rsidRPr="0012797C">
        <w:rPr>
          <w:rFonts w:eastAsia="MS Mincho" w:cs="Times New Roman"/>
          <w:lang w:val="en-GB"/>
        </w:rPr>
        <w:t xml:space="preserve"> (2010) </w:t>
      </w:r>
      <w:r w:rsidRPr="0012797C">
        <w:rPr>
          <w:rFonts w:eastAsia="MS Mincho" w:cs="Times New Roman"/>
          <w:i/>
          <w:lang w:val="en-GB"/>
        </w:rPr>
        <w:t xml:space="preserve">Indonesia Jobs Report: Towards Better Jobs and Security for All. </w:t>
      </w:r>
      <w:r w:rsidR="00A31439">
        <w:rPr>
          <w:rFonts w:eastAsia="MS Mincho" w:cs="Times New Roman"/>
          <w:lang w:val="en-GB"/>
        </w:rPr>
        <w:t xml:space="preserve">Jakarta: </w:t>
      </w:r>
      <w:r w:rsidRPr="0012797C">
        <w:rPr>
          <w:rFonts w:eastAsia="MS Mincho" w:cs="Times New Roman"/>
          <w:lang w:val="en-GB"/>
        </w:rPr>
        <w:t>World Bank.</w:t>
      </w:r>
    </w:p>
    <w:p w14:paraId="1E57C3FE" w14:textId="77777777" w:rsidR="0012797C" w:rsidRDefault="0012797C" w:rsidP="00BC0CB7">
      <w:pPr>
        <w:spacing w:after="0" w:line="240" w:lineRule="auto"/>
        <w:jc w:val="both"/>
        <w:rPr>
          <w:rFonts w:eastAsia="MS Mincho" w:cs="Times New Roman"/>
          <w:b/>
          <w:lang w:val="en-US"/>
        </w:rPr>
      </w:pPr>
    </w:p>
    <w:p w14:paraId="2806B50D" w14:textId="029C0B98" w:rsidR="0012797C" w:rsidRDefault="0012797C" w:rsidP="00BC0CB7">
      <w:pPr>
        <w:spacing w:after="0" w:line="240" w:lineRule="auto"/>
        <w:jc w:val="both"/>
        <w:rPr>
          <w:rFonts w:eastAsia="MS Mincho" w:cs="Times New Roman"/>
          <w:lang w:val="en-US"/>
        </w:rPr>
      </w:pPr>
      <w:proofErr w:type="gramStart"/>
      <w:r w:rsidRPr="0012797C">
        <w:rPr>
          <w:rFonts w:eastAsia="MS Mincho" w:cs="Times New Roman"/>
          <w:b/>
          <w:lang w:val="en-US"/>
        </w:rPr>
        <w:t>World Bank</w:t>
      </w:r>
      <w:r w:rsidRPr="0012797C">
        <w:rPr>
          <w:rFonts w:eastAsia="MS Mincho" w:cs="Times New Roman"/>
          <w:lang w:val="en-US"/>
        </w:rPr>
        <w:t xml:space="preserve"> (2012) </w:t>
      </w:r>
      <w:r w:rsidRPr="0012797C">
        <w:rPr>
          <w:rFonts w:eastAsia="MS Mincho" w:cs="Times New Roman"/>
          <w:i/>
          <w:lang w:val="en-US"/>
        </w:rPr>
        <w:t>Protecting Poor and Vulnerable Households in Indonesia.</w:t>
      </w:r>
      <w:proofErr w:type="gramEnd"/>
      <w:r w:rsidRPr="0012797C">
        <w:rPr>
          <w:rFonts w:eastAsia="MS Mincho" w:cs="Times New Roman"/>
          <w:i/>
          <w:lang w:val="en-US"/>
        </w:rPr>
        <w:t xml:space="preserve"> </w:t>
      </w:r>
      <w:r w:rsidR="00A31439" w:rsidRPr="0012797C">
        <w:rPr>
          <w:rFonts w:eastAsia="MS Mincho" w:cs="Times New Roman"/>
          <w:lang w:val="en-US"/>
        </w:rPr>
        <w:t>Jakarta</w:t>
      </w:r>
      <w:r w:rsidR="00A31439">
        <w:rPr>
          <w:rFonts w:eastAsia="MS Mincho" w:cs="Times New Roman"/>
          <w:lang w:val="en-US"/>
        </w:rPr>
        <w:t>:</w:t>
      </w:r>
      <w:r w:rsidR="00A31439" w:rsidRPr="0012797C">
        <w:rPr>
          <w:rFonts w:eastAsia="MS Mincho" w:cs="Times New Roman"/>
          <w:lang w:val="en-US"/>
        </w:rPr>
        <w:t xml:space="preserve"> </w:t>
      </w:r>
      <w:r w:rsidR="00A31439">
        <w:rPr>
          <w:rFonts w:eastAsia="MS Mincho" w:cs="Times New Roman"/>
          <w:lang w:val="en-US"/>
        </w:rPr>
        <w:t>World Bank.</w:t>
      </w:r>
    </w:p>
    <w:p w14:paraId="245C7C08" w14:textId="77777777" w:rsidR="0012797C" w:rsidRDefault="0012797C" w:rsidP="00BC0CB7">
      <w:pPr>
        <w:spacing w:after="0" w:line="240" w:lineRule="auto"/>
        <w:jc w:val="both"/>
        <w:rPr>
          <w:rFonts w:eastAsia="MS Mincho" w:cs="Times New Roman"/>
          <w:lang w:val="en-US"/>
        </w:rPr>
      </w:pPr>
    </w:p>
    <w:p w14:paraId="0B0EFD40" w14:textId="37756757" w:rsidR="0012797C" w:rsidRPr="0012797C" w:rsidRDefault="0012797C" w:rsidP="00BC0CB7">
      <w:pPr>
        <w:spacing w:after="0" w:line="240" w:lineRule="auto"/>
        <w:jc w:val="both"/>
        <w:rPr>
          <w:rFonts w:eastAsia="MS Mincho" w:cs="Times New Roman"/>
          <w:lang w:val="en-GB"/>
        </w:rPr>
      </w:pPr>
      <w:r w:rsidRPr="0012797C">
        <w:rPr>
          <w:rFonts w:eastAsia="MS Mincho" w:cs="Times New Roman"/>
          <w:b/>
          <w:lang w:val="en-GB"/>
        </w:rPr>
        <w:t>World Bank</w:t>
      </w:r>
      <w:r w:rsidRPr="0012797C">
        <w:rPr>
          <w:rFonts w:eastAsia="MS Mincho" w:cs="Times New Roman"/>
          <w:lang w:val="en-GB"/>
        </w:rPr>
        <w:t xml:space="preserve"> (2013) </w:t>
      </w:r>
      <w:r w:rsidRPr="0012797C">
        <w:rPr>
          <w:rFonts w:eastAsia="MS Mincho" w:cs="Times New Roman"/>
          <w:i/>
          <w:lang w:val="en-GB"/>
        </w:rPr>
        <w:t xml:space="preserve">Indonesia Economic Quarterly: Slower growth; high risks (December 2013). </w:t>
      </w:r>
      <w:r w:rsidR="00A31439">
        <w:rPr>
          <w:rFonts w:eastAsia="MS Mincho" w:cs="Times New Roman"/>
          <w:lang w:val="en-GB"/>
        </w:rPr>
        <w:t xml:space="preserve">Jakarta: </w:t>
      </w:r>
      <w:r w:rsidRPr="0012797C">
        <w:rPr>
          <w:rFonts w:eastAsia="MS Mincho" w:cs="Times New Roman"/>
          <w:lang w:val="en-GB"/>
        </w:rPr>
        <w:t>World Bank.</w:t>
      </w:r>
    </w:p>
    <w:p w14:paraId="59163885" w14:textId="77777777" w:rsidR="0012797C" w:rsidRDefault="0012797C" w:rsidP="00BC0CB7">
      <w:pPr>
        <w:spacing w:after="0" w:line="240" w:lineRule="auto"/>
        <w:jc w:val="both"/>
        <w:rPr>
          <w:rFonts w:eastAsia="MS Mincho" w:cs="Times New Roman"/>
          <w:lang w:val="en-GB"/>
        </w:rPr>
      </w:pPr>
      <w:r>
        <w:rPr>
          <w:rFonts w:eastAsia="MS Mincho" w:cs="Times New Roman"/>
          <w:lang w:val="en-US"/>
        </w:rPr>
        <w:br/>
      </w:r>
      <w:r w:rsidRPr="0012797C">
        <w:rPr>
          <w:rFonts w:eastAsia="MS Mincho" w:cs="Times New Roman"/>
          <w:b/>
          <w:lang w:val="en-GB"/>
        </w:rPr>
        <w:t>World Bank</w:t>
      </w:r>
      <w:r w:rsidRPr="0012797C">
        <w:rPr>
          <w:rFonts w:eastAsia="MS Mincho" w:cs="Times New Roman"/>
          <w:lang w:val="en-GB"/>
        </w:rPr>
        <w:t xml:space="preserve"> (2014a) </w:t>
      </w:r>
      <w:proofErr w:type="gramStart"/>
      <w:r w:rsidRPr="0012797C">
        <w:rPr>
          <w:rFonts w:eastAsia="MS Mincho" w:cs="Times New Roman"/>
          <w:i/>
          <w:lang w:val="en-GB"/>
        </w:rPr>
        <w:t>The</w:t>
      </w:r>
      <w:proofErr w:type="gramEnd"/>
      <w:r w:rsidRPr="0012797C">
        <w:rPr>
          <w:rFonts w:eastAsia="MS Mincho" w:cs="Times New Roman"/>
          <w:i/>
          <w:lang w:val="en-GB"/>
        </w:rPr>
        <w:t xml:space="preserve"> Indonesian Middle Class: Evolution and Roles. </w:t>
      </w:r>
      <w:proofErr w:type="spellStart"/>
      <w:proofErr w:type="gramStart"/>
      <w:r w:rsidRPr="0012797C">
        <w:rPr>
          <w:rFonts w:eastAsia="MS Mincho" w:cs="Times New Roman"/>
          <w:lang w:val="en-GB"/>
        </w:rPr>
        <w:t>Powerpoint</w:t>
      </w:r>
      <w:proofErr w:type="spellEnd"/>
      <w:r>
        <w:rPr>
          <w:rFonts w:eastAsia="MS Mincho" w:cs="Times New Roman"/>
          <w:lang w:val="en-GB"/>
        </w:rPr>
        <w:t>.</w:t>
      </w:r>
      <w:proofErr w:type="gramEnd"/>
    </w:p>
    <w:p w14:paraId="44832FF7" w14:textId="77777777" w:rsidR="0012797C" w:rsidRDefault="0012797C" w:rsidP="00BC0CB7">
      <w:pPr>
        <w:spacing w:after="0" w:line="240" w:lineRule="auto"/>
        <w:jc w:val="both"/>
        <w:rPr>
          <w:rFonts w:eastAsia="MS Mincho" w:cs="Times New Roman"/>
          <w:lang w:val="en-GB"/>
        </w:rPr>
      </w:pPr>
    </w:p>
    <w:p w14:paraId="77D3F4EA" w14:textId="2E0A3306" w:rsidR="0012797C" w:rsidRPr="0012797C" w:rsidRDefault="0012797C" w:rsidP="00BC0CB7">
      <w:pPr>
        <w:spacing w:after="0" w:line="240" w:lineRule="auto"/>
        <w:jc w:val="both"/>
        <w:rPr>
          <w:rFonts w:eastAsia="MS Mincho" w:cs="Times New Roman"/>
          <w:lang w:val="en-GB"/>
        </w:rPr>
      </w:pPr>
      <w:r w:rsidRPr="0012797C">
        <w:rPr>
          <w:rFonts w:eastAsia="MS Mincho" w:cs="Times New Roman"/>
          <w:b/>
          <w:lang w:val="en-GB"/>
        </w:rPr>
        <w:t>World Bank</w:t>
      </w:r>
      <w:r w:rsidRPr="0012797C">
        <w:rPr>
          <w:rFonts w:eastAsia="MS Mincho" w:cs="Times New Roman"/>
          <w:lang w:val="en-GB"/>
        </w:rPr>
        <w:t xml:space="preserve"> (2014b) </w:t>
      </w:r>
      <w:r w:rsidRPr="0012797C">
        <w:rPr>
          <w:rFonts w:eastAsia="MS Mincho" w:cs="Times New Roman"/>
          <w:i/>
          <w:lang w:val="en-GB"/>
        </w:rPr>
        <w:t xml:space="preserve">Indonesia Economic Quarterly: Investment in Flux (March 2014). </w:t>
      </w:r>
      <w:r w:rsidRPr="0012797C">
        <w:rPr>
          <w:rFonts w:eastAsia="MS Mincho" w:cs="Times New Roman"/>
          <w:lang w:val="en-GB"/>
        </w:rPr>
        <w:t xml:space="preserve"> </w:t>
      </w:r>
      <w:r w:rsidR="00A31439">
        <w:rPr>
          <w:rFonts w:eastAsia="MS Mincho" w:cs="Times New Roman"/>
          <w:lang w:val="en-GB"/>
        </w:rPr>
        <w:t>Jakarta: World Bank.</w:t>
      </w:r>
    </w:p>
    <w:p w14:paraId="19679B36" w14:textId="77777777" w:rsidR="0012797C" w:rsidRDefault="0012797C" w:rsidP="00BC0CB7">
      <w:pPr>
        <w:spacing w:after="0" w:line="240" w:lineRule="auto"/>
        <w:jc w:val="both"/>
        <w:rPr>
          <w:rFonts w:eastAsia="MS Mincho" w:cs="Times New Roman"/>
          <w:lang w:val="en-GB"/>
        </w:rPr>
      </w:pPr>
    </w:p>
    <w:p w14:paraId="36BA372A" w14:textId="77777777" w:rsidR="0012797C" w:rsidRPr="0012797C" w:rsidRDefault="0012797C" w:rsidP="00BC0CB7">
      <w:pPr>
        <w:spacing w:after="0" w:line="240" w:lineRule="auto"/>
        <w:jc w:val="both"/>
        <w:rPr>
          <w:rFonts w:eastAsia="MS Mincho" w:cs="Times New Roman"/>
          <w:lang w:val="en-GB"/>
        </w:rPr>
      </w:pPr>
      <w:r w:rsidRPr="0012797C">
        <w:rPr>
          <w:rFonts w:eastAsia="MS Mincho" w:cs="Times New Roman"/>
          <w:b/>
          <w:lang w:val="en-GB"/>
        </w:rPr>
        <w:t>World Bank</w:t>
      </w:r>
      <w:r w:rsidRPr="0012797C">
        <w:rPr>
          <w:rFonts w:eastAsia="MS Mincho" w:cs="Times New Roman"/>
          <w:lang w:val="en-GB"/>
        </w:rPr>
        <w:t xml:space="preserve"> (2014c)</w:t>
      </w:r>
      <w:r w:rsidRPr="0012797C">
        <w:rPr>
          <w:rFonts w:eastAsia="MS Mincho" w:cs="Times New Roman"/>
          <w:color w:val="FF0000"/>
          <w:lang w:val="en-GB"/>
        </w:rPr>
        <w:t xml:space="preserve"> </w:t>
      </w:r>
      <w:r w:rsidRPr="0012797C">
        <w:rPr>
          <w:rFonts w:eastAsia="MS Mincho" w:cs="Times New Roman"/>
          <w:i/>
          <w:lang w:val="en-GB"/>
        </w:rPr>
        <w:t xml:space="preserve">Addressing Poverty and Inequality </w:t>
      </w:r>
      <w:proofErr w:type="gramStart"/>
      <w:r w:rsidRPr="0012797C">
        <w:rPr>
          <w:rFonts w:eastAsia="MS Mincho" w:cs="Times New Roman"/>
          <w:i/>
          <w:lang w:val="en-GB"/>
        </w:rPr>
        <w:t>Throughout</w:t>
      </w:r>
      <w:proofErr w:type="gramEnd"/>
      <w:r w:rsidRPr="0012797C">
        <w:rPr>
          <w:rFonts w:eastAsia="MS Mincho" w:cs="Times New Roman"/>
          <w:i/>
          <w:lang w:val="en-GB"/>
        </w:rPr>
        <w:t xml:space="preserve"> the Lifecycle.</w:t>
      </w:r>
      <w:r w:rsidR="00394B74">
        <w:rPr>
          <w:rFonts w:eastAsia="MS Mincho" w:cs="Times New Roman"/>
          <w:i/>
          <w:lang w:val="en-GB"/>
        </w:rPr>
        <w:t xml:space="preserve"> </w:t>
      </w:r>
      <w:proofErr w:type="spellStart"/>
      <w:proofErr w:type="gramStart"/>
      <w:r w:rsidRPr="0012797C">
        <w:rPr>
          <w:rFonts w:eastAsia="MS Mincho" w:cs="Times New Roman"/>
          <w:lang w:val="en-GB"/>
        </w:rPr>
        <w:t>Powerpoint</w:t>
      </w:r>
      <w:proofErr w:type="spellEnd"/>
      <w:r w:rsidR="00394B74">
        <w:rPr>
          <w:rFonts w:eastAsia="MS Mincho" w:cs="Times New Roman"/>
          <w:lang w:val="en-GB"/>
        </w:rPr>
        <w:t>.</w:t>
      </w:r>
      <w:proofErr w:type="gramEnd"/>
      <w:r w:rsidRPr="0012797C">
        <w:rPr>
          <w:rFonts w:eastAsia="MS Mincho" w:cs="Times New Roman"/>
          <w:lang w:val="en-GB"/>
        </w:rPr>
        <w:t xml:space="preserve"> </w:t>
      </w:r>
    </w:p>
    <w:p w14:paraId="20E32A37" w14:textId="77777777" w:rsidR="0012797C" w:rsidRDefault="0012797C" w:rsidP="00BC0CB7">
      <w:pPr>
        <w:spacing w:after="0" w:line="240" w:lineRule="auto"/>
        <w:jc w:val="both"/>
        <w:rPr>
          <w:rFonts w:eastAsia="MS Mincho" w:cs="Times New Roman"/>
          <w:lang w:val="en-GB"/>
        </w:rPr>
      </w:pPr>
    </w:p>
    <w:p w14:paraId="45D73F4B" w14:textId="5854436C" w:rsidR="0012797C" w:rsidRDefault="0012797C" w:rsidP="00BC0CB7">
      <w:pPr>
        <w:spacing w:after="0" w:line="240" w:lineRule="auto"/>
        <w:jc w:val="both"/>
        <w:rPr>
          <w:rFonts w:eastAsia="MS Mincho" w:cs="Times New Roman"/>
          <w:lang w:val="en-GB"/>
        </w:rPr>
      </w:pPr>
      <w:r w:rsidRPr="0012797C">
        <w:rPr>
          <w:rFonts w:eastAsia="MS Mincho" w:cs="Times New Roman"/>
          <w:b/>
          <w:lang w:val="en-GB"/>
        </w:rPr>
        <w:t>World Economic Forum</w:t>
      </w:r>
      <w:r w:rsidRPr="0012797C">
        <w:rPr>
          <w:rFonts w:eastAsia="MS Mincho" w:cs="Times New Roman"/>
          <w:lang w:val="en-GB"/>
        </w:rPr>
        <w:t xml:space="preserve"> (2014) </w:t>
      </w:r>
      <w:proofErr w:type="gramStart"/>
      <w:r w:rsidRPr="0012797C">
        <w:rPr>
          <w:rFonts w:eastAsia="MS Mincho" w:cs="Times New Roman"/>
          <w:i/>
          <w:lang w:val="en-GB"/>
        </w:rPr>
        <w:t>The</w:t>
      </w:r>
      <w:proofErr w:type="gramEnd"/>
      <w:r w:rsidRPr="0012797C">
        <w:rPr>
          <w:rFonts w:eastAsia="MS Mincho" w:cs="Times New Roman"/>
          <w:i/>
          <w:lang w:val="en-GB"/>
        </w:rPr>
        <w:t xml:space="preserve"> Global Competitiveness Report 2013 – 2014</w:t>
      </w:r>
      <w:r w:rsidRPr="0012797C">
        <w:rPr>
          <w:rFonts w:eastAsia="MS Mincho" w:cs="Times New Roman"/>
          <w:lang w:val="en-GB"/>
        </w:rPr>
        <w:t>.</w:t>
      </w:r>
      <w:r w:rsidRPr="0012797C">
        <w:rPr>
          <w:rFonts w:eastAsia="MS Mincho" w:cs="Times New Roman"/>
          <w:sz w:val="24"/>
          <w:szCs w:val="24"/>
          <w:lang w:val="en-GB"/>
        </w:rPr>
        <w:t xml:space="preserve"> </w:t>
      </w:r>
      <w:r w:rsidR="001715D5" w:rsidRPr="0012797C">
        <w:rPr>
          <w:rFonts w:eastAsia="MS Mincho" w:cs="Times New Roman"/>
          <w:lang w:val="en-GB"/>
        </w:rPr>
        <w:t>Geneva:</w:t>
      </w:r>
      <w:r w:rsidRPr="0012797C">
        <w:rPr>
          <w:rFonts w:eastAsia="MS Mincho" w:cs="Times New Roman"/>
          <w:lang w:val="en-GB"/>
        </w:rPr>
        <w:t xml:space="preserve"> World Economic Forum. </w:t>
      </w:r>
      <w:hyperlink r:id="rId27" w:history="1">
        <w:r w:rsidRPr="0012797C">
          <w:rPr>
            <w:rFonts w:eastAsia="MS Mincho" w:cs="Times New Roman"/>
            <w:color w:val="0000FF"/>
            <w:u w:val="single"/>
            <w:lang w:val="en-GB"/>
          </w:rPr>
          <w:t>http://reports.weforum.org/the-global-competitiveness-report-2013-2014/</w:t>
        </w:r>
      </w:hyperlink>
      <w:r w:rsidRPr="0012797C">
        <w:rPr>
          <w:rFonts w:eastAsia="MS Mincho" w:cs="Times New Roman"/>
          <w:lang w:val="en-GB"/>
        </w:rPr>
        <w:t xml:space="preserve">. </w:t>
      </w:r>
      <w:r w:rsidRPr="0012797C">
        <w:rPr>
          <w:rFonts w:eastAsia="MS Mincho" w:cs="Arial"/>
          <w:b/>
          <w:lang w:val="en-GB"/>
        </w:rPr>
        <w:br/>
      </w:r>
    </w:p>
    <w:p w14:paraId="6DA40CBD" w14:textId="6844AA7F" w:rsidR="0012797C" w:rsidRPr="0012797C" w:rsidRDefault="0012797C" w:rsidP="00BC0CB7">
      <w:pPr>
        <w:spacing w:after="0" w:line="240" w:lineRule="auto"/>
        <w:jc w:val="both"/>
        <w:rPr>
          <w:rFonts w:eastAsia="MS Mincho" w:cs="Times New Roman"/>
          <w:lang w:val="en-GB"/>
        </w:rPr>
      </w:pPr>
      <w:r w:rsidRPr="0012797C">
        <w:rPr>
          <w:rFonts w:eastAsia="MS Mincho" w:cs="Times New Roman"/>
          <w:b/>
          <w:lang w:val="en-GB"/>
        </w:rPr>
        <w:t xml:space="preserve">Yusuf, A. A., A. Sumner and I. A. Rum </w:t>
      </w:r>
      <w:r w:rsidRPr="0012797C">
        <w:rPr>
          <w:rFonts w:eastAsia="MS Mincho" w:cs="Times New Roman"/>
          <w:lang w:val="en-GB"/>
        </w:rPr>
        <w:t>(2013)</w:t>
      </w:r>
      <w:r w:rsidRPr="0012797C">
        <w:rPr>
          <w:rFonts w:eastAsia="MS Mincho" w:cs="Times New Roman"/>
          <w:b/>
          <w:lang w:val="en-GB"/>
        </w:rPr>
        <w:t xml:space="preserve"> </w:t>
      </w:r>
      <w:r w:rsidRPr="0012797C">
        <w:rPr>
          <w:rFonts w:eastAsia="MS Mincho" w:cs="Times New Roman"/>
          <w:i/>
          <w:lang w:val="en-GB"/>
        </w:rPr>
        <w:t xml:space="preserve">The Long-run Evolution of Inequality </w:t>
      </w:r>
      <w:proofErr w:type="gramStart"/>
      <w:r w:rsidRPr="0012797C">
        <w:rPr>
          <w:rFonts w:eastAsia="MS Mincho" w:cs="Times New Roman"/>
          <w:i/>
          <w:lang w:val="en-GB"/>
        </w:rPr>
        <w:t>In</w:t>
      </w:r>
      <w:proofErr w:type="gramEnd"/>
      <w:r w:rsidRPr="0012797C">
        <w:rPr>
          <w:rFonts w:eastAsia="MS Mincho" w:cs="Times New Roman"/>
          <w:i/>
          <w:lang w:val="en-GB"/>
        </w:rPr>
        <w:t xml:space="preserve"> Indonesia, 1990-2012: New Estimates and Four Hypotheses On Drivers. </w:t>
      </w:r>
      <w:proofErr w:type="gramStart"/>
      <w:r w:rsidRPr="0012797C">
        <w:rPr>
          <w:rFonts w:eastAsia="MS Mincho" w:cs="Times New Roman"/>
          <w:lang w:val="en-GB"/>
        </w:rPr>
        <w:t xml:space="preserve">Working Paper in Economics and Development Studies No. 201314, </w:t>
      </w:r>
      <w:proofErr w:type="spellStart"/>
      <w:r w:rsidRPr="0012797C">
        <w:rPr>
          <w:rFonts w:eastAsia="MS Mincho" w:cs="Times New Roman"/>
          <w:lang w:val="en-GB"/>
        </w:rPr>
        <w:t>Center</w:t>
      </w:r>
      <w:proofErr w:type="spellEnd"/>
      <w:r w:rsidRPr="0012797C">
        <w:rPr>
          <w:rFonts w:eastAsia="MS Mincho" w:cs="Times New Roman"/>
          <w:lang w:val="en-GB"/>
        </w:rPr>
        <w:t xml:space="preserve"> for Economics and Development </w:t>
      </w:r>
      <w:r w:rsidR="001715D5" w:rsidRPr="0012797C">
        <w:rPr>
          <w:rFonts w:eastAsia="MS Mincho" w:cs="Times New Roman"/>
          <w:lang w:val="en-GB"/>
        </w:rPr>
        <w:t>Studies,</w:t>
      </w:r>
      <w:r w:rsidRPr="0012797C">
        <w:rPr>
          <w:rFonts w:eastAsia="MS Mincho" w:cs="Times New Roman"/>
          <w:lang w:val="en-GB"/>
        </w:rPr>
        <w:t xml:space="preserve"> Department of Economics, </w:t>
      </w:r>
      <w:proofErr w:type="spellStart"/>
      <w:r w:rsidRPr="0012797C">
        <w:rPr>
          <w:rFonts w:eastAsia="MS Mincho" w:cs="Times New Roman"/>
          <w:lang w:val="en-GB"/>
        </w:rPr>
        <w:t>Padjadjaran</w:t>
      </w:r>
      <w:proofErr w:type="spellEnd"/>
      <w:r w:rsidRPr="0012797C">
        <w:rPr>
          <w:rFonts w:eastAsia="MS Mincho" w:cs="Times New Roman"/>
          <w:lang w:val="en-GB"/>
        </w:rPr>
        <w:t xml:space="preserve"> University, Indonesia.</w:t>
      </w:r>
      <w:proofErr w:type="gramEnd"/>
    </w:p>
    <w:p w14:paraId="4989AF76" w14:textId="77777777" w:rsidR="000B3C5D" w:rsidRDefault="000B3C5D" w:rsidP="000B3C5D">
      <w:pPr>
        <w:jc w:val="both"/>
        <w:rPr>
          <w:b/>
        </w:rPr>
      </w:pPr>
      <w:r>
        <w:rPr>
          <w:b/>
        </w:rPr>
        <w:br w:type="page"/>
      </w:r>
    </w:p>
    <w:p w14:paraId="421D24FF" w14:textId="77777777" w:rsidR="00492BCE" w:rsidRPr="00C53F00" w:rsidRDefault="00A54C76" w:rsidP="00483D9D">
      <w:pPr>
        <w:spacing w:after="120"/>
        <w:rPr>
          <w:b/>
        </w:rPr>
      </w:pPr>
      <w:r w:rsidRPr="00C53F00">
        <w:rPr>
          <w:b/>
        </w:rPr>
        <w:t>Annex 1. Selected PRSF outputs to date</w:t>
      </w:r>
    </w:p>
    <w:tbl>
      <w:tblPr>
        <w:tblStyle w:val="TableGrid"/>
        <w:tblW w:w="10046" w:type="dxa"/>
        <w:jc w:val="center"/>
        <w:tblLook w:val="04A0" w:firstRow="1" w:lastRow="0" w:firstColumn="1" w:lastColumn="0" w:noHBand="0" w:noVBand="1"/>
      </w:tblPr>
      <w:tblGrid>
        <w:gridCol w:w="1928"/>
        <w:gridCol w:w="8118"/>
      </w:tblGrid>
      <w:tr w:rsidR="00651D9A" w:rsidRPr="00651D9A" w14:paraId="498A075A" w14:textId="77777777" w:rsidTr="00F85088">
        <w:trPr>
          <w:tblHeader/>
          <w:jc w:val="center"/>
        </w:trPr>
        <w:tc>
          <w:tcPr>
            <w:tcW w:w="1928" w:type="dxa"/>
            <w:shd w:val="clear" w:color="auto" w:fill="C6D9F1" w:themeFill="text2" w:themeFillTint="33"/>
          </w:tcPr>
          <w:p w14:paraId="73213063" w14:textId="77777777" w:rsidR="00651D9A" w:rsidRPr="00C53F00" w:rsidRDefault="00651D9A" w:rsidP="002C2B09">
            <w:pPr>
              <w:spacing w:after="200" w:line="276" w:lineRule="auto"/>
              <w:rPr>
                <w:rFonts w:cs="Calibri"/>
                <w:b/>
                <w:sz w:val="20"/>
                <w:szCs w:val="20"/>
              </w:rPr>
            </w:pPr>
            <w:r w:rsidRPr="00C53F00">
              <w:rPr>
                <w:rFonts w:cs="Calibri"/>
                <w:b/>
                <w:sz w:val="20"/>
                <w:szCs w:val="20"/>
              </w:rPr>
              <w:t>National Program</w:t>
            </w:r>
          </w:p>
        </w:tc>
        <w:tc>
          <w:tcPr>
            <w:tcW w:w="8118" w:type="dxa"/>
            <w:shd w:val="clear" w:color="auto" w:fill="C6D9F1" w:themeFill="text2" w:themeFillTint="33"/>
          </w:tcPr>
          <w:p w14:paraId="5B4A396E" w14:textId="7FBF29D0" w:rsidR="00651D9A" w:rsidRPr="00C53F00" w:rsidRDefault="00F85088" w:rsidP="00F85088">
            <w:pPr>
              <w:spacing w:after="200" w:line="276" w:lineRule="auto"/>
              <w:jc w:val="both"/>
              <w:rPr>
                <w:rFonts w:cs="Calibri"/>
                <w:b/>
                <w:sz w:val="20"/>
                <w:szCs w:val="20"/>
              </w:rPr>
            </w:pPr>
            <w:r>
              <w:rPr>
                <w:rFonts w:cs="Calibri"/>
                <w:b/>
                <w:sz w:val="20"/>
                <w:szCs w:val="20"/>
              </w:rPr>
              <w:t>Selected r</w:t>
            </w:r>
            <w:r w:rsidR="00651D9A" w:rsidRPr="00C53F00">
              <w:rPr>
                <w:rFonts w:cs="Calibri"/>
                <w:b/>
                <w:sz w:val="20"/>
                <w:szCs w:val="20"/>
              </w:rPr>
              <w:t xml:space="preserve">esults from </w:t>
            </w:r>
            <w:r>
              <w:rPr>
                <w:rFonts w:cs="Calibri"/>
                <w:b/>
                <w:sz w:val="20"/>
                <w:szCs w:val="20"/>
              </w:rPr>
              <w:t>TNP2K i</w:t>
            </w:r>
            <w:r w:rsidR="00651D9A" w:rsidRPr="00C53F00">
              <w:rPr>
                <w:rFonts w:cs="Calibri"/>
                <w:b/>
                <w:sz w:val="20"/>
                <w:szCs w:val="20"/>
              </w:rPr>
              <w:t>nterventions</w:t>
            </w:r>
            <w:r>
              <w:rPr>
                <w:rFonts w:cs="Calibri"/>
                <w:b/>
                <w:sz w:val="20"/>
                <w:szCs w:val="20"/>
              </w:rPr>
              <w:t xml:space="preserve"> (through PRSF-funded activities)</w:t>
            </w:r>
          </w:p>
        </w:tc>
      </w:tr>
      <w:tr w:rsidR="00651D9A" w:rsidRPr="00651D9A" w14:paraId="3A4740C3" w14:textId="77777777" w:rsidTr="00F85088">
        <w:trPr>
          <w:jc w:val="center"/>
        </w:trPr>
        <w:tc>
          <w:tcPr>
            <w:tcW w:w="1928" w:type="dxa"/>
          </w:tcPr>
          <w:p w14:paraId="4F48F218" w14:textId="77777777" w:rsidR="00651D9A" w:rsidRPr="00C53F00" w:rsidRDefault="00651D9A" w:rsidP="002C2B09">
            <w:pPr>
              <w:spacing w:after="200" w:line="276" w:lineRule="auto"/>
              <w:rPr>
                <w:rFonts w:cs="Calibri"/>
                <w:sz w:val="20"/>
                <w:szCs w:val="20"/>
              </w:rPr>
            </w:pPr>
            <w:r w:rsidRPr="00C53F00">
              <w:rPr>
                <w:rFonts w:cs="Calibri"/>
                <w:sz w:val="20"/>
                <w:szCs w:val="20"/>
              </w:rPr>
              <w:t xml:space="preserve">1. Scholarships for poor students (BSM) </w:t>
            </w:r>
          </w:p>
        </w:tc>
        <w:tc>
          <w:tcPr>
            <w:tcW w:w="8118" w:type="dxa"/>
          </w:tcPr>
          <w:p w14:paraId="3C7C59DC" w14:textId="77777777" w:rsidR="00651D9A" w:rsidRPr="00C53F00" w:rsidRDefault="00651D9A" w:rsidP="00BC0CB7">
            <w:pPr>
              <w:numPr>
                <w:ilvl w:val="0"/>
                <w:numId w:val="34"/>
              </w:numPr>
              <w:spacing w:after="200" w:line="276" w:lineRule="auto"/>
              <w:ind w:left="482"/>
              <w:contextualSpacing/>
              <w:jc w:val="both"/>
              <w:rPr>
                <w:rFonts w:eastAsia="Times New Roman" w:cs="Times New Roman"/>
                <w:sz w:val="20"/>
                <w:szCs w:val="20"/>
              </w:rPr>
            </w:pPr>
            <w:r w:rsidRPr="00C53F00">
              <w:rPr>
                <w:rFonts w:eastAsia="Times New Roman" w:cs="Times New Roman"/>
                <w:sz w:val="20"/>
                <w:szCs w:val="20"/>
              </w:rPr>
              <w:t xml:space="preserve">Program expanded from 8.7 to 16.6 million poor students—a 91% increase in coverage and a 260% increase in budget. GOI allocated an additional $697 million to program budget; this is ongoing funding. </w:t>
            </w:r>
          </w:p>
          <w:p w14:paraId="09903048" w14:textId="6D7A8215" w:rsidR="00651D9A" w:rsidRPr="00C53F00" w:rsidRDefault="00651D9A" w:rsidP="00BC0CB7">
            <w:pPr>
              <w:numPr>
                <w:ilvl w:val="0"/>
                <w:numId w:val="34"/>
              </w:numPr>
              <w:spacing w:after="200" w:line="276" w:lineRule="auto"/>
              <w:ind w:left="482"/>
              <w:contextualSpacing/>
              <w:jc w:val="both"/>
              <w:rPr>
                <w:rFonts w:eastAsia="Times New Roman" w:cs="Times New Roman"/>
                <w:sz w:val="20"/>
                <w:szCs w:val="20"/>
              </w:rPr>
            </w:pPr>
            <w:r w:rsidRPr="00C53F00">
              <w:rPr>
                <w:rFonts w:eastAsia="Times New Roman" w:cs="Times New Roman"/>
                <w:sz w:val="20"/>
                <w:szCs w:val="20"/>
              </w:rPr>
              <w:t>98% of public school student quota was disbursed for 12.3 million students</w:t>
            </w:r>
            <w:r w:rsidR="00F85088">
              <w:rPr>
                <w:rFonts w:eastAsia="Times New Roman" w:cs="Times New Roman"/>
                <w:sz w:val="20"/>
                <w:szCs w:val="20"/>
              </w:rPr>
              <w:t>.</w:t>
            </w:r>
          </w:p>
          <w:p w14:paraId="7B98E816" w14:textId="0FDD50C6" w:rsidR="00651D9A" w:rsidRPr="00C53F00" w:rsidRDefault="00651D9A" w:rsidP="00BC0CB7">
            <w:pPr>
              <w:numPr>
                <w:ilvl w:val="0"/>
                <w:numId w:val="34"/>
              </w:numPr>
              <w:spacing w:after="200" w:line="276" w:lineRule="auto"/>
              <w:ind w:left="482"/>
              <w:contextualSpacing/>
              <w:jc w:val="both"/>
              <w:rPr>
                <w:rFonts w:eastAsia="Times New Roman" w:cs="Times New Roman"/>
                <w:sz w:val="20"/>
                <w:szCs w:val="20"/>
              </w:rPr>
            </w:pPr>
            <w:r w:rsidRPr="00C53F00">
              <w:rPr>
                <w:rFonts w:eastAsia="Times New Roman" w:cs="Times New Roman"/>
                <w:sz w:val="20"/>
                <w:szCs w:val="20"/>
              </w:rPr>
              <w:t>Scholarship size increased on average by IDR 200,000 ($19), a 50% average increase, equivalent to $231 million extra for primary and lower secondary public school students</w:t>
            </w:r>
            <w:r w:rsidR="00F85088">
              <w:rPr>
                <w:rFonts w:eastAsia="Times New Roman" w:cs="Times New Roman"/>
                <w:sz w:val="20"/>
                <w:szCs w:val="20"/>
              </w:rPr>
              <w:t>.</w:t>
            </w:r>
          </w:p>
          <w:p w14:paraId="340C7B18" w14:textId="38707A0C" w:rsidR="00651D9A" w:rsidRPr="00C53F00" w:rsidRDefault="00651D9A" w:rsidP="00BC0CB7">
            <w:pPr>
              <w:numPr>
                <w:ilvl w:val="0"/>
                <w:numId w:val="34"/>
              </w:numPr>
              <w:spacing w:after="200" w:line="276" w:lineRule="auto"/>
              <w:ind w:left="482"/>
              <w:contextualSpacing/>
              <w:jc w:val="both"/>
              <w:rPr>
                <w:rFonts w:eastAsia="Times New Roman" w:cs="Times New Roman"/>
                <w:sz w:val="20"/>
                <w:szCs w:val="20"/>
              </w:rPr>
            </w:pPr>
            <w:r w:rsidRPr="00C53F00">
              <w:rPr>
                <w:rFonts w:eastAsia="Times New Roman" w:cs="Times New Roman"/>
                <w:sz w:val="20"/>
                <w:szCs w:val="20"/>
              </w:rPr>
              <w:t>Targeting accuracy to poorest students improved by at least 29 percentage points, or 264% improvement over previous system</w:t>
            </w:r>
            <w:r w:rsidR="00F85088">
              <w:rPr>
                <w:rFonts w:eastAsia="Times New Roman" w:cs="Times New Roman"/>
                <w:sz w:val="20"/>
                <w:szCs w:val="20"/>
              </w:rPr>
              <w:t>.</w:t>
            </w:r>
          </w:p>
          <w:p w14:paraId="5DDB1F29" w14:textId="4E06E817" w:rsidR="00651D9A" w:rsidRPr="00C53F00" w:rsidRDefault="00651D9A" w:rsidP="00BC0CB7">
            <w:pPr>
              <w:numPr>
                <w:ilvl w:val="0"/>
                <w:numId w:val="34"/>
              </w:numPr>
              <w:ind w:left="482"/>
              <w:contextualSpacing/>
              <w:jc w:val="both"/>
              <w:rPr>
                <w:rFonts w:eastAsia="Times New Roman" w:cs="Times New Roman"/>
                <w:sz w:val="20"/>
                <w:szCs w:val="20"/>
              </w:rPr>
            </w:pPr>
            <w:r w:rsidRPr="00C53F00">
              <w:rPr>
                <w:rFonts w:eastAsia="Times New Roman" w:cs="Times New Roman"/>
                <w:sz w:val="20"/>
                <w:szCs w:val="20"/>
              </w:rPr>
              <w:t>Scholarships paid directly to students (previously disbursed to schools then distributed to students) via individual bank accounts set up for 12.3 million students</w:t>
            </w:r>
            <w:r w:rsidR="00F85088">
              <w:rPr>
                <w:rFonts w:eastAsia="Times New Roman" w:cs="Times New Roman"/>
                <w:sz w:val="20"/>
                <w:szCs w:val="20"/>
              </w:rPr>
              <w:t>.</w:t>
            </w:r>
          </w:p>
        </w:tc>
      </w:tr>
      <w:tr w:rsidR="00651D9A" w:rsidRPr="00651D9A" w14:paraId="78CF7198" w14:textId="77777777" w:rsidTr="00F85088">
        <w:trPr>
          <w:jc w:val="center"/>
        </w:trPr>
        <w:tc>
          <w:tcPr>
            <w:tcW w:w="1928" w:type="dxa"/>
          </w:tcPr>
          <w:p w14:paraId="5A8C3CA6" w14:textId="77777777" w:rsidR="00651D9A" w:rsidRPr="00C53F00" w:rsidRDefault="00651D9A" w:rsidP="002C2B09">
            <w:pPr>
              <w:spacing w:after="200" w:line="276" w:lineRule="auto"/>
              <w:rPr>
                <w:rFonts w:cs="Calibri"/>
                <w:sz w:val="20"/>
                <w:szCs w:val="20"/>
              </w:rPr>
            </w:pPr>
            <w:r w:rsidRPr="00C53F00">
              <w:rPr>
                <w:rFonts w:cs="Calibri"/>
                <w:sz w:val="20"/>
                <w:szCs w:val="20"/>
              </w:rPr>
              <w:t xml:space="preserve">2. Conditional cash transfers for health and education (PKH) </w:t>
            </w:r>
          </w:p>
        </w:tc>
        <w:tc>
          <w:tcPr>
            <w:tcW w:w="8118" w:type="dxa"/>
          </w:tcPr>
          <w:p w14:paraId="50FF94E7" w14:textId="77777777" w:rsidR="00651D9A" w:rsidRPr="00C53F00" w:rsidRDefault="00651D9A" w:rsidP="00BC0CB7">
            <w:pPr>
              <w:numPr>
                <w:ilvl w:val="0"/>
                <w:numId w:val="35"/>
              </w:numPr>
              <w:spacing w:after="200" w:line="276" w:lineRule="auto"/>
              <w:ind w:left="482"/>
              <w:contextualSpacing/>
              <w:jc w:val="both"/>
              <w:rPr>
                <w:rFonts w:eastAsia="Times New Roman" w:cs="Times New Roman"/>
                <w:sz w:val="20"/>
                <w:szCs w:val="20"/>
              </w:rPr>
            </w:pPr>
            <w:r w:rsidRPr="00C53F00">
              <w:rPr>
                <w:rFonts w:eastAsia="Times New Roman" w:cs="Times New Roman"/>
                <w:sz w:val="20"/>
                <w:szCs w:val="20"/>
              </w:rPr>
              <w:t xml:space="preserve">PKH program expanded to 3.2 million poor households/15 million individuals, average additional increase in benefits equivalent to $118 million. </w:t>
            </w:r>
          </w:p>
          <w:p w14:paraId="780051A2" w14:textId="77777777" w:rsidR="00651D9A" w:rsidRPr="00C53F00" w:rsidRDefault="00651D9A" w:rsidP="00BC0CB7">
            <w:pPr>
              <w:numPr>
                <w:ilvl w:val="0"/>
                <w:numId w:val="35"/>
              </w:numPr>
              <w:spacing w:after="200" w:line="276" w:lineRule="auto"/>
              <w:ind w:left="482"/>
              <w:contextualSpacing/>
              <w:jc w:val="both"/>
              <w:rPr>
                <w:rFonts w:eastAsia="Times New Roman" w:cs="Times New Roman"/>
                <w:sz w:val="20"/>
                <w:szCs w:val="20"/>
              </w:rPr>
            </w:pPr>
            <w:r w:rsidRPr="00C53F00">
              <w:rPr>
                <w:rFonts w:eastAsia="Times New Roman" w:cs="Times New Roman"/>
                <w:sz w:val="20"/>
                <w:szCs w:val="20"/>
              </w:rPr>
              <w:t xml:space="preserve">Average annual increase of IDR 400,000 ($37) per household for 2.4 million poor households/12 million individuals, equivalent to approximately $89 million additional funds. </w:t>
            </w:r>
          </w:p>
          <w:p w14:paraId="3F48AD63" w14:textId="7659BC12" w:rsidR="00651D9A" w:rsidRPr="00C53F00" w:rsidRDefault="00651D9A" w:rsidP="00BC0CB7">
            <w:pPr>
              <w:numPr>
                <w:ilvl w:val="0"/>
                <w:numId w:val="35"/>
              </w:numPr>
              <w:spacing w:after="200" w:line="276" w:lineRule="auto"/>
              <w:ind w:left="482"/>
              <w:contextualSpacing/>
              <w:jc w:val="both"/>
              <w:rPr>
                <w:rFonts w:ascii="Arial" w:eastAsia="Times New Roman" w:hAnsi="Arial" w:cs="Times New Roman"/>
                <w:sz w:val="20"/>
                <w:szCs w:val="20"/>
              </w:rPr>
            </w:pPr>
            <w:r w:rsidRPr="00C53F00">
              <w:rPr>
                <w:rFonts w:eastAsia="Times New Roman" w:cs="Times New Roman"/>
                <w:sz w:val="20"/>
                <w:szCs w:val="20"/>
              </w:rPr>
              <w:t xml:space="preserve">Graduation strategy: following </w:t>
            </w:r>
            <w:r w:rsidR="00F85088">
              <w:rPr>
                <w:rFonts w:eastAsia="Times New Roman" w:cs="Times New Roman"/>
                <w:sz w:val="20"/>
                <w:szCs w:val="20"/>
              </w:rPr>
              <w:t>six</w:t>
            </w:r>
            <w:r w:rsidRPr="00C53F00">
              <w:rPr>
                <w:rFonts w:eastAsia="Times New Roman" w:cs="Times New Roman"/>
                <w:sz w:val="20"/>
                <w:szCs w:val="20"/>
              </w:rPr>
              <w:t xml:space="preserve"> year program term limit, 30,000 PKH 2007 cohort beneficiaries who have “graduated” from extreme poverty will be linked with </w:t>
            </w:r>
            <w:proofErr w:type="gramStart"/>
            <w:r w:rsidRPr="00C53F00">
              <w:rPr>
                <w:rFonts w:eastAsia="Times New Roman" w:cs="Times New Roman"/>
                <w:sz w:val="20"/>
                <w:szCs w:val="20"/>
              </w:rPr>
              <w:t>Ministry of Social Affairs</w:t>
            </w:r>
            <w:proofErr w:type="gramEnd"/>
            <w:r w:rsidRPr="00C53F00">
              <w:rPr>
                <w:rFonts w:eastAsia="Times New Roman" w:cs="Times New Roman"/>
                <w:sz w:val="20"/>
                <w:szCs w:val="20"/>
              </w:rPr>
              <w:t xml:space="preserve"> livelihood grants, total $5.6 million. </w:t>
            </w:r>
          </w:p>
          <w:p w14:paraId="62307A44" w14:textId="78AC94FF" w:rsidR="00651D9A" w:rsidRPr="00C53F00" w:rsidRDefault="00651D9A" w:rsidP="00F85088">
            <w:pPr>
              <w:numPr>
                <w:ilvl w:val="0"/>
                <w:numId w:val="35"/>
              </w:numPr>
              <w:ind w:left="482"/>
              <w:contextualSpacing/>
              <w:jc w:val="both"/>
              <w:rPr>
                <w:rFonts w:ascii="Arial" w:eastAsia="Times New Roman" w:hAnsi="Arial" w:cs="Times New Roman"/>
                <w:sz w:val="20"/>
                <w:szCs w:val="20"/>
              </w:rPr>
            </w:pPr>
            <w:r w:rsidRPr="00C53F00">
              <w:rPr>
                <w:rFonts w:eastAsia="Times New Roman" w:cs="Times New Roman"/>
                <w:sz w:val="20"/>
                <w:szCs w:val="20"/>
              </w:rPr>
              <w:t xml:space="preserve">Transition strategy: 246,000 still-poor 2007 beneficiaries assisted for </w:t>
            </w:r>
            <w:r w:rsidR="00F85088">
              <w:rPr>
                <w:rFonts w:eastAsia="Times New Roman" w:cs="Times New Roman"/>
                <w:sz w:val="20"/>
                <w:szCs w:val="20"/>
              </w:rPr>
              <w:t>three</w:t>
            </w:r>
            <w:r w:rsidRPr="00C53F00">
              <w:rPr>
                <w:rFonts w:eastAsia="Times New Roman" w:cs="Times New Roman"/>
                <w:sz w:val="20"/>
                <w:szCs w:val="20"/>
              </w:rPr>
              <w:t xml:space="preserve"> additional years of PKH support for average 1.8 million per household, equivalent to approximately $101 million; plus skills training in health, nutrition, household economy and family development. </w:t>
            </w:r>
          </w:p>
        </w:tc>
      </w:tr>
      <w:tr w:rsidR="00651D9A" w:rsidRPr="00651D9A" w14:paraId="438D99C2" w14:textId="77777777" w:rsidTr="00F85088">
        <w:trPr>
          <w:jc w:val="center"/>
        </w:trPr>
        <w:tc>
          <w:tcPr>
            <w:tcW w:w="1928" w:type="dxa"/>
          </w:tcPr>
          <w:p w14:paraId="4945CDD4" w14:textId="77777777" w:rsidR="00651D9A" w:rsidRPr="00C53F00" w:rsidRDefault="00651D9A" w:rsidP="002C2B09">
            <w:pPr>
              <w:spacing w:after="200" w:line="276" w:lineRule="auto"/>
              <w:rPr>
                <w:rFonts w:cs="Calibri"/>
                <w:sz w:val="20"/>
                <w:szCs w:val="20"/>
              </w:rPr>
            </w:pPr>
            <w:r w:rsidRPr="00C53F00">
              <w:rPr>
                <w:rFonts w:cs="Calibri"/>
                <w:sz w:val="20"/>
                <w:szCs w:val="20"/>
              </w:rPr>
              <w:t xml:space="preserve">3. Rice for the poor program (Raskin) </w:t>
            </w:r>
          </w:p>
        </w:tc>
        <w:tc>
          <w:tcPr>
            <w:tcW w:w="8118" w:type="dxa"/>
          </w:tcPr>
          <w:p w14:paraId="15F6105D" w14:textId="0FDCFF57" w:rsidR="00651D9A" w:rsidRPr="00C53F00" w:rsidRDefault="00651D9A" w:rsidP="00BC0CB7">
            <w:pPr>
              <w:numPr>
                <w:ilvl w:val="0"/>
                <w:numId w:val="38"/>
              </w:numPr>
              <w:spacing w:after="200" w:line="276" w:lineRule="auto"/>
              <w:ind w:left="459"/>
              <w:contextualSpacing/>
              <w:jc w:val="both"/>
              <w:rPr>
                <w:rFonts w:eastAsia="Times New Roman" w:cs="Times New Roman"/>
                <w:sz w:val="20"/>
                <w:szCs w:val="20"/>
              </w:rPr>
            </w:pPr>
            <w:r w:rsidRPr="00C53F00">
              <w:rPr>
                <w:rFonts w:eastAsia="Times New Roman" w:cs="Times New Roman"/>
                <w:sz w:val="20"/>
                <w:szCs w:val="20"/>
              </w:rPr>
              <w:t>Introduction of Raskin card increased average quantity of rice per person by 36% and reduced price per kilogram by for 1.3 million poor households/40 million individuals</w:t>
            </w:r>
            <w:r w:rsidR="00F85088">
              <w:rPr>
                <w:rFonts w:eastAsia="Times New Roman" w:cs="Times New Roman"/>
                <w:sz w:val="20"/>
                <w:szCs w:val="20"/>
              </w:rPr>
              <w:t>.</w:t>
            </w:r>
          </w:p>
          <w:p w14:paraId="1BDE8B2A" w14:textId="50D44FDB" w:rsidR="00651D9A" w:rsidRPr="00C53F00" w:rsidRDefault="00651D9A" w:rsidP="00BC0CB7">
            <w:pPr>
              <w:numPr>
                <w:ilvl w:val="0"/>
                <w:numId w:val="38"/>
              </w:numPr>
              <w:ind w:left="459"/>
              <w:contextualSpacing/>
              <w:jc w:val="both"/>
              <w:rPr>
                <w:rFonts w:eastAsia="Times New Roman" w:cs="Times New Roman"/>
                <w:sz w:val="20"/>
                <w:szCs w:val="20"/>
              </w:rPr>
            </w:pPr>
            <w:r w:rsidRPr="00C53F00">
              <w:rPr>
                <w:rFonts w:eastAsia="Times New Roman" w:cs="Times New Roman"/>
                <w:sz w:val="20"/>
                <w:szCs w:val="20"/>
              </w:rPr>
              <w:t>Through</w:t>
            </w:r>
            <w:r w:rsidR="00F85088">
              <w:rPr>
                <w:rFonts w:eastAsia="Times New Roman" w:cs="Times New Roman"/>
                <w:sz w:val="20"/>
                <w:szCs w:val="20"/>
              </w:rPr>
              <w:t xml:space="preserve"> a</w:t>
            </w:r>
            <w:r w:rsidRPr="00C53F00">
              <w:rPr>
                <w:rFonts w:eastAsia="Times New Roman" w:cs="Times New Roman"/>
                <w:sz w:val="20"/>
                <w:szCs w:val="20"/>
              </w:rPr>
              <w:t xml:space="preserve"> TNP2K intervention MOHA has issued</w:t>
            </w:r>
            <w:r w:rsidR="00F85088">
              <w:rPr>
                <w:rFonts w:eastAsia="Times New Roman" w:cs="Times New Roman"/>
                <w:sz w:val="20"/>
                <w:szCs w:val="20"/>
              </w:rPr>
              <w:t xml:space="preserve"> a</w:t>
            </w:r>
            <w:r w:rsidRPr="00C53F00">
              <w:rPr>
                <w:rFonts w:eastAsia="Times New Roman" w:cs="Times New Roman"/>
                <w:sz w:val="20"/>
                <w:szCs w:val="20"/>
              </w:rPr>
              <w:t xml:space="preserve"> directive to local government</w:t>
            </w:r>
            <w:r w:rsidR="00F85088">
              <w:rPr>
                <w:rFonts w:eastAsia="Times New Roman" w:cs="Times New Roman"/>
                <w:sz w:val="20"/>
                <w:szCs w:val="20"/>
              </w:rPr>
              <w:t>s</w:t>
            </w:r>
            <w:r w:rsidRPr="00C53F00">
              <w:rPr>
                <w:rFonts w:eastAsia="Times New Roman" w:cs="Times New Roman"/>
                <w:sz w:val="20"/>
                <w:szCs w:val="20"/>
              </w:rPr>
              <w:t xml:space="preserve"> to cover cost of Raskin delivery from village to distribution points. Raskin guidelines include transportation cost only up to village and most villages build delivery cost into Raskin price, on average 22% of price per kilogram. New policy will reduce cost to beneficiaries.</w:t>
            </w:r>
          </w:p>
        </w:tc>
      </w:tr>
      <w:tr w:rsidR="00651D9A" w:rsidRPr="00651D9A" w14:paraId="46DD2B23" w14:textId="77777777" w:rsidTr="00F85088">
        <w:trPr>
          <w:jc w:val="center"/>
        </w:trPr>
        <w:tc>
          <w:tcPr>
            <w:tcW w:w="1928" w:type="dxa"/>
          </w:tcPr>
          <w:p w14:paraId="2A50769A" w14:textId="77777777" w:rsidR="00651D9A" w:rsidRPr="00C53F00" w:rsidRDefault="00651D9A" w:rsidP="002C2B09">
            <w:pPr>
              <w:spacing w:after="200" w:line="276" w:lineRule="auto"/>
              <w:rPr>
                <w:rFonts w:cs="Calibri"/>
                <w:sz w:val="20"/>
                <w:szCs w:val="20"/>
              </w:rPr>
            </w:pPr>
            <w:r w:rsidRPr="00C53F00">
              <w:rPr>
                <w:rFonts w:cs="Calibri"/>
                <w:sz w:val="20"/>
                <w:szCs w:val="20"/>
              </w:rPr>
              <w:t>4. Improvements to targeting and Unified Database (UDB)</w:t>
            </w:r>
          </w:p>
        </w:tc>
        <w:tc>
          <w:tcPr>
            <w:tcW w:w="8118" w:type="dxa"/>
          </w:tcPr>
          <w:p w14:paraId="6BE2C497" w14:textId="77777777" w:rsidR="00651D9A" w:rsidRPr="00C53F00" w:rsidRDefault="00651D9A" w:rsidP="00BC0CB7">
            <w:pPr>
              <w:numPr>
                <w:ilvl w:val="0"/>
                <w:numId w:val="36"/>
              </w:numPr>
              <w:spacing w:after="200" w:line="276" w:lineRule="auto"/>
              <w:ind w:left="459"/>
              <w:contextualSpacing/>
              <w:jc w:val="both"/>
              <w:rPr>
                <w:rFonts w:eastAsia="Times New Roman" w:cs="Times New Roman"/>
                <w:sz w:val="20"/>
                <w:szCs w:val="20"/>
              </w:rPr>
            </w:pPr>
            <w:r w:rsidRPr="00C53F00">
              <w:rPr>
                <w:rFonts w:eastAsia="Times New Roman" w:cs="Times New Roman"/>
                <w:sz w:val="20"/>
                <w:szCs w:val="20"/>
              </w:rPr>
              <w:t xml:space="preserve">Development of database of poorest 96 million individuals/25 million households (bottom 40% of population). UDB has replaced targeting mechanisms of national social assistance programs BSM (16.6 million poor students), PKH (2.4 million poor households), Raskin (15.5 million poor households) and Jamkesmas (subsidised health insurance for 85 million poor individuals) that were inaccurate and regressive, largely not reaching the poor. </w:t>
            </w:r>
          </w:p>
          <w:p w14:paraId="759CBC1B" w14:textId="77777777" w:rsidR="00651D9A" w:rsidRPr="00C53F00" w:rsidRDefault="00651D9A" w:rsidP="00BC0CB7">
            <w:pPr>
              <w:numPr>
                <w:ilvl w:val="0"/>
                <w:numId w:val="36"/>
              </w:numPr>
              <w:spacing w:after="200" w:line="276" w:lineRule="auto"/>
              <w:ind w:left="459"/>
              <w:contextualSpacing/>
              <w:jc w:val="both"/>
              <w:rPr>
                <w:rFonts w:ascii="Arial" w:eastAsia="Times New Roman" w:hAnsi="Arial" w:cs="Times New Roman"/>
                <w:sz w:val="20"/>
                <w:szCs w:val="20"/>
              </w:rPr>
            </w:pPr>
            <w:r w:rsidRPr="00C53F00">
              <w:rPr>
                <w:rFonts w:eastAsia="Times New Roman" w:cs="Times New Roman"/>
                <w:sz w:val="20"/>
                <w:szCs w:val="20"/>
              </w:rPr>
              <w:t>Targeting is now much more accurate and efficient, since each program uses a single system managed by TNP2K.</w:t>
            </w:r>
          </w:p>
          <w:p w14:paraId="18E93D30" w14:textId="458A74D4" w:rsidR="00651D9A" w:rsidRPr="00C53F00" w:rsidRDefault="00651D9A" w:rsidP="00F85088">
            <w:pPr>
              <w:numPr>
                <w:ilvl w:val="0"/>
                <w:numId w:val="36"/>
              </w:numPr>
              <w:ind w:left="459"/>
              <w:contextualSpacing/>
              <w:jc w:val="both"/>
              <w:rPr>
                <w:rFonts w:ascii="Arial" w:eastAsia="Times New Roman" w:hAnsi="Arial" w:cs="Times New Roman"/>
                <w:sz w:val="20"/>
                <w:szCs w:val="20"/>
              </w:rPr>
            </w:pPr>
            <w:r w:rsidRPr="00C53F00">
              <w:rPr>
                <w:rFonts w:eastAsia="Times New Roman" w:cs="Times New Roman"/>
                <w:sz w:val="20"/>
                <w:szCs w:val="20"/>
              </w:rPr>
              <w:t xml:space="preserve">Effectiveness of $5.14 billion of </w:t>
            </w:r>
            <w:r w:rsidR="00F85088">
              <w:rPr>
                <w:rFonts w:eastAsia="Times New Roman" w:cs="Times New Roman"/>
                <w:sz w:val="20"/>
                <w:szCs w:val="20"/>
              </w:rPr>
              <w:t>five</w:t>
            </w:r>
            <w:r w:rsidRPr="00C53F00">
              <w:rPr>
                <w:rFonts w:eastAsia="Times New Roman" w:cs="Times New Roman"/>
                <w:sz w:val="20"/>
                <w:szCs w:val="20"/>
              </w:rPr>
              <w:t xml:space="preserve"> social assistance programs (BSM, PKH, Raski</w:t>
            </w:r>
            <w:r w:rsidR="00F85088">
              <w:rPr>
                <w:rFonts w:eastAsia="Times New Roman" w:cs="Times New Roman"/>
                <w:sz w:val="20"/>
                <w:szCs w:val="20"/>
              </w:rPr>
              <w:t>n, Jamkesmas (health fee waiver for the poor) and a temporary unconditional cash transfer</w:t>
            </w:r>
            <w:r w:rsidRPr="00C53F00">
              <w:rPr>
                <w:rFonts w:eastAsia="Times New Roman" w:cs="Times New Roman"/>
                <w:sz w:val="20"/>
                <w:szCs w:val="20"/>
              </w:rPr>
              <w:t>) improved, since they reach the right beneficiaries. Benefits also overlap: PKH beneficiaries (extreme poor from bottom 10%) are also eligible for Raskin, BSM and Jamkesmas.</w:t>
            </w:r>
          </w:p>
        </w:tc>
      </w:tr>
      <w:tr w:rsidR="00651D9A" w:rsidRPr="00651D9A" w14:paraId="26ADEAA6" w14:textId="77777777" w:rsidTr="00F85088">
        <w:trPr>
          <w:jc w:val="center"/>
        </w:trPr>
        <w:tc>
          <w:tcPr>
            <w:tcW w:w="1928" w:type="dxa"/>
          </w:tcPr>
          <w:p w14:paraId="2DCCA93E" w14:textId="768557F8" w:rsidR="00651D9A" w:rsidRPr="00C53F00" w:rsidRDefault="00651D9A" w:rsidP="002920E7">
            <w:pPr>
              <w:spacing w:after="200" w:line="276" w:lineRule="auto"/>
              <w:rPr>
                <w:rFonts w:cs="Calibri"/>
                <w:sz w:val="20"/>
                <w:szCs w:val="20"/>
              </w:rPr>
            </w:pPr>
            <w:r w:rsidRPr="00C53F00">
              <w:rPr>
                <w:rFonts w:cs="Calibri"/>
                <w:sz w:val="20"/>
                <w:szCs w:val="20"/>
              </w:rPr>
              <w:t xml:space="preserve">5. Fuel subsidy reduction compensation program and social protection card </w:t>
            </w:r>
          </w:p>
        </w:tc>
        <w:tc>
          <w:tcPr>
            <w:tcW w:w="8118" w:type="dxa"/>
          </w:tcPr>
          <w:p w14:paraId="1F858CF6" w14:textId="06893E5D" w:rsidR="00651D9A" w:rsidRPr="00C53F00" w:rsidRDefault="00651D9A" w:rsidP="00BC0CB7">
            <w:pPr>
              <w:numPr>
                <w:ilvl w:val="0"/>
                <w:numId w:val="37"/>
              </w:numPr>
              <w:spacing w:after="200" w:line="276" w:lineRule="auto"/>
              <w:ind w:left="459"/>
              <w:contextualSpacing/>
              <w:jc w:val="both"/>
              <w:rPr>
                <w:rFonts w:eastAsia="Times New Roman" w:cs="Times New Roman"/>
                <w:sz w:val="20"/>
                <w:szCs w:val="20"/>
              </w:rPr>
            </w:pPr>
            <w:r w:rsidRPr="00C53F00">
              <w:rPr>
                <w:rFonts w:eastAsia="Times New Roman" w:cs="Times New Roman"/>
                <w:sz w:val="20"/>
                <w:szCs w:val="20"/>
              </w:rPr>
              <w:t xml:space="preserve">TNP2K compensation package enabled fuel subsidy reduction, and from the resulting savings $2 billion was reallocated to finance a temporary </w:t>
            </w:r>
            <w:r w:rsidR="00F85088">
              <w:rPr>
                <w:rFonts w:eastAsia="Times New Roman" w:cs="Times New Roman"/>
                <w:sz w:val="20"/>
                <w:szCs w:val="20"/>
              </w:rPr>
              <w:t xml:space="preserve">unconditional </w:t>
            </w:r>
            <w:r w:rsidRPr="00C53F00">
              <w:rPr>
                <w:rFonts w:eastAsia="Times New Roman" w:cs="Times New Roman"/>
                <w:sz w:val="20"/>
                <w:szCs w:val="20"/>
              </w:rPr>
              <w:t xml:space="preserve">cash transfer and expand Raskin, BSM and PKH reaching 65 million poor and vulnerable individuals identified through the UDB and issued with Social Protection Cards. </w:t>
            </w:r>
          </w:p>
          <w:p w14:paraId="617D803F" w14:textId="77777777" w:rsidR="00651D9A" w:rsidRPr="00C53F00" w:rsidRDefault="00651D9A" w:rsidP="00BC0CB7">
            <w:pPr>
              <w:numPr>
                <w:ilvl w:val="0"/>
                <w:numId w:val="37"/>
              </w:numPr>
              <w:ind w:left="459"/>
              <w:contextualSpacing/>
              <w:jc w:val="both"/>
              <w:rPr>
                <w:rFonts w:eastAsia="Times New Roman" w:cs="Times New Roman"/>
                <w:sz w:val="20"/>
                <w:szCs w:val="20"/>
              </w:rPr>
            </w:pPr>
            <w:r w:rsidRPr="00C53F00">
              <w:rPr>
                <w:rFonts w:eastAsia="Times New Roman" w:cs="Times New Roman"/>
                <w:sz w:val="20"/>
                <w:szCs w:val="20"/>
              </w:rPr>
              <w:t xml:space="preserve">The compensation package prevented a 2.5% rise in the poverty rate due to inflation from the fuel price increase, and kept 6 million individuals from falling below the poverty line. </w:t>
            </w:r>
          </w:p>
        </w:tc>
      </w:tr>
    </w:tbl>
    <w:p w14:paraId="748CBD80" w14:textId="77777777" w:rsidR="002920E7" w:rsidRDefault="002920E7" w:rsidP="00AD1D7C">
      <w:pPr>
        <w:spacing w:after="120"/>
        <w:rPr>
          <w:b/>
        </w:rPr>
      </w:pPr>
    </w:p>
    <w:p w14:paraId="2266D27D" w14:textId="77777777" w:rsidR="00781BBC" w:rsidRDefault="00781BBC">
      <w:pPr>
        <w:rPr>
          <w:b/>
        </w:rPr>
        <w:sectPr w:rsidR="00781BBC" w:rsidSect="00374313">
          <w:pgSz w:w="11906" w:h="16838"/>
          <w:pgMar w:top="1440" w:right="1440" w:bottom="1440" w:left="1440" w:header="708" w:footer="708" w:gutter="0"/>
          <w:cols w:space="708"/>
          <w:docGrid w:linePitch="360"/>
        </w:sectPr>
      </w:pPr>
    </w:p>
    <w:p w14:paraId="790F9C25" w14:textId="5DE96FCB" w:rsidR="00AD1D7C" w:rsidRPr="00C53F00" w:rsidRDefault="00AD1D7C" w:rsidP="00AD1D7C">
      <w:pPr>
        <w:spacing w:after="120"/>
        <w:rPr>
          <w:b/>
        </w:rPr>
      </w:pPr>
      <w:r w:rsidRPr="00C53F00">
        <w:rPr>
          <w:b/>
        </w:rPr>
        <w:t xml:space="preserve">Annex </w:t>
      </w:r>
      <w:r>
        <w:rPr>
          <w:b/>
        </w:rPr>
        <w:t>2</w:t>
      </w:r>
      <w:r w:rsidRPr="00C53F00">
        <w:rPr>
          <w:b/>
        </w:rPr>
        <w:t xml:space="preserve">. </w:t>
      </w:r>
      <w:r w:rsidR="00B52EBB">
        <w:rPr>
          <w:b/>
        </w:rPr>
        <w:t>Draft Risk M</w:t>
      </w:r>
      <w:r w:rsidR="00781BBC">
        <w:rPr>
          <w:b/>
        </w:rPr>
        <w:t>atrix</w:t>
      </w:r>
    </w:p>
    <w:tbl>
      <w:tblPr>
        <w:tblStyle w:val="LightList-Accent1"/>
        <w:tblW w:w="14477" w:type="dxa"/>
        <w:tblLook w:val="04A0" w:firstRow="1" w:lastRow="0" w:firstColumn="1" w:lastColumn="0" w:noHBand="0" w:noVBand="1"/>
      </w:tblPr>
      <w:tblGrid>
        <w:gridCol w:w="352"/>
        <w:gridCol w:w="3371"/>
        <w:gridCol w:w="1227"/>
        <w:gridCol w:w="1047"/>
        <w:gridCol w:w="924"/>
        <w:gridCol w:w="1051"/>
        <w:gridCol w:w="2864"/>
        <w:gridCol w:w="1353"/>
        <w:gridCol w:w="1173"/>
        <w:gridCol w:w="1115"/>
      </w:tblGrid>
      <w:tr w:rsidR="00B52EBB" w:rsidRPr="00FF4D02" w14:paraId="5533CAFF" w14:textId="77777777" w:rsidTr="0037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bottom w:val="nil"/>
            </w:tcBorders>
            <w:shd w:val="clear" w:color="auto" w:fill="C6D9F1" w:themeFill="text2" w:themeFillTint="33"/>
          </w:tcPr>
          <w:p w14:paraId="4D5A6324" w14:textId="77777777" w:rsidR="00781BBC" w:rsidRPr="00374313" w:rsidRDefault="00781BBC" w:rsidP="00781BBC">
            <w:pPr>
              <w:rPr>
                <w:rFonts w:ascii="Times New (W1)" w:eastAsia="Times New Roman" w:hAnsi="Times New (W1)" w:cs="Times New Roman"/>
                <w:b w:val="0"/>
                <w:color w:val="auto"/>
                <w:sz w:val="18"/>
                <w:szCs w:val="18"/>
                <w:lang w:eastAsia="en-AU"/>
              </w:rPr>
            </w:pPr>
            <w:r w:rsidRPr="00374313">
              <w:rPr>
                <w:rFonts w:ascii="Times New (W1)" w:eastAsia="Times New Roman" w:hAnsi="Times New (W1)" w:cs="Times New Roman"/>
                <w:color w:val="auto"/>
                <w:sz w:val="18"/>
                <w:szCs w:val="18"/>
                <w:lang w:eastAsia="en-AU"/>
              </w:rPr>
              <w:t>#</w:t>
            </w:r>
          </w:p>
        </w:tc>
        <w:tc>
          <w:tcPr>
            <w:tcW w:w="0" w:type="auto"/>
            <w:tcBorders>
              <w:top w:val="single" w:sz="8" w:space="0" w:color="4F81BD" w:themeColor="accent1"/>
              <w:bottom w:val="nil"/>
            </w:tcBorders>
            <w:shd w:val="clear" w:color="auto" w:fill="C6D9F1" w:themeFill="text2" w:themeFillTint="33"/>
          </w:tcPr>
          <w:p w14:paraId="1F9A35B2" w14:textId="77777777" w:rsidR="00781BBC" w:rsidRPr="00374313" w:rsidRDefault="00781BBC" w:rsidP="00781BBC">
            <w:pPr>
              <w:cnfStyle w:val="100000000000" w:firstRow="1" w:lastRow="0" w:firstColumn="0" w:lastColumn="0" w:oddVBand="0" w:evenVBand="0" w:oddHBand="0" w:evenHBand="0" w:firstRowFirstColumn="0" w:firstRowLastColumn="0" w:lastRowFirstColumn="0" w:lastRowLastColumn="0"/>
              <w:rPr>
                <w:rFonts w:ascii="Times New (W1)" w:eastAsia="Times New Roman" w:hAnsi="Times New (W1)" w:cs="Times New Roman"/>
                <w:b w:val="0"/>
                <w:color w:val="auto"/>
                <w:sz w:val="18"/>
                <w:szCs w:val="18"/>
                <w:lang w:eastAsia="en-AU"/>
              </w:rPr>
            </w:pPr>
            <w:r w:rsidRPr="00374313">
              <w:rPr>
                <w:rFonts w:ascii="Times New (W1)" w:eastAsia="Times New Roman" w:hAnsi="Times New (W1)" w:cs="Times New Roman"/>
                <w:color w:val="auto"/>
                <w:sz w:val="18"/>
                <w:szCs w:val="18"/>
                <w:lang w:eastAsia="en-AU"/>
              </w:rPr>
              <w:t>Risk</w:t>
            </w:r>
          </w:p>
        </w:tc>
        <w:tc>
          <w:tcPr>
            <w:tcW w:w="0" w:type="auto"/>
            <w:tcBorders>
              <w:top w:val="single" w:sz="8" w:space="0" w:color="4F81BD" w:themeColor="accent1"/>
              <w:bottom w:val="nil"/>
            </w:tcBorders>
            <w:shd w:val="clear" w:color="auto" w:fill="C6D9F1" w:themeFill="text2" w:themeFillTint="33"/>
          </w:tcPr>
          <w:p w14:paraId="7A0AAA6D" w14:textId="77777777" w:rsidR="00781BBC" w:rsidRPr="00374313" w:rsidRDefault="00781BBC" w:rsidP="00781BBC">
            <w:pPr>
              <w:cnfStyle w:val="100000000000" w:firstRow="1" w:lastRow="0" w:firstColumn="0" w:lastColumn="0" w:oddVBand="0" w:evenVBand="0" w:oddHBand="0" w:evenHBand="0" w:firstRowFirstColumn="0" w:firstRowLastColumn="0" w:lastRowFirstColumn="0" w:lastRowLastColumn="0"/>
              <w:rPr>
                <w:rFonts w:ascii="Times New (W1)" w:eastAsia="Times New Roman" w:hAnsi="Times New (W1)" w:cs="Times New Roman"/>
                <w:b w:val="0"/>
                <w:color w:val="auto"/>
                <w:sz w:val="18"/>
                <w:szCs w:val="18"/>
                <w:lang w:eastAsia="en-AU"/>
              </w:rPr>
            </w:pPr>
            <w:r w:rsidRPr="00374313">
              <w:rPr>
                <w:rFonts w:ascii="Times New (W1)" w:eastAsia="Times New Roman" w:hAnsi="Times New (W1)" w:cs="Times New Roman"/>
                <w:color w:val="auto"/>
                <w:sz w:val="18"/>
                <w:szCs w:val="18"/>
                <w:lang w:eastAsia="en-AU"/>
              </w:rPr>
              <w:t>Consequence</w:t>
            </w:r>
          </w:p>
        </w:tc>
        <w:tc>
          <w:tcPr>
            <w:tcW w:w="0" w:type="auto"/>
            <w:tcBorders>
              <w:top w:val="single" w:sz="8" w:space="0" w:color="4F81BD" w:themeColor="accent1"/>
              <w:bottom w:val="nil"/>
            </w:tcBorders>
            <w:shd w:val="clear" w:color="auto" w:fill="C6D9F1" w:themeFill="text2" w:themeFillTint="33"/>
          </w:tcPr>
          <w:p w14:paraId="063923B8" w14:textId="77777777" w:rsidR="00781BBC" w:rsidRPr="00374313" w:rsidRDefault="00781BBC" w:rsidP="00781BBC">
            <w:pPr>
              <w:cnfStyle w:val="100000000000" w:firstRow="1" w:lastRow="0" w:firstColumn="0" w:lastColumn="0" w:oddVBand="0" w:evenVBand="0" w:oddHBand="0" w:evenHBand="0" w:firstRowFirstColumn="0" w:firstRowLastColumn="0" w:lastRowFirstColumn="0" w:lastRowLastColumn="0"/>
              <w:rPr>
                <w:rFonts w:ascii="Times New (W1)" w:eastAsia="Times New Roman" w:hAnsi="Times New (W1)" w:cs="Times New Roman"/>
                <w:b w:val="0"/>
                <w:color w:val="auto"/>
                <w:sz w:val="18"/>
                <w:szCs w:val="18"/>
                <w:lang w:eastAsia="en-AU"/>
              </w:rPr>
            </w:pPr>
            <w:r w:rsidRPr="00374313">
              <w:rPr>
                <w:rFonts w:ascii="Times New (W1)" w:eastAsia="Times New Roman" w:hAnsi="Times New (W1)" w:cs="Times New Roman"/>
                <w:color w:val="auto"/>
                <w:sz w:val="18"/>
                <w:szCs w:val="18"/>
                <w:lang w:eastAsia="en-AU"/>
              </w:rPr>
              <w:t>Likelihood</w:t>
            </w:r>
          </w:p>
        </w:tc>
        <w:tc>
          <w:tcPr>
            <w:tcW w:w="0" w:type="auto"/>
            <w:tcBorders>
              <w:top w:val="single" w:sz="8" w:space="0" w:color="4F81BD" w:themeColor="accent1"/>
              <w:bottom w:val="nil"/>
            </w:tcBorders>
            <w:shd w:val="clear" w:color="auto" w:fill="C6D9F1" w:themeFill="text2" w:themeFillTint="33"/>
          </w:tcPr>
          <w:p w14:paraId="591BF095" w14:textId="77777777" w:rsidR="00781BBC" w:rsidRPr="00374313" w:rsidRDefault="00781BBC" w:rsidP="00781BBC">
            <w:pPr>
              <w:cnfStyle w:val="100000000000" w:firstRow="1" w:lastRow="0" w:firstColumn="0" w:lastColumn="0" w:oddVBand="0" w:evenVBand="0" w:oddHBand="0" w:evenHBand="0" w:firstRowFirstColumn="0" w:firstRowLastColumn="0" w:lastRowFirstColumn="0" w:lastRowLastColumn="0"/>
              <w:rPr>
                <w:rFonts w:ascii="Times New (W1)" w:eastAsia="Times New Roman" w:hAnsi="Times New (W1)" w:cs="Times New Roman"/>
                <w:b w:val="0"/>
                <w:color w:val="auto"/>
                <w:sz w:val="18"/>
                <w:szCs w:val="18"/>
                <w:lang w:eastAsia="en-AU"/>
              </w:rPr>
            </w:pPr>
            <w:r w:rsidRPr="00374313">
              <w:rPr>
                <w:rFonts w:ascii="Times New (W1)" w:eastAsia="Times New Roman" w:hAnsi="Times New (W1)" w:cs="Times New Roman"/>
                <w:color w:val="auto"/>
                <w:sz w:val="18"/>
                <w:szCs w:val="18"/>
                <w:lang w:eastAsia="en-AU"/>
              </w:rPr>
              <w:t>Risk Rating</w:t>
            </w:r>
          </w:p>
        </w:tc>
        <w:tc>
          <w:tcPr>
            <w:tcW w:w="0" w:type="auto"/>
            <w:tcBorders>
              <w:top w:val="single" w:sz="8" w:space="0" w:color="4F81BD" w:themeColor="accent1"/>
              <w:bottom w:val="nil"/>
            </w:tcBorders>
            <w:shd w:val="clear" w:color="auto" w:fill="C6D9F1" w:themeFill="text2" w:themeFillTint="33"/>
          </w:tcPr>
          <w:p w14:paraId="1FE95A73" w14:textId="2F63C639" w:rsidR="00781BBC" w:rsidRPr="00374313" w:rsidRDefault="00781BBC" w:rsidP="00781BBC">
            <w:pPr>
              <w:cnfStyle w:val="100000000000" w:firstRow="1" w:lastRow="0" w:firstColumn="0" w:lastColumn="0" w:oddVBand="0" w:evenVBand="0" w:oddHBand="0" w:evenHBand="0" w:firstRowFirstColumn="0" w:firstRowLastColumn="0" w:lastRowFirstColumn="0" w:lastRowLastColumn="0"/>
              <w:rPr>
                <w:rFonts w:ascii="Times New (W1)" w:eastAsia="Times New Roman" w:hAnsi="Times New (W1)" w:cs="Times New Roman"/>
                <w:b w:val="0"/>
                <w:color w:val="auto"/>
                <w:sz w:val="18"/>
                <w:szCs w:val="18"/>
                <w:lang w:eastAsia="en-AU"/>
              </w:rPr>
            </w:pPr>
            <w:r w:rsidRPr="00374313">
              <w:rPr>
                <w:rFonts w:ascii="Times New (W1)" w:eastAsia="Times New Roman" w:hAnsi="Times New (W1)" w:cs="Times New Roman"/>
                <w:color w:val="auto"/>
                <w:sz w:val="18"/>
                <w:szCs w:val="18"/>
                <w:lang w:eastAsia="en-AU"/>
              </w:rPr>
              <w:t>Extent of influence of program</w:t>
            </w:r>
          </w:p>
        </w:tc>
        <w:tc>
          <w:tcPr>
            <w:tcW w:w="0" w:type="auto"/>
            <w:tcBorders>
              <w:top w:val="single" w:sz="8" w:space="0" w:color="4F81BD" w:themeColor="accent1"/>
              <w:bottom w:val="nil"/>
            </w:tcBorders>
            <w:shd w:val="clear" w:color="auto" w:fill="C6D9F1" w:themeFill="text2" w:themeFillTint="33"/>
          </w:tcPr>
          <w:p w14:paraId="563FAAD8" w14:textId="77777777" w:rsidR="00781BBC" w:rsidRPr="00374313" w:rsidRDefault="00781BBC" w:rsidP="00781BBC">
            <w:pPr>
              <w:cnfStyle w:val="100000000000" w:firstRow="1" w:lastRow="0" w:firstColumn="0" w:lastColumn="0" w:oddVBand="0" w:evenVBand="0" w:oddHBand="0" w:evenHBand="0" w:firstRowFirstColumn="0" w:firstRowLastColumn="0" w:lastRowFirstColumn="0" w:lastRowLastColumn="0"/>
              <w:rPr>
                <w:rFonts w:ascii="Times New (W1)" w:eastAsia="Times New Roman" w:hAnsi="Times New (W1)" w:cs="Times New Roman"/>
                <w:b w:val="0"/>
                <w:color w:val="auto"/>
                <w:sz w:val="18"/>
                <w:szCs w:val="18"/>
                <w:lang w:eastAsia="en-AU"/>
              </w:rPr>
            </w:pPr>
            <w:r w:rsidRPr="00374313">
              <w:rPr>
                <w:rFonts w:ascii="Times New (W1)" w:eastAsia="Times New Roman" w:hAnsi="Times New (W1)" w:cs="Times New Roman"/>
                <w:color w:val="auto"/>
                <w:sz w:val="18"/>
                <w:szCs w:val="18"/>
                <w:lang w:eastAsia="en-AU"/>
              </w:rPr>
              <w:t>Proposed Treatment</w:t>
            </w:r>
          </w:p>
        </w:tc>
        <w:tc>
          <w:tcPr>
            <w:tcW w:w="0" w:type="auto"/>
            <w:tcBorders>
              <w:top w:val="single" w:sz="8" w:space="0" w:color="4F81BD" w:themeColor="accent1"/>
              <w:bottom w:val="nil"/>
            </w:tcBorders>
            <w:shd w:val="clear" w:color="auto" w:fill="C6D9F1" w:themeFill="text2" w:themeFillTint="33"/>
          </w:tcPr>
          <w:p w14:paraId="6389FBBB" w14:textId="77777777" w:rsidR="00781BBC" w:rsidRPr="00374313" w:rsidRDefault="00781BBC" w:rsidP="00781BBC">
            <w:pPr>
              <w:cnfStyle w:val="100000000000" w:firstRow="1" w:lastRow="0" w:firstColumn="0" w:lastColumn="0" w:oddVBand="0" w:evenVBand="0" w:oddHBand="0" w:evenHBand="0" w:firstRowFirstColumn="0" w:firstRowLastColumn="0" w:lastRowFirstColumn="0" w:lastRowLastColumn="0"/>
              <w:rPr>
                <w:rFonts w:ascii="Times New (W1)" w:eastAsia="Times New Roman" w:hAnsi="Times New (W1)" w:cs="Times New Roman"/>
                <w:b w:val="0"/>
                <w:color w:val="auto"/>
                <w:sz w:val="18"/>
                <w:szCs w:val="18"/>
                <w:lang w:eastAsia="en-AU"/>
              </w:rPr>
            </w:pPr>
            <w:r w:rsidRPr="00374313">
              <w:rPr>
                <w:rFonts w:ascii="Times New (W1)" w:eastAsia="Times New Roman" w:hAnsi="Times New (W1)" w:cs="Times New Roman"/>
                <w:color w:val="auto"/>
                <w:sz w:val="18"/>
                <w:szCs w:val="18"/>
                <w:lang w:eastAsia="en-AU"/>
              </w:rPr>
              <w:t>Consequence following treatment</w:t>
            </w:r>
          </w:p>
        </w:tc>
        <w:tc>
          <w:tcPr>
            <w:tcW w:w="0" w:type="auto"/>
            <w:tcBorders>
              <w:top w:val="single" w:sz="8" w:space="0" w:color="4F81BD" w:themeColor="accent1"/>
              <w:bottom w:val="nil"/>
            </w:tcBorders>
            <w:shd w:val="clear" w:color="auto" w:fill="C6D9F1" w:themeFill="text2" w:themeFillTint="33"/>
          </w:tcPr>
          <w:p w14:paraId="3F8B17EA" w14:textId="77777777" w:rsidR="00781BBC" w:rsidRPr="00374313" w:rsidRDefault="00781BBC" w:rsidP="00781BBC">
            <w:pPr>
              <w:cnfStyle w:val="100000000000" w:firstRow="1" w:lastRow="0" w:firstColumn="0" w:lastColumn="0" w:oddVBand="0" w:evenVBand="0" w:oddHBand="0" w:evenHBand="0" w:firstRowFirstColumn="0" w:firstRowLastColumn="0" w:lastRowFirstColumn="0" w:lastRowLastColumn="0"/>
              <w:rPr>
                <w:rFonts w:ascii="Times New (W1)" w:eastAsia="Times New Roman" w:hAnsi="Times New (W1)" w:cs="Times New Roman"/>
                <w:b w:val="0"/>
                <w:color w:val="auto"/>
                <w:sz w:val="18"/>
                <w:szCs w:val="18"/>
                <w:lang w:eastAsia="en-AU"/>
              </w:rPr>
            </w:pPr>
            <w:r w:rsidRPr="00374313">
              <w:rPr>
                <w:rFonts w:ascii="Times New (W1)" w:eastAsia="Times New Roman" w:hAnsi="Times New (W1)" w:cs="Times New Roman"/>
                <w:color w:val="auto"/>
                <w:sz w:val="18"/>
                <w:szCs w:val="18"/>
                <w:lang w:eastAsia="en-AU"/>
              </w:rPr>
              <w:t>Likelihood following treatment</w:t>
            </w:r>
          </w:p>
        </w:tc>
        <w:tc>
          <w:tcPr>
            <w:tcW w:w="0" w:type="auto"/>
            <w:tcBorders>
              <w:top w:val="single" w:sz="8" w:space="0" w:color="4F81BD" w:themeColor="accent1"/>
              <w:bottom w:val="nil"/>
            </w:tcBorders>
            <w:shd w:val="clear" w:color="auto" w:fill="C6D9F1" w:themeFill="text2" w:themeFillTint="33"/>
          </w:tcPr>
          <w:p w14:paraId="562143D3" w14:textId="77777777" w:rsidR="00781BBC" w:rsidRPr="00374313" w:rsidRDefault="00781BBC" w:rsidP="00781BBC">
            <w:pPr>
              <w:cnfStyle w:val="100000000000" w:firstRow="1" w:lastRow="0" w:firstColumn="0" w:lastColumn="0" w:oddVBand="0" w:evenVBand="0" w:oddHBand="0" w:evenHBand="0" w:firstRowFirstColumn="0" w:firstRowLastColumn="0" w:lastRowFirstColumn="0" w:lastRowLastColumn="0"/>
              <w:rPr>
                <w:rFonts w:ascii="Times New (W1)" w:eastAsia="Times New Roman" w:hAnsi="Times New (W1)" w:cs="Times New Roman"/>
                <w:b w:val="0"/>
                <w:color w:val="auto"/>
                <w:sz w:val="18"/>
                <w:szCs w:val="18"/>
                <w:lang w:eastAsia="en-AU"/>
              </w:rPr>
            </w:pPr>
            <w:r w:rsidRPr="00374313">
              <w:rPr>
                <w:rFonts w:ascii="Times New (W1)" w:eastAsia="Times New Roman" w:hAnsi="Times New (W1)" w:cs="Times New Roman"/>
                <w:color w:val="auto"/>
                <w:sz w:val="18"/>
                <w:szCs w:val="18"/>
                <w:lang w:eastAsia="en-AU"/>
              </w:rPr>
              <w:t>Risk Rating following treatment</w:t>
            </w:r>
          </w:p>
        </w:tc>
      </w:tr>
      <w:tr w:rsidR="00B52EBB" w:rsidRPr="00FF4D02" w14:paraId="49EA65D0" w14:textId="77777777" w:rsidTr="0078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41ECE6" w14:textId="77777777" w:rsidR="00781BBC" w:rsidRPr="00FF4D02" w:rsidRDefault="00781BBC" w:rsidP="00781BBC">
            <w:pPr>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1</w:t>
            </w:r>
          </w:p>
        </w:tc>
        <w:tc>
          <w:tcPr>
            <w:tcW w:w="0" w:type="auto"/>
          </w:tcPr>
          <w:p w14:paraId="09CA8D7C" w14:textId="77777777" w:rsidR="00781BBC" w:rsidRPr="00A86EE0" w:rsidRDefault="00781BBC" w:rsidP="00781BBC">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A86EE0">
              <w:rPr>
                <w:rFonts w:ascii="Times New Roman" w:hAnsi="Times New Roman" w:cs="Times New Roman"/>
                <w:color w:val="000000"/>
                <w:sz w:val="18"/>
                <w:szCs w:val="18"/>
              </w:rPr>
              <w:t xml:space="preserve">The transition plan for the Unified Database </w:t>
            </w:r>
            <w:r w:rsidRPr="00A86EE0">
              <w:rPr>
                <w:rFonts w:ascii="Times New Roman" w:eastAsia="Times New Roman" w:hAnsi="Times New Roman" w:cs="Times New Roman"/>
                <w:sz w:val="18"/>
                <w:szCs w:val="18"/>
              </w:rPr>
              <w:t>from</w:t>
            </w:r>
            <w:r w:rsidRPr="00A86EE0">
              <w:rPr>
                <w:rFonts w:ascii="Times New Roman" w:hAnsi="Times New Roman" w:cs="Times New Roman"/>
                <w:color w:val="000000"/>
                <w:sz w:val="18"/>
                <w:szCs w:val="18"/>
              </w:rPr>
              <w:t xml:space="preserve"> TNP2K is not clearly determined/adequately actioned in the first 6 months of the program due to delays in its institutional home being determined, leading to an expectation of increased financial commitment from DFAT.</w:t>
            </w:r>
          </w:p>
          <w:p w14:paraId="7929EC6C" w14:textId="63262886" w:rsidR="00781BBC" w:rsidRPr="00FF4D02" w:rsidRDefault="00781BBC" w:rsidP="00781BBC">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p>
        </w:tc>
        <w:tc>
          <w:tcPr>
            <w:tcW w:w="0" w:type="auto"/>
          </w:tcPr>
          <w:p w14:paraId="585FE644" w14:textId="720674B4" w:rsidR="00781BBC" w:rsidRPr="00FF4D02" w:rsidRDefault="00781BBC" w:rsidP="00781BBC">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c>
          <w:tcPr>
            <w:tcW w:w="0" w:type="auto"/>
          </w:tcPr>
          <w:p w14:paraId="7211A248" w14:textId="7CB800D1" w:rsidR="00781BBC" w:rsidRPr="00FF4D02" w:rsidRDefault="00781BBC" w:rsidP="00781BBC">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0" w:type="auto"/>
          </w:tcPr>
          <w:p w14:paraId="298B8D5B" w14:textId="1CFD8B78" w:rsidR="00781BBC" w:rsidRPr="00FF4D02" w:rsidRDefault="00781BBC" w:rsidP="00781BBC">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 xml:space="preserve">High </w:t>
            </w:r>
          </w:p>
        </w:tc>
        <w:tc>
          <w:tcPr>
            <w:tcW w:w="0" w:type="auto"/>
          </w:tcPr>
          <w:p w14:paraId="69BAB6CB" w14:textId="77777777" w:rsidR="00781BBC" w:rsidRPr="00FF4D02" w:rsidRDefault="00781BBC" w:rsidP="00781BBC">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Moderate</w:t>
            </w:r>
          </w:p>
        </w:tc>
        <w:tc>
          <w:tcPr>
            <w:tcW w:w="0" w:type="auto"/>
          </w:tcPr>
          <w:p w14:paraId="3B0388AD" w14:textId="351B047B" w:rsidR="00781BBC" w:rsidRPr="00FF4D02" w:rsidRDefault="00781BBC" w:rsidP="00A86EE0">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 xml:space="preserve">Engagement from July 2014 with TNP2K and relevant institutions on development of a transition plan; advise relevant partners of planned end date of funding for the database and work to support the relevant institution </w:t>
            </w:r>
            <w:r w:rsidR="00A86EE0">
              <w:rPr>
                <w:rFonts w:ascii="Times New (W1)" w:eastAsia="Times New Roman" w:hAnsi="Times New (W1)" w:cs="Times New Roman"/>
                <w:sz w:val="18"/>
                <w:szCs w:val="18"/>
                <w:lang w:eastAsia="en-AU"/>
              </w:rPr>
              <w:t>to ensure it is resourced in the national budget from 2016</w:t>
            </w:r>
          </w:p>
        </w:tc>
        <w:tc>
          <w:tcPr>
            <w:tcW w:w="0" w:type="auto"/>
          </w:tcPr>
          <w:p w14:paraId="119F2327" w14:textId="3689BE32" w:rsidR="00781BBC" w:rsidRPr="00FF4D02" w:rsidRDefault="00A86EE0" w:rsidP="00781BBC">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Minor</w:t>
            </w:r>
          </w:p>
        </w:tc>
        <w:tc>
          <w:tcPr>
            <w:tcW w:w="0" w:type="auto"/>
          </w:tcPr>
          <w:p w14:paraId="21143B87" w14:textId="3880657B" w:rsidR="00781BBC" w:rsidRPr="00FF4D02" w:rsidRDefault="00A86EE0" w:rsidP="00781BBC">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0" w:type="auto"/>
          </w:tcPr>
          <w:p w14:paraId="203C71E7" w14:textId="77777777" w:rsidR="00781BBC" w:rsidRPr="00FF4D02" w:rsidRDefault="00781BBC" w:rsidP="00781BBC">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r>
      <w:tr w:rsidR="00B52EBB" w:rsidRPr="00FF4D02" w14:paraId="026E865C" w14:textId="77777777" w:rsidTr="00781BBC">
        <w:tc>
          <w:tcPr>
            <w:cnfStyle w:val="001000000000" w:firstRow="0" w:lastRow="0" w:firstColumn="1" w:lastColumn="0" w:oddVBand="0" w:evenVBand="0" w:oddHBand="0" w:evenHBand="0" w:firstRowFirstColumn="0" w:firstRowLastColumn="0" w:lastRowFirstColumn="0" w:lastRowLastColumn="0"/>
            <w:tcW w:w="0" w:type="auto"/>
          </w:tcPr>
          <w:p w14:paraId="4050AD8F" w14:textId="77777777" w:rsidR="00781BBC" w:rsidRPr="00FF4D02" w:rsidRDefault="00781BBC" w:rsidP="00781BBC">
            <w:pPr>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2</w:t>
            </w:r>
          </w:p>
        </w:tc>
        <w:tc>
          <w:tcPr>
            <w:tcW w:w="0" w:type="auto"/>
          </w:tcPr>
          <w:p w14:paraId="721F2E59" w14:textId="2778FA91" w:rsidR="00781BBC" w:rsidRPr="00FF4D02" w:rsidRDefault="00A86EE0" w:rsidP="00781BBC">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Politicians are resistant to changes in social protection policy due to opposition to social protection reform or other ideological reasons, or because reforms challenge long held control over program budgets.</w:t>
            </w:r>
          </w:p>
        </w:tc>
        <w:tc>
          <w:tcPr>
            <w:tcW w:w="0" w:type="auto"/>
          </w:tcPr>
          <w:p w14:paraId="3141FFA6" w14:textId="6AC9C38F" w:rsidR="00781BBC" w:rsidRPr="00FF4D02" w:rsidRDefault="00A86EE0" w:rsidP="00781BBC">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c>
          <w:tcPr>
            <w:tcW w:w="0" w:type="auto"/>
          </w:tcPr>
          <w:p w14:paraId="4BF94BC3" w14:textId="77777777" w:rsidR="00781BBC" w:rsidRPr="00FF4D02" w:rsidRDefault="00781BBC" w:rsidP="00781BBC">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Possible</w:t>
            </w:r>
          </w:p>
        </w:tc>
        <w:tc>
          <w:tcPr>
            <w:tcW w:w="0" w:type="auto"/>
          </w:tcPr>
          <w:p w14:paraId="35DC441E" w14:textId="77777777" w:rsidR="00781BBC" w:rsidRPr="00FF4D02" w:rsidRDefault="00781BBC" w:rsidP="00781BBC">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High</w:t>
            </w:r>
          </w:p>
        </w:tc>
        <w:tc>
          <w:tcPr>
            <w:tcW w:w="0" w:type="auto"/>
          </w:tcPr>
          <w:p w14:paraId="5E2E094A" w14:textId="77777777" w:rsidR="00781BBC" w:rsidRPr="00FF4D02" w:rsidRDefault="00781BBC" w:rsidP="00781BBC">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Moderate</w:t>
            </w:r>
          </w:p>
        </w:tc>
        <w:tc>
          <w:tcPr>
            <w:tcW w:w="0" w:type="auto"/>
          </w:tcPr>
          <w:p w14:paraId="27274648" w14:textId="4E6ADC77" w:rsidR="00781BBC" w:rsidRPr="00FF4D02" w:rsidRDefault="00A86EE0" w:rsidP="00781BBC">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Utilise up to date stakeholder analyses to engage actively with members of parliament, Ministers, and senior officials. Ensure designs of activities going forward take these analyses into account and that activity goals are achievable, with a credible theory of change.</w:t>
            </w:r>
          </w:p>
        </w:tc>
        <w:tc>
          <w:tcPr>
            <w:tcW w:w="0" w:type="auto"/>
          </w:tcPr>
          <w:p w14:paraId="28C00F4D" w14:textId="1E50C9E7" w:rsidR="00781BBC" w:rsidRPr="00FF4D02" w:rsidRDefault="00A86EE0" w:rsidP="00781BBC">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Minor</w:t>
            </w:r>
          </w:p>
        </w:tc>
        <w:tc>
          <w:tcPr>
            <w:tcW w:w="0" w:type="auto"/>
          </w:tcPr>
          <w:p w14:paraId="6B17B9F6" w14:textId="12EBB7FF" w:rsidR="00781BBC" w:rsidRPr="00FF4D02" w:rsidRDefault="00A86EE0" w:rsidP="00781BBC">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Unlikely</w:t>
            </w:r>
          </w:p>
        </w:tc>
        <w:tc>
          <w:tcPr>
            <w:tcW w:w="0" w:type="auto"/>
          </w:tcPr>
          <w:p w14:paraId="08460D07" w14:textId="798A6C63" w:rsidR="00781BBC" w:rsidRPr="00FF4D02" w:rsidRDefault="00A86EE0" w:rsidP="00781BBC">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Low</w:t>
            </w:r>
          </w:p>
        </w:tc>
      </w:tr>
      <w:tr w:rsidR="00B52EBB" w:rsidRPr="00FF4D02" w14:paraId="11CDFE7C" w14:textId="77777777" w:rsidTr="0078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5252F77" w14:textId="77777777" w:rsidR="00781BBC" w:rsidRPr="00FF4D02" w:rsidRDefault="00781BBC" w:rsidP="00781BBC">
            <w:pPr>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3</w:t>
            </w:r>
          </w:p>
        </w:tc>
        <w:tc>
          <w:tcPr>
            <w:tcW w:w="0" w:type="auto"/>
          </w:tcPr>
          <w:p w14:paraId="5E9AE357" w14:textId="1C6338DD" w:rsidR="00781BBC" w:rsidRPr="00FF4D02" w:rsidRDefault="00A86EE0" w:rsidP="00781BBC">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Civil servants that support the program interventions are replaced with people who do not understand/support social protection due to staff rotation policies, risking losses in capacity building and progress in implementation.</w:t>
            </w:r>
          </w:p>
        </w:tc>
        <w:tc>
          <w:tcPr>
            <w:tcW w:w="0" w:type="auto"/>
          </w:tcPr>
          <w:p w14:paraId="77105BCA" w14:textId="19B233E9" w:rsidR="00781BBC" w:rsidRPr="00FF4D02" w:rsidRDefault="00A86EE0" w:rsidP="00781BBC">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Minor</w:t>
            </w:r>
          </w:p>
        </w:tc>
        <w:tc>
          <w:tcPr>
            <w:tcW w:w="0" w:type="auto"/>
          </w:tcPr>
          <w:p w14:paraId="499E56C2" w14:textId="5A11BD83" w:rsidR="00781BBC" w:rsidRPr="00FF4D02" w:rsidRDefault="00A86EE0" w:rsidP="00781BBC">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0" w:type="auto"/>
          </w:tcPr>
          <w:p w14:paraId="5A732C6A" w14:textId="1FF7EFB7" w:rsidR="00781BBC" w:rsidRPr="00FF4D02" w:rsidRDefault="00A86EE0" w:rsidP="00781BBC">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c>
          <w:tcPr>
            <w:tcW w:w="0" w:type="auto"/>
          </w:tcPr>
          <w:p w14:paraId="0F7BB37B" w14:textId="77777777" w:rsidR="00781BBC" w:rsidRPr="00FF4D02" w:rsidRDefault="00781BBC" w:rsidP="00781BBC">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High</w:t>
            </w:r>
          </w:p>
        </w:tc>
        <w:tc>
          <w:tcPr>
            <w:tcW w:w="0" w:type="auto"/>
          </w:tcPr>
          <w:p w14:paraId="17A1286A" w14:textId="7CF4B914" w:rsidR="00781BBC" w:rsidRPr="00FF4D02" w:rsidRDefault="00B52EBB" w:rsidP="00B52EBB">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Support for interventions from GOI partners to be sought at multiple levels, to ensure comprehensive buy-in for DFAT supported work. Where relevant, training in key technical areas is supplied for officials in order to support them to fulfil their mandates.</w:t>
            </w:r>
          </w:p>
        </w:tc>
        <w:tc>
          <w:tcPr>
            <w:tcW w:w="0" w:type="auto"/>
          </w:tcPr>
          <w:p w14:paraId="1C981CDD" w14:textId="2CD96F78" w:rsidR="00781BBC" w:rsidRPr="00B52EBB" w:rsidRDefault="00781BBC" w:rsidP="00B52EBB">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p>
        </w:tc>
        <w:tc>
          <w:tcPr>
            <w:tcW w:w="0" w:type="auto"/>
          </w:tcPr>
          <w:p w14:paraId="12980029" w14:textId="2595BDF9" w:rsidR="00781BBC" w:rsidRPr="00A86EE0" w:rsidRDefault="00781BBC" w:rsidP="00A86EE0">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p>
        </w:tc>
        <w:tc>
          <w:tcPr>
            <w:tcW w:w="0" w:type="auto"/>
          </w:tcPr>
          <w:p w14:paraId="6C4AEF5F" w14:textId="7886B2C6" w:rsidR="00781BBC" w:rsidRPr="00B52EBB" w:rsidRDefault="00B52EBB" w:rsidP="00B52EBB">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Risk rating accepted as Moderate</w:t>
            </w:r>
          </w:p>
        </w:tc>
      </w:tr>
      <w:tr w:rsidR="00B52EBB" w:rsidRPr="00FF4D02" w14:paraId="0BD307D6" w14:textId="77777777" w:rsidTr="00781BBC">
        <w:tc>
          <w:tcPr>
            <w:cnfStyle w:val="001000000000" w:firstRow="0" w:lastRow="0" w:firstColumn="1" w:lastColumn="0" w:oddVBand="0" w:evenVBand="0" w:oddHBand="0" w:evenHBand="0" w:firstRowFirstColumn="0" w:firstRowLastColumn="0" w:lastRowFirstColumn="0" w:lastRowLastColumn="0"/>
            <w:tcW w:w="0" w:type="auto"/>
          </w:tcPr>
          <w:p w14:paraId="26A88EF9" w14:textId="77777777" w:rsidR="00781BBC" w:rsidRPr="00FF4D02" w:rsidRDefault="00781BBC" w:rsidP="00781BBC">
            <w:pPr>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4.</w:t>
            </w:r>
          </w:p>
        </w:tc>
        <w:tc>
          <w:tcPr>
            <w:tcW w:w="0" w:type="auto"/>
          </w:tcPr>
          <w:p w14:paraId="2B81BB94" w14:textId="2336085F" w:rsidR="00781BBC" w:rsidRPr="00FF4D02" w:rsidRDefault="00B52EBB" w:rsidP="00781BBC">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DFAT may not have full oversight over all initiatives due to the high reliance on implementing partners to manage a large number of activities with a wide range of partners. This could lead to activities that do not align with DFAT’s interests and poor value for money interventions.</w:t>
            </w:r>
          </w:p>
        </w:tc>
        <w:tc>
          <w:tcPr>
            <w:tcW w:w="0" w:type="auto"/>
          </w:tcPr>
          <w:p w14:paraId="2B05DD6E" w14:textId="5243CF7D" w:rsidR="00781BBC" w:rsidRPr="00FF4D02" w:rsidRDefault="00B52EBB" w:rsidP="00781BBC">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 xml:space="preserve">Moderate </w:t>
            </w:r>
          </w:p>
        </w:tc>
        <w:tc>
          <w:tcPr>
            <w:tcW w:w="0" w:type="auto"/>
          </w:tcPr>
          <w:p w14:paraId="1B0C9570" w14:textId="2D1101FF" w:rsidR="00781BBC" w:rsidRPr="00FF4D02" w:rsidRDefault="00B52EBB" w:rsidP="00781BBC">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Unlikely</w:t>
            </w:r>
          </w:p>
        </w:tc>
        <w:tc>
          <w:tcPr>
            <w:tcW w:w="0" w:type="auto"/>
          </w:tcPr>
          <w:p w14:paraId="4CCDA04F" w14:textId="3B5D09F5" w:rsidR="00781BBC" w:rsidRPr="00FF4D02" w:rsidRDefault="00B52EBB" w:rsidP="00781BBC">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c>
          <w:tcPr>
            <w:tcW w:w="0" w:type="auto"/>
          </w:tcPr>
          <w:p w14:paraId="078BE080" w14:textId="77777777" w:rsidR="00781BBC" w:rsidRPr="00FF4D02" w:rsidRDefault="00781BBC" w:rsidP="00781BBC">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Low</w:t>
            </w:r>
          </w:p>
        </w:tc>
        <w:tc>
          <w:tcPr>
            <w:tcW w:w="0" w:type="auto"/>
          </w:tcPr>
          <w:p w14:paraId="1C305443" w14:textId="1B721FC2" w:rsidR="00781BBC" w:rsidRPr="00FF4D02" w:rsidRDefault="00B52EBB" w:rsidP="00781BBC">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Clear parameters will be set with the implementing partners; regular communication protocols to be set up; partners to confirm their understanding of DFAT requirements and expectations from the outset of the program.</w:t>
            </w:r>
          </w:p>
        </w:tc>
        <w:tc>
          <w:tcPr>
            <w:tcW w:w="0" w:type="auto"/>
          </w:tcPr>
          <w:p w14:paraId="051D45F1" w14:textId="1C1BFEAD" w:rsidR="00781BBC" w:rsidRPr="00FF4D02" w:rsidRDefault="00B52EBB" w:rsidP="00781BBC">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Minor</w:t>
            </w:r>
          </w:p>
        </w:tc>
        <w:tc>
          <w:tcPr>
            <w:tcW w:w="0" w:type="auto"/>
          </w:tcPr>
          <w:p w14:paraId="4F10D97C" w14:textId="74393A9D" w:rsidR="00781BBC" w:rsidRPr="00FF4D02" w:rsidRDefault="00B52EBB" w:rsidP="00781BBC">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Rare</w:t>
            </w:r>
          </w:p>
        </w:tc>
        <w:tc>
          <w:tcPr>
            <w:tcW w:w="0" w:type="auto"/>
          </w:tcPr>
          <w:p w14:paraId="547446F5" w14:textId="2687F48D" w:rsidR="00781BBC" w:rsidRPr="00FF4D02" w:rsidRDefault="00B52EBB" w:rsidP="00781BBC">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Low</w:t>
            </w:r>
          </w:p>
        </w:tc>
      </w:tr>
    </w:tbl>
    <w:p w14:paraId="66E64055" w14:textId="79CCF457" w:rsidR="00492BCE" w:rsidRPr="00BA6FDF" w:rsidRDefault="00492BCE" w:rsidP="00781BBC">
      <w:pPr>
        <w:pStyle w:val="InvestmentSumheadings"/>
        <w:numPr>
          <w:ilvl w:val="0"/>
          <w:numId w:val="0"/>
        </w:numPr>
        <w:rPr>
          <w:b w:val="0"/>
        </w:rPr>
      </w:pPr>
    </w:p>
    <w:sectPr w:rsidR="00492BCE" w:rsidRPr="00BA6FDF" w:rsidSect="003743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B474C" w14:textId="77777777" w:rsidR="00807457" w:rsidRDefault="00807457" w:rsidP="00BB49AA">
      <w:pPr>
        <w:spacing w:after="0" w:line="240" w:lineRule="auto"/>
      </w:pPr>
      <w:r>
        <w:separator/>
      </w:r>
    </w:p>
  </w:endnote>
  <w:endnote w:type="continuationSeparator" w:id="0">
    <w:p w14:paraId="006E4A67" w14:textId="77777777" w:rsidR="00807457" w:rsidRDefault="00807457" w:rsidP="00BB49AA">
      <w:pPr>
        <w:spacing w:after="0" w:line="240" w:lineRule="auto"/>
      </w:pPr>
      <w:r>
        <w:continuationSeparator/>
      </w:r>
    </w:p>
  </w:endnote>
  <w:endnote w:type="continuationNotice" w:id="1">
    <w:p w14:paraId="1EEB7E3A" w14:textId="77777777" w:rsidR="00807457" w:rsidRDefault="00807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FEB56" w14:textId="77777777" w:rsidR="00807457" w:rsidRDefault="008074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272440"/>
      <w:docPartObj>
        <w:docPartGallery w:val="Page Numbers (Bottom of Page)"/>
        <w:docPartUnique/>
      </w:docPartObj>
    </w:sdtPr>
    <w:sdtEndPr>
      <w:rPr>
        <w:noProof/>
      </w:rPr>
    </w:sdtEndPr>
    <w:sdtContent>
      <w:p w14:paraId="0FD5C79F" w14:textId="77777777" w:rsidR="00807457" w:rsidRDefault="00807457">
        <w:pPr>
          <w:pStyle w:val="Footer"/>
          <w:jc w:val="right"/>
        </w:pPr>
        <w:r>
          <w:fldChar w:fldCharType="begin"/>
        </w:r>
        <w:r>
          <w:instrText xml:space="preserve"> PAGE   \* MERGEFORMAT </w:instrText>
        </w:r>
        <w:r>
          <w:fldChar w:fldCharType="separate"/>
        </w:r>
        <w:r w:rsidR="002D7E22">
          <w:rPr>
            <w:noProof/>
          </w:rPr>
          <w:t>1</w:t>
        </w:r>
        <w:r>
          <w:rPr>
            <w:noProof/>
          </w:rPr>
          <w:fldChar w:fldCharType="end"/>
        </w:r>
      </w:p>
    </w:sdtContent>
  </w:sdt>
  <w:p w14:paraId="1757D4B7" w14:textId="77777777" w:rsidR="00807457" w:rsidRDefault="008074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6068D" w14:textId="77777777" w:rsidR="00807457" w:rsidRDefault="008074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422C6" w14:textId="77777777" w:rsidR="00807457" w:rsidRDefault="00807457" w:rsidP="00BB49AA">
      <w:pPr>
        <w:spacing w:after="0" w:line="240" w:lineRule="auto"/>
      </w:pPr>
      <w:r>
        <w:separator/>
      </w:r>
    </w:p>
  </w:footnote>
  <w:footnote w:type="continuationSeparator" w:id="0">
    <w:p w14:paraId="5895415A" w14:textId="77777777" w:rsidR="00807457" w:rsidRDefault="00807457" w:rsidP="00BB49AA">
      <w:pPr>
        <w:spacing w:after="0" w:line="240" w:lineRule="auto"/>
      </w:pPr>
      <w:r>
        <w:continuationSeparator/>
      </w:r>
    </w:p>
  </w:footnote>
  <w:footnote w:type="continuationNotice" w:id="1">
    <w:p w14:paraId="71AC5E6C" w14:textId="77777777" w:rsidR="00807457" w:rsidRDefault="00807457">
      <w:pPr>
        <w:spacing w:after="0" w:line="240" w:lineRule="auto"/>
      </w:pPr>
    </w:p>
  </w:footnote>
  <w:footnote w:id="2">
    <w:p w14:paraId="2A3EF7B0" w14:textId="77777777" w:rsidR="00807457" w:rsidRDefault="00807457">
      <w:pPr>
        <w:pStyle w:val="FootnoteText"/>
      </w:pPr>
      <w:r>
        <w:rPr>
          <w:rStyle w:val="FootnoteReference"/>
        </w:rPr>
        <w:footnoteRef/>
      </w:r>
      <w:r>
        <w:t xml:space="preserve"> </w:t>
      </w:r>
      <w:proofErr w:type="gramStart"/>
      <w:r>
        <w:t>Member-funded insurance that provides protection against downside financial risk, managed by a not-for-profit GOI agency.</w:t>
      </w:r>
      <w:proofErr w:type="gramEnd"/>
    </w:p>
  </w:footnote>
  <w:footnote w:id="3">
    <w:p w14:paraId="4CB0E99D" w14:textId="77777777" w:rsidR="00807457" w:rsidRPr="00646FEB" w:rsidRDefault="00807457" w:rsidP="00C61B19">
      <w:pPr>
        <w:spacing w:after="0"/>
        <w:rPr>
          <w:rFonts w:asciiTheme="minorHAnsi" w:hAnsiTheme="minorHAnsi"/>
          <w:sz w:val="20"/>
          <w:szCs w:val="20"/>
        </w:rPr>
      </w:pPr>
      <w:r w:rsidRPr="00646FEB">
        <w:rPr>
          <w:rStyle w:val="FootnoteReference"/>
          <w:rFonts w:asciiTheme="minorHAnsi" w:hAnsiTheme="minorHAnsi"/>
          <w:sz w:val="20"/>
          <w:szCs w:val="20"/>
        </w:rPr>
        <w:footnoteRef/>
      </w:r>
      <w:r w:rsidRPr="00646FEB">
        <w:rPr>
          <w:rFonts w:asciiTheme="minorHAnsi" w:hAnsiTheme="minorHAnsi"/>
          <w:sz w:val="20"/>
          <w:szCs w:val="20"/>
        </w:rPr>
        <w:t xml:space="preserve"> See, for example, Yusuf et al 2013, World Bank 2014c and </w:t>
      </w:r>
      <w:proofErr w:type="spellStart"/>
      <w:r w:rsidRPr="00646FEB">
        <w:rPr>
          <w:rFonts w:asciiTheme="minorHAnsi" w:hAnsiTheme="minorHAnsi"/>
          <w:sz w:val="20"/>
          <w:szCs w:val="20"/>
        </w:rPr>
        <w:t>Ostry</w:t>
      </w:r>
      <w:proofErr w:type="spellEnd"/>
      <w:r w:rsidRPr="00646FEB">
        <w:rPr>
          <w:rFonts w:asciiTheme="minorHAnsi" w:hAnsiTheme="minorHAnsi"/>
          <w:sz w:val="20"/>
          <w:szCs w:val="20"/>
        </w:rPr>
        <w:t xml:space="preserve"> </w:t>
      </w:r>
      <w:r w:rsidRPr="00646FEB">
        <w:rPr>
          <w:rFonts w:asciiTheme="minorHAnsi" w:hAnsiTheme="minorHAnsi"/>
          <w:i/>
          <w:sz w:val="20"/>
          <w:szCs w:val="20"/>
        </w:rPr>
        <w:t xml:space="preserve">et al </w:t>
      </w:r>
      <w:r w:rsidRPr="00646FEB">
        <w:rPr>
          <w:rFonts w:asciiTheme="minorHAnsi" w:hAnsiTheme="minorHAnsi"/>
          <w:sz w:val="20"/>
          <w:szCs w:val="20"/>
        </w:rPr>
        <w:t>2014.</w:t>
      </w:r>
    </w:p>
  </w:footnote>
  <w:footnote w:id="4">
    <w:p w14:paraId="39FEFB3C" w14:textId="77777777" w:rsidR="00807457" w:rsidRPr="00646FEB" w:rsidRDefault="00807457" w:rsidP="00D41D07">
      <w:pPr>
        <w:pStyle w:val="FootnoteText"/>
      </w:pPr>
      <w:r w:rsidRPr="00646FEB">
        <w:rPr>
          <w:rStyle w:val="FootnoteReference"/>
        </w:rPr>
        <w:footnoteRef/>
      </w:r>
      <w:r w:rsidRPr="00646FEB">
        <w:t xml:space="preserve"> Source: SUSENAS September 2013 and MOEC administrative data.</w:t>
      </w:r>
    </w:p>
  </w:footnote>
  <w:footnote w:id="5">
    <w:p w14:paraId="05F9066A" w14:textId="77777777" w:rsidR="00807457" w:rsidRPr="00646FEB" w:rsidRDefault="00807457" w:rsidP="00C61B19">
      <w:pPr>
        <w:pStyle w:val="FootnoteText"/>
      </w:pPr>
      <w:r w:rsidRPr="00646FEB">
        <w:rPr>
          <w:rStyle w:val="FootnoteReference"/>
        </w:rPr>
        <w:footnoteRef/>
      </w:r>
      <w:r w:rsidRPr="00646FEB">
        <w:t xml:space="preserve"> </w:t>
      </w:r>
      <w:proofErr w:type="gramStart"/>
      <w:r w:rsidRPr="00646FEB">
        <w:t>ADB 2013.</w:t>
      </w:r>
      <w:proofErr w:type="gramEnd"/>
      <w:r w:rsidRPr="00646FEB">
        <w:t xml:space="preserve"> For comparison Australia’s social protection expenditure is 19.5% and the OECD average is 21.9% (</w:t>
      </w:r>
      <w:hyperlink r:id="rId1" w:history="1">
        <w:r w:rsidRPr="00646FEB">
          <w:rPr>
            <w:rStyle w:val="Hyperlink"/>
          </w:rPr>
          <w:t>http://stats.oecd.org/Index.aspx?DataSetCode=SOCX_AGG</w:t>
        </w:r>
      </w:hyperlink>
      <w:r w:rsidRPr="00646FEB">
        <w:t xml:space="preserve">). </w:t>
      </w:r>
    </w:p>
  </w:footnote>
  <w:footnote w:id="6">
    <w:p w14:paraId="3D77CD46" w14:textId="77777777" w:rsidR="00807457" w:rsidRPr="005C322C" w:rsidRDefault="00807457" w:rsidP="00C61B19">
      <w:pPr>
        <w:pStyle w:val="FootnoteText"/>
      </w:pPr>
      <w:r w:rsidRPr="00646FEB">
        <w:rPr>
          <w:rStyle w:val="FootnoteReference"/>
        </w:rPr>
        <w:footnoteRef/>
      </w:r>
      <w:r w:rsidRPr="00646FEB">
        <w:t xml:space="preserve"> </w:t>
      </w:r>
      <w:proofErr w:type="gramStart"/>
      <w:r w:rsidRPr="00646FEB">
        <w:t>Bappenas 2013.</w:t>
      </w:r>
      <w:proofErr w:type="gramEnd"/>
    </w:p>
  </w:footnote>
  <w:footnote w:id="7">
    <w:p w14:paraId="380ADC2F" w14:textId="77777777" w:rsidR="00807457" w:rsidRPr="00C53F00" w:rsidRDefault="00807457">
      <w:pPr>
        <w:pStyle w:val="FootnoteText"/>
        <w:rPr>
          <w:lang w:val="en-US"/>
        </w:rPr>
      </w:pPr>
      <w:r w:rsidRPr="00646FEB">
        <w:rPr>
          <w:rStyle w:val="FootnoteReference"/>
        </w:rPr>
        <w:footnoteRef/>
      </w:r>
      <w:r w:rsidRPr="00646FEB">
        <w:t xml:space="preserve"> The methodology used to generate the UDB is more accurate at higher coverage levels. Targeting to the poorest 10% misses up to 70% of the poor, while targeting the poorest 40% misses about 30% (AusAID 2012).</w:t>
      </w:r>
    </w:p>
  </w:footnote>
  <w:footnote w:id="8">
    <w:p w14:paraId="13ADC42E" w14:textId="54FBD84C" w:rsidR="00807457" w:rsidRPr="00C53F00" w:rsidRDefault="00807457">
      <w:pPr>
        <w:pStyle w:val="FootnoteText"/>
        <w:rPr>
          <w:lang w:val="en-US"/>
        </w:rPr>
      </w:pPr>
      <w:r>
        <w:rPr>
          <w:rStyle w:val="FootnoteReference"/>
        </w:rPr>
        <w:footnoteRef/>
      </w:r>
      <w:r>
        <w:t xml:space="preserve"> “System” refers to the set of interacting and complementary </w:t>
      </w:r>
      <w:r>
        <w:rPr>
          <w:lang w:val="en-US"/>
        </w:rPr>
        <w:t>policies, programs and tools that includes government-funded social assistance and member-funded social security.</w:t>
      </w:r>
    </w:p>
  </w:footnote>
  <w:footnote w:id="9">
    <w:p w14:paraId="50094F6F" w14:textId="624A5703" w:rsidR="00807457" w:rsidRDefault="00807457">
      <w:pPr>
        <w:pStyle w:val="FootnoteText"/>
      </w:pPr>
      <w:r>
        <w:rPr>
          <w:rStyle w:val="FootnoteReference"/>
        </w:rPr>
        <w:footnoteRef/>
      </w:r>
      <w:r>
        <w:t xml:space="preserve"> See </w:t>
      </w:r>
      <w:hyperlink r:id="rId2" w:history="1">
        <w:r w:rsidRPr="00257C48">
          <w:rPr>
            <w:rStyle w:val="Hyperlink"/>
          </w:rPr>
          <w:t>http://aid.dfat.gov.au/Publications/Pages/australian-aid-promoting-prosperity-increasing-stability-reducing-poverty.aspx</w:t>
        </w:r>
      </w:hyperlink>
      <w:r>
        <w:t xml:space="preserve">. </w:t>
      </w:r>
    </w:p>
  </w:footnote>
  <w:footnote w:id="10">
    <w:p w14:paraId="0C4BC8AB" w14:textId="694563CF" w:rsidR="00807457" w:rsidRPr="00C53F00" w:rsidRDefault="00807457" w:rsidP="00C53F00">
      <w:pPr>
        <w:pStyle w:val="FootnoteText"/>
        <w:jc w:val="both"/>
        <w:rPr>
          <w:lang w:val="en-US"/>
        </w:rPr>
      </w:pPr>
      <w:r>
        <w:rPr>
          <w:rStyle w:val="FootnoteReference"/>
        </w:rPr>
        <w:footnoteRef/>
      </w:r>
      <w:r>
        <w:t xml:space="preserve"> </w:t>
      </w:r>
      <w:r>
        <w:rPr>
          <w:lang w:val="en-US"/>
        </w:rPr>
        <w:t>Operational support refers to intensive support PRSF has provided to develop and/or improve operational elements and delivery systems of the major national social assistance programs, including for example management information systems, grievance and complaint handling systems, setting benefit levels, etc.</w:t>
      </w:r>
    </w:p>
  </w:footnote>
  <w:footnote w:id="11">
    <w:p w14:paraId="525E0530" w14:textId="77777777" w:rsidR="00807457" w:rsidRPr="00573ADC" w:rsidRDefault="00807457" w:rsidP="00A16793">
      <w:pPr>
        <w:pStyle w:val="Tabletextsmall"/>
        <w:jc w:val="both"/>
      </w:pPr>
      <w:r>
        <w:rPr>
          <w:rStyle w:val="FootnoteReference"/>
        </w:rPr>
        <w:footnoteRef/>
      </w:r>
      <w:r>
        <w:t xml:space="preserve"> </w:t>
      </w:r>
      <w:r w:rsidRPr="00573ADC">
        <w:rPr>
          <w:lang w:val="en-US"/>
        </w:rPr>
        <w:t xml:space="preserve">The Social Protection Hub </w:t>
      </w:r>
      <w:r w:rsidRPr="00573ADC">
        <w:t xml:space="preserve">is a unit within the Australian aid program compromising social protection specialists, based in Canberra and Jakarta, </w:t>
      </w:r>
      <w:r>
        <w:t>which</w:t>
      </w:r>
      <w:r w:rsidRPr="00573ADC">
        <w:t xml:space="preserve"> focus</w:t>
      </w:r>
      <w:r>
        <w:t>es</w:t>
      </w:r>
      <w:r w:rsidRPr="00573ADC">
        <w:t xml:space="preserve"> on adding value to the aid program’s social protection investments. Externally, the Hub looks to influence policy discourse and programming</w:t>
      </w:r>
      <w:r>
        <w:t>,</w:t>
      </w:r>
      <w:r w:rsidRPr="00573ADC">
        <w:t xml:space="preserve"> position the Australian aid program as a leading bilateral agency in social protection</w:t>
      </w:r>
      <w:r>
        <w:t xml:space="preserve">, and </w:t>
      </w:r>
      <w:r w:rsidRPr="00573ADC">
        <w:t>facilitat</w:t>
      </w:r>
      <w:r>
        <w:t>e</w:t>
      </w:r>
      <w:r w:rsidRPr="00573ADC">
        <w:t xml:space="preserve"> South-South linkages. </w:t>
      </w:r>
    </w:p>
    <w:p w14:paraId="7BF9DDB2" w14:textId="77777777" w:rsidR="00807457" w:rsidRPr="00E22089" w:rsidRDefault="00807457">
      <w:pPr>
        <w:pStyle w:val="FootnoteText"/>
        <w:rPr>
          <w:lang w:val="en-US"/>
        </w:rPr>
      </w:pPr>
    </w:p>
  </w:footnote>
  <w:footnote w:id="12">
    <w:p w14:paraId="3BBAFF02" w14:textId="77777777" w:rsidR="00807457" w:rsidRPr="00A557D3" w:rsidRDefault="00807457" w:rsidP="00162075">
      <w:pPr>
        <w:pStyle w:val="Tabletextsmall"/>
      </w:pPr>
      <w:r>
        <w:rPr>
          <w:rStyle w:val="FootnoteReference"/>
        </w:rPr>
        <w:footnoteRef/>
      </w:r>
      <w:r>
        <w:t xml:space="preserve"> In consultation with DFAT’s Knowledge Sector Initiative, </w:t>
      </w:r>
      <w:proofErr w:type="gramStart"/>
      <w:r>
        <w:t>which supports strengthened capacity for national research institutions.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677B" w14:textId="77777777" w:rsidR="00807457" w:rsidRDefault="008074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522116"/>
      <w:docPartObj>
        <w:docPartGallery w:val="Watermarks"/>
        <w:docPartUnique/>
      </w:docPartObj>
    </w:sdtPr>
    <w:sdtEndPr/>
    <w:sdtContent>
      <w:p w14:paraId="104E83E1" w14:textId="07E8A4A4" w:rsidR="00807457" w:rsidRDefault="002D7E22">
        <w:pPr>
          <w:pStyle w:val="Header"/>
        </w:pPr>
        <w:r>
          <w:rPr>
            <w:noProof/>
            <w:lang w:val="en-US" w:eastAsia="zh-TW"/>
          </w:rPr>
          <w:pict w14:anchorId="093DD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4B27E" w14:textId="77777777" w:rsidR="00807457" w:rsidRDefault="00807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509E32"/>
    <w:lvl w:ilvl="0">
      <w:start w:val="1"/>
      <w:numFmt w:val="bullet"/>
      <w:lvlText w:val=""/>
      <w:lvlJc w:val="left"/>
      <w:pPr>
        <w:tabs>
          <w:tab w:val="num" w:pos="360"/>
        </w:tabs>
        <w:ind w:left="360" w:hanging="360"/>
      </w:pPr>
      <w:rPr>
        <w:rFonts w:ascii="Symbol" w:hAnsi="Symbol" w:hint="default"/>
      </w:rPr>
    </w:lvl>
  </w:abstractNum>
  <w:abstractNum w:abstractNumId="1">
    <w:nsid w:val="0A587057"/>
    <w:multiLevelType w:val="hybridMultilevel"/>
    <w:tmpl w:val="1BCE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3F4EAF"/>
    <w:multiLevelType w:val="hybridMultilevel"/>
    <w:tmpl w:val="AA5E8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4B316F"/>
    <w:multiLevelType w:val="hybridMultilevel"/>
    <w:tmpl w:val="AEE06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136728"/>
    <w:multiLevelType w:val="hybridMultilevel"/>
    <w:tmpl w:val="73DC4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2DC152C"/>
    <w:multiLevelType w:val="hybridMultilevel"/>
    <w:tmpl w:val="BE6A9302"/>
    <w:lvl w:ilvl="0" w:tplc="98E6298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B672C1"/>
    <w:multiLevelType w:val="multilevel"/>
    <w:tmpl w:val="464C5A86"/>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A873D5B"/>
    <w:multiLevelType w:val="hybridMultilevel"/>
    <w:tmpl w:val="267E0AE8"/>
    <w:lvl w:ilvl="0" w:tplc="98E6298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E262FE"/>
    <w:multiLevelType w:val="hybridMultilevel"/>
    <w:tmpl w:val="9D9A87A4"/>
    <w:lvl w:ilvl="0" w:tplc="14D0EA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C6309D4"/>
    <w:multiLevelType w:val="hybridMultilevel"/>
    <w:tmpl w:val="8E2E0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C95162C"/>
    <w:multiLevelType w:val="hybridMultilevel"/>
    <w:tmpl w:val="DB6A34E8"/>
    <w:lvl w:ilvl="0" w:tplc="A988538E">
      <w:start w:val="4"/>
      <w:numFmt w:val="bullet"/>
      <w:lvlText w:val="-"/>
      <w:lvlJc w:val="left"/>
      <w:pPr>
        <w:ind w:left="720" w:hanging="360"/>
      </w:pPr>
      <w:rPr>
        <w:rFonts w:ascii="Times New (W1)" w:eastAsia="Times New Roman" w:hAnsi="Times New (W1)" w:cs="Times New (W1)"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ED0892"/>
    <w:multiLevelType w:val="hybridMultilevel"/>
    <w:tmpl w:val="05084FD8"/>
    <w:lvl w:ilvl="0" w:tplc="BFB40430">
      <w:start w:val="1"/>
      <w:numFmt w:val="bullet"/>
      <w:lvlText w:val=""/>
      <w:lvlJc w:val="left"/>
      <w:pPr>
        <w:tabs>
          <w:tab w:val="num" w:pos="927"/>
        </w:tabs>
        <w:ind w:left="927" w:hanging="360"/>
      </w:pPr>
      <w:rPr>
        <w:rFonts w:ascii="Symbol" w:hAnsi="Symbol" w:hint="default"/>
        <w:sz w:val="20"/>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DF13916"/>
    <w:multiLevelType w:val="hybridMultilevel"/>
    <w:tmpl w:val="C1D0F0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EB17DC6"/>
    <w:multiLevelType w:val="multilevel"/>
    <w:tmpl w:val="2E24AAD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326D4485"/>
    <w:multiLevelType w:val="hybridMultilevel"/>
    <w:tmpl w:val="D4E05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C170507"/>
    <w:multiLevelType w:val="hybridMultilevel"/>
    <w:tmpl w:val="403828B8"/>
    <w:lvl w:ilvl="0" w:tplc="98E6298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1256B8"/>
    <w:multiLevelType w:val="multilevel"/>
    <w:tmpl w:val="464C5A86"/>
    <w:lvl w:ilvl="0">
      <w:start w:val="1"/>
      <w:numFmt w:val="decimal"/>
      <w:lvlText w:val="%1."/>
      <w:lvlJc w:val="left"/>
      <w:pPr>
        <w:ind w:left="360" w:hanging="360"/>
      </w:pPr>
      <w:rPr>
        <w:rFonts w:hint="default"/>
      </w:rPr>
    </w:lvl>
    <w:lvl w:ilvl="1">
      <w:start w:val="3"/>
      <w:numFmt w:val="decimal"/>
      <w:isLgl/>
      <w:lvlText w:val="%1.%2"/>
      <w:lvlJc w:val="left"/>
      <w:pPr>
        <w:ind w:left="495" w:hanging="49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4177219F"/>
    <w:multiLevelType w:val="hybridMultilevel"/>
    <w:tmpl w:val="0A7A5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E15672"/>
    <w:multiLevelType w:val="hybridMultilevel"/>
    <w:tmpl w:val="D30AA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1C2B62"/>
    <w:multiLevelType w:val="multilevel"/>
    <w:tmpl w:val="464C5A86"/>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5EE7A9B"/>
    <w:multiLevelType w:val="hybridMultilevel"/>
    <w:tmpl w:val="8150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781A8A"/>
    <w:multiLevelType w:val="hybridMultilevel"/>
    <w:tmpl w:val="B5006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BB1075F"/>
    <w:multiLevelType w:val="hybridMultilevel"/>
    <w:tmpl w:val="CCEC33C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3">
    <w:nsid w:val="4C7B555F"/>
    <w:multiLevelType w:val="hybridMultilevel"/>
    <w:tmpl w:val="C70C9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F3E55BC"/>
    <w:multiLevelType w:val="hybridMultilevel"/>
    <w:tmpl w:val="3552F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0CC7924"/>
    <w:multiLevelType w:val="hybridMultilevel"/>
    <w:tmpl w:val="45702EC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nsid w:val="522632D2"/>
    <w:multiLevelType w:val="hybridMultilevel"/>
    <w:tmpl w:val="C756A68A"/>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7">
    <w:nsid w:val="56F00068"/>
    <w:multiLevelType w:val="hybridMultilevel"/>
    <w:tmpl w:val="EFAAE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F714C4"/>
    <w:multiLevelType w:val="hybridMultilevel"/>
    <w:tmpl w:val="19B2260A"/>
    <w:lvl w:ilvl="0" w:tplc="22C64B2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EF473F"/>
    <w:multiLevelType w:val="hybridMultilevel"/>
    <w:tmpl w:val="C9A0B4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95D07B1"/>
    <w:multiLevelType w:val="hybridMultilevel"/>
    <w:tmpl w:val="A7086BE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nsid w:val="5A6F0E48"/>
    <w:multiLevelType w:val="hybridMultilevel"/>
    <w:tmpl w:val="0488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4B7716"/>
    <w:multiLevelType w:val="hybridMultilevel"/>
    <w:tmpl w:val="A904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1D57DE"/>
    <w:multiLevelType w:val="hybridMultilevel"/>
    <w:tmpl w:val="9EFE0AA6"/>
    <w:lvl w:ilvl="0" w:tplc="C04464EE">
      <w:start w:val="1"/>
      <w:numFmt w:val="bullet"/>
      <w:pStyle w:val="Tabletextsmallbullet"/>
      <w:lvlText w:val=""/>
      <w:lvlJc w:val="left"/>
      <w:pPr>
        <w:ind w:left="31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241AD2"/>
    <w:multiLevelType w:val="hybridMultilevel"/>
    <w:tmpl w:val="E1483DE2"/>
    <w:lvl w:ilvl="0" w:tplc="A5DC78AE">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7E86B14"/>
    <w:multiLevelType w:val="hybridMultilevel"/>
    <w:tmpl w:val="F8D0E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8C0498F"/>
    <w:multiLevelType w:val="hybridMultilevel"/>
    <w:tmpl w:val="4740D8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291B5E"/>
    <w:multiLevelType w:val="hybridMultilevel"/>
    <w:tmpl w:val="5FCC87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062278E"/>
    <w:multiLevelType w:val="hybridMultilevel"/>
    <w:tmpl w:val="5AF28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6B54593"/>
    <w:multiLevelType w:val="hybridMultilevel"/>
    <w:tmpl w:val="CC4405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7B106F54"/>
    <w:multiLevelType w:val="hybridMultilevel"/>
    <w:tmpl w:val="6980D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B182796"/>
    <w:multiLevelType w:val="multilevel"/>
    <w:tmpl w:val="8342F2E4"/>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nsid w:val="7CA47CE3"/>
    <w:multiLevelType w:val="hybridMultilevel"/>
    <w:tmpl w:val="A472551C"/>
    <w:lvl w:ilvl="0" w:tplc="1A104EF0">
      <w:start w:val="1"/>
      <w:numFmt w:val="bullet"/>
      <w:lvlText w:val="-"/>
      <w:lvlJc w:val="left"/>
      <w:pPr>
        <w:ind w:left="720" w:hanging="360"/>
      </w:pPr>
      <w:rPr>
        <w:rFonts w:ascii="Times New (W1)" w:eastAsia="Times New Roman" w:hAnsi="Times New (W1)" w:cs="Times New (W1)"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DAA37A3"/>
    <w:multiLevelType w:val="hybridMultilevel"/>
    <w:tmpl w:val="45C4E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41"/>
  </w:num>
  <w:num w:numId="4">
    <w:abstractNumId w:val="38"/>
  </w:num>
  <w:num w:numId="5">
    <w:abstractNumId w:val="22"/>
  </w:num>
  <w:num w:numId="6">
    <w:abstractNumId w:val="29"/>
  </w:num>
  <w:num w:numId="7">
    <w:abstractNumId w:val="20"/>
  </w:num>
  <w:num w:numId="8">
    <w:abstractNumId w:val="34"/>
  </w:num>
  <w:num w:numId="9">
    <w:abstractNumId w:val="31"/>
  </w:num>
  <w:num w:numId="10">
    <w:abstractNumId w:val="17"/>
  </w:num>
  <w:num w:numId="11">
    <w:abstractNumId w:val="23"/>
  </w:num>
  <w:num w:numId="12">
    <w:abstractNumId w:val="2"/>
  </w:num>
  <w:num w:numId="13">
    <w:abstractNumId w:val="16"/>
  </w:num>
  <w:num w:numId="14">
    <w:abstractNumId w:val="3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4"/>
  </w:num>
  <w:num w:numId="18">
    <w:abstractNumId w:val="21"/>
  </w:num>
  <w:num w:numId="19">
    <w:abstractNumId w:val="1"/>
  </w:num>
  <w:num w:numId="20">
    <w:abstractNumId w:val="8"/>
  </w:num>
  <w:num w:numId="21">
    <w:abstractNumId w:val="6"/>
  </w:num>
  <w:num w:numId="22">
    <w:abstractNumId w:val="12"/>
  </w:num>
  <w:num w:numId="23">
    <w:abstractNumId w:val="39"/>
  </w:num>
  <w:num w:numId="24">
    <w:abstractNumId w:val="15"/>
  </w:num>
  <w:num w:numId="25">
    <w:abstractNumId w:val="5"/>
  </w:num>
  <w:num w:numId="26">
    <w:abstractNumId w:val="7"/>
  </w:num>
  <w:num w:numId="27">
    <w:abstractNumId w:val="32"/>
  </w:num>
  <w:num w:numId="28">
    <w:abstractNumId w:val="28"/>
  </w:num>
  <w:num w:numId="29">
    <w:abstractNumId w:val="25"/>
  </w:num>
  <w:num w:numId="30">
    <w:abstractNumId w:val="33"/>
  </w:num>
  <w:num w:numId="31">
    <w:abstractNumId w:val="1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
  </w:num>
  <w:num w:numId="35">
    <w:abstractNumId w:val="40"/>
  </w:num>
  <w:num w:numId="36">
    <w:abstractNumId w:val="35"/>
  </w:num>
  <w:num w:numId="37">
    <w:abstractNumId w:val="18"/>
  </w:num>
  <w:num w:numId="38">
    <w:abstractNumId w:val="27"/>
  </w:num>
  <w:num w:numId="39">
    <w:abstractNumId w:val="24"/>
  </w:num>
  <w:num w:numId="40">
    <w:abstractNumId w:val="37"/>
  </w:num>
  <w:num w:numId="41">
    <w:abstractNumId w:val="26"/>
  </w:num>
  <w:num w:numId="42">
    <w:abstractNumId w:val="43"/>
  </w:num>
  <w:num w:numId="43">
    <w:abstractNumId w:val="13"/>
  </w:num>
  <w:num w:numId="44">
    <w:abstractNumId w:val="9"/>
  </w:num>
  <w:num w:numId="45">
    <w:abstractNumId w:val="0"/>
  </w:num>
  <w:num w:numId="46">
    <w:abstractNumId w:val="42"/>
  </w:num>
  <w:num w:numId="47">
    <w:abstractNumId w:val="1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6959D4F-0B07-4FAC-94E1-C7E84A750E7C}"/>
    <w:docVar w:name="dgnword-eventsink" w:val="271958464"/>
    <w:docVar w:name="dgnword-lastRevisionsView" w:val="0"/>
  </w:docVars>
  <w:rsids>
    <w:rsidRoot w:val="00A32AB5"/>
    <w:rsid w:val="00001702"/>
    <w:rsid w:val="000028FB"/>
    <w:rsid w:val="0000320F"/>
    <w:rsid w:val="0000652A"/>
    <w:rsid w:val="00014D17"/>
    <w:rsid w:val="00015E62"/>
    <w:rsid w:val="000170C2"/>
    <w:rsid w:val="00021D22"/>
    <w:rsid w:val="000223D3"/>
    <w:rsid w:val="00022737"/>
    <w:rsid w:val="000304DA"/>
    <w:rsid w:val="00030AFB"/>
    <w:rsid w:val="00030F5C"/>
    <w:rsid w:val="00031887"/>
    <w:rsid w:val="00042234"/>
    <w:rsid w:val="00044ABB"/>
    <w:rsid w:val="00051EB8"/>
    <w:rsid w:val="00053827"/>
    <w:rsid w:val="00054085"/>
    <w:rsid w:val="000541C9"/>
    <w:rsid w:val="00054259"/>
    <w:rsid w:val="00060B93"/>
    <w:rsid w:val="00062762"/>
    <w:rsid w:val="00063524"/>
    <w:rsid w:val="000703D0"/>
    <w:rsid w:val="00072520"/>
    <w:rsid w:val="0007591F"/>
    <w:rsid w:val="0008217B"/>
    <w:rsid w:val="000838FF"/>
    <w:rsid w:val="00085F2C"/>
    <w:rsid w:val="0009016E"/>
    <w:rsid w:val="00092BB1"/>
    <w:rsid w:val="000963CB"/>
    <w:rsid w:val="000A0CC7"/>
    <w:rsid w:val="000A2EF8"/>
    <w:rsid w:val="000A44BA"/>
    <w:rsid w:val="000A593B"/>
    <w:rsid w:val="000A7E9F"/>
    <w:rsid w:val="000B10CA"/>
    <w:rsid w:val="000B1B00"/>
    <w:rsid w:val="000B3C5D"/>
    <w:rsid w:val="000B4945"/>
    <w:rsid w:val="000B4FE5"/>
    <w:rsid w:val="000B5B5B"/>
    <w:rsid w:val="000B6633"/>
    <w:rsid w:val="000C2586"/>
    <w:rsid w:val="000C658A"/>
    <w:rsid w:val="000C7501"/>
    <w:rsid w:val="000D1297"/>
    <w:rsid w:val="000D1EF6"/>
    <w:rsid w:val="000D2778"/>
    <w:rsid w:val="000D4F5B"/>
    <w:rsid w:val="000D5346"/>
    <w:rsid w:val="000D5DCE"/>
    <w:rsid w:val="000D6555"/>
    <w:rsid w:val="000D6F4A"/>
    <w:rsid w:val="000D7934"/>
    <w:rsid w:val="000E0876"/>
    <w:rsid w:val="000E7854"/>
    <w:rsid w:val="000F3245"/>
    <w:rsid w:val="000F7C05"/>
    <w:rsid w:val="000F7FAD"/>
    <w:rsid w:val="00106DE1"/>
    <w:rsid w:val="001125C6"/>
    <w:rsid w:val="00115D96"/>
    <w:rsid w:val="00117517"/>
    <w:rsid w:val="001205D3"/>
    <w:rsid w:val="00122633"/>
    <w:rsid w:val="00124E68"/>
    <w:rsid w:val="0012797C"/>
    <w:rsid w:val="00132E76"/>
    <w:rsid w:val="00133958"/>
    <w:rsid w:val="00134381"/>
    <w:rsid w:val="00135E97"/>
    <w:rsid w:val="001374E3"/>
    <w:rsid w:val="00140C80"/>
    <w:rsid w:val="001425CC"/>
    <w:rsid w:val="00146523"/>
    <w:rsid w:val="00146DB9"/>
    <w:rsid w:val="001516A1"/>
    <w:rsid w:val="00151ABE"/>
    <w:rsid w:val="00162075"/>
    <w:rsid w:val="00162CB8"/>
    <w:rsid w:val="00165EAD"/>
    <w:rsid w:val="00166AD3"/>
    <w:rsid w:val="00167275"/>
    <w:rsid w:val="001701C7"/>
    <w:rsid w:val="001715D5"/>
    <w:rsid w:val="0017311C"/>
    <w:rsid w:val="00173F2F"/>
    <w:rsid w:val="0017444A"/>
    <w:rsid w:val="00174796"/>
    <w:rsid w:val="0017573A"/>
    <w:rsid w:val="001770EE"/>
    <w:rsid w:val="001779AC"/>
    <w:rsid w:val="00183906"/>
    <w:rsid w:val="0019105D"/>
    <w:rsid w:val="00192A0A"/>
    <w:rsid w:val="00193713"/>
    <w:rsid w:val="0019653D"/>
    <w:rsid w:val="001B4DD2"/>
    <w:rsid w:val="001B54C5"/>
    <w:rsid w:val="001C0381"/>
    <w:rsid w:val="001C1636"/>
    <w:rsid w:val="001C3543"/>
    <w:rsid w:val="001C35F2"/>
    <w:rsid w:val="001D061D"/>
    <w:rsid w:val="001D14BD"/>
    <w:rsid w:val="001D5E85"/>
    <w:rsid w:val="001D72A3"/>
    <w:rsid w:val="001E1BE2"/>
    <w:rsid w:val="001E7A9F"/>
    <w:rsid w:val="001F03A6"/>
    <w:rsid w:val="001F1163"/>
    <w:rsid w:val="001F187D"/>
    <w:rsid w:val="001F2015"/>
    <w:rsid w:val="001F227B"/>
    <w:rsid w:val="001F3264"/>
    <w:rsid w:val="002005E8"/>
    <w:rsid w:val="00200745"/>
    <w:rsid w:val="0020384A"/>
    <w:rsid w:val="002053DB"/>
    <w:rsid w:val="00215326"/>
    <w:rsid w:val="00215944"/>
    <w:rsid w:val="002162E9"/>
    <w:rsid w:val="00217B6F"/>
    <w:rsid w:val="00221D73"/>
    <w:rsid w:val="00225D48"/>
    <w:rsid w:val="00227F0C"/>
    <w:rsid w:val="00237A19"/>
    <w:rsid w:val="00241B5B"/>
    <w:rsid w:val="00242504"/>
    <w:rsid w:val="002440F7"/>
    <w:rsid w:val="002441A6"/>
    <w:rsid w:val="0025053B"/>
    <w:rsid w:val="00251033"/>
    <w:rsid w:val="00255E85"/>
    <w:rsid w:val="00260E4D"/>
    <w:rsid w:val="00265DD9"/>
    <w:rsid w:val="00266C57"/>
    <w:rsid w:val="00273714"/>
    <w:rsid w:val="00277C63"/>
    <w:rsid w:val="0028133F"/>
    <w:rsid w:val="00282F33"/>
    <w:rsid w:val="002846E7"/>
    <w:rsid w:val="00284DF6"/>
    <w:rsid w:val="0028739A"/>
    <w:rsid w:val="00291814"/>
    <w:rsid w:val="00291DE7"/>
    <w:rsid w:val="002920E7"/>
    <w:rsid w:val="00293889"/>
    <w:rsid w:val="002A036F"/>
    <w:rsid w:val="002A3B3D"/>
    <w:rsid w:val="002B339E"/>
    <w:rsid w:val="002B3A9F"/>
    <w:rsid w:val="002B445C"/>
    <w:rsid w:val="002B7464"/>
    <w:rsid w:val="002C07F6"/>
    <w:rsid w:val="002C238B"/>
    <w:rsid w:val="002C2B09"/>
    <w:rsid w:val="002C3C4E"/>
    <w:rsid w:val="002C6C68"/>
    <w:rsid w:val="002D10A0"/>
    <w:rsid w:val="002D1FDC"/>
    <w:rsid w:val="002D3480"/>
    <w:rsid w:val="002D7459"/>
    <w:rsid w:val="002D7E22"/>
    <w:rsid w:val="002E2274"/>
    <w:rsid w:val="002E36D2"/>
    <w:rsid w:val="002E4306"/>
    <w:rsid w:val="002E7882"/>
    <w:rsid w:val="002F3698"/>
    <w:rsid w:val="002F37E5"/>
    <w:rsid w:val="002F55A9"/>
    <w:rsid w:val="002F5FD2"/>
    <w:rsid w:val="00300463"/>
    <w:rsid w:val="00307B10"/>
    <w:rsid w:val="00311054"/>
    <w:rsid w:val="0031125D"/>
    <w:rsid w:val="003153ED"/>
    <w:rsid w:val="00316C69"/>
    <w:rsid w:val="00320C90"/>
    <w:rsid w:val="0032485C"/>
    <w:rsid w:val="00340993"/>
    <w:rsid w:val="00347166"/>
    <w:rsid w:val="00347547"/>
    <w:rsid w:val="00347727"/>
    <w:rsid w:val="00355DFC"/>
    <w:rsid w:val="00357BE2"/>
    <w:rsid w:val="00363347"/>
    <w:rsid w:val="00363DE1"/>
    <w:rsid w:val="00367AE4"/>
    <w:rsid w:val="0037155B"/>
    <w:rsid w:val="0037212F"/>
    <w:rsid w:val="00374313"/>
    <w:rsid w:val="003833CD"/>
    <w:rsid w:val="00387C95"/>
    <w:rsid w:val="0039118E"/>
    <w:rsid w:val="00393BE4"/>
    <w:rsid w:val="00394B74"/>
    <w:rsid w:val="00397797"/>
    <w:rsid w:val="003A027B"/>
    <w:rsid w:val="003B1629"/>
    <w:rsid w:val="003B1933"/>
    <w:rsid w:val="003B3414"/>
    <w:rsid w:val="003B3D2F"/>
    <w:rsid w:val="003C2000"/>
    <w:rsid w:val="003C56CE"/>
    <w:rsid w:val="003C5AE8"/>
    <w:rsid w:val="003D583B"/>
    <w:rsid w:val="003D5F52"/>
    <w:rsid w:val="003D6553"/>
    <w:rsid w:val="003E33BB"/>
    <w:rsid w:val="003E585D"/>
    <w:rsid w:val="003E6453"/>
    <w:rsid w:val="003E7F19"/>
    <w:rsid w:val="003F1704"/>
    <w:rsid w:val="003F2C88"/>
    <w:rsid w:val="003F3265"/>
    <w:rsid w:val="003F4923"/>
    <w:rsid w:val="003F7103"/>
    <w:rsid w:val="00400702"/>
    <w:rsid w:val="0041003A"/>
    <w:rsid w:val="0041035B"/>
    <w:rsid w:val="004103DF"/>
    <w:rsid w:val="00415BE1"/>
    <w:rsid w:val="0041663E"/>
    <w:rsid w:val="00420B18"/>
    <w:rsid w:val="0042326D"/>
    <w:rsid w:val="004247B7"/>
    <w:rsid w:val="0042499E"/>
    <w:rsid w:val="00430EE8"/>
    <w:rsid w:val="00432E57"/>
    <w:rsid w:val="00437478"/>
    <w:rsid w:val="004410EA"/>
    <w:rsid w:val="00442C8A"/>
    <w:rsid w:val="00444C90"/>
    <w:rsid w:val="00447177"/>
    <w:rsid w:val="00451FDD"/>
    <w:rsid w:val="004523FF"/>
    <w:rsid w:val="0046185F"/>
    <w:rsid w:val="0046438F"/>
    <w:rsid w:val="004644D9"/>
    <w:rsid w:val="00466426"/>
    <w:rsid w:val="0047011B"/>
    <w:rsid w:val="004707BF"/>
    <w:rsid w:val="00470EC6"/>
    <w:rsid w:val="004824BE"/>
    <w:rsid w:val="00483D9D"/>
    <w:rsid w:val="00487D34"/>
    <w:rsid w:val="004905C3"/>
    <w:rsid w:val="00492BCE"/>
    <w:rsid w:val="004973E1"/>
    <w:rsid w:val="0049784F"/>
    <w:rsid w:val="004A137E"/>
    <w:rsid w:val="004A25F6"/>
    <w:rsid w:val="004A6455"/>
    <w:rsid w:val="004B2DC0"/>
    <w:rsid w:val="004B35BA"/>
    <w:rsid w:val="004C088C"/>
    <w:rsid w:val="004C171E"/>
    <w:rsid w:val="004C56EF"/>
    <w:rsid w:val="004D69BA"/>
    <w:rsid w:val="004E0CBD"/>
    <w:rsid w:val="004E4163"/>
    <w:rsid w:val="004E487E"/>
    <w:rsid w:val="004F1A88"/>
    <w:rsid w:val="004F3A76"/>
    <w:rsid w:val="004F7415"/>
    <w:rsid w:val="00501EB6"/>
    <w:rsid w:val="00505241"/>
    <w:rsid w:val="00505A6F"/>
    <w:rsid w:val="0051197F"/>
    <w:rsid w:val="0051321F"/>
    <w:rsid w:val="00513307"/>
    <w:rsid w:val="0051536A"/>
    <w:rsid w:val="00516243"/>
    <w:rsid w:val="00520ACE"/>
    <w:rsid w:val="0052277A"/>
    <w:rsid w:val="00522B4C"/>
    <w:rsid w:val="00522F06"/>
    <w:rsid w:val="005244C5"/>
    <w:rsid w:val="00524E29"/>
    <w:rsid w:val="005267DD"/>
    <w:rsid w:val="005303B9"/>
    <w:rsid w:val="0053067C"/>
    <w:rsid w:val="005307F0"/>
    <w:rsid w:val="00530A6C"/>
    <w:rsid w:val="00532266"/>
    <w:rsid w:val="00533251"/>
    <w:rsid w:val="00543240"/>
    <w:rsid w:val="00545005"/>
    <w:rsid w:val="00545D2A"/>
    <w:rsid w:val="0054669B"/>
    <w:rsid w:val="005475A6"/>
    <w:rsid w:val="005527E2"/>
    <w:rsid w:val="005541FE"/>
    <w:rsid w:val="005558D5"/>
    <w:rsid w:val="00562B46"/>
    <w:rsid w:val="00566993"/>
    <w:rsid w:val="005727FE"/>
    <w:rsid w:val="00573ADC"/>
    <w:rsid w:val="00576243"/>
    <w:rsid w:val="00581B53"/>
    <w:rsid w:val="00581D8B"/>
    <w:rsid w:val="00585765"/>
    <w:rsid w:val="00594B9D"/>
    <w:rsid w:val="00596097"/>
    <w:rsid w:val="005A1511"/>
    <w:rsid w:val="005A3605"/>
    <w:rsid w:val="005A57FD"/>
    <w:rsid w:val="005B00A9"/>
    <w:rsid w:val="005B2406"/>
    <w:rsid w:val="005B3354"/>
    <w:rsid w:val="005B3B60"/>
    <w:rsid w:val="005B4A1B"/>
    <w:rsid w:val="005B5811"/>
    <w:rsid w:val="005B6461"/>
    <w:rsid w:val="005B66BB"/>
    <w:rsid w:val="005C0440"/>
    <w:rsid w:val="005C19F2"/>
    <w:rsid w:val="005D62BE"/>
    <w:rsid w:val="005D7B9C"/>
    <w:rsid w:val="005E3207"/>
    <w:rsid w:val="005F072A"/>
    <w:rsid w:val="005F6B9B"/>
    <w:rsid w:val="006028DA"/>
    <w:rsid w:val="00602DDC"/>
    <w:rsid w:val="0060545F"/>
    <w:rsid w:val="00606C64"/>
    <w:rsid w:val="00607183"/>
    <w:rsid w:val="0060776B"/>
    <w:rsid w:val="00612541"/>
    <w:rsid w:val="00612B72"/>
    <w:rsid w:val="006175D8"/>
    <w:rsid w:val="00617D1E"/>
    <w:rsid w:val="00623434"/>
    <w:rsid w:val="00623EF8"/>
    <w:rsid w:val="006241B6"/>
    <w:rsid w:val="00633662"/>
    <w:rsid w:val="00636373"/>
    <w:rsid w:val="0063645F"/>
    <w:rsid w:val="006469B9"/>
    <w:rsid w:val="00646FEB"/>
    <w:rsid w:val="00651D9A"/>
    <w:rsid w:val="006535E2"/>
    <w:rsid w:val="00654682"/>
    <w:rsid w:val="00655519"/>
    <w:rsid w:val="00655B83"/>
    <w:rsid w:val="00660A2C"/>
    <w:rsid w:val="0066365F"/>
    <w:rsid w:val="00666BD4"/>
    <w:rsid w:val="00667966"/>
    <w:rsid w:val="00672161"/>
    <w:rsid w:val="00674839"/>
    <w:rsid w:val="00674997"/>
    <w:rsid w:val="006843B3"/>
    <w:rsid w:val="00685BD7"/>
    <w:rsid w:val="006875C6"/>
    <w:rsid w:val="0069045C"/>
    <w:rsid w:val="006918B3"/>
    <w:rsid w:val="00695406"/>
    <w:rsid w:val="00695D58"/>
    <w:rsid w:val="006A3284"/>
    <w:rsid w:val="006A7426"/>
    <w:rsid w:val="006B00B9"/>
    <w:rsid w:val="006B2E36"/>
    <w:rsid w:val="006C1CC4"/>
    <w:rsid w:val="006C2B1F"/>
    <w:rsid w:val="006C2EC8"/>
    <w:rsid w:val="006C58A4"/>
    <w:rsid w:val="006C5E3B"/>
    <w:rsid w:val="006C6C64"/>
    <w:rsid w:val="006D1E4B"/>
    <w:rsid w:val="006D53AE"/>
    <w:rsid w:val="006E5A21"/>
    <w:rsid w:val="006E632B"/>
    <w:rsid w:val="006E7C5B"/>
    <w:rsid w:val="006F039C"/>
    <w:rsid w:val="006F5753"/>
    <w:rsid w:val="006F6015"/>
    <w:rsid w:val="006F7206"/>
    <w:rsid w:val="006F75D3"/>
    <w:rsid w:val="0070154F"/>
    <w:rsid w:val="00702550"/>
    <w:rsid w:val="00704024"/>
    <w:rsid w:val="0071068E"/>
    <w:rsid w:val="00713B28"/>
    <w:rsid w:val="00715FDA"/>
    <w:rsid w:val="00721FD5"/>
    <w:rsid w:val="00725BAA"/>
    <w:rsid w:val="00733BEF"/>
    <w:rsid w:val="00736BF6"/>
    <w:rsid w:val="00740840"/>
    <w:rsid w:val="00741F1C"/>
    <w:rsid w:val="00742541"/>
    <w:rsid w:val="0074265F"/>
    <w:rsid w:val="00743E13"/>
    <w:rsid w:val="00750A2B"/>
    <w:rsid w:val="00751A04"/>
    <w:rsid w:val="00757CA7"/>
    <w:rsid w:val="007607B4"/>
    <w:rsid w:val="0076274A"/>
    <w:rsid w:val="007634E3"/>
    <w:rsid w:val="00767F97"/>
    <w:rsid w:val="007702B1"/>
    <w:rsid w:val="0077193C"/>
    <w:rsid w:val="00771B81"/>
    <w:rsid w:val="00772F98"/>
    <w:rsid w:val="00774179"/>
    <w:rsid w:val="00775891"/>
    <w:rsid w:val="00781BBC"/>
    <w:rsid w:val="00790588"/>
    <w:rsid w:val="00790D28"/>
    <w:rsid w:val="00792B70"/>
    <w:rsid w:val="007950B0"/>
    <w:rsid w:val="0079564C"/>
    <w:rsid w:val="007958ED"/>
    <w:rsid w:val="007959D1"/>
    <w:rsid w:val="0079609C"/>
    <w:rsid w:val="00797700"/>
    <w:rsid w:val="007A201D"/>
    <w:rsid w:val="007A645F"/>
    <w:rsid w:val="007A7306"/>
    <w:rsid w:val="007B1FF1"/>
    <w:rsid w:val="007B207C"/>
    <w:rsid w:val="007B7C19"/>
    <w:rsid w:val="007C10B7"/>
    <w:rsid w:val="007C3302"/>
    <w:rsid w:val="007C572F"/>
    <w:rsid w:val="007C697A"/>
    <w:rsid w:val="007D0641"/>
    <w:rsid w:val="007D122A"/>
    <w:rsid w:val="007D29F8"/>
    <w:rsid w:val="007D2BDD"/>
    <w:rsid w:val="007D3759"/>
    <w:rsid w:val="007D3783"/>
    <w:rsid w:val="007D39C8"/>
    <w:rsid w:val="007D3E34"/>
    <w:rsid w:val="007D7444"/>
    <w:rsid w:val="007E2416"/>
    <w:rsid w:val="007E3F37"/>
    <w:rsid w:val="007E5590"/>
    <w:rsid w:val="007E622A"/>
    <w:rsid w:val="007E6A65"/>
    <w:rsid w:val="007F3D5E"/>
    <w:rsid w:val="0080098C"/>
    <w:rsid w:val="00800AC5"/>
    <w:rsid w:val="00802C2B"/>
    <w:rsid w:val="008043AE"/>
    <w:rsid w:val="00807457"/>
    <w:rsid w:val="00807559"/>
    <w:rsid w:val="008105A0"/>
    <w:rsid w:val="00814B60"/>
    <w:rsid w:val="0082308E"/>
    <w:rsid w:val="008276DE"/>
    <w:rsid w:val="0083164E"/>
    <w:rsid w:val="00833A70"/>
    <w:rsid w:val="00835021"/>
    <w:rsid w:val="008407C6"/>
    <w:rsid w:val="00840E9D"/>
    <w:rsid w:val="008424FA"/>
    <w:rsid w:val="008437C9"/>
    <w:rsid w:val="008460F4"/>
    <w:rsid w:val="008536F1"/>
    <w:rsid w:val="00860678"/>
    <w:rsid w:val="008673E9"/>
    <w:rsid w:val="00873FDD"/>
    <w:rsid w:val="00880C74"/>
    <w:rsid w:val="00881F1B"/>
    <w:rsid w:val="00883391"/>
    <w:rsid w:val="0088602A"/>
    <w:rsid w:val="00890371"/>
    <w:rsid w:val="0089173D"/>
    <w:rsid w:val="008925E8"/>
    <w:rsid w:val="00893F69"/>
    <w:rsid w:val="0089486E"/>
    <w:rsid w:val="00896DD4"/>
    <w:rsid w:val="008A274E"/>
    <w:rsid w:val="008A5021"/>
    <w:rsid w:val="008A6444"/>
    <w:rsid w:val="008B1C62"/>
    <w:rsid w:val="008B2956"/>
    <w:rsid w:val="008C1FF2"/>
    <w:rsid w:val="008C51D4"/>
    <w:rsid w:val="008D1020"/>
    <w:rsid w:val="008D7329"/>
    <w:rsid w:val="008E371D"/>
    <w:rsid w:val="008E4BD1"/>
    <w:rsid w:val="008E7FB4"/>
    <w:rsid w:val="008F41FE"/>
    <w:rsid w:val="008F7C7C"/>
    <w:rsid w:val="0090435A"/>
    <w:rsid w:val="00906FD7"/>
    <w:rsid w:val="009106F4"/>
    <w:rsid w:val="00912D6D"/>
    <w:rsid w:val="009130F3"/>
    <w:rsid w:val="00914364"/>
    <w:rsid w:val="009146A0"/>
    <w:rsid w:val="0091586C"/>
    <w:rsid w:val="009206E0"/>
    <w:rsid w:val="00922C29"/>
    <w:rsid w:val="009231D8"/>
    <w:rsid w:val="00927D33"/>
    <w:rsid w:val="00935E92"/>
    <w:rsid w:val="00936B33"/>
    <w:rsid w:val="009404D1"/>
    <w:rsid w:val="00941974"/>
    <w:rsid w:val="00944026"/>
    <w:rsid w:val="00944CBA"/>
    <w:rsid w:val="00945771"/>
    <w:rsid w:val="00947C1A"/>
    <w:rsid w:val="00953EF9"/>
    <w:rsid w:val="00954294"/>
    <w:rsid w:val="009547BD"/>
    <w:rsid w:val="00956E8C"/>
    <w:rsid w:val="009644E7"/>
    <w:rsid w:val="00967F0C"/>
    <w:rsid w:val="00973872"/>
    <w:rsid w:val="00974650"/>
    <w:rsid w:val="00977A5F"/>
    <w:rsid w:val="00980459"/>
    <w:rsid w:val="009818E8"/>
    <w:rsid w:val="0098504B"/>
    <w:rsid w:val="0098637F"/>
    <w:rsid w:val="009912B4"/>
    <w:rsid w:val="009974A7"/>
    <w:rsid w:val="009A155C"/>
    <w:rsid w:val="009A4832"/>
    <w:rsid w:val="009B0B62"/>
    <w:rsid w:val="009B3342"/>
    <w:rsid w:val="009B6A33"/>
    <w:rsid w:val="009C298B"/>
    <w:rsid w:val="009C5E12"/>
    <w:rsid w:val="009D1219"/>
    <w:rsid w:val="009D2F05"/>
    <w:rsid w:val="009D5AC0"/>
    <w:rsid w:val="009D6C04"/>
    <w:rsid w:val="009E0A48"/>
    <w:rsid w:val="009E5DD9"/>
    <w:rsid w:val="009E63B0"/>
    <w:rsid w:val="009E7ED9"/>
    <w:rsid w:val="009F24A5"/>
    <w:rsid w:val="00A02A2D"/>
    <w:rsid w:val="00A03C23"/>
    <w:rsid w:val="00A07503"/>
    <w:rsid w:val="00A11704"/>
    <w:rsid w:val="00A14401"/>
    <w:rsid w:val="00A16793"/>
    <w:rsid w:val="00A20CA9"/>
    <w:rsid w:val="00A21CA2"/>
    <w:rsid w:val="00A21EEC"/>
    <w:rsid w:val="00A251A8"/>
    <w:rsid w:val="00A273B3"/>
    <w:rsid w:val="00A31439"/>
    <w:rsid w:val="00A31B93"/>
    <w:rsid w:val="00A32AB5"/>
    <w:rsid w:val="00A36D3F"/>
    <w:rsid w:val="00A4375F"/>
    <w:rsid w:val="00A51FA0"/>
    <w:rsid w:val="00A54C76"/>
    <w:rsid w:val="00A55152"/>
    <w:rsid w:val="00A557D3"/>
    <w:rsid w:val="00A57D3E"/>
    <w:rsid w:val="00A64808"/>
    <w:rsid w:val="00A67C83"/>
    <w:rsid w:val="00A717D7"/>
    <w:rsid w:val="00A71B70"/>
    <w:rsid w:val="00A739D4"/>
    <w:rsid w:val="00A74931"/>
    <w:rsid w:val="00A82190"/>
    <w:rsid w:val="00A8479C"/>
    <w:rsid w:val="00A862A5"/>
    <w:rsid w:val="00A86EE0"/>
    <w:rsid w:val="00A94186"/>
    <w:rsid w:val="00AA1896"/>
    <w:rsid w:val="00AA1AE0"/>
    <w:rsid w:val="00AA5DDF"/>
    <w:rsid w:val="00AA694D"/>
    <w:rsid w:val="00AB0D28"/>
    <w:rsid w:val="00AB3EEC"/>
    <w:rsid w:val="00AB4793"/>
    <w:rsid w:val="00AB5767"/>
    <w:rsid w:val="00AB5A6E"/>
    <w:rsid w:val="00AB6D21"/>
    <w:rsid w:val="00AC28B1"/>
    <w:rsid w:val="00AC4402"/>
    <w:rsid w:val="00AC536B"/>
    <w:rsid w:val="00AC63C7"/>
    <w:rsid w:val="00AC64C4"/>
    <w:rsid w:val="00AC6748"/>
    <w:rsid w:val="00AC67BF"/>
    <w:rsid w:val="00AC76E3"/>
    <w:rsid w:val="00AD01A7"/>
    <w:rsid w:val="00AD1D7C"/>
    <w:rsid w:val="00AE6C3E"/>
    <w:rsid w:val="00AF17C2"/>
    <w:rsid w:val="00AF4BD6"/>
    <w:rsid w:val="00B0013B"/>
    <w:rsid w:val="00B055F2"/>
    <w:rsid w:val="00B066C9"/>
    <w:rsid w:val="00B074EF"/>
    <w:rsid w:val="00B15164"/>
    <w:rsid w:val="00B16384"/>
    <w:rsid w:val="00B17176"/>
    <w:rsid w:val="00B20E00"/>
    <w:rsid w:val="00B22EC2"/>
    <w:rsid w:val="00B23995"/>
    <w:rsid w:val="00B30867"/>
    <w:rsid w:val="00B34102"/>
    <w:rsid w:val="00B35D0B"/>
    <w:rsid w:val="00B36BBB"/>
    <w:rsid w:val="00B37319"/>
    <w:rsid w:val="00B43226"/>
    <w:rsid w:val="00B471AC"/>
    <w:rsid w:val="00B519B3"/>
    <w:rsid w:val="00B52EBB"/>
    <w:rsid w:val="00B536D1"/>
    <w:rsid w:val="00B539AA"/>
    <w:rsid w:val="00B56D58"/>
    <w:rsid w:val="00B57937"/>
    <w:rsid w:val="00B60228"/>
    <w:rsid w:val="00B6276F"/>
    <w:rsid w:val="00B6562B"/>
    <w:rsid w:val="00B67B06"/>
    <w:rsid w:val="00B67F15"/>
    <w:rsid w:val="00B705A2"/>
    <w:rsid w:val="00B734ED"/>
    <w:rsid w:val="00B73B87"/>
    <w:rsid w:val="00B80525"/>
    <w:rsid w:val="00B8090B"/>
    <w:rsid w:val="00B81708"/>
    <w:rsid w:val="00B827A8"/>
    <w:rsid w:val="00B82E36"/>
    <w:rsid w:val="00B83D10"/>
    <w:rsid w:val="00B859CA"/>
    <w:rsid w:val="00B85CCE"/>
    <w:rsid w:val="00B87223"/>
    <w:rsid w:val="00B92AAD"/>
    <w:rsid w:val="00B943C9"/>
    <w:rsid w:val="00B94B62"/>
    <w:rsid w:val="00B94E4E"/>
    <w:rsid w:val="00B94FD6"/>
    <w:rsid w:val="00B95C6C"/>
    <w:rsid w:val="00BA6A76"/>
    <w:rsid w:val="00BA6FDF"/>
    <w:rsid w:val="00BB1073"/>
    <w:rsid w:val="00BB127E"/>
    <w:rsid w:val="00BB20CD"/>
    <w:rsid w:val="00BB49AA"/>
    <w:rsid w:val="00BB4CFC"/>
    <w:rsid w:val="00BB57B0"/>
    <w:rsid w:val="00BB6628"/>
    <w:rsid w:val="00BB6A80"/>
    <w:rsid w:val="00BB6BD8"/>
    <w:rsid w:val="00BB7AD7"/>
    <w:rsid w:val="00BC0CB7"/>
    <w:rsid w:val="00BC1544"/>
    <w:rsid w:val="00BC29E2"/>
    <w:rsid w:val="00BC30D1"/>
    <w:rsid w:val="00BD19EC"/>
    <w:rsid w:val="00BE2B49"/>
    <w:rsid w:val="00BE4284"/>
    <w:rsid w:val="00BE72D3"/>
    <w:rsid w:val="00BE755A"/>
    <w:rsid w:val="00BE7A79"/>
    <w:rsid w:val="00BF4A06"/>
    <w:rsid w:val="00BF4C60"/>
    <w:rsid w:val="00BF63A5"/>
    <w:rsid w:val="00BF6ADE"/>
    <w:rsid w:val="00BF75CE"/>
    <w:rsid w:val="00C02CD8"/>
    <w:rsid w:val="00C03CD0"/>
    <w:rsid w:val="00C06538"/>
    <w:rsid w:val="00C100C9"/>
    <w:rsid w:val="00C12476"/>
    <w:rsid w:val="00C14677"/>
    <w:rsid w:val="00C15B69"/>
    <w:rsid w:val="00C213D7"/>
    <w:rsid w:val="00C2679F"/>
    <w:rsid w:val="00C2705E"/>
    <w:rsid w:val="00C27DBE"/>
    <w:rsid w:val="00C30392"/>
    <w:rsid w:val="00C318FF"/>
    <w:rsid w:val="00C31947"/>
    <w:rsid w:val="00C32DDA"/>
    <w:rsid w:val="00C33596"/>
    <w:rsid w:val="00C33D94"/>
    <w:rsid w:val="00C35DD1"/>
    <w:rsid w:val="00C3635E"/>
    <w:rsid w:val="00C369D6"/>
    <w:rsid w:val="00C377D6"/>
    <w:rsid w:val="00C4173D"/>
    <w:rsid w:val="00C51EF1"/>
    <w:rsid w:val="00C538BE"/>
    <w:rsid w:val="00C53F00"/>
    <w:rsid w:val="00C54D08"/>
    <w:rsid w:val="00C60A69"/>
    <w:rsid w:val="00C61B19"/>
    <w:rsid w:val="00C62313"/>
    <w:rsid w:val="00C65FD6"/>
    <w:rsid w:val="00C74FAC"/>
    <w:rsid w:val="00C75228"/>
    <w:rsid w:val="00C8299E"/>
    <w:rsid w:val="00C8490C"/>
    <w:rsid w:val="00C852A1"/>
    <w:rsid w:val="00C86A2E"/>
    <w:rsid w:val="00C873BF"/>
    <w:rsid w:val="00C9203B"/>
    <w:rsid w:val="00CA2DAD"/>
    <w:rsid w:val="00CA730B"/>
    <w:rsid w:val="00CA7919"/>
    <w:rsid w:val="00CB042D"/>
    <w:rsid w:val="00CB7181"/>
    <w:rsid w:val="00CB7A68"/>
    <w:rsid w:val="00CC1A41"/>
    <w:rsid w:val="00CC1B86"/>
    <w:rsid w:val="00CC2421"/>
    <w:rsid w:val="00CC2AB9"/>
    <w:rsid w:val="00CD19BB"/>
    <w:rsid w:val="00CD41C1"/>
    <w:rsid w:val="00CD699D"/>
    <w:rsid w:val="00CD6B6B"/>
    <w:rsid w:val="00CE20E3"/>
    <w:rsid w:val="00CE3892"/>
    <w:rsid w:val="00CF03C5"/>
    <w:rsid w:val="00CF2E82"/>
    <w:rsid w:val="00CF38AB"/>
    <w:rsid w:val="00D0076C"/>
    <w:rsid w:val="00D05660"/>
    <w:rsid w:val="00D149CA"/>
    <w:rsid w:val="00D2314E"/>
    <w:rsid w:val="00D26EB7"/>
    <w:rsid w:val="00D31597"/>
    <w:rsid w:val="00D31948"/>
    <w:rsid w:val="00D32233"/>
    <w:rsid w:val="00D32C8C"/>
    <w:rsid w:val="00D33E46"/>
    <w:rsid w:val="00D3534B"/>
    <w:rsid w:val="00D35B12"/>
    <w:rsid w:val="00D373C1"/>
    <w:rsid w:val="00D41D07"/>
    <w:rsid w:val="00D44A63"/>
    <w:rsid w:val="00D464B3"/>
    <w:rsid w:val="00D532E5"/>
    <w:rsid w:val="00D5435E"/>
    <w:rsid w:val="00D54999"/>
    <w:rsid w:val="00D54C18"/>
    <w:rsid w:val="00D61C5F"/>
    <w:rsid w:val="00D626E3"/>
    <w:rsid w:val="00D64C47"/>
    <w:rsid w:val="00D71EF6"/>
    <w:rsid w:val="00D7606C"/>
    <w:rsid w:val="00D7791D"/>
    <w:rsid w:val="00D81545"/>
    <w:rsid w:val="00D8313E"/>
    <w:rsid w:val="00D84BB5"/>
    <w:rsid w:val="00D87A08"/>
    <w:rsid w:val="00D94BA3"/>
    <w:rsid w:val="00DA6FDC"/>
    <w:rsid w:val="00DA7861"/>
    <w:rsid w:val="00DA7F73"/>
    <w:rsid w:val="00DB03BD"/>
    <w:rsid w:val="00DB2913"/>
    <w:rsid w:val="00DB59D0"/>
    <w:rsid w:val="00DB7017"/>
    <w:rsid w:val="00DC1DAD"/>
    <w:rsid w:val="00DC34FF"/>
    <w:rsid w:val="00DC4AF2"/>
    <w:rsid w:val="00DC676F"/>
    <w:rsid w:val="00DD0BCF"/>
    <w:rsid w:val="00DE1817"/>
    <w:rsid w:val="00DE245D"/>
    <w:rsid w:val="00DE5682"/>
    <w:rsid w:val="00DE65B3"/>
    <w:rsid w:val="00DE76DF"/>
    <w:rsid w:val="00DF14AC"/>
    <w:rsid w:val="00DF2451"/>
    <w:rsid w:val="00DF35DF"/>
    <w:rsid w:val="00E01D5A"/>
    <w:rsid w:val="00E0299F"/>
    <w:rsid w:val="00E14FC0"/>
    <w:rsid w:val="00E21A0C"/>
    <w:rsid w:val="00E22089"/>
    <w:rsid w:val="00E220DF"/>
    <w:rsid w:val="00E2533E"/>
    <w:rsid w:val="00E31E39"/>
    <w:rsid w:val="00E37FF5"/>
    <w:rsid w:val="00E42B9B"/>
    <w:rsid w:val="00E43EBA"/>
    <w:rsid w:val="00E444C3"/>
    <w:rsid w:val="00E47625"/>
    <w:rsid w:val="00E5317E"/>
    <w:rsid w:val="00E62685"/>
    <w:rsid w:val="00E651D9"/>
    <w:rsid w:val="00E70EE7"/>
    <w:rsid w:val="00E73F06"/>
    <w:rsid w:val="00E766FE"/>
    <w:rsid w:val="00E7679B"/>
    <w:rsid w:val="00E82689"/>
    <w:rsid w:val="00E827A9"/>
    <w:rsid w:val="00E85191"/>
    <w:rsid w:val="00E86B31"/>
    <w:rsid w:val="00E9103C"/>
    <w:rsid w:val="00E92B81"/>
    <w:rsid w:val="00E96D4C"/>
    <w:rsid w:val="00EA046E"/>
    <w:rsid w:val="00EA3A3A"/>
    <w:rsid w:val="00EA4312"/>
    <w:rsid w:val="00EA5A9E"/>
    <w:rsid w:val="00EA663D"/>
    <w:rsid w:val="00EB0B54"/>
    <w:rsid w:val="00EC02AA"/>
    <w:rsid w:val="00EC59B5"/>
    <w:rsid w:val="00ED0AA4"/>
    <w:rsid w:val="00ED12BA"/>
    <w:rsid w:val="00ED13A6"/>
    <w:rsid w:val="00ED2C7C"/>
    <w:rsid w:val="00ED51E3"/>
    <w:rsid w:val="00ED683A"/>
    <w:rsid w:val="00EE1D75"/>
    <w:rsid w:val="00EE4FED"/>
    <w:rsid w:val="00EF219D"/>
    <w:rsid w:val="00EF3F7D"/>
    <w:rsid w:val="00F03607"/>
    <w:rsid w:val="00F0621B"/>
    <w:rsid w:val="00F1042F"/>
    <w:rsid w:val="00F13639"/>
    <w:rsid w:val="00F15677"/>
    <w:rsid w:val="00F159B0"/>
    <w:rsid w:val="00F16023"/>
    <w:rsid w:val="00F20987"/>
    <w:rsid w:val="00F21270"/>
    <w:rsid w:val="00F3134C"/>
    <w:rsid w:val="00F373CC"/>
    <w:rsid w:val="00F41036"/>
    <w:rsid w:val="00F43436"/>
    <w:rsid w:val="00F44153"/>
    <w:rsid w:val="00F46278"/>
    <w:rsid w:val="00F511D3"/>
    <w:rsid w:val="00F517C5"/>
    <w:rsid w:val="00F51831"/>
    <w:rsid w:val="00F56CC3"/>
    <w:rsid w:val="00F57394"/>
    <w:rsid w:val="00F61704"/>
    <w:rsid w:val="00F62131"/>
    <w:rsid w:val="00F6295A"/>
    <w:rsid w:val="00F67F3D"/>
    <w:rsid w:val="00F71B22"/>
    <w:rsid w:val="00F773CB"/>
    <w:rsid w:val="00F776CA"/>
    <w:rsid w:val="00F835B1"/>
    <w:rsid w:val="00F83F29"/>
    <w:rsid w:val="00F85088"/>
    <w:rsid w:val="00F93B1A"/>
    <w:rsid w:val="00FA0BCE"/>
    <w:rsid w:val="00FA54B7"/>
    <w:rsid w:val="00FA60B3"/>
    <w:rsid w:val="00FB7F10"/>
    <w:rsid w:val="00FC2216"/>
    <w:rsid w:val="00FC4B98"/>
    <w:rsid w:val="00FD16B4"/>
    <w:rsid w:val="00FD23E4"/>
    <w:rsid w:val="00FD5665"/>
    <w:rsid w:val="00FE1438"/>
    <w:rsid w:val="00FE26AD"/>
    <w:rsid w:val="00FE459C"/>
    <w:rsid w:val="00FE6794"/>
    <w:rsid w:val="00FF0555"/>
    <w:rsid w:val="00FF59D8"/>
    <w:rsid w:val="00FF7780"/>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0B"/>
  </w:style>
  <w:style w:type="paragraph" w:styleId="Heading1">
    <w:name w:val="heading 1"/>
    <w:basedOn w:val="Normal"/>
    <w:next w:val="Normal"/>
    <w:link w:val="Heading1Char"/>
    <w:uiPriority w:val="9"/>
    <w:qFormat/>
    <w:rsid w:val="00A71B7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6C57"/>
    <w:pPr>
      <w:keepNext/>
      <w:keepLines/>
      <w:numPr>
        <w:ilvl w:val="1"/>
        <w:numId w:val="1"/>
      </w:numPr>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A71B7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71B7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71B7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B7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1B7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1B7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71B7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2326D"/>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5A60E6"/>
    <w:rPr>
      <w:rFonts w:ascii="Lucida Grande" w:hAnsi="Lucida Grande"/>
      <w:sz w:val="18"/>
      <w:szCs w:val="18"/>
    </w:rPr>
  </w:style>
  <w:style w:type="paragraph" w:styleId="ListParagraph">
    <w:name w:val="List Paragraph"/>
    <w:basedOn w:val="Normal"/>
    <w:link w:val="ListParagraphChar"/>
    <w:uiPriority w:val="34"/>
    <w:qFormat/>
    <w:rsid w:val="00501EB6"/>
    <w:pPr>
      <w:ind w:left="720"/>
      <w:contextualSpacing/>
    </w:pPr>
  </w:style>
  <w:style w:type="character" w:customStyle="1" w:styleId="Heading1Char">
    <w:name w:val="Heading 1 Char"/>
    <w:basedOn w:val="DefaultParagraphFont"/>
    <w:link w:val="Heading1"/>
    <w:uiPriority w:val="9"/>
    <w:rsid w:val="00A71B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6C57"/>
    <w:rPr>
      <w:rFonts w:eastAsiaTheme="majorEastAsia" w:cstheme="majorBidi"/>
      <w:b/>
      <w:bCs/>
      <w:sz w:val="24"/>
      <w:szCs w:val="26"/>
    </w:rPr>
  </w:style>
  <w:style w:type="character" w:customStyle="1" w:styleId="Heading3Char">
    <w:name w:val="Heading 3 Char"/>
    <w:basedOn w:val="DefaultParagraphFont"/>
    <w:link w:val="Heading3"/>
    <w:uiPriority w:val="9"/>
    <w:rsid w:val="00A71B7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71B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71B7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71B7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71B7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71B7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71B70"/>
    <w:rPr>
      <w:rFonts w:asciiTheme="majorHAnsi" w:eastAsiaTheme="majorEastAsia" w:hAnsiTheme="majorHAnsi" w:cstheme="majorBidi"/>
      <w:i/>
      <w:iCs/>
      <w:color w:val="404040" w:themeColor="text1" w:themeTint="BF"/>
      <w:sz w:val="20"/>
      <w:szCs w:val="20"/>
    </w:rPr>
  </w:style>
  <w:style w:type="paragraph" w:customStyle="1" w:styleId="InvestmentSumheadings">
    <w:name w:val="Investment Sum headings"/>
    <w:basedOn w:val="Heading1"/>
    <w:qFormat/>
    <w:rsid w:val="00266C57"/>
    <w:rPr>
      <w:rFonts w:asciiTheme="minorHAnsi" w:hAnsiTheme="minorHAnsi"/>
      <w:color w:val="auto"/>
      <w:sz w:val="24"/>
      <w:szCs w:val="24"/>
    </w:rPr>
  </w:style>
  <w:style w:type="table" w:styleId="TableGrid">
    <w:name w:val="Table Grid"/>
    <w:basedOn w:val="TableNormal"/>
    <w:uiPriority w:val="59"/>
    <w:rsid w:val="00A02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Jo">
    <w:name w:val="Heading 3 Jo"/>
    <w:basedOn w:val="Heading3"/>
    <w:link w:val="Heading3JoChar"/>
    <w:qFormat/>
    <w:rsid w:val="00C54D08"/>
    <w:rPr>
      <w:rFonts w:asciiTheme="minorHAnsi" w:hAnsiTheme="minorHAnsi"/>
      <w:color w:val="auto"/>
    </w:rPr>
  </w:style>
  <w:style w:type="character" w:customStyle="1" w:styleId="Heading3JoChar">
    <w:name w:val="Heading 3 Jo Char"/>
    <w:basedOn w:val="Heading3Char"/>
    <w:link w:val="Heading3Jo"/>
    <w:rsid w:val="00C54D0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BB49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9AA"/>
  </w:style>
  <w:style w:type="paragraph" w:styleId="Footer">
    <w:name w:val="footer"/>
    <w:basedOn w:val="Normal"/>
    <w:link w:val="FooterChar"/>
    <w:uiPriority w:val="99"/>
    <w:unhideWhenUsed/>
    <w:rsid w:val="00BB49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9AA"/>
  </w:style>
  <w:style w:type="paragraph" w:customStyle="1" w:styleId="CONLevel1">
    <w:name w:val=".CON  Level   1."/>
    <w:basedOn w:val="Normal"/>
    <w:next w:val="Normal"/>
    <w:rsid w:val="00660A2C"/>
    <w:pPr>
      <w:keepNext/>
      <w:numPr>
        <w:numId w:val="3"/>
      </w:numPr>
      <w:spacing w:before="240" w:after="0" w:line="240" w:lineRule="auto"/>
      <w:outlineLvl w:val="1"/>
    </w:pPr>
    <w:rPr>
      <w:rFonts w:ascii="Times New Roman" w:eastAsia="Times New Roman" w:hAnsi="Times New Roman" w:cs="Times New Roman"/>
      <w:b/>
      <w:sz w:val="24"/>
      <w:szCs w:val="20"/>
    </w:rPr>
  </w:style>
  <w:style w:type="paragraph" w:customStyle="1" w:styleId="CONLevel11">
    <w:name w:val=".CON  Level   1.1"/>
    <w:basedOn w:val="Normal"/>
    <w:next w:val="Normal"/>
    <w:link w:val="CONLevel11Char"/>
    <w:rsid w:val="00660A2C"/>
    <w:pPr>
      <w:numPr>
        <w:ilvl w:val="1"/>
        <w:numId w:val="3"/>
      </w:numPr>
      <w:spacing w:before="240" w:after="0" w:line="240" w:lineRule="auto"/>
      <w:outlineLvl w:val="2"/>
    </w:pPr>
    <w:rPr>
      <w:rFonts w:ascii="Times New Roman" w:eastAsia="Times New Roman" w:hAnsi="Times New Roman" w:cs="Times New Roman"/>
      <w:sz w:val="24"/>
      <w:szCs w:val="20"/>
    </w:rPr>
  </w:style>
  <w:style w:type="paragraph" w:customStyle="1" w:styleId="CONLevela">
    <w:name w:val=".CON  Level  (a)"/>
    <w:basedOn w:val="Normal"/>
    <w:next w:val="Normal"/>
    <w:rsid w:val="00660A2C"/>
    <w:pPr>
      <w:numPr>
        <w:ilvl w:val="2"/>
        <w:numId w:val="3"/>
      </w:numPr>
      <w:spacing w:before="240" w:after="0" w:line="240" w:lineRule="auto"/>
      <w:outlineLvl w:val="3"/>
    </w:pPr>
    <w:rPr>
      <w:rFonts w:ascii="Times New Roman" w:eastAsia="Times New Roman" w:hAnsi="Times New Roman" w:cs="Times New Roman"/>
      <w:sz w:val="24"/>
      <w:szCs w:val="20"/>
    </w:rPr>
  </w:style>
  <w:style w:type="paragraph" w:customStyle="1" w:styleId="CONLeveli">
    <w:name w:val=".CON  Level  (i)"/>
    <w:basedOn w:val="Normal"/>
    <w:next w:val="Normal"/>
    <w:rsid w:val="00660A2C"/>
    <w:pPr>
      <w:numPr>
        <w:ilvl w:val="3"/>
        <w:numId w:val="3"/>
      </w:numPr>
      <w:spacing w:before="240" w:after="0" w:line="240" w:lineRule="auto"/>
      <w:outlineLvl w:val="4"/>
    </w:pPr>
    <w:rPr>
      <w:rFonts w:ascii="Times New Roman" w:eastAsia="Times New Roman" w:hAnsi="Times New Roman" w:cs="Times New Roman"/>
      <w:sz w:val="24"/>
    </w:rPr>
  </w:style>
  <w:style w:type="paragraph" w:customStyle="1" w:styleId="CONLevelI0">
    <w:name w:val=".CON  Level (I)"/>
    <w:basedOn w:val="Normal"/>
    <w:next w:val="Normal"/>
    <w:rsid w:val="00660A2C"/>
    <w:pPr>
      <w:numPr>
        <w:ilvl w:val="5"/>
        <w:numId w:val="3"/>
      </w:numPr>
      <w:spacing w:before="240" w:after="0" w:line="240" w:lineRule="auto"/>
      <w:outlineLvl w:val="6"/>
    </w:pPr>
    <w:rPr>
      <w:rFonts w:ascii="Times New Roman" w:eastAsia="Times New Roman" w:hAnsi="Times New Roman" w:cs="Times New Roman"/>
      <w:sz w:val="24"/>
    </w:rPr>
  </w:style>
  <w:style w:type="character" w:customStyle="1" w:styleId="CONLevel11Char">
    <w:name w:val=".CON  Level   1.1 Char"/>
    <w:link w:val="CONLevel11"/>
    <w:rsid w:val="00660A2C"/>
    <w:rPr>
      <w:rFonts w:ascii="Times New Roman" w:eastAsia="Times New Roman" w:hAnsi="Times New Roman" w:cs="Times New Roman"/>
      <w:sz w:val="24"/>
      <w:szCs w:val="20"/>
    </w:rPr>
  </w:style>
  <w:style w:type="paragraph" w:customStyle="1" w:styleId="CONLevelA0">
    <w:name w:val=".CON  Level (A)"/>
    <w:basedOn w:val="Normal"/>
    <w:next w:val="Normal"/>
    <w:rsid w:val="00660A2C"/>
    <w:pPr>
      <w:numPr>
        <w:ilvl w:val="4"/>
        <w:numId w:val="3"/>
      </w:numPr>
      <w:spacing w:before="240" w:after="0" w:line="240" w:lineRule="auto"/>
      <w:outlineLvl w:val="5"/>
    </w:pPr>
    <w:rPr>
      <w:rFonts w:ascii="Times New Roman" w:eastAsia="Times New Roman" w:hAnsi="Times New Roman" w:cs="Times New Roman"/>
      <w:sz w:val="24"/>
    </w:rPr>
  </w:style>
  <w:style w:type="paragraph" w:customStyle="1" w:styleId="conlevel110">
    <w:name w:val="conlevel11"/>
    <w:basedOn w:val="Normal"/>
    <w:rsid w:val="00666BD4"/>
    <w:pPr>
      <w:spacing w:before="100" w:beforeAutospacing="1" w:after="100" w:afterAutospacing="1" w:line="240" w:lineRule="auto"/>
    </w:pPr>
    <w:rPr>
      <w:rFonts w:ascii="Times New Roman" w:hAnsi="Times New Roman" w:cs="Times New Roman"/>
      <w:sz w:val="24"/>
      <w:szCs w:val="24"/>
      <w:lang w:eastAsia="en-AU"/>
    </w:rPr>
  </w:style>
  <w:style w:type="character" w:customStyle="1" w:styleId="ListParagraphChar">
    <w:name w:val="List Paragraph Char"/>
    <w:basedOn w:val="DefaultParagraphFont"/>
    <w:link w:val="ListParagraph"/>
    <w:uiPriority w:val="99"/>
    <w:locked/>
    <w:rsid w:val="00FE1438"/>
  </w:style>
  <w:style w:type="character" w:customStyle="1" w:styleId="BalloonTextChar1">
    <w:name w:val="Balloon Text Char1"/>
    <w:basedOn w:val="DefaultParagraphFont"/>
    <w:link w:val="BalloonText"/>
    <w:uiPriority w:val="99"/>
    <w:semiHidden/>
    <w:rsid w:val="0042326D"/>
    <w:rPr>
      <w:rFonts w:ascii="Tahoma" w:hAnsi="Tahoma" w:cs="Tahoma"/>
      <w:sz w:val="16"/>
      <w:szCs w:val="16"/>
    </w:rPr>
  </w:style>
  <w:style w:type="paragraph" w:customStyle="1" w:styleId="Body">
    <w:name w:val="Body"/>
    <w:rsid w:val="0091436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AU"/>
    </w:rPr>
  </w:style>
  <w:style w:type="character" w:styleId="CommentReference">
    <w:name w:val="annotation reference"/>
    <w:basedOn w:val="DefaultParagraphFont"/>
    <w:uiPriority w:val="99"/>
    <w:semiHidden/>
    <w:unhideWhenUsed/>
    <w:rsid w:val="00054085"/>
    <w:rPr>
      <w:sz w:val="16"/>
      <w:szCs w:val="16"/>
    </w:rPr>
  </w:style>
  <w:style w:type="paragraph" w:styleId="CommentText">
    <w:name w:val="annotation text"/>
    <w:basedOn w:val="Normal"/>
    <w:link w:val="CommentTextChar"/>
    <w:uiPriority w:val="99"/>
    <w:semiHidden/>
    <w:unhideWhenUsed/>
    <w:rsid w:val="00054085"/>
    <w:pPr>
      <w:spacing w:line="240" w:lineRule="auto"/>
    </w:pPr>
    <w:rPr>
      <w:sz w:val="20"/>
      <w:szCs w:val="20"/>
    </w:rPr>
  </w:style>
  <w:style w:type="character" w:customStyle="1" w:styleId="CommentTextChar">
    <w:name w:val="Comment Text Char"/>
    <w:basedOn w:val="DefaultParagraphFont"/>
    <w:link w:val="CommentText"/>
    <w:uiPriority w:val="99"/>
    <w:semiHidden/>
    <w:rsid w:val="00054085"/>
    <w:rPr>
      <w:sz w:val="20"/>
      <w:szCs w:val="20"/>
    </w:rPr>
  </w:style>
  <w:style w:type="paragraph" w:styleId="CommentSubject">
    <w:name w:val="annotation subject"/>
    <w:basedOn w:val="CommentText"/>
    <w:next w:val="CommentText"/>
    <w:link w:val="CommentSubjectChar"/>
    <w:uiPriority w:val="99"/>
    <w:semiHidden/>
    <w:unhideWhenUsed/>
    <w:rsid w:val="00054085"/>
    <w:rPr>
      <w:b/>
      <w:bCs/>
    </w:rPr>
  </w:style>
  <w:style w:type="character" w:customStyle="1" w:styleId="CommentSubjectChar">
    <w:name w:val="Comment Subject Char"/>
    <w:basedOn w:val="CommentTextChar"/>
    <w:link w:val="CommentSubject"/>
    <w:uiPriority w:val="99"/>
    <w:semiHidden/>
    <w:rsid w:val="00054085"/>
    <w:rPr>
      <w:b/>
      <w:bCs/>
      <w:sz w:val="20"/>
      <w:szCs w:val="20"/>
    </w:rPr>
  </w:style>
  <w:style w:type="paragraph" w:customStyle="1" w:styleId="Default">
    <w:name w:val="Default"/>
    <w:rsid w:val="00CF2E82"/>
    <w:pPr>
      <w:autoSpaceDE w:val="0"/>
      <w:autoSpaceDN w:val="0"/>
      <w:adjustRightInd w:val="0"/>
      <w:spacing w:after="0" w:line="240" w:lineRule="auto"/>
    </w:pPr>
    <w:rPr>
      <w:rFonts w:cs="Calibri"/>
      <w:color w:val="000000"/>
      <w:sz w:val="24"/>
      <w:szCs w:val="24"/>
    </w:rPr>
  </w:style>
  <w:style w:type="paragraph" w:styleId="FootnoteText">
    <w:name w:val="footnote text"/>
    <w:aliases w:val="single space,Footnote text,single spacing,FOOTNOTES,fn,ft,Footnote Text Char1,Footnote Text Char2 Char,Footnote Text Char1 Char Char,Footnote Text Char2 Char Char Char,Footnote Text Char1 Char Char Char Char,ALTS FOOTNOTE,f,footnote text,A"/>
    <w:basedOn w:val="Normal"/>
    <w:link w:val="FootnoteTextChar"/>
    <w:uiPriority w:val="99"/>
    <w:unhideWhenUsed/>
    <w:rsid w:val="006C6C64"/>
    <w:pPr>
      <w:spacing w:after="0" w:line="240" w:lineRule="auto"/>
    </w:pPr>
    <w:rPr>
      <w:sz w:val="20"/>
      <w:szCs w:val="20"/>
    </w:rPr>
  </w:style>
  <w:style w:type="character" w:customStyle="1" w:styleId="FootnoteTextChar">
    <w:name w:val="Footnote Text Char"/>
    <w:aliases w:val="single space Char,Footnote text Char,single spacing Char,FOOTNOTES Char,fn Char,ft Char,Footnote Text Char1 Char,Footnote Text Char2 Char Char,Footnote Text Char1 Char Char Char,Footnote Text Char2 Char Char Char Char,f Char,A Char"/>
    <w:basedOn w:val="DefaultParagraphFont"/>
    <w:link w:val="FootnoteText"/>
    <w:uiPriority w:val="99"/>
    <w:rsid w:val="006C6C64"/>
    <w:rPr>
      <w:sz w:val="20"/>
      <w:szCs w:val="20"/>
    </w:rPr>
  </w:style>
  <w:style w:type="character" w:styleId="FootnoteReference">
    <w:name w:val="footnote reference"/>
    <w:aliases w:val="ftref,BVI fnr,Знак сноски 1,(NECG) Footnote Reference,16 Point,Superscript 6 Point,fr,Footnote + Arial,10 pt,Black,Fußnotenzeichen DISS,Superscript 6 Point + 11 pt,Footnote Ref in FtNote,FnR-ANZDEC,de nota al pie,Ref,SUPERS,ftref1"/>
    <w:basedOn w:val="DefaultParagraphFont"/>
    <w:uiPriority w:val="99"/>
    <w:unhideWhenUsed/>
    <w:rsid w:val="006C6C64"/>
    <w:rPr>
      <w:vertAlign w:val="superscript"/>
    </w:rPr>
  </w:style>
  <w:style w:type="character" w:styleId="Hyperlink">
    <w:name w:val="Hyperlink"/>
    <w:uiPriority w:val="99"/>
    <w:unhideWhenUsed/>
    <w:rsid w:val="00492BCE"/>
    <w:rPr>
      <w:color w:val="0000FF"/>
      <w:u w:val="single"/>
    </w:rPr>
  </w:style>
  <w:style w:type="character" w:styleId="FollowedHyperlink">
    <w:name w:val="FollowedHyperlink"/>
    <w:basedOn w:val="DefaultParagraphFont"/>
    <w:uiPriority w:val="99"/>
    <w:semiHidden/>
    <w:unhideWhenUsed/>
    <w:rsid w:val="00520ACE"/>
    <w:rPr>
      <w:color w:val="800080" w:themeColor="followedHyperlink"/>
      <w:u w:val="single"/>
    </w:rPr>
  </w:style>
  <w:style w:type="paragraph" w:styleId="BodyText">
    <w:name w:val="Body Text"/>
    <w:basedOn w:val="Normal"/>
    <w:link w:val="BodyTextChar"/>
    <w:uiPriority w:val="99"/>
    <w:qFormat/>
    <w:rsid w:val="0077193C"/>
    <w:pPr>
      <w:spacing w:before="180" w:after="180" w:line="240" w:lineRule="auto"/>
      <w:jc w:val="both"/>
    </w:pPr>
    <w:rPr>
      <w:rFonts w:eastAsiaTheme="minorEastAsia"/>
      <w:lang w:val="en-GB"/>
    </w:rPr>
  </w:style>
  <w:style w:type="character" w:customStyle="1" w:styleId="BodyTextChar">
    <w:name w:val="Body Text Char"/>
    <w:basedOn w:val="DefaultParagraphFont"/>
    <w:link w:val="BodyText"/>
    <w:uiPriority w:val="99"/>
    <w:rsid w:val="0077193C"/>
    <w:rPr>
      <w:rFonts w:eastAsiaTheme="minorEastAsia"/>
      <w:lang w:val="en-GB"/>
    </w:rPr>
  </w:style>
  <w:style w:type="paragraph" w:styleId="ListBullet">
    <w:name w:val="List Bullet"/>
    <w:basedOn w:val="ListParagraph"/>
    <w:uiPriority w:val="99"/>
    <w:unhideWhenUsed/>
    <w:rsid w:val="0077193C"/>
    <w:pPr>
      <w:numPr>
        <w:numId w:val="28"/>
      </w:numPr>
      <w:spacing w:before="120" w:after="120" w:line="240" w:lineRule="auto"/>
      <w:contextualSpacing w:val="0"/>
      <w:jc w:val="both"/>
    </w:pPr>
    <w:rPr>
      <w:rFonts w:asciiTheme="majorHAnsi" w:eastAsiaTheme="minorEastAsia" w:hAnsiTheme="majorHAnsi"/>
      <w:lang w:val="en-GB"/>
    </w:rPr>
  </w:style>
  <w:style w:type="paragraph" w:styleId="Caption">
    <w:name w:val="caption"/>
    <w:basedOn w:val="Normal"/>
    <w:next w:val="Normal"/>
    <w:uiPriority w:val="35"/>
    <w:qFormat/>
    <w:rsid w:val="00545005"/>
    <w:pPr>
      <w:keepNext/>
      <w:spacing w:before="120" w:after="0" w:line="240" w:lineRule="auto"/>
    </w:pPr>
    <w:rPr>
      <w:rFonts w:asciiTheme="majorHAnsi" w:eastAsiaTheme="minorEastAsia" w:hAnsiTheme="majorHAnsi"/>
      <w:b/>
      <w:i/>
      <w:color w:val="000090"/>
      <w:lang w:val="en-GB"/>
    </w:rPr>
  </w:style>
  <w:style w:type="paragraph" w:customStyle="1" w:styleId="Tabletextsmall">
    <w:name w:val="Table text small"/>
    <w:basedOn w:val="BodyText"/>
    <w:qFormat/>
    <w:rsid w:val="0074265F"/>
    <w:pPr>
      <w:spacing w:before="40" w:after="40"/>
      <w:jc w:val="left"/>
    </w:pPr>
    <w:rPr>
      <w:sz w:val="20"/>
      <w:szCs w:val="20"/>
    </w:rPr>
  </w:style>
  <w:style w:type="paragraph" w:customStyle="1" w:styleId="Tabletextsmallbullet">
    <w:name w:val="Table text small bullet"/>
    <w:basedOn w:val="Tabletextsmall"/>
    <w:qFormat/>
    <w:rsid w:val="0074265F"/>
    <w:pPr>
      <w:numPr>
        <w:numId w:val="30"/>
      </w:numPr>
      <w:ind w:left="170" w:hanging="170"/>
    </w:pPr>
  </w:style>
  <w:style w:type="paragraph" w:styleId="EndnoteText">
    <w:name w:val="endnote text"/>
    <w:basedOn w:val="Normal"/>
    <w:link w:val="EndnoteTextChar"/>
    <w:uiPriority w:val="99"/>
    <w:semiHidden/>
    <w:unhideWhenUsed/>
    <w:rsid w:val="00E220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2089"/>
    <w:rPr>
      <w:sz w:val="20"/>
      <w:szCs w:val="20"/>
    </w:rPr>
  </w:style>
  <w:style w:type="character" w:styleId="EndnoteReference">
    <w:name w:val="endnote reference"/>
    <w:basedOn w:val="DefaultParagraphFont"/>
    <w:uiPriority w:val="99"/>
    <w:semiHidden/>
    <w:unhideWhenUsed/>
    <w:rsid w:val="00E22089"/>
    <w:rPr>
      <w:vertAlign w:val="superscript"/>
    </w:rPr>
  </w:style>
  <w:style w:type="paragraph" w:styleId="Revision">
    <w:name w:val="Revision"/>
    <w:hidden/>
    <w:uiPriority w:val="99"/>
    <w:semiHidden/>
    <w:rsid w:val="008407C6"/>
    <w:pPr>
      <w:spacing w:after="0" w:line="240" w:lineRule="auto"/>
    </w:pPr>
  </w:style>
  <w:style w:type="table" w:styleId="LightList-Accent1">
    <w:name w:val="Light List Accent 1"/>
    <w:basedOn w:val="TableNormal"/>
    <w:uiPriority w:val="61"/>
    <w:rsid w:val="00781BBC"/>
    <w:pPr>
      <w:spacing w:after="0" w:line="240" w:lineRule="auto"/>
    </w:pPr>
    <w:rPr>
      <w:rFonts w:asciiTheme="minorHAnsi" w:hAnsi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0B"/>
  </w:style>
  <w:style w:type="paragraph" w:styleId="Heading1">
    <w:name w:val="heading 1"/>
    <w:basedOn w:val="Normal"/>
    <w:next w:val="Normal"/>
    <w:link w:val="Heading1Char"/>
    <w:uiPriority w:val="9"/>
    <w:qFormat/>
    <w:rsid w:val="00A71B7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6C57"/>
    <w:pPr>
      <w:keepNext/>
      <w:keepLines/>
      <w:numPr>
        <w:ilvl w:val="1"/>
        <w:numId w:val="1"/>
      </w:numPr>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A71B7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71B7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71B7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B7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1B7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1B7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71B7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2326D"/>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5A60E6"/>
    <w:rPr>
      <w:rFonts w:ascii="Lucida Grande" w:hAnsi="Lucida Grande"/>
      <w:sz w:val="18"/>
      <w:szCs w:val="18"/>
    </w:rPr>
  </w:style>
  <w:style w:type="paragraph" w:styleId="ListParagraph">
    <w:name w:val="List Paragraph"/>
    <w:basedOn w:val="Normal"/>
    <w:link w:val="ListParagraphChar"/>
    <w:uiPriority w:val="34"/>
    <w:qFormat/>
    <w:rsid w:val="00501EB6"/>
    <w:pPr>
      <w:ind w:left="720"/>
      <w:contextualSpacing/>
    </w:pPr>
  </w:style>
  <w:style w:type="character" w:customStyle="1" w:styleId="Heading1Char">
    <w:name w:val="Heading 1 Char"/>
    <w:basedOn w:val="DefaultParagraphFont"/>
    <w:link w:val="Heading1"/>
    <w:uiPriority w:val="9"/>
    <w:rsid w:val="00A71B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6C57"/>
    <w:rPr>
      <w:rFonts w:eastAsiaTheme="majorEastAsia" w:cstheme="majorBidi"/>
      <w:b/>
      <w:bCs/>
      <w:sz w:val="24"/>
      <w:szCs w:val="26"/>
    </w:rPr>
  </w:style>
  <w:style w:type="character" w:customStyle="1" w:styleId="Heading3Char">
    <w:name w:val="Heading 3 Char"/>
    <w:basedOn w:val="DefaultParagraphFont"/>
    <w:link w:val="Heading3"/>
    <w:uiPriority w:val="9"/>
    <w:rsid w:val="00A71B7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71B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71B7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71B7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71B7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71B7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71B70"/>
    <w:rPr>
      <w:rFonts w:asciiTheme="majorHAnsi" w:eastAsiaTheme="majorEastAsia" w:hAnsiTheme="majorHAnsi" w:cstheme="majorBidi"/>
      <w:i/>
      <w:iCs/>
      <w:color w:val="404040" w:themeColor="text1" w:themeTint="BF"/>
      <w:sz w:val="20"/>
      <w:szCs w:val="20"/>
    </w:rPr>
  </w:style>
  <w:style w:type="paragraph" w:customStyle="1" w:styleId="InvestmentSumheadings">
    <w:name w:val="Investment Sum headings"/>
    <w:basedOn w:val="Heading1"/>
    <w:qFormat/>
    <w:rsid w:val="00266C57"/>
    <w:rPr>
      <w:rFonts w:asciiTheme="minorHAnsi" w:hAnsiTheme="minorHAnsi"/>
      <w:color w:val="auto"/>
      <w:sz w:val="24"/>
      <w:szCs w:val="24"/>
    </w:rPr>
  </w:style>
  <w:style w:type="table" w:styleId="TableGrid">
    <w:name w:val="Table Grid"/>
    <w:basedOn w:val="TableNormal"/>
    <w:uiPriority w:val="59"/>
    <w:rsid w:val="00A02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Jo">
    <w:name w:val="Heading 3 Jo"/>
    <w:basedOn w:val="Heading3"/>
    <w:link w:val="Heading3JoChar"/>
    <w:qFormat/>
    <w:rsid w:val="00C54D08"/>
    <w:rPr>
      <w:rFonts w:asciiTheme="minorHAnsi" w:hAnsiTheme="minorHAnsi"/>
      <w:color w:val="auto"/>
    </w:rPr>
  </w:style>
  <w:style w:type="character" w:customStyle="1" w:styleId="Heading3JoChar">
    <w:name w:val="Heading 3 Jo Char"/>
    <w:basedOn w:val="Heading3Char"/>
    <w:link w:val="Heading3Jo"/>
    <w:rsid w:val="00C54D0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BB49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9AA"/>
  </w:style>
  <w:style w:type="paragraph" w:styleId="Footer">
    <w:name w:val="footer"/>
    <w:basedOn w:val="Normal"/>
    <w:link w:val="FooterChar"/>
    <w:uiPriority w:val="99"/>
    <w:unhideWhenUsed/>
    <w:rsid w:val="00BB49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9AA"/>
  </w:style>
  <w:style w:type="paragraph" w:customStyle="1" w:styleId="CONLevel1">
    <w:name w:val=".CON  Level   1."/>
    <w:basedOn w:val="Normal"/>
    <w:next w:val="Normal"/>
    <w:rsid w:val="00660A2C"/>
    <w:pPr>
      <w:keepNext/>
      <w:numPr>
        <w:numId w:val="3"/>
      </w:numPr>
      <w:spacing w:before="240" w:after="0" w:line="240" w:lineRule="auto"/>
      <w:outlineLvl w:val="1"/>
    </w:pPr>
    <w:rPr>
      <w:rFonts w:ascii="Times New Roman" w:eastAsia="Times New Roman" w:hAnsi="Times New Roman" w:cs="Times New Roman"/>
      <w:b/>
      <w:sz w:val="24"/>
      <w:szCs w:val="20"/>
    </w:rPr>
  </w:style>
  <w:style w:type="paragraph" w:customStyle="1" w:styleId="CONLevel11">
    <w:name w:val=".CON  Level   1.1"/>
    <w:basedOn w:val="Normal"/>
    <w:next w:val="Normal"/>
    <w:link w:val="CONLevel11Char"/>
    <w:rsid w:val="00660A2C"/>
    <w:pPr>
      <w:numPr>
        <w:ilvl w:val="1"/>
        <w:numId w:val="3"/>
      </w:numPr>
      <w:spacing w:before="240" w:after="0" w:line="240" w:lineRule="auto"/>
      <w:outlineLvl w:val="2"/>
    </w:pPr>
    <w:rPr>
      <w:rFonts w:ascii="Times New Roman" w:eastAsia="Times New Roman" w:hAnsi="Times New Roman" w:cs="Times New Roman"/>
      <w:sz w:val="24"/>
      <w:szCs w:val="20"/>
    </w:rPr>
  </w:style>
  <w:style w:type="paragraph" w:customStyle="1" w:styleId="CONLevela">
    <w:name w:val=".CON  Level  (a)"/>
    <w:basedOn w:val="Normal"/>
    <w:next w:val="Normal"/>
    <w:rsid w:val="00660A2C"/>
    <w:pPr>
      <w:numPr>
        <w:ilvl w:val="2"/>
        <w:numId w:val="3"/>
      </w:numPr>
      <w:spacing w:before="240" w:after="0" w:line="240" w:lineRule="auto"/>
      <w:outlineLvl w:val="3"/>
    </w:pPr>
    <w:rPr>
      <w:rFonts w:ascii="Times New Roman" w:eastAsia="Times New Roman" w:hAnsi="Times New Roman" w:cs="Times New Roman"/>
      <w:sz w:val="24"/>
      <w:szCs w:val="20"/>
    </w:rPr>
  </w:style>
  <w:style w:type="paragraph" w:customStyle="1" w:styleId="CONLeveli">
    <w:name w:val=".CON  Level  (i)"/>
    <w:basedOn w:val="Normal"/>
    <w:next w:val="Normal"/>
    <w:rsid w:val="00660A2C"/>
    <w:pPr>
      <w:numPr>
        <w:ilvl w:val="3"/>
        <w:numId w:val="3"/>
      </w:numPr>
      <w:spacing w:before="240" w:after="0" w:line="240" w:lineRule="auto"/>
      <w:outlineLvl w:val="4"/>
    </w:pPr>
    <w:rPr>
      <w:rFonts w:ascii="Times New Roman" w:eastAsia="Times New Roman" w:hAnsi="Times New Roman" w:cs="Times New Roman"/>
      <w:sz w:val="24"/>
    </w:rPr>
  </w:style>
  <w:style w:type="paragraph" w:customStyle="1" w:styleId="CONLevelI0">
    <w:name w:val=".CON  Level (I)"/>
    <w:basedOn w:val="Normal"/>
    <w:next w:val="Normal"/>
    <w:rsid w:val="00660A2C"/>
    <w:pPr>
      <w:numPr>
        <w:ilvl w:val="5"/>
        <w:numId w:val="3"/>
      </w:numPr>
      <w:spacing w:before="240" w:after="0" w:line="240" w:lineRule="auto"/>
      <w:outlineLvl w:val="6"/>
    </w:pPr>
    <w:rPr>
      <w:rFonts w:ascii="Times New Roman" w:eastAsia="Times New Roman" w:hAnsi="Times New Roman" w:cs="Times New Roman"/>
      <w:sz w:val="24"/>
    </w:rPr>
  </w:style>
  <w:style w:type="character" w:customStyle="1" w:styleId="CONLevel11Char">
    <w:name w:val=".CON  Level   1.1 Char"/>
    <w:link w:val="CONLevel11"/>
    <w:rsid w:val="00660A2C"/>
    <w:rPr>
      <w:rFonts w:ascii="Times New Roman" w:eastAsia="Times New Roman" w:hAnsi="Times New Roman" w:cs="Times New Roman"/>
      <w:sz w:val="24"/>
      <w:szCs w:val="20"/>
    </w:rPr>
  </w:style>
  <w:style w:type="paragraph" w:customStyle="1" w:styleId="CONLevelA0">
    <w:name w:val=".CON  Level (A)"/>
    <w:basedOn w:val="Normal"/>
    <w:next w:val="Normal"/>
    <w:rsid w:val="00660A2C"/>
    <w:pPr>
      <w:numPr>
        <w:ilvl w:val="4"/>
        <w:numId w:val="3"/>
      </w:numPr>
      <w:spacing w:before="240" w:after="0" w:line="240" w:lineRule="auto"/>
      <w:outlineLvl w:val="5"/>
    </w:pPr>
    <w:rPr>
      <w:rFonts w:ascii="Times New Roman" w:eastAsia="Times New Roman" w:hAnsi="Times New Roman" w:cs="Times New Roman"/>
      <w:sz w:val="24"/>
    </w:rPr>
  </w:style>
  <w:style w:type="paragraph" w:customStyle="1" w:styleId="conlevel110">
    <w:name w:val="conlevel11"/>
    <w:basedOn w:val="Normal"/>
    <w:rsid w:val="00666BD4"/>
    <w:pPr>
      <w:spacing w:before="100" w:beforeAutospacing="1" w:after="100" w:afterAutospacing="1" w:line="240" w:lineRule="auto"/>
    </w:pPr>
    <w:rPr>
      <w:rFonts w:ascii="Times New Roman" w:hAnsi="Times New Roman" w:cs="Times New Roman"/>
      <w:sz w:val="24"/>
      <w:szCs w:val="24"/>
      <w:lang w:eastAsia="en-AU"/>
    </w:rPr>
  </w:style>
  <w:style w:type="character" w:customStyle="1" w:styleId="ListParagraphChar">
    <w:name w:val="List Paragraph Char"/>
    <w:basedOn w:val="DefaultParagraphFont"/>
    <w:link w:val="ListParagraph"/>
    <w:uiPriority w:val="99"/>
    <w:locked/>
    <w:rsid w:val="00FE1438"/>
  </w:style>
  <w:style w:type="character" w:customStyle="1" w:styleId="BalloonTextChar1">
    <w:name w:val="Balloon Text Char1"/>
    <w:basedOn w:val="DefaultParagraphFont"/>
    <w:link w:val="BalloonText"/>
    <w:uiPriority w:val="99"/>
    <w:semiHidden/>
    <w:rsid w:val="0042326D"/>
    <w:rPr>
      <w:rFonts w:ascii="Tahoma" w:hAnsi="Tahoma" w:cs="Tahoma"/>
      <w:sz w:val="16"/>
      <w:szCs w:val="16"/>
    </w:rPr>
  </w:style>
  <w:style w:type="paragraph" w:customStyle="1" w:styleId="Body">
    <w:name w:val="Body"/>
    <w:rsid w:val="0091436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AU"/>
    </w:rPr>
  </w:style>
  <w:style w:type="character" w:styleId="CommentReference">
    <w:name w:val="annotation reference"/>
    <w:basedOn w:val="DefaultParagraphFont"/>
    <w:uiPriority w:val="99"/>
    <w:semiHidden/>
    <w:unhideWhenUsed/>
    <w:rsid w:val="00054085"/>
    <w:rPr>
      <w:sz w:val="16"/>
      <w:szCs w:val="16"/>
    </w:rPr>
  </w:style>
  <w:style w:type="paragraph" w:styleId="CommentText">
    <w:name w:val="annotation text"/>
    <w:basedOn w:val="Normal"/>
    <w:link w:val="CommentTextChar"/>
    <w:uiPriority w:val="99"/>
    <w:semiHidden/>
    <w:unhideWhenUsed/>
    <w:rsid w:val="00054085"/>
    <w:pPr>
      <w:spacing w:line="240" w:lineRule="auto"/>
    </w:pPr>
    <w:rPr>
      <w:sz w:val="20"/>
      <w:szCs w:val="20"/>
    </w:rPr>
  </w:style>
  <w:style w:type="character" w:customStyle="1" w:styleId="CommentTextChar">
    <w:name w:val="Comment Text Char"/>
    <w:basedOn w:val="DefaultParagraphFont"/>
    <w:link w:val="CommentText"/>
    <w:uiPriority w:val="99"/>
    <w:semiHidden/>
    <w:rsid w:val="00054085"/>
    <w:rPr>
      <w:sz w:val="20"/>
      <w:szCs w:val="20"/>
    </w:rPr>
  </w:style>
  <w:style w:type="paragraph" w:styleId="CommentSubject">
    <w:name w:val="annotation subject"/>
    <w:basedOn w:val="CommentText"/>
    <w:next w:val="CommentText"/>
    <w:link w:val="CommentSubjectChar"/>
    <w:uiPriority w:val="99"/>
    <w:semiHidden/>
    <w:unhideWhenUsed/>
    <w:rsid w:val="00054085"/>
    <w:rPr>
      <w:b/>
      <w:bCs/>
    </w:rPr>
  </w:style>
  <w:style w:type="character" w:customStyle="1" w:styleId="CommentSubjectChar">
    <w:name w:val="Comment Subject Char"/>
    <w:basedOn w:val="CommentTextChar"/>
    <w:link w:val="CommentSubject"/>
    <w:uiPriority w:val="99"/>
    <w:semiHidden/>
    <w:rsid w:val="00054085"/>
    <w:rPr>
      <w:b/>
      <w:bCs/>
      <w:sz w:val="20"/>
      <w:szCs w:val="20"/>
    </w:rPr>
  </w:style>
  <w:style w:type="paragraph" w:customStyle="1" w:styleId="Default">
    <w:name w:val="Default"/>
    <w:rsid w:val="00CF2E82"/>
    <w:pPr>
      <w:autoSpaceDE w:val="0"/>
      <w:autoSpaceDN w:val="0"/>
      <w:adjustRightInd w:val="0"/>
      <w:spacing w:after="0" w:line="240" w:lineRule="auto"/>
    </w:pPr>
    <w:rPr>
      <w:rFonts w:cs="Calibri"/>
      <w:color w:val="000000"/>
      <w:sz w:val="24"/>
      <w:szCs w:val="24"/>
    </w:rPr>
  </w:style>
  <w:style w:type="paragraph" w:styleId="FootnoteText">
    <w:name w:val="footnote text"/>
    <w:aliases w:val="single space,Footnote text,single spacing,FOOTNOTES,fn,ft,Footnote Text Char1,Footnote Text Char2 Char,Footnote Text Char1 Char Char,Footnote Text Char2 Char Char Char,Footnote Text Char1 Char Char Char Char,ALTS FOOTNOTE,f,footnote text,A"/>
    <w:basedOn w:val="Normal"/>
    <w:link w:val="FootnoteTextChar"/>
    <w:uiPriority w:val="99"/>
    <w:unhideWhenUsed/>
    <w:rsid w:val="006C6C64"/>
    <w:pPr>
      <w:spacing w:after="0" w:line="240" w:lineRule="auto"/>
    </w:pPr>
    <w:rPr>
      <w:sz w:val="20"/>
      <w:szCs w:val="20"/>
    </w:rPr>
  </w:style>
  <w:style w:type="character" w:customStyle="1" w:styleId="FootnoteTextChar">
    <w:name w:val="Footnote Text Char"/>
    <w:aliases w:val="single space Char,Footnote text Char,single spacing Char,FOOTNOTES Char,fn Char,ft Char,Footnote Text Char1 Char,Footnote Text Char2 Char Char,Footnote Text Char1 Char Char Char,Footnote Text Char2 Char Char Char Char,f Char,A Char"/>
    <w:basedOn w:val="DefaultParagraphFont"/>
    <w:link w:val="FootnoteText"/>
    <w:uiPriority w:val="99"/>
    <w:rsid w:val="006C6C64"/>
    <w:rPr>
      <w:sz w:val="20"/>
      <w:szCs w:val="20"/>
    </w:rPr>
  </w:style>
  <w:style w:type="character" w:styleId="FootnoteReference">
    <w:name w:val="footnote reference"/>
    <w:aliases w:val="ftref,BVI fnr,Знак сноски 1,(NECG) Footnote Reference,16 Point,Superscript 6 Point,fr,Footnote + Arial,10 pt,Black,Fußnotenzeichen DISS,Superscript 6 Point + 11 pt,Footnote Ref in FtNote,FnR-ANZDEC,de nota al pie,Ref,SUPERS,ftref1"/>
    <w:basedOn w:val="DefaultParagraphFont"/>
    <w:uiPriority w:val="99"/>
    <w:unhideWhenUsed/>
    <w:rsid w:val="006C6C64"/>
    <w:rPr>
      <w:vertAlign w:val="superscript"/>
    </w:rPr>
  </w:style>
  <w:style w:type="character" w:styleId="Hyperlink">
    <w:name w:val="Hyperlink"/>
    <w:uiPriority w:val="99"/>
    <w:unhideWhenUsed/>
    <w:rsid w:val="00492BCE"/>
    <w:rPr>
      <w:color w:val="0000FF"/>
      <w:u w:val="single"/>
    </w:rPr>
  </w:style>
  <w:style w:type="character" w:styleId="FollowedHyperlink">
    <w:name w:val="FollowedHyperlink"/>
    <w:basedOn w:val="DefaultParagraphFont"/>
    <w:uiPriority w:val="99"/>
    <w:semiHidden/>
    <w:unhideWhenUsed/>
    <w:rsid w:val="00520ACE"/>
    <w:rPr>
      <w:color w:val="800080" w:themeColor="followedHyperlink"/>
      <w:u w:val="single"/>
    </w:rPr>
  </w:style>
  <w:style w:type="paragraph" w:styleId="BodyText">
    <w:name w:val="Body Text"/>
    <w:basedOn w:val="Normal"/>
    <w:link w:val="BodyTextChar"/>
    <w:uiPriority w:val="99"/>
    <w:qFormat/>
    <w:rsid w:val="0077193C"/>
    <w:pPr>
      <w:spacing w:before="180" w:after="180" w:line="240" w:lineRule="auto"/>
      <w:jc w:val="both"/>
    </w:pPr>
    <w:rPr>
      <w:rFonts w:eastAsiaTheme="minorEastAsia"/>
      <w:lang w:val="en-GB"/>
    </w:rPr>
  </w:style>
  <w:style w:type="character" w:customStyle="1" w:styleId="BodyTextChar">
    <w:name w:val="Body Text Char"/>
    <w:basedOn w:val="DefaultParagraphFont"/>
    <w:link w:val="BodyText"/>
    <w:uiPriority w:val="99"/>
    <w:rsid w:val="0077193C"/>
    <w:rPr>
      <w:rFonts w:eastAsiaTheme="minorEastAsia"/>
      <w:lang w:val="en-GB"/>
    </w:rPr>
  </w:style>
  <w:style w:type="paragraph" w:styleId="ListBullet">
    <w:name w:val="List Bullet"/>
    <w:basedOn w:val="ListParagraph"/>
    <w:uiPriority w:val="99"/>
    <w:unhideWhenUsed/>
    <w:rsid w:val="0077193C"/>
    <w:pPr>
      <w:numPr>
        <w:numId w:val="28"/>
      </w:numPr>
      <w:spacing w:before="120" w:after="120" w:line="240" w:lineRule="auto"/>
      <w:contextualSpacing w:val="0"/>
      <w:jc w:val="both"/>
    </w:pPr>
    <w:rPr>
      <w:rFonts w:asciiTheme="majorHAnsi" w:eastAsiaTheme="minorEastAsia" w:hAnsiTheme="majorHAnsi"/>
      <w:lang w:val="en-GB"/>
    </w:rPr>
  </w:style>
  <w:style w:type="paragraph" w:styleId="Caption">
    <w:name w:val="caption"/>
    <w:basedOn w:val="Normal"/>
    <w:next w:val="Normal"/>
    <w:uiPriority w:val="35"/>
    <w:qFormat/>
    <w:rsid w:val="00545005"/>
    <w:pPr>
      <w:keepNext/>
      <w:spacing w:before="120" w:after="0" w:line="240" w:lineRule="auto"/>
    </w:pPr>
    <w:rPr>
      <w:rFonts w:asciiTheme="majorHAnsi" w:eastAsiaTheme="minorEastAsia" w:hAnsiTheme="majorHAnsi"/>
      <w:b/>
      <w:i/>
      <w:color w:val="000090"/>
      <w:lang w:val="en-GB"/>
    </w:rPr>
  </w:style>
  <w:style w:type="paragraph" w:customStyle="1" w:styleId="Tabletextsmall">
    <w:name w:val="Table text small"/>
    <w:basedOn w:val="BodyText"/>
    <w:qFormat/>
    <w:rsid w:val="0074265F"/>
    <w:pPr>
      <w:spacing w:before="40" w:after="40"/>
      <w:jc w:val="left"/>
    </w:pPr>
    <w:rPr>
      <w:sz w:val="20"/>
      <w:szCs w:val="20"/>
    </w:rPr>
  </w:style>
  <w:style w:type="paragraph" w:customStyle="1" w:styleId="Tabletextsmallbullet">
    <w:name w:val="Table text small bullet"/>
    <w:basedOn w:val="Tabletextsmall"/>
    <w:qFormat/>
    <w:rsid w:val="0074265F"/>
    <w:pPr>
      <w:numPr>
        <w:numId w:val="30"/>
      </w:numPr>
      <w:ind w:left="170" w:hanging="170"/>
    </w:pPr>
  </w:style>
  <w:style w:type="paragraph" w:styleId="EndnoteText">
    <w:name w:val="endnote text"/>
    <w:basedOn w:val="Normal"/>
    <w:link w:val="EndnoteTextChar"/>
    <w:uiPriority w:val="99"/>
    <w:semiHidden/>
    <w:unhideWhenUsed/>
    <w:rsid w:val="00E220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2089"/>
    <w:rPr>
      <w:sz w:val="20"/>
      <w:szCs w:val="20"/>
    </w:rPr>
  </w:style>
  <w:style w:type="character" w:styleId="EndnoteReference">
    <w:name w:val="endnote reference"/>
    <w:basedOn w:val="DefaultParagraphFont"/>
    <w:uiPriority w:val="99"/>
    <w:semiHidden/>
    <w:unhideWhenUsed/>
    <w:rsid w:val="00E22089"/>
    <w:rPr>
      <w:vertAlign w:val="superscript"/>
    </w:rPr>
  </w:style>
  <w:style w:type="paragraph" w:styleId="Revision">
    <w:name w:val="Revision"/>
    <w:hidden/>
    <w:uiPriority w:val="99"/>
    <w:semiHidden/>
    <w:rsid w:val="008407C6"/>
    <w:pPr>
      <w:spacing w:after="0" w:line="240" w:lineRule="auto"/>
    </w:pPr>
  </w:style>
  <w:style w:type="table" w:styleId="LightList-Accent1">
    <w:name w:val="Light List Accent 1"/>
    <w:basedOn w:val="TableNormal"/>
    <w:uiPriority w:val="61"/>
    <w:rsid w:val="00781BBC"/>
    <w:pPr>
      <w:spacing w:after="0" w:line="240" w:lineRule="auto"/>
    </w:pPr>
    <w:rPr>
      <w:rFonts w:asciiTheme="minorHAnsi" w:hAnsi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77939">
      <w:bodyDiv w:val="1"/>
      <w:marLeft w:val="0"/>
      <w:marRight w:val="0"/>
      <w:marTop w:val="0"/>
      <w:marBottom w:val="0"/>
      <w:divBdr>
        <w:top w:val="none" w:sz="0" w:space="0" w:color="auto"/>
        <w:left w:val="none" w:sz="0" w:space="0" w:color="auto"/>
        <w:bottom w:val="none" w:sz="0" w:space="0" w:color="auto"/>
        <w:right w:val="none" w:sz="0" w:space="0" w:color="auto"/>
      </w:divBdr>
    </w:div>
    <w:div w:id="668562769">
      <w:bodyDiv w:val="1"/>
      <w:marLeft w:val="0"/>
      <w:marRight w:val="0"/>
      <w:marTop w:val="0"/>
      <w:marBottom w:val="0"/>
      <w:divBdr>
        <w:top w:val="none" w:sz="0" w:space="0" w:color="auto"/>
        <w:left w:val="none" w:sz="0" w:space="0" w:color="auto"/>
        <w:bottom w:val="none" w:sz="0" w:space="0" w:color="auto"/>
        <w:right w:val="none" w:sz="0" w:space="0" w:color="auto"/>
      </w:divBdr>
    </w:div>
    <w:div w:id="711154278">
      <w:bodyDiv w:val="1"/>
      <w:marLeft w:val="0"/>
      <w:marRight w:val="0"/>
      <w:marTop w:val="0"/>
      <w:marBottom w:val="0"/>
      <w:divBdr>
        <w:top w:val="none" w:sz="0" w:space="0" w:color="auto"/>
        <w:left w:val="none" w:sz="0" w:space="0" w:color="auto"/>
        <w:bottom w:val="none" w:sz="0" w:space="0" w:color="auto"/>
        <w:right w:val="none" w:sz="0" w:space="0" w:color="auto"/>
      </w:divBdr>
    </w:div>
    <w:div w:id="833765947">
      <w:bodyDiv w:val="1"/>
      <w:marLeft w:val="0"/>
      <w:marRight w:val="0"/>
      <w:marTop w:val="0"/>
      <w:marBottom w:val="0"/>
      <w:divBdr>
        <w:top w:val="none" w:sz="0" w:space="0" w:color="auto"/>
        <w:left w:val="none" w:sz="0" w:space="0" w:color="auto"/>
        <w:bottom w:val="none" w:sz="0" w:space="0" w:color="auto"/>
        <w:right w:val="none" w:sz="0" w:space="0" w:color="auto"/>
      </w:divBdr>
    </w:div>
    <w:div w:id="943075568">
      <w:bodyDiv w:val="1"/>
      <w:marLeft w:val="0"/>
      <w:marRight w:val="0"/>
      <w:marTop w:val="0"/>
      <w:marBottom w:val="0"/>
      <w:divBdr>
        <w:top w:val="none" w:sz="0" w:space="0" w:color="auto"/>
        <w:left w:val="none" w:sz="0" w:space="0" w:color="auto"/>
        <w:bottom w:val="none" w:sz="0" w:space="0" w:color="auto"/>
        <w:right w:val="none" w:sz="0" w:space="0" w:color="auto"/>
      </w:divBdr>
    </w:div>
    <w:div w:id="1145506259">
      <w:bodyDiv w:val="1"/>
      <w:marLeft w:val="0"/>
      <w:marRight w:val="0"/>
      <w:marTop w:val="0"/>
      <w:marBottom w:val="0"/>
      <w:divBdr>
        <w:top w:val="none" w:sz="0" w:space="0" w:color="auto"/>
        <w:left w:val="none" w:sz="0" w:space="0" w:color="auto"/>
        <w:bottom w:val="none" w:sz="0" w:space="0" w:color="auto"/>
        <w:right w:val="none" w:sz="0" w:space="0" w:color="auto"/>
      </w:divBdr>
    </w:div>
    <w:div w:id="1150289692">
      <w:bodyDiv w:val="1"/>
      <w:marLeft w:val="0"/>
      <w:marRight w:val="0"/>
      <w:marTop w:val="0"/>
      <w:marBottom w:val="0"/>
      <w:divBdr>
        <w:top w:val="none" w:sz="0" w:space="0" w:color="auto"/>
        <w:left w:val="none" w:sz="0" w:space="0" w:color="auto"/>
        <w:bottom w:val="none" w:sz="0" w:space="0" w:color="auto"/>
        <w:right w:val="none" w:sz="0" w:space="0" w:color="auto"/>
      </w:divBdr>
    </w:div>
    <w:div w:id="1261060439">
      <w:bodyDiv w:val="1"/>
      <w:marLeft w:val="0"/>
      <w:marRight w:val="0"/>
      <w:marTop w:val="0"/>
      <w:marBottom w:val="0"/>
      <w:divBdr>
        <w:top w:val="none" w:sz="0" w:space="0" w:color="auto"/>
        <w:left w:val="none" w:sz="0" w:space="0" w:color="auto"/>
        <w:bottom w:val="none" w:sz="0" w:space="0" w:color="auto"/>
        <w:right w:val="none" w:sz="0" w:space="0" w:color="auto"/>
      </w:divBdr>
    </w:div>
    <w:div w:id="1303392033">
      <w:bodyDiv w:val="1"/>
      <w:marLeft w:val="0"/>
      <w:marRight w:val="0"/>
      <w:marTop w:val="0"/>
      <w:marBottom w:val="0"/>
      <w:divBdr>
        <w:top w:val="none" w:sz="0" w:space="0" w:color="auto"/>
        <w:left w:val="none" w:sz="0" w:space="0" w:color="auto"/>
        <w:bottom w:val="none" w:sz="0" w:space="0" w:color="auto"/>
        <w:right w:val="none" w:sz="0" w:space="0" w:color="auto"/>
      </w:divBdr>
    </w:div>
    <w:div w:id="1386445284">
      <w:bodyDiv w:val="1"/>
      <w:marLeft w:val="0"/>
      <w:marRight w:val="0"/>
      <w:marTop w:val="0"/>
      <w:marBottom w:val="0"/>
      <w:divBdr>
        <w:top w:val="none" w:sz="0" w:space="0" w:color="auto"/>
        <w:left w:val="none" w:sz="0" w:space="0" w:color="auto"/>
        <w:bottom w:val="none" w:sz="0" w:space="0" w:color="auto"/>
        <w:right w:val="none" w:sz="0" w:space="0" w:color="auto"/>
      </w:divBdr>
    </w:div>
    <w:div w:id="1446191178">
      <w:bodyDiv w:val="1"/>
      <w:marLeft w:val="0"/>
      <w:marRight w:val="0"/>
      <w:marTop w:val="0"/>
      <w:marBottom w:val="0"/>
      <w:divBdr>
        <w:top w:val="none" w:sz="0" w:space="0" w:color="auto"/>
        <w:left w:val="none" w:sz="0" w:space="0" w:color="auto"/>
        <w:bottom w:val="none" w:sz="0" w:space="0" w:color="auto"/>
        <w:right w:val="none" w:sz="0" w:space="0" w:color="auto"/>
      </w:divBdr>
    </w:div>
    <w:div w:id="1528643449">
      <w:bodyDiv w:val="1"/>
      <w:marLeft w:val="0"/>
      <w:marRight w:val="0"/>
      <w:marTop w:val="0"/>
      <w:marBottom w:val="0"/>
      <w:divBdr>
        <w:top w:val="none" w:sz="0" w:space="0" w:color="auto"/>
        <w:left w:val="none" w:sz="0" w:space="0" w:color="auto"/>
        <w:bottom w:val="none" w:sz="0" w:space="0" w:color="auto"/>
        <w:right w:val="none" w:sz="0" w:space="0" w:color="auto"/>
      </w:divBdr>
    </w:div>
    <w:div w:id="1999380716">
      <w:bodyDiv w:val="1"/>
      <w:marLeft w:val="0"/>
      <w:marRight w:val="0"/>
      <w:marTop w:val="0"/>
      <w:marBottom w:val="0"/>
      <w:divBdr>
        <w:top w:val="none" w:sz="0" w:space="0" w:color="auto"/>
        <w:left w:val="none" w:sz="0" w:space="0" w:color="auto"/>
        <w:bottom w:val="none" w:sz="0" w:space="0" w:color="auto"/>
        <w:right w:val="none" w:sz="0" w:space="0" w:color="auto"/>
      </w:divBdr>
    </w:div>
    <w:div w:id="210194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hyperlink" Target="http://www.ash.harvard.edu/extension/ash/docs/indonesia2013.pdf" TargetMode="Externa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10.png"/><Relationship Id="rId25" Type="http://schemas.openxmlformats.org/officeDocument/2006/relationships/hyperlink" Target="http://aid.dfat.gov.au/Publications/Documents/targeting-poorest.pdf"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customXml" Target="../customXml/item5.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1.xml"/><Relationship Id="rId31"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yperlink" Target="http://reports.weforum.org/the-global-competitiveness-report-2013-2014/" TargetMode="Externa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aid.dfat.gov.au/Publications/Pages/australian-aid-promoting-prosperity-increasing-stability-reducing-poverty.aspx" TargetMode="External"/><Relationship Id="rId1" Type="http://schemas.openxmlformats.org/officeDocument/2006/relationships/hyperlink" Target="http://stats.oecd.org/Index.aspx?DataSetCode=SOCX_AG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SuahasilNazara:Dropbox:growth%20incidence%20curve%202008-2012%20(disagregasi):Table_GIC_2008_2012_Disaggregated.rgrowth0812_nat.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Tareq\Documents\Pathways\Indonesia\fuel%20subsid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114505265155"/>
          <c:y val="5.1489955766738399E-2"/>
          <c:w val="0.78003282421022502"/>
          <c:h val="0.79787411578210499"/>
        </c:manualLayout>
      </c:layout>
      <c:barChart>
        <c:barDir val="col"/>
        <c:grouping val="clustered"/>
        <c:varyColors val="0"/>
        <c:ser>
          <c:idx val="0"/>
          <c:order val="0"/>
          <c:tx>
            <c:strRef>
              <c:f>GIC_!$B$1</c:f>
              <c:strCache>
                <c:ptCount val="1"/>
                <c:pt idx="0">
                  <c:v>2008-2012 growth</c:v>
                </c:pt>
              </c:strCache>
            </c:strRef>
          </c:tx>
          <c:spPr>
            <a:ln w="38100"/>
          </c:spPr>
          <c:invertIfNegative val="0"/>
          <c:val>
            <c:numRef>
              <c:f>GIC_!$B$4:$B$102</c:f>
              <c:numCache>
                <c:formatCode>0.00</c:formatCode>
                <c:ptCount val="99"/>
                <c:pt idx="0">
                  <c:v>2.2865280000000001</c:v>
                </c:pt>
                <c:pt idx="1">
                  <c:v>2.239363</c:v>
                </c:pt>
                <c:pt idx="2">
                  <c:v>2.287245</c:v>
                </c:pt>
                <c:pt idx="3">
                  <c:v>2.3169409999999568</c:v>
                </c:pt>
                <c:pt idx="4">
                  <c:v>2.2183639999999998</c:v>
                </c:pt>
                <c:pt idx="5">
                  <c:v>2.107456</c:v>
                </c:pt>
                <c:pt idx="6">
                  <c:v>2.01675099999999</c:v>
                </c:pt>
                <c:pt idx="7">
                  <c:v>1.8636680000000001</c:v>
                </c:pt>
                <c:pt idx="8">
                  <c:v>1.8294600000000001</c:v>
                </c:pt>
                <c:pt idx="9">
                  <c:v>1.7705439999999999</c:v>
                </c:pt>
                <c:pt idx="10">
                  <c:v>1.672426</c:v>
                </c:pt>
                <c:pt idx="11">
                  <c:v>1.6365780000000001</c:v>
                </c:pt>
                <c:pt idx="12">
                  <c:v>1.588775</c:v>
                </c:pt>
                <c:pt idx="13">
                  <c:v>1.603267</c:v>
                </c:pt>
                <c:pt idx="14">
                  <c:v>1.628741</c:v>
                </c:pt>
                <c:pt idx="15">
                  <c:v>1.6726650000000001</c:v>
                </c:pt>
                <c:pt idx="16">
                  <c:v>1.706917000000002</c:v>
                </c:pt>
                <c:pt idx="17">
                  <c:v>1.7103540000000019</c:v>
                </c:pt>
                <c:pt idx="18">
                  <c:v>1.7319880000000001</c:v>
                </c:pt>
                <c:pt idx="19">
                  <c:v>1.7297180000000001</c:v>
                </c:pt>
                <c:pt idx="20">
                  <c:v>1.750885000000002</c:v>
                </c:pt>
                <c:pt idx="21">
                  <c:v>1.826883</c:v>
                </c:pt>
                <c:pt idx="22">
                  <c:v>1.8048729999999999</c:v>
                </c:pt>
                <c:pt idx="23">
                  <c:v>1.763808</c:v>
                </c:pt>
                <c:pt idx="24">
                  <c:v>1.732866</c:v>
                </c:pt>
                <c:pt idx="25">
                  <c:v>1.722653000000002</c:v>
                </c:pt>
                <c:pt idx="26">
                  <c:v>1.760586000000002</c:v>
                </c:pt>
                <c:pt idx="27">
                  <c:v>1.784446000000002</c:v>
                </c:pt>
                <c:pt idx="28">
                  <c:v>1.740107000000003</c:v>
                </c:pt>
                <c:pt idx="29">
                  <c:v>1.7195019999999961</c:v>
                </c:pt>
                <c:pt idx="30">
                  <c:v>1.6776310000000001</c:v>
                </c:pt>
                <c:pt idx="31">
                  <c:v>1.6895009999999999</c:v>
                </c:pt>
                <c:pt idx="32">
                  <c:v>1.692836</c:v>
                </c:pt>
                <c:pt idx="33">
                  <c:v>1.641292</c:v>
                </c:pt>
                <c:pt idx="34">
                  <c:v>1.608298</c:v>
                </c:pt>
                <c:pt idx="35">
                  <c:v>1.581769999999995</c:v>
                </c:pt>
                <c:pt idx="36">
                  <c:v>1.57663</c:v>
                </c:pt>
                <c:pt idx="37">
                  <c:v>1.585102</c:v>
                </c:pt>
                <c:pt idx="38">
                  <c:v>1.6067130000000001</c:v>
                </c:pt>
                <c:pt idx="39">
                  <c:v>1.6296619999999951</c:v>
                </c:pt>
                <c:pt idx="40">
                  <c:v>1.727530999999997</c:v>
                </c:pt>
                <c:pt idx="41">
                  <c:v>1.7567410000000001</c:v>
                </c:pt>
                <c:pt idx="42">
                  <c:v>1.794197000000002</c:v>
                </c:pt>
                <c:pt idx="43">
                  <c:v>1.870028</c:v>
                </c:pt>
                <c:pt idx="44">
                  <c:v>1.9104939999999979</c:v>
                </c:pt>
                <c:pt idx="45">
                  <c:v>1.967036</c:v>
                </c:pt>
                <c:pt idx="46">
                  <c:v>2.0480940000000012</c:v>
                </c:pt>
                <c:pt idx="47">
                  <c:v>2.143866</c:v>
                </c:pt>
                <c:pt idx="48">
                  <c:v>2.2305170000000012</c:v>
                </c:pt>
                <c:pt idx="49">
                  <c:v>2.2726169999999981</c:v>
                </c:pt>
                <c:pt idx="50">
                  <c:v>2.3654329999999981</c:v>
                </c:pt>
                <c:pt idx="51">
                  <c:v>2.4458419999999972</c:v>
                </c:pt>
                <c:pt idx="52">
                  <c:v>2.5232549999999998</c:v>
                </c:pt>
                <c:pt idx="53">
                  <c:v>2.6031370000000171</c:v>
                </c:pt>
                <c:pt idx="54">
                  <c:v>2.6505930000000002</c:v>
                </c:pt>
                <c:pt idx="55">
                  <c:v>2.6759499999999972</c:v>
                </c:pt>
                <c:pt idx="56">
                  <c:v>2.7809290000000102</c:v>
                </c:pt>
                <c:pt idx="57">
                  <c:v>2.8966119999999842</c:v>
                </c:pt>
                <c:pt idx="58">
                  <c:v>2.9599069999999972</c:v>
                </c:pt>
                <c:pt idx="59">
                  <c:v>3.060092</c:v>
                </c:pt>
                <c:pt idx="60">
                  <c:v>3.1577639999999998</c:v>
                </c:pt>
                <c:pt idx="61">
                  <c:v>3.2563249999999999</c:v>
                </c:pt>
                <c:pt idx="62">
                  <c:v>3.3264989999999859</c:v>
                </c:pt>
                <c:pt idx="63">
                  <c:v>3.3788789999999591</c:v>
                </c:pt>
                <c:pt idx="64">
                  <c:v>3.4788279999999991</c:v>
                </c:pt>
                <c:pt idx="65">
                  <c:v>3.5369619999999982</c:v>
                </c:pt>
                <c:pt idx="66">
                  <c:v>3.5984589999999859</c:v>
                </c:pt>
                <c:pt idx="67">
                  <c:v>3.7038140000000102</c:v>
                </c:pt>
                <c:pt idx="68">
                  <c:v>3.8046629999999868</c:v>
                </c:pt>
                <c:pt idx="69">
                  <c:v>3.9053340000000012</c:v>
                </c:pt>
                <c:pt idx="70">
                  <c:v>3.9963359999999981</c:v>
                </c:pt>
                <c:pt idx="71">
                  <c:v>4.1027569999999756</c:v>
                </c:pt>
                <c:pt idx="72">
                  <c:v>4.2090120000000004</c:v>
                </c:pt>
                <c:pt idx="73">
                  <c:v>4.2621690000000001</c:v>
                </c:pt>
                <c:pt idx="74">
                  <c:v>4.3467159999999856</c:v>
                </c:pt>
                <c:pt idx="75">
                  <c:v>4.4130820000000002</c:v>
                </c:pt>
                <c:pt idx="76">
                  <c:v>4.5312120000000133</c:v>
                </c:pt>
                <c:pt idx="77">
                  <c:v>4.5913349999999946</c:v>
                </c:pt>
                <c:pt idx="78">
                  <c:v>4.7293760000000002</c:v>
                </c:pt>
                <c:pt idx="79">
                  <c:v>4.8864210000000003</c:v>
                </c:pt>
                <c:pt idx="80">
                  <c:v>4.9662040000000003</c:v>
                </c:pt>
                <c:pt idx="81">
                  <c:v>5.0956470000000014</c:v>
                </c:pt>
                <c:pt idx="82">
                  <c:v>5.1381220000000001</c:v>
                </c:pt>
                <c:pt idx="83">
                  <c:v>5.3455559999999656</c:v>
                </c:pt>
                <c:pt idx="84">
                  <c:v>5.3778829999999846</c:v>
                </c:pt>
                <c:pt idx="85">
                  <c:v>5.5539169999999656</c:v>
                </c:pt>
                <c:pt idx="86">
                  <c:v>5.6942049999999647</c:v>
                </c:pt>
                <c:pt idx="87">
                  <c:v>5.8299219999999856</c:v>
                </c:pt>
                <c:pt idx="88">
                  <c:v>5.9775960000000001</c:v>
                </c:pt>
                <c:pt idx="89">
                  <c:v>6.0932980000000034</c:v>
                </c:pt>
                <c:pt idx="90">
                  <c:v>6.3129549999999321</c:v>
                </c:pt>
                <c:pt idx="91">
                  <c:v>6.5377450000000001</c:v>
                </c:pt>
                <c:pt idx="92">
                  <c:v>6.7753230000000269</c:v>
                </c:pt>
                <c:pt idx="93">
                  <c:v>7.0493090000000134</c:v>
                </c:pt>
                <c:pt idx="94">
                  <c:v>7.462898</c:v>
                </c:pt>
                <c:pt idx="95">
                  <c:v>7.9298190000000002</c:v>
                </c:pt>
                <c:pt idx="96">
                  <c:v>8.1218419999999991</c:v>
                </c:pt>
                <c:pt idx="97">
                  <c:v>8.5936400000000006</c:v>
                </c:pt>
                <c:pt idx="98">
                  <c:v>8.7562300000000004</c:v>
                </c:pt>
              </c:numCache>
            </c:numRef>
          </c:val>
        </c:ser>
        <c:dLbls>
          <c:showLegendKey val="0"/>
          <c:showVal val="0"/>
          <c:showCatName val="0"/>
          <c:showSerName val="0"/>
          <c:showPercent val="0"/>
          <c:showBubbleSize val="0"/>
        </c:dLbls>
        <c:gapWidth val="150"/>
        <c:axId val="135646592"/>
        <c:axId val="162633216"/>
      </c:barChart>
      <c:lineChart>
        <c:grouping val="standard"/>
        <c:varyColors val="0"/>
        <c:ser>
          <c:idx val="1"/>
          <c:order val="1"/>
          <c:tx>
            <c:strRef>
              <c:f>GIC_!$C$1</c:f>
              <c:strCache>
                <c:ptCount val="1"/>
                <c:pt idx="0">
                  <c:v>Growth in mean</c:v>
                </c:pt>
              </c:strCache>
            </c:strRef>
          </c:tx>
          <c:spPr>
            <a:ln w="38100"/>
          </c:spPr>
          <c:marker>
            <c:symbol val="none"/>
          </c:marker>
          <c:dLbls>
            <c:dLbl>
              <c:idx val="86"/>
              <c:layout>
                <c:manualLayout>
                  <c:x val="9.8193146417445504E-2"/>
                  <c:y val="-2.460053773766079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700" baseline="0">
                    <a:latin typeface="Calibri" panose="020F05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val>
            <c:numRef>
              <c:f>GIC_!$C$4:$C$102</c:f>
              <c:numCache>
                <c:formatCode>0.00</c:formatCode>
                <c:ptCount val="99"/>
                <c:pt idx="0">
                  <c:v>4.866584999999934</c:v>
                </c:pt>
                <c:pt idx="1">
                  <c:v>4.866584999999934</c:v>
                </c:pt>
                <c:pt idx="2">
                  <c:v>4.866584999999934</c:v>
                </c:pt>
                <c:pt idx="3">
                  <c:v>4.866584999999934</c:v>
                </c:pt>
                <c:pt idx="4">
                  <c:v>4.866584999999934</c:v>
                </c:pt>
                <c:pt idx="5">
                  <c:v>4.866584999999934</c:v>
                </c:pt>
                <c:pt idx="6">
                  <c:v>4.866584999999934</c:v>
                </c:pt>
                <c:pt idx="7">
                  <c:v>4.866584999999934</c:v>
                </c:pt>
                <c:pt idx="8">
                  <c:v>4.866584999999934</c:v>
                </c:pt>
                <c:pt idx="9">
                  <c:v>4.866584999999934</c:v>
                </c:pt>
                <c:pt idx="10">
                  <c:v>4.866584999999934</c:v>
                </c:pt>
                <c:pt idx="11">
                  <c:v>4.866584999999934</c:v>
                </c:pt>
                <c:pt idx="12">
                  <c:v>4.866584999999934</c:v>
                </c:pt>
                <c:pt idx="13">
                  <c:v>4.866584999999934</c:v>
                </c:pt>
                <c:pt idx="14">
                  <c:v>4.866584999999934</c:v>
                </c:pt>
                <c:pt idx="15">
                  <c:v>4.866584999999934</c:v>
                </c:pt>
                <c:pt idx="16">
                  <c:v>4.866584999999934</c:v>
                </c:pt>
                <c:pt idx="17">
                  <c:v>4.866584999999934</c:v>
                </c:pt>
                <c:pt idx="18">
                  <c:v>4.866584999999934</c:v>
                </c:pt>
                <c:pt idx="19">
                  <c:v>4.866584999999934</c:v>
                </c:pt>
                <c:pt idx="20">
                  <c:v>4.866584999999934</c:v>
                </c:pt>
                <c:pt idx="21">
                  <c:v>4.866584999999934</c:v>
                </c:pt>
                <c:pt idx="22">
                  <c:v>4.866584999999934</c:v>
                </c:pt>
                <c:pt idx="23">
                  <c:v>4.866584999999934</c:v>
                </c:pt>
                <c:pt idx="24">
                  <c:v>4.866584999999934</c:v>
                </c:pt>
                <c:pt idx="25">
                  <c:v>4.866584999999934</c:v>
                </c:pt>
                <c:pt idx="26">
                  <c:v>4.866584999999934</c:v>
                </c:pt>
                <c:pt idx="27">
                  <c:v>4.866584999999934</c:v>
                </c:pt>
                <c:pt idx="28">
                  <c:v>4.866584999999934</c:v>
                </c:pt>
                <c:pt idx="29">
                  <c:v>4.866584999999934</c:v>
                </c:pt>
                <c:pt idx="30">
                  <c:v>4.866584999999934</c:v>
                </c:pt>
                <c:pt idx="31">
                  <c:v>4.866584999999934</c:v>
                </c:pt>
                <c:pt idx="32">
                  <c:v>4.866584999999934</c:v>
                </c:pt>
                <c:pt idx="33">
                  <c:v>4.866584999999934</c:v>
                </c:pt>
                <c:pt idx="34">
                  <c:v>4.866584999999934</c:v>
                </c:pt>
                <c:pt idx="35">
                  <c:v>4.866584999999934</c:v>
                </c:pt>
                <c:pt idx="36">
                  <c:v>4.866584999999934</c:v>
                </c:pt>
                <c:pt idx="37">
                  <c:v>4.866584999999934</c:v>
                </c:pt>
                <c:pt idx="38">
                  <c:v>4.866584999999934</c:v>
                </c:pt>
                <c:pt idx="39">
                  <c:v>4.866584999999934</c:v>
                </c:pt>
                <c:pt idx="40">
                  <c:v>4.866584999999934</c:v>
                </c:pt>
                <c:pt idx="41">
                  <c:v>4.866584999999934</c:v>
                </c:pt>
                <c:pt idx="42">
                  <c:v>4.866584999999934</c:v>
                </c:pt>
                <c:pt idx="43">
                  <c:v>4.866584999999934</c:v>
                </c:pt>
                <c:pt idx="44">
                  <c:v>4.866584999999934</c:v>
                </c:pt>
                <c:pt idx="45">
                  <c:v>4.866584999999934</c:v>
                </c:pt>
                <c:pt idx="46">
                  <c:v>4.866584999999934</c:v>
                </c:pt>
                <c:pt idx="47">
                  <c:v>4.866584999999934</c:v>
                </c:pt>
                <c:pt idx="48">
                  <c:v>4.866584999999934</c:v>
                </c:pt>
                <c:pt idx="49">
                  <c:v>4.866584999999934</c:v>
                </c:pt>
                <c:pt idx="50">
                  <c:v>4.866584999999934</c:v>
                </c:pt>
                <c:pt idx="51">
                  <c:v>4.866584999999934</c:v>
                </c:pt>
                <c:pt idx="52">
                  <c:v>4.866584999999934</c:v>
                </c:pt>
                <c:pt idx="53">
                  <c:v>4.866584999999934</c:v>
                </c:pt>
                <c:pt idx="54">
                  <c:v>4.866584999999934</c:v>
                </c:pt>
                <c:pt idx="55">
                  <c:v>4.866584999999934</c:v>
                </c:pt>
                <c:pt idx="56">
                  <c:v>4.866584999999934</c:v>
                </c:pt>
                <c:pt idx="57">
                  <c:v>4.866584999999934</c:v>
                </c:pt>
                <c:pt idx="58">
                  <c:v>4.866584999999934</c:v>
                </c:pt>
                <c:pt idx="59">
                  <c:v>4.866584999999934</c:v>
                </c:pt>
                <c:pt idx="60">
                  <c:v>4.866584999999934</c:v>
                </c:pt>
                <c:pt idx="61">
                  <c:v>4.866584999999934</c:v>
                </c:pt>
                <c:pt idx="62">
                  <c:v>4.866584999999934</c:v>
                </c:pt>
                <c:pt idx="63">
                  <c:v>4.866584999999934</c:v>
                </c:pt>
                <c:pt idx="64">
                  <c:v>4.866584999999934</c:v>
                </c:pt>
                <c:pt idx="65">
                  <c:v>4.866584999999934</c:v>
                </c:pt>
                <c:pt idx="66">
                  <c:v>4.866584999999934</c:v>
                </c:pt>
                <c:pt idx="67">
                  <c:v>4.866584999999934</c:v>
                </c:pt>
                <c:pt idx="68">
                  <c:v>4.866584999999934</c:v>
                </c:pt>
                <c:pt idx="69">
                  <c:v>4.866584999999934</c:v>
                </c:pt>
                <c:pt idx="70">
                  <c:v>4.866584999999934</c:v>
                </c:pt>
                <c:pt idx="71">
                  <c:v>4.866584999999934</c:v>
                </c:pt>
                <c:pt idx="72">
                  <c:v>4.866584999999934</c:v>
                </c:pt>
                <c:pt idx="73">
                  <c:v>4.866584999999934</c:v>
                </c:pt>
                <c:pt idx="74">
                  <c:v>4.866584999999934</c:v>
                </c:pt>
                <c:pt idx="75">
                  <c:v>4.866584999999934</c:v>
                </c:pt>
                <c:pt idx="76">
                  <c:v>4.866584999999934</c:v>
                </c:pt>
                <c:pt idx="77">
                  <c:v>4.866584999999934</c:v>
                </c:pt>
                <c:pt idx="78">
                  <c:v>4.866584999999934</c:v>
                </c:pt>
                <c:pt idx="79">
                  <c:v>4.866584999999934</c:v>
                </c:pt>
                <c:pt idx="80">
                  <c:v>4.866584999999934</c:v>
                </c:pt>
                <c:pt idx="81">
                  <c:v>4.866584999999934</c:v>
                </c:pt>
                <c:pt idx="82">
                  <c:v>4.866584999999934</c:v>
                </c:pt>
                <c:pt idx="83">
                  <c:v>4.866584999999934</c:v>
                </c:pt>
                <c:pt idx="84">
                  <c:v>4.866584999999934</c:v>
                </c:pt>
                <c:pt idx="85">
                  <c:v>4.866584999999934</c:v>
                </c:pt>
                <c:pt idx="86">
                  <c:v>4.866584999999934</c:v>
                </c:pt>
                <c:pt idx="87">
                  <c:v>4.866584999999934</c:v>
                </c:pt>
                <c:pt idx="88">
                  <c:v>4.866584999999934</c:v>
                </c:pt>
                <c:pt idx="89">
                  <c:v>4.866584999999934</c:v>
                </c:pt>
                <c:pt idx="90">
                  <c:v>4.866584999999934</c:v>
                </c:pt>
                <c:pt idx="91">
                  <c:v>4.866584999999934</c:v>
                </c:pt>
                <c:pt idx="92">
                  <c:v>4.866584999999934</c:v>
                </c:pt>
                <c:pt idx="93">
                  <c:v>4.866584999999934</c:v>
                </c:pt>
                <c:pt idx="94">
                  <c:v>4.866584999999934</c:v>
                </c:pt>
                <c:pt idx="95">
                  <c:v>4.866584999999934</c:v>
                </c:pt>
                <c:pt idx="96">
                  <c:v>4.866584999999934</c:v>
                </c:pt>
                <c:pt idx="97">
                  <c:v>4.866584999999934</c:v>
                </c:pt>
                <c:pt idx="98">
                  <c:v>4.866584999999934</c:v>
                </c:pt>
              </c:numCache>
            </c:numRef>
          </c:val>
          <c:smooth val="0"/>
        </c:ser>
        <c:dLbls>
          <c:showLegendKey val="0"/>
          <c:showVal val="0"/>
          <c:showCatName val="0"/>
          <c:showSerName val="0"/>
          <c:showPercent val="0"/>
          <c:showBubbleSize val="0"/>
        </c:dLbls>
        <c:marker val="1"/>
        <c:smooth val="0"/>
        <c:axId val="135646592"/>
        <c:axId val="162633216"/>
      </c:lineChart>
      <c:catAx>
        <c:axId val="135646592"/>
        <c:scaling>
          <c:orientation val="minMax"/>
        </c:scaling>
        <c:delete val="0"/>
        <c:axPos val="b"/>
        <c:title>
          <c:tx>
            <c:rich>
              <a:bodyPr/>
              <a:lstStyle/>
              <a:p>
                <a:pPr>
                  <a:defRPr baseline="0">
                    <a:latin typeface="Calibri" panose="020F0502020204030204" pitchFamily="34" charset="0"/>
                  </a:defRPr>
                </a:pPr>
                <a:r>
                  <a:rPr lang="en-US" sz="700" baseline="0">
                    <a:latin typeface="Calibri" panose="020F0502020204030204" pitchFamily="34" charset="0"/>
                  </a:rPr>
                  <a:t>Consumption</a:t>
                </a:r>
                <a:r>
                  <a:rPr lang="en-US" baseline="0">
                    <a:latin typeface="Calibri" panose="020F0502020204030204" pitchFamily="34" charset="0"/>
                  </a:rPr>
                  <a:t> </a:t>
                </a:r>
                <a:r>
                  <a:rPr lang="en-US" sz="700" baseline="0">
                    <a:latin typeface="Calibri" panose="020F0502020204030204" pitchFamily="34" charset="0"/>
                  </a:rPr>
                  <a:t>percentiles</a:t>
                </a:r>
              </a:p>
            </c:rich>
          </c:tx>
          <c:overlay val="0"/>
        </c:title>
        <c:numFmt formatCode="General" sourceLinked="1"/>
        <c:majorTickMark val="out"/>
        <c:minorTickMark val="none"/>
        <c:tickLblPos val="nextTo"/>
        <c:txPr>
          <a:bodyPr/>
          <a:lstStyle/>
          <a:p>
            <a:pPr>
              <a:defRPr sz="700" baseline="0">
                <a:latin typeface="Calibri" panose="020F0502020204030204" pitchFamily="34" charset="0"/>
              </a:defRPr>
            </a:pPr>
            <a:endParaRPr lang="en-US"/>
          </a:p>
        </c:txPr>
        <c:crossAx val="162633216"/>
        <c:crossesAt val="-12"/>
        <c:auto val="1"/>
        <c:lblAlgn val="ctr"/>
        <c:lblOffset val="100"/>
        <c:tickLblSkip val="10"/>
        <c:tickMarkSkip val="10"/>
        <c:noMultiLvlLbl val="0"/>
      </c:catAx>
      <c:valAx>
        <c:axId val="162633216"/>
        <c:scaling>
          <c:orientation val="minMax"/>
          <c:max val="10"/>
          <c:min val="0"/>
        </c:scaling>
        <c:delete val="0"/>
        <c:axPos val="l"/>
        <c:majorGridlines/>
        <c:title>
          <c:tx>
            <c:rich>
              <a:bodyPr rot="-5400000" vert="horz"/>
              <a:lstStyle/>
              <a:p>
                <a:pPr>
                  <a:defRPr sz="700" baseline="0">
                    <a:latin typeface="Calibri" panose="020F0502020204030204" pitchFamily="34" charset="0"/>
                  </a:defRPr>
                </a:pPr>
                <a:r>
                  <a:rPr lang="en-US" sz="700" baseline="0">
                    <a:latin typeface="Calibri" panose="020F0502020204030204" pitchFamily="34" charset="0"/>
                  </a:rPr>
                  <a:t>Proportion of growth reaching percentile</a:t>
                </a:r>
              </a:p>
            </c:rich>
          </c:tx>
          <c:overlay val="0"/>
        </c:title>
        <c:numFmt formatCode="General" sourceLinked="0"/>
        <c:majorTickMark val="out"/>
        <c:minorTickMark val="none"/>
        <c:tickLblPos val="nextTo"/>
        <c:txPr>
          <a:bodyPr/>
          <a:lstStyle/>
          <a:p>
            <a:pPr>
              <a:defRPr sz="700" baseline="0">
                <a:latin typeface="Calibri" panose="020F0502020204030204" pitchFamily="34" charset="0"/>
              </a:defRPr>
            </a:pPr>
            <a:endParaRPr lang="en-US"/>
          </a:p>
        </c:txPr>
        <c:crossAx val="135646592"/>
        <c:crosses val="autoZero"/>
        <c:crossBetween val="between"/>
        <c:majorUnit val="2"/>
      </c:valAx>
    </c:plotArea>
    <c:legend>
      <c:legendPos val="r"/>
      <c:legendEntry>
        <c:idx val="0"/>
        <c:txPr>
          <a:bodyPr/>
          <a:lstStyle/>
          <a:p>
            <a:pPr>
              <a:defRPr sz="700" baseline="0">
                <a:latin typeface="Calibri" panose="020F0502020204030204" pitchFamily="34" charset="0"/>
              </a:defRPr>
            </a:pPr>
            <a:endParaRPr lang="en-US"/>
          </a:p>
        </c:txPr>
      </c:legendEntry>
      <c:legendEntry>
        <c:idx val="1"/>
        <c:txPr>
          <a:bodyPr/>
          <a:lstStyle/>
          <a:p>
            <a:pPr>
              <a:defRPr sz="700" baseline="0">
                <a:latin typeface="Calibri" panose="020F0502020204030204" pitchFamily="34" charset="0"/>
              </a:defRPr>
            </a:pPr>
            <a:endParaRPr lang="en-US"/>
          </a:p>
        </c:txPr>
      </c:legendEntry>
      <c:layout>
        <c:manualLayout>
          <c:xMode val="edge"/>
          <c:yMode val="edge"/>
          <c:x val="0.25692989279954598"/>
          <c:y val="6.980583392985E-2"/>
          <c:w val="0.53393283369699496"/>
          <c:h val="0.22872160460461924"/>
        </c:manualLayout>
      </c:layout>
      <c:overlay val="1"/>
      <c:spPr>
        <a:solidFill>
          <a:schemeClr val="bg1"/>
        </a:solidFill>
        <a:ln>
          <a:solidFill>
            <a:schemeClr val="tx1"/>
          </a:solidFill>
        </a:ln>
      </c:spPr>
    </c:legend>
    <c:plotVisOnly val="1"/>
    <c:dispBlanksAs val="gap"/>
    <c:showDLblsOverMax val="0"/>
  </c:chart>
  <c:spPr>
    <a:ln>
      <a:noFill/>
    </a:ln>
  </c:spPr>
  <c:txPr>
    <a:bodyPr/>
    <a:lstStyle/>
    <a:p>
      <a:pPr>
        <a:defRPr sz="800" b="1" baseline="0">
          <a:latin typeface="+mj-l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252803339341599"/>
          <c:y val="4.14659932214358E-2"/>
          <c:w val="0.75370382316668605"/>
          <c:h val="0.79164016262673198"/>
        </c:manualLayout>
      </c:layout>
      <c:barChart>
        <c:barDir val="col"/>
        <c:grouping val="clustered"/>
        <c:varyColors val="0"/>
        <c:ser>
          <c:idx val="0"/>
          <c:order val="0"/>
          <c:tx>
            <c:strRef>
              <c:f>Sheet2!$J$1</c:f>
              <c:strCache>
                <c:ptCount val="1"/>
                <c:pt idx="0">
                  <c:v>Proportion of mean transfer value from PCE</c:v>
                </c:pt>
              </c:strCache>
            </c:strRef>
          </c:tx>
          <c:spPr>
            <a:solidFill>
              <a:srgbClr val="FF6600"/>
            </a:solidFill>
          </c:spPr>
          <c:invertIfNegative val="0"/>
          <c:cat>
            <c:strRef>
              <c:f>Sheet2!$G$2:$G$11</c:f>
              <c:strCache>
                <c:ptCount val="10"/>
                <c:pt idx="0">
                  <c:v>Decile 1</c:v>
                </c:pt>
                <c:pt idx="1">
                  <c:v>Decile 2</c:v>
                </c:pt>
                <c:pt idx="2">
                  <c:v>Decile 3</c:v>
                </c:pt>
                <c:pt idx="3">
                  <c:v>Decile 4</c:v>
                </c:pt>
                <c:pt idx="4">
                  <c:v>Decile 5</c:v>
                </c:pt>
                <c:pt idx="5">
                  <c:v>Decile 6</c:v>
                </c:pt>
                <c:pt idx="6">
                  <c:v>Decile 7</c:v>
                </c:pt>
                <c:pt idx="7">
                  <c:v>Decile 8</c:v>
                </c:pt>
                <c:pt idx="8">
                  <c:v>Decile 9</c:v>
                </c:pt>
                <c:pt idx="9">
                  <c:v>Decile 10</c:v>
                </c:pt>
              </c:strCache>
            </c:strRef>
          </c:cat>
          <c:val>
            <c:numRef>
              <c:f>Sheet2!$J$2:$J$11</c:f>
              <c:numCache>
                <c:formatCode>0.0%</c:formatCode>
                <c:ptCount val="10"/>
                <c:pt idx="0">
                  <c:v>1.8527023014176299E-2</c:v>
                </c:pt>
                <c:pt idx="1">
                  <c:v>2.3835751441367001E-2</c:v>
                </c:pt>
                <c:pt idx="2">
                  <c:v>2.7822729078084099E-2</c:v>
                </c:pt>
                <c:pt idx="3">
                  <c:v>2.95520484574519E-2</c:v>
                </c:pt>
                <c:pt idx="4">
                  <c:v>2.6607809346808599E-2</c:v>
                </c:pt>
                <c:pt idx="5">
                  <c:v>2.7135477204481399E-2</c:v>
                </c:pt>
                <c:pt idx="6">
                  <c:v>2.59753533534967E-2</c:v>
                </c:pt>
                <c:pt idx="7">
                  <c:v>2.2362725190139501E-2</c:v>
                </c:pt>
                <c:pt idx="8">
                  <c:v>2.1870178320996098E-2</c:v>
                </c:pt>
                <c:pt idx="9">
                  <c:v>1.7451591166586199E-2</c:v>
                </c:pt>
              </c:numCache>
            </c:numRef>
          </c:val>
        </c:ser>
        <c:dLbls>
          <c:showLegendKey val="0"/>
          <c:showVal val="0"/>
          <c:showCatName val="0"/>
          <c:showSerName val="0"/>
          <c:showPercent val="0"/>
          <c:showBubbleSize val="0"/>
        </c:dLbls>
        <c:gapWidth val="150"/>
        <c:axId val="161448704"/>
        <c:axId val="161450624"/>
      </c:barChart>
      <c:lineChart>
        <c:grouping val="standard"/>
        <c:varyColors val="0"/>
        <c:ser>
          <c:idx val="1"/>
          <c:order val="1"/>
          <c:tx>
            <c:strRef>
              <c:f>Sheet2!$M$1</c:f>
              <c:strCache>
                <c:ptCount val="1"/>
                <c:pt idx="0">
                  <c:v>Proportion of aggregate transfer value per decile</c:v>
                </c:pt>
              </c:strCache>
            </c:strRef>
          </c:tx>
          <c:spPr>
            <a:ln>
              <a:solidFill>
                <a:srgbClr val="000090"/>
              </a:solidFill>
            </a:ln>
          </c:spPr>
          <c:marker>
            <c:spPr>
              <a:solidFill>
                <a:srgbClr val="000090"/>
              </a:solidFill>
              <a:ln>
                <a:solidFill>
                  <a:srgbClr val="000090"/>
                </a:solidFill>
              </a:ln>
            </c:spPr>
          </c:marker>
          <c:cat>
            <c:strRef>
              <c:f>Sheet2!$G$2:$G$11</c:f>
              <c:strCache>
                <c:ptCount val="10"/>
                <c:pt idx="0">
                  <c:v>Decile 1</c:v>
                </c:pt>
                <c:pt idx="1">
                  <c:v>Decile 2</c:v>
                </c:pt>
                <c:pt idx="2">
                  <c:v>Decile 3</c:v>
                </c:pt>
                <c:pt idx="3">
                  <c:v>Decile 4</c:v>
                </c:pt>
                <c:pt idx="4">
                  <c:v>Decile 5</c:v>
                </c:pt>
                <c:pt idx="5">
                  <c:v>Decile 6</c:v>
                </c:pt>
                <c:pt idx="6">
                  <c:v>Decile 7</c:v>
                </c:pt>
                <c:pt idx="7">
                  <c:v>Decile 8</c:v>
                </c:pt>
                <c:pt idx="8">
                  <c:v>Decile 9</c:v>
                </c:pt>
                <c:pt idx="9">
                  <c:v>Decile 10</c:v>
                </c:pt>
              </c:strCache>
            </c:strRef>
          </c:cat>
          <c:val>
            <c:numRef>
              <c:f>Sheet2!$M$2:$M$11</c:f>
              <c:numCache>
                <c:formatCode>0%</c:formatCode>
                <c:ptCount val="10"/>
                <c:pt idx="0">
                  <c:v>2.4847632442569299E-2</c:v>
                </c:pt>
                <c:pt idx="1">
                  <c:v>4.1933635463874602E-2</c:v>
                </c:pt>
                <c:pt idx="2">
                  <c:v>5.7821534614783801E-2</c:v>
                </c:pt>
                <c:pt idx="3">
                  <c:v>7.16257748606553E-2</c:v>
                </c:pt>
                <c:pt idx="4">
                  <c:v>7.5532635307600599E-2</c:v>
                </c:pt>
                <c:pt idx="5">
                  <c:v>9.1420534458509103E-2</c:v>
                </c:pt>
                <c:pt idx="6">
                  <c:v>0.105224774704382</c:v>
                </c:pt>
                <c:pt idx="7">
                  <c:v>0.11408032505078899</c:v>
                </c:pt>
                <c:pt idx="8">
                  <c:v>0.15445121633588599</c:v>
                </c:pt>
                <c:pt idx="9">
                  <c:v>0.26306193676095202</c:v>
                </c:pt>
              </c:numCache>
            </c:numRef>
          </c:val>
          <c:smooth val="0"/>
        </c:ser>
        <c:dLbls>
          <c:showLegendKey val="0"/>
          <c:showVal val="0"/>
          <c:showCatName val="0"/>
          <c:showSerName val="0"/>
          <c:showPercent val="0"/>
          <c:showBubbleSize val="0"/>
        </c:dLbls>
        <c:marker val="1"/>
        <c:smooth val="0"/>
        <c:axId val="161458432"/>
        <c:axId val="161456896"/>
      </c:lineChart>
      <c:catAx>
        <c:axId val="161448704"/>
        <c:scaling>
          <c:orientation val="minMax"/>
        </c:scaling>
        <c:delete val="0"/>
        <c:axPos val="b"/>
        <c:majorTickMark val="out"/>
        <c:minorTickMark val="none"/>
        <c:tickLblPos val="nextTo"/>
        <c:txPr>
          <a:bodyPr rot="-2700000"/>
          <a:lstStyle/>
          <a:p>
            <a:pPr>
              <a:defRPr sz="700" baseline="0">
                <a:latin typeface="Calibri" panose="020F0502020204030204" pitchFamily="34" charset="0"/>
              </a:defRPr>
            </a:pPr>
            <a:endParaRPr lang="en-US"/>
          </a:p>
        </c:txPr>
        <c:crossAx val="161450624"/>
        <c:crosses val="autoZero"/>
        <c:auto val="1"/>
        <c:lblAlgn val="ctr"/>
        <c:lblOffset val="100"/>
        <c:noMultiLvlLbl val="0"/>
      </c:catAx>
      <c:valAx>
        <c:axId val="161450624"/>
        <c:scaling>
          <c:orientation val="minMax"/>
          <c:max val="0.04"/>
        </c:scaling>
        <c:delete val="0"/>
        <c:axPos val="l"/>
        <c:majorGridlines/>
        <c:title>
          <c:tx>
            <c:rich>
              <a:bodyPr rot="-5400000" vert="horz"/>
              <a:lstStyle/>
              <a:p>
                <a:pPr>
                  <a:defRPr sz="700" baseline="0">
                    <a:latin typeface="Calibri" panose="020F0502020204030204" pitchFamily="34" charset="0"/>
                  </a:defRPr>
                </a:pPr>
                <a:r>
                  <a:rPr lang="en-US" sz="700" baseline="0">
                    <a:latin typeface="Calibri" panose="020F0502020204030204" pitchFamily="34" charset="0"/>
                  </a:rPr>
                  <a:t>Percentage of household per capita consmption</a:t>
                </a:r>
              </a:p>
            </c:rich>
          </c:tx>
          <c:layout>
            <c:manualLayout>
              <c:xMode val="edge"/>
              <c:yMode val="edge"/>
              <c:x val="0"/>
              <c:y val="8.1860981476532146E-2"/>
            </c:manualLayout>
          </c:layout>
          <c:overlay val="0"/>
        </c:title>
        <c:numFmt formatCode="0.0%" sourceLinked="1"/>
        <c:majorTickMark val="out"/>
        <c:minorTickMark val="none"/>
        <c:tickLblPos val="nextTo"/>
        <c:txPr>
          <a:bodyPr/>
          <a:lstStyle/>
          <a:p>
            <a:pPr>
              <a:defRPr sz="700" baseline="0">
                <a:latin typeface="Calibri" panose="020F0502020204030204" pitchFamily="34" charset="0"/>
              </a:defRPr>
            </a:pPr>
            <a:endParaRPr lang="en-US"/>
          </a:p>
        </c:txPr>
        <c:crossAx val="161448704"/>
        <c:crosses val="autoZero"/>
        <c:crossBetween val="between"/>
      </c:valAx>
      <c:valAx>
        <c:axId val="161456896"/>
        <c:scaling>
          <c:orientation val="minMax"/>
          <c:max val="0.4"/>
        </c:scaling>
        <c:delete val="0"/>
        <c:axPos val="r"/>
        <c:numFmt formatCode="0%" sourceLinked="1"/>
        <c:majorTickMark val="out"/>
        <c:minorTickMark val="none"/>
        <c:tickLblPos val="nextTo"/>
        <c:txPr>
          <a:bodyPr/>
          <a:lstStyle/>
          <a:p>
            <a:pPr>
              <a:defRPr sz="700" baseline="0">
                <a:latin typeface="Calibri" panose="020F0502020204030204" pitchFamily="34" charset="0"/>
              </a:defRPr>
            </a:pPr>
            <a:endParaRPr lang="en-US"/>
          </a:p>
        </c:txPr>
        <c:crossAx val="161458432"/>
        <c:crosses val="max"/>
        <c:crossBetween val="between"/>
      </c:valAx>
      <c:catAx>
        <c:axId val="161458432"/>
        <c:scaling>
          <c:orientation val="minMax"/>
        </c:scaling>
        <c:delete val="1"/>
        <c:axPos val="b"/>
        <c:majorTickMark val="out"/>
        <c:minorTickMark val="none"/>
        <c:tickLblPos val="none"/>
        <c:crossAx val="161456896"/>
        <c:crosses val="autoZero"/>
        <c:auto val="1"/>
        <c:lblAlgn val="ctr"/>
        <c:lblOffset val="100"/>
        <c:noMultiLvlLbl val="0"/>
      </c:catAx>
    </c:plotArea>
    <c:legend>
      <c:legendPos val="r"/>
      <c:layout>
        <c:manualLayout>
          <c:xMode val="edge"/>
          <c:yMode val="edge"/>
          <c:x val="0.16992860121259673"/>
          <c:y val="1.95822454308094E-2"/>
          <c:w val="0.69421498993135111"/>
          <c:h val="0.2240054794267155"/>
        </c:manualLayout>
      </c:layout>
      <c:overlay val="0"/>
      <c:txPr>
        <a:bodyPr/>
        <a:lstStyle/>
        <a:p>
          <a:pPr>
            <a:defRPr sz="700" baseline="0">
              <a:latin typeface="Calibri" panose="020F0502020204030204" pitchFamily="34" charset="0"/>
            </a:defRPr>
          </a:pPr>
          <a:endParaRPr lang="en-US"/>
        </a:p>
      </c:txPr>
    </c:legend>
    <c:plotVisOnly val="1"/>
    <c:dispBlanksAs val="gap"/>
    <c:showDLblsOverMax val="0"/>
  </c:chart>
  <c:spPr>
    <a:ln w="9525">
      <a:noFill/>
    </a:ln>
  </c:spPr>
  <c:txPr>
    <a:bodyPr/>
    <a:lstStyle/>
    <a:p>
      <a:pPr>
        <a:defRPr b="1"/>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ract Mgt Template 1">
    <a:dk1>
      <a:srgbClr val="000000"/>
    </a:dk1>
    <a:lt1>
      <a:srgbClr val="FFFFFF"/>
    </a:lt1>
    <a:dk2>
      <a:srgbClr val="000000"/>
    </a:dk2>
    <a:lt2>
      <a:srgbClr val="DADBDD"/>
    </a:lt2>
    <a:accent1>
      <a:srgbClr val="C8B400"/>
    </a:accent1>
    <a:accent2>
      <a:srgbClr val="D72226"/>
    </a:accent2>
    <a:accent3>
      <a:srgbClr val="FFFFFF"/>
    </a:accent3>
    <a:accent4>
      <a:srgbClr val="000000"/>
    </a:accent4>
    <a:accent5>
      <a:srgbClr val="E0D6AA"/>
    </a:accent5>
    <a:accent6>
      <a:srgbClr val="C31E21"/>
    </a:accent6>
    <a:hlink>
      <a:srgbClr val="6799C8"/>
    </a:hlink>
    <a:folHlink>
      <a:srgbClr val="BABCBE"/>
    </a:folHlink>
  </a:clrScheme>
  <a:fontScheme name="Pract Mgt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D5BA45-CC2B-4EB5-9216-AF99DBB46629}"/>
</file>

<file path=customXml/itemProps2.xml><?xml version="1.0" encoding="utf-8"?>
<ds:datastoreItem xmlns:ds="http://schemas.openxmlformats.org/officeDocument/2006/customXml" ds:itemID="{FD1DDFC5-01F9-4240-9C1B-318DA7F27D5C}"/>
</file>

<file path=customXml/itemProps3.xml><?xml version="1.0" encoding="utf-8"?>
<ds:datastoreItem xmlns:ds="http://schemas.openxmlformats.org/officeDocument/2006/customXml" ds:itemID="{F0916CF4-ACF6-4332-86ED-F1EFC4407639}"/>
</file>

<file path=customXml/itemProps4.xml><?xml version="1.0" encoding="utf-8"?>
<ds:datastoreItem xmlns:ds="http://schemas.openxmlformats.org/officeDocument/2006/customXml" ds:itemID="{F1112334-D969-4095-B287-BD6C2327190B}"/>
</file>

<file path=customXml/itemProps5.xml><?xml version="1.0" encoding="utf-8"?>
<ds:datastoreItem xmlns:ds="http://schemas.openxmlformats.org/officeDocument/2006/customXml" ds:itemID="{057F07F7-2F7C-46AA-81E9-C582A8FB2165}"/>
</file>

<file path=docProps/app.xml><?xml version="1.0" encoding="utf-8"?>
<Properties xmlns="http://schemas.openxmlformats.org/officeDocument/2006/extended-properties" xmlns:vt="http://schemas.openxmlformats.org/officeDocument/2006/docPropsVTypes">
  <Template>EAF14344</Template>
  <TotalTime>0</TotalTime>
  <Pages>23</Pages>
  <Words>9767</Words>
  <Characters>55677</Characters>
  <Application>Microsoft Office Word</Application>
  <DocSecurity>0</DocSecurity>
  <Lines>463</Lines>
  <Paragraphs>130</Paragraphs>
  <ScaleCrop>false</ScaleCrop>
  <Company/>
  <LinksUpToDate>false</LinksUpToDate>
  <CharactersWithSpaces>65314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2014-09-19T04:28:00Z</dcterms:created>
  <dcterms:modified xsi:type="dcterms:W3CDTF">2014-09-19T04:28:00Z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48300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