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1.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54" w:rsidRPr="00020121" w:rsidRDefault="00652902" w:rsidP="00652902">
      <w:pPr>
        <w:pStyle w:val="Title"/>
      </w:pPr>
      <w:r w:rsidRPr="00CA6DB6">
        <w:t>Aid Program Performance Report 2012</w:t>
      </w:r>
      <w:r w:rsidRPr="00052BF3">
        <w:t>−</w:t>
      </w:r>
      <w:r w:rsidRPr="00CA6DB6">
        <w:t xml:space="preserve">13 </w:t>
      </w:r>
      <w:r w:rsidR="00963094">
        <w:t xml:space="preserve">Latin America </w:t>
      </w:r>
      <w:r w:rsidR="00BC6EEF">
        <w:tab/>
      </w:r>
    </w:p>
    <w:p w:rsidR="00180B19" w:rsidRDefault="00180B19" w:rsidP="00180B19">
      <w:pPr>
        <w:pStyle w:val="Heading1"/>
      </w:pPr>
      <w:r w:rsidRPr="00180B19">
        <w:t xml:space="preserve">Key </w:t>
      </w:r>
      <w:r w:rsidR="005646C7">
        <w:t>m</w:t>
      </w:r>
      <w:r w:rsidRPr="00180B19">
        <w:t>essages</w:t>
      </w:r>
    </w:p>
    <w:p w:rsidR="005646C7" w:rsidRDefault="00AE36EC" w:rsidP="00D30700">
      <w:pPr>
        <w:pStyle w:val="BodyText"/>
      </w:pPr>
      <w:r>
        <w:t xml:space="preserve">This </w:t>
      </w:r>
      <w:r w:rsidR="009B58D9">
        <w:t xml:space="preserve">Aid </w:t>
      </w:r>
      <w:r w:rsidR="005646C7" w:rsidRPr="00952712">
        <w:t>Program Performance Report</w:t>
      </w:r>
      <w:r w:rsidR="00B72CC7">
        <w:t xml:space="preserve"> (</w:t>
      </w:r>
      <w:r>
        <w:t>APPR</w:t>
      </w:r>
      <w:r w:rsidR="00B72CC7">
        <w:t>)</w:t>
      </w:r>
      <w:r w:rsidR="005646C7" w:rsidRPr="00952712">
        <w:t xml:space="preserve"> summarises the Australian aid program’s progress in </w:t>
      </w:r>
      <w:r w:rsidR="005646C7">
        <w:t>Latin America</w:t>
      </w:r>
      <w:r w:rsidR="005646C7" w:rsidRPr="00952712">
        <w:t xml:space="preserve"> from January 2012 to June</w:t>
      </w:r>
      <w:r w:rsidR="005646C7">
        <w:t xml:space="preserve"> 2013.</w:t>
      </w:r>
    </w:p>
    <w:p w:rsidR="00343AD1" w:rsidRDefault="005646C7" w:rsidP="00D30700">
      <w:pPr>
        <w:pStyle w:val="BodyText"/>
      </w:pPr>
      <w:r>
        <w:t>Key findings include</w:t>
      </w:r>
      <w:r w:rsidR="00B72CC7">
        <w:t xml:space="preserve"> those reported on in the April 2013 mid-term review of the Australia – Latin American aid program</w:t>
      </w:r>
      <w:r w:rsidR="00322CF8">
        <w:rPr>
          <w:rStyle w:val="FootnoteReference"/>
        </w:rPr>
        <w:footnoteReference w:id="1"/>
      </w:r>
      <w:r w:rsidR="00B72CC7">
        <w:t>:</w:t>
      </w:r>
    </w:p>
    <w:p w:rsidR="00B72CC7" w:rsidRDefault="00343AD1" w:rsidP="00D30700">
      <w:pPr>
        <w:pStyle w:val="ListBullet"/>
      </w:pPr>
      <w:r w:rsidRPr="00C6100F">
        <w:t>the program and regional strategy remain relevant to the current context</w:t>
      </w:r>
      <w:r w:rsidR="00B72CC7">
        <w:t xml:space="preserve"> in Latin America</w:t>
      </w:r>
      <w:r>
        <w:t xml:space="preserve"> </w:t>
      </w:r>
    </w:p>
    <w:p w:rsidR="00343AD1" w:rsidRDefault="00343AD1" w:rsidP="00D30700">
      <w:pPr>
        <w:pStyle w:val="ListBullet"/>
      </w:pPr>
      <w:r w:rsidRPr="00C6100F">
        <w:t xml:space="preserve">the region’s development needs are well aligned with </w:t>
      </w:r>
      <w:r w:rsidR="00B72CC7">
        <w:t xml:space="preserve">the goals of </w:t>
      </w:r>
      <w:r w:rsidRPr="00C6100F">
        <w:t xml:space="preserve">Australia’s </w:t>
      </w:r>
      <w:r w:rsidR="001A3D67">
        <w:t xml:space="preserve"> aid program </w:t>
      </w:r>
      <w:r w:rsidRPr="00C6100F">
        <w:t>and with Australian comparative advantage as a development partner</w:t>
      </w:r>
    </w:p>
    <w:p w:rsidR="00343AD1" w:rsidRDefault="00B72CC7" w:rsidP="00D30700">
      <w:pPr>
        <w:pStyle w:val="ListBullet"/>
      </w:pPr>
      <w:r>
        <w:t xml:space="preserve">the </w:t>
      </w:r>
      <w:r w:rsidR="00455DD6">
        <w:t>Department of Foreign Affairs and Trad</w:t>
      </w:r>
      <w:r w:rsidR="00536CA4">
        <w:t>e</w:t>
      </w:r>
      <w:r w:rsidR="00455DD6">
        <w:t xml:space="preserve"> (DFAT</w:t>
      </w:r>
      <w:r>
        <w:t xml:space="preserve">), the main Australian Government implementing partner for the program, </w:t>
      </w:r>
      <w:r w:rsidR="00343AD1" w:rsidRPr="00C6100F">
        <w:t xml:space="preserve">is well regarded for the professional </w:t>
      </w:r>
      <w:r w:rsidR="00343AD1">
        <w:t xml:space="preserve">and rapid </w:t>
      </w:r>
      <w:r w:rsidR="00343AD1" w:rsidRPr="00C6100F">
        <w:t>way the Latin America program was initiated</w:t>
      </w:r>
      <w:r>
        <w:t xml:space="preserve"> and</w:t>
      </w:r>
      <w:r w:rsidR="00343AD1">
        <w:t xml:space="preserve"> for early</w:t>
      </w:r>
      <w:r>
        <w:t xml:space="preserve"> results</w:t>
      </w:r>
      <w:r w:rsidR="00343AD1">
        <w:t xml:space="preserve"> delivery</w:t>
      </w:r>
    </w:p>
    <w:p w:rsidR="00B72CC7" w:rsidRDefault="00343AD1" w:rsidP="00D30700">
      <w:pPr>
        <w:pStyle w:val="ListBullet"/>
      </w:pPr>
      <w:r w:rsidRPr="00C6100F">
        <w:t xml:space="preserve">Australia is considered a trusted partner </w:t>
      </w:r>
      <w:r>
        <w:t xml:space="preserve">in the region </w:t>
      </w:r>
      <w:r w:rsidRPr="00C6100F">
        <w:t>with similar interests</w:t>
      </w:r>
      <w:r w:rsidR="00B72CC7">
        <w:t xml:space="preserve"> to other donors, including in </w:t>
      </w:r>
      <w:r w:rsidRPr="00C6100F">
        <w:t>sustainable economic development</w:t>
      </w:r>
      <w:r w:rsidR="00B72CC7">
        <w:t xml:space="preserve">, </w:t>
      </w:r>
      <w:r w:rsidRPr="00C6100F">
        <w:t>financial inclusion, water resource management, and mining for development</w:t>
      </w:r>
    </w:p>
    <w:p w:rsidR="00343AD1" w:rsidRDefault="00B72CC7" w:rsidP="00D30700">
      <w:pPr>
        <w:pStyle w:val="ListBullet"/>
      </w:pPr>
      <w:r>
        <w:t>Australia</w:t>
      </w:r>
      <w:r w:rsidRPr="00C6100F">
        <w:t xml:space="preserve"> </w:t>
      </w:r>
      <w:r w:rsidR="00343AD1" w:rsidRPr="00C6100F">
        <w:t xml:space="preserve">adds value </w:t>
      </w:r>
      <w:r w:rsidR="002F76A7">
        <w:t>i</w:t>
      </w:r>
      <w:r>
        <w:t>n Latin America through its</w:t>
      </w:r>
      <w:r w:rsidR="00343AD1" w:rsidRPr="00C6100F">
        <w:t xml:space="preserve"> expertise and delivers sound results quickly compared </w:t>
      </w:r>
      <w:r>
        <w:t>to</w:t>
      </w:r>
      <w:r w:rsidRPr="00C6100F">
        <w:t xml:space="preserve"> </w:t>
      </w:r>
      <w:r w:rsidR="00343AD1" w:rsidRPr="00C6100F">
        <w:t xml:space="preserve">other donors </w:t>
      </w:r>
    </w:p>
    <w:p w:rsidR="00343AD1" w:rsidRDefault="00343AD1" w:rsidP="00D30700">
      <w:pPr>
        <w:pStyle w:val="ListBullet"/>
      </w:pPr>
      <w:r>
        <w:t>s</w:t>
      </w:r>
      <w:r w:rsidRPr="00C6100F">
        <w:t xml:space="preserve">everal strategic and operational decisions made during program inception enabled </w:t>
      </w:r>
      <w:r w:rsidR="00322CF8">
        <w:t xml:space="preserve">Australia to </w:t>
      </w:r>
      <w:r w:rsidRPr="00C6100F">
        <w:t>effective</w:t>
      </w:r>
      <w:r w:rsidR="00322CF8">
        <w:t>ly</w:t>
      </w:r>
      <w:r w:rsidRPr="00C6100F">
        <w:t xml:space="preserve"> leverag</w:t>
      </w:r>
      <w:r w:rsidR="00322CF8">
        <w:t>e the work of</w:t>
      </w:r>
      <w:r w:rsidRPr="00C6100F">
        <w:t xml:space="preserve"> existing</w:t>
      </w:r>
      <w:r w:rsidR="00322CF8">
        <w:t xml:space="preserve"> regional</w:t>
      </w:r>
      <w:r w:rsidRPr="00C6100F">
        <w:t xml:space="preserve"> partners to deliver results</w:t>
      </w:r>
      <w:r>
        <w:t xml:space="preserve"> </w:t>
      </w:r>
    </w:p>
    <w:p w:rsidR="00343AD1" w:rsidRDefault="00343AD1" w:rsidP="00D30700">
      <w:pPr>
        <w:pStyle w:val="ListBullet"/>
      </w:pPr>
      <w:proofErr w:type="gramStart"/>
      <w:r>
        <w:t>the</w:t>
      </w:r>
      <w:proofErr w:type="gramEnd"/>
      <w:r>
        <w:t xml:space="preserve"> program </w:t>
      </w:r>
      <w:r w:rsidR="00322CF8">
        <w:t>focused on</w:t>
      </w:r>
      <w:r>
        <w:t xml:space="preserve"> </w:t>
      </w:r>
      <w:r w:rsidR="00322CF8">
        <w:t xml:space="preserve">building </w:t>
      </w:r>
      <w:r>
        <w:t>relationship</w:t>
      </w:r>
      <w:r w:rsidR="00322CF8">
        <w:t>s</w:t>
      </w:r>
      <w:r>
        <w:t xml:space="preserve"> (establishment phase)</w:t>
      </w:r>
      <w:r w:rsidR="00322CF8">
        <w:t>, but now needs to focus on</w:t>
      </w:r>
      <w:r>
        <w:t xml:space="preserve"> achieving greater development results </w:t>
      </w:r>
      <w:r w:rsidR="00322CF8">
        <w:t>through</w:t>
      </w:r>
      <w:r>
        <w:t xml:space="preserve"> program consolidation and </w:t>
      </w:r>
      <w:r w:rsidR="00322CF8">
        <w:t xml:space="preserve">the </w:t>
      </w:r>
      <w:r>
        <w:t>development of strategic program architecture.</w:t>
      </w:r>
    </w:p>
    <w:p w:rsidR="00343AD1" w:rsidRDefault="00455DD6" w:rsidP="00D30700">
      <w:pPr>
        <w:pStyle w:val="BodyText"/>
      </w:pPr>
      <w:r>
        <w:t xml:space="preserve">The department </w:t>
      </w:r>
      <w:r w:rsidR="00322CF8">
        <w:t xml:space="preserve">will use </w:t>
      </w:r>
      <w:r w:rsidR="00C74D89">
        <w:t xml:space="preserve">program </w:t>
      </w:r>
      <w:r w:rsidR="00343AD1">
        <w:t xml:space="preserve">mid-term review findings and recommendations to assess options for strategic program development. In the next 12 months, the </w:t>
      </w:r>
      <w:r w:rsidR="00322CF8">
        <w:t xml:space="preserve">Latin America </w:t>
      </w:r>
      <w:r w:rsidR="00343AD1">
        <w:t xml:space="preserve">program will </w:t>
      </w:r>
      <w:r w:rsidR="00322CF8">
        <w:t>consolidate</w:t>
      </w:r>
      <w:r w:rsidR="00343AD1">
        <w:t xml:space="preserve"> </w:t>
      </w:r>
      <w:r w:rsidR="00322CF8">
        <w:t xml:space="preserve">by working </w:t>
      </w:r>
      <w:r w:rsidR="00343AD1">
        <w:t>through core partners in priority</w:t>
      </w:r>
      <w:r w:rsidR="00322CF8">
        <w:t xml:space="preserve"> sectors</w:t>
      </w:r>
      <w:r w:rsidR="00343AD1">
        <w:t xml:space="preserve"> and in countries where Australian </w:t>
      </w:r>
      <w:r w:rsidR="00322CF8">
        <w:t>o</w:t>
      </w:r>
      <w:r w:rsidR="00343AD1">
        <w:t xml:space="preserve">fficial </w:t>
      </w:r>
      <w:r w:rsidR="00322CF8">
        <w:t>d</w:t>
      </w:r>
      <w:r w:rsidR="00343AD1">
        <w:t xml:space="preserve">evelopment </w:t>
      </w:r>
      <w:r w:rsidR="00322CF8">
        <w:t>a</w:t>
      </w:r>
      <w:r w:rsidR="00343AD1">
        <w:t>ssistance (ODA) can make the greatest difference.</w:t>
      </w:r>
      <w:r w:rsidR="00343AD1" w:rsidRPr="006558CC">
        <w:t xml:space="preserve"> </w:t>
      </w:r>
      <w:r w:rsidR="00322CF8">
        <w:t>T</w:t>
      </w:r>
      <w:r w:rsidR="00343AD1">
        <w:t xml:space="preserve">he </w:t>
      </w:r>
      <w:r w:rsidR="00322CF8">
        <w:t xml:space="preserve">consolidated </w:t>
      </w:r>
      <w:r w:rsidR="00343AD1">
        <w:t>program will</w:t>
      </w:r>
      <w:r w:rsidR="00322CF8">
        <w:t xml:space="preserve"> concentrate</w:t>
      </w:r>
      <w:r w:rsidR="00343AD1">
        <w:t xml:space="preserve"> on supporting sustainable economic development, delivered through </w:t>
      </w:r>
      <w:r w:rsidR="00322CF8">
        <w:t>Australia’s</w:t>
      </w:r>
      <w:r w:rsidR="00343AD1">
        <w:t xml:space="preserve"> partnership with </w:t>
      </w:r>
      <w:r w:rsidR="00343AD1" w:rsidRPr="006558CC">
        <w:t xml:space="preserve">the </w:t>
      </w:r>
      <w:r w:rsidR="00343AD1" w:rsidRPr="006558CC">
        <w:rPr>
          <w:lang w:val="en-GB"/>
        </w:rPr>
        <w:t>Inter-American Development Bank (IDB)</w:t>
      </w:r>
      <w:r w:rsidR="00343AD1">
        <w:t xml:space="preserve"> and target</w:t>
      </w:r>
      <w:r w:rsidR="00322CF8">
        <w:t>ing</w:t>
      </w:r>
      <w:r w:rsidR="00343AD1">
        <w:t xml:space="preserve"> poorer countries</w:t>
      </w:r>
      <w:r w:rsidR="00416F50">
        <w:t xml:space="preserve"> (</w:t>
      </w:r>
      <w:r w:rsidR="00416F50" w:rsidRPr="00E96C84">
        <w:t>Bolivia, Colombia, El Salvador, Guatemala, Honduras, Nicaragua, Paraguay and Peru</w:t>
      </w:r>
      <w:r w:rsidR="00416F50">
        <w:t>).</w:t>
      </w:r>
    </w:p>
    <w:p w:rsidR="00156865" w:rsidRDefault="00156865">
      <w:pPr>
        <w:spacing w:after="200" w:line="276" w:lineRule="auto"/>
        <w:rPr>
          <w:rFonts w:ascii="Franklin Gothic Demi" w:eastAsia="Times New Roman" w:hAnsi="Franklin Gothic Demi" w:cs="Arial"/>
          <w:color w:val="AD495D"/>
          <w:kern w:val="28"/>
          <w:sz w:val="28"/>
          <w:szCs w:val="28"/>
        </w:rPr>
      </w:pPr>
      <w:r>
        <w:br w:type="page"/>
      </w:r>
    </w:p>
    <w:p w:rsidR="00343AD1" w:rsidRPr="00180B19" w:rsidRDefault="00343AD1" w:rsidP="00D30700">
      <w:pPr>
        <w:pStyle w:val="Heading1"/>
      </w:pPr>
      <w:r w:rsidRPr="00D30700">
        <w:lastRenderedPageBreak/>
        <w:t>Context</w:t>
      </w:r>
      <w:r w:rsidRPr="00180B19">
        <w:t xml:space="preserve"> </w:t>
      </w:r>
    </w:p>
    <w:p w:rsidR="00322CF8" w:rsidRPr="00D30700" w:rsidRDefault="00343AD1" w:rsidP="00D30700">
      <w:pPr>
        <w:pStyle w:val="BodyText"/>
        <w:rPr>
          <w:b/>
          <w:i/>
          <w:lang w:val="en-GB"/>
        </w:rPr>
      </w:pPr>
      <w:r w:rsidRPr="00D30700">
        <w:rPr>
          <w:b/>
          <w:i/>
          <w:lang w:val="en-GB"/>
        </w:rPr>
        <w:t>Development challenges</w:t>
      </w:r>
    </w:p>
    <w:p w:rsidR="00343AD1" w:rsidRDefault="00343AD1" w:rsidP="00D30700">
      <w:pPr>
        <w:pStyle w:val="BodyText"/>
      </w:pPr>
      <w:r w:rsidRPr="005209D2">
        <w:rPr>
          <w:lang w:val="en-GB"/>
        </w:rPr>
        <w:t xml:space="preserve">The 570 million people living in </w:t>
      </w:r>
      <w:r>
        <w:rPr>
          <w:lang w:val="en-GB"/>
        </w:rPr>
        <w:t xml:space="preserve">Latin America represent almost </w:t>
      </w:r>
      <w:r w:rsidR="00322CF8">
        <w:rPr>
          <w:lang w:val="en-GB"/>
        </w:rPr>
        <w:t xml:space="preserve">9 </w:t>
      </w:r>
      <w:r>
        <w:rPr>
          <w:lang w:val="en-GB"/>
        </w:rPr>
        <w:t>per cent</w:t>
      </w:r>
      <w:r w:rsidRPr="005209D2">
        <w:rPr>
          <w:lang w:val="en-GB"/>
        </w:rPr>
        <w:t xml:space="preserve"> of global population, produce arou</w:t>
      </w:r>
      <w:r>
        <w:rPr>
          <w:lang w:val="en-GB"/>
        </w:rPr>
        <w:t>nd 7.5 per cent</w:t>
      </w:r>
      <w:r w:rsidRPr="005209D2">
        <w:rPr>
          <w:lang w:val="en-GB"/>
        </w:rPr>
        <w:t xml:space="preserve"> of global gross domestic product</w:t>
      </w:r>
      <w:r>
        <w:rPr>
          <w:lang w:val="en-GB"/>
        </w:rPr>
        <w:t>,</w:t>
      </w:r>
      <w:r w:rsidRPr="005209D2">
        <w:rPr>
          <w:lang w:val="en-GB"/>
        </w:rPr>
        <w:t xml:space="preserve"> </w:t>
      </w:r>
      <w:r>
        <w:rPr>
          <w:lang w:val="en-GB"/>
        </w:rPr>
        <w:t xml:space="preserve">and occupy an area more than </w:t>
      </w:r>
      <w:r w:rsidR="00416F50">
        <w:rPr>
          <w:lang w:val="en-GB"/>
        </w:rPr>
        <w:t>2.5</w:t>
      </w:r>
      <w:r w:rsidRPr="005209D2">
        <w:rPr>
          <w:lang w:val="en-GB"/>
        </w:rPr>
        <w:t xml:space="preserve"> times larger than Australia</w:t>
      </w:r>
      <w:r>
        <w:rPr>
          <w:rStyle w:val="FootnoteReference"/>
          <w:lang w:val="en-GB"/>
        </w:rPr>
        <w:footnoteReference w:id="2"/>
      </w:r>
      <w:r w:rsidR="00416F50">
        <w:rPr>
          <w:lang w:val="en-GB"/>
        </w:rPr>
        <w:t>, y</w:t>
      </w:r>
      <w:r w:rsidRPr="005209D2">
        <w:rPr>
          <w:lang w:val="en-GB"/>
        </w:rPr>
        <w:t xml:space="preserve">et, more than </w:t>
      </w:r>
      <w:r w:rsidR="00416F50">
        <w:rPr>
          <w:lang w:val="en-GB"/>
        </w:rPr>
        <w:t>1-</w:t>
      </w:r>
      <w:r w:rsidRPr="005209D2">
        <w:rPr>
          <w:lang w:val="en-GB"/>
        </w:rPr>
        <w:t>in</w:t>
      </w:r>
      <w:r w:rsidR="00416F50">
        <w:rPr>
          <w:lang w:val="en-GB"/>
        </w:rPr>
        <w:t>-</w:t>
      </w:r>
      <w:r w:rsidRPr="005209D2">
        <w:rPr>
          <w:lang w:val="en-GB"/>
        </w:rPr>
        <w:t>10 cannot meet their basic food needs.</w:t>
      </w:r>
      <w:r>
        <w:rPr>
          <w:rStyle w:val="FootnoteReference"/>
          <w:lang w:val="en-GB"/>
        </w:rPr>
        <w:footnoteReference w:id="3"/>
      </w:r>
      <w:r>
        <w:rPr>
          <w:lang w:val="en-GB"/>
        </w:rPr>
        <w:t xml:space="preserve"> </w:t>
      </w:r>
      <w:r w:rsidRPr="00A937EF">
        <w:rPr>
          <w:lang w:val="en-GB"/>
        </w:rPr>
        <w:t xml:space="preserve">Despite </w:t>
      </w:r>
      <w:r>
        <w:rPr>
          <w:lang w:val="en-GB"/>
        </w:rPr>
        <w:t>improved economic and development</w:t>
      </w:r>
      <w:r w:rsidRPr="00A937EF">
        <w:rPr>
          <w:lang w:val="en-GB"/>
        </w:rPr>
        <w:t xml:space="preserve"> indicators</w:t>
      </w:r>
      <w:r>
        <w:rPr>
          <w:lang w:val="en-GB"/>
        </w:rPr>
        <w:t xml:space="preserve"> </w:t>
      </w:r>
      <w:r w:rsidRPr="00A937EF">
        <w:rPr>
          <w:lang w:val="en-GB"/>
        </w:rPr>
        <w:t xml:space="preserve">for some </w:t>
      </w:r>
      <w:r w:rsidR="00416F50">
        <w:rPr>
          <w:lang w:val="en-GB"/>
        </w:rPr>
        <w:t xml:space="preserve">Latin America </w:t>
      </w:r>
      <w:r w:rsidRPr="00A937EF">
        <w:rPr>
          <w:lang w:val="en-GB"/>
        </w:rPr>
        <w:t xml:space="preserve">countries, </w:t>
      </w:r>
      <w:r>
        <w:rPr>
          <w:lang w:val="en-GB"/>
        </w:rPr>
        <w:t>almost</w:t>
      </w:r>
      <w:r w:rsidRPr="00A937EF">
        <w:rPr>
          <w:lang w:val="en-GB"/>
        </w:rPr>
        <w:t xml:space="preserve"> one</w:t>
      </w:r>
      <w:r w:rsidR="00416F50">
        <w:rPr>
          <w:lang w:val="en-GB"/>
        </w:rPr>
        <w:t>-</w:t>
      </w:r>
      <w:r w:rsidRPr="00A937EF">
        <w:rPr>
          <w:lang w:val="en-GB"/>
        </w:rPr>
        <w:t>third of the population (</w:t>
      </w:r>
      <w:r w:rsidR="00416F50">
        <w:rPr>
          <w:lang w:val="en-GB"/>
        </w:rPr>
        <w:t>more than</w:t>
      </w:r>
      <w:r w:rsidR="00416F50" w:rsidRPr="00A937EF">
        <w:rPr>
          <w:lang w:val="en-GB"/>
        </w:rPr>
        <w:t xml:space="preserve"> </w:t>
      </w:r>
      <w:r>
        <w:rPr>
          <w:lang w:val="en-GB"/>
        </w:rPr>
        <w:t>167</w:t>
      </w:r>
      <w:r w:rsidRPr="00A937EF">
        <w:rPr>
          <w:lang w:val="en-GB"/>
        </w:rPr>
        <w:t xml:space="preserve"> million people) li</w:t>
      </w:r>
      <w:r>
        <w:rPr>
          <w:lang w:val="en-GB"/>
        </w:rPr>
        <w:t>ve below national poverty lines</w:t>
      </w:r>
      <w:r w:rsidR="003F0CF4">
        <w:rPr>
          <w:lang w:val="en-GB"/>
        </w:rPr>
        <w:t>.</w:t>
      </w:r>
      <w:r>
        <w:rPr>
          <w:rStyle w:val="FootnoteReference"/>
          <w:lang w:val="en-GB"/>
        </w:rPr>
        <w:footnoteReference w:id="4"/>
      </w:r>
      <w:r>
        <w:rPr>
          <w:lang w:val="en-GB"/>
        </w:rPr>
        <w:t xml:space="preserve"> Additionally, </w:t>
      </w:r>
      <w:r w:rsidR="00416F50">
        <w:rPr>
          <w:lang w:val="en-GB"/>
        </w:rPr>
        <w:t>World Bank Development Indicators report that</w:t>
      </w:r>
      <w:r w:rsidR="00416F50" w:rsidRPr="00A937EF">
        <w:rPr>
          <w:lang w:val="en-GB"/>
        </w:rPr>
        <w:t xml:space="preserve"> </w:t>
      </w:r>
      <w:r w:rsidRPr="00A937EF">
        <w:rPr>
          <w:lang w:val="en-GB"/>
        </w:rPr>
        <w:t>17</w:t>
      </w:r>
      <w:r>
        <w:rPr>
          <w:lang w:val="en-GB"/>
        </w:rPr>
        <w:t xml:space="preserve"> per cent</w:t>
      </w:r>
      <w:r w:rsidRPr="00A937EF">
        <w:rPr>
          <w:lang w:val="en-GB"/>
        </w:rPr>
        <w:t xml:space="preserve"> of Latin America</w:t>
      </w:r>
      <w:r>
        <w:rPr>
          <w:lang w:val="en-GB"/>
        </w:rPr>
        <w:t>n people</w:t>
      </w:r>
      <w:r w:rsidRPr="00A937EF">
        <w:rPr>
          <w:lang w:val="en-GB"/>
        </w:rPr>
        <w:t xml:space="preserve"> live on less than US$2 a day</w:t>
      </w:r>
      <w:r w:rsidR="005646C7">
        <w:rPr>
          <w:lang w:val="en-GB"/>
        </w:rPr>
        <w:t>—</w:t>
      </w:r>
      <w:r w:rsidRPr="00A937EF">
        <w:rPr>
          <w:lang w:val="en-GB"/>
        </w:rPr>
        <w:t xml:space="preserve">that </w:t>
      </w:r>
      <w:proofErr w:type="gramStart"/>
      <w:r w:rsidRPr="00A937EF">
        <w:rPr>
          <w:lang w:val="en-GB"/>
        </w:rPr>
        <w:t>is</w:t>
      </w:r>
      <w:proofErr w:type="gramEnd"/>
      <w:r w:rsidRPr="00A937EF">
        <w:rPr>
          <w:lang w:val="en-GB"/>
        </w:rPr>
        <w:t xml:space="preserve"> almost 100 million people</w:t>
      </w:r>
      <w:bookmarkStart w:id="0" w:name="_Ref355409218"/>
      <w:r>
        <w:rPr>
          <w:lang w:val="en-GB"/>
        </w:rPr>
        <w:t>.</w:t>
      </w:r>
      <w:bookmarkEnd w:id="0"/>
      <w:r>
        <w:rPr>
          <w:lang w:val="en-GB"/>
        </w:rPr>
        <w:t xml:space="preserve"> </w:t>
      </w:r>
      <w:r>
        <w:t>Latin American countries have</w:t>
      </w:r>
      <w:r w:rsidRPr="000779AD">
        <w:t xml:space="preserve"> high levels of inequality, with </w:t>
      </w:r>
      <w:r w:rsidR="00416F50">
        <w:t>10</w:t>
      </w:r>
      <w:r w:rsidR="00416F50" w:rsidRPr="000779AD">
        <w:t xml:space="preserve"> </w:t>
      </w:r>
      <w:r w:rsidRPr="000779AD">
        <w:t xml:space="preserve">of the world's </w:t>
      </w:r>
      <w:r w:rsidR="00416F50">
        <w:t>15</w:t>
      </w:r>
      <w:r w:rsidR="00416F50" w:rsidRPr="000779AD">
        <w:t xml:space="preserve"> </w:t>
      </w:r>
      <w:r w:rsidRPr="000779AD">
        <w:t>most unequal countries in the region.</w:t>
      </w:r>
      <w:r>
        <w:rPr>
          <w:rStyle w:val="FootnoteReference"/>
        </w:rPr>
        <w:footnoteReference w:id="5"/>
      </w:r>
      <w:r w:rsidRPr="000779AD">
        <w:t xml:space="preserve"> The </w:t>
      </w:r>
      <w:proofErr w:type="spellStart"/>
      <w:r w:rsidRPr="000779AD">
        <w:t>Gini</w:t>
      </w:r>
      <w:proofErr w:type="spellEnd"/>
      <w:r w:rsidRPr="000779AD">
        <w:t xml:space="preserve"> </w:t>
      </w:r>
      <w:r w:rsidR="00416F50">
        <w:t>c</w:t>
      </w:r>
      <w:r w:rsidRPr="000779AD">
        <w:t>oefficient</w:t>
      </w:r>
      <w:r>
        <w:rPr>
          <w:rStyle w:val="FootnoteReference"/>
        </w:rPr>
        <w:footnoteReference w:id="6"/>
      </w:r>
      <w:r w:rsidRPr="000779AD">
        <w:t xml:space="preserve"> for each of Brazil, Colombia, Honduras, Gua</w:t>
      </w:r>
      <w:r>
        <w:t xml:space="preserve">temala and Paraguay exceeds </w:t>
      </w:r>
      <w:r w:rsidR="00F50D37">
        <w:t>0</w:t>
      </w:r>
      <w:r>
        <w:t>.54</w:t>
      </w:r>
      <w:r w:rsidRPr="000779AD">
        <w:t>.</w:t>
      </w:r>
      <w:r>
        <w:rPr>
          <w:rStyle w:val="FootnoteReference"/>
        </w:rPr>
        <w:footnoteReference w:id="7"/>
      </w:r>
      <w:r w:rsidRPr="000779AD">
        <w:t xml:space="preserve"> As an example of what this me</w:t>
      </w:r>
      <w:r>
        <w:t>ans in practice, the poorest 20 per cent</w:t>
      </w:r>
      <w:r w:rsidRPr="000779AD">
        <w:t xml:space="preserve"> of p</w:t>
      </w:r>
      <w:r>
        <w:t xml:space="preserve">eople in Guatemala hold around </w:t>
      </w:r>
      <w:r w:rsidR="00F73B72">
        <w:t xml:space="preserve">3 </w:t>
      </w:r>
      <w:r>
        <w:t>per cent</w:t>
      </w:r>
      <w:r w:rsidRPr="000779AD">
        <w:t xml:space="preserve"> of national income, c</w:t>
      </w:r>
      <w:r>
        <w:t>ompared with the richest 20 per cent</w:t>
      </w:r>
      <w:r w:rsidRPr="000779AD">
        <w:t xml:space="preserve"> who hold more than 60</w:t>
      </w:r>
      <w:r>
        <w:t xml:space="preserve"> per cent</w:t>
      </w:r>
      <w:r w:rsidR="001E70CE">
        <w:t xml:space="preserve">, according to World Bank </w:t>
      </w:r>
      <w:proofErr w:type="spellStart"/>
      <w:r w:rsidR="001E70CE">
        <w:t>Gini</w:t>
      </w:r>
      <w:proofErr w:type="spellEnd"/>
      <w:r w:rsidR="001E70CE">
        <w:t xml:space="preserve"> indicators (201</w:t>
      </w:r>
      <w:r w:rsidR="003F4D19">
        <w:t>2</w:t>
      </w:r>
      <w:r w:rsidR="001E70CE">
        <w:t>)</w:t>
      </w:r>
      <w:r w:rsidRPr="000779AD">
        <w:t>.</w:t>
      </w:r>
    </w:p>
    <w:p w:rsidR="00343AD1" w:rsidRDefault="00343AD1" w:rsidP="00D30700">
      <w:pPr>
        <w:pStyle w:val="BodyText"/>
        <w:rPr>
          <w:lang w:val="en-GB"/>
        </w:rPr>
      </w:pPr>
      <w:r w:rsidRPr="005F150E">
        <w:rPr>
          <w:lang w:val="en-GB"/>
        </w:rPr>
        <w:t xml:space="preserve">The high level of inequality in Latin America is a fundamental impediment to </w:t>
      </w:r>
      <w:r>
        <w:rPr>
          <w:lang w:val="en-GB"/>
        </w:rPr>
        <w:t xml:space="preserve">poverty reduction, </w:t>
      </w:r>
      <w:r w:rsidRPr="005F150E">
        <w:rPr>
          <w:lang w:val="en-GB"/>
        </w:rPr>
        <w:t xml:space="preserve">economic growth and development. </w:t>
      </w:r>
      <w:r>
        <w:rPr>
          <w:lang w:val="en-GB"/>
        </w:rPr>
        <w:t>Many w</w:t>
      </w:r>
      <w:r w:rsidRPr="005F150E">
        <w:rPr>
          <w:lang w:val="en-GB"/>
        </w:rPr>
        <w:t xml:space="preserve">omen, </w:t>
      </w:r>
      <w:r w:rsidR="00F50D37">
        <w:rPr>
          <w:lang w:val="en-GB"/>
        </w:rPr>
        <w:t>I</w:t>
      </w:r>
      <w:r w:rsidRPr="005F150E">
        <w:rPr>
          <w:lang w:val="en-GB"/>
        </w:rPr>
        <w:t>ndigenous</w:t>
      </w:r>
      <w:r>
        <w:rPr>
          <w:lang w:val="en-GB"/>
        </w:rPr>
        <w:t xml:space="preserve">, </w:t>
      </w:r>
      <w:r w:rsidRPr="005F150E">
        <w:rPr>
          <w:lang w:val="en-GB"/>
        </w:rPr>
        <w:t>Afro-descendent populations</w:t>
      </w:r>
      <w:r>
        <w:rPr>
          <w:lang w:val="en-GB"/>
        </w:rPr>
        <w:t>,</w:t>
      </w:r>
      <w:r w:rsidRPr="005F150E">
        <w:rPr>
          <w:lang w:val="en-GB"/>
        </w:rPr>
        <w:t xml:space="preserve"> </w:t>
      </w:r>
      <w:r>
        <w:rPr>
          <w:lang w:val="en-GB"/>
        </w:rPr>
        <w:t>and people with disabilit</w:t>
      </w:r>
      <w:r w:rsidR="001E70CE">
        <w:rPr>
          <w:lang w:val="en-GB"/>
        </w:rPr>
        <w:t>y</w:t>
      </w:r>
      <w:r>
        <w:rPr>
          <w:lang w:val="en-GB"/>
        </w:rPr>
        <w:t xml:space="preserve"> </w:t>
      </w:r>
      <w:r w:rsidRPr="005F150E">
        <w:rPr>
          <w:lang w:val="en-GB"/>
        </w:rPr>
        <w:t>experi</w:t>
      </w:r>
      <w:r>
        <w:rPr>
          <w:lang w:val="en-GB"/>
        </w:rPr>
        <w:t xml:space="preserve">ence poverty disproportionately. The </w:t>
      </w:r>
      <w:r w:rsidRPr="005F150E">
        <w:rPr>
          <w:lang w:val="en-GB"/>
        </w:rPr>
        <w:t xml:space="preserve">lack of economic and social development opportunities for marginalised populations </w:t>
      </w:r>
      <w:r>
        <w:rPr>
          <w:lang w:val="en-GB"/>
        </w:rPr>
        <w:t>and</w:t>
      </w:r>
      <w:r w:rsidRPr="005F150E">
        <w:rPr>
          <w:lang w:val="en-GB"/>
        </w:rPr>
        <w:t xml:space="preserve"> longstanding disadvantage</w:t>
      </w:r>
      <w:r>
        <w:rPr>
          <w:lang w:val="en-GB"/>
        </w:rPr>
        <w:t>,</w:t>
      </w:r>
      <w:r w:rsidRPr="005F150E">
        <w:rPr>
          <w:lang w:val="en-GB"/>
        </w:rPr>
        <w:t xml:space="preserve"> based on gender a</w:t>
      </w:r>
      <w:r>
        <w:rPr>
          <w:lang w:val="en-GB"/>
        </w:rPr>
        <w:t>nd racial-ethnic origins, leads</w:t>
      </w:r>
      <w:r w:rsidRPr="005F150E">
        <w:rPr>
          <w:lang w:val="en-GB"/>
        </w:rPr>
        <w:t xml:space="preserve"> to persistent intergenerational disadvantage. These people </w:t>
      </w:r>
      <w:r>
        <w:rPr>
          <w:lang w:val="en-GB"/>
        </w:rPr>
        <w:t xml:space="preserve">are also </w:t>
      </w:r>
      <w:r w:rsidRPr="005F150E">
        <w:rPr>
          <w:lang w:val="en-GB"/>
        </w:rPr>
        <w:t>the least able to access expanded opportunities when economic growth accelerates.</w:t>
      </w:r>
      <w:r>
        <w:rPr>
          <w:lang w:val="en-GB"/>
        </w:rPr>
        <w:t xml:space="preserve"> Additionally, Latin America is highly urbanised</w:t>
      </w:r>
      <w:r>
        <w:rPr>
          <w:rStyle w:val="FootnoteReference"/>
          <w:lang w:val="en-GB"/>
        </w:rPr>
        <w:footnoteReference w:id="8"/>
      </w:r>
      <w:r>
        <w:rPr>
          <w:lang w:val="en-GB"/>
        </w:rPr>
        <w:t xml:space="preserve"> with</w:t>
      </w:r>
      <w:r w:rsidRPr="003A429C">
        <w:rPr>
          <w:lang w:val="en-GB"/>
        </w:rPr>
        <w:t xml:space="preserve"> more than 85 per cent of people liv</w:t>
      </w:r>
      <w:r>
        <w:rPr>
          <w:lang w:val="en-GB"/>
        </w:rPr>
        <w:t>ing</w:t>
      </w:r>
      <w:r w:rsidRPr="003A429C">
        <w:rPr>
          <w:lang w:val="en-GB"/>
        </w:rPr>
        <w:t xml:space="preserve"> in urban area</w:t>
      </w:r>
      <w:r w:rsidRPr="00F23829">
        <w:rPr>
          <w:lang w:val="en-GB"/>
        </w:rPr>
        <w:t>s.</w:t>
      </w:r>
      <w:r w:rsidRPr="003A429C">
        <w:rPr>
          <w:lang w:val="en-GB"/>
        </w:rPr>
        <w:t xml:space="preserve"> </w:t>
      </w:r>
      <w:r w:rsidR="001E70CE">
        <w:rPr>
          <w:lang w:val="en-GB"/>
        </w:rPr>
        <w:t>M</w:t>
      </w:r>
      <w:r w:rsidRPr="003A429C">
        <w:rPr>
          <w:lang w:val="en-GB"/>
        </w:rPr>
        <w:t xml:space="preserve">any </w:t>
      </w:r>
      <w:r>
        <w:rPr>
          <w:lang w:val="en-GB"/>
        </w:rPr>
        <w:t xml:space="preserve">poor and </w:t>
      </w:r>
      <w:r w:rsidRPr="003A429C">
        <w:rPr>
          <w:lang w:val="en-GB"/>
        </w:rPr>
        <w:t xml:space="preserve">vulnerable people live in urban or </w:t>
      </w:r>
      <w:proofErr w:type="spellStart"/>
      <w:r w:rsidRPr="003A429C">
        <w:rPr>
          <w:lang w:val="en-GB"/>
        </w:rPr>
        <w:t>peri</w:t>
      </w:r>
      <w:proofErr w:type="spellEnd"/>
      <w:r w:rsidRPr="003A429C">
        <w:rPr>
          <w:lang w:val="en-GB"/>
        </w:rPr>
        <w:t>-urban areas.</w:t>
      </w:r>
      <w:r w:rsidR="00890302">
        <w:rPr>
          <w:lang w:val="en-GB"/>
        </w:rPr>
        <w:t xml:space="preserve"> Urban poverty rates are high, for example, in Honduras (26 per cent) and in Nicaragua and Paraguay (both 20 per cent).</w:t>
      </w:r>
    </w:p>
    <w:p w:rsidR="00343AD1" w:rsidRDefault="00343AD1" w:rsidP="00D30700">
      <w:pPr>
        <w:pStyle w:val="BodyText"/>
      </w:pPr>
      <w:r w:rsidRPr="00340E04">
        <w:t xml:space="preserve">Natural disasters </w:t>
      </w:r>
      <w:r>
        <w:t>in Latin America significantly affect the region’s ability to sustain economic development. In 2011</w:t>
      </w:r>
      <w:r w:rsidR="00F73B72">
        <w:t>,</w:t>
      </w:r>
      <w:r>
        <w:t xml:space="preserve"> </w:t>
      </w:r>
      <w:r w:rsidR="001E70CE">
        <w:t xml:space="preserve">for example, </w:t>
      </w:r>
      <w:r>
        <w:t>natural disasters in Central America caused losses of nearly US$2 </w:t>
      </w:r>
      <w:r w:rsidRPr="00340E04">
        <w:t>billion</w:t>
      </w:r>
      <w:r>
        <w:t>,</w:t>
      </w:r>
      <w:r w:rsidRPr="00340E04">
        <w:t xml:space="preserve"> and 123 people lost their lives</w:t>
      </w:r>
      <w:r>
        <w:t xml:space="preserve"> (</w:t>
      </w:r>
      <w:r w:rsidRPr="00340E04">
        <w:t>down from 194 in 2010</w:t>
      </w:r>
      <w:r>
        <w:t>).</w:t>
      </w:r>
      <w:r>
        <w:rPr>
          <w:rStyle w:val="FootnoteReference"/>
        </w:rPr>
        <w:footnoteReference w:id="9"/>
      </w:r>
      <w:r>
        <w:t xml:space="preserve"> Between 2002 and 2011</w:t>
      </w:r>
      <w:r w:rsidR="001E70CE">
        <w:t>,</w:t>
      </w:r>
      <w:r>
        <w:t xml:space="preserve"> 4</w:t>
      </w:r>
      <w:r w:rsidRPr="00340E04">
        <w:t>130 natural disasters</w:t>
      </w:r>
      <w:r w:rsidR="001E70CE">
        <w:t xml:space="preserve"> were</w:t>
      </w:r>
      <w:r w:rsidR="00460244">
        <w:t xml:space="preserve"> recorded</w:t>
      </w:r>
      <w:r w:rsidR="001E70CE">
        <w:t>, resulting</w:t>
      </w:r>
      <w:r>
        <w:t xml:space="preserve"> in</w:t>
      </w:r>
      <w:r w:rsidRPr="00340E04">
        <w:t xml:space="preserve"> 1</w:t>
      </w:r>
      <w:r>
        <w:t> 117 </w:t>
      </w:r>
      <w:r w:rsidRPr="00340E04">
        <w:t xml:space="preserve">527 </w:t>
      </w:r>
      <w:r>
        <w:t>deaths and</w:t>
      </w:r>
      <w:r w:rsidRPr="00340E04">
        <w:t xml:space="preserve"> losses </w:t>
      </w:r>
      <w:r w:rsidR="001E70CE">
        <w:t xml:space="preserve">worth a </w:t>
      </w:r>
      <w:r w:rsidRPr="00340E04">
        <w:t>reported $1.2 billion</w:t>
      </w:r>
      <w:r>
        <w:t>.</w:t>
      </w:r>
      <w:r>
        <w:rPr>
          <w:rStyle w:val="FootnoteReference"/>
        </w:rPr>
        <w:footnoteReference w:id="10"/>
      </w:r>
      <w:r w:rsidRPr="00340E04">
        <w:t xml:space="preserve"> Central America has the world’s highest rates of natural geological, hydro-meteoro</w:t>
      </w:r>
      <w:r>
        <w:t>logical and geodynamic hazards (</w:t>
      </w:r>
      <w:r w:rsidRPr="00340E04">
        <w:t xml:space="preserve">tropical storms, hurricanes, </w:t>
      </w:r>
      <w:r w:rsidRPr="00340E04">
        <w:lastRenderedPageBreak/>
        <w:t>floods, erupting volcanoes and earthquakes</w:t>
      </w:r>
      <w:r>
        <w:t xml:space="preserve">); while </w:t>
      </w:r>
      <w:r w:rsidRPr="00340E04">
        <w:t>South America is particularly vulnerable to earthquakes and landslides.</w:t>
      </w:r>
      <w:r>
        <w:rPr>
          <w:rStyle w:val="FootnoteReference"/>
        </w:rPr>
        <w:footnoteReference w:id="11"/>
      </w:r>
    </w:p>
    <w:p w:rsidR="00343AD1" w:rsidRPr="0047757F" w:rsidRDefault="00343AD1" w:rsidP="00D30700">
      <w:pPr>
        <w:pStyle w:val="BodyText"/>
        <w:rPr>
          <w:lang w:val="en-GB"/>
        </w:rPr>
      </w:pPr>
      <w:r w:rsidRPr="003F17E8">
        <w:rPr>
          <w:lang w:val="en-GB"/>
        </w:rPr>
        <w:t xml:space="preserve">Regional progress towards the Millennium Development Goals </w:t>
      </w:r>
      <w:r>
        <w:rPr>
          <w:lang w:val="en-GB"/>
        </w:rPr>
        <w:t>remains</w:t>
      </w:r>
      <w:r w:rsidRPr="003F17E8">
        <w:rPr>
          <w:lang w:val="en-GB"/>
        </w:rPr>
        <w:t xml:space="preserve"> mixed (</w:t>
      </w:r>
      <w:r w:rsidRPr="00F01DA5">
        <w:rPr>
          <w:lang w:val="en-GB"/>
        </w:rPr>
        <w:t xml:space="preserve">Annex </w:t>
      </w:r>
      <w:r>
        <w:rPr>
          <w:lang w:val="en-GB"/>
        </w:rPr>
        <w:t>D</w:t>
      </w:r>
      <w:r w:rsidRPr="003F17E8">
        <w:rPr>
          <w:lang w:val="en-GB"/>
        </w:rPr>
        <w:t>)</w:t>
      </w:r>
      <w:r>
        <w:rPr>
          <w:lang w:val="en-GB"/>
        </w:rPr>
        <w:t>.</w:t>
      </w:r>
      <w:r>
        <w:rPr>
          <w:rStyle w:val="FootnoteReference"/>
          <w:lang w:val="en-GB"/>
        </w:rPr>
        <w:footnoteReference w:id="12"/>
      </w:r>
      <w:r w:rsidRPr="003F17E8">
        <w:rPr>
          <w:lang w:val="en-GB"/>
        </w:rPr>
        <w:t xml:space="preserve"> </w:t>
      </w:r>
      <w:r>
        <w:rPr>
          <w:lang w:val="en-GB"/>
        </w:rPr>
        <w:t>Latin American</w:t>
      </w:r>
      <w:r w:rsidRPr="003F17E8">
        <w:rPr>
          <w:lang w:val="en-GB"/>
        </w:rPr>
        <w:t xml:space="preserve"> countries</w:t>
      </w:r>
      <w:r>
        <w:rPr>
          <w:lang w:val="en-GB"/>
        </w:rPr>
        <w:t xml:space="preserve"> also</w:t>
      </w:r>
      <w:r w:rsidRPr="003F17E8">
        <w:rPr>
          <w:lang w:val="en-GB"/>
        </w:rPr>
        <w:t xml:space="preserve"> have mixed human development index </w:t>
      </w:r>
      <w:r>
        <w:rPr>
          <w:lang w:val="en-GB"/>
        </w:rPr>
        <w:t xml:space="preserve">(HDI) </w:t>
      </w:r>
      <w:r w:rsidRPr="003F17E8">
        <w:rPr>
          <w:lang w:val="en-GB"/>
        </w:rPr>
        <w:t>ratings</w:t>
      </w:r>
      <w:r>
        <w:rPr>
          <w:lang w:val="en-GB"/>
        </w:rPr>
        <w:t xml:space="preserve">. </w:t>
      </w:r>
      <w:r w:rsidR="00046C5D">
        <w:rPr>
          <w:lang w:val="en-GB"/>
        </w:rPr>
        <w:t>While t</w:t>
      </w:r>
      <w:r>
        <w:rPr>
          <w:lang w:val="en-GB"/>
        </w:rPr>
        <w:t>wo countries have v</w:t>
      </w:r>
      <w:r w:rsidRPr="003F17E8">
        <w:rPr>
          <w:lang w:val="en-GB"/>
        </w:rPr>
        <w:t xml:space="preserve">ery </w:t>
      </w:r>
      <w:r>
        <w:rPr>
          <w:lang w:val="en-GB"/>
        </w:rPr>
        <w:t>high human development, nine h</w:t>
      </w:r>
      <w:r w:rsidRPr="003F17E8">
        <w:rPr>
          <w:lang w:val="en-GB"/>
        </w:rPr>
        <w:t xml:space="preserve">igh </w:t>
      </w:r>
      <w:r>
        <w:rPr>
          <w:lang w:val="en-GB"/>
        </w:rPr>
        <w:t>h</w:t>
      </w:r>
      <w:r w:rsidRPr="003F17E8">
        <w:rPr>
          <w:lang w:val="en-GB"/>
        </w:rPr>
        <w:t xml:space="preserve">uman </w:t>
      </w:r>
      <w:proofErr w:type="gramStart"/>
      <w:r>
        <w:rPr>
          <w:lang w:val="en-GB"/>
        </w:rPr>
        <w:t>d</w:t>
      </w:r>
      <w:r w:rsidRPr="003F17E8">
        <w:rPr>
          <w:lang w:val="en-GB"/>
        </w:rPr>
        <w:t>evelopment</w:t>
      </w:r>
      <w:proofErr w:type="gramEnd"/>
      <w:r>
        <w:rPr>
          <w:lang w:val="en-GB"/>
        </w:rPr>
        <w:t>,</w:t>
      </w:r>
      <w:r w:rsidRPr="003F17E8">
        <w:rPr>
          <w:lang w:val="en-GB"/>
        </w:rPr>
        <w:t xml:space="preserve"> and six </w:t>
      </w:r>
      <w:r>
        <w:rPr>
          <w:lang w:val="en-GB"/>
        </w:rPr>
        <w:t>medium human development</w:t>
      </w:r>
      <w:r>
        <w:rPr>
          <w:rStyle w:val="FootnoteReference"/>
          <w:lang w:val="en-GB"/>
        </w:rPr>
        <w:footnoteReference w:id="13"/>
      </w:r>
      <w:r w:rsidR="00046C5D">
        <w:rPr>
          <w:lang w:val="en-GB"/>
        </w:rPr>
        <w:t xml:space="preserve">, </w:t>
      </w:r>
      <w:r>
        <w:rPr>
          <w:lang w:val="en-GB"/>
        </w:rPr>
        <w:t>most are slipping (</w:t>
      </w:r>
      <w:r w:rsidR="00046C5D">
        <w:rPr>
          <w:lang w:val="en-GB"/>
        </w:rPr>
        <w:t>A</w:t>
      </w:r>
      <w:r>
        <w:rPr>
          <w:lang w:val="en-GB"/>
        </w:rPr>
        <w:t>nnex E).</w:t>
      </w:r>
    </w:p>
    <w:p w:rsidR="00046C5D" w:rsidRPr="00D30700" w:rsidRDefault="00343AD1" w:rsidP="00D30700">
      <w:pPr>
        <w:pStyle w:val="BodyText"/>
        <w:rPr>
          <w:b/>
          <w:i/>
        </w:rPr>
      </w:pPr>
      <w:r w:rsidRPr="00D30700">
        <w:rPr>
          <w:b/>
          <w:i/>
        </w:rPr>
        <w:t>Donors in the region</w:t>
      </w:r>
    </w:p>
    <w:p w:rsidR="00343AD1" w:rsidRDefault="00343AD1" w:rsidP="00D30700">
      <w:pPr>
        <w:pStyle w:val="BodyText"/>
      </w:pPr>
      <w:r>
        <w:t>In 2012, the</w:t>
      </w:r>
      <w:r w:rsidRPr="00557B69">
        <w:t xml:space="preserve"> top three bilateral donors </w:t>
      </w:r>
      <w:r>
        <w:t>to Latin America were the United States (US$1.75 </w:t>
      </w:r>
      <w:r w:rsidRPr="00557B69">
        <w:t>billion), Germany (US$1.2</w:t>
      </w:r>
      <w:r>
        <w:t>3</w:t>
      </w:r>
      <w:r w:rsidRPr="00557B69">
        <w:t xml:space="preserve"> billion) and France (US$773 million)</w:t>
      </w:r>
      <w:r>
        <w:t>.</w:t>
      </w:r>
      <w:r>
        <w:rPr>
          <w:rStyle w:val="FootnoteReference"/>
        </w:rPr>
        <w:footnoteReference w:id="14"/>
      </w:r>
      <w:r w:rsidRPr="00557B69">
        <w:t xml:space="preserve"> The top three multilateral donors </w:t>
      </w:r>
      <w:r w:rsidR="00046C5D">
        <w:t>were</w:t>
      </w:r>
      <w:r w:rsidRPr="00557B69">
        <w:t xml:space="preserve"> the </w:t>
      </w:r>
      <w:r>
        <w:t>IDB (US$</w:t>
      </w:r>
      <w:r w:rsidRPr="009B212C">
        <w:t>1</w:t>
      </w:r>
      <w:r>
        <w:t>.29 billion)</w:t>
      </w:r>
      <w:r w:rsidRPr="00557B69">
        <w:t>, European Union Institutions</w:t>
      </w:r>
      <w:r>
        <w:t xml:space="preserve"> (US$580 million)</w:t>
      </w:r>
      <w:r w:rsidRPr="00557B69">
        <w:t xml:space="preserve"> and the World Bank’s International Development Association </w:t>
      </w:r>
      <w:r>
        <w:t>(US$231 million)</w:t>
      </w:r>
      <w:r w:rsidRPr="00557B69">
        <w:t>.</w:t>
      </w:r>
      <w:r>
        <w:rPr>
          <w:rStyle w:val="FootnoteReference"/>
        </w:rPr>
        <w:footnoteReference w:id="15"/>
      </w:r>
      <w:r>
        <w:t xml:space="preserve"> </w:t>
      </w:r>
      <w:r w:rsidR="00046C5D">
        <w:t xml:space="preserve">As a donor, </w:t>
      </w:r>
      <w:r>
        <w:t xml:space="preserve">Australia </w:t>
      </w:r>
      <w:r w:rsidR="00046C5D">
        <w:t xml:space="preserve">ranks </w:t>
      </w:r>
      <w:r>
        <w:t>29</w:t>
      </w:r>
      <w:r w:rsidR="00046C5D">
        <w:t xml:space="preserve"> with</w:t>
      </w:r>
      <w:r w:rsidRPr="009A10C9">
        <w:t xml:space="preserve"> ODA represent</w:t>
      </w:r>
      <w:r w:rsidR="00046C5D">
        <w:t>ing</w:t>
      </w:r>
      <w:r w:rsidRPr="009A10C9">
        <w:t xml:space="preserve"> around 0.2 per cent of total ODA to the region.</w:t>
      </w:r>
      <w:r>
        <w:rPr>
          <w:rStyle w:val="FootnoteReference"/>
        </w:rPr>
        <w:footnoteReference w:id="16"/>
      </w:r>
      <w:r>
        <w:t xml:space="preserve"> </w:t>
      </w:r>
      <w:r w:rsidRPr="00557B69">
        <w:t xml:space="preserve">Australia’s average ODA flow to Latin America </w:t>
      </w:r>
      <w:r>
        <w:t xml:space="preserve">through </w:t>
      </w:r>
      <w:r w:rsidR="00E51704">
        <w:t xml:space="preserve">DFAT’s </w:t>
      </w:r>
      <w:r>
        <w:t>Latin America</w:t>
      </w:r>
      <w:r w:rsidR="00E51704">
        <w:t xml:space="preserve"> aid</w:t>
      </w:r>
      <w:r>
        <w:t xml:space="preserve"> program </w:t>
      </w:r>
      <w:r w:rsidRPr="00557B69">
        <w:t xml:space="preserve">is around $13 million per year, representing around 0.5 per cent of Australia’s annual </w:t>
      </w:r>
      <w:r w:rsidR="00046C5D">
        <w:t xml:space="preserve">global </w:t>
      </w:r>
      <w:r w:rsidRPr="00557B69">
        <w:t>aid budget.</w:t>
      </w:r>
      <w:r>
        <w:rPr>
          <w:rStyle w:val="FootnoteReference"/>
        </w:rPr>
        <w:footnoteReference w:id="17"/>
      </w:r>
      <w:r w:rsidRPr="00557B69">
        <w:t xml:space="preserve"> </w:t>
      </w:r>
      <w:r>
        <w:rPr>
          <w:lang w:val="en-GB"/>
        </w:rPr>
        <w:t xml:space="preserve">In this context, </w:t>
      </w:r>
      <w:r w:rsidR="00455DD6">
        <w:t>Australia’s</w:t>
      </w:r>
      <w:r w:rsidR="00455DD6" w:rsidRPr="00557B69">
        <w:t xml:space="preserve"> </w:t>
      </w:r>
      <w:r w:rsidRPr="00557B69">
        <w:t xml:space="preserve">ability to </w:t>
      </w:r>
      <w:r>
        <w:t>contribute to</w:t>
      </w:r>
      <w:r w:rsidRPr="00557B69">
        <w:t xml:space="preserve"> effective outcomes is challenged by the </w:t>
      </w:r>
      <w:r>
        <w:t xml:space="preserve">small </w:t>
      </w:r>
      <w:r w:rsidRPr="00557B69">
        <w:t xml:space="preserve">scale of </w:t>
      </w:r>
      <w:r>
        <w:t xml:space="preserve">Australian </w:t>
      </w:r>
      <w:r w:rsidRPr="00557B69">
        <w:t>aid relative to the size, diversity and complexity of the region</w:t>
      </w:r>
      <w:r>
        <w:t>,</w:t>
      </w:r>
      <w:r w:rsidRPr="00557B69">
        <w:t xml:space="preserve"> where no single body advocates for the region as a whole</w:t>
      </w:r>
      <w:r w:rsidR="00CC40D6">
        <w:t>. This means there is no one partner</w:t>
      </w:r>
      <w:r>
        <w:t xml:space="preserve"> Australia </w:t>
      </w:r>
      <w:r w:rsidR="00CC40D6">
        <w:t>can deal with to tackle</w:t>
      </w:r>
      <w:r w:rsidRPr="00557B69">
        <w:t xml:space="preserve"> the </w:t>
      </w:r>
      <w:r w:rsidR="00CC40D6">
        <w:t xml:space="preserve">vast and complex </w:t>
      </w:r>
      <w:r w:rsidRPr="00557B69">
        <w:t>needs of the region</w:t>
      </w:r>
      <w:r w:rsidR="005646C7">
        <w:t xml:space="preserve">. </w:t>
      </w:r>
    </w:p>
    <w:p w:rsidR="00CC40D6" w:rsidRPr="00D30700" w:rsidRDefault="00343AD1" w:rsidP="00D30700">
      <w:pPr>
        <w:pStyle w:val="BodyText"/>
        <w:rPr>
          <w:b/>
          <w:i/>
        </w:rPr>
      </w:pPr>
      <w:r w:rsidRPr="00D30700">
        <w:rPr>
          <w:b/>
          <w:i/>
        </w:rPr>
        <w:t>Australia’s response</w:t>
      </w:r>
    </w:p>
    <w:p w:rsidR="00343AD1" w:rsidRDefault="00343AD1" w:rsidP="00D30700">
      <w:pPr>
        <w:pStyle w:val="BodyText"/>
        <w:rPr>
          <w:lang w:val="en-GB"/>
        </w:rPr>
      </w:pPr>
      <w:r w:rsidRPr="00B81BD1">
        <w:t>The Latin America program regional strategy was finalised in 2013. The program continues to successfully engage in three strategic focus areas: sustainable economic development</w:t>
      </w:r>
      <w:r w:rsidR="00CC40D6">
        <w:t>;</w:t>
      </w:r>
      <w:r w:rsidRPr="00B81BD1">
        <w:t xml:space="preserve"> effective governance</w:t>
      </w:r>
      <w:r w:rsidR="00CC40D6">
        <w:t>;</w:t>
      </w:r>
      <w:r w:rsidRPr="00B81BD1">
        <w:t xml:space="preserve"> and humanitarian and disaster response. </w:t>
      </w:r>
      <w:r>
        <w:rPr>
          <w:lang w:val="en-GB"/>
        </w:rPr>
        <w:t xml:space="preserve">The program’s primary multilateral partners include the IDB </w:t>
      </w:r>
      <w:r w:rsidR="00CC40D6">
        <w:rPr>
          <w:lang w:val="en-GB"/>
        </w:rPr>
        <w:t xml:space="preserve">to deliver </w:t>
      </w:r>
      <w:r>
        <w:rPr>
          <w:lang w:val="en-GB"/>
        </w:rPr>
        <w:t>sustainable economic development and the United Nations</w:t>
      </w:r>
      <w:r w:rsidR="00CC40D6">
        <w:rPr>
          <w:lang w:val="en-GB"/>
        </w:rPr>
        <w:t xml:space="preserve"> (UN)</w:t>
      </w:r>
      <w:r>
        <w:rPr>
          <w:lang w:val="en-GB"/>
        </w:rPr>
        <w:t xml:space="preserve"> World Food Programme (WFP) to deliver humanitarian assistance and disaster response support. Trilateral cooperation with emerging donors, Brazil and Chile, remains highly relevant in the changing global context and is important to extending Australia’s development reach and visibility. Australia also has delegated cooperation agreements with the German aid agency’s delivery arm (GIZ</w:t>
      </w:r>
      <w:r w:rsidR="00CC40D6">
        <w:rPr>
          <w:lang w:val="en-GB"/>
        </w:rPr>
        <w:t>—</w:t>
      </w:r>
      <w:r w:rsidR="00CC40D6" w:rsidRPr="00737391">
        <w:rPr>
          <w:i/>
        </w:rPr>
        <w:t xml:space="preserve">Die Deutsche </w:t>
      </w:r>
      <w:proofErr w:type="spellStart"/>
      <w:r w:rsidR="00CC40D6" w:rsidRPr="00737391">
        <w:rPr>
          <w:i/>
        </w:rPr>
        <w:t>Gesellschaft</w:t>
      </w:r>
      <w:proofErr w:type="spellEnd"/>
      <w:r w:rsidR="00CC40D6" w:rsidRPr="00737391">
        <w:rPr>
          <w:i/>
        </w:rPr>
        <w:t xml:space="preserve"> </w:t>
      </w:r>
      <w:proofErr w:type="spellStart"/>
      <w:r w:rsidR="00CC40D6" w:rsidRPr="00737391">
        <w:rPr>
          <w:i/>
        </w:rPr>
        <w:t>für</w:t>
      </w:r>
      <w:proofErr w:type="spellEnd"/>
      <w:r w:rsidR="00CC40D6" w:rsidRPr="00737391">
        <w:rPr>
          <w:i/>
        </w:rPr>
        <w:t xml:space="preserve"> Internationale </w:t>
      </w:r>
      <w:proofErr w:type="spellStart"/>
      <w:r w:rsidR="00CC40D6" w:rsidRPr="00737391">
        <w:rPr>
          <w:i/>
        </w:rPr>
        <w:t>Zusammenarbeit</w:t>
      </w:r>
      <w:proofErr w:type="spellEnd"/>
      <w:r>
        <w:rPr>
          <w:lang w:val="en-GB"/>
        </w:rPr>
        <w:t>) in Paraguay and Central Ameri</w:t>
      </w:r>
      <w:r w:rsidR="0051443E">
        <w:rPr>
          <w:lang w:val="en-GB"/>
        </w:rPr>
        <w:t xml:space="preserve">ca. </w:t>
      </w:r>
    </w:p>
    <w:p w:rsidR="00343AD1" w:rsidRDefault="00343AD1" w:rsidP="00D30700">
      <w:pPr>
        <w:pStyle w:val="BodyText"/>
      </w:pPr>
      <w:r>
        <w:rPr>
          <w:lang w:val="en-GB"/>
        </w:rPr>
        <w:t xml:space="preserve">In April 2013, </w:t>
      </w:r>
      <w:r w:rsidR="005670D4">
        <w:rPr>
          <w:lang w:val="en-GB"/>
        </w:rPr>
        <w:t xml:space="preserve">the aid program </w:t>
      </w:r>
      <w:r w:rsidR="00CC40D6">
        <w:rPr>
          <w:lang w:val="en-GB"/>
        </w:rPr>
        <w:t xml:space="preserve">undertook </w:t>
      </w:r>
      <w:r>
        <w:rPr>
          <w:lang w:val="en-GB"/>
        </w:rPr>
        <w:t xml:space="preserve">a program mid-term review. The review promoted open in-country </w:t>
      </w:r>
      <w:r w:rsidR="00CC40D6">
        <w:rPr>
          <w:lang w:val="en-GB"/>
        </w:rPr>
        <w:t xml:space="preserve">discussion </w:t>
      </w:r>
      <w:r>
        <w:rPr>
          <w:lang w:val="en-GB"/>
        </w:rPr>
        <w:t xml:space="preserve">with key partners, and the early outcomes from those discussions are already </w:t>
      </w:r>
      <w:r>
        <w:t xml:space="preserve">influencing work. The review’s main findings and recommendations </w:t>
      </w:r>
      <w:r w:rsidR="00CC40D6">
        <w:t xml:space="preserve">are </w:t>
      </w:r>
      <w:r>
        <w:t>outlined</w:t>
      </w:r>
      <w:r w:rsidR="00CC40D6">
        <w:t xml:space="preserve"> at the beginning of this </w:t>
      </w:r>
      <w:r w:rsidR="00AE36EC">
        <w:t>APPR</w:t>
      </w:r>
      <w:r>
        <w:t>. Significantly, t</w:t>
      </w:r>
      <w:r w:rsidRPr="009A10C9">
        <w:t xml:space="preserve">he </w:t>
      </w:r>
      <w:r>
        <w:t>review confirmed t</w:t>
      </w:r>
      <w:r w:rsidRPr="009A10C9">
        <w:t>hat Latin America</w:t>
      </w:r>
      <w:r>
        <w:t>n</w:t>
      </w:r>
      <w:r w:rsidRPr="009A10C9">
        <w:t xml:space="preserve"> </w:t>
      </w:r>
      <w:proofErr w:type="gramStart"/>
      <w:r w:rsidRPr="009A10C9">
        <w:t>partners</w:t>
      </w:r>
      <w:proofErr w:type="gramEnd"/>
      <w:r w:rsidRPr="009A10C9">
        <w:t xml:space="preserve"> value Australian technical assistance, knowledge </w:t>
      </w:r>
      <w:r>
        <w:t xml:space="preserve">exchange </w:t>
      </w:r>
      <w:r w:rsidRPr="009A10C9">
        <w:t>and linkages</w:t>
      </w:r>
      <w:r>
        <w:t xml:space="preserve"> more than money. </w:t>
      </w:r>
      <w:r w:rsidR="00CC40D6">
        <w:t>The review also found that r</w:t>
      </w:r>
      <w:r>
        <w:t xml:space="preserve">elevant, effective and efficient development assistance to </w:t>
      </w:r>
      <w:r w:rsidR="00CC40D6">
        <w:t xml:space="preserve">Latin America’s </w:t>
      </w:r>
      <w:r>
        <w:t>middle-income countries can be</w:t>
      </w:r>
      <w:r w:rsidR="00CC40D6">
        <w:t>st be</w:t>
      </w:r>
      <w:r>
        <w:t xml:space="preserve"> provided through relatively modest</w:t>
      </w:r>
      <w:r w:rsidRPr="009A10C9">
        <w:t xml:space="preserve"> funding</w:t>
      </w:r>
      <w:r>
        <w:t xml:space="preserve">, compared to other </w:t>
      </w:r>
      <w:r w:rsidR="005670D4">
        <w:t xml:space="preserve">Australian aid </w:t>
      </w:r>
      <w:r>
        <w:t>program approaches.</w:t>
      </w:r>
    </w:p>
    <w:p w:rsidR="00343AD1" w:rsidRPr="00180B19" w:rsidRDefault="00343AD1" w:rsidP="00D30700">
      <w:pPr>
        <w:pStyle w:val="Heading1"/>
      </w:pPr>
      <w:r w:rsidRPr="00180B19">
        <w:lastRenderedPageBreak/>
        <w:t>Expenditure</w:t>
      </w:r>
    </w:p>
    <w:p w:rsidR="00343AD1" w:rsidRDefault="00343AD1" w:rsidP="00D30700">
      <w:pPr>
        <w:pStyle w:val="BodyText"/>
        <w:rPr>
          <w:lang w:val="en-GB"/>
        </w:rPr>
      </w:pPr>
      <w:r>
        <w:rPr>
          <w:lang w:val="en-GB"/>
        </w:rPr>
        <w:t>Program expenditure is on track and is consistent with the intended pattern of disbursement at this point. S</w:t>
      </w:r>
      <w:r w:rsidRPr="00B66EE0">
        <w:rPr>
          <w:lang w:val="en-GB"/>
        </w:rPr>
        <w:t>ince program inception</w:t>
      </w:r>
      <w:r w:rsidR="00845B5B">
        <w:rPr>
          <w:lang w:val="en-GB"/>
        </w:rPr>
        <w:t>,</w:t>
      </w:r>
      <w:r w:rsidRPr="00B66EE0">
        <w:rPr>
          <w:lang w:val="en-GB"/>
        </w:rPr>
        <w:t xml:space="preserve"> $86 million </w:t>
      </w:r>
      <w:r>
        <w:rPr>
          <w:lang w:val="en-GB"/>
        </w:rPr>
        <w:t xml:space="preserve">of Australia’s $100 million ODA commitment to Latin America has been expended. This includes expenditure through </w:t>
      </w:r>
      <w:r w:rsidR="00455DD6">
        <w:rPr>
          <w:lang w:val="en-GB"/>
        </w:rPr>
        <w:t xml:space="preserve">DFAT’s </w:t>
      </w:r>
      <w:r>
        <w:rPr>
          <w:lang w:val="en-GB"/>
        </w:rPr>
        <w:t xml:space="preserve">Latin America program </w:t>
      </w:r>
      <w:r w:rsidR="00455DD6">
        <w:rPr>
          <w:lang w:val="en-GB"/>
        </w:rPr>
        <w:t xml:space="preserve">and </w:t>
      </w:r>
      <w:r>
        <w:rPr>
          <w:lang w:val="en-GB"/>
        </w:rPr>
        <w:t>global programs</w:t>
      </w:r>
      <w:r w:rsidR="00455DD6">
        <w:rPr>
          <w:lang w:val="en-GB"/>
        </w:rPr>
        <w:t>,</w:t>
      </w:r>
      <w:r>
        <w:rPr>
          <w:lang w:val="en-GB"/>
        </w:rPr>
        <w:t xml:space="preserve"> and other government departments ($2.1 million since the program </w:t>
      </w:r>
      <w:r w:rsidR="00845B5B">
        <w:rPr>
          <w:lang w:val="en-GB"/>
        </w:rPr>
        <w:t xml:space="preserve">started </w:t>
      </w:r>
      <w:r>
        <w:rPr>
          <w:lang w:val="en-GB"/>
        </w:rPr>
        <w:t>in 2010</w:t>
      </w:r>
      <w:r w:rsidR="00FA165A">
        <w:rPr>
          <w:lang w:val="en-GB"/>
        </w:rPr>
        <w:t>–</w:t>
      </w:r>
      <w:r>
        <w:rPr>
          <w:lang w:val="en-GB"/>
        </w:rPr>
        <w:t>11)</w:t>
      </w:r>
      <w:r w:rsidRPr="00B66EE0">
        <w:rPr>
          <w:lang w:val="en-GB"/>
        </w:rPr>
        <w:t xml:space="preserve">. </w:t>
      </w:r>
      <w:r>
        <w:rPr>
          <w:lang w:val="en-GB"/>
        </w:rPr>
        <w:t>Expenditure through the Latin America program</w:t>
      </w:r>
      <w:r w:rsidRPr="00B66EE0">
        <w:rPr>
          <w:lang w:val="en-GB"/>
        </w:rPr>
        <w:t xml:space="preserve"> includes 32 initiatives</w:t>
      </w:r>
      <w:r w:rsidR="00845B5B">
        <w:rPr>
          <w:lang w:val="en-GB"/>
        </w:rPr>
        <w:t xml:space="preserve"> and</w:t>
      </w:r>
      <w:r w:rsidRPr="00B66EE0">
        <w:rPr>
          <w:lang w:val="en-GB"/>
        </w:rPr>
        <w:t xml:space="preserve"> 120 activities</w:t>
      </w:r>
      <w:r w:rsidR="00845B5B">
        <w:rPr>
          <w:lang w:val="en-GB"/>
        </w:rPr>
        <w:t xml:space="preserve"> </w:t>
      </w:r>
      <w:r w:rsidRPr="00B66EE0">
        <w:rPr>
          <w:lang w:val="en-GB"/>
        </w:rPr>
        <w:t xml:space="preserve">under implementation or completed. </w:t>
      </w:r>
    </w:p>
    <w:p w:rsidR="00343AD1" w:rsidRPr="00B66EE0" w:rsidRDefault="00343AD1" w:rsidP="00D30700">
      <w:pPr>
        <w:pStyle w:val="BodyText"/>
        <w:rPr>
          <w:lang w:val="en-GB"/>
        </w:rPr>
      </w:pPr>
      <w:r w:rsidRPr="00B66EE0">
        <w:rPr>
          <w:lang w:val="en-GB"/>
        </w:rPr>
        <w:t xml:space="preserve">A summary of financial expenditure </w:t>
      </w:r>
      <w:r>
        <w:rPr>
          <w:lang w:val="en-GB"/>
        </w:rPr>
        <w:t xml:space="preserve">by the </w:t>
      </w:r>
      <w:r w:rsidR="00455DD6">
        <w:rPr>
          <w:lang w:val="en-GB"/>
        </w:rPr>
        <w:t xml:space="preserve">department’s </w:t>
      </w:r>
      <w:r>
        <w:rPr>
          <w:lang w:val="en-GB"/>
        </w:rPr>
        <w:t xml:space="preserve">Latin America </w:t>
      </w:r>
      <w:r w:rsidR="0063798D">
        <w:rPr>
          <w:lang w:val="en-GB"/>
        </w:rPr>
        <w:t xml:space="preserve">aid </w:t>
      </w:r>
      <w:r>
        <w:rPr>
          <w:lang w:val="en-GB"/>
        </w:rPr>
        <w:t xml:space="preserve">program </w:t>
      </w:r>
      <w:r w:rsidRPr="00B66EE0">
        <w:rPr>
          <w:lang w:val="en-GB"/>
        </w:rPr>
        <w:t xml:space="preserve">for this </w:t>
      </w:r>
      <w:r w:rsidR="00AE36EC">
        <w:rPr>
          <w:lang w:val="en-GB"/>
        </w:rPr>
        <w:t>APPR</w:t>
      </w:r>
      <w:r w:rsidR="00845B5B" w:rsidRPr="00B66EE0">
        <w:rPr>
          <w:lang w:val="en-GB"/>
        </w:rPr>
        <w:t xml:space="preserve"> </w:t>
      </w:r>
      <w:r w:rsidRPr="00B66EE0">
        <w:rPr>
          <w:lang w:val="en-GB"/>
        </w:rPr>
        <w:t>is provided in two periods</w:t>
      </w:r>
      <w:r w:rsidR="00845B5B">
        <w:rPr>
          <w:lang w:val="en-GB"/>
        </w:rPr>
        <w:t>—</w:t>
      </w:r>
      <w:r w:rsidRPr="00B66EE0">
        <w:rPr>
          <w:lang w:val="en-GB"/>
        </w:rPr>
        <w:t>one for January 2012 to June 2012 and one for 2012</w:t>
      </w:r>
      <w:r w:rsidR="00FA165A">
        <w:rPr>
          <w:lang w:val="en-GB"/>
        </w:rPr>
        <w:t>–</w:t>
      </w:r>
      <w:r w:rsidRPr="00B66EE0">
        <w:rPr>
          <w:lang w:val="en-GB"/>
        </w:rPr>
        <w:t>13</w:t>
      </w:r>
      <w:r>
        <w:rPr>
          <w:lang w:val="en-GB"/>
        </w:rPr>
        <w:t xml:space="preserve"> </w:t>
      </w:r>
      <w:r w:rsidRPr="00B66EE0">
        <w:rPr>
          <w:lang w:val="en-GB"/>
        </w:rPr>
        <w:t>(</w:t>
      </w:r>
      <w:r>
        <w:rPr>
          <w:lang w:val="en-GB"/>
        </w:rPr>
        <w:t xml:space="preserve">Table 1A and </w:t>
      </w:r>
      <w:r w:rsidR="00845B5B">
        <w:rPr>
          <w:lang w:val="en-GB"/>
        </w:rPr>
        <w:t xml:space="preserve">Table </w:t>
      </w:r>
      <w:r>
        <w:rPr>
          <w:lang w:val="en-GB"/>
        </w:rPr>
        <w:t>1B</w:t>
      </w:r>
      <w:r w:rsidRPr="00B66EE0">
        <w:rPr>
          <w:lang w:val="en-GB"/>
        </w:rPr>
        <w:t>).</w:t>
      </w:r>
      <w:r>
        <w:rPr>
          <w:rStyle w:val="FootnoteReference"/>
          <w:lang w:val="en-GB"/>
        </w:rPr>
        <w:footnoteReference w:id="18"/>
      </w:r>
      <w:r>
        <w:rPr>
          <w:lang w:val="en-GB"/>
        </w:rPr>
        <w:t xml:space="preserve"> Information on </w:t>
      </w:r>
      <w:r w:rsidR="00845B5B">
        <w:rPr>
          <w:lang w:val="en-GB"/>
        </w:rPr>
        <w:t xml:space="preserve">both </w:t>
      </w:r>
      <w:r>
        <w:rPr>
          <w:lang w:val="en-GB"/>
        </w:rPr>
        <w:t xml:space="preserve">reporting periods is </w:t>
      </w:r>
      <w:r w:rsidR="00845B5B">
        <w:rPr>
          <w:lang w:val="en-GB"/>
        </w:rPr>
        <w:t xml:space="preserve">included </w:t>
      </w:r>
      <w:r>
        <w:rPr>
          <w:lang w:val="en-GB"/>
        </w:rPr>
        <w:t xml:space="preserve">because </w:t>
      </w:r>
      <w:r w:rsidR="00AE36EC">
        <w:rPr>
          <w:lang w:val="en-GB"/>
        </w:rPr>
        <w:t>APPR</w:t>
      </w:r>
      <w:r>
        <w:rPr>
          <w:lang w:val="en-GB"/>
        </w:rPr>
        <w:t xml:space="preserve"> reporting requirements have changed from calendar-year </w:t>
      </w:r>
      <w:r w:rsidR="00845B5B">
        <w:rPr>
          <w:lang w:val="en-GB"/>
        </w:rPr>
        <w:t xml:space="preserve">reporting </w:t>
      </w:r>
      <w:r>
        <w:rPr>
          <w:lang w:val="en-GB"/>
        </w:rPr>
        <w:t>to financial-year reporting</w:t>
      </w:r>
      <w:r w:rsidR="00845B5B">
        <w:rPr>
          <w:lang w:val="en-GB"/>
        </w:rPr>
        <w:t>. Note:</w:t>
      </w:r>
      <w:r>
        <w:rPr>
          <w:lang w:val="en-GB"/>
        </w:rPr>
        <w:t xml:space="preserve"> the tables do not reflect expenditure by any global program</w:t>
      </w:r>
      <w:r w:rsidR="000F5119">
        <w:rPr>
          <w:lang w:val="en-GB"/>
        </w:rPr>
        <w:t>s</w:t>
      </w:r>
      <w:r>
        <w:rPr>
          <w:lang w:val="en-GB"/>
        </w:rPr>
        <w:t xml:space="preserve"> or other government department</w:t>
      </w:r>
      <w:r w:rsidR="000F5119">
        <w:rPr>
          <w:lang w:val="en-GB"/>
        </w:rPr>
        <w:t>s</w:t>
      </w:r>
      <w:r>
        <w:rPr>
          <w:lang w:val="en-GB"/>
        </w:rPr>
        <w:t xml:space="preserve">. </w:t>
      </w:r>
    </w:p>
    <w:p w:rsidR="00343AD1" w:rsidRPr="00180B19" w:rsidRDefault="00343AD1" w:rsidP="00180B19">
      <w:pPr>
        <w:pStyle w:val="BodyText"/>
      </w:pPr>
    </w:p>
    <w:p w:rsidR="00343AD1" w:rsidRDefault="00343AD1" w:rsidP="00BE65E4">
      <w:pPr>
        <w:pStyle w:val="Caption"/>
      </w:pPr>
      <w:r>
        <w:t xml:space="preserve">Table </w:t>
      </w:r>
      <w:r w:rsidR="009F1C81">
        <w:fldChar w:fldCharType="begin"/>
      </w:r>
      <w:r w:rsidR="009F1C81">
        <w:instrText xml:space="preserve"> SEQ Table \* ARABIC </w:instrText>
      </w:r>
      <w:r w:rsidR="009F1C81">
        <w:fldChar w:fldCharType="separate"/>
      </w:r>
      <w:proofErr w:type="gramStart"/>
      <w:r>
        <w:rPr>
          <w:noProof/>
        </w:rPr>
        <w:t>1</w:t>
      </w:r>
      <w:r w:rsidR="009F1C81">
        <w:rPr>
          <w:noProof/>
        </w:rPr>
        <w:fldChar w:fldCharType="end"/>
      </w:r>
      <w:r>
        <w:t>A Expenditure</w:t>
      </w:r>
      <w:proofErr w:type="gramEnd"/>
      <w:r>
        <w:t xml:space="preserve"> by the Latin America program 01 January 2012</w:t>
      </w:r>
      <w:r w:rsidR="00FA165A">
        <w:t>–</w:t>
      </w:r>
      <w:r>
        <w:t>30 June 2012</w:t>
      </w:r>
    </w:p>
    <w:tbl>
      <w:tblPr>
        <w:tblStyle w:val="APPR"/>
        <w:tblpPr w:leftFromText="180" w:rightFromText="180" w:vertAnchor="text" w:tblpY="1"/>
        <w:tblW w:w="5000" w:type="pct"/>
        <w:tblLayout w:type="fixed"/>
        <w:tblLook w:val="0000" w:firstRow="0" w:lastRow="0" w:firstColumn="0" w:lastColumn="0" w:noHBand="0" w:noVBand="0"/>
      </w:tblPr>
      <w:tblGrid>
        <w:gridCol w:w="5523"/>
        <w:gridCol w:w="1559"/>
        <w:gridCol w:w="1468"/>
      </w:tblGrid>
      <w:tr w:rsidR="00343AD1" w:rsidRPr="00180B19" w:rsidTr="009B590E">
        <w:trPr>
          <w:cnfStyle w:val="000000010000" w:firstRow="0" w:lastRow="0" w:firstColumn="0" w:lastColumn="0" w:oddVBand="0" w:evenVBand="0" w:oddHBand="0" w:evenHBand="1" w:firstRowFirstColumn="0" w:firstRowLastColumn="0" w:lastRowFirstColumn="0" w:lastRowLastColumn="0"/>
        </w:trPr>
        <w:tc>
          <w:tcPr>
            <w:tcW w:w="5481" w:type="dxa"/>
          </w:tcPr>
          <w:p w:rsidR="00343AD1" w:rsidRPr="00180B19" w:rsidRDefault="00343AD1" w:rsidP="00180B19">
            <w:pPr>
              <w:pStyle w:val="TableTextColumnHeading"/>
            </w:pPr>
            <w:r w:rsidRPr="00180B19">
              <w:t>Objective</w:t>
            </w:r>
          </w:p>
        </w:tc>
        <w:tc>
          <w:tcPr>
            <w:tcW w:w="1531" w:type="dxa"/>
          </w:tcPr>
          <w:p w:rsidR="00343AD1" w:rsidRPr="00180B19" w:rsidRDefault="00343AD1" w:rsidP="00180B19">
            <w:pPr>
              <w:pStyle w:val="TableTextColumnHeading"/>
            </w:pPr>
            <w:r w:rsidRPr="00180B19">
              <w:t>A$ million</w:t>
            </w:r>
          </w:p>
        </w:tc>
        <w:tc>
          <w:tcPr>
            <w:tcW w:w="1426" w:type="dxa"/>
          </w:tcPr>
          <w:p w:rsidR="00343AD1" w:rsidRPr="00180B19" w:rsidRDefault="00343AD1" w:rsidP="006E6E25">
            <w:pPr>
              <w:pStyle w:val="TableTextColumnHeading"/>
            </w:pPr>
            <w:r w:rsidRPr="00180B19">
              <w:t xml:space="preserve">% of </w:t>
            </w:r>
            <w:r>
              <w:t>regional</w:t>
            </w:r>
            <w:r w:rsidRPr="00180B19">
              <w:t xml:space="preserve"> program</w:t>
            </w:r>
          </w:p>
        </w:tc>
      </w:tr>
      <w:tr w:rsidR="00343AD1" w:rsidRPr="00180B19" w:rsidTr="009B590E">
        <w:trPr>
          <w:cnfStyle w:val="000000010000" w:firstRow="0" w:lastRow="0" w:firstColumn="0" w:lastColumn="0" w:oddVBand="0" w:evenVBand="0" w:oddHBand="0" w:evenHBand="1" w:firstRowFirstColumn="0" w:firstRowLastColumn="0" w:lastRowFirstColumn="0" w:lastRowLastColumn="0"/>
        </w:trPr>
        <w:tc>
          <w:tcPr>
            <w:tcW w:w="5481" w:type="dxa"/>
          </w:tcPr>
          <w:p w:rsidR="00343AD1" w:rsidRPr="00100AA2" w:rsidRDefault="00343AD1" w:rsidP="00100AA2">
            <w:pPr>
              <w:pStyle w:val="TableTextEntries"/>
            </w:pPr>
            <w:r w:rsidRPr="00100AA2">
              <w:t>Objective 1</w:t>
            </w:r>
            <w:r>
              <w:t xml:space="preserve">: </w:t>
            </w:r>
            <w:r w:rsidRPr="00340E04">
              <w:t>Support sustainable economic development</w:t>
            </w:r>
          </w:p>
        </w:tc>
        <w:tc>
          <w:tcPr>
            <w:tcW w:w="1531" w:type="dxa"/>
          </w:tcPr>
          <w:p w:rsidR="00343AD1" w:rsidRPr="00B30E77" w:rsidRDefault="00343AD1" w:rsidP="00FA165A">
            <w:pPr>
              <w:pStyle w:val="TableTextEntries"/>
              <w:rPr>
                <w:color w:val="92D050"/>
              </w:rPr>
            </w:pPr>
            <w:r>
              <w:rPr>
                <w:color w:val="92D050"/>
              </w:rPr>
              <w:t>$5</w:t>
            </w:r>
          </w:p>
        </w:tc>
        <w:tc>
          <w:tcPr>
            <w:tcW w:w="1426" w:type="dxa"/>
          </w:tcPr>
          <w:p w:rsidR="00343AD1" w:rsidRPr="00B30E77" w:rsidRDefault="00343AD1" w:rsidP="00C74D89">
            <w:pPr>
              <w:pStyle w:val="TableTextEntries"/>
              <w:rPr>
                <w:color w:val="92D050"/>
              </w:rPr>
            </w:pPr>
            <w:r>
              <w:rPr>
                <w:color w:val="92D050"/>
              </w:rPr>
              <w:t>32.0</w:t>
            </w:r>
          </w:p>
        </w:tc>
      </w:tr>
      <w:tr w:rsidR="00343AD1" w:rsidRPr="00180B19" w:rsidTr="009B590E">
        <w:trPr>
          <w:cnfStyle w:val="000000010000" w:firstRow="0" w:lastRow="0" w:firstColumn="0" w:lastColumn="0" w:oddVBand="0" w:evenVBand="0" w:oddHBand="0" w:evenHBand="1" w:firstRowFirstColumn="0" w:firstRowLastColumn="0" w:lastRowFirstColumn="0" w:lastRowLastColumn="0"/>
        </w:trPr>
        <w:tc>
          <w:tcPr>
            <w:tcW w:w="5481" w:type="dxa"/>
          </w:tcPr>
          <w:p w:rsidR="00343AD1" w:rsidRPr="00100AA2" w:rsidRDefault="00343AD1" w:rsidP="00100AA2">
            <w:pPr>
              <w:pStyle w:val="TableTextEntries"/>
            </w:pPr>
            <w:r w:rsidRPr="00100AA2">
              <w:t>Objective 2</w:t>
            </w:r>
            <w:r>
              <w:t xml:space="preserve">: </w:t>
            </w:r>
            <w:r w:rsidRPr="00340E04">
              <w:t>Support effective governance</w:t>
            </w:r>
          </w:p>
        </w:tc>
        <w:tc>
          <w:tcPr>
            <w:tcW w:w="1531" w:type="dxa"/>
          </w:tcPr>
          <w:p w:rsidR="00343AD1" w:rsidRPr="00B30E77" w:rsidRDefault="00343AD1" w:rsidP="00385A47">
            <w:pPr>
              <w:pStyle w:val="TableTextEntries"/>
              <w:rPr>
                <w:color w:val="92D050"/>
              </w:rPr>
            </w:pPr>
            <w:r>
              <w:rPr>
                <w:color w:val="92D050"/>
              </w:rPr>
              <w:t>$3.5</w:t>
            </w:r>
          </w:p>
        </w:tc>
        <w:tc>
          <w:tcPr>
            <w:tcW w:w="1426" w:type="dxa"/>
          </w:tcPr>
          <w:p w:rsidR="00343AD1" w:rsidRPr="00B30E77" w:rsidRDefault="00343AD1" w:rsidP="00C74D89">
            <w:pPr>
              <w:pStyle w:val="TableTextEntries"/>
              <w:rPr>
                <w:color w:val="92D050"/>
              </w:rPr>
            </w:pPr>
            <w:r>
              <w:rPr>
                <w:color w:val="92D050"/>
              </w:rPr>
              <w:t>21.7</w:t>
            </w:r>
          </w:p>
        </w:tc>
      </w:tr>
      <w:tr w:rsidR="00343AD1" w:rsidRPr="00180B19" w:rsidTr="009B590E">
        <w:trPr>
          <w:cnfStyle w:val="000000010000" w:firstRow="0" w:lastRow="0" w:firstColumn="0" w:lastColumn="0" w:oddVBand="0" w:evenVBand="0" w:oddHBand="0" w:evenHBand="1" w:firstRowFirstColumn="0" w:firstRowLastColumn="0" w:lastRowFirstColumn="0" w:lastRowLastColumn="0"/>
        </w:trPr>
        <w:tc>
          <w:tcPr>
            <w:tcW w:w="5481" w:type="dxa"/>
          </w:tcPr>
          <w:p w:rsidR="00343AD1" w:rsidRPr="00100AA2" w:rsidRDefault="00343AD1" w:rsidP="00100AA2">
            <w:pPr>
              <w:pStyle w:val="TableTextEntries"/>
            </w:pPr>
            <w:r w:rsidRPr="00100AA2">
              <w:t>Objective 3</w:t>
            </w:r>
            <w:r>
              <w:t xml:space="preserve">: </w:t>
            </w:r>
            <w:r w:rsidRPr="00340E04">
              <w:t>Reduce the humanitarian impact of natural disasters</w:t>
            </w:r>
          </w:p>
        </w:tc>
        <w:tc>
          <w:tcPr>
            <w:tcW w:w="1531" w:type="dxa"/>
          </w:tcPr>
          <w:p w:rsidR="00343AD1" w:rsidRPr="00C545EB" w:rsidRDefault="00343AD1" w:rsidP="00385A47">
            <w:pPr>
              <w:pStyle w:val="TableTextEntries"/>
              <w:rPr>
                <w:color w:val="92D050"/>
              </w:rPr>
            </w:pPr>
            <w:r w:rsidRPr="00C545EB">
              <w:rPr>
                <w:color w:val="92D050"/>
              </w:rPr>
              <w:t>$5</w:t>
            </w:r>
            <w:r>
              <w:rPr>
                <w:color w:val="92D050"/>
              </w:rPr>
              <w:t>.7</w:t>
            </w:r>
          </w:p>
        </w:tc>
        <w:tc>
          <w:tcPr>
            <w:tcW w:w="1426" w:type="dxa"/>
          </w:tcPr>
          <w:p w:rsidR="00343AD1" w:rsidRPr="00C545EB" w:rsidRDefault="00343AD1" w:rsidP="00C74D89">
            <w:pPr>
              <w:pStyle w:val="TableTextEntries"/>
              <w:rPr>
                <w:color w:val="92D050"/>
              </w:rPr>
            </w:pPr>
            <w:r>
              <w:rPr>
                <w:color w:val="92D050"/>
              </w:rPr>
              <w:t>36.2</w:t>
            </w:r>
          </w:p>
        </w:tc>
      </w:tr>
    </w:tbl>
    <w:p w:rsidR="00343AD1" w:rsidRDefault="00343AD1" w:rsidP="00180B19">
      <w:pPr>
        <w:pStyle w:val="Note"/>
      </w:pPr>
      <w:r w:rsidRPr="00180B19">
        <w:t xml:space="preserve">Source: </w:t>
      </w:r>
      <w:r w:rsidRPr="000F5119">
        <w:t>Latin America Program Fund</w:t>
      </w:r>
      <w:r>
        <w:t>, AidWorks, accessed 10 May 2013</w:t>
      </w:r>
    </w:p>
    <w:p w:rsidR="00343AD1" w:rsidRPr="00180B19" w:rsidRDefault="00343AD1" w:rsidP="00180B19"/>
    <w:p w:rsidR="00343AD1" w:rsidRPr="00180B19" w:rsidRDefault="00343AD1" w:rsidP="00180B19">
      <w:pPr>
        <w:pStyle w:val="Caption"/>
      </w:pPr>
      <w:r w:rsidRPr="00180B19">
        <w:t xml:space="preserve">Table 1B Estimated expenditure </w:t>
      </w:r>
      <w:r>
        <w:t xml:space="preserve">by the Latin America program </w:t>
      </w:r>
      <w:r w:rsidRPr="00180B19">
        <w:t xml:space="preserve">in </w:t>
      </w:r>
      <w:r>
        <w:t>the</w:t>
      </w:r>
      <w:r w:rsidRPr="00180B19">
        <w:t xml:space="preserve"> 2012</w:t>
      </w:r>
      <w:r w:rsidR="00FA165A">
        <w:t>–</w:t>
      </w:r>
      <w:r w:rsidRPr="00180B19">
        <w:t>13</w:t>
      </w:r>
      <w:r>
        <w:t xml:space="preserve"> financial-year</w:t>
      </w:r>
    </w:p>
    <w:tbl>
      <w:tblPr>
        <w:tblStyle w:val="APPR"/>
        <w:tblpPr w:leftFromText="180" w:rightFromText="180" w:vertAnchor="text" w:tblpY="1"/>
        <w:tblW w:w="5000" w:type="pct"/>
        <w:tblLayout w:type="fixed"/>
        <w:tblLook w:val="0000" w:firstRow="0" w:lastRow="0" w:firstColumn="0" w:lastColumn="0" w:noHBand="0" w:noVBand="0"/>
      </w:tblPr>
      <w:tblGrid>
        <w:gridCol w:w="5523"/>
        <w:gridCol w:w="1559"/>
        <w:gridCol w:w="1468"/>
      </w:tblGrid>
      <w:tr w:rsidR="00343AD1" w:rsidRPr="00180B19" w:rsidTr="009B590E">
        <w:trPr>
          <w:cnfStyle w:val="000000010000" w:firstRow="0" w:lastRow="0" w:firstColumn="0" w:lastColumn="0" w:oddVBand="0" w:evenVBand="0" w:oddHBand="0" w:evenHBand="1" w:firstRowFirstColumn="0" w:firstRowLastColumn="0" w:lastRowFirstColumn="0" w:lastRowLastColumn="0"/>
        </w:trPr>
        <w:tc>
          <w:tcPr>
            <w:tcW w:w="5481" w:type="dxa"/>
          </w:tcPr>
          <w:p w:rsidR="00343AD1" w:rsidRPr="00180B19" w:rsidRDefault="00343AD1" w:rsidP="00100AA2">
            <w:pPr>
              <w:pStyle w:val="TableTextColumnHeading"/>
            </w:pPr>
            <w:r w:rsidRPr="00180B19">
              <w:t>Objective</w:t>
            </w:r>
          </w:p>
        </w:tc>
        <w:tc>
          <w:tcPr>
            <w:tcW w:w="1531" w:type="dxa"/>
          </w:tcPr>
          <w:p w:rsidR="00343AD1" w:rsidRPr="00180B19" w:rsidRDefault="00343AD1" w:rsidP="00100AA2">
            <w:pPr>
              <w:pStyle w:val="TableTextColumnHeading"/>
            </w:pPr>
            <w:r w:rsidRPr="00180B19">
              <w:t>A$ million</w:t>
            </w:r>
          </w:p>
        </w:tc>
        <w:tc>
          <w:tcPr>
            <w:tcW w:w="1426" w:type="dxa"/>
          </w:tcPr>
          <w:p w:rsidR="00343AD1" w:rsidRPr="00180B19" w:rsidRDefault="00343AD1" w:rsidP="006E6E25">
            <w:pPr>
              <w:pStyle w:val="TableTextColumnHeading"/>
            </w:pPr>
            <w:r w:rsidRPr="00180B19">
              <w:t xml:space="preserve">% of </w:t>
            </w:r>
            <w:r>
              <w:t>regional</w:t>
            </w:r>
            <w:r w:rsidRPr="00180B19">
              <w:t xml:space="preserve"> program</w:t>
            </w:r>
          </w:p>
        </w:tc>
      </w:tr>
      <w:tr w:rsidR="00343AD1" w:rsidRPr="00180B19" w:rsidTr="00C974D7">
        <w:trPr>
          <w:cnfStyle w:val="000000010000" w:firstRow="0" w:lastRow="0" w:firstColumn="0" w:lastColumn="0" w:oddVBand="0" w:evenVBand="0" w:oddHBand="0" w:evenHBand="1" w:firstRowFirstColumn="0" w:firstRowLastColumn="0" w:lastRowFirstColumn="0" w:lastRowLastColumn="0"/>
        </w:trPr>
        <w:tc>
          <w:tcPr>
            <w:tcW w:w="5481" w:type="dxa"/>
          </w:tcPr>
          <w:p w:rsidR="00343AD1" w:rsidRPr="00100AA2" w:rsidRDefault="00343AD1" w:rsidP="00340E04">
            <w:pPr>
              <w:pStyle w:val="TableTextEntries"/>
            </w:pPr>
            <w:r w:rsidRPr="00100AA2">
              <w:t xml:space="preserve">Objective </w:t>
            </w:r>
            <w:r w:rsidRPr="009755DD">
              <w:t xml:space="preserve">1: </w:t>
            </w:r>
            <w:r>
              <w:t>Support s</w:t>
            </w:r>
            <w:r w:rsidRPr="009755DD">
              <w:t xml:space="preserve">ustainable </w:t>
            </w:r>
            <w:r>
              <w:t>economic d</w:t>
            </w:r>
            <w:r w:rsidRPr="009755DD">
              <w:t>evelopment</w:t>
            </w:r>
          </w:p>
        </w:tc>
        <w:tc>
          <w:tcPr>
            <w:tcW w:w="1531" w:type="dxa"/>
          </w:tcPr>
          <w:p w:rsidR="00343AD1" w:rsidRPr="00C974D7" w:rsidRDefault="00343AD1" w:rsidP="00FA165A">
            <w:pPr>
              <w:pStyle w:val="TableTextEntries"/>
              <w:rPr>
                <w:color w:val="92D050"/>
              </w:rPr>
            </w:pPr>
            <w:r>
              <w:rPr>
                <w:color w:val="92D050"/>
              </w:rPr>
              <w:t>$5.0</w:t>
            </w:r>
          </w:p>
        </w:tc>
        <w:tc>
          <w:tcPr>
            <w:tcW w:w="1426" w:type="dxa"/>
          </w:tcPr>
          <w:p w:rsidR="00343AD1" w:rsidRPr="00C974D7" w:rsidRDefault="00343AD1" w:rsidP="00C74D89">
            <w:pPr>
              <w:pStyle w:val="TableTextEntries"/>
              <w:rPr>
                <w:color w:val="92D050"/>
              </w:rPr>
            </w:pPr>
            <w:r>
              <w:rPr>
                <w:color w:val="92D050"/>
              </w:rPr>
              <w:t>46.8</w:t>
            </w:r>
          </w:p>
        </w:tc>
      </w:tr>
      <w:tr w:rsidR="00343AD1" w:rsidRPr="00180B19" w:rsidTr="00C974D7">
        <w:trPr>
          <w:cnfStyle w:val="000000010000" w:firstRow="0" w:lastRow="0" w:firstColumn="0" w:lastColumn="0" w:oddVBand="0" w:evenVBand="0" w:oddHBand="0" w:evenHBand="1" w:firstRowFirstColumn="0" w:firstRowLastColumn="0" w:lastRowFirstColumn="0" w:lastRowLastColumn="0"/>
        </w:trPr>
        <w:tc>
          <w:tcPr>
            <w:tcW w:w="5481" w:type="dxa"/>
          </w:tcPr>
          <w:p w:rsidR="00343AD1" w:rsidRPr="00100AA2" w:rsidRDefault="00343AD1" w:rsidP="00340E04">
            <w:pPr>
              <w:pStyle w:val="TableTextEntries"/>
            </w:pPr>
            <w:r w:rsidRPr="00100AA2">
              <w:t xml:space="preserve">Objective </w:t>
            </w:r>
            <w:r>
              <w:t>2: Support effective g</w:t>
            </w:r>
            <w:r w:rsidRPr="009755DD">
              <w:t>overnance</w:t>
            </w:r>
          </w:p>
        </w:tc>
        <w:tc>
          <w:tcPr>
            <w:tcW w:w="1531" w:type="dxa"/>
          </w:tcPr>
          <w:p w:rsidR="00343AD1" w:rsidRPr="00C974D7" w:rsidRDefault="00343AD1" w:rsidP="00100AA2">
            <w:pPr>
              <w:pStyle w:val="TableTextEntries"/>
              <w:rPr>
                <w:color w:val="92D050"/>
              </w:rPr>
            </w:pPr>
            <w:r>
              <w:rPr>
                <w:color w:val="92D050"/>
              </w:rPr>
              <w:t>$5.1</w:t>
            </w:r>
          </w:p>
        </w:tc>
        <w:tc>
          <w:tcPr>
            <w:tcW w:w="1426" w:type="dxa"/>
          </w:tcPr>
          <w:p w:rsidR="00343AD1" w:rsidRPr="00C974D7" w:rsidRDefault="00343AD1" w:rsidP="00C74D89">
            <w:pPr>
              <w:pStyle w:val="TableTextEntries"/>
              <w:rPr>
                <w:color w:val="92D050"/>
              </w:rPr>
            </w:pPr>
            <w:r>
              <w:rPr>
                <w:color w:val="92D050"/>
              </w:rPr>
              <w:t>47.7</w:t>
            </w:r>
          </w:p>
        </w:tc>
      </w:tr>
      <w:tr w:rsidR="00343AD1" w:rsidRPr="00180B19" w:rsidTr="00C974D7">
        <w:trPr>
          <w:cnfStyle w:val="000000010000" w:firstRow="0" w:lastRow="0" w:firstColumn="0" w:lastColumn="0" w:oddVBand="0" w:evenVBand="0" w:oddHBand="0" w:evenHBand="1" w:firstRowFirstColumn="0" w:firstRowLastColumn="0" w:lastRowFirstColumn="0" w:lastRowLastColumn="0"/>
        </w:trPr>
        <w:tc>
          <w:tcPr>
            <w:tcW w:w="5481" w:type="dxa"/>
          </w:tcPr>
          <w:p w:rsidR="00343AD1" w:rsidRPr="00100AA2" w:rsidRDefault="00343AD1" w:rsidP="00100AA2">
            <w:pPr>
              <w:pStyle w:val="TableTextEntries"/>
            </w:pPr>
            <w:r w:rsidRPr="00100AA2">
              <w:t xml:space="preserve">Objective </w:t>
            </w:r>
            <w:r w:rsidRPr="009755DD">
              <w:t xml:space="preserve">3: </w:t>
            </w:r>
            <w:r w:rsidRPr="00340E04">
              <w:t>Reduce the humanitarian impact of natural disasters</w:t>
            </w:r>
          </w:p>
        </w:tc>
        <w:tc>
          <w:tcPr>
            <w:tcW w:w="1531" w:type="dxa"/>
          </w:tcPr>
          <w:p w:rsidR="00343AD1" w:rsidRPr="00C974D7" w:rsidRDefault="00343AD1" w:rsidP="00FA165A">
            <w:pPr>
              <w:pStyle w:val="TableTextEntries"/>
              <w:rPr>
                <w:color w:val="92D050"/>
              </w:rPr>
            </w:pPr>
            <w:r>
              <w:rPr>
                <w:color w:val="92D050"/>
              </w:rPr>
              <w:t>$0.4</w:t>
            </w:r>
          </w:p>
        </w:tc>
        <w:tc>
          <w:tcPr>
            <w:tcW w:w="1426" w:type="dxa"/>
          </w:tcPr>
          <w:p w:rsidR="00343AD1" w:rsidRPr="00C974D7" w:rsidRDefault="00343AD1" w:rsidP="00C74D89">
            <w:pPr>
              <w:pStyle w:val="TableTextEntries"/>
              <w:rPr>
                <w:color w:val="92D050"/>
              </w:rPr>
            </w:pPr>
            <w:r>
              <w:rPr>
                <w:color w:val="92D050"/>
              </w:rPr>
              <w:t>3.7</w:t>
            </w:r>
          </w:p>
        </w:tc>
      </w:tr>
      <w:tr w:rsidR="00343AD1" w:rsidRPr="00180B19" w:rsidTr="00C974D7">
        <w:trPr>
          <w:cnfStyle w:val="000000010000" w:firstRow="0" w:lastRow="0" w:firstColumn="0" w:lastColumn="0" w:oddVBand="0" w:evenVBand="0" w:oddHBand="0" w:evenHBand="1" w:firstRowFirstColumn="0" w:firstRowLastColumn="0" w:lastRowFirstColumn="0" w:lastRowLastColumn="0"/>
        </w:trPr>
        <w:tc>
          <w:tcPr>
            <w:tcW w:w="5481" w:type="dxa"/>
          </w:tcPr>
          <w:p w:rsidR="00343AD1" w:rsidRPr="00100AA2" w:rsidRDefault="00343AD1" w:rsidP="00100AA2">
            <w:pPr>
              <w:pStyle w:val="TableTextEntries"/>
            </w:pPr>
            <w:r>
              <w:t>General development support (other)</w:t>
            </w:r>
          </w:p>
        </w:tc>
        <w:tc>
          <w:tcPr>
            <w:tcW w:w="1531" w:type="dxa"/>
          </w:tcPr>
          <w:p w:rsidR="00343AD1" w:rsidRDefault="00343AD1" w:rsidP="00FA165A">
            <w:pPr>
              <w:pStyle w:val="TableTextEntries"/>
              <w:rPr>
                <w:color w:val="92D050"/>
              </w:rPr>
            </w:pPr>
            <w:r>
              <w:rPr>
                <w:color w:val="92D050"/>
              </w:rPr>
              <w:t>$0.2</w:t>
            </w:r>
          </w:p>
        </w:tc>
        <w:tc>
          <w:tcPr>
            <w:tcW w:w="1426" w:type="dxa"/>
          </w:tcPr>
          <w:p w:rsidR="00343AD1" w:rsidRDefault="00343AD1" w:rsidP="00C74D89">
            <w:pPr>
              <w:pStyle w:val="TableTextEntries"/>
              <w:rPr>
                <w:color w:val="92D050"/>
              </w:rPr>
            </w:pPr>
            <w:r>
              <w:rPr>
                <w:color w:val="92D050"/>
              </w:rPr>
              <w:t>1.8</w:t>
            </w:r>
          </w:p>
        </w:tc>
      </w:tr>
    </w:tbl>
    <w:p w:rsidR="00343AD1" w:rsidRPr="004C4A3E" w:rsidRDefault="00343AD1" w:rsidP="004C4A3E">
      <w:pPr>
        <w:pStyle w:val="Note"/>
      </w:pPr>
      <w:r w:rsidRPr="00180B19">
        <w:t xml:space="preserve">Source: </w:t>
      </w:r>
      <w:r>
        <w:t xml:space="preserve">Latin America </w:t>
      </w:r>
      <w:r w:rsidR="00C74D89">
        <w:t>p</w:t>
      </w:r>
      <w:r>
        <w:t>rogram</w:t>
      </w:r>
      <w:r w:rsidR="00C74D89">
        <w:t>,</w:t>
      </w:r>
      <w:r>
        <w:t xml:space="preserve"> </w:t>
      </w:r>
      <w:r w:rsidR="00E51704">
        <w:t xml:space="preserve">DFAT </w:t>
      </w:r>
      <w:r>
        <w:t>statistics, 5 July 2013</w:t>
      </w:r>
    </w:p>
    <w:p w:rsidR="00343AD1" w:rsidRPr="00180B19" w:rsidRDefault="00343AD1" w:rsidP="00180B19">
      <w:pPr>
        <w:pStyle w:val="Heading1"/>
      </w:pPr>
      <w:r w:rsidRPr="00180B19">
        <w:t xml:space="preserve">Progress </w:t>
      </w:r>
      <w:r>
        <w:t>towards objectives</w:t>
      </w:r>
    </w:p>
    <w:p w:rsidR="00343AD1" w:rsidRDefault="00343AD1" w:rsidP="00D30700">
      <w:pPr>
        <w:pStyle w:val="BodyText"/>
      </w:pPr>
      <w:r>
        <w:t xml:space="preserve">This </w:t>
      </w:r>
      <w:r w:rsidR="00AE36EC">
        <w:t>APPR</w:t>
      </w:r>
      <w:r>
        <w:t xml:space="preserve"> draws primarily on the program mid-term review and the </w:t>
      </w:r>
      <w:r w:rsidR="00C74D89">
        <w:t>q</w:t>
      </w:r>
      <w:r>
        <w:t xml:space="preserve">uality at </w:t>
      </w:r>
      <w:r w:rsidR="00C74D89">
        <w:t>i</w:t>
      </w:r>
      <w:r>
        <w:t>mplementation (QAI) assessment of initiatives completed in March 2013 (Annex B)</w:t>
      </w:r>
      <w:r w:rsidR="005646C7">
        <w:t xml:space="preserve">. </w:t>
      </w:r>
      <w:r>
        <w:t xml:space="preserve">These indicate that good progress has been made toward the </w:t>
      </w:r>
      <w:r w:rsidRPr="00D07410">
        <w:t>effective governance</w:t>
      </w:r>
      <w:r>
        <w:t xml:space="preserve"> and humanitarian and disaster response </w:t>
      </w:r>
      <w:r w:rsidRPr="00D07410">
        <w:t>objectives</w:t>
      </w:r>
      <w:r>
        <w:t>, while p</w:t>
      </w:r>
      <w:r w:rsidRPr="00FA4722">
        <w:t xml:space="preserve">rogress </w:t>
      </w:r>
      <w:r>
        <w:t>on the sustainable economic development objective remains mixed</w:t>
      </w:r>
      <w:r w:rsidR="00C74D89">
        <w:t>,</w:t>
      </w:r>
      <w:r>
        <w:t xml:space="preserve"> with r</w:t>
      </w:r>
      <w:r w:rsidRPr="00FA4722">
        <w:t xml:space="preserve">estorative action </w:t>
      </w:r>
      <w:r>
        <w:t>required</w:t>
      </w:r>
      <w:r w:rsidRPr="00FA4722">
        <w:t xml:space="preserve"> </w:t>
      </w:r>
      <w:r>
        <w:t>for some initiatives and activities. T</w:t>
      </w:r>
      <w:r w:rsidRPr="00180B19">
        <w:t>he overall progress</w:t>
      </w:r>
      <w:r w:rsidR="00C74D89">
        <w:t xml:space="preserve"> rating</w:t>
      </w:r>
      <w:r w:rsidRPr="00180B19">
        <w:t xml:space="preserve"> towards objective</w:t>
      </w:r>
      <w:r>
        <w:t>s</w:t>
      </w:r>
      <w:r w:rsidRPr="00180B19">
        <w:t xml:space="preserve"> </w:t>
      </w:r>
      <w:r>
        <w:t xml:space="preserve">reflects this (Table 2). </w:t>
      </w:r>
    </w:p>
    <w:p w:rsidR="00343AD1" w:rsidRDefault="00343AD1" w:rsidP="00D30700">
      <w:pPr>
        <w:pStyle w:val="BodyText"/>
      </w:pPr>
      <w:r>
        <w:t>With the regional strategy in place, the program now requires a performance assessment framework</w:t>
      </w:r>
      <w:r w:rsidR="00C74D89">
        <w:t>, against which</w:t>
      </w:r>
      <w:r>
        <w:t xml:space="preserve"> progress toward objectives</w:t>
      </w:r>
      <w:r w:rsidR="00C74D89">
        <w:t xml:space="preserve"> can be measured.</w:t>
      </w:r>
      <w:r>
        <w:t xml:space="preserve"> </w:t>
      </w:r>
      <w:r w:rsidR="00C74D89">
        <w:t>The</w:t>
      </w:r>
      <w:r>
        <w:t xml:space="preserve"> framework will </w:t>
      </w:r>
      <w:r>
        <w:lastRenderedPageBreak/>
        <w:t xml:space="preserve">further </w:t>
      </w:r>
      <w:r w:rsidR="00AF70FB">
        <w:t xml:space="preserve">detail </w:t>
      </w:r>
      <w:r>
        <w:t>overall program goals and objectives and specify performance assessment measures in primary focus areas</w:t>
      </w:r>
      <w:r w:rsidR="005646C7">
        <w:t xml:space="preserve">. </w:t>
      </w:r>
    </w:p>
    <w:p w:rsidR="00343AD1" w:rsidRDefault="00343AD1" w:rsidP="00D30700">
      <w:pPr>
        <w:pStyle w:val="BodyText"/>
      </w:pPr>
      <w:r>
        <w:t>T</w:t>
      </w:r>
      <w:r w:rsidRPr="00180B19">
        <w:t xml:space="preserve">he program </w:t>
      </w:r>
      <w:r>
        <w:t xml:space="preserve">has </w:t>
      </w:r>
      <w:r w:rsidRPr="00180B19">
        <w:t xml:space="preserve">effectively integrated key </w:t>
      </w:r>
      <w:r w:rsidR="00863288">
        <w:t xml:space="preserve">Australian </w:t>
      </w:r>
      <w:r w:rsidRPr="00180B19">
        <w:t>policy priorities</w:t>
      </w:r>
      <w:r>
        <w:t xml:space="preserve"> relating to gender equality. Gender is a crosscutting priority for the program and several activities specifically target the financial inclusion and economic empowerment of women, for example</w:t>
      </w:r>
      <w:r w:rsidR="00023DBE">
        <w:t xml:space="preserve"> </w:t>
      </w:r>
      <w:r w:rsidR="00023DBE" w:rsidRPr="00AF70FB">
        <w:t>Strengthening Women’s Entrepreneurships Program</w:t>
      </w:r>
      <w:r w:rsidR="00023DBE">
        <w:rPr>
          <w:b/>
        </w:rPr>
        <w:t xml:space="preserve"> </w:t>
      </w:r>
      <w:r w:rsidR="00023DBE" w:rsidRPr="00AF70FB">
        <w:t>(</w:t>
      </w:r>
      <w:r>
        <w:t>SALTA</w:t>
      </w:r>
      <w:r w:rsidR="00023DBE">
        <w:t>)</w:t>
      </w:r>
      <w:r>
        <w:t xml:space="preserve"> and activities within the IDB</w:t>
      </w:r>
      <w:r w:rsidR="00863288">
        <w:t xml:space="preserve"> – Multilateral Investment Fund</w:t>
      </w:r>
      <w:r>
        <w:t>. D</w:t>
      </w:r>
      <w:r w:rsidRPr="00180B19">
        <w:t>isability</w:t>
      </w:r>
      <w:r>
        <w:t xml:space="preserve"> is not well addressed by the program and this needs to be remedied as much as possible in extant initiatives and activities.</w:t>
      </w:r>
    </w:p>
    <w:p w:rsidR="00343AD1" w:rsidRDefault="00343AD1" w:rsidP="00D30700">
      <w:pPr>
        <w:pStyle w:val="BodyText"/>
      </w:pPr>
      <w:proofErr w:type="gramStart"/>
      <w:r>
        <w:t>Most smaller</w:t>
      </w:r>
      <w:proofErr w:type="gramEnd"/>
      <w:r>
        <w:t xml:space="preserve"> initiatives established during program inception, before the regional strategy was prepared, will end by December 2013</w:t>
      </w:r>
      <w:r w:rsidR="005646C7">
        <w:t xml:space="preserve">. </w:t>
      </w:r>
      <w:r>
        <w:t xml:space="preserve">This provides an opportunity </w:t>
      </w:r>
      <w:r w:rsidR="00D76DD4">
        <w:t>to</w:t>
      </w:r>
      <w:r>
        <w:t xml:space="preserve"> review programming for 2014 and beyond</w:t>
      </w:r>
      <w:r w:rsidR="00D76DD4">
        <w:t>,</w:t>
      </w:r>
      <w:r>
        <w:t xml:space="preserve"> </w:t>
      </w:r>
      <w:r w:rsidR="00460244">
        <w:t xml:space="preserve">and </w:t>
      </w:r>
      <w:r>
        <w:t>consolidate and focus on fewer, more strategic investments</w:t>
      </w:r>
      <w:r w:rsidR="00FA165A">
        <w:t>—</w:t>
      </w:r>
      <w:r>
        <w:t>as recommended by the mid-term review.</w:t>
      </w:r>
    </w:p>
    <w:p w:rsidR="00343AD1" w:rsidRPr="007F3B20" w:rsidRDefault="00343AD1" w:rsidP="00D30700">
      <w:pPr>
        <w:pStyle w:val="BodyText"/>
      </w:pPr>
    </w:p>
    <w:p w:rsidR="00343AD1" w:rsidRDefault="00343AD1" w:rsidP="00BE65E4">
      <w:pPr>
        <w:pStyle w:val="Caption"/>
      </w:pPr>
      <w:r>
        <w:t xml:space="preserve">Table </w:t>
      </w:r>
      <w:fldSimple w:instr=" SEQ Table \* ARABIC ">
        <w:r>
          <w:rPr>
            <w:noProof/>
          </w:rPr>
          <w:t>2</w:t>
        </w:r>
      </w:fldSimple>
      <w:r>
        <w:t xml:space="preserve"> Rating of the program's progress towards the objectives</w:t>
      </w:r>
    </w:p>
    <w:tbl>
      <w:tblPr>
        <w:tblStyle w:val="APPR"/>
        <w:tblW w:w="5000" w:type="pct"/>
        <w:tblLook w:val="0000" w:firstRow="0" w:lastRow="0" w:firstColumn="0" w:lastColumn="0" w:noHBand="0" w:noVBand="0"/>
      </w:tblPr>
      <w:tblGrid>
        <w:gridCol w:w="6071"/>
        <w:gridCol w:w="1000"/>
        <w:gridCol w:w="416"/>
        <w:gridCol w:w="1063"/>
      </w:tblGrid>
      <w:tr w:rsidR="00343AD1" w:rsidRPr="0019341B" w:rsidTr="00BE65E4">
        <w:trPr>
          <w:cnfStyle w:val="000000010000" w:firstRow="0" w:lastRow="0" w:firstColumn="0" w:lastColumn="0" w:oddVBand="0" w:evenVBand="0" w:oddHBand="0" w:evenHBand="1" w:firstRowFirstColumn="0" w:firstRowLastColumn="0" w:lastRowFirstColumn="0" w:lastRowLastColumn="0"/>
          <w:trHeight w:val="651"/>
        </w:trPr>
        <w:tc>
          <w:tcPr>
            <w:tcW w:w="6029" w:type="dxa"/>
          </w:tcPr>
          <w:p w:rsidR="00343AD1" w:rsidRPr="0019341B" w:rsidRDefault="00343AD1" w:rsidP="00443639">
            <w:pPr>
              <w:pStyle w:val="TableTextColumnHeading"/>
            </w:pPr>
            <w:r w:rsidRPr="0019341B">
              <w:rPr>
                <w:noProof/>
                <w:lang w:eastAsia="en-AU"/>
              </w:rPr>
              <w:drawing>
                <wp:anchor distT="0" distB="0" distL="114300" distR="114300" simplePos="0" relativeHeight="251666432" behindDoc="0" locked="0" layoutInCell="1" allowOverlap="1" wp14:anchorId="4E43F008" wp14:editId="1F5C4A4F">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72" w:type="dxa"/>
          </w:tcPr>
          <w:p w:rsidR="00343AD1" w:rsidRPr="0019341B" w:rsidRDefault="00343AD1" w:rsidP="00FA165A">
            <w:pPr>
              <w:pStyle w:val="TableTextColumnHeading"/>
            </w:pPr>
            <w:r>
              <w:t xml:space="preserve">Current </w:t>
            </w:r>
            <w:r w:rsidR="00FA165A">
              <w:t>r</w:t>
            </w:r>
            <w:r>
              <w:t>ating</w:t>
            </w:r>
          </w:p>
        </w:tc>
        <w:tc>
          <w:tcPr>
            <w:tcW w:w="388" w:type="dxa"/>
          </w:tcPr>
          <w:p w:rsidR="00343AD1" w:rsidRDefault="00343AD1" w:rsidP="00443639">
            <w:pPr>
              <w:pStyle w:val="TableTextColumnHeading"/>
            </w:pPr>
          </w:p>
        </w:tc>
        <w:tc>
          <w:tcPr>
            <w:tcW w:w="1021" w:type="dxa"/>
          </w:tcPr>
          <w:p w:rsidR="00343AD1" w:rsidRPr="0019341B" w:rsidRDefault="00343AD1" w:rsidP="00FA165A">
            <w:pPr>
              <w:pStyle w:val="TableTextColumnHeading"/>
            </w:pPr>
            <w:r>
              <w:t xml:space="preserve">Previous </w:t>
            </w:r>
            <w:r w:rsidR="00FA165A">
              <w:t>r</w:t>
            </w:r>
            <w:r>
              <w:t>ating</w:t>
            </w:r>
          </w:p>
        </w:tc>
      </w:tr>
      <w:tr w:rsidR="00343AD1" w:rsidRPr="009D53C4" w:rsidTr="00EA6882">
        <w:trPr>
          <w:cnfStyle w:val="000000010000" w:firstRow="0" w:lastRow="0" w:firstColumn="0" w:lastColumn="0" w:oddVBand="0" w:evenVBand="0" w:oddHBand="0" w:evenHBand="1" w:firstRowFirstColumn="0" w:firstRowLastColumn="0" w:lastRowFirstColumn="0" w:lastRowLastColumn="0"/>
        </w:trPr>
        <w:tc>
          <w:tcPr>
            <w:tcW w:w="6029" w:type="dxa"/>
          </w:tcPr>
          <w:p w:rsidR="00343AD1" w:rsidRPr="0019341B" w:rsidRDefault="00343AD1" w:rsidP="00D76DD4">
            <w:pPr>
              <w:pStyle w:val="TableTextEntries"/>
            </w:pPr>
            <w:r>
              <w:t>Objective 1:</w:t>
            </w:r>
            <w:r w:rsidRPr="00557319">
              <w:rPr>
                <w:rFonts w:ascii="Times New Roman" w:eastAsia="SimSun" w:hAnsi="Times New Roman"/>
                <w:sz w:val="20"/>
                <w:szCs w:val="24"/>
                <w:lang w:eastAsia="en-AU"/>
              </w:rPr>
              <w:t xml:space="preserve"> </w:t>
            </w:r>
            <w:r w:rsidRPr="00340E04">
              <w:t>Support</w:t>
            </w:r>
            <w:r>
              <w:rPr>
                <w:rFonts w:ascii="Times New Roman" w:eastAsia="SimSun" w:hAnsi="Times New Roman"/>
                <w:sz w:val="20"/>
                <w:szCs w:val="24"/>
                <w:lang w:eastAsia="en-AU"/>
              </w:rPr>
              <w:t xml:space="preserve"> </w:t>
            </w:r>
            <w:r w:rsidR="003D48BF">
              <w:rPr>
                <w:rFonts w:ascii="Times New Roman" w:eastAsia="SimSun" w:hAnsi="Times New Roman"/>
                <w:sz w:val="20"/>
                <w:szCs w:val="24"/>
                <w:lang w:eastAsia="en-AU"/>
              </w:rPr>
              <w:t>s</w:t>
            </w:r>
            <w:r w:rsidRPr="00557319">
              <w:t xml:space="preserve">ustainable </w:t>
            </w:r>
            <w:r>
              <w:t>e</w:t>
            </w:r>
            <w:r w:rsidRPr="00557319">
              <w:t xml:space="preserve">conomic </w:t>
            </w:r>
            <w:r>
              <w:t>d</w:t>
            </w:r>
            <w:r w:rsidRPr="00557319">
              <w:t>evelopment</w:t>
            </w:r>
          </w:p>
        </w:tc>
        <w:tc>
          <w:tcPr>
            <w:tcW w:w="972" w:type="dxa"/>
            <w:shd w:val="clear" w:color="auto" w:fill="F79646" w:themeFill="accent6"/>
            <w:noWrap/>
          </w:tcPr>
          <w:p w:rsidR="00343AD1" w:rsidRPr="00443639" w:rsidRDefault="00343AD1" w:rsidP="00443639">
            <w:pPr>
              <w:pStyle w:val="TableTextEntries"/>
              <w:jc w:val="center"/>
              <w:rPr>
                <w:color w:val="FFFFFF" w:themeColor="background1"/>
              </w:rPr>
            </w:pPr>
            <w:r w:rsidRPr="00EA6882">
              <w:rPr>
                <w:color w:val="FFFFFF" w:themeColor="background1"/>
              </w:rPr>
              <w:t>Amber</w:t>
            </w:r>
          </w:p>
        </w:tc>
        <w:tc>
          <w:tcPr>
            <w:tcW w:w="388" w:type="dxa"/>
          </w:tcPr>
          <w:p w:rsidR="00343AD1" w:rsidRPr="00443639" w:rsidRDefault="00343AD1" w:rsidP="00443639">
            <w:pPr>
              <w:pStyle w:val="TableTextEntries"/>
              <w:jc w:val="center"/>
              <w:rPr>
                <w:color w:val="FFFFFF" w:themeColor="background1"/>
              </w:rPr>
            </w:pPr>
          </w:p>
        </w:tc>
        <w:tc>
          <w:tcPr>
            <w:tcW w:w="1021" w:type="dxa"/>
            <w:shd w:val="clear" w:color="auto" w:fill="F79646" w:themeFill="accent6"/>
            <w:noWrap/>
          </w:tcPr>
          <w:p w:rsidR="00343AD1" w:rsidRPr="00443639" w:rsidRDefault="00343AD1" w:rsidP="00443639">
            <w:pPr>
              <w:pStyle w:val="TableTextEntries"/>
              <w:jc w:val="center"/>
              <w:rPr>
                <w:color w:val="FFFFFF" w:themeColor="background1"/>
              </w:rPr>
            </w:pPr>
            <w:r w:rsidRPr="00674734">
              <w:rPr>
                <w:color w:val="FFFFFF" w:themeColor="background1"/>
              </w:rPr>
              <w:t>Amber</w:t>
            </w:r>
          </w:p>
        </w:tc>
      </w:tr>
      <w:tr w:rsidR="00343AD1" w:rsidRPr="009D53C4" w:rsidTr="00FB0689">
        <w:trPr>
          <w:cnfStyle w:val="000000010000" w:firstRow="0" w:lastRow="0" w:firstColumn="0" w:lastColumn="0" w:oddVBand="0" w:evenVBand="0" w:oddHBand="0" w:evenHBand="1" w:firstRowFirstColumn="0" w:firstRowLastColumn="0" w:lastRowFirstColumn="0" w:lastRowLastColumn="0"/>
        </w:trPr>
        <w:tc>
          <w:tcPr>
            <w:tcW w:w="6029" w:type="dxa"/>
          </w:tcPr>
          <w:p w:rsidR="00343AD1" w:rsidRPr="0019341B" w:rsidRDefault="00343AD1" w:rsidP="00FA4722">
            <w:pPr>
              <w:pStyle w:val="TableTextEntries"/>
            </w:pPr>
            <w:r>
              <w:t>Objective 2:</w:t>
            </w:r>
            <w:r w:rsidRPr="00557319">
              <w:rPr>
                <w:rFonts w:ascii="Times New Roman" w:eastAsia="SimSun" w:hAnsi="Times New Roman"/>
                <w:sz w:val="20"/>
                <w:szCs w:val="24"/>
                <w:lang w:eastAsia="en-AU"/>
              </w:rPr>
              <w:t xml:space="preserve"> </w:t>
            </w:r>
            <w:r>
              <w:t>Support e</w:t>
            </w:r>
            <w:r w:rsidRPr="00557319">
              <w:t xml:space="preserve">ffective </w:t>
            </w:r>
            <w:r>
              <w:t>g</w:t>
            </w:r>
            <w:r w:rsidRPr="00557319">
              <w:t>overnance</w:t>
            </w:r>
          </w:p>
        </w:tc>
        <w:tc>
          <w:tcPr>
            <w:tcW w:w="972" w:type="dxa"/>
            <w:shd w:val="clear" w:color="auto" w:fill="92D050"/>
            <w:noWrap/>
          </w:tcPr>
          <w:p w:rsidR="00343AD1" w:rsidRPr="00443639" w:rsidRDefault="00343AD1" w:rsidP="00443639">
            <w:pPr>
              <w:pStyle w:val="TableTextEntries"/>
              <w:jc w:val="center"/>
              <w:rPr>
                <w:color w:val="FFFFFF" w:themeColor="background1"/>
              </w:rPr>
            </w:pPr>
            <w:r>
              <w:rPr>
                <w:color w:val="FFFFFF" w:themeColor="background1"/>
              </w:rPr>
              <w:t>Green</w:t>
            </w:r>
          </w:p>
        </w:tc>
        <w:tc>
          <w:tcPr>
            <w:tcW w:w="388" w:type="dxa"/>
          </w:tcPr>
          <w:p w:rsidR="00343AD1" w:rsidRPr="00443639" w:rsidRDefault="00343AD1" w:rsidP="00443639">
            <w:pPr>
              <w:pStyle w:val="TableTextEntries"/>
              <w:jc w:val="center"/>
              <w:rPr>
                <w:color w:val="FFFFFF" w:themeColor="background1"/>
              </w:rPr>
            </w:pPr>
          </w:p>
        </w:tc>
        <w:tc>
          <w:tcPr>
            <w:tcW w:w="1021" w:type="dxa"/>
            <w:shd w:val="clear" w:color="auto" w:fill="F79646" w:themeFill="accent6"/>
            <w:noWrap/>
          </w:tcPr>
          <w:p w:rsidR="00343AD1" w:rsidRPr="00443639" w:rsidRDefault="00343AD1" w:rsidP="00443639">
            <w:pPr>
              <w:pStyle w:val="TableTextEntries"/>
              <w:jc w:val="center"/>
              <w:rPr>
                <w:color w:val="FFFFFF" w:themeColor="background1"/>
              </w:rPr>
            </w:pPr>
            <w:r w:rsidRPr="00674734">
              <w:rPr>
                <w:color w:val="FFFFFF" w:themeColor="background1"/>
              </w:rPr>
              <w:t>Amber</w:t>
            </w:r>
          </w:p>
        </w:tc>
      </w:tr>
      <w:tr w:rsidR="00343AD1" w:rsidRPr="009D53C4" w:rsidTr="00674734">
        <w:trPr>
          <w:cnfStyle w:val="000000010000" w:firstRow="0" w:lastRow="0" w:firstColumn="0" w:lastColumn="0" w:oddVBand="0" w:evenVBand="0" w:oddHBand="0" w:evenHBand="1" w:firstRowFirstColumn="0" w:firstRowLastColumn="0" w:lastRowFirstColumn="0" w:lastRowLastColumn="0"/>
        </w:trPr>
        <w:tc>
          <w:tcPr>
            <w:tcW w:w="6029" w:type="dxa"/>
          </w:tcPr>
          <w:p w:rsidR="00343AD1" w:rsidRDefault="00343AD1" w:rsidP="00443639">
            <w:pPr>
              <w:pStyle w:val="TableTextEntries"/>
            </w:pPr>
            <w:r>
              <w:t>Objective 3:</w:t>
            </w:r>
            <w:r w:rsidRPr="00557319">
              <w:rPr>
                <w:rFonts w:ascii="Times New Roman" w:eastAsia="SimSun" w:hAnsi="Times New Roman"/>
                <w:sz w:val="20"/>
                <w:szCs w:val="24"/>
                <w:lang w:eastAsia="en-AU"/>
              </w:rPr>
              <w:t xml:space="preserve"> </w:t>
            </w:r>
            <w:r w:rsidRPr="00340E04">
              <w:t>Reduce the humanitarian impact of natural disasters</w:t>
            </w:r>
          </w:p>
        </w:tc>
        <w:tc>
          <w:tcPr>
            <w:tcW w:w="972" w:type="dxa"/>
            <w:shd w:val="clear" w:color="auto" w:fill="92D050"/>
            <w:noWrap/>
          </w:tcPr>
          <w:p w:rsidR="00343AD1" w:rsidRPr="00443639" w:rsidRDefault="00343AD1" w:rsidP="00443639">
            <w:pPr>
              <w:pStyle w:val="TableTextEntries"/>
              <w:jc w:val="center"/>
              <w:rPr>
                <w:color w:val="FFFFFF" w:themeColor="background1"/>
              </w:rPr>
            </w:pPr>
            <w:r w:rsidRPr="00557319">
              <w:rPr>
                <w:color w:val="FFFFFF" w:themeColor="background1"/>
              </w:rPr>
              <w:t>Green</w:t>
            </w:r>
          </w:p>
        </w:tc>
        <w:tc>
          <w:tcPr>
            <w:tcW w:w="388" w:type="dxa"/>
          </w:tcPr>
          <w:p w:rsidR="00343AD1" w:rsidRPr="00443639" w:rsidRDefault="00343AD1" w:rsidP="00443639">
            <w:pPr>
              <w:pStyle w:val="TableTextEntries"/>
              <w:jc w:val="center"/>
              <w:rPr>
                <w:color w:val="FFFFFF" w:themeColor="background1"/>
              </w:rPr>
            </w:pPr>
          </w:p>
        </w:tc>
        <w:tc>
          <w:tcPr>
            <w:tcW w:w="1021" w:type="dxa"/>
            <w:shd w:val="clear" w:color="auto" w:fill="F79646" w:themeFill="accent6"/>
            <w:noWrap/>
          </w:tcPr>
          <w:p w:rsidR="00343AD1" w:rsidRPr="00443639" w:rsidRDefault="00343AD1" w:rsidP="00443639">
            <w:pPr>
              <w:pStyle w:val="TableTextEntries"/>
              <w:jc w:val="center"/>
              <w:rPr>
                <w:color w:val="FFFFFF" w:themeColor="background1"/>
              </w:rPr>
            </w:pPr>
            <w:r w:rsidRPr="00674734">
              <w:rPr>
                <w:color w:val="FFFFFF" w:themeColor="background1"/>
              </w:rPr>
              <w:t>Amber</w:t>
            </w:r>
          </w:p>
        </w:tc>
      </w:tr>
    </w:tbl>
    <w:p w:rsidR="00343AD1" w:rsidRPr="00180B19" w:rsidRDefault="00343AD1" w:rsidP="00100AA2">
      <w:pPr>
        <w:pStyle w:val="Note"/>
      </w:pPr>
      <w:r w:rsidRPr="00180B19">
        <w:t xml:space="preserve">Note: </w:t>
      </w:r>
    </w:p>
    <w:p w:rsidR="00343AD1" w:rsidRPr="00180B19" w:rsidRDefault="00343AD1" w:rsidP="00100AA2">
      <w:pPr>
        <w:pStyle w:val="Note"/>
      </w:pPr>
      <w:r w:rsidRPr="004C4A3E">
        <w:rPr>
          <w:color w:val="92D050"/>
        </w:rPr>
        <w:sym w:font="Webdings" w:char="F067"/>
      </w:r>
      <w:r w:rsidRPr="00180B19">
        <w:t> </w:t>
      </w:r>
      <w:r w:rsidRPr="00180B19">
        <w:t xml:space="preserve"> </w:t>
      </w:r>
      <w:proofErr w:type="gramStart"/>
      <w:r>
        <w:t>Green.</w:t>
      </w:r>
      <w:proofErr w:type="gramEnd"/>
      <w:r>
        <w:t xml:space="preserve"> </w:t>
      </w:r>
      <w:r w:rsidRPr="00180B19">
        <w:t>Progress is as expected for this point in time and it is likely that the objective will be achieved. Standard program management practices are sufficient.</w:t>
      </w:r>
    </w:p>
    <w:p w:rsidR="00343AD1" w:rsidRPr="00180B19" w:rsidRDefault="00343AD1" w:rsidP="00100AA2">
      <w:pPr>
        <w:pStyle w:val="Note"/>
      </w:pPr>
      <w:r w:rsidRPr="004C4A3E">
        <w:rPr>
          <w:color w:val="F79646" w:themeColor="accent6"/>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343AD1" w:rsidRPr="00180B19" w:rsidRDefault="00343AD1" w:rsidP="00020121">
      <w:pPr>
        <w:pStyle w:val="Note"/>
      </w:pPr>
      <w:r w:rsidRPr="004C4A3E">
        <w:rPr>
          <w:color w:val="FF0000"/>
        </w:rPr>
        <w:sym w:font="Webdings" w:char="F067"/>
      </w:r>
      <w:r w:rsidRPr="00180B19">
        <w:t> </w:t>
      </w:r>
      <w:r w:rsidRPr="00180B19">
        <w:t xml:space="preserve"> </w:t>
      </w:r>
      <w:proofErr w:type="gramStart"/>
      <w:r>
        <w:t>Red.</w:t>
      </w:r>
      <w:proofErr w:type="gramEnd"/>
      <w:r>
        <w:t xml:space="preserve"> </w:t>
      </w:r>
      <w:r w:rsidRPr="00180B19">
        <w:t xml:space="preserve">Progress is significantly less than expected for this point in time and the objective is not likely to be met given available resources and priorities. Recasting the objective may be required. </w:t>
      </w:r>
    </w:p>
    <w:p w:rsidR="00343AD1" w:rsidRPr="00180B19" w:rsidRDefault="00343AD1" w:rsidP="00D30700">
      <w:pPr>
        <w:pStyle w:val="Heading2"/>
      </w:pPr>
      <w:r w:rsidRPr="00021A9E">
        <w:t>Objective</w:t>
      </w:r>
      <w:r>
        <w:t xml:space="preserve"> 1:</w:t>
      </w:r>
      <w:r w:rsidRPr="00557319">
        <w:rPr>
          <w:rFonts w:ascii="Times New Roman" w:eastAsia="SimSun" w:hAnsi="Times New Roman"/>
          <w:sz w:val="20"/>
          <w:szCs w:val="24"/>
        </w:rPr>
        <w:t xml:space="preserve"> </w:t>
      </w:r>
      <w:r w:rsidRPr="00D30700">
        <w:t>Support</w:t>
      </w:r>
      <w:r>
        <w:t xml:space="preserve"> sustainable economic d</w:t>
      </w:r>
      <w:r w:rsidRPr="00557319">
        <w:t>evelopment</w:t>
      </w:r>
    </w:p>
    <w:p w:rsidR="00343AD1" w:rsidRDefault="00343AD1" w:rsidP="0013017A">
      <w:pPr>
        <w:pStyle w:val="BodyText"/>
      </w:pPr>
      <w:r>
        <w:t>Australia supports</w:t>
      </w:r>
      <w:r w:rsidRPr="00F849EF">
        <w:t xml:space="preserve"> </w:t>
      </w:r>
      <w:r>
        <w:t xml:space="preserve">sustainable economic development in Latin America through </w:t>
      </w:r>
      <w:r w:rsidRPr="00F849EF">
        <w:t>improve</w:t>
      </w:r>
      <w:r>
        <w:t>d</w:t>
      </w:r>
      <w:r w:rsidRPr="00F849EF">
        <w:t xml:space="preserve"> food security</w:t>
      </w:r>
      <w:r>
        <w:t>,</w:t>
      </w:r>
      <w:r w:rsidRPr="00F849EF">
        <w:t xml:space="preserve"> incom</w:t>
      </w:r>
      <w:r>
        <w:t>es and enterprise opportunities,</w:t>
      </w:r>
      <w:r w:rsidRPr="00F849EF">
        <w:t xml:space="preserve"> and</w:t>
      </w:r>
      <w:r>
        <w:t xml:space="preserve"> by </w:t>
      </w:r>
      <w:r w:rsidRPr="00F849EF">
        <w:t>help</w:t>
      </w:r>
      <w:r>
        <w:t>ing to</w:t>
      </w:r>
      <w:r w:rsidRPr="00F849EF">
        <w:t xml:space="preserve"> reduce the negative impacts of climate change and other environmental factors.</w:t>
      </w:r>
      <w:r>
        <w:t xml:space="preserve"> </w:t>
      </w:r>
    </w:p>
    <w:p w:rsidR="003D48BF" w:rsidRPr="00D30700" w:rsidRDefault="00343AD1" w:rsidP="00D30700">
      <w:pPr>
        <w:pStyle w:val="BodyText"/>
        <w:rPr>
          <w:b/>
        </w:rPr>
      </w:pPr>
      <w:r w:rsidRPr="00D30700">
        <w:rPr>
          <w:b/>
        </w:rPr>
        <w:t xml:space="preserve">IDB Partnership Trust Fund for Poverty Reduction in Latin America </w:t>
      </w:r>
    </w:p>
    <w:p w:rsidR="00343AD1" w:rsidRPr="00F52496" w:rsidDel="00F6719B" w:rsidRDefault="00686725">
      <w:pPr>
        <w:pStyle w:val="BodyText"/>
      </w:pPr>
      <w:r>
        <w:t xml:space="preserve">This trust fund </w:t>
      </w:r>
      <w:r w:rsidR="00343AD1">
        <w:t xml:space="preserve">continues to be an effective and efficient delivery mechanism. </w:t>
      </w:r>
      <w:r w:rsidR="00343AD1" w:rsidRPr="00531D53">
        <w:t>Australia</w:t>
      </w:r>
      <w:r w:rsidR="00343AD1">
        <w:t xml:space="preserve">’s financial contribution </w:t>
      </w:r>
      <w:r>
        <w:t xml:space="preserve">to the fund </w:t>
      </w:r>
      <w:r w:rsidR="00343AD1">
        <w:t>of $</w:t>
      </w:r>
      <w:r w:rsidR="00343AD1" w:rsidRPr="00531D53">
        <w:t>10</w:t>
      </w:r>
      <w:r w:rsidR="00343AD1">
        <w:t> </w:t>
      </w:r>
      <w:r w:rsidR="00343AD1" w:rsidRPr="00F52496">
        <w:t>million over four</w:t>
      </w:r>
      <w:r w:rsidR="00FA165A">
        <w:t xml:space="preserve"> </w:t>
      </w:r>
      <w:r w:rsidR="00343AD1" w:rsidRPr="00F52496">
        <w:t>years</w:t>
      </w:r>
      <w:r w:rsidR="00343AD1">
        <w:t xml:space="preserve"> is used to co-finance specific projects with the IDB M</w:t>
      </w:r>
      <w:r w:rsidR="00343AD1" w:rsidRPr="00713DBA">
        <w:t>ultilateral Investment Fund</w:t>
      </w:r>
      <w:r w:rsidR="00343AD1">
        <w:t xml:space="preserve"> and beneficiaries</w:t>
      </w:r>
      <w:r w:rsidR="005646C7">
        <w:t xml:space="preserve">. </w:t>
      </w:r>
      <w:r w:rsidR="00343AD1">
        <w:t xml:space="preserve">A typical cost-sharing ratio between Australia, </w:t>
      </w:r>
      <w:r w:rsidR="00863288">
        <w:t>the fund</w:t>
      </w:r>
      <w:r w:rsidR="00343AD1">
        <w:t xml:space="preserve"> and beneficiaries is 38:38:24.</w:t>
      </w:r>
    </w:p>
    <w:p w:rsidR="00343AD1" w:rsidRDefault="00343AD1" w:rsidP="0013017A">
      <w:pPr>
        <w:pStyle w:val="BodyText"/>
      </w:pPr>
      <w:r w:rsidRPr="00F52496">
        <w:t>The trust fund</w:t>
      </w:r>
      <w:r w:rsidR="00686725">
        <w:t xml:space="preserve"> is</w:t>
      </w:r>
      <w:r w:rsidRPr="00F52496">
        <w:t xml:space="preserve"> used to provide Latin American</w:t>
      </w:r>
      <w:r w:rsidR="00686725">
        <w:t>s</w:t>
      </w:r>
      <w:r w:rsidRPr="00F52496">
        <w:t xml:space="preserve">, particularly marginalised populations and women, </w:t>
      </w:r>
      <w:r>
        <w:t>with access to finance</w:t>
      </w:r>
      <w:r w:rsidR="00686725">
        <w:t>,</w:t>
      </w:r>
      <w:r w:rsidRPr="00F52496">
        <w:t xml:space="preserve"> markets and capabilities</w:t>
      </w:r>
      <w:r>
        <w:rPr>
          <w:rStyle w:val="FootnoteReference"/>
        </w:rPr>
        <w:footnoteReference w:id="19"/>
      </w:r>
      <w:r w:rsidR="00D90266">
        <w:t>—</w:t>
      </w:r>
      <w:r w:rsidRPr="00F52496">
        <w:t>highly relevant in Latin America where many people rely on small enterprises</w:t>
      </w:r>
      <w:r>
        <w:t xml:space="preserve"> for income. For example, in Peru micro and small-enterprises comprise 98 per cent of all businesses and 40 per cent are owned and operated by women.</w:t>
      </w:r>
      <w:r>
        <w:rPr>
          <w:rStyle w:val="FootnoteReference"/>
        </w:rPr>
        <w:footnoteReference w:id="20"/>
      </w:r>
    </w:p>
    <w:p w:rsidR="00D90266" w:rsidRDefault="00343AD1" w:rsidP="0013017A">
      <w:pPr>
        <w:pStyle w:val="BodyText"/>
      </w:pPr>
      <w:r>
        <w:lastRenderedPageBreak/>
        <w:t xml:space="preserve">The trust fund enables the joint financing of multiple development activities in the region with a single, streamlined management mechanism provided by the IDB through its offices and staff in Latin America. </w:t>
      </w:r>
    </w:p>
    <w:p w:rsidR="00D90266" w:rsidRDefault="00343AD1" w:rsidP="0013017A">
      <w:pPr>
        <w:pStyle w:val="BodyText"/>
      </w:pPr>
      <w:r>
        <w:t xml:space="preserve">The mid-term review confirmed that the partnership with the IDB is a sound investment. </w:t>
      </w:r>
      <w:r w:rsidR="00D90266">
        <w:t>The IDB has core strengths in micro-finance, micro-small enterprise, financial inclusion for women entrepreneurs and inclusive local economic development through mining activities.</w:t>
      </w:r>
      <w:r w:rsidR="0051443E">
        <w:t xml:space="preserve"> </w:t>
      </w:r>
      <w:r>
        <w:t xml:space="preserve">The cost-sharing model improves efficiency and the </w:t>
      </w:r>
      <w:r w:rsidRPr="000F0A72">
        <w:t xml:space="preserve">arrangements negotiated </w:t>
      </w:r>
      <w:r>
        <w:t xml:space="preserve">for the IDB-MIF </w:t>
      </w:r>
      <w:r w:rsidRPr="000F0A72">
        <w:t>provide a sound foundation for f</w:t>
      </w:r>
      <w:r>
        <w:t xml:space="preserve">uture programming. The IDB-MIF management cost is also assessed to be very good value for money. </w:t>
      </w:r>
    </w:p>
    <w:p w:rsidR="00343AD1" w:rsidRDefault="00343AD1" w:rsidP="0013017A">
      <w:pPr>
        <w:pStyle w:val="BodyText"/>
      </w:pPr>
      <w:r>
        <w:t xml:space="preserve">To date, eight finance and micro-finance projects have been approved for implementation in six </w:t>
      </w:r>
      <w:r w:rsidR="00D90266">
        <w:t xml:space="preserve">Latin American </w:t>
      </w:r>
      <w:r>
        <w:t xml:space="preserve">countries. Approval has been slower than was initially planned for this stage of the fund. </w:t>
      </w:r>
      <w:r w:rsidR="00D90266">
        <w:t>T</w:t>
      </w:r>
      <w:r>
        <w:t xml:space="preserve">his was remedied in 2012 </w:t>
      </w:r>
      <w:r w:rsidR="00D90266">
        <w:t xml:space="preserve">when </w:t>
      </w:r>
      <w:r w:rsidR="00B557C5">
        <w:t xml:space="preserve">initiative </w:t>
      </w:r>
      <w:r w:rsidR="00D90266">
        <w:t>management was devolved</w:t>
      </w:r>
      <w:r>
        <w:t xml:space="preserve"> to Lima</w:t>
      </w:r>
      <w:r w:rsidR="004B719F">
        <w:t xml:space="preserve"> Post</w:t>
      </w:r>
      <w:r>
        <w:t xml:space="preserve"> </w:t>
      </w:r>
      <w:r w:rsidR="00D90266">
        <w:t>with</w:t>
      </w:r>
      <w:r>
        <w:t xml:space="preserve"> regular direct management meetings with the IDB regional office.</w:t>
      </w:r>
      <w:r w:rsidR="00B557C5">
        <w:t xml:space="preserve"> </w:t>
      </w:r>
      <w:r>
        <w:t>Further financial inclusion projects are being considered in the areas of pro-savings and remittances for savings</w:t>
      </w:r>
      <w:r w:rsidRPr="00D021A6">
        <w:t>.</w:t>
      </w:r>
      <w:r>
        <w:rPr>
          <w:rStyle w:val="FootnoteReference"/>
        </w:rPr>
        <w:footnoteReference w:id="21"/>
      </w:r>
      <w:r>
        <w:t xml:space="preserve"> Due to the early stage</w:t>
      </w:r>
      <w:r w:rsidR="00D90266">
        <w:t xml:space="preserve"> of these projects</w:t>
      </w:r>
      <w:r>
        <w:t xml:space="preserve">, the effectiveness of the </w:t>
      </w:r>
      <w:r w:rsidR="00D90266">
        <w:t xml:space="preserve">trust </w:t>
      </w:r>
      <w:r>
        <w:t>fund is yet to be fully demonstrated</w:t>
      </w:r>
      <w:r w:rsidR="00D90266">
        <w:t xml:space="preserve"> although</w:t>
      </w:r>
      <w:r>
        <w:t xml:space="preserve"> early achievements are impressive. For example, in 2012</w:t>
      </w:r>
      <w:r w:rsidR="00FA165A">
        <w:t>–</w:t>
      </w:r>
      <w:r>
        <w:t>13 Australia’s</w:t>
      </w:r>
      <w:r w:rsidRPr="008218AE">
        <w:t xml:space="preserve"> </w:t>
      </w:r>
      <w:r>
        <w:t xml:space="preserve">contributions have supported results through the inclusion of 3724 people (2850 women and 874 men) into financial services such as savings and loans. </w:t>
      </w:r>
    </w:p>
    <w:p w:rsidR="00343AD1" w:rsidRPr="00F849EF" w:rsidRDefault="00152BCB" w:rsidP="0013017A">
      <w:pPr>
        <w:pStyle w:val="BodyText"/>
      </w:pPr>
      <w:r>
        <w:t xml:space="preserve">Australia’s </w:t>
      </w:r>
      <w:r w:rsidR="00343AD1">
        <w:t xml:space="preserve">quality assessments identified that the IDB has been slow to disburse trust funds for project execution, and the mid-term review confirmed this </w:t>
      </w:r>
      <w:r w:rsidR="00503A50">
        <w:t xml:space="preserve">to be </w:t>
      </w:r>
      <w:r w:rsidR="00343AD1">
        <w:t xml:space="preserve">primarily </w:t>
      </w:r>
      <w:r w:rsidR="00503A50">
        <w:t>the</w:t>
      </w:r>
      <w:r w:rsidR="00343AD1">
        <w:t xml:space="preserve"> result of IDB legal requirements and difficulties faced by executing agencies in meeting IDB </w:t>
      </w:r>
      <w:r w:rsidR="00503A50">
        <w:t xml:space="preserve">disbursement </w:t>
      </w:r>
      <w:r w:rsidR="00343AD1">
        <w:t>conditions. Disbursement</w:t>
      </w:r>
      <w:r w:rsidR="00503A50">
        <w:t xml:space="preserve"> </w:t>
      </w:r>
      <w:r w:rsidR="00343AD1">
        <w:t xml:space="preserve">is being improved by the IDB, with support from </w:t>
      </w:r>
      <w:r w:rsidR="00E0054E">
        <w:t xml:space="preserve">DFAT </w:t>
      </w:r>
      <w:r w:rsidR="00343AD1">
        <w:t xml:space="preserve">in the region, through revised approval processes. More frequent reporting will improve disbursement and </w:t>
      </w:r>
      <w:r w:rsidR="00B557C5">
        <w:t xml:space="preserve">activity </w:t>
      </w:r>
      <w:r w:rsidR="00343AD1">
        <w:t xml:space="preserve">pipeline development. </w:t>
      </w:r>
      <w:r w:rsidR="00E0054E">
        <w:t xml:space="preserve">The </w:t>
      </w:r>
      <w:r w:rsidR="00343AD1">
        <w:t xml:space="preserve">relationship </w:t>
      </w:r>
      <w:r w:rsidR="00B557C5">
        <w:t xml:space="preserve">with the IDB </w:t>
      </w:r>
      <w:r w:rsidR="00343AD1">
        <w:t xml:space="preserve">will also be strengthened through the first annual dialogue scheduled for August 2013. </w:t>
      </w:r>
    </w:p>
    <w:p w:rsidR="00B557C5" w:rsidRPr="00D30700" w:rsidRDefault="00343AD1" w:rsidP="00D30700">
      <w:pPr>
        <w:pStyle w:val="BodyText"/>
        <w:rPr>
          <w:b/>
        </w:rPr>
      </w:pPr>
      <w:r w:rsidRPr="00D30700">
        <w:rPr>
          <w:b/>
        </w:rPr>
        <w:t>IDB Peru Strengthening Women’s Entrepreneurships Program (SALTA)</w:t>
      </w:r>
    </w:p>
    <w:p w:rsidR="00343AD1" w:rsidRDefault="004952C1" w:rsidP="007F7CBA">
      <w:pPr>
        <w:pStyle w:val="BodyText"/>
      </w:pPr>
      <w:r>
        <w:t xml:space="preserve">Australia </w:t>
      </w:r>
      <w:r w:rsidR="00343AD1">
        <w:t>is contributing $2 million over four</w:t>
      </w:r>
      <w:r w:rsidR="00FB3D58">
        <w:t xml:space="preserve"> </w:t>
      </w:r>
      <w:r w:rsidR="00343AD1">
        <w:t xml:space="preserve">years toward SALTA to provide workshops on financial literacy and business development to 100 000 poor women in Peru. The program is performing well and is on track to reach </w:t>
      </w:r>
      <w:r w:rsidR="00FB3D58">
        <w:t xml:space="preserve">its </w:t>
      </w:r>
      <w:r w:rsidR="00343AD1">
        <w:t xml:space="preserve">target by December 2013. </w:t>
      </w:r>
      <w:r w:rsidR="0063718E">
        <w:t>Over 84</w:t>
      </w:r>
      <w:r w:rsidR="00343AD1">
        <w:t xml:space="preserve"> 000 women have participated in workshops, and 446 women have </w:t>
      </w:r>
      <w:r w:rsidR="00FB3D58">
        <w:t>been mentored</w:t>
      </w:r>
      <w:r w:rsidR="00343AD1">
        <w:t xml:space="preserve">, of which 35 per cent </w:t>
      </w:r>
      <w:r w:rsidR="00FB3D58">
        <w:t>can be attributed</w:t>
      </w:r>
      <w:r w:rsidR="00343AD1">
        <w:t xml:space="preserve"> to Australia’s contribution (</w:t>
      </w:r>
      <w:r w:rsidR="0063718E">
        <w:t>29 400</w:t>
      </w:r>
      <w:r w:rsidR="00343AD1">
        <w:t xml:space="preserve"> </w:t>
      </w:r>
      <w:r w:rsidR="00FB3D58">
        <w:t>workshop participants</w:t>
      </w:r>
      <w:r w:rsidR="00343AD1">
        <w:t xml:space="preserve"> and 156 mentor</w:t>
      </w:r>
      <w:r w:rsidR="00FB3D58">
        <w:t>ed</w:t>
      </w:r>
      <w:r w:rsidR="00343AD1">
        <w:t xml:space="preserve">). </w:t>
      </w:r>
      <w:r w:rsidR="00FB3D58">
        <w:t>Volunteer management graduates have provided a</w:t>
      </w:r>
      <w:r w:rsidR="00343AD1">
        <w:t>round</w:t>
      </w:r>
      <w:r w:rsidR="00343AD1" w:rsidRPr="00BB423C">
        <w:t xml:space="preserve"> 3296 hours of mentoring</w:t>
      </w:r>
      <w:r w:rsidR="00343AD1">
        <w:t xml:space="preserve">, </w:t>
      </w:r>
      <w:r w:rsidR="00343AD1" w:rsidRPr="00BB423C">
        <w:t>on average 7.</w:t>
      </w:r>
      <w:r w:rsidR="00343AD1">
        <w:t>4 hours for each person</w:t>
      </w:r>
      <w:r w:rsidR="00FB3D58">
        <w:t xml:space="preserve"> mentored</w:t>
      </w:r>
      <w:r w:rsidR="00343AD1">
        <w:t xml:space="preserve">. </w:t>
      </w:r>
    </w:p>
    <w:p w:rsidR="00343AD1" w:rsidRDefault="00B557C5" w:rsidP="007F7CBA">
      <w:pPr>
        <w:pStyle w:val="BodyText"/>
      </w:pPr>
      <w:r>
        <w:t xml:space="preserve">A </w:t>
      </w:r>
      <w:r w:rsidR="0005495B">
        <w:t>r</w:t>
      </w:r>
      <w:r w:rsidR="00343AD1" w:rsidRPr="006F302E">
        <w:t xml:space="preserve">ecent </w:t>
      </w:r>
      <w:r w:rsidR="00343AD1">
        <w:t xml:space="preserve">IDB </w:t>
      </w:r>
      <w:r w:rsidR="00343AD1" w:rsidRPr="006F302E">
        <w:t>evaluation</w:t>
      </w:r>
      <w:r w:rsidR="0005495B">
        <w:t xml:space="preserve"> of the program</w:t>
      </w:r>
      <w:r w:rsidR="00343AD1" w:rsidRPr="006F302E">
        <w:t xml:space="preserve"> show</w:t>
      </w:r>
      <w:r w:rsidR="00FB3D58">
        <w:t>ed</w:t>
      </w:r>
      <w:r w:rsidR="00343AD1" w:rsidRPr="006F302E">
        <w:t xml:space="preserve"> that training and mentoring had a significant positive impact on the </w:t>
      </w:r>
      <w:r w:rsidR="00343AD1">
        <w:t xml:space="preserve">women’s </w:t>
      </w:r>
      <w:r w:rsidR="00343AD1" w:rsidRPr="006F302E">
        <w:t>level of self-confidence</w:t>
      </w:r>
      <w:r w:rsidR="00343AD1">
        <w:t>.</w:t>
      </w:r>
      <w:r w:rsidR="00343AD1" w:rsidRPr="006F302E">
        <w:t xml:space="preserve"> The impact of mentoring was significantly higher than </w:t>
      </w:r>
      <w:r w:rsidR="00343AD1">
        <w:t>training</w:t>
      </w:r>
      <w:r w:rsidR="00343AD1" w:rsidRPr="006F302E">
        <w:t xml:space="preserve"> alone. </w:t>
      </w:r>
      <w:r w:rsidR="00343AD1">
        <w:t>The</w:t>
      </w:r>
      <w:r w:rsidR="0005495B">
        <w:t xml:space="preserve"> evaluation provided</w:t>
      </w:r>
      <w:r w:rsidR="00343AD1">
        <w:t xml:space="preserve"> evidence that</w:t>
      </w:r>
      <w:r w:rsidR="0005495B">
        <w:t>,</w:t>
      </w:r>
      <w:r w:rsidR="00343AD1">
        <w:t xml:space="preserve"> as a result of training in financial inclusion and basic business knowledge, women entrepreneurs have started to separate business expenses from household expenses; register income and expenses; and feel more secure in decision</w:t>
      </w:r>
      <w:r w:rsidR="0005495B">
        <w:t xml:space="preserve"> </w:t>
      </w:r>
      <w:r w:rsidR="00343AD1">
        <w:t>making. The evaluation also identified that the initiative could be strengthened, noting that training is</w:t>
      </w:r>
      <w:r w:rsidR="00343AD1" w:rsidRPr="00D805AE">
        <w:t xml:space="preserve"> insufficient</w:t>
      </w:r>
      <w:r w:rsidR="00343AD1">
        <w:t xml:space="preserve"> on its own</w:t>
      </w:r>
      <w:r w:rsidR="00343AD1" w:rsidRPr="00D805AE">
        <w:t xml:space="preserve"> and women do not have time to effectively modify behaviour to achieve significant income changes in the short</w:t>
      </w:r>
      <w:r w:rsidR="0005495B">
        <w:t xml:space="preserve"> </w:t>
      </w:r>
      <w:r w:rsidR="00343AD1" w:rsidRPr="00D805AE">
        <w:t>term.</w:t>
      </w:r>
      <w:r w:rsidR="00343AD1">
        <w:t xml:space="preserve"> </w:t>
      </w:r>
      <w:r w:rsidR="0005495B">
        <w:t>The need to strengthen the program</w:t>
      </w:r>
      <w:r w:rsidR="00343AD1">
        <w:t xml:space="preserve"> is being addressed by the IDB, </w:t>
      </w:r>
      <w:r w:rsidR="00DA6248">
        <w:t xml:space="preserve">the department </w:t>
      </w:r>
      <w:r w:rsidR="00343AD1">
        <w:t xml:space="preserve">and the implementing partner, </w:t>
      </w:r>
      <w:proofErr w:type="spellStart"/>
      <w:r w:rsidR="00343AD1">
        <w:t>MiBanco</w:t>
      </w:r>
      <w:proofErr w:type="spellEnd"/>
      <w:r w:rsidR="0005495B">
        <w:t>. R</w:t>
      </w:r>
      <w:r w:rsidR="00343AD1">
        <w:t>ecent changes demonstrate that lessons learned are being taken into account.</w:t>
      </w:r>
    </w:p>
    <w:p w:rsidR="00FC726F" w:rsidRDefault="00FC726F">
      <w:pPr>
        <w:spacing w:after="200" w:line="276" w:lineRule="auto"/>
        <w:rPr>
          <w:rFonts w:eastAsia="Times New Roman"/>
          <w:b/>
          <w:sz w:val="22"/>
        </w:rPr>
      </w:pPr>
      <w:r>
        <w:rPr>
          <w:b/>
        </w:rPr>
        <w:br w:type="page"/>
      </w:r>
    </w:p>
    <w:p w:rsidR="0005495B" w:rsidRPr="00D30700" w:rsidRDefault="00343AD1" w:rsidP="00D30700">
      <w:pPr>
        <w:pStyle w:val="BodyText"/>
        <w:rPr>
          <w:b/>
        </w:rPr>
      </w:pPr>
      <w:r w:rsidRPr="00D30700">
        <w:rPr>
          <w:b/>
        </w:rPr>
        <w:lastRenderedPageBreak/>
        <w:t>Paraguay for All</w:t>
      </w:r>
    </w:p>
    <w:p w:rsidR="00343AD1" w:rsidRDefault="00343AD1" w:rsidP="007F7CBA">
      <w:pPr>
        <w:pStyle w:val="BodyText"/>
      </w:pPr>
      <w:r>
        <w:t>In 2011, Australia partnered with Chile and Germany, through a delegated cooperation agreement with GIZ, to improve the Government of Paraguay’s capacity to plan and deliver coordinated social services</w:t>
      </w:r>
      <w:r w:rsidRPr="00516AB9">
        <w:t xml:space="preserve"> in poor communities</w:t>
      </w:r>
      <w:r>
        <w:t xml:space="preserve">. The </w:t>
      </w:r>
      <w:r w:rsidR="0005495B">
        <w:t xml:space="preserve">three-year </w:t>
      </w:r>
      <w:r w:rsidR="00637501">
        <w:t xml:space="preserve">activity </w:t>
      </w:r>
      <w:r w:rsidR="0005495B">
        <w:t xml:space="preserve">is worth </w:t>
      </w:r>
      <w:r>
        <w:t>$5.5 million</w:t>
      </w:r>
      <w:r w:rsidR="0005495B">
        <w:t>—</w:t>
      </w:r>
      <w:r>
        <w:t xml:space="preserve">Australia is providing </w:t>
      </w:r>
      <w:proofErr w:type="gramStart"/>
      <w:r>
        <w:t>A$</w:t>
      </w:r>
      <w:proofErr w:type="gramEnd"/>
      <w:r>
        <w:t xml:space="preserve">1.5 million (23.4 per cent), the Government of Paraguay A$3.34 million (56.6 per cent), Germany 12.6 per cent and Chile 7.4 per cent. The previous </w:t>
      </w:r>
      <w:r w:rsidR="009B58D9">
        <w:t>Annual Program Performance Report (</w:t>
      </w:r>
      <w:r>
        <w:t>APPR</w:t>
      </w:r>
      <w:r w:rsidR="009B58D9">
        <w:t>)</w:t>
      </w:r>
      <w:r>
        <w:t xml:space="preserve"> identified that implementation </w:t>
      </w:r>
      <w:r w:rsidR="00FC335C">
        <w:t>of this ambitious project was</w:t>
      </w:r>
      <w:r>
        <w:t xml:space="preserve"> slower than expected due to the highly complex operating environment. This was verified through an independent monitoring report</w:t>
      </w:r>
      <w:r w:rsidR="00FC335C">
        <w:t xml:space="preserve"> prepared for </w:t>
      </w:r>
      <w:r w:rsidR="000F023F">
        <w:t xml:space="preserve">Australia </w:t>
      </w:r>
      <w:r>
        <w:t>in October 2012.</w:t>
      </w:r>
      <w:r>
        <w:rPr>
          <w:rStyle w:val="FootnoteReference"/>
        </w:rPr>
        <w:footnoteReference w:id="22"/>
      </w:r>
      <w:r>
        <w:t xml:space="preserve"> </w:t>
      </w:r>
      <w:r w:rsidR="009F3BC3">
        <w:t xml:space="preserve">The department </w:t>
      </w:r>
      <w:r>
        <w:t xml:space="preserve">has since worked with partners to review progress and timeframes and </w:t>
      </w:r>
      <w:r w:rsidR="00FC335C">
        <w:t xml:space="preserve">has </w:t>
      </w:r>
      <w:r>
        <w:t>agreed to a no-financial</w:t>
      </w:r>
      <w:r w:rsidR="00FC335C">
        <w:t xml:space="preserve"> </w:t>
      </w:r>
      <w:r>
        <w:t>cost extension of activities to December 2013. As part of this process</w:t>
      </w:r>
      <w:r w:rsidR="00FC335C">
        <w:t>,</w:t>
      </w:r>
      <w:r>
        <w:t xml:space="preserve"> an independent </w:t>
      </w:r>
      <w:r w:rsidR="00A34668">
        <w:t xml:space="preserve">monitoring report </w:t>
      </w:r>
      <w:r>
        <w:t xml:space="preserve">was </w:t>
      </w:r>
      <w:r w:rsidR="00A34668">
        <w:t>written</w:t>
      </w:r>
      <w:r w:rsidR="00FC335C">
        <w:t xml:space="preserve"> and</w:t>
      </w:r>
      <w:r>
        <w:t xml:space="preserve"> is being finalised. The draft report recommends </w:t>
      </w:r>
      <w:r w:rsidR="00FC335C">
        <w:t>that the project’s</w:t>
      </w:r>
      <w:r>
        <w:t xml:space="preserve"> aims and implementation </w:t>
      </w:r>
      <w:r w:rsidR="00FC335C">
        <w:t xml:space="preserve">be refocused </w:t>
      </w:r>
      <w:r>
        <w:t>to improve final outcomes</w:t>
      </w:r>
      <w:r w:rsidR="005646C7">
        <w:t xml:space="preserve">. </w:t>
      </w:r>
      <w:r>
        <w:t xml:space="preserve"> </w:t>
      </w:r>
    </w:p>
    <w:p w:rsidR="00FC335C" w:rsidRPr="00D30700" w:rsidRDefault="00343AD1" w:rsidP="00D30700">
      <w:pPr>
        <w:pStyle w:val="BodyText"/>
        <w:rPr>
          <w:b/>
        </w:rPr>
      </w:pPr>
      <w:r w:rsidRPr="00D30700">
        <w:rPr>
          <w:b/>
        </w:rPr>
        <w:t>PREVENIR Phase II</w:t>
      </w:r>
    </w:p>
    <w:p w:rsidR="00343AD1" w:rsidRPr="007C7B3D" w:rsidRDefault="00343AD1" w:rsidP="00D275A7">
      <w:pPr>
        <w:pStyle w:val="BodyText"/>
      </w:pPr>
      <w:r>
        <w:t>In 2012</w:t>
      </w:r>
      <w:r w:rsidR="00FC335C">
        <w:t>,</w:t>
      </w:r>
      <w:r>
        <w:t xml:space="preserve"> Australia, Germany and</w:t>
      </w:r>
      <w:r w:rsidR="00FC335C">
        <w:t xml:space="preserve"> the Central American Integration System (</w:t>
      </w:r>
      <w:r>
        <w:t>SICA</w:t>
      </w:r>
      <w:r w:rsidR="00FC335C">
        <w:t>)</w:t>
      </w:r>
      <w:r>
        <w:t xml:space="preserve"> partnered to support the prevention of youth violence in </w:t>
      </w:r>
      <w:r w:rsidRPr="00446DC9">
        <w:t>El Salvador, Gu</w:t>
      </w:r>
      <w:r>
        <w:t>atemala, Honduras and Nicaragua.</w:t>
      </w:r>
      <w:r>
        <w:rPr>
          <w:rStyle w:val="FootnoteReference"/>
        </w:rPr>
        <w:footnoteReference w:id="23"/>
      </w:r>
      <w:r>
        <w:t xml:space="preserve"> The program is valued at $7 million over three</w:t>
      </w:r>
      <w:r w:rsidR="00151F50">
        <w:t xml:space="preserve"> </w:t>
      </w:r>
      <w:r>
        <w:t>years, of which Australia is contributing $1 </w:t>
      </w:r>
      <w:r w:rsidRPr="0056051B">
        <w:t>million</w:t>
      </w:r>
      <w:r>
        <w:t xml:space="preserve"> and </w:t>
      </w:r>
      <w:r w:rsidRPr="0056051B">
        <w:t>Germany</w:t>
      </w:r>
      <w:r>
        <w:t xml:space="preserve"> $6 million. GIZ is delivering the </w:t>
      </w:r>
      <w:r w:rsidR="00093DF4">
        <w:t xml:space="preserve">program </w:t>
      </w:r>
      <w:r>
        <w:t xml:space="preserve">through delegated cooperation. GIZ monitoring reports show that the program is meeting planned outputs. </w:t>
      </w:r>
      <w:r w:rsidR="00151F50">
        <w:t>It</w:t>
      </w:r>
      <w:r>
        <w:t xml:space="preserve"> has effectively established coalitions to drive the long and complex change processes needed to reduce youth violence. Satisfying expectations at this stage, the program has engaged 119 regional, national and local political leaders; exposed 502 youths to relevant job skills; and worked with school leaders to prepare a good-practice guide for preventi</w:t>
      </w:r>
      <w:r w:rsidR="00151F50">
        <w:t>ng</w:t>
      </w:r>
      <w:r>
        <w:t xml:space="preserve"> </w:t>
      </w:r>
      <w:r w:rsidRPr="007C7B3D">
        <w:t>violence in schools.</w:t>
      </w:r>
    </w:p>
    <w:p w:rsidR="00151F50" w:rsidRDefault="00343AD1" w:rsidP="00C3575E">
      <w:pPr>
        <w:pStyle w:val="BodyText"/>
        <w:rPr>
          <w:b/>
        </w:rPr>
      </w:pPr>
      <w:r>
        <w:rPr>
          <w:b/>
        </w:rPr>
        <w:t xml:space="preserve">Future </w:t>
      </w:r>
      <w:r w:rsidR="003C0DCE">
        <w:rPr>
          <w:b/>
        </w:rPr>
        <w:t>d</w:t>
      </w:r>
      <w:r>
        <w:rPr>
          <w:b/>
        </w:rPr>
        <w:t>irection</w:t>
      </w:r>
    </w:p>
    <w:p w:rsidR="00343AD1" w:rsidRPr="007C7B3D" w:rsidRDefault="00343AD1" w:rsidP="00C3575E">
      <w:pPr>
        <w:pStyle w:val="BodyText"/>
      </w:pPr>
      <w:r>
        <w:t>Consistent with the mid-term review</w:t>
      </w:r>
      <w:r w:rsidR="00151F50">
        <w:t>’s recommendations</w:t>
      </w:r>
      <w:r>
        <w:t xml:space="preserve">, greater focus on sustainable economic development, implemented by proven partners such as the IDB, will help </w:t>
      </w:r>
      <w:r w:rsidR="00151F50">
        <w:t xml:space="preserve">consolidate the </w:t>
      </w:r>
      <w:r>
        <w:t>program. S</w:t>
      </w:r>
      <w:r w:rsidRPr="00A368DC">
        <w:t xml:space="preserve">ustainable economic development work with </w:t>
      </w:r>
      <w:r>
        <w:t xml:space="preserve">the </w:t>
      </w:r>
      <w:r w:rsidRPr="00A368DC">
        <w:t xml:space="preserve">IDB provides a sound foundation for </w:t>
      </w:r>
      <w:r w:rsidR="00CC1509">
        <w:t>Australia’s</w:t>
      </w:r>
      <w:r w:rsidR="00151F50">
        <w:t xml:space="preserve"> </w:t>
      </w:r>
      <w:r>
        <w:t>ongoing engagement in the region</w:t>
      </w:r>
      <w:r w:rsidRPr="00A368DC">
        <w:t>.</w:t>
      </w:r>
      <w:r>
        <w:t xml:space="preserve"> The IDB is an efficient and effective partner</w:t>
      </w:r>
      <w:r>
        <w:rPr>
          <w:lang w:val="en-GB"/>
        </w:rPr>
        <w:t xml:space="preserve"> and in</w:t>
      </w:r>
      <w:r>
        <w:t xml:space="preserve"> 2013</w:t>
      </w:r>
      <w:r w:rsidR="003C0DCE">
        <w:t>–</w:t>
      </w:r>
      <w:r>
        <w:t xml:space="preserve">14 </w:t>
      </w:r>
      <w:r w:rsidRPr="007C7B3D">
        <w:t xml:space="preserve">Australia </w:t>
      </w:r>
      <w:r>
        <w:t>plans</w:t>
      </w:r>
      <w:r w:rsidRPr="007C7B3D">
        <w:t xml:space="preserve"> to work more with </w:t>
      </w:r>
      <w:r>
        <w:t xml:space="preserve">the </w:t>
      </w:r>
      <w:r w:rsidRPr="007C7B3D">
        <w:t>IDB in Latin Ameri</w:t>
      </w:r>
      <w:r>
        <w:t>ca, for example</w:t>
      </w:r>
      <w:r w:rsidRPr="007C7B3D">
        <w:t xml:space="preserve"> in the area of mining for development.</w:t>
      </w:r>
      <w:r>
        <w:t xml:space="preserve"> </w:t>
      </w:r>
      <w:r w:rsidR="00273224">
        <w:t xml:space="preserve">The department </w:t>
      </w:r>
      <w:r w:rsidR="00093DF4">
        <w:t>will develop a</w:t>
      </w:r>
      <w:r>
        <w:t xml:space="preserve"> program delivery strategy in sustainable economic development to help frame and determine program options</w:t>
      </w:r>
      <w:r w:rsidR="005646C7">
        <w:t xml:space="preserve">. </w:t>
      </w:r>
    </w:p>
    <w:p w:rsidR="00343AD1" w:rsidRDefault="00343AD1" w:rsidP="00545B85">
      <w:pPr>
        <w:pStyle w:val="Heading2"/>
      </w:pPr>
      <w:r w:rsidRPr="00545B85">
        <w:t xml:space="preserve">Objective 2: </w:t>
      </w:r>
      <w:r>
        <w:t>Support effective g</w:t>
      </w:r>
      <w:r w:rsidRPr="00545B85">
        <w:t>overnance</w:t>
      </w:r>
    </w:p>
    <w:p w:rsidR="00CC1509" w:rsidRDefault="00343AD1" w:rsidP="00D275A7">
      <w:pPr>
        <w:pStyle w:val="BodyText"/>
      </w:pPr>
      <w:r w:rsidRPr="00D275A7">
        <w:t>Australia supports effective governance in Latin America by helping improve public sector capacity to deliver better services, including security</w:t>
      </w:r>
      <w:r>
        <w:t xml:space="preserve"> (Central America)</w:t>
      </w:r>
      <w:r w:rsidRPr="00D275A7">
        <w:t xml:space="preserve"> and human rights</w:t>
      </w:r>
      <w:r w:rsidR="00CC1509">
        <w:t xml:space="preserve">; </w:t>
      </w:r>
      <w:r w:rsidR="00093DF4">
        <w:t xml:space="preserve">particularly as they relate to </w:t>
      </w:r>
      <w:r w:rsidR="00CC1509">
        <w:t>sustainable economic development</w:t>
      </w:r>
      <w:r w:rsidR="00093DF4">
        <w:t xml:space="preserve"> </w:t>
      </w:r>
      <w:r w:rsidR="00CC1509">
        <w:t>and reducing the humanitarian impac</w:t>
      </w:r>
      <w:r w:rsidR="00093DF4">
        <w:t>t</w:t>
      </w:r>
      <w:r w:rsidR="00CC1509">
        <w:t xml:space="preserve"> of natural disasters</w:t>
      </w:r>
      <w:r w:rsidRPr="00D275A7">
        <w:t xml:space="preserve">. </w:t>
      </w:r>
    </w:p>
    <w:p w:rsidR="00343AD1" w:rsidRDefault="00CC1509" w:rsidP="00D275A7">
      <w:pPr>
        <w:pStyle w:val="BodyText"/>
      </w:pPr>
      <w:r>
        <w:t>S</w:t>
      </w:r>
      <w:r w:rsidR="00343AD1" w:rsidRPr="00D275A7">
        <w:t>upport</w:t>
      </w:r>
      <w:r>
        <w:t xml:space="preserve"> </w:t>
      </w:r>
      <w:r w:rsidR="00093DF4">
        <w:t>in this focus</w:t>
      </w:r>
      <w:r>
        <w:t xml:space="preserve"> </w:t>
      </w:r>
      <w:r w:rsidR="00343AD1" w:rsidRPr="00D275A7">
        <w:t>area</w:t>
      </w:r>
      <w:r>
        <w:t xml:space="preserve"> is</w:t>
      </w:r>
      <w:r w:rsidR="00343AD1" w:rsidRPr="00D275A7">
        <w:t xml:space="preserve"> through </w:t>
      </w:r>
      <w:r w:rsidR="00945E01">
        <w:t>DFAT’s</w:t>
      </w:r>
      <w:r w:rsidR="00945E01" w:rsidRPr="00D275A7">
        <w:t xml:space="preserve"> </w:t>
      </w:r>
      <w:r w:rsidR="00343AD1" w:rsidRPr="00D275A7">
        <w:t>global programs</w:t>
      </w:r>
      <w:r>
        <w:t>,</w:t>
      </w:r>
      <w:r w:rsidR="00343AD1" w:rsidRPr="00D275A7">
        <w:t xml:space="preserve"> including the Public Sector Linkages Program</w:t>
      </w:r>
      <w:r w:rsidR="00343AD1">
        <w:t xml:space="preserve"> (PSLP)</w:t>
      </w:r>
      <w:r w:rsidR="00343AD1" w:rsidRPr="00D275A7">
        <w:t xml:space="preserve">; </w:t>
      </w:r>
      <w:r w:rsidR="00343AD1">
        <w:t xml:space="preserve">Australian Non-Government Organisation Cooperation Program </w:t>
      </w:r>
      <w:r w:rsidR="00343AD1">
        <w:lastRenderedPageBreak/>
        <w:t xml:space="preserve">(ANCP); </w:t>
      </w:r>
      <w:r w:rsidR="00343AD1" w:rsidRPr="00D275A7">
        <w:t xml:space="preserve">Human Rights Grants Scheme; Australia Awards (short and long-term scholarships and fellowships); and </w:t>
      </w:r>
      <w:r>
        <w:t>placing</w:t>
      </w:r>
      <w:r w:rsidR="00343AD1" w:rsidRPr="00D275A7">
        <w:t xml:space="preserve"> Australian volunteers.</w:t>
      </w:r>
      <w:r w:rsidR="00343AD1">
        <w:t xml:space="preserve"> </w:t>
      </w:r>
      <w:r w:rsidR="00093DF4">
        <w:t xml:space="preserve"> </w:t>
      </w:r>
      <w:r w:rsidR="005646C7">
        <w:t xml:space="preserve"> </w:t>
      </w:r>
      <w:r w:rsidR="00343AD1">
        <w:t xml:space="preserve"> </w:t>
      </w:r>
    </w:p>
    <w:p w:rsidR="00CC1509" w:rsidRDefault="00343AD1" w:rsidP="00D275A7">
      <w:pPr>
        <w:pStyle w:val="BodyText"/>
        <w:rPr>
          <w:b/>
        </w:rPr>
      </w:pPr>
      <w:r w:rsidRPr="00D275A7">
        <w:rPr>
          <w:b/>
        </w:rPr>
        <w:t>P</w:t>
      </w:r>
      <w:r w:rsidR="00CC1509">
        <w:rPr>
          <w:b/>
        </w:rPr>
        <w:t>ublic Sector Linkages Program</w:t>
      </w:r>
    </w:p>
    <w:p w:rsidR="00343AD1" w:rsidRDefault="00CC1509" w:rsidP="00D275A7">
      <w:pPr>
        <w:pStyle w:val="BodyText"/>
      </w:pPr>
      <w:r>
        <w:t xml:space="preserve">PSLP </w:t>
      </w:r>
      <w:r w:rsidR="00343AD1">
        <w:t>has supported 30 small projects in 16 Latin American countries to build capacity through people-to-people and institutional linkages, a</w:t>
      </w:r>
      <w:r w:rsidR="00440D23">
        <w:t>s well as</w:t>
      </w:r>
      <w:r w:rsidR="00343AD1">
        <w:t xml:space="preserve"> technical knowledge exchange and transfer. Of the 30 </w:t>
      </w:r>
      <w:r w:rsidR="00440D23">
        <w:t>small projects</w:t>
      </w:r>
      <w:r w:rsidR="00343AD1">
        <w:t xml:space="preserve">, 23 </w:t>
      </w:r>
      <w:r w:rsidR="00440D23">
        <w:t xml:space="preserve">started </w:t>
      </w:r>
      <w:r w:rsidR="00343AD1">
        <w:t xml:space="preserve">during this </w:t>
      </w:r>
      <w:r w:rsidR="00AE36EC">
        <w:t>APPR</w:t>
      </w:r>
      <w:r w:rsidR="00343AD1">
        <w:t>’s reporting period. PSLP has been an integral part of Australia’s commitment</w:t>
      </w:r>
      <w:r w:rsidR="00440D23">
        <w:t xml:space="preserve"> in Latin American</w:t>
      </w:r>
      <w:r w:rsidR="00343AD1">
        <w:t xml:space="preserve">, representing around </w:t>
      </w:r>
      <w:r w:rsidR="0051443E">
        <w:br/>
      </w:r>
      <w:r w:rsidR="00F73B72">
        <w:t xml:space="preserve">7 </w:t>
      </w:r>
      <w:r w:rsidR="00343AD1">
        <w:t xml:space="preserve">per cent ($6.6 million) of total financial commitment to the region. On average, PSLP </w:t>
      </w:r>
      <w:r w:rsidR="00440D23">
        <w:t xml:space="preserve">projects </w:t>
      </w:r>
      <w:r w:rsidR="00343AD1">
        <w:t>in Latin America have taken place over two</w:t>
      </w:r>
      <w:r w:rsidR="003C0DCE">
        <w:t xml:space="preserve"> </w:t>
      </w:r>
      <w:r w:rsidR="00343AD1">
        <w:t>year</w:t>
      </w:r>
      <w:r w:rsidR="00440D23">
        <w:t>s</w:t>
      </w:r>
      <w:r w:rsidR="00343AD1">
        <w:t xml:space="preserve"> and </w:t>
      </w:r>
      <w:r w:rsidR="00440D23">
        <w:t>cost around</w:t>
      </w:r>
      <w:r w:rsidR="00343AD1">
        <w:t xml:space="preserve"> $250 000 per </w:t>
      </w:r>
      <w:r w:rsidR="00440D23">
        <w:t xml:space="preserve">project, representing 70 per cent of overall PSLP funds. Partner countries and Australian counterparts contribute </w:t>
      </w:r>
      <w:r w:rsidR="00DD3BDB">
        <w:t xml:space="preserve">around 30 </w:t>
      </w:r>
      <w:r w:rsidR="00460244">
        <w:t xml:space="preserve">per cent </w:t>
      </w:r>
      <w:r w:rsidR="00DD3BDB">
        <w:t xml:space="preserve">of </w:t>
      </w:r>
      <w:r w:rsidR="00440D23">
        <w:t>funds and in-kind support.</w:t>
      </w:r>
      <w:r w:rsidR="00343AD1">
        <w:t xml:space="preserve"> The final PSLP round took place in 2012 and no additional activities will </w:t>
      </w:r>
      <w:r w:rsidR="00440D23">
        <w:t xml:space="preserve">start </w:t>
      </w:r>
      <w:r w:rsidR="00343AD1">
        <w:t>after 2012</w:t>
      </w:r>
      <w:r w:rsidR="003C0DCE">
        <w:t>–</w:t>
      </w:r>
      <w:r w:rsidR="00343AD1">
        <w:t xml:space="preserve">13. </w:t>
      </w:r>
      <w:r w:rsidR="00440D23">
        <w:t>M</w:t>
      </w:r>
      <w:r w:rsidR="00343AD1">
        <w:t xml:space="preserve">any PSLP projects are under implementation and the last </w:t>
      </w:r>
      <w:r w:rsidR="00440D23">
        <w:t xml:space="preserve">one </w:t>
      </w:r>
      <w:r w:rsidR="00343AD1">
        <w:t>is scheduled to end in May 2015.</w:t>
      </w:r>
    </w:p>
    <w:p w:rsidR="00343AD1" w:rsidRDefault="00343AD1" w:rsidP="00D275A7">
      <w:pPr>
        <w:pStyle w:val="BodyText"/>
      </w:pPr>
      <w:r>
        <w:t xml:space="preserve">The mid-term review found PSLP to be a highly valued, responsive, flexible and effective </w:t>
      </w:r>
      <w:r w:rsidR="00440D23">
        <w:t>way of delivering aid</w:t>
      </w:r>
      <w:r>
        <w:t xml:space="preserve">, particularly in developing new relationships and demonstrating Australia’s technical capacity (an area of comparative advantage) relevant to the region. Most activities reviewed showed effective delivery of outputs. For example, the National Institute of Statistics in Peru changed how it will ask questions of </w:t>
      </w:r>
      <w:r w:rsidR="00460244">
        <w:t>i</w:t>
      </w:r>
      <w:r>
        <w:t xml:space="preserve">ndigenous people in the forthcoming census and demographic and health surveys. Similarly, </w:t>
      </w:r>
      <w:r w:rsidR="00440D23">
        <w:t xml:space="preserve">the Australian Department of Immigration and Citizenship </w:t>
      </w:r>
      <w:r>
        <w:t xml:space="preserve">and </w:t>
      </w:r>
      <w:r w:rsidR="006A7E5F">
        <w:t xml:space="preserve">its </w:t>
      </w:r>
      <w:r>
        <w:t xml:space="preserve">PSLP counterparts in Argentina and Peru changed the way they manage immigration documents. </w:t>
      </w:r>
      <w:r w:rsidR="006A7E5F">
        <w:t>T</w:t>
      </w:r>
      <w:r>
        <w:t>he Mexican Water Commission now uses statistical hydrological methods to forecast water security and inform planning</w:t>
      </w:r>
      <w:r w:rsidR="005646C7">
        <w:t xml:space="preserve">. </w:t>
      </w:r>
    </w:p>
    <w:p w:rsidR="00CC1509" w:rsidRDefault="006A7E5F" w:rsidP="00D275A7">
      <w:pPr>
        <w:pStyle w:val="BodyText"/>
        <w:rPr>
          <w:b/>
        </w:rPr>
      </w:pPr>
      <w:r w:rsidRPr="00812D7B">
        <w:rPr>
          <w:b/>
        </w:rPr>
        <w:t>Australian Non-Government Organisation Cooperation Program</w:t>
      </w:r>
      <w:r w:rsidR="00343AD1" w:rsidRPr="00EC467F">
        <w:rPr>
          <w:b/>
        </w:rPr>
        <w:t xml:space="preserve"> </w:t>
      </w:r>
      <w:r w:rsidR="00343AD1">
        <w:rPr>
          <w:b/>
        </w:rPr>
        <w:t>and</w:t>
      </w:r>
      <w:r w:rsidR="00CC1509">
        <w:rPr>
          <w:b/>
        </w:rPr>
        <w:t xml:space="preserve"> </w:t>
      </w:r>
      <w:r w:rsidR="00CC1509" w:rsidRPr="00DD3BDB">
        <w:rPr>
          <w:b/>
        </w:rPr>
        <w:t>Human Rights Grants Scheme</w:t>
      </w:r>
    </w:p>
    <w:p w:rsidR="006A7E5F" w:rsidRDefault="006A7E5F" w:rsidP="00D275A7">
      <w:pPr>
        <w:pStyle w:val="BodyText"/>
      </w:pPr>
      <w:r>
        <w:t xml:space="preserve">The </w:t>
      </w:r>
      <w:r w:rsidR="00343AD1">
        <w:t xml:space="preserve">ANCP played an important role contributing to the inception phase of the program, with 22 ANCP projects ($4.8 million of ODA attributed to ANCP) in six countries supported by </w:t>
      </w:r>
      <w:r w:rsidR="00945E01">
        <w:t xml:space="preserve">Australian Government </w:t>
      </w:r>
      <w:r w:rsidR="00343AD1">
        <w:t xml:space="preserve">funds (five projects </w:t>
      </w:r>
      <w:r>
        <w:t xml:space="preserve">started </w:t>
      </w:r>
      <w:r w:rsidR="00343AD1">
        <w:t xml:space="preserve">during the reporting period). The program mid-term review found that results reported in </w:t>
      </w:r>
      <w:r>
        <w:t>non-government organisation</w:t>
      </w:r>
      <w:r w:rsidR="00343AD1">
        <w:t xml:space="preserve"> monitoring records demonstrate effectiveness and value for money.</w:t>
      </w:r>
      <w:r w:rsidR="00343AD1">
        <w:rPr>
          <w:rStyle w:val="FootnoteReference"/>
        </w:rPr>
        <w:footnoteReference w:id="24"/>
      </w:r>
      <w:r w:rsidR="00343AD1">
        <w:t xml:space="preserve"> </w:t>
      </w:r>
    </w:p>
    <w:p w:rsidR="00343AD1" w:rsidRDefault="00343AD1" w:rsidP="00D275A7">
      <w:pPr>
        <w:pStyle w:val="BodyText"/>
      </w:pPr>
      <w:r>
        <w:t>Since 2010</w:t>
      </w:r>
      <w:r w:rsidR="006A7E5F">
        <w:t>—under the Human Rights Grants Scheme—</w:t>
      </w:r>
      <w:r w:rsidRPr="00AB6472">
        <w:t xml:space="preserve">Australia has supported 14 human rights institutions and </w:t>
      </w:r>
      <w:r w:rsidR="006A7E5F">
        <w:t>non-government organisations</w:t>
      </w:r>
      <w:r w:rsidRPr="00AB6472">
        <w:t xml:space="preserve"> to enhance human rights in nine Latin American countries</w:t>
      </w:r>
      <w:r>
        <w:t>.</w:t>
      </w:r>
    </w:p>
    <w:p w:rsidR="00CC1509" w:rsidRDefault="00343AD1" w:rsidP="00D275A7">
      <w:pPr>
        <w:pStyle w:val="BodyText"/>
        <w:rPr>
          <w:b/>
        </w:rPr>
      </w:pPr>
      <w:r w:rsidRPr="00D275A7">
        <w:rPr>
          <w:b/>
        </w:rPr>
        <w:t xml:space="preserve">Australia </w:t>
      </w:r>
      <w:r w:rsidR="00DD3BDB">
        <w:rPr>
          <w:b/>
        </w:rPr>
        <w:t>A</w:t>
      </w:r>
      <w:r w:rsidRPr="00D275A7">
        <w:rPr>
          <w:b/>
        </w:rPr>
        <w:t>wards</w:t>
      </w:r>
      <w:r>
        <w:rPr>
          <w:b/>
        </w:rPr>
        <w:t xml:space="preserve"> (</w:t>
      </w:r>
      <w:r w:rsidR="003C0DCE">
        <w:rPr>
          <w:b/>
        </w:rPr>
        <w:t>s</w:t>
      </w:r>
      <w:r>
        <w:rPr>
          <w:b/>
        </w:rPr>
        <w:t xml:space="preserve">cholarships and </w:t>
      </w:r>
      <w:r w:rsidR="003C0DCE">
        <w:rPr>
          <w:b/>
        </w:rPr>
        <w:t>f</w:t>
      </w:r>
      <w:r>
        <w:rPr>
          <w:b/>
        </w:rPr>
        <w:t>ellowships)</w:t>
      </w:r>
    </w:p>
    <w:p w:rsidR="00343AD1" w:rsidRDefault="00343AD1" w:rsidP="00D275A7">
      <w:pPr>
        <w:pStyle w:val="BodyText"/>
      </w:pPr>
      <w:r>
        <w:t>Australia Awards are highly regarded in Latin America. Australia is on</w:t>
      </w:r>
      <w:r w:rsidR="006A7E5F">
        <w:t xml:space="preserve"> </w:t>
      </w:r>
      <w:r>
        <w:t>track to meet its commitment of providing 250 scholarships to Latin America over four</w:t>
      </w:r>
      <w:r w:rsidR="006A7E5F">
        <w:t xml:space="preserve"> </w:t>
      </w:r>
      <w:r>
        <w:t>years, with 100 targeted to Central America.</w:t>
      </w:r>
      <w:r>
        <w:rPr>
          <w:rStyle w:val="FootnoteReference"/>
        </w:rPr>
        <w:footnoteReference w:id="25"/>
      </w:r>
      <w:r>
        <w:t xml:space="preserve"> Australia Awards in the region are targeted to support the </w:t>
      </w:r>
      <w:r w:rsidR="006A7E5F">
        <w:t xml:space="preserve">program’s </w:t>
      </w:r>
      <w:r>
        <w:t>three strategic focus areas</w:t>
      </w:r>
      <w:r w:rsidR="006A7E5F">
        <w:t>—</w:t>
      </w:r>
      <w:r>
        <w:t xml:space="preserve">sustainable economic development, effective governance and humanitarian and disaster response. To date 154 scholarships and 119 fellowships have been provided to people from 15 Latin American countries for study in Australia, with half of recipients women. To meet </w:t>
      </w:r>
      <w:r w:rsidR="006A7E5F">
        <w:t xml:space="preserve">Australia’s overall </w:t>
      </w:r>
      <w:r>
        <w:t xml:space="preserve">commitment, in 2013 </w:t>
      </w:r>
      <w:r>
        <w:lastRenderedPageBreak/>
        <w:t xml:space="preserve">around 96 new scholarships will be offered to Latin Americans to </w:t>
      </w:r>
      <w:r w:rsidR="006A7E5F">
        <w:t xml:space="preserve">begin </w:t>
      </w:r>
      <w:r>
        <w:t xml:space="preserve">studies in 2014. Australia Awards were slow to start in Central America, resulting in the program recently adapting its approach and </w:t>
      </w:r>
      <w:r w:rsidR="002D5DD1">
        <w:t>st</w:t>
      </w:r>
      <w:r w:rsidR="0051443E">
        <w:t>ar</w:t>
      </w:r>
      <w:r w:rsidR="002D5DD1">
        <w:t>ting to</w:t>
      </w:r>
      <w:r>
        <w:t xml:space="preserve"> trial vocational education and training scholarships to selected Central American countries.</w:t>
      </w:r>
    </w:p>
    <w:p w:rsidR="002D5DD1" w:rsidRDefault="00343AD1" w:rsidP="00D275A7">
      <w:pPr>
        <w:pStyle w:val="BodyText"/>
      </w:pPr>
      <w:r>
        <w:t xml:space="preserve">The mid-term review found that </w:t>
      </w:r>
      <w:r w:rsidRPr="00802C2D">
        <w:t xml:space="preserve">it is too early to substantially assess </w:t>
      </w:r>
      <w:r>
        <w:t xml:space="preserve">the development </w:t>
      </w:r>
      <w:r w:rsidRPr="00802C2D">
        <w:t>effectiveness of Australia Awards</w:t>
      </w:r>
      <w:r w:rsidR="002D5DD1">
        <w:t>, but</w:t>
      </w:r>
      <w:r>
        <w:t xml:space="preserve"> early signs are promising with several returned graduate scholars already making a difference. The review confirmed that promotion of Australia Awards has been effective (</w:t>
      </w:r>
      <w:r w:rsidR="002D5DD1">
        <w:t>for example,</w:t>
      </w:r>
      <w:r w:rsidR="005646C7">
        <w:t xml:space="preserve"> </w:t>
      </w:r>
      <w:r>
        <w:t xml:space="preserve">in 2012 the Latin America scholarships website received 107 176 unique visitors and </w:t>
      </w:r>
      <w:r w:rsidR="002D5DD1">
        <w:t xml:space="preserve">more than </w:t>
      </w:r>
      <w:r>
        <w:t xml:space="preserve">700 applications, compared to 226 applications in 2011). </w:t>
      </w:r>
      <w:r w:rsidR="002D5DD1">
        <w:t>F</w:t>
      </w:r>
      <w:r>
        <w:t xml:space="preserve">uture focus needs to be on improved targeting and efficient management of a small program rather than </w:t>
      </w:r>
      <w:r w:rsidR="002D5DD1">
        <w:t xml:space="preserve">more </w:t>
      </w:r>
      <w:r>
        <w:t xml:space="preserve">promotion. A program design plan </w:t>
      </w:r>
      <w:r w:rsidR="002D5DD1">
        <w:t>was</w:t>
      </w:r>
      <w:r>
        <w:t xml:space="preserve"> approved</w:t>
      </w:r>
      <w:r w:rsidR="002D5DD1">
        <w:t xml:space="preserve"> by Australia for the future management of Australia Awards in the region, taking into account the lessons learned durin</w:t>
      </w:r>
      <w:r w:rsidR="0051443E">
        <w:t>g</w:t>
      </w:r>
      <w:r w:rsidR="002D5DD1">
        <w:t xml:space="preserve"> the program’s mid-term review. Procurement for the actual design will take place in 2013.</w:t>
      </w:r>
    </w:p>
    <w:p w:rsidR="00343AD1" w:rsidRDefault="00343AD1" w:rsidP="00802C2D">
      <w:pPr>
        <w:pStyle w:val="BodyText"/>
      </w:pPr>
      <w:r w:rsidRPr="00D275A7">
        <w:rPr>
          <w:b/>
        </w:rPr>
        <w:t>Australian Volunteers</w:t>
      </w:r>
      <w:r>
        <w:rPr>
          <w:b/>
        </w:rPr>
        <w:t xml:space="preserve"> in Development</w:t>
      </w:r>
      <w:r>
        <w:t>: The previous APPR</w:t>
      </w:r>
      <w:r w:rsidR="00AE36EC">
        <w:rPr>
          <w:rStyle w:val="FootnoteReference"/>
        </w:rPr>
        <w:footnoteReference w:id="26"/>
      </w:r>
      <w:r>
        <w:t xml:space="preserve"> identified that progress in placing volunteers in Latin America was behind </w:t>
      </w:r>
      <w:r w:rsidR="00634CDA">
        <w:t>schedule</w:t>
      </w:r>
      <w:r>
        <w:t>, and the recent mid-term review confirmed that Australia is unlikely to meet its target of providing 40 volunteers to the region by June 2014. To date 14 volunteers have been placed in Peru</w:t>
      </w:r>
      <w:r w:rsidR="00634CDA">
        <w:t>—with assignments between 12 and 18 months in duration. Nine are u</w:t>
      </w:r>
      <w:r>
        <w:t>nder preparation for placement in 2013</w:t>
      </w:r>
      <w:r>
        <w:noBreakHyphen/>
        <w:t xml:space="preserve">14. Of the 14 placed, </w:t>
      </w:r>
      <w:r w:rsidR="0051443E">
        <w:t xml:space="preserve">7 </w:t>
      </w:r>
      <w:r>
        <w:t>were women</w:t>
      </w:r>
      <w:r w:rsidR="00634CDA">
        <w:t>,</w:t>
      </w:r>
      <w:r>
        <w:t xml:space="preserve"> </w:t>
      </w:r>
      <w:r w:rsidR="0051443E">
        <w:t xml:space="preserve">3 </w:t>
      </w:r>
      <w:r>
        <w:t>have completed their placements</w:t>
      </w:r>
      <w:r w:rsidR="00634CDA">
        <w:t xml:space="preserve">, </w:t>
      </w:r>
      <w:proofErr w:type="gramStart"/>
      <w:r w:rsidR="0051443E">
        <w:t>9</w:t>
      </w:r>
      <w:proofErr w:type="gramEnd"/>
      <w:r w:rsidR="0051443E">
        <w:t xml:space="preserve"> </w:t>
      </w:r>
      <w:r>
        <w:t xml:space="preserve">worked in Lima and </w:t>
      </w:r>
      <w:r w:rsidR="0051443E">
        <w:t xml:space="preserve">5 </w:t>
      </w:r>
      <w:r>
        <w:t xml:space="preserve">in the regions. </w:t>
      </w:r>
    </w:p>
    <w:p w:rsidR="00343AD1" w:rsidRDefault="00343AD1" w:rsidP="00802C2D">
      <w:pPr>
        <w:pStyle w:val="BodyText"/>
      </w:pPr>
      <w:r>
        <w:t>The program mid-term review confirmed early signs of effectiveness from volunteer assignments</w:t>
      </w:r>
      <w:r w:rsidR="00634CDA">
        <w:t>. F</w:t>
      </w:r>
      <w:r>
        <w:t>or example</w:t>
      </w:r>
      <w:r w:rsidR="00634CDA">
        <w:t>,</w:t>
      </w:r>
      <w:r>
        <w:t xml:space="preserve"> the CARE Peru volunteer improved the development of high</w:t>
      </w:r>
      <w:r w:rsidR="00634CDA">
        <w:t>-</w:t>
      </w:r>
      <w:r>
        <w:t xml:space="preserve">quality </w:t>
      </w:r>
      <w:r w:rsidR="00634CDA">
        <w:t>corporate s</w:t>
      </w:r>
      <w:r>
        <w:t xml:space="preserve">ocial </w:t>
      </w:r>
      <w:r w:rsidR="00634CDA">
        <w:t>r</w:t>
      </w:r>
      <w:r>
        <w:t xml:space="preserve">esponsibility programs with identified private companies </w:t>
      </w:r>
      <w:r w:rsidR="00634CDA">
        <w:t xml:space="preserve">that </w:t>
      </w:r>
      <w:r>
        <w:t xml:space="preserve">completed the CARE due diligence process. </w:t>
      </w:r>
    </w:p>
    <w:p w:rsidR="00343AD1" w:rsidRDefault="00343AD1" w:rsidP="00D275A7">
      <w:pPr>
        <w:pStyle w:val="BodyText"/>
        <w:rPr>
          <w:szCs w:val="22"/>
        </w:rPr>
      </w:pPr>
      <w:r>
        <w:t xml:space="preserve">Engagement with other </w:t>
      </w:r>
      <w:r w:rsidR="00A63A1D">
        <w:t xml:space="preserve">Latin America </w:t>
      </w:r>
      <w:r>
        <w:t>countries has been complex because of Australian consular needs and host-country preference for a treaty agreement to underpin volunteer placements.</w:t>
      </w:r>
      <w:r>
        <w:rPr>
          <w:rStyle w:val="FootnoteReference"/>
        </w:rPr>
        <w:footnoteReference w:id="27"/>
      </w:r>
      <w:r>
        <w:t xml:space="preserve"> </w:t>
      </w:r>
      <w:r w:rsidR="00B3648C">
        <w:t xml:space="preserve">Australia </w:t>
      </w:r>
      <w:r>
        <w:t xml:space="preserve">and the implementing partner, </w:t>
      </w:r>
      <w:proofErr w:type="spellStart"/>
      <w:r>
        <w:t>Austraining</w:t>
      </w:r>
      <w:proofErr w:type="spellEnd"/>
      <w:r>
        <w:t xml:space="preserve"> International, have met to discuss p</w:t>
      </w:r>
      <w:r w:rsidRPr="00CA7F43">
        <w:t xml:space="preserve">rogress </w:t>
      </w:r>
      <w:r>
        <w:t xml:space="preserve">and determined that the </w:t>
      </w:r>
      <w:r w:rsidR="00EC5A24">
        <w:t xml:space="preserve">ambitious </w:t>
      </w:r>
      <w:r>
        <w:t xml:space="preserve">targets may need to be reconsidered. </w:t>
      </w:r>
      <w:r>
        <w:rPr>
          <w:szCs w:val="22"/>
        </w:rPr>
        <w:t xml:space="preserve">Consistent with the mid-term review recommendation to consolidate the Latin America program and noting the difficulties experienced in establishing volunteer agreements in the region, </w:t>
      </w:r>
      <w:r w:rsidR="00945E01">
        <w:rPr>
          <w:szCs w:val="22"/>
        </w:rPr>
        <w:t xml:space="preserve">the department </w:t>
      </w:r>
      <w:r>
        <w:rPr>
          <w:szCs w:val="22"/>
        </w:rPr>
        <w:t>will review the program beyond 2013</w:t>
      </w:r>
      <w:r w:rsidR="003C0DCE">
        <w:rPr>
          <w:szCs w:val="22"/>
        </w:rPr>
        <w:t>–</w:t>
      </w:r>
      <w:r>
        <w:rPr>
          <w:szCs w:val="22"/>
        </w:rPr>
        <w:t>14 as part of the management response to the review.</w:t>
      </w:r>
    </w:p>
    <w:p w:rsidR="00EC5A24" w:rsidRDefault="00343AD1" w:rsidP="003317A1">
      <w:pPr>
        <w:pStyle w:val="BodyText"/>
        <w:rPr>
          <w:b/>
          <w:szCs w:val="22"/>
        </w:rPr>
      </w:pPr>
      <w:r w:rsidRPr="003317A1">
        <w:rPr>
          <w:b/>
          <w:szCs w:val="22"/>
        </w:rPr>
        <w:t xml:space="preserve">Future </w:t>
      </w:r>
      <w:r w:rsidR="00EC5A24">
        <w:rPr>
          <w:b/>
          <w:szCs w:val="22"/>
        </w:rPr>
        <w:t>d</w:t>
      </w:r>
      <w:r w:rsidRPr="003317A1">
        <w:rPr>
          <w:b/>
          <w:szCs w:val="22"/>
        </w:rPr>
        <w:t>irection</w:t>
      </w:r>
    </w:p>
    <w:p w:rsidR="00343AD1" w:rsidRPr="003317A1" w:rsidRDefault="00343AD1" w:rsidP="003317A1">
      <w:pPr>
        <w:pStyle w:val="BodyText"/>
        <w:rPr>
          <w:szCs w:val="22"/>
        </w:rPr>
      </w:pPr>
      <w:r w:rsidRPr="003317A1">
        <w:rPr>
          <w:szCs w:val="22"/>
        </w:rPr>
        <w:t xml:space="preserve">Technical and </w:t>
      </w:r>
      <w:r>
        <w:rPr>
          <w:szCs w:val="22"/>
        </w:rPr>
        <w:t xml:space="preserve">economic </w:t>
      </w:r>
      <w:r w:rsidRPr="003317A1">
        <w:rPr>
          <w:szCs w:val="22"/>
        </w:rPr>
        <w:t>governance capacity building remain key need</w:t>
      </w:r>
      <w:r>
        <w:rPr>
          <w:szCs w:val="22"/>
        </w:rPr>
        <w:t>s</w:t>
      </w:r>
      <w:r w:rsidRPr="003317A1">
        <w:rPr>
          <w:szCs w:val="22"/>
        </w:rPr>
        <w:t xml:space="preserve"> across Latin America</w:t>
      </w:r>
      <w:r w:rsidR="00EC5A24">
        <w:rPr>
          <w:szCs w:val="22"/>
        </w:rPr>
        <w:t>,</w:t>
      </w:r>
      <w:r w:rsidRPr="003317A1">
        <w:rPr>
          <w:szCs w:val="22"/>
        </w:rPr>
        <w:t xml:space="preserve"> to</w:t>
      </w:r>
      <w:r w:rsidR="00EC5A24">
        <w:rPr>
          <w:szCs w:val="22"/>
        </w:rPr>
        <w:t xml:space="preserve"> assist countries</w:t>
      </w:r>
      <w:r w:rsidRPr="003317A1">
        <w:rPr>
          <w:szCs w:val="22"/>
        </w:rPr>
        <w:t xml:space="preserve"> manage and sustain economic growth and development. Consistent with the recommendations of t</w:t>
      </w:r>
      <w:r>
        <w:rPr>
          <w:szCs w:val="22"/>
        </w:rPr>
        <w:t>he program mid-</w:t>
      </w:r>
      <w:bookmarkStart w:id="1" w:name="_GoBack"/>
      <w:bookmarkEnd w:id="1"/>
      <w:r>
        <w:rPr>
          <w:szCs w:val="22"/>
        </w:rPr>
        <w:t xml:space="preserve">term review, </w:t>
      </w:r>
      <w:r w:rsidR="004C48C3">
        <w:rPr>
          <w:szCs w:val="22"/>
        </w:rPr>
        <w:t xml:space="preserve">the department </w:t>
      </w:r>
      <w:r>
        <w:rPr>
          <w:szCs w:val="22"/>
        </w:rPr>
        <w:t>will</w:t>
      </w:r>
      <w:r w:rsidR="00EC5A24">
        <w:rPr>
          <w:szCs w:val="22"/>
        </w:rPr>
        <w:t>, in 2013–14,</w:t>
      </w:r>
      <w:r>
        <w:rPr>
          <w:szCs w:val="22"/>
        </w:rPr>
        <w:t xml:space="preserve"> consider options </w:t>
      </w:r>
      <w:r w:rsidR="00EC5A24">
        <w:rPr>
          <w:szCs w:val="22"/>
        </w:rPr>
        <w:t>to</w:t>
      </w:r>
      <w:r>
        <w:rPr>
          <w:szCs w:val="22"/>
        </w:rPr>
        <w:t xml:space="preserve"> develop a regional partnerships facility to </w:t>
      </w:r>
      <w:r w:rsidR="00EC5A24">
        <w:rPr>
          <w:szCs w:val="22"/>
        </w:rPr>
        <w:t xml:space="preserve">establish </w:t>
      </w:r>
      <w:r>
        <w:rPr>
          <w:szCs w:val="22"/>
        </w:rPr>
        <w:t>linkages (</w:t>
      </w:r>
      <w:r w:rsidR="00EC5A24">
        <w:rPr>
          <w:szCs w:val="22"/>
        </w:rPr>
        <w:t>for example, with</w:t>
      </w:r>
      <w:r>
        <w:rPr>
          <w:szCs w:val="22"/>
        </w:rPr>
        <w:t xml:space="preserve"> people, organisation</w:t>
      </w:r>
      <w:r w:rsidR="00EC5A24">
        <w:rPr>
          <w:szCs w:val="22"/>
        </w:rPr>
        <w:t>s</w:t>
      </w:r>
      <w:r>
        <w:rPr>
          <w:szCs w:val="22"/>
        </w:rPr>
        <w:t xml:space="preserve"> and institution</w:t>
      </w:r>
      <w:r w:rsidR="00EC5A24">
        <w:rPr>
          <w:szCs w:val="22"/>
        </w:rPr>
        <w:t>s</w:t>
      </w:r>
      <w:r>
        <w:rPr>
          <w:szCs w:val="22"/>
        </w:rPr>
        <w:t>) a</w:t>
      </w:r>
      <w:r w:rsidR="00EC5A24">
        <w:rPr>
          <w:szCs w:val="22"/>
        </w:rPr>
        <w:t>nd build</w:t>
      </w:r>
      <w:r>
        <w:rPr>
          <w:szCs w:val="22"/>
        </w:rPr>
        <w:t xml:space="preserve"> technical and economic governance capacity development.</w:t>
      </w:r>
    </w:p>
    <w:p w:rsidR="00343AD1" w:rsidRDefault="00343AD1" w:rsidP="00545B85">
      <w:pPr>
        <w:pStyle w:val="Heading2"/>
      </w:pPr>
      <w:r>
        <w:t xml:space="preserve">Objective 3: </w:t>
      </w:r>
      <w:r w:rsidRPr="00310B86">
        <w:t>Reduce the humanitarian impact of natural disasters</w:t>
      </w:r>
    </w:p>
    <w:p w:rsidR="00343AD1" w:rsidRDefault="00343AD1" w:rsidP="0013017A">
      <w:pPr>
        <w:pStyle w:val="BodyText"/>
      </w:pPr>
      <w:r w:rsidRPr="00D275A7">
        <w:t xml:space="preserve">Australia </w:t>
      </w:r>
      <w:r>
        <w:t xml:space="preserve">reduces </w:t>
      </w:r>
      <w:r w:rsidRPr="002C7811">
        <w:t>the humanitarian impact of natural disasters in Latin America by helping develop more</w:t>
      </w:r>
      <w:r w:rsidRPr="00F849EF">
        <w:t xml:space="preserve"> effective preparedness </w:t>
      </w:r>
      <w:r>
        <w:t xml:space="preserve">for </w:t>
      </w:r>
      <w:r w:rsidRPr="00F849EF">
        <w:t>and</w:t>
      </w:r>
      <w:r>
        <w:t xml:space="preserve">, when necessary, </w:t>
      </w:r>
      <w:r w:rsidRPr="00006436">
        <w:t>responding</w:t>
      </w:r>
      <w:r w:rsidRPr="00006436" w:rsidDel="00006436">
        <w:t xml:space="preserve"> </w:t>
      </w:r>
      <w:r>
        <w:t>to natural disasters and crises, including providing food assistance. For example</w:t>
      </w:r>
      <w:r w:rsidRPr="00B33734">
        <w:t>, Australia supports</w:t>
      </w:r>
      <w:r w:rsidR="00282BF0">
        <w:t xml:space="preserve"> Latin </w:t>
      </w:r>
      <w:r w:rsidR="00282BF0">
        <w:lastRenderedPageBreak/>
        <w:t>American</w:t>
      </w:r>
      <w:r w:rsidRPr="00B33734">
        <w:t xml:space="preserve"> countries to pre-position food stocks for humanitarian relief following natural disasters.</w:t>
      </w:r>
      <w:r>
        <w:t xml:space="preserve"> </w:t>
      </w:r>
    </w:p>
    <w:p w:rsidR="00343AD1" w:rsidRDefault="00343AD1" w:rsidP="0013017A">
      <w:pPr>
        <w:pStyle w:val="BodyText"/>
      </w:pPr>
      <w:r>
        <w:t>In February 2012</w:t>
      </w:r>
      <w:r w:rsidR="00282BF0">
        <w:t>,</w:t>
      </w:r>
      <w:r>
        <w:t xml:space="preserve"> Australia and Brazil delivered trilateral support to El Salvador by pre-positioning 745 metric tonnes of rice </w:t>
      </w:r>
      <w:r w:rsidR="00282BF0">
        <w:t>in response to emergency food security needs triggered by Tropical Depression 12 (TD-12) of October 2011</w:t>
      </w:r>
      <w:r>
        <w:t>. Working through</w:t>
      </w:r>
      <w:r w:rsidR="00282BF0">
        <w:t xml:space="preserve"> the</w:t>
      </w:r>
      <w:r>
        <w:t xml:space="preserve"> WFP, Brazil provided the </w:t>
      </w:r>
      <w:r w:rsidR="00282BF0">
        <w:t xml:space="preserve">food stocks </w:t>
      </w:r>
      <w:r>
        <w:t xml:space="preserve">and Australia direct and indirect support </w:t>
      </w:r>
      <w:r w:rsidR="00282BF0">
        <w:t xml:space="preserve">delivery </w:t>
      </w:r>
      <w:r>
        <w:t>costs. WFP monitoring reports and case studies show</w:t>
      </w:r>
      <w:r w:rsidR="00282BF0">
        <w:t>ed</w:t>
      </w:r>
      <w:r>
        <w:t xml:space="preserve"> that in 2012 Australian support to TD-12 ($0.9 million) assisted more than 165</w:t>
      </w:r>
      <w:r w:rsidR="00282BF0">
        <w:t xml:space="preserve"> </w:t>
      </w:r>
      <w:r>
        <w:t>000 people affected by</w:t>
      </w:r>
      <w:r w:rsidR="00282BF0">
        <w:t xml:space="preserve"> the</w:t>
      </w:r>
      <w:r>
        <w:t xml:space="preserve"> flooding. Trilateral cooperation</w:t>
      </w:r>
      <w:r w:rsidR="00282BF0">
        <w:t xml:space="preserve"> was</w:t>
      </w:r>
      <w:r>
        <w:t xml:space="preserve"> efficient as Australian cash contributions leverage</w:t>
      </w:r>
      <w:r w:rsidR="00282BF0">
        <w:t>d</w:t>
      </w:r>
      <w:r>
        <w:t xml:space="preserve"> Brazilian commodity contributions and WFP regional storage and distribution networks.</w:t>
      </w:r>
    </w:p>
    <w:p w:rsidR="00343AD1" w:rsidRDefault="00343AD1" w:rsidP="00D513AC">
      <w:pPr>
        <w:pStyle w:val="BodyText"/>
      </w:pPr>
      <w:r w:rsidRPr="00C90369">
        <w:t xml:space="preserve">The Latin America program is also contributing </w:t>
      </w:r>
      <w:r>
        <w:t>funds (</w:t>
      </w:r>
      <w:r w:rsidRPr="00C90369">
        <w:t>$750</w:t>
      </w:r>
      <w:r>
        <w:t xml:space="preserve"> </w:t>
      </w:r>
      <w:r w:rsidRPr="00C90369">
        <w:t>000</w:t>
      </w:r>
      <w:r>
        <w:t>)</w:t>
      </w:r>
      <w:r w:rsidRPr="00C90369">
        <w:t xml:space="preserve"> to improved capacities for planning and manag</w:t>
      </w:r>
      <w:r w:rsidR="00EB696F">
        <w:t>ing</w:t>
      </w:r>
      <w:r w:rsidRPr="00C90369">
        <w:t xml:space="preserve"> natural disasters in Central America through the UN’s International Strategy for Disaster Reduction.</w:t>
      </w:r>
      <w:r w:rsidRPr="00D513AC">
        <w:rPr>
          <w:rStyle w:val="FootnoteReference"/>
        </w:rPr>
        <w:footnoteReference w:id="28"/>
      </w:r>
      <w:r>
        <w:t xml:space="preserve"> This support </w:t>
      </w:r>
      <w:r w:rsidR="00EB696F">
        <w:t xml:space="preserve">started </w:t>
      </w:r>
      <w:r>
        <w:t>in February 2013 and benefits</w:t>
      </w:r>
      <w:r w:rsidRPr="0064205D">
        <w:t xml:space="preserve"> Costa Rica, El Salvador, Guatemala, Honduras, Nicaragua and Panama</w:t>
      </w:r>
      <w:r w:rsidR="005646C7">
        <w:t xml:space="preserve">. </w:t>
      </w:r>
    </w:p>
    <w:p w:rsidR="00343AD1" w:rsidRPr="0090702D" w:rsidRDefault="00343AD1" w:rsidP="00D513AC">
      <w:pPr>
        <w:pStyle w:val="BodyText"/>
        <w:rPr>
          <w:rFonts w:ascii="Franklin Gothic Demi" w:hAnsi="Franklin Gothic Demi" w:cs="Arial"/>
          <w:color w:val="AD495D"/>
          <w:kern w:val="28"/>
          <w:sz w:val="24"/>
          <w:szCs w:val="28"/>
        </w:rPr>
      </w:pPr>
      <w:r w:rsidRPr="0090702D">
        <w:rPr>
          <w:rFonts w:ascii="Franklin Gothic Demi" w:hAnsi="Franklin Gothic Demi" w:cs="Arial"/>
          <w:color w:val="AD495D"/>
          <w:kern w:val="28"/>
          <w:sz w:val="24"/>
          <w:szCs w:val="28"/>
        </w:rPr>
        <w:t xml:space="preserve">Quality at </w:t>
      </w:r>
      <w:r w:rsidR="003C0DCE">
        <w:rPr>
          <w:rFonts w:ascii="Franklin Gothic Demi" w:hAnsi="Franklin Gothic Demi" w:cs="Arial"/>
          <w:color w:val="AD495D"/>
          <w:kern w:val="28"/>
          <w:sz w:val="24"/>
          <w:szCs w:val="28"/>
        </w:rPr>
        <w:t>i</w:t>
      </w:r>
      <w:r w:rsidRPr="0090702D">
        <w:rPr>
          <w:rFonts w:ascii="Franklin Gothic Demi" w:hAnsi="Franklin Gothic Demi" w:cs="Arial"/>
          <w:color w:val="AD495D"/>
          <w:kern w:val="28"/>
          <w:sz w:val="24"/>
          <w:szCs w:val="28"/>
        </w:rPr>
        <w:t>mplementation ratings</w:t>
      </w:r>
    </w:p>
    <w:p w:rsidR="00343AD1" w:rsidRDefault="00343AD1" w:rsidP="0013017A">
      <w:pPr>
        <w:pStyle w:val="BodyText"/>
      </w:pPr>
      <w:r>
        <w:t xml:space="preserve">A comparative summary of QAI ratings for this </w:t>
      </w:r>
      <w:r w:rsidR="00AE36EC">
        <w:t>APPR</w:t>
      </w:r>
      <w:r w:rsidR="00EB696F">
        <w:t xml:space="preserve"> </w:t>
      </w:r>
      <w:r>
        <w:t xml:space="preserve">reporting period and the previous </w:t>
      </w:r>
      <w:r w:rsidR="00EB696F">
        <w:t>one</w:t>
      </w:r>
      <w:r>
        <w:t xml:space="preserve"> is at Annex B. The</w:t>
      </w:r>
      <w:r w:rsidR="00EB696F">
        <w:t xml:space="preserve"> most</w:t>
      </w:r>
      <w:r>
        <w:t xml:space="preserve"> recent quality ratings</w:t>
      </w:r>
      <w:r w:rsidR="008E2B26">
        <w:t xml:space="preserve"> for the Latin America program</w:t>
      </w:r>
      <w:r>
        <w:t xml:space="preserve"> remained relatively consistent compared to the previous </w:t>
      </w:r>
      <w:r w:rsidR="00EB696F">
        <w:t>ones</w:t>
      </w:r>
      <w:r>
        <w:t xml:space="preserve"> and they continue to reflect the steady and expected implementation of initiatives within a new </w:t>
      </w:r>
      <w:r w:rsidR="00A96917">
        <w:t xml:space="preserve">regional </w:t>
      </w:r>
      <w:r>
        <w:t xml:space="preserve">program. The lower monitoring and evaluation scores for Australia Awards and PSLP correlate with areas for performance management identified </w:t>
      </w:r>
      <w:r w:rsidR="008E2B26">
        <w:t xml:space="preserve">earlier in this report </w:t>
      </w:r>
      <w:r>
        <w:t>(</w:t>
      </w:r>
      <w:r w:rsidR="008E2B26">
        <w:t>P</w:t>
      </w:r>
      <w:r>
        <w:t xml:space="preserve">rogress against objectives). The remedies </w:t>
      </w:r>
      <w:r w:rsidR="00E45DBB">
        <w:t xml:space="preserve">the department </w:t>
      </w:r>
      <w:r>
        <w:t xml:space="preserve">and implementing partners need to take are also reflected </w:t>
      </w:r>
      <w:r w:rsidR="008E2B26">
        <w:t>earlier</w:t>
      </w:r>
      <w:r>
        <w:t xml:space="preserve">. The drop in the IDB-MIF efficiency rating relates to slow disbursement. However, remedial actions and ongoing monitoring by the IDB and </w:t>
      </w:r>
      <w:r w:rsidR="00EC4623">
        <w:t xml:space="preserve">DFAT </w:t>
      </w:r>
      <w:r>
        <w:t xml:space="preserve">program manager </w:t>
      </w:r>
      <w:r w:rsidR="008E2B26">
        <w:t>are underway</w:t>
      </w:r>
      <w:r>
        <w:t xml:space="preserve">. The high ranking of effectiveness for Australia Awards reflects that the program is on track according to its original design and that </w:t>
      </w:r>
      <w:r w:rsidR="008E2B26">
        <w:t xml:space="preserve">it </w:t>
      </w:r>
      <w:r>
        <w:t xml:space="preserve">will meet </w:t>
      </w:r>
      <w:r w:rsidR="008E2B26">
        <w:t xml:space="preserve">its </w:t>
      </w:r>
      <w:r>
        <w:t>commitment to provide 250 awards by June 2014.</w:t>
      </w:r>
      <w:r>
        <w:rPr>
          <w:rStyle w:val="FootnoteReference"/>
        </w:rPr>
        <w:footnoteReference w:id="29"/>
      </w:r>
      <w:r>
        <w:t xml:space="preserve"> </w:t>
      </w:r>
    </w:p>
    <w:p w:rsidR="008E2B26" w:rsidRDefault="00343AD1" w:rsidP="0013017A">
      <w:pPr>
        <w:pStyle w:val="BodyText"/>
      </w:pPr>
      <w:r>
        <w:t xml:space="preserve">Analysis of the QAI ratings and </w:t>
      </w:r>
      <w:r w:rsidR="008E2B26">
        <w:t xml:space="preserve">associated </w:t>
      </w:r>
      <w:r>
        <w:t>comments show the</w:t>
      </w:r>
      <w:r w:rsidR="008E2B26">
        <w:t xml:space="preserve"> Latin America</w:t>
      </w:r>
      <w:r>
        <w:t xml:space="preserve"> program is making greater use of QAI reports as a management tool. In line with the mid-term review</w:t>
      </w:r>
      <w:r w:rsidR="008E2B26">
        <w:t>’s</w:t>
      </w:r>
      <w:r>
        <w:t xml:space="preserve"> suggestions to mitigate risks, the program will conduct</w:t>
      </w:r>
      <w:r w:rsidR="008E2B26">
        <w:t>:</w:t>
      </w:r>
    </w:p>
    <w:p w:rsidR="008E2B26" w:rsidRDefault="00343AD1" w:rsidP="0064621D">
      <w:pPr>
        <w:pStyle w:val="ListBullet"/>
      </w:pPr>
      <w:r>
        <w:t xml:space="preserve">a QAI </w:t>
      </w:r>
      <w:r w:rsidRPr="00B32D86">
        <w:t>cluster report on trilateral cooperation activities</w:t>
      </w:r>
      <w:r>
        <w:t xml:space="preserve"> with Brazil and Chile</w:t>
      </w:r>
    </w:p>
    <w:p w:rsidR="0064621D" w:rsidRDefault="00343AD1" w:rsidP="0064621D">
      <w:pPr>
        <w:pStyle w:val="ListBullet"/>
      </w:pPr>
      <w:r w:rsidRPr="000972C5">
        <w:t xml:space="preserve">QAI reports on activities below $3 million, which are not politically contentious, where the activities are </w:t>
      </w:r>
      <w:r>
        <w:t>thought</w:t>
      </w:r>
      <w:r w:rsidRPr="000972C5">
        <w:t xml:space="preserve"> to require closer attention</w:t>
      </w:r>
    </w:p>
    <w:p w:rsidR="00343AD1" w:rsidRDefault="00343AD1" w:rsidP="0064621D">
      <w:pPr>
        <w:pStyle w:val="ListBullet"/>
      </w:pPr>
      <w:r w:rsidRPr="000972C5">
        <w:t xml:space="preserve">Three </w:t>
      </w:r>
      <w:r w:rsidR="008E2B26">
        <w:t>activity-</w:t>
      </w:r>
      <w:r w:rsidRPr="000972C5">
        <w:t>level evaluations</w:t>
      </w:r>
      <w:r>
        <w:t xml:space="preserve"> are</w:t>
      </w:r>
      <w:r w:rsidRPr="003625FC">
        <w:t xml:space="preserve"> planned</w:t>
      </w:r>
      <w:r>
        <w:t xml:space="preserve"> for 2013</w:t>
      </w:r>
      <w:r w:rsidR="003C0DCE">
        <w:t>–</w:t>
      </w:r>
      <w:r>
        <w:t>14 (Annex C)</w:t>
      </w:r>
      <w:r w:rsidR="008E2B26">
        <w:t>, which</w:t>
      </w:r>
      <w:r>
        <w:t xml:space="preserve"> will be important in informing future direction.</w:t>
      </w:r>
    </w:p>
    <w:p w:rsidR="00343AD1" w:rsidRPr="00100AA2" w:rsidRDefault="00343AD1" w:rsidP="00217E5E">
      <w:pPr>
        <w:pStyle w:val="BodyText"/>
      </w:pPr>
      <w:r>
        <w:t>The mid-term review and other quality processes</w:t>
      </w:r>
      <w:r w:rsidR="008E2B26">
        <w:t xml:space="preserve"> conducted during the reporting period</w:t>
      </w:r>
      <w:r w:rsidRPr="003625FC">
        <w:t xml:space="preserve"> </w:t>
      </w:r>
      <w:r>
        <w:t xml:space="preserve">identified the need for further strategic program </w:t>
      </w:r>
      <w:r w:rsidR="00885C5A">
        <w:t>development</w:t>
      </w:r>
      <w:r>
        <w:t xml:space="preserve">. </w:t>
      </w:r>
      <w:r w:rsidR="00B77697">
        <w:t xml:space="preserve">Further </w:t>
      </w:r>
      <w:r w:rsidR="00885C5A">
        <w:t xml:space="preserve">work on </w:t>
      </w:r>
      <w:proofErr w:type="gramStart"/>
      <w:r w:rsidR="00885C5A">
        <w:t xml:space="preserve">the </w:t>
      </w:r>
      <w:r w:rsidR="00B77697">
        <w:t xml:space="preserve"> program</w:t>
      </w:r>
      <w:proofErr w:type="gramEnd"/>
      <w:r w:rsidR="00B77697">
        <w:t xml:space="preserve"> architecture </w:t>
      </w:r>
      <w:r>
        <w:t>will reflect the mid-term review recommendations for consolidation and a refined and strategic targeting of investments.</w:t>
      </w:r>
    </w:p>
    <w:p w:rsidR="00343AD1" w:rsidRPr="00180B19" w:rsidRDefault="00343AD1" w:rsidP="00021A9E">
      <w:pPr>
        <w:pStyle w:val="Heading1"/>
      </w:pPr>
      <w:r w:rsidRPr="00180B19">
        <w:lastRenderedPageBreak/>
        <w:t xml:space="preserve">Management </w:t>
      </w:r>
      <w:r w:rsidR="003C0DCE">
        <w:t>c</w:t>
      </w:r>
      <w:r w:rsidRPr="00180B19">
        <w:t>onsequences</w:t>
      </w:r>
    </w:p>
    <w:p w:rsidR="008E2B26" w:rsidRDefault="00343AD1" w:rsidP="004E7CE7">
      <w:pPr>
        <w:pStyle w:val="BodyText"/>
      </w:pPr>
      <w:r>
        <w:t>From January 2012 to June 2013</w:t>
      </w:r>
      <w:r w:rsidR="008E2B26">
        <w:t>,</w:t>
      </w:r>
      <w:r>
        <w:t xml:space="preserve"> the Latin America program made good progress in addressing the previous year’s APPR management consequences (Annex A). In July 2013</w:t>
      </w:r>
      <w:r w:rsidR="008E2B26">
        <w:t>,</w:t>
      </w:r>
      <w:r>
        <w:t xml:space="preserve"> </w:t>
      </w:r>
      <w:proofErr w:type="gramStart"/>
      <w:r>
        <w:t>a</w:t>
      </w:r>
      <w:r w:rsidR="002D6A1B">
        <w:t xml:space="preserve"> </w:t>
      </w:r>
      <w:r>
        <w:t xml:space="preserve"> </w:t>
      </w:r>
      <w:r w:rsidR="008E2B26">
        <w:t>m</w:t>
      </w:r>
      <w:r>
        <w:t>anagement</w:t>
      </w:r>
      <w:proofErr w:type="gramEnd"/>
      <w:r>
        <w:t xml:space="preserve"> </w:t>
      </w:r>
      <w:r w:rsidR="008E2B26">
        <w:t>r</w:t>
      </w:r>
      <w:r>
        <w:t>esponse to the mid-term review will be developed, which will also incorporate the management response</w:t>
      </w:r>
      <w:r w:rsidR="00D903FF">
        <w:t>s</w:t>
      </w:r>
      <w:r>
        <w:t xml:space="preserve"> and actions outlined in this </w:t>
      </w:r>
      <w:r w:rsidR="00AE36EC">
        <w:t>APPR</w:t>
      </w:r>
      <w:r>
        <w:t>. Table 3 summar</w:t>
      </w:r>
      <w:r w:rsidR="008E2B26">
        <w:t>ises</w:t>
      </w:r>
      <w:r>
        <w:t xml:space="preserve"> program risks requir</w:t>
      </w:r>
      <w:r w:rsidR="008E2B26">
        <w:t>ing</w:t>
      </w:r>
      <w:r>
        <w:t xml:space="preserve"> management in the next 12</w:t>
      </w:r>
      <w:r w:rsidR="008E2B26">
        <w:t xml:space="preserve"> </w:t>
      </w:r>
      <w:r>
        <w:t>months</w:t>
      </w:r>
      <w:r w:rsidR="008E2B26">
        <w:t>.</w:t>
      </w:r>
    </w:p>
    <w:p w:rsidR="00343AD1" w:rsidRDefault="008E2B26" w:rsidP="004E7CE7">
      <w:pPr>
        <w:pStyle w:val="BodyText"/>
      </w:pPr>
      <w:r>
        <w:t xml:space="preserve">This </w:t>
      </w:r>
      <w:r w:rsidR="00245311">
        <w:t>is a</w:t>
      </w:r>
      <w:r w:rsidR="00343AD1">
        <w:t xml:space="preserve"> summary of</w:t>
      </w:r>
      <w:r w:rsidR="00343AD1" w:rsidRPr="00100AA2">
        <w:t xml:space="preserve"> </w:t>
      </w:r>
      <w:r w:rsidR="00343AD1">
        <w:t xml:space="preserve">key management </w:t>
      </w:r>
      <w:r w:rsidR="00343AD1" w:rsidRPr="00100AA2">
        <w:t>challenges</w:t>
      </w:r>
      <w:r>
        <w:t xml:space="preserve"> for the Latin America program</w:t>
      </w:r>
      <w:r w:rsidR="00343AD1">
        <w:t>.</w:t>
      </w:r>
    </w:p>
    <w:p w:rsidR="00343AD1" w:rsidRPr="00E30986" w:rsidRDefault="00343AD1" w:rsidP="00D30700">
      <w:pPr>
        <w:pStyle w:val="ListBullet"/>
      </w:pPr>
      <w:r w:rsidRPr="00B77697">
        <w:rPr>
          <w:b/>
        </w:rPr>
        <w:t>Strategic program architecture:</w:t>
      </w:r>
      <w:r w:rsidRPr="00E30986">
        <w:t xml:space="preserve"> </w:t>
      </w:r>
      <w:r>
        <w:t xml:space="preserve">All </w:t>
      </w:r>
      <w:r w:rsidRPr="0030450E">
        <w:t xml:space="preserve">program architecture </w:t>
      </w:r>
      <w:r>
        <w:t xml:space="preserve">will be updated </w:t>
      </w:r>
      <w:r w:rsidR="00B77697">
        <w:t>to reflect the mid-term review recommendations for consolidation and a refined and strategic targeting of investments</w:t>
      </w:r>
      <w:r w:rsidRPr="0030450E">
        <w:t xml:space="preserve">. </w:t>
      </w:r>
      <w:r w:rsidRPr="00B77697">
        <w:rPr>
          <w:b/>
        </w:rPr>
        <w:t xml:space="preserve">Strategic implications from the </w:t>
      </w:r>
      <w:r w:rsidR="008E2B26" w:rsidRPr="00B77697">
        <w:rPr>
          <w:b/>
        </w:rPr>
        <w:t>mid-term review</w:t>
      </w:r>
      <w:r w:rsidRPr="00B77697">
        <w:rPr>
          <w:b/>
        </w:rPr>
        <w:t>:</w:t>
      </w:r>
      <w:r w:rsidRPr="00E30986">
        <w:t xml:space="preserve"> </w:t>
      </w:r>
      <w:r w:rsidR="00B77697">
        <w:t xml:space="preserve">Consistent with recommendations of the </w:t>
      </w:r>
      <w:proofErr w:type="spellStart"/>
      <w:r w:rsidR="00B77697">
        <w:t>mid term</w:t>
      </w:r>
      <w:proofErr w:type="spellEnd"/>
      <w:r w:rsidR="00B77697">
        <w:t xml:space="preserve"> review, c</w:t>
      </w:r>
      <w:r w:rsidR="00D903FF">
        <w:t>onsolidation</w:t>
      </w:r>
      <w:r>
        <w:t xml:space="preserve"> of the </w:t>
      </w:r>
      <w:r w:rsidRPr="00E30986">
        <w:t>program objectives</w:t>
      </w:r>
      <w:r>
        <w:t xml:space="preserve"> will likely include </w:t>
      </w:r>
      <w:r w:rsidRPr="00D8691F">
        <w:t xml:space="preserve">a focused portfolio of activities </w:t>
      </w:r>
      <w:r>
        <w:t>centred</w:t>
      </w:r>
      <w:r w:rsidRPr="00D8691F">
        <w:t xml:space="preserve"> on </w:t>
      </w:r>
      <w:r>
        <w:t>the poorer</w:t>
      </w:r>
      <w:r w:rsidRPr="00D8691F">
        <w:t xml:space="preserve"> countries</w:t>
      </w:r>
      <w:r w:rsidR="00D903FF">
        <w:t xml:space="preserve"> of Latin America</w:t>
      </w:r>
      <w:r w:rsidRPr="00D8691F">
        <w:t xml:space="preserve">, one regional </w:t>
      </w:r>
      <w:r>
        <w:t>objective</w:t>
      </w:r>
      <w:r w:rsidRPr="00D8691F">
        <w:t xml:space="preserve"> and </w:t>
      </w:r>
      <w:r>
        <w:t>one</w:t>
      </w:r>
      <w:r w:rsidRPr="00D8691F">
        <w:t xml:space="preserve"> core delivery partner.</w:t>
      </w:r>
      <w:r>
        <w:t xml:space="preserve"> Program consolidation will </w:t>
      </w:r>
      <w:r w:rsidR="00D903FF">
        <w:t>start with</w:t>
      </w:r>
      <w:r>
        <w:t xml:space="preserve"> the </w:t>
      </w:r>
      <w:r w:rsidRPr="00E30986">
        <w:t xml:space="preserve">completion of small activities </w:t>
      </w:r>
      <w:r>
        <w:t>already scheduled to conclude in 2013</w:t>
      </w:r>
      <w:r w:rsidR="003C0DCE">
        <w:t>–</w:t>
      </w:r>
      <w:r>
        <w:t>14</w:t>
      </w:r>
      <w:r w:rsidRPr="00B77697">
        <w:rPr>
          <w:i/>
        </w:rPr>
        <w:t xml:space="preserve">. </w:t>
      </w:r>
      <w:r w:rsidR="00D903FF">
        <w:t>C</w:t>
      </w:r>
      <w:r>
        <w:t xml:space="preserve">urrent initiatives and activities </w:t>
      </w:r>
      <w:r w:rsidR="00D903FF">
        <w:t xml:space="preserve">are not intended to </w:t>
      </w:r>
      <w:r>
        <w:t xml:space="preserve">be closed ahead of </w:t>
      </w:r>
      <w:r w:rsidR="00D903FF">
        <w:t>schedule</w:t>
      </w:r>
      <w:r>
        <w:t>.</w:t>
      </w:r>
    </w:p>
    <w:p w:rsidR="00343AD1" w:rsidRPr="00E30986" w:rsidRDefault="00343AD1" w:rsidP="00D30700">
      <w:pPr>
        <w:pStyle w:val="ListBullet"/>
      </w:pPr>
      <w:r w:rsidRPr="00E30986">
        <w:rPr>
          <w:b/>
        </w:rPr>
        <w:t>Performance and results</w:t>
      </w:r>
      <w:r>
        <w:rPr>
          <w:b/>
        </w:rPr>
        <w:t>:</w:t>
      </w:r>
      <w:r w:rsidRPr="00E30986">
        <w:t xml:space="preserve"> </w:t>
      </w:r>
      <w:r w:rsidR="00D903FF">
        <w:t>Focus will be on s</w:t>
      </w:r>
      <w:r w:rsidRPr="00E30986">
        <w:t>ystematis</w:t>
      </w:r>
      <w:r>
        <w:t>ed</w:t>
      </w:r>
      <w:r w:rsidRPr="00E30986">
        <w:t xml:space="preserve"> performance reporting</w:t>
      </w:r>
      <w:r>
        <w:t xml:space="preserve"> in the next 12 months. This will initially be achieved through the development of a short and targeted performance assessment framework, which will guide monitoring and reporting to measure progress against current strategic focus areas. </w:t>
      </w:r>
    </w:p>
    <w:p w:rsidR="00343AD1" w:rsidRDefault="00343AD1" w:rsidP="00D30700">
      <w:pPr>
        <w:pStyle w:val="ListBullet"/>
      </w:pPr>
      <w:r>
        <w:rPr>
          <w:b/>
        </w:rPr>
        <w:t>Key initiative-</w:t>
      </w:r>
      <w:r w:rsidRPr="00E30986">
        <w:rPr>
          <w:b/>
        </w:rPr>
        <w:t>level priorities:</w:t>
      </w:r>
      <w:r>
        <w:t> </w:t>
      </w:r>
      <w:r w:rsidR="00D903FF">
        <w:t>M</w:t>
      </w:r>
      <w:r>
        <w:t xml:space="preserve">anagement consequences for initiatives and activities will be detailed in full in </w:t>
      </w:r>
      <w:r w:rsidR="00804EFD">
        <w:t xml:space="preserve">DFAT’s </w:t>
      </w:r>
      <w:r>
        <w:t xml:space="preserve">management response to the mid-term review. The following is an overview of initiative-level priorities identified in this </w:t>
      </w:r>
      <w:r w:rsidR="00AE36EC">
        <w:t>APPR</w:t>
      </w:r>
      <w:r>
        <w:t>:</w:t>
      </w:r>
    </w:p>
    <w:p w:rsidR="00343AD1" w:rsidRDefault="00D903FF" w:rsidP="00D30700">
      <w:pPr>
        <w:pStyle w:val="ListBullet2"/>
      </w:pPr>
      <w:r>
        <w:rPr>
          <w:b/>
        </w:rPr>
        <w:t>V</w:t>
      </w:r>
      <w:r w:rsidR="00343AD1" w:rsidRPr="008D17DC">
        <w:rPr>
          <w:b/>
        </w:rPr>
        <w:t>olunteer</w:t>
      </w:r>
      <w:r w:rsidR="00343AD1">
        <w:t xml:space="preserve"> </w:t>
      </w:r>
      <w:r w:rsidR="00343AD1" w:rsidRPr="008D17DC">
        <w:rPr>
          <w:b/>
        </w:rPr>
        <w:t>activity</w:t>
      </w:r>
      <w:r>
        <w:t>—</w:t>
      </w:r>
      <w:r w:rsidR="00343AD1">
        <w:t xml:space="preserve">requires closer management and consideration whether Australian targets are appropriate and how </w:t>
      </w:r>
      <w:r>
        <w:t xml:space="preserve">they </w:t>
      </w:r>
      <w:r w:rsidR="00343AD1">
        <w:t xml:space="preserve">will be met. </w:t>
      </w:r>
    </w:p>
    <w:p w:rsidR="00343AD1" w:rsidRDefault="00D903FF" w:rsidP="00D30700">
      <w:pPr>
        <w:pStyle w:val="ListBullet2"/>
      </w:pPr>
      <w:r>
        <w:rPr>
          <w:b/>
        </w:rPr>
        <w:t>P</w:t>
      </w:r>
      <w:r w:rsidR="00343AD1" w:rsidRPr="008D17DC">
        <w:rPr>
          <w:b/>
        </w:rPr>
        <w:t>artnership with the IDB</w:t>
      </w:r>
      <w:r>
        <w:t>—</w:t>
      </w:r>
      <w:r w:rsidR="00343AD1">
        <w:t xml:space="preserve"> is strong and in 2013</w:t>
      </w:r>
      <w:r w:rsidR="003C0DCE">
        <w:t>–</w:t>
      </w:r>
      <w:r w:rsidR="00343AD1">
        <w:t xml:space="preserve">14 will benefit further from increased dialogue on SALTA and the MIF, particularly </w:t>
      </w:r>
      <w:r>
        <w:t>on</w:t>
      </w:r>
      <w:r w:rsidR="0051443E">
        <w:t xml:space="preserve"> </w:t>
      </w:r>
      <w:r w:rsidR="00343AD1">
        <w:t xml:space="preserve">fund disbursement. Consistent with </w:t>
      </w:r>
      <w:r w:rsidR="00E42885">
        <w:t>Australia’s</w:t>
      </w:r>
      <w:r w:rsidR="00E51704">
        <w:t xml:space="preserve"> </w:t>
      </w:r>
      <w:r w:rsidR="00343AD1">
        <w:t>intention to engage more closely</w:t>
      </w:r>
      <w:r>
        <w:t xml:space="preserve"> with the IDB</w:t>
      </w:r>
      <w:r w:rsidR="00343AD1">
        <w:t xml:space="preserve">, </w:t>
      </w:r>
      <w:r>
        <w:t xml:space="preserve">a formal </w:t>
      </w:r>
      <w:r w:rsidR="00343AD1">
        <w:t xml:space="preserve">annual dialogue will </w:t>
      </w:r>
      <w:r>
        <w:t xml:space="preserve">take place </w:t>
      </w:r>
      <w:r w:rsidR="00343AD1">
        <w:t>in August 2013</w:t>
      </w:r>
      <w:r>
        <w:t>. Also,</w:t>
      </w:r>
      <w:r w:rsidR="00343AD1">
        <w:t xml:space="preserve"> </w:t>
      </w:r>
      <w:r w:rsidR="00E42885">
        <w:t xml:space="preserve">the department </w:t>
      </w:r>
      <w:r w:rsidR="00343AD1">
        <w:t>plans to join</w:t>
      </w:r>
      <w:r w:rsidR="00343AD1">
        <w:rPr>
          <w:rFonts w:hint="eastAsia"/>
        </w:rPr>
        <w:t xml:space="preserve"> </w:t>
      </w:r>
      <w:r w:rsidR="00343AD1">
        <w:t xml:space="preserve">IDB </w:t>
      </w:r>
      <w:r w:rsidR="00343AD1">
        <w:rPr>
          <w:rFonts w:hint="eastAsia"/>
        </w:rPr>
        <w:t>regional Advisory Committees</w:t>
      </w:r>
      <w:r w:rsidR="00343AD1">
        <w:t xml:space="preserve"> </w:t>
      </w:r>
      <w:r w:rsidR="00E660B5">
        <w:t xml:space="preserve">responsible for </w:t>
      </w:r>
      <w:r w:rsidR="00343AD1">
        <w:t>trust fund activities</w:t>
      </w:r>
      <w:r w:rsidR="00343AD1">
        <w:rPr>
          <w:rFonts w:hint="eastAsia"/>
        </w:rPr>
        <w:t>.</w:t>
      </w:r>
      <w:r w:rsidR="00343AD1">
        <w:rPr>
          <w:rStyle w:val="FootnoteReference"/>
        </w:rPr>
        <w:footnoteReference w:id="30"/>
      </w:r>
      <w:r w:rsidR="00343AD1">
        <w:rPr>
          <w:rFonts w:hint="eastAsia"/>
        </w:rPr>
        <w:t xml:space="preserve"> </w:t>
      </w:r>
      <w:r w:rsidR="00804EFD">
        <w:t xml:space="preserve">DFAT </w:t>
      </w:r>
      <w:r>
        <w:t>will f</w:t>
      </w:r>
      <w:r w:rsidR="00343AD1">
        <w:t xml:space="preserve">urther consider potential areas for future engagement with the IDB in the areas of </w:t>
      </w:r>
      <w:r w:rsidR="00343AD1" w:rsidRPr="00264FD6">
        <w:t xml:space="preserve">micro-finance, micro-enterprise, financial inclusion </w:t>
      </w:r>
      <w:r w:rsidR="00343AD1">
        <w:t xml:space="preserve">(particularly </w:t>
      </w:r>
      <w:r w:rsidR="00343AD1" w:rsidRPr="00264FD6">
        <w:t>for women entrepreneurs</w:t>
      </w:r>
      <w:r w:rsidR="00343AD1">
        <w:t>)</w:t>
      </w:r>
      <w:r w:rsidR="00343AD1" w:rsidRPr="00264FD6">
        <w:t xml:space="preserve"> and inclusive local economic development through mining activities</w:t>
      </w:r>
      <w:r w:rsidR="00343AD1">
        <w:t xml:space="preserve">. </w:t>
      </w:r>
    </w:p>
    <w:p w:rsidR="00FC726F" w:rsidRPr="00EB2DB5" w:rsidRDefault="00343AD1" w:rsidP="00557953">
      <w:pPr>
        <w:pStyle w:val="ListBullet2"/>
        <w:spacing w:after="200" w:line="276" w:lineRule="auto"/>
        <w:rPr>
          <w:rFonts w:ascii="Arial" w:hAnsi="Arial" w:cs="Arial"/>
          <w:color w:val="7E6D5F"/>
          <w:szCs w:val="19"/>
        </w:rPr>
      </w:pPr>
      <w:r w:rsidRPr="00EB2DB5">
        <w:rPr>
          <w:b/>
        </w:rPr>
        <w:t>Australia Awards and a new Partnerships Facility</w:t>
      </w:r>
      <w:r w:rsidR="00D903FF">
        <w:t>—</w:t>
      </w:r>
      <w:r w:rsidR="00EB2DB5" w:rsidRPr="00EB2DB5">
        <w:rPr>
          <w:szCs w:val="22"/>
        </w:rPr>
        <w:t xml:space="preserve"> </w:t>
      </w:r>
      <w:r w:rsidR="00EB2DB5">
        <w:t>The</w:t>
      </w:r>
      <w:r w:rsidR="00B77697" w:rsidRPr="00EB2DB5">
        <w:rPr>
          <w:szCs w:val="22"/>
        </w:rPr>
        <w:t xml:space="preserve"> department will consider options</w:t>
      </w:r>
      <w:r w:rsidR="00EB2DB5" w:rsidRPr="00EB2DB5">
        <w:rPr>
          <w:szCs w:val="22"/>
        </w:rPr>
        <w:t xml:space="preserve"> for </w:t>
      </w:r>
      <w:r w:rsidR="00EB2DB5">
        <w:rPr>
          <w:szCs w:val="22"/>
        </w:rPr>
        <w:t xml:space="preserve">the </w:t>
      </w:r>
      <w:r w:rsidR="00B77697" w:rsidRPr="00EB2DB5">
        <w:rPr>
          <w:szCs w:val="22"/>
        </w:rPr>
        <w:t xml:space="preserve">Australia Awards program in Latin America (and the Caribbean) beyond the current </w:t>
      </w:r>
      <w:r w:rsidR="00EB2DB5" w:rsidRPr="00EB2DB5">
        <w:rPr>
          <w:szCs w:val="22"/>
        </w:rPr>
        <w:t>commitment</w:t>
      </w:r>
      <w:r w:rsidR="00EB2DB5">
        <w:rPr>
          <w:szCs w:val="22"/>
        </w:rPr>
        <w:t xml:space="preserve"> and</w:t>
      </w:r>
      <w:r w:rsidR="00EB2DB5" w:rsidRPr="00EB2DB5">
        <w:rPr>
          <w:szCs w:val="22"/>
        </w:rPr>
        <w:t xml:space="preserve"> consider </w:t>
      </w:r>
      <w:r w:rsidR="00B77697" w:rsidRPr="00EB2DB5">
        <w:rPr>
          <w:szCs w:val="22"/>
        </w:rPr>
        <w:t>opportunities to develop a regional partnerships facility</w:t>
      </w:r>
      <w:r w:rsidR="00EB2DB5" w:rsidRPr="00EB2DB5">
        <w:rPr>
          <w:szCs w:val="22"/>
        </w:rPr>
        <w:t xml:space="preserve"> </w:t>
      </w:r>
      <w:r w:rsidR="00B77697" w:rsidRPr="00EB2DB5">
        <w:rPr>
          <w:szCs w:val="22"/>
        </w:rPr>
        <w:t xml:space="preserve"> to </w:t>
      </w:r>
      <w:r w:rsidR="00EB2DB5" w:rsidRPr="00EB2DB5">
        <w:rPr>
          <w:szCs w:val="22"/>
        </w:rPr>
        <w:t xml:space="preserve">increase </w:t>
      </w:r>
      <w:r w:rsidR="00B77697" w:rsidRPr="00EB2DB5">
        <w:rPr>
          <w:szCs w:val="22"/>
        </w:rPr>
        <w:t xml:space="preserve"> linkages</w:t>
      </w:r>
      <w:r w:rsidR="00EB2DB5" w:rsidRPr="00EB2DB5">
        <w:rPr>
          <w:szCs w:val="22"/>
        </w:rPr>
        <w:t xml:space="preserve"> between Australia and Latin America </w:t>
      </w:r>
      <w:r w:rsidR="00B77697" w:rsidRPr="00EB2DB5">
        <w:rPr>
          <w:szCs w:val="22"/>
        </w:rPr>
        <w:t xml:space="preserve"> (for example, with people, organisations and institutions) and build technical and economic governance capacity development.</w:t>
      </w:r>
      <w:r>
        <w:t xml:space="preserve"> </w:t>
      </w:r>
      <w:r w:rsidR="00FC726F">
        <w:br w:type="page"/>
      </w:r>
    </w:p>
    <w:p w:rsidR="00343AD1" w:rsidRDefault="00343AD1" w:rsidP="00BE65E4">
      <w:pPr>
        <w:pStyle w:val="Caption"/>
      </w:pPr>
      <w:r>
        <w:lastRenderedPageBreak/>
        <w:t xml:space="preserve">Table </w:t>
      </w:r>
      <w:fldSimple w:instr=" SEQ Table \* ARABIC ">
        <w:r>
          <w:rPr>
            <w:noProof/>
          </w:rPr>
          <w:t>3</w:t>
        </w:r>
      </w:fldSimple>
      <w:r>
        <w:t xml:space="preserve"> Risks associated with the program and management actions</w:t>
      </w:r>
    </w:p>
    <w:tbl>
      <w:tblPr>
        <w:tblStyle w:val="APPR"/>
        <w:tblW w:w="5000" w:type="pct"/>
        <w:tblBorders>
          <w:top w:val="none" w:sz="0" w:space="0" w:color="auto"/>
          <w:bottom w:val="none" w:sz="0" w:space="0" w:color="auto"/>
        </w:tblBorders>
        <w:tblLook w:val="0600" w:firstRow="0" w:lastRow="0" w:firstColumn="0" w:lastColumn="0" w:noHBand="1" w:noVBand="1"/>
      </w:tblPr>
      <w:tblGrid>
        <w:gridCol w:w="4405"/>
        <w:gridCol w:w="4145"/>
      </w:tblGrid>
      <w:tr w:rsidR="00343AD1" w:rsidRPr="00180B19" w:rsidTr="00091858">
        <w:tc>
          <w:tcPr>
            <w:tcW w:w="4363" w:type="dxa"/>
            <w:tcBorders>
              <w:top w:val="single" w:sz="4" w:space="0" w:color="auto"/>
              <w:bottom w:val="single" w:sz="4" w:space="0" w:color="auto"/>
            </w:tcBorders>
            <w:hideMark/>
          </w:tcPr>
          <w:p w:rsidR="00343AD1" w:rsidRPr="004C4A3E" w:rsidRDefault="00343AD1" w:rsidP="004C4A3E">
            <w:pPr>
              <w:pStyle w:val="TableTextColumnHeading"/>
            </w:pPr>
            <w:r w:rsidRPr="004C4A3E">
              <w:t>Most significant risks</w:t>
            </w:r>
          </w:p>
        </w:tc>
        <w:tc>
          <w:tcPr>
            <w:tcW w:w="4103" w:type="dxa"/>
            <w:tcBorders>
              <w:top w:val="single" w:sz="4" w:space="0" w:color="auto"/>
              <w:bottom w:val="single" w:sz="4" w:space="0" w:color="auto"/>
            </w:tcBorders>
          </w:tcPr>
          <w:p w:rsidR="00343AD1" w:rsidRPr="004C4A3E" w:rsidRDefault="00343AD1" w:rsidP="0051443E">
            <w:pPr>
              <w:pStyle w:val="TableTextColumnHeading"/>
            </w:pPr>
            <w:r w:rsidRPr="004C4A3E">
              <w:t xml:space="preserve">Management </w:t>
            </w:r>
            <w:r w:rsidR="003C0DCE">
              <w:t>r</w:t>
            </w:r>
            <w:r w:rsidRPr="004C4A3E">
              <w:t>esponse</w:t>
            </w:r>
            <w:r w:rsidR="0051443E">
              <w:t>—</w:t>
            </w:r>
            <w:r w:rsidRPr="004C4A3E">
              <w:t xml:space="preserve">What? Who? How? When? </w:t>
            </w:r>
          </w:p>
        </w:tc>
      </w:tr>
      <w:tr w:rsidR="00343AD1" w:rsidRPr="00180B19" w:rsidTr="0062489E">
        <w:tc>
          <w:tcPr>
            <w:tcW w:w="4363" w:type="dxa"/>
            <w:hideMark/>
          </w:tcPr>
          <w:p w:rsidR="00343AD1" w:rsidRPr="004C4A3E" w:rsidRDefault="00343AD1" w:rsidP="001C6C01">
            <w:pPr>
              <w:pStyle w:val="TableListNumber"/>
            </w:pPr>
            <w:r>
              <w:t>Reduced reputational benefits, fragmentation and inefficiencies may occur without appropriate program architecture to enable better programming</w:t>
            </w:r>
            <w:r w:rsidR="00D903FF">
              <w:t xml:space="preserve"> as well as</w:t>
            </w:r>
            <w:r>
              <w:t xml:space="preserve"> monitoring and evaluation of program performance against strategic focus areas </w:t>
            </w:r>
          </w:p>
        </w:tc>
        <w:tc>
          <w:tcPr>
            <w:tcW w:w="4103" w:type="dxa"/>
          </w:tcPr>
          <w:p w:rsidR="00343AD1" w:rsidRDefault="00343AD1" w:rsidP="001C6C01">
            <w:pPr>
              <w:pStyle w:val="TableListNumber2"/>
            </w:pPr>
            <w:r>
              <w:t xml:space="preserve">he Latin America program (Canberra) will develop a management response to the mid-term review </w:t>
            </w:r>
          </w:p>
          <w:p w:rsidR="00343AD1" w:rsidRPr="004C4A3E" w:rsidRDefault="00343AD1" w:rsidP="0097613F">
            <w:pPr>
              <w:pStyle w:val="TableListNumber2"/>
            </w:pPr>
            <w:r>
              <w:t>By March 2014</w:t>
            </w:r>
            <w:r w:rsidR="00E660B5">
              <w:t>,</w:t>
            </w:r>
            <w:r>
              <w:t xml:space="preserve"> the Latin America program (Canberra) will have revised</w:t>
            </w:r>
            <w:r w:rsidR="00E660B5">
              <w:t xml:space="preserve"> the</w:t>
            </w:r>
            <w:r>
              <w:t xml:space="preserve"> existing program architecture</w:t>
            </w:r>
            <w:r w:rsidR="0097613F">
              <w:t xml:space="preserve"> to reflect recommendations of the </w:t>
            </w:r>
            <w:proofErr w:type="gramStart"/>
            <w:r w:rsidR="0097613F">
              <w:t>Mid</w:t>
            </w:r>
            <w:proofErr w:type="gramEnd"/>
            <w:r w:rsidR="0097613F">
              <w:t xml:space="preserve"> term review.</w:t>
            </w:r>
            <w:r>
              <w:t xml:space="preserve"> </w:t>
            </w:r>
          </w:p>
        </w:tc>
      </w:tr>
      <w:tr w:rsidR="00343AD1" w:rsidRPr="00180B19" w:rsidTr="00D73E37">
        <w:tc>
          <w:tcPr>
            <w:tcW w:w="4363" w:type="dxa"/>
          </w:tcPr>
          <w:p w:rsidR="00343AD1" w:rsidRPr="004C4A3E" w:rsidRDefault="00343AD1" w:rsidP="001C6C01">
            <w:pPr>
              <w:pStyle w:val="TableTextEntries"/>
              <w:numPr>
                <w:ilvl w:val="0"/>
                <w:numId w:val="19"/>
              </w:numPr>
              <w:ind w:left="416"/>
            </w:pPr>
            <w:r>
              <w:t>D</w:t>
            </w:r>
            <w:r w:rsidRPr="00CD7FD1">
              <w:t xml:space="preserve">elays with trilateral cooperation </w:t>
            </w:r>
            <w:r>
              <w:t>implementation present r</w:t>
            </w:r>
            <w:r w:rsidRPr="00CD7FD1">
              <w:t>eputational risk</w:t>
            </w:r>
            <w:r>
              <w:t>s</w:t>
            </w:r>
            <w:r w:rsidRPr="00CD7FD1">
              <w:t xml:space="preserve"> to </w:t>
            </w:r>
            <w:r w:rsidR="00804EFD">
              <w:t>DFAT</w:t>
            </w:r>
            <w:r w:rsidR="00804EFD" w:rsidRPr="00CD7FD1">
              <w:t xml:space="preserve"> </w:t>
            </w:r>
            <w:r w:rsidRPr="00CD7FD1">
              <w:t>and Australia in trilateral partner countries and reci</w:t>
            </w:r>
            <w:r>
              <w:t>pient partner countries</w:t>
            </w:r>
            <w:r w:rsidRPr="00CD7FD1">
              <w:t xml:space="preserve"> </w:t>
            </w:r>
          </w:p>
        </w:tc>
        <w:tc>
          <w:tcPr>
            <w:tcW w:w="4103" w:type="dxa"/>
          </w:tcPr>
          <w:p w:rsidR="00343AD1" w:rsidRPr="004C4A3E" w:rsidRDefault="00343AD1" w:rsidP="001C6C01">
            <w:pPr>
              <w:pStyle w:val="TableListNumber2"/>
              <w:numPr>
                <w:ilvl w:val="0"/>
                <w:numId w:val="33"/>
              </w:numPr>
            </w:pPr>
            <w:r>
              <w:t>The Latin America program (Lima) will meet more regularly with Chilean and Brazilian counterparts, particularly on activities requir</w:t>
            </w:r>
            <w:r w:rsidR="00E660B5">
              <w:t>ing</w:t>
            </w:r>
            <w:r>
              <w:t xml:space="preserve"> close management</w:t>
            </w:r>
          </w:p>
        </w:tc>
      </w:tr>
    </w:tbl>
    <w:p w:rsidR="00343AD1" w:rsidRDefault="00343AD1">
      <w:pPr>
        <w:spacing w:after="200" w:line="276" w:lineRule="auto"/>
        <w:rPr>
          <w:rFonts w:eastAsia="Times New Roman"/>
          <w:sz w:val="22"/>
        </w:rPr>
      </w:pPr>
    </w:p>
    <w:p w:rsidR="00343AD1" w:rsidRDefault="00343AD1" w:rsidP="00F75E3D">
      <w:pPr>
        <w:spacing w:after="200" w:line="276" w:lineRule="auto"/>
        <w:sectPr w:rsidR="00343AD1" w:rsidSect="00D30700">
          <w:headerReference w:type="default" r:id="rId10"/>
          <w:footerReference w:type="default" r:id="rId11"/>
          <w:headerReference w:type="first" r:id="rId12"/>
          <w:footerReference w:type="first" r:id="rId13"/>
          <w:pgSz w:w="11906" w:h="16838" w:code="9"/>
          <w:pgMar w:top="2381" w:right="1814" w:bottom="851" w:left="1814" w:header="709" w:footer="454" w:gutter="0"/>
          <w:cols w:space="708"/>
          <w:titlePg/>
          <w:docGrid w:linePitch="360"/>
        </w:sectPr>
      </w:pPr>
    </w:p>
    <w:p w:rsidR="00343AD1" w:rsidRPr="00FF1E42" w:rsidRDefault="00343AD1" w:rsidP="00FF1E42">
      <w:pPr>
        <w:pStyle w:val="Heading1"/>
      </w:pPr>
      <w:r>
        <w:lastRenderedPageBreak/>
        <w:t>Annex A</w:t>
      </w:r>
    </w:p>
    <w:p w:rsidR="00343AD1" w:rsidRPr="00FE4491" w:rsidRDefault="00343AD1" w:rsidP="00BE65E4">
      <w:pPr>
        <w:pStyle w:val="Heading2"/>
      </w:pPr>
      <w:r w:rsidRPr="00FE4491">
        <w:t>Progress in addressing 2011 management consequences</w:t>
      </w:r>
    </w:p>
    <w:tbl>
      <w:tblPr>
        <w:tblStyle w:val="APPR"/>
        <w:tblpPr w:leftFromText="180" w:rightFromText="180" w:vertAnchor="text" w:tblpY="1"/>
        <w:tblW w:w="5000" w:type="pct"/>
        <w:tblLayout w:type="fixed"/>
        <w:tblLook w:val="0000" w:firstRow="0" w:lastRow="0" w:firstColumn="0" w:lastColumn="0" w:noHBand="0" w:noVBand="0"/>
      </w:tblPr>
      <w:tblGrid>
        <w:gridCol w:w="6282"/>
        <w:gridCol w:w="829"/>
        <w:gridCol w:w="6824"/>
      </w:tblGrid>
      <w:tr w:rsidR="00343AD1" w:rsidRPr="00180B19" w:rsidTr="00443639">
        <w:trPr>
          <w:cnfStyle w:val="000000010000" w:firstRow="0" w:lastRow="0" w:firstColumn="0" w:lastColumn="0" w:oddVBand="0" w:evenVBand="0" w:oddHBand="0" w:evenHBand="1" w:firstRowFirstColumn="0" w:firstRowLastColumn="0" w:lastRowFirstColumn="0" w:lastRowLastColumn="0"/>
        </w:trPr>
        <w:tc>
          <w:tcPr>
            <w:tcW w:w="6473" w:type="dxa"/>
          </w:tcPr>
          <w:p w:rsidR="00343AD1" w:rsidRPr="00180B19" w:rsidRDefault="00343AD1" w:rsidP="00FE4491">
            <w:pPr>
              <w:pStyle w:val="TableTextColumnHeading"/>
              <w:tabs>
                <w:tab w:val="left" w:pos="1185"/>
              </w:tabs>
            </w:pPr>
            <w:r w:rsidRPr="00FE4491">
              <w:t>Management consequences identified in 2011 APPR</w:t>
            </w:r>
            <w:r>
              <w:tab/>
            </w:r>
          </w:p>
        </w:tc>
        <w:tc>
          <w:tcPr>
            <w:tcW w:w="823" w:type="dxa"/>
          </w:tcPr>
          <w:p w:rsidR="00343AD1" w:rsidRPr="00180B19" w:rsidRDefault="00343AD1" w:rsidP="00443639">
            <w:pPr>
              <w:pStyle w:val="TableTextColumnHeading"/>
            </w:pPr>
            <w:r w:rsidRPr="00FE4491">
              <w:t>Rating</w:t>
            </w:r>
          </w:p>
        </w:tc>
        <w:tc>
          <w:tcPr>
            <w:tcW w:w="7037" w:type="dxa"/>
          </w:tcPr>
          <w:p w:rsidR="00343AD1" w:rsidRPr="00180B19" w:rsidRDefault="00343AD1" w:rsidP="00443639">
            <w:pPr>
              <w:pStyle w:val="TableTextColumnHeading"/>
            </w:pPr>
            <w:r w:rsidRPr="00FE4491">
              <w:t>Progress made in 2012-13</w:t>
            </w:r>
          </w:p>
        </w:tc>
      </w:tr>
      <w:tr w:rsidR="00343AD1" w:rsidRPr="00180B19" w:rsidTr="00443639">
        <w:trPr>
          <w:cnfStyle w:val="000000010000" w:firstRow="0" w:lastRow="0" w:firstColumn="0" w:lastColumn="0" w:oddVBand="0" w:evenVBand="0" w:oddHBand="0" w:evenHBand="1" w:firstRowFirstColumn="0" w:firstRowLastColumn="0" w:lastRowFirstColumn="0" w:lastRowLastColumn="0"/>
        </w:trPr>
        <w:tc>
          <w:tcPr>
            <w:tcW w:w="6473" w:type="dxa"/>
          </w:tcPr>
          <w:p w:rsidR="00343AD1" w:rsidRPr="00D30700" w:rsidRDefault="00343AD1" w:rsidP="00D30700">
            <w:pPr>
              <w:pStyle w:val="TableTextEntries"/>
            </w:pPr>
            <w:r w:rsidRPr="00D30700">
              <w:t>Finalise the Latin America program regional strategy</w:t>
            </w:r>
          </w:p>
        </w:tc>
        <w:tc>
          <w:tcPr>
            <w:tcW w:w="823" w:type="dxa"/>
            <w:shd w:val="clear" w:color="auto" w:fill="92D050"/>
          </w:tcPr>
          <w:p w:rsidR="00343AD1" w:rsidRPr="00D30700" w:rsidRDefault="00343AD1" w:rsidP="00D30700">
            <w:pPr>
              <w:pStyle w:val="TableTextEntries"/>
            </w:pPr>
            <w:r w:rsidRPr="00D30700">
              <w:t>Green</w:t>
            </w:r>
          </w:p>
        </w:tc>
        <w:tc>
          <w:tcPr>
            <w:tcW w:w="7037" w:type="dxa"/>
          </w:tcPr>
          <w:p w:rsidR="00343AD1" w:rsidRPr="00D30700" w:rsidRDefault="00343AD1" w:rsidP="00D30700">
            <w:pPr>
              <w:pStyle w:val="TableTextEntries"/>
            </w:pPr>
            <w:r w:rsidRPr="00D30700">
              <w:t>Completed in 2013</w:t>
            </w:r>
          </w:p>
        </w:tc>
      </w:tr>
      <w:tr w:rsidR="00343AD1" w:rsidRPr="00180B19" w:rsidTr="00443639">
        <w:trPr>
          <w:cnfStyle w:val="000000010000" w:firstRow="0" w:lastRow="0" w:firstColumn="0" w:lastColumn="0" w:oddVBand="0" w:evenVBand="0" w:oddHBand="0" w:evenHBand="1" w:firstRowFirstColumn="0" w:firstRowLastColumn="0" w:lastRowFirstColumn="0" w:lastRowLastColumn="0"/>
        </w:trPr>
        <w:tc>
          <w:tcPr>
            <w:tcW w:w="6473" w:type="dxa"/>
          </w:tcPr>
          <w:p w:rsidR="00343AD1" w:rsidRPr="00D30700" w:rsidRDefault="00343AD1" w:rsidP="00D30700">
            <w:pPr>
              <w:pStyle w:val="TableTextEntries"/>
            </w:pPr>
            <w:r w:rsidRPr="00D30700">
              <w:t>Review monitoring and reporting of current activities (mid-term review)</w:t>
            </w:r>
          </w:p>
        </w:tc>
        <w:tc>
          <w:tcPr>
            <w:tcW w:w="823" w:type="dxa"/>
            <w:shd w:val="clear" w:color="auto" w:fill="92D050"/>
          </w:tcPr>
          <w:p w:rsidR="00343AD1" w:rsidRPr="00D30700" w:rsidRDefault="00343AD1" w:rsidP="00D30700">
            <w:pPr>
              <w:pStyle w:val="TableTextEntries"/>
            </w:pPr>
            <w:r w:rsidRPr="00D30700">
              <w:t>Green</w:t>
            </w:r>
            <w:r w:rsidRPr="00D30700">
              <w:fldChar w:fldCharType="begin"/>
            </w:r>
            <w:r w:rsidRPr="00D30700">
              <w:instrText xml:space="preserve"> AUTOTEXTLIST  \s "Rating bullet"\t "Right click to choose a rating" \* MERGEFORMAT </w:instrText>
            </w:r>
            <w:r w:rsidRPr="00D30700">
              <w:fldChar w:fldCharType="end"/>
            </w:r>
          </w:p>
        </w:tc>
        <w:tc>
          <w:tcPr>
            <w:tcW w:w="7037" w:type="dxa"/>
          </w:tcPr>
          <w:p w:rsidR="00343AD1" w:rsidRPr="00D30700" w:rsidRDefault="00343AD1" w:rsidP="00D30700">
            <w:pPr>
              <w:pStyle w:val="TableTextEntries"/>
            </w:pPr>
            <w:r w:rsidRPr="00D30700">
              <w:t>M</w:t>
            </w:r>
            <w:r w:rsidR="00E660B5" w:rsidRPr="00D30700">
              <w:t>id-term review</w:t>
            </w:r>
            <w:r w:rsidRPr="00D30700">
              <w:t xml:space="preserve"> undertaken in April 2013 (report to be finalised mid-June 2013)</w:t>
            </w:r>
          </w:p>
        </w:tc>
      </w:tr>
      <w:tr w:rsidR="00343AD1" w:rsidRPr="00180B19" w:rsidTr="00A61D12">
        <w:trPr>
          <w:cnfStyle w:val="000000010000" w:firstRow="0" w:lastRow="0" w:firstColumn="0" w:lastColumn="0" w:oddVBand="0" w:evenVBand="0" w:oddHBand="0" w:evenHBand="1" w:firstRowFirstColumn="0" w:firstRowLastColumn="0" w:lastRowFirstColumn="0" w:lastRowLastColumn="0"/>
        </w:trPr>
        <w:tc>
          <w:tcPr>
            <w:tcW w:w="6473" w:type="dxa"/>
          </w:tcPr>
          <w:p w:rsidR="00343AD1" w:rsidRPr="00D30700" w:rsidRDefault="00343AD1" w:rsidP="00D30700">
            <w:pPr>
              <w:pStyle w:val="TableTextEntries"/>
            </w:pPr>
            <w:r w:rsidRPr="00D30700">
              <w:t>Complete programming of current program funds against clear objectives</w:t>
            </w:r>
          </w:p>
        </w:tc>
        <w:tc>
          <w:tcPr>
            <w:tcW w:w="823" w:type="dxa"/>
            <w:shd w:val="clear" w:color="auto" w:fill="F79646" w:themeFill="accent6"/>
          </w:tcPr>
          <w:p w:rsidR="00343AD1" w:rsidRPr="00D30700" w:rsidRDefault="00343AD1" w:rsidP="00D30700">
            <w:pPr>
              <w:pStyle w:val="TableTextEntries"/>
            </w:pPr>
            <w:r w:rsidRPr="00D30700">
              <w:t>Amber</w:t>
            </w:r>
          </w:p>
        </w:tc>
        <w:tc>
          <w:tcPr>
            <w:tcW w:w="7037" w:type="dxa"/>
          </w:tcPr>
          <w:p w:rsidR="00343AD1" w:rsidRPr="00D30700" w:rsidRDefault="00343AD1" w:rsidP="00D30700">
            <w:pPr>
              <w:pStyle w:val="TableTextEntries"/>
            </w:pPr>
            <w:r w:rsidRPr="00D30700">
              <w:t>Program pipeline considered for 2013</w:t>
            </w:r>
            <w:r w:rsidR="00E660B5" w:rsidRPr="00D30700">
              <w:t>–</w:t>
            </w:r>
            <w:r w:rsidRPr="00D30700">
              <w:t>14 and work underway to implement</w:t>
            </w:r>
          </w:p>
        </w:tc>
      </w:tr>
      <w:tr w:rsidR="00343AD1" w:rsidRPr="00180B19" w:rsidTr="002052DB">
        <w:trPr>
          <w:cnfStyle w:val="000000010000" w:firstRow="0" w:lastRow="0" w:firstColumn="0" w:lastColumn="0" w:oddVBand="0" w:evenVBand="0" w:oddHBand="0" w:evenHBand="1" w:firstRowFirstColumn="0" w:firstRowLastColumn="0" w:lastRowFirstColumn="0" w:lastRowLastColumn="0"/>
        </w:trPr>
        <w:tc>
          <w:tcPr>
            <w:tcW w:w="6473" w:type="dxa"/>
          </w:tcPr>
          <w:p w:rsidR="00343AD1" w:rsidRPr="00D30700" w:rsidRDefault="00343AD1" w:rsidP="00D30700">
            <w:pPr>
              <w:pStyle w:val="TableTextEntries"/>
            </w:pPr>
            <w:r w:rsidRPr="00D30700">
              <w:t>Realign existing initiatives to the program’s strategic goals</w:t>
            </w:r>
          </w:p>
        </w:tc>
        <w:tc>
          <w:tcPr>
            <w:tcW w:w="823" w:type="dxa"/>
            <w:shd w:val="clear" w:color="auto" w:fill="92D050"/>
          </w:tcPr>
          <w:p w:rsidR="00343AD1" w:rsidRPr="00D30700" w:rsidRDefault="00343AD1" w:rsidP="00D30700">
            <w:pPr>
              <w:pStyle w:val="TableTextEntries"/>
            </w:pPr>
            <w:r w:rsidRPr="00D30700">
              <w:t>Green</w:t>
            </w:r>
          </w:p>
        </w:tc>
        <w:tc>
          <w:tcPr>
            <w:tcW w:w="7037" w:type="dxa"/>
          </w:tcPr>
          <w:p w:rsidR="00343AD1" w:rsidRPr="00D30700" w:rsidRDefault="00343AD1" w:rsidP="00D30700">
            <w:pPr>
              <w:pStyle w:val="TableTextEntries"/>
            </w:pPr>
            <w:r w:rsidRPr="00D30700">
              <w:t>Completed in 2013 through the regional strategy process</w:t>
            </w:r>
          </w:p>
        </w:tc>
      </w:tr>
      <w:tr w:rsidR="00343AD1" w:rsidRPr="00180B19" w:rsidTr="0079472E">
        <w:trPr>
          <w:cnfStyle w:val="000000010000" w:firstRow="0" w:lastRow="0" w:firstColumn="0" w:lastColumn="0" w:oddVBand="0" w:evenVBand="0" w:oddHBand="0" w:evenHBand="1" w:firstRowFirstColumn="0" w:firstRowLastColumn="0" w:lastRowFirstColumn="0" w:lastRowLastColumn="0"/>
        </w:trPr>
        <w:tc>
          <w:tcPr>
            <w:tcW w:w="6473" w:type="dxa"/>
          </w:tcPr>
          <w:p w:rsidR="00343AD1" w:rsidRPr="00D30700" w:rsidRDefault="00343AD1" w:rsidP="00D30700">
            <w:pPr>
              <w:pStyle w:val="TableTextEntries"/>
            </w:pPr>
            <w:r w:rsidRPr="00D30700">
              <w:t>Consolidate program and build on existing activities/partnerships</w:t>
            </w:r>
          </w:p>
        </w:tc>
        <w:tc>
          <w:tcPr>
            <w:tcW w:w="823" w:type="dxa"/>
            <w:shd w:val="clear" w:color="auto" w:fill="F79646" w:themeFill="accent6"/>
          </w:tcPr>
          <w:p w:rsidR="00343AD1" w:rsidRPr="00D30700" w:rsidRDefault="00343AD1" w:rsidP="00D30700">
            <w:pPr>
              <w:pStyle w:val="TableTextEntries"/>
            </w:pPr>
            <w:r w:rsidRPr="00D30700">
              <w:t>Amber</w:t>
            </w:r>
          </w:p>
        </w:tc>
        <w:tc>
          <w:tcPr>
            <w:tcW w:w="7037" w:type="dxa"/>
          </w:tcPr>
          <w:p w:rsidR="00343AD1" w:rsidRPr="00D30700" w:rsidRDefault="00343AD1" w:rsidP="00D30700">
            <w:pPr>
              <w:pStyle w:val="TableTextEntries"/>
            </w:pPr>
            <w:r w:rsidRPr="00D30700">
              <w:t xml:space="preserve">Program consolidation will </w:t>
            </w:r>
            <w:r w:rsidR="00E660B5" w:rsidRPr="00D30700">
              <w:t xml:space="preserve">start </w:t>
            </w:r>
            <w:r w:rsidRPr="00D30700">
              <w:t>in 2013</w:t>
            </w:r>
            <w:r w:rsidR="00E660B5" w:rsidRPr="00D30700">
              <w:t>–</w:t>
            </w:r>
            <w:r w:rsidRPr="00D30700">
              <w:t>14 in preparation for the next program phase</w:t>
            </w:r>
          </w:p>
        </w:tc>
      </w:tr>
      <w:tr w:rsidR="00343AD1" w:rsidRPr="00180B19" w:rsidTr="002052DB">
        <w:trPr>
          <w:cnfStyle w:val="000000010000" w:firstRow="0" w:lastRow="0" w:firstColumn="0" w:lastColumn="0" w:oddVBand="0" w:evenVBand="0" w:oddHBand="0" w:evenHBand="1" w:firstRowFirstColumn="0" w:firstRowLastColumn="0" w:lastRowFirstColumn="0" w:lastRowLastColumn="0"/>
        </w:trPr>
        <w:tc>
          <w:tcPr>
            <w:tcW w:w="6473" w:type="dxa"/>
          </w:tcPr>
          <w:p w:rsidR="00343AD1" w:rsidRPr="00D30700" w:rsidRDefault="00343AD1" w:rsidP="00D30700">
            <w:pPr>
              <w:pStyle w:val="TableTextEntries"/>
            </w:pPr>
            <w:r w:rsidRPr="00D30700">
              <w:t>Undertake better program monitoring and evaluation</w:t>
            </w:r>
          </w:p>
        </w:tc>
        <w:tc>
          <w:tcPr>
            <w:tcW w:w="823" w:type="dxa"/>
            <w:shd w:val="clear" w:color="auto" w:fill="92D050"/>
          </w:tcPr>
          <w:p w:rsidR="00343AD1" w:rsidRPr="00D30700" w:rsidRDefault="00343AD1" w:rsidP="00D30700">
            <w:pPr>
              <w:pStyle w:val="TableTextEntries"/>
            </w:pPr>
            <w:r w:rsidRPr="00D30700">
              <w:t>Green</w:t>
            </w:r>
          </w:p>
        </w:tc>
        <w:tc>
          <w:tcPr>
            <w:tcW w:w="7037" w:type="dxa"/>
          </w:tcPr>
          <w:p w:rsidR="00343AD1" w:rsidRPr="00D30700" w:rsidRDefault="00343AD1" w:rsidP="00D30700">
            <w:pPr>
              <w:pStyle w:val="TableTextEntries"/>
            </w:pPr>
            <w:r w:rsidRPr="00D30700">
              <w:t>M</w:t>
            </w:r>
            <w:r w:rsidR="00312CA6" w:rsidRPr="00D30700">
              <w:t>onitoring and evaluation</w:t>
            </w:r>
            <w:r w:rsidRPr="00D30700">
              <w:t xml:space="preserve"> support engaged by program in 2013 and MTR undertaken in April 2013</w:t>
            </w:r>
          </w:p>
        </w:tc>
      </w:tr>
      <w:tr w:rsidR="00343AD1" w:rsidRPr="00180B19" w:rsidTr="00EA72BB">
        <w:trPr>
          <w:cnfStyle w:val="000000010000" w:firstRow="0" w:lastRow="0" w:firstColumn="0" w:lastColumn="0" w:oddVBand="0" w:evenVBand="0" w:oddHBand="0" w:evenHBand="1" w:firstRowFirstColumn="0" w:firstRowLastColumn="0" w:lastRowFirstColumn="0" w:lastRowLastColumn="0"/>
        </w:trPr>
        <w:tc>
          <w:tcPr>
            <w:tcW w:w="6473" w:type="dxa"/>
          </w:tcPr>
          <w:p w:rsidR="00343AD1" w:rsidRPr="00D30700" w:rsidRDefault="00343AD1" w:rsidP="00D30700">
            <w:pPr>
              <w:pStyle w:val="TableTextEntries"/>
            </w:pPr>
            <w:r w:rsidRPr="00D30700">
              <w:t xml:space="preserve">Develop a program </w:t>
            </w:r>
            <w:r w:rsidR="002F76A7" w:rsidRPr="00D30700">
              <w:t>p</w:t>
            </w:r>
            <w:r w:rsidRPr="00D30700">
              <w:t xml:space="preserve">erformance </w:t>
            </w:r>
            <w:r w:rsidR="002F76A7" w:rsidRPr="00D30700">
              <w:t>a</w:t>
            </w:r>
            <w:r w:rsidRPr="00D30700">
              <w:t xml:space="preserve">ssessment </w:t>
            </w:r>
            <w:r w:rsidR="002F76A7" w:rsidRPr="00D30700">
              <w:t>f</w:t>
            </w:r>
            <w:r w:rsidRPr="00D30700">
              <w:t>ramework</w:t>
            </w:r>
          </w:p>
        </w:tc>
        <w:tc>
          <w:tcPr>
            <w:tcW w:w="823" w:type="dxa"/>
            <w:shd w:val="clear" w:color="auto" w:fill="F79646" w:themeFill="accent6"/>
          </w:tcPr>
          <w:p w:rsidR="00343AD1" w:rsidRPr="00D30700" w:rsidRDefault="00343AD1" w:rsidP="00D30700">
            <w:pPr>
              <w:pStyle w:val="TableTextEntries"/>
            </w:pPr>
            <w:r w:rsidRPr="00D30700">
              <w:t>Amber</w:t>
            </w:r>
          </w:p>
        </w:tc>
        <w:tc>
          <w:tcPr>
            <w:tcW w:w="7037" w:type="dxa"/>
          </w:tcPr>
          <w:p w:rsidR="00343AD1" w:rsidRPr="00D30700" w:rsidRDefault="00343AD1" w:rsidP="00D30700">
            <w:pPr>
              <w:pStyle w:val="TableTextEntries"/>
            </w:pPr>
            <w:r w:rsidRPr="00D30700">
              <w:t>A performance assessment framework will be developed as part of new program architecture</w:t>
            </w:r>
          </w:p>
        </w:tc>
      </w:tr>
      <w:tr w:rsidR="00343AD1" w:rsidRPr="00180B19" w:rsidTr="00E12409">
        <w:trPr>
          <w:cnfStyle w:val="000000010000" w:firstRow="0" w:lastRow="0" w:firstColumn="0" w:lastColumn="0" w:oddVBand="0" w:evenVBand="0" w:oddHBand="0" w:evenHBand="1" w:firstRowFirstColumn="0" w:firstRowLastColumn="0" w:lastRowFirstColumn="0" w:lastRowLastColumn="0"/>
        </w:trPr>
        <w:tc>
          <w:tcPr>
            <w:tcW w:w="6473" w:type="dxa"/>
          </w:tcPr>
          <w:p w:rsidR="00343AD1" w:rsidRPr="00D30700" w:rsidRDefault="00343AD1" w:rsidP="00D30700">
            <w:pPr>
              <w:pStyle w:val="TableTextEntries"/>
            </w:pPr>
            <w:r w:rsidRPr="00D30700">
              <w:t>Strategically target and closely manage trilateral cooperation with Brazil and Chile</w:t>
            </w:r>
          </w:p>
        </w:tc>
        <w:tc>
          <w:tcPr>
            <w:tcW w:w="823" w:type="dxa"/>
            <w:shd w:val="clear" w:color="auto" w:fill="F79646" w:themeFill="accent6"/>
          </w:tcPr>
          <w:p w:rsidR="00343AD1" w:rsidRPr="00D30700" w:rsidRDefault="00343AD1" w:rsidP="00D30700">
            <w:pPr>
              <w:pStyle w:val="TableTextEntries"/>
            </w:pPr>
            <w:r w:rsidRPr="00D30700">
              <w:t>Amber</w:t>
            </w:r>
          </w:p>
        </w:tc>
        <w:tc>
          <w:tcPr>
            <w:tcW w:w="7037" w:type="dxa"/>
          </w:tcPr>
          <w:p w:rsidR="00343AD1" w:rsidRPr="00D30700" w:rsidRDefault="00343AD1" w:rsidP="00D30700">
            <w:pPr>
              <w:pStyle w:val="TableTextEntries"/>
            </w:pPr>
            <w:r w:rsidRPr="00D30700">
              <w:t>Ongoing (</w:t>
            </w:r>
            <w:r w:rsidR="00312CA6" w:rsidRPr="00D30700">
              <w:t>for example,</w:t>
            </w:r>
            <w:r w:rsidRPr="00D30700">
              <w:t xml:space="preserve"> WFP twinning and the mining for development activity in Honduras)</w:t>
            </w:r>
          </w:p>
        </w:tc>
      </w:tr>
      <w:tr w:rsidR="00343AD1" w:rsidRPr="00180B19" w:rsidTr="00FF6A6B">
        <w:trPr>
          <w:cnfStyle w:val="000000010000" w:firstRow="0" w:lastRow="0" w:firstColumn="0" w:lastColumn="0" w:oddVBand="0" w:evenVBand="0" w:oddHBand="0" w:evenHBand="1" w:firstRowFirstColumn="0" w:firstRowLastColumn="0" w:lastRowFirstColumn="0" w:lastRowLastColumn="0"/>
        </w:trPr>
        <w:tc>
          <w:tcPr>
            <w:tcW w:w="6473" w:type="dxa"/>
          </w:tcPr>
          <w:p w:rsidR="00343AD1" w:rsidRPr="00D30700" w:rsidRDefault="00343AD1" w:rsidP="00D30700">
            <w:pPr>
              <w:pStyle w:val="TableTextEntries"/>
            </w:pPr>
            <w:r w:rsidRPr="00D30700">
              <w:t xml:space="preserve">Review roles and responsibilities of staff (Canberra and </w:t>
            </w:r>
            <w:r w:rsidR="0064621D" w:rsidRPr="00D30700">
              <w:t>Lima</w:t>
            </w:r>
            <w:r w:rsidRPr="00D30700">
              <w:t>)</w:t>
            </w:r>
          </w:p>
        </w:tc>
        <w:tc>
          <w:tcPr>
            <w:tcW w:w="823" w:type="dxa"/>
            <w:shd w:val="clear" w:color="auto" w:fill="92D050"/>
          </w:tcPr>
          <w:p w:rsidR="00343AD1" w:rsidRPr="00D30700" w:rsidRDefault="00343AD1" w:rsidP="00D30700">
            <w:pPr>
              <w:pStyle w:val="TableTextEntries"/>
            </w:pPr>
            <w:r w:rsidRPr="00D30700">
              <w:t>Green</w:t>
            </w:r>
          </w:p>
        </w:tc>
        <w:tc>
          <w:tcPr>
            <w:tcW w:w="7037" w:type="dxa"/>
          </w:tcPr>
          <w:p w:rsidR="00343AD1" w:rsidRPr="00D30700" w:rsidRDefault="00343AD1" w:rsidP="00D30700">
            <w:pPr>
              <w:pStyle w:val="TableTextEntries"/>
            </w:pPr>
            <w:r w:rsidRPr="00D30700">
              <w:t>Completed September 2012</w:t>
            </w:r>
          </w:p>
        </w:tc>
      </w:tr>
      <w:tr w:rsidR="00343AD1" w:rsidRPr="00180B19" w:rsidTr="002049C1">
        <w:trPr>
          <w:cnfStyle w:val="000000010000" w:firstRow="0" w:lastRow="0" w:firstColumn="0" w:lastColumn="0" w:oddVBand="0" w:evenVBand="0" w:oddHBand="0" w:evenHBand="1" w:firstRowFirstColumn="0" w:firstRowLastColumn="0" w:lastRowFirstColumn="0" w:lastRowLastColumn="0"/>
        </w:trPr>
        <w:tc>
          <w:tcPr>
            <w:tcW w:w="6473" w:type="dxa"/>
          </w:tcPr>
          <w:p w:rsidR="00343AD1" w:rsidRPr="00D30700" w:rsidRDefault="00343AD1" w:rsidP="00D30700">
            <w:pPr>
              <w:pStyle w:val="TableTextEntries"/>
            </w:pPr>
            <w:r w:rsidRPr="00D30700">
              <w:t>A multi-year program management plan to be developed</w:t>
            </w:r>
          </w:p>
        </w:tc>
        <w:tc>
          <w:tcPr>
            <w:tcW w:w="823" w:type="dxa"/>
            <w:shd w:val="clear" w:color="auto" w:fill="F79646" w:themeFill="accent6"/>
          </w:tcPr>
          <w:p w:rsidR="00343AD1" w:rsidRPr="00D30700" w:rsidRDefault="00343AD1" w:rsidP="00D30700">
            <w:pPr>
              <w:pStyle w:val="TableTextEntries"/>
            </w:pPr>
            <w:r w:rsidRPr="00D30700">
              <w:t>Amber</w:t>
            </w:r>
          </w:p>
        </w:tc>
        <w:tc>
          <w:tcPr>
            <w:tcW w:w="7037" w:type="dxa"/>
          </w:tcPr>
          <w:p w:rsidR="00343AD1" w:rsidRPr="00D30700" w:rsidRDefault="002F76A7" w:rsidP="00D30700">
            <w:pPr>
              <w:pStyle w:val="TableTextEntries"/>
            </w:pPr>
            <w:r w:rsidRPr="00D30700">
              <w:t>C</w:t>
            </w:r>
            <w:r w:rsidR="00343AD1" w:rsidRPr="00D30700">
              <w:t>urrent commitments and program pipeline will be used to develop this plan in 2013</w:t>
            </w:r>
          </w:p>
        </w:tc>
      </w:tr>
    </w:tbl>
    <w:p w:rsidR="00343AD1" w:rsidRPr="00FE4491" w:rsidRDefault="00343AD1" w:rsidP="00FE4491">
      <w:pPr>
        <w:pStyle w:val="Note"/>
      </w:pPr>
      <w:r w:rsidRPr="00FE4491">
        <w:t xml:space="preserve">Note: </w:t>
      </w:r>
    </w:p>
    <w:p w:rsidR="00343AD1" w:rsidRPr="00FE4491" w:rsidRDefault="00343AD1" w:rsidP="00FE4491">
      <w:pPr>
        <w:pStyle w:val="Note"/>
      </w:pPr>
      <w:r w:rsidRPr="00FE4491">
        <w:rPr>
          <w:color w:val="92D050"/>
        </w:rPr>
        <w:sym w:font="Webdings" w:char="F067"/>
      </w:r>
      <w:r w:rsidRPr="00FE4491">
        <w:t> </w:t>
      </w:r>
      <w:r w:rsidRPr="00FE4491">
        <w:t xml:space="preserve"> </w:t>
      </w:r>
      <w:proofErr w:type="gramStart"/>
      <w:r>
        <w:t>Green.</w:t>
      </w:r>
      <w:proofErr w:type="gramEnd"/>
      <w:r>
        <w:rPr>
          <w:rFonts w:ascii="Times New Roman" w:hAnsi="Times New Roman"/>
        </w:rPr>
        <w:t xml:space="preserve"> </w:t>
      </w:r>
      <w:r w:rsidRPr="00EC3C88">
        <w:t>Progress is as expected for this point in time and it is likely that the objective will be achieved. Standard program management practices are sufficient.</w:t>
      </w:r>
    </w:p>
    <w:p w:rsidR="00343AD1" w:rsidRDefault="00343AD1" w:rsidP="00FE4491">
      <w:pPr>
        <w:pStyle w:val="Note"/>
      </w:pPr>
      <w:r w:rsidRPr="00FE4491">
        <w:rPr>
          <w:color w:val="F79646" w:themeColor="accent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rsidR="00343AD1" w:rsidRDefault="00343AD1" w:rsidP="00FE4491">
      <w:pPr>
        <w:pStyle w:val="Note"/>
      </w:pPr>
      <w:r w:rsidRPr="00FE4491">
        <w:rPr>
          <w:color w:val="FF0000"/>
        </w:rPr>
        <w:sym w:font="Webdings" w:char="F067"/>
      </w:r>
      <w:r w:rsidRPr="00FE4491">
        <w:t> </w:t>
      </w:r>
      <w:r w:rsidRPr="00FE4491">
        <w:t xml:space="preserve"> </w:t>
      </w:r>
      <w:proofErr w:type="gramStart"/>
      <w:r>
        <w:t>Red.</w:t>
      </w:r>
      <w:proofErr w:type="gramEnd"/>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rsidR="00343AD1" w:rsidRDefault="00343AD1" w:rsidP="00FE4491">
      <w:pPr>
        <w:sectPr w:rsidR="00343AD1" w:rsidSect="00D30700">
          <w:headerReference w:type="default" r:id="rId14"/>
          <w:footerReference w:type="default" r:id="rId15"/>
          <w:headerReference w:type="first" r:id="rId16"/>
          <w:footerReference w:type="first" r:id="rId17"/>
          <w:pgSz w:w="16838" w:h="11906" w:orient="landscape" w:code="9"/>
          <w:pgMar w:top="1871" w:right="2268" w:bottom="1134" w:left="907" w:header="709" w:footer="425" w:gutter="0"/>
          <w:cols w:space="708"/>
          <w:docGrid w:linePitch="360"/>
        </w:sectPr>
      </w:pPr>
    </w:p>
    <w:p w:rsidR="00343AD1" w:rsidRPr="00FE4491" w:rsidRDefault="00343AD1" w:rsidP="00FE4491">
      <w:pPr>
        <w:pStyle w:val="Heading1"/>
      </w:pPr>
      <w:r>
        <w:lastRenderedPageBreak/>
        <w:t>Annex B</w:t>
      </w:r>
    </w:p>
    <w:p w:rsidR="00343AD1" w:rsidRPr="00FE4491" w:rsidRDefault="00343AD1" w:rsidP="00C65930">
      <w:pPr>
        <w:pStyle w:val="Heading2"/>
      </w:pPr>
      <w:r w:rsidRPr="00FE4491">
        <w:t xml:space="preserve">Quality at </w:t>
      </w:r>
      <w:r w:rsidR="003C0DCE">
        <w:t>i</w:t>
      </w:r>
      <w:r w:rsidRPr="00FE4491">
        <w:t>mplementation ratings</w:t>
      </w:r>
    </w:p>
    <w:tbl>
      <w:tblPr>
        <w:tblStyle w:val="APPR"/>
        <w:tblW w:w="4671" w:type="pct"/>
        <w:tblLayout w:type="fixed"/>
        <w:tblLook w:val="0000" w:firstRow="0" w:lastRow="0" w:firstColumn="0" w:lastColumn="0" w:noHBand="0" w:noVBand="0"/>
      </w:tblPr>
      <w:tblGrid>
        <w:gridCol w:w="1269"/>
        <w:gridCol w:w="1288"/>
        <w:gridCol w:w="668"/>
        <w:gridCol w:w="602"/>
        <w:gridCol w:w="667"/>
        <w:gridCol w:w="590"/>
        <w:gridCol w:w="593"/>
        <w:gridCol w:w="617"/>
        <w:gridCol w:w="549"/>
        <w:gridCol w:w="593"/>
        <w:gridCol w:w="604"/>
      </w:tblGrid>
      <w:tr w:rsidR="00343AD1" w:rsidRPr="009D53C4" w:rsidTr="002D4B64">
        <w:trPr>
          <w:cnfStyle w:val="000000010000" w:firstRow="0" w:lastRow="0" w:firstColumn="0" w:lastColumn="0" w:oddVBand="0" w:evenVBand="0" w:oddHBand="0" w:evenHBand="1" w:firstRowFirstColumn="0" w:firstRowLastColumn="0" w:lastRowFirstColumn="0" w:lastRowLastColumn="0"/>
          <w:trHeight w:val="1413"/>
        </w:trPr>
        <w:tc>
          <w:tcPr>
            <w:tcW w:w="765" w:type="pct"/>
          </w:tcPr>
          <w:p w:rsidR="00343AD1" w:rsidRPr="00FE4491" w:rsidRDefault="00343AD1" w:rsidP="00FE4491">
            <w:pPr>
              <w:pStyle w:val="TableTextColumnHeading"/>
            </w:pPr>
            <w:r w:rsidRPr="00FE4491">
              <w:rPr>
                <w:noProof/>
                <w:lang w:eastAsia="en-AU"/>
              </w:rPr>
              <w:drawing>
                <wp:anchor distT="0" distB="0" distL="114300" distR="114300" simplePos="0" relativeHeight="251667456" behindDoc="0" locked="0" layoutInCell="1" allowOverlap="1" wp14:anchorId="3191C4C1" wp14:editId="4035EFEA">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491">
              <w:t>Initiative name</w:t>
            </w:r>
          </w:p>
        </w:tc>
        <w:tc>
          <w:tcPr>
            <w:tcW w:w="785" w:type="pct"/>
            <w:textDirection w:val="btLr"/>
          </w:tcPr>
          <w:p w:rsidR="00343AD1" w:rsidRPr="00FE4491" w:rsidRDefault="00343AD1" w:rsidP="00FE4491">
            <w:pPr>
              <w:pStyle w:val="TableTextColumnHeading"/>
            </w:pPr>
            <w:r w:rsidRPr="00FE4491">
              <w:t>Approved budget and duration</w:t>
            </w:r>
          </w:p>
        </w:tc>
        <w:tc>
          <w:tcPr>
            <w:tcW w:w="399" w:type="pct"/>
            <w:textDirection w:val="btLr"/>
          </w:tcPr>
          <w:p w:rsidR="00343AD1" w:rsidRPr="00FE4491" w:rsidRDefault="00343AD1" w:rsidP="00FE4491">
            <w:pPr>
              <w:pStyle w:val="TableTextColumnHeading"/>
            </w:pPr>
            <w:proofErr w:type="spellStart"/>
            <w:r w:rsidRPr="00FE4491">
              <w:t>QaI</w:t>
            </w:r>
            <w:proofErr w:type="spellEnd"/>
            <w:r w:rsidRPr="00FE4491">
              <w:t xml:space="preserve"> year</w:t>
            </w:r>
          </w:p>
        </w:tc>
        <w:tc>
          <w:tcPr>
            <w:tcW w:w="757" w:type="pct"/>
            <w:gridSpan w:val="2"/>
            <w:textDirection w:val="btLr"/>
          </w:tcPr>
          <w:p w:rsidR="00343AD1" w:rsidRPr="00FE4491" w:rsidRDefault="00343AD1" w:rsidP="00FE4491">
            <w:pPr>
              <w:pStyle w:val="TableTextColumnHeading"/>
            </w:pPr>
            <w:r w:rsidRPr="00FE4491">
              <w:t>Relevance</w:t>
            </w:r>
          </w:p>
        </w:tc>
        <w:tc>
          <w:tcPr>
            <w:tcW w:w="351" w:type="pct"/>
            <w:textDirection w:val="btLr"/>
          </w:tcPr>
          <w:p w:rsidR="00343AD1" w:rsidRPr="00FE4491" w:rsidRDefault="00343AD1" w:rsidP="00FE4491">
            <w:pPr>
              <w:pStyle w:val="TableTextColumnHeading"/>
            </w:pPr>
            <w:r w:rsidRPr="00FE4491">
              <w:t>Effectiveness</w:t>
            </w:r>
          </w:p>
        </w:tc>
        <w:tc>
          <w:tcPr>
            <w:tcW w:w="353" w:type="pct"/>
            <w:textDirection w:val="btLr"/>
          </w:tcPr>
          <w:p w:rsidR="00343AD1" w:rsidRPr="00FE4491" w:rsidRDefault="00343AD1" w:rsidP="00FE4491">
            <w:pPr>
              <w:pStyle w:val="TableTextColumnHeading"/>
            </w:pPr>
            <w:r w:rsidRPr="00FE4491">
              <w:t>Efficiency</w:t>
            </w:r>
          </w:p>
        </w:tc>
        <w:tc>
          <w:tcPr>
            <w:tcW w:w="367" w:type="pct"/>
            <w:textDirection w:val="btLr"/>
          </w:tcPr>
          <w:p w:rsidR="00343AD1" w:rsidRPr="00FE4491" w:rsidRDefault="00343AD1" w:rsidP="00073CBA">
            <w:pPr>
              <w:pStyle w:val="TableTextColumnHeading"/>
            </w:pPr>
            <w:r w:rsidRPr="00FE4491">
              <w:t xml:space="preserve">Monitoring and </w:t>
            </w:r>
            <w:r w:rsidR="00073CBA">
              <w:t>e</w:t>
            </w:r>
            <w:r w:rsidRPr="00FE4491">
              <w:t>valuation</w:t>
            </w:r>
          </w:p>
        </w:tc>
        <w:tc>
          <w:tcPr>
            <w:tcW w:w="325" w:type="pct"/>
            <w:textDirection w:val="btLr"/>
          </w:tcPr>
          <w:p w:rsidR="00343AD1" w:rsidRPr="00FE4491" w:rsidRDefault="00343AD1" w:rsidP="00FE4491">
            <w:pPr>
              <w:pStyle w:val="TableTextColumnHeading"/>
            </w:pPr>
            <w:r w:rsidRPr="00FE4491">
              <w:t>Sustainability</w:t>
            </w:r>
          </w:p>
        </w:tc>
        <w:tc>
          <w:tcPr>
            <w:tcW w:w="353" w:type="pct"/>
            <w:textDirection w:val="btLr"/>
          </w:tcPr>
          <w:p w:rsidR="00343AD1" w:rsidRPr="00FE4491" w:rsidRDefault="00343AD1" w:rsidP="00FE4491">
            <w:pPr>
              <w:pStyle w:val="TableTextColumnHeading"/>
            </w:pPr>
            <w:r w:rsidRPr="00FE4491">
              <w:t>Gender equality</w:t>
            </w:r>
          </w:p>
        </w:tc>
        <w:tc>
          <w:tcPr>
            <w:tcW w:w="351" w:type="pct"/>
            <w:textDirection w:val="btLr"/>
          </w:tcPr>
          <w:p w:rsidR="00343AD1" w:rsidRPr="00FE4491" w:rsidRDefault="00343AD1" w:rsidP="00073CBA">
            <w:pPr>
              <w:pStyle w:val="TableTextColumnHeading"/>
            </w:pPr>
            <w:r w:rsidRPr="00FE4491">
              <w:t xml:space="preserve">Risk </w:t>
            </w:r>
            <w:r w:rsidR="00073CBA">
              <w:t>m</w:t>
            </w:r>
            <w:r w:rsidRPr="00FE4491">
              <w:t>anagement</w:t>
            </w:r>
          </w:p>
        </w:tc>
      </w:tr>
      <w:tr w:rsidR="00343AD1" w:rsidRPr="009D53C4" w:rsidTr="002D4B64">
        <w:trPr>
          <w:cnfStyle w:val="000000010000" w:firstRow="0" w:lastRow="0" w:firstColumn="0" w:lastColumn="0" w:oddVBand="0" w:evenVBand="0" w:oddHBand="0" w:evenHBand="1" w:firstRowFirstColumn="0" w:firstRowLastColumn="0" w:lastRowFirstColumn="0" w:lastRowLastColumn="0"/>
          <w:trHeight w:val="284"/>
        </w:trPr>
        <w:tc>
          <w:tcPr>
            <w:tcW w:w="765" w:type="pct"/>
            <w:vMerge w:val="restart"/>
          </w:tcPr>
          <w:p w:rsidR="00343AD1" w:rsidRDefault="00343AD1" w:rsidP="00FE4491">
            <w:pPr>
              <w:pStyle w:val="TableTextEntries"/>
            </w:pPr>
            <w:r w:rsidRPr="00FE4491">
              <w:t>Initiative 1</w:t>
            </w:r>
            <w:r>
              <w:t xml:space="preserve"> </w:t>
            </w:r>
          </w:p>
          <w:p w:rsidR="00343AD1" w:rsidRPr="00C40724" w:rsidRDefault="00343AD1" w:rsidP="00FE4491">
            <w:pPr>
              <w:pStyle w:val="TableTextEntries"/>
              <w:rPr>
                <w:b/>
              </w:rPr>
            </w:pPr>
            <w:r w:rsidRPr="00C40724">
              <w:rPr>
                <w:b/>
              </w:rPr>
              <w:t>IDB-MIF</w:t>
            </w:r>
          </w:p>
        </w:tc>
        <w:tc>
          <w:tcPr>
            <w:tcW w:w="785" w:type="pct"/>
            <w:vMerge w:val="restart"/>
          </w:tcPr>
          <w:p w:rsidR="00343AD1" w:rsidRPr="00FE4491" w:rsidRDefault="00343AD1" w:rsidP="002D4B64">
            <w:pPr>
              <w:pStyle w:val="TableTextEntries"/>
            </w:pPr>
            <w:r>
              <w:t>$10m to June 2014</w:t>
            </w:r>
          </w:p>
        </w:tc>
        <w:tc>
          <w:tcPr>
            <w:tcW w:w="757" w:type="pct"/>
            <w:gridSpan w:val="2"/>
          </w:tcPr>
          <w:p w:rsidR="00343AD1" w:rsidRPr="00FE4491" w:rsidRDefault="00343AD1" w:rsidP="00FE4491">
            <w:pPr>
              <w:pStyle w:val="TableTextEntries"/>
            </w:pPr>
            <w:r w:rsidRPr="00FE4491">
              <w:t>2012</w:t>
            </w:r>
          </w:p>
        </w:tc>
        <w:tc>
          <w:tcPr>
            <w:tcW w:w="399" w:type="pct"/>
            <w:shd w:val="clear" w:color="auto" w:fill="92D050"/>
            <w:noWrap/>
          </w:tcPr>
          <w:p w:rsidR="00343AD1" w:rsidRPr="00FE4491" w:rsidRDefault="00343AD1" w:rsidP="00FE4491">
            <w:pPr>
              <w:pStyle w:val="TableTextEntries"/>
              <w:jc w:val="center"/>
            </w:pPr>
            <w:r w:rsidRPr="00FE4491">
              <w:t>5</w:t>
            </w:r>
          </w:p>
        </w:tc>
        <w:tc>
          <w:tcPr>
            <w:tcW w:w="351" w:type="pct"/>
            <w:shd w:val="clear" w:color="auto" w:fill="FFFF00"/>
            <w:noWrap/>
          </w:tcPr>
          <w:p w:rsidR="00343AD1" w:rsidRPr="00C40724" w:rsidRDefault="00343AD1" w:rsidP="00E62086">
            <w:pPr>
              <w:pStyle w:val="TableTextEntries"/>
              <w:tabs>
                <w:tab w:val="center" w:pos="187"/>
              </w:tabs>
            </w:pPr>
            <w:r>
              <w:tab/>
            </w:r>
            <w:r w:rsidRPr="00C40724">
              <w:t>4</w:t>
            </w:r>
          </w:p>
        </w:tc>
        <w:tc>
          <w:tcPr>
            <w:tcW w:w="353" w:type="pct"/>
            <w:shd w:val="clear" w:color="auto" w:fill="F79646" w:themeFill="accent6"/>
            <w:noWrap/>
          </w:tcPr>
          <w:p w:rsidR="00343AD1" w:rsidRPr="00FE4491" w:rsidRDefault="00343AD1" w:rsidP="00FE4491">
            <w:pPr>
              <w:pStyle w:val="TableTextEntries"/>
              <w:jc w:val="center"/>
            </w:pPr>
            <w:r>
              <w:t>3</w:t>
            </w:r>
          </w:p>
        </w:tc>
        <w:tc>
          <w:tcPr>
            <w:tcW w:w="367" w:type="pct"/>
            <w:shd w:val="clear" w:color="auto" w:fill="FFFF00"/>
            <w:noWrap/>
          </w:tcPr>
          <w:p w:rsidR="00343AD1" w:rsidRPr="00FE4491" w:rsidRDefault="00343AD1" w:rsidP="00FE4491">
            <w:pPr>
              <w:pStyle w:val="TableTextEntries"/>
              <w:jc w:val="center"/>
            </w:pPr>
            <w:r>
              <w:t>4</w:t>
            </w:r>
          </w:p>
        </w:tc>
        <w:tc>
          <w:tcPr>
            <w:tcW w:w="325" w:type="pct"/>
            <w:shd w:val="clear" w:color="auto" w:fill="FFFF00"/>
            <w:noWrap/>
          </w:tcPr>
          <w:p w:rsidR="00343AD1" w:rsidRPr="00FE4491" w:rsidRDefault="00343AD1" w:rsidP="00FE4491">
            <w:pPr>
              <w:pStyle w:val="TableTextEntries"/>
              <w:jc w:val="center"/>
            </w:pPr>
            <w:r>
              <w:t>4</w:t>
            </w:r>
          </w:p>
        </w:tc>
        <w:tc>
          <w:tcPr>
            <w:tcW w:w="353" w:type="pct"/>
            <w:shd w:val="clear" w:color="auto" w:fill="92D050"/>
            <w:noWrap/>
          </w:tcPr>
          <w:p w:rsidR="00343AD1" w:rsidRPr="00FE4491" w:rsidRDefault="00343AD1" w:rsidP="00FE4491">
            <w:pPr>
              <w:pStyle w:val="TableTextEntries"/>
              <w:jc w:val="center"/>
            </w:pPr>
            <w:r>
              <w:t>5</w:t>
            </w:r>
          </w:p>
        </w:tc>
        <w:tc>
          <w:tcPr>
            <w:tcW w:w="351" w:type="pct"/>
            <w:shd w:val="clear" w:color="auto" w:fill="F79646" w:themeFill="accent6"/>
            <w:noWrap/>
          </w:tcPr>
          <w:p w:rsidR="00343AD1" w:rsidRPr="00FE4491" w:rsidRDefault="00343AD1" w:rsidP="00FE4491">
            <w:pPr>
              <w:pStyle w:val="TableTextEntries"/>
              <w:jc w:val="center"/>
            </w:pPr>
            <w:r w:rsidRPr="00C40724">
              <w:t>I</w:t>
            </w:r>
          </w:p>
        </w:tc>
      </w:tr>
      <w:tr w:rsidR="00343AD1" w:rsidRPr="009D53C4" w:rsidTr="002D4B64">
        <w:trPr>
          <w:cnfStyle w:val="000000010000" w:firstRow="0" w:lastRow="0" w:firstColumn="0" w:lastColumn="0" w:oddVBand="0" w:evenVBand="0" w:oddHBand="0" w:evenHBand="1" w:firstRowFirstColumn="0" w:firstRowLastColumn="0" w:lastRowFirstColumn="0" w:lastRowLastColumn="0"/>
          <w:trHeight w:val="284"/>
        </w:trPr>
        <w:tc>
          <w:tcPr>
            <w:tcW w:w="765" w:type="pct"/>
            <w:vMerge/>
          </w:tcPr>
          <w:p w:rsidR="00343AD1" w:rsidRPr="00FE4491" w:rsidRDefault="00343AD1" w:rsidP="00FE4491">
            <w:pPr>
              <w:pStyle w:val="TableTextEntries"/>
            </w:pPr>
          </w:p>
        </w:tc>
        <w:tc>
          <w:tcPr>
            <w:tcW w:w="785" w:type="pct"/>
            <w:vMerge/>
          </w:tcPr>
          <w:p w:rsidR="00343AD1" w:rsidRPr="00FE4491" w:rsidRDefault="00343AD1" w:rsidP="00FE4491">
            <w:pPr>
              <w:pStyle w:val="TableTextEntries"/>
            </w:pPr>
          </w:p>
        </w:tc>
        <w:tc>
          <w:tcPr>
            <w:tcW w:w="757" w:type="pct"/>
            <w:gridSpan w:val="2"/>
          </w:tcPr>
          <w:p w:rsidR="00343AD1" w:rsidRPr="00FE4491" w:rsidRDefault="00343AD1" w:rsidP="00FE4491">
            <w:pPr>
              <w:pStyle w:val="TableTextEntries"/>
            </w:pPr>
            <w:r w:rsidRPr="00FE4491">
              <w:t>2011</w:t>
            </w:r>
          </w:p>
        </w:tc>
        <w:tc>
          <w:tcPr>
            <w:tcW w:w="399" w:type="pct"/>
            <w:shd w:val="clear" w:color="auto" w:fill="92D050"/>
            <w:noWrap/>
          </w:tcPr>
          <w:p w:rsidR="00343AD1" w:rsidRPr="00FE4491" w:rsidRDefault="00343AD1" w:rsidP="00FE4491">
            <w:pPr>
              <w:pStyle w:val="TableTextEntries"/>
              <w:jc w:val="center"/>
            </w:pPr>
            <w:r w:rsidRPr="00FE4491">
              <w:t>5</w:t>
            </w:r>
          </w:p>
        </w:tc>
        <w:tc>
          <w:tcPr>
            <w:tcW w:w="351" w:type="pct"/>
            <w:shd w:val="clear" w:color="auto" w:fill="FFFF00"/>
            <w:noWrap/>
          </w:tcPr>
          <w:p w:rsidR="00343AD1" w:rsidRPr="00FE4491" w:rsidRDefault="00343AD1" w:rsidP="00FE4491">
            <w:pPr>
              <w:pStyle w:val="TableTextEntries"/>
              <w:jc w:val="center"/>
            </w:pPr>
            <w:r>
              <w:t>4</w:t>
            </w:r>
          </w:p>
        </w:tc>
        <w:tc>
          <w:tcPr>
            <w:tcW w:w="353" w:type="pct"/>
            <w:shd w:val="clear" w:color="auto" w:fill="FFFF00"/>
            <w:noWrap/>
          </w:tcPr>
          <w:p w:rsidR="00343AD1" w:rsidRPr="00FE4491" w:rsidRDefault="00343AD1" w:rsidP="00FE4491">
            <w:pPr>
              <w:pStyle w:val="TableTextEntries"/>
              <w:jc w:val="center"/>
            </w:pPr>
            <w:r>
              <w:t>4</w:t>
            </w:r>
          </w:p>
        </w:tc>
        <w:tc>
          <w:tcPr>
            <w:tcW w:w="367" w:type="pct"/>
            <w:shd w:val="clear" w:color="auto" w:fill="FFFF00"/>
            <w:noWrap/>
          </w:tcPr>
          <w:p w:rsidR="00343AD1" w:rsidRPr="00FE4491" w:rsidRDefault="00343AD1" w:rsidP="00FE4491">
            <w:pPr>
              <w:pStyle w:val="TableTextEntries"/>
              <w:jc w:val="center"/>
            </w:pPr>
            <w:r>
              <w:t>4</w:t>
            </w:r>
          </w:p>
        </w:tc>
        <w:tc>
          <w:tcPr>
            <w:tcW w:w="325" w:type="pct"/>
            <w:shd w:val="clear" w:color="auto" w:fill="B8CCE4" w:themeFill="accent1" w:themeFillTint="66"/>
            <w:noWrap/>
          </w:tcPr>
          <w:p w:rsidR="00343AD1" w:rsidRPr="00FE4491" w:rsidRDefault="00343AD1" w:rsidP="00FE4491">
            <w:pPr>
              <w:pStyle w:val="TableTextEntries"/>
              <w:jc w:val="center"/>
            </w:pPr>
            <w:r>
              <w:t>N/A</w:t>
            </w:r>
          </w:p>
        </w:tc>
        <w:tc>
          <w:tcPr>
            <w:tcW w:w="353" w:type="pct"/>
            <w:shd w:val="clear" w:color="auto" w:fill="92D050"/>
            <w:noWrap/>
          </w:tcPr>
          <w:p w:rsidR="00343AD1" w:rsidRPr="00FE4491" w:rsidRDefault="00343AD1" w:rsidP="00FE4491">
            <w:pPr>
              <w:pStyle w:val="TableTextEntries"/>
              <w:jc w:val="center"/>
            </w:pPr>
            <w:r>
              <w:t>5</w:t>
            </w:r>
          </w:p>
        </w:tc>
        <w:tc>
          <w:tcPr>
            <w:tcW w:w="351" w:type="pct"/>
            <w:shd w:val="clear" w:color="auto" w:fill="F79646" w:themeFill="accent6"/>
            <w:noWrap/>
          </w:tcPr>
          <w:p w:rsidR="00343AD1" w:rsidRPr="00FE4491" w:rsidRDefault="00343AD1" w:rsidP="00FE4491">
            <w:pPr>
              <w:pStyle w:val="TableTextEntries"/>
              <w:jc w:val="center"/>
            </w:pPr>
            <w:r w:rsidRPr="00FE4491">
              <w:t>I</w:t>
            </w:r>
          </w:p>
        </w:tc>
      </w:tr>
      <w:tr w:rsidR="00343AD1" w:rsidRPr="009D53C4" w:rsidTr="002D4B64">
        <w:trPr>
          <w:cnfStyle w:val="000000010000" w:firstRow="0" w:lastRow="0" w:firstColumn="0" w:lastColumn="0" w:oddVBand="0" w:evenVBand="0" w:oddHBand="0" w:evenHBand="1" w:firstRowFirstColumn="0" w:firstRowLastColumn="0" w:lastRowFirstColumn="0" w:lastRowLastColumn="0"/>
          <w:trHeight w:val="284"/>
        </w:trPr>
        <w:tc>
          <w:tcPr>
            <w:tcW w:w="765" w:type="pct"/>
            <w:vMerge w:val="restart"/>
          </w:tcPr>
          <w:p w:rsidR="00343AD1" w:rsidRDefault="00343AD1" w:rsidP="00C40724">
            <w:pPr>
              <w:pStyle w:val="TableTextEntries"/>
            </w:pPr>
            <w:r w:rsidRPr="00FE4491">
              <w:t xml:space="preserve">Initiative </w:t>
            </w:r>
            <w:r w:rsidR="0064621D">
              <w:t>2</w:t>
            </w:r>
          </w:p>
          <w:p w:rsidR="00343AD1" w:rsidRPr="00C40724" w:rsidRDefault="00343AD1" w:rsidP="00C40724">
            <w:pPr>
              <w:pStyle w:val="TableTextEntries"/>
              <w:rPr>
                <w:b/>
              </w:rPr>
            </w:pPr>
            <w:r w:rsidRPr="00C40724">
              <w:rPr>
                <w:b/>
              </w:rPr>
              <w:t>Awards</w:t>
            </w:r>
          </w:p>
        </w:tc>
        <w:tc>
          <w:tcPr>
            <w:tcW w:w="785" w:type="pct"/>
            <w:vMerge w:val="restart"/>
          </w:tcPr>
          <w:p w:rsidR="00343AD1" w:rsidRPr="00FE4491" w:rsidRDefault="00343AD1" w:rsidP="00C40724">
            <w:pPr>
              <w:pStyle w:val="TableTextEntries"/>
            </w:pPr>
            <w:r>
              <w:t>$40m to March 2014</w:t>
            </w:r>
          </w:p>
        </w:tc>
        <w:tc>
          <w:tcPr>
            <w:tcW w:w="757" w:type="pct"/>
            <w:gridSpan w:val="2"/>
          </w:tcPr>
          <w:p w:rsidR="00343AD1" w:rsidRPr="00FE4491" w:rsidRDefault="00343AD1" w:rsidP="00C40724">
            <w:pPr>
              <w:pStyle w:val="TableTextEntries"/>
            </w:pPr>
            <w:r w:rsidRPr="00FE4491">
              <w:t>2012</w:t>
            </w:r>
          </w:p>
        </w:tc>
        <w:tc>
          <w:tcPr>
            <w:tcW w:w="399" w:type="pct"/>
            <w:shd w:val="clear" w:color="auto" w:fill="92D050"/>
            <w:noWrap/>
          </w:tcPr>
          <w:p w:rsidR="00343AD1" w:rsidRPr="00FE4491" w:rsidRDefault="00343AD1" w:rsidP="00C40724">
            <w:pPr>
              <w:pStyle w:val="TableTextEntries"/>
              <w:jc w:val="center"/>
            </w:pPr>
            <w:r w:rsidRPr="00FE4491">
              <w:t>5</w:t>
            </w:r>
          </w:p>
        </w:tc>
        <w:tc>
          <w:tcPr>
            <w:tcW w:w="351" w:type="pct"/>
            <w:shd w:val="clear" w:color="auto" w:fill="92D050"/>
            <w:noWrap/>
          </w:tcPr>
          <w:p w:rsidR="00343AD1" w:rsidRPr="00FE4491" w:rsidRDefault="00343AD1" w:rsidP="00C40724">
            <w:pPr>
              <w:pStyle w:val="TableTextEntries"/>
              <w:jc w:val="center"/>
            </w:pPr>
            <w:r>
              <w:t>6</w:t>
            </w:r>
          </w:p>
        </w:tc>
        <w:tc>
          <w:tcPr>
            <w:tcW w:w="353" w:type="pct"/>
            <w:shd w:val="clear" w:color="auto" w:fill="FFFF00"/>
            <w:noWrap/>
          </w:tcPr>
          <w:p w:rsidR="00343AD1" w:rsidRPr="00FE4491" w:rsidRDefault="00343AD1" w:rsidP="00C40724">
            <w:pPr>
              <w:pStyle w:val="TableTextEntries"/>
              <w:jc w:val="center"/>
            </w:pPr>
            <w:r>
              <w:t>5</w:t>
            </w:r>
          </w:p>
        </w:tc>
        <w:tc>
          <w:tcPr>
            <w:tcW w:w="367" w:type="pct"/>
            <w:shd w:val="clear" w:color="auto" w:fill="F79646" w:themeFill="accent6"/>
            <w:noWrap/>
          </w:tcPr>
          <w:p w:rsidR="00343AD1" w:rsidRPr="00FE4491" w:rsidRDefault="00343AD1" w:rsidP="00C40724">
            <w:pPr>
              <w:pStyle w:val="TableTextEntries"/>
              <w:jc w:val="center"/>
            </w:pPr>
            <w:r>
              <w:t>3</w:t>
            </w:r>
          </w:p>
        </w:tc>
        <w:tc>
          <w:tcPr>
            <w:tcW w:w="325" w:type="pct"/>
            <w:shd w:val="clear" w:color="auto" w:fill="92D050"/>
            <w:noWrap/>
          </w:tcPr>
          <w:p w:rsidR="00343AD1" w:rsidRPr="00FE4491" w:rsidRDefault="00343AD1" w:rsidP="00C40724">
            <w:pPr>
              <w:pStyle w:val="TableTextEntries"/>
              <w:jc w:val="center"/>
            </w:pPr>
            <w:r>
              <w:t>5</w:t>
            </w:r>
          </w:p>
        </w:tc>
        <w:tc>
          <w:tcPr>
            <w:tcW w:w="353" w:type="pct"/>
            <w:shd w:val="clear" w:color="auto" w:fill="92D050"/>
            <w:noWrap/>
          </w:tcPr>
          <w:p w:rsidR="00343AD1" w:rsidRPr="00FE4491" w:rsidRDefault="00343AD1" w:rsidP="00C40724">
            <w:pPr>
              <w:pStyle w:val="TableTextEntries"/>
              <w:jc w:val="center"/>
            </w:pPr>
            <w:r>
              <w:t>6</w:t>
            </w:r>
          </w:p>
        </w:tc>
        <w:tc>
          <w:tcPr>
            <w:tcW w:w="351" w:type="pct"/>
            <w:shd w:val="clear" w:color="auto" w:fill="92D050"/>
            <w:noWrap/>
          </w:tcPr>
          <w:p w:rsidR="00343AD1" w:rsidRPr="00FE4491" w:rsidRDefault="00343AD1" w:rsidP="00C40724">
            <w:pPr>
              <w:pStyle w:val="TableTextEntries"/>
              <w:jc w:val="center"/>
            </w:pPr>
            <w:r w:rsidRPr="00FE4491">
              <w:t>M</w:t>
            </w:r>
          </w:p>
        </w:tc>
      </w:tr>
      <w:tr w:rsidR="00343AD1" w:rsidRPr="009D53C4" w:rsidTr="002D4B64">
        <w:trPr>
          <w:cnfStyle w:val="000000010000" w:firstRow="0" w:lastRow="0" w:firstColumn="0" w:lastColumn="0" w:oddVBand="0" w:evenVBand="0" w:oddHBand="0" w:evenHBand="1" w:firstRowFirstColumn="0" w:firstRowLastColumn="0" w:lastRowFirstColumn="0" w:lastRowLastColumn="0"/>
          <w:trHeight w:val="284"/>
        </w:trPr>
        <w:tc>
          <w:tcPr>
            <w:tcW w:w="765" w:type="pct"/>
            <w:vMerge/>
          </w:tcPr>
          <w:p w:rsidR="00343AD1" w:rsidRPr="00FE4491" w:rsidRDefault="00343AD1" w:rsidP="00C40724">
            <w:pPr>
              <w:pStyle w:val="TableTextEntries"/>
            </w:pPr>
          </w:p>
        </w:tc>
        <w:tc>
          <w:tcPr>
            <w:tcW w:w="785" w:type="pct"/>
            <w:vMerge/>
          </w:tcPr>
          <w:p w:rsidR="00343AD1" w:rsidRPr="00FE4491" w:rsidRDefault="00343AD1" w:rsidP="00C40724">
            <w:pPr>
              <w:pStyle w:val="TableTextEntries"/>
            </w:pPr>
          </w:p>
        </w:tc>
        <w:tc>
          <w:tcPr>
            <w:tcW w:w="757" w:type="pct"/>
            <w:gridSpan w:val="2"/>
          </w:tcPr>
          <w:p w:rsidR="00343AD1" w:rsidRPr="00FE4491" w:rsidRDefault="00343AD1" w:rsidP="00C40724">
            <w:pPr>
              <w:pStyle w:val="TableTextEntries"/>
            </w:pPr>
            <w:r w:rsidRPr="00FE4491">
              <w:t>2011</w:t>
            </w:r>
          </w:p>
        </w:tc>
        <w:tc>
          <w:tcPr>
            <w:tcW w:w="399" w:type="pct"/>
            <w:shd w:val="clear" w:color="auto" w:fill="B8CCE4" w:themeFill="accent1" w:themeFillTint="66"/>
            <w:noWrap/>
          </w:tcPr>
          <w:p w:rsidR="00343AD1" w:rsidRPr="00FE4491" w:rsidRDefault="00343AD1" w:rsidP="00C40724">
            <w:pPr>
              <w:pStyle w:val="TableTextEntries"/>
              <w:jc w:val="center"/>
            </w:pPr>
            <w:r>
              <w:t>N/A</w:t>
            </w:r>
          </w:p>
        </w:tc>
        <w:tc>
          <w:tcPr>
            <w:tcW w:w="351" w:type="pct"/>
            <w:shd w:val="clear" w:color="auto" w:fill="B8CCE4" w:themeFill="accent1" w:themeFillTint="66"/>
            <w:noWrap/>
          </w:tcPr>
          <w:p w:rsidR="00343AD1" w:rsidRPr="00FE4491" w:rsidRDefault="00343AD1" w:rsidP="00C40724">
            <w:pPr>
              <w:pStyle w:val="TableTextEntries"/>
              <w:jc w:val="center"/>
            </w:pPr>
            <w:r>
              <w:t>N/A</w:t>
            </w:r>
          </w:p>
        </w:tc>
        <w:tc>
          <w:tcPr>
            <w:tcW w:w="353" w:type="pct"/>
            <w:shd w:val="clear" w:color="auto" w:fill="B8CCE4" w:themeFill="accent1" w:themeFillTint="66"/>
            <w:noWrap/>
          </w:tcPr>
          <w:p w:rsidR="00343AD1" w:rsidRPr="00FE4491" w:rsidRDefault="00343AD1" w:rsidP="00C40724">
            <w:pPr>
              <w:pStyle w:val="TableTextEntries"/>
              <w:jc w:val="center"/>
            </w:pPr>
            <w:r>
              <w:t>N/A</w:t>
            </w:r>
          </w:p>
        </w:tc>
        <w:tc>
          <w:tcPr>
            <w:tcW w:w="367" w:type="pct"/>
            <w:shd w:val="clear" w:color="auto" w:fill="B8CCE4" w:themeFill="accent1" w:themeFillTint="66"/>
            <w:noWrap/>
          </w:tcPr>
          <w:p w:rsidR="00343AD1" w:rsidRPr="00FE4491" w:rsidRDefault="00343AD1" w:rsidP="00C40724">
            <w:pPr>
              <w:pStyle w:val="TableTextEntries"/>
              <w:jc w:val="center"/>
            </w:pPr>
            <w:r>
              <w:t>N/A</w:t>
            </w:r>
          </w:p>
        </w:tc>
        <w:tc>
          <w:tcPr>
            <w:tcW w:w="325" w:type="pct"/>
            <w:shd w:val="clear" w:color="auto" w:fill="B8CCE4" w:themeFill="accent1" w:themeFillTint="66"/>
            <w:noWrap/>
          </w:tcPr>
          <w:p w:rsidR="00343AD1" w:rsidRPr="00FE4491" w:rsidRDefault="00343AD1" w:rsidP="00C40724">
            <w:pPr>
              <w:pStyle w:val="TableTextEntries"/>
              <w:jc w:val="center"/>
            </w:pPr>
            <w:r>
              <w:t>N/A</w:t>
            </w:r>
          </w:p>
        </w:tc>
        <w:tc>
          <w:tcPr>
            <w:tcW w:w="353" w:type="pct"/>
            <w:shd w:val="clear" w:color="auto" w:fill="B8CCE4" w:themeFill="accent1" w:themeFillTint="66"/>
            <w:noWrap/>
          </w:tcPr>
          <w:p w:rsidR="00343AD1" w:rsidRPr="00FE4491" w:rsidRDefault="00343AD1" w:rsidP="00C40724">
            <w:pPr>
              <w:pStyle w:val="TableTextEntries"/>
              <w:jc w:val="center"/>
            </w:pPr>
            <w:r>
              <w:t>N/A</w:t>
            </w:r>
          </w:p>
        </w:tc>
        <w:tc>
          <w:tcPr>
            <w:tcW w:w="351" w:type="pct"/>
            <w:shd w:val="clear" w:color="auto" w:fill="B8CCE4" w:themeFill="accent1" w:themeFillTint="66"/>
            <w:noWrap/>
          </w:tcPr>
          <w:p w:rsidR="00343AD1" w:rsidRPr="00FE4491" w:rsidRDefault="00343AD1" w:rsidP="00C40724">
            <w:pPr>
              <w:pStyle w:val="TableTextEntries"/>
              <w:jc w:val="center"/>
            </w:pPr>
            <w:r>
              <w:t>N/A</w:t>
            </w:r>
          </w:p>
        </w:tc>
      </w:tr>
      <w:tr w:rsidR="00343AD1" w:rsidRPr="009D53C4" w:rsidTr="002D4B64">
        <w:trPr>
          <w:cnfStyle w:val="000000010000" w:firstRow="0" w:lastRow="0" w:firstColumn="0" w:lastColumn="0" w:oddVBand="0" w:evenVBand="0" w:oddHBand="0" w:evenHBand="1" w:firstRowFirstColumn="0" w:firstRowLastColumn="0" w:lastRowFirstColumn="0" w:lastRowLastColumn="0"/>
          <w:trHeight w:val="284"/>
        </w:trPr>
        <w:tc>
          <w:tcPr>
            <w:tcW w:w="765" w:type="pct"/>
            <w:vMerge w:val="restart"/>
          </w:tcPr>
          <w:p w:rsidR="00343AD1" w:rsidRDefault="00343AD1" w:rsidP="00FE4491">
            <w:pPr>
              <w:pStyle w:val="TableTextEntries"/>
            </w:pPr>
            <w:r w:rsidRPr="00FE4491">
              <w:t xml:space="preserve">Initiative </w:t>
            </w:r>
            <w:r w:rsidR="0064621D">
              <w:t>3</w:t>
            </w:r>
          </w:p>
          <w:p w:rsidR="00343AD1" w:rsidRPr="00C40724" w:rsidRDefault="00343AD1" w:rsidP="00FE4491">
            <w:pPr>
              <w:pStyle w:val="TableTextEntries"/>
              <w:rPr>
                <w:b/>
              </w:rPr>
            </w:pPr>
            <w:r w:rsidRPr="00C40724">
              <w:rPr>
                <w:b/>
              </w:rPr>
              <w:t>PSLP</w:t>
            </w:r>
          </w:p>
        </w:tc>
        <w:tc>
          <w:tcPr>
            <w:tcW w:w="785" w:type="pct"/>
            <w:vMerge w:val="restart"/>
          </w:tcPr>
          <w:p w:rsidR="00343AD1" w:rsidRDefault="00343AD1" w:rsidP="00FE4491">
            <w:pPr>
              <w:pStyle w:val="TableTextEntries"/>
            </w:pPr>
            <w:r>
              <w:t xml:space="preserve">$6.56m to </w:t>
            </w:r>
          </w:p>
          <w:p w:rsidR="00343AD1" w:rsidRPr="00FE4491" w:rsidRDefault="00343AD1" w:rsidP="00FE4491">
            <w:pPr>
              <w:pStyle w:val="TableTextEntries"/>
            </w:pPr>
            <w:r>
              <w:t>May 2015</w:t>
            </w:r>
          </w:p>
        </w:tc>
        <w:tc>
          <w:tcPr>
            <w:tcW w:w="757" w:type="pct"/>
            <w:gridSpan w:val="2"/>
          </w:tcPr>
          <w:p w:rsidR="00343AD1" w:rsidRPr="00FE4491" w:rsidRDefault="00343AD1" w:rsidP="00FE4491">
            <w:pPr>
              <w:pStyle w:val="TableTextEntries"/>
            </w:pPr>
            <w:r w:rsidRPr="00FE4491">
              <w:t>2012</w:t>
            </w:r>
          </w:p>
        </w:tc>
        <w:tc>
          <w:tcPr>
            <w:tcW w:w="399" w:type="pct"/>
            <w:shd w:val="clear" w:color="auto" w:fill="92D050"/>
            <w:noWrap/>
          </w:tcPr>
          <w:p w:rsidR="00343AD1" w:rsidRPr="00FE4491" w:rsidRDefault="00343AD1" w:rsidP="00FE4491">
            <w:pPr>
              <w:pStyle w:val="TableTextEntries"/>
              <w:jc w:val="center"/>
            </w:pPr>
            <w:r w:rsidRPr="00FE4491">
              <w:t>5</w:t>
            </w:r>
          </w:p>
        </w:tc>
        <w:tc>
          <w:tcPr>
            <w:tcW w:w="351" w:type="pct"/>
            <w:shd w:val="clear" w:color="auto" w:fill="FFFF00"/>
            <w:noWrap/>
          </w:tcPr>
          <w:p w:rsidR="00343AD1" w:rsidRPr="00E62086" w:rsidRDefault="00343AD1" w:rsidP="00FE4491">
            <w:pPr>
              <w:pStyle w:val="TableTextEntries"/>
              <w:jc w:val="center"/>
            </w:pPr>
            <w:r w:rsidRPr="00E62086">
              <w:t>4</w:t>
            </w:r>
          </w:p>
        </w:tc>
        <w:tc>
          <w:tcPr>
            <w:tcW w:w="353" w:type="pct"/>
            <w:shd w:val="clear" w:color="auto" w:fill="FFFF00"/>
            <w:noWrap/>
          </w:tcPr>
          <w:p w:rsidR="00343AD1" w:rsidRPr="00E62086" w:rsidRDefault="00343AD1" w:rsidP="00FE4491">
            <w:pPr>
              <w:pStyle w:val="TableTextEntries"/>
              <w:jc w:val="center"/>
            </w:pPr>
            <w:r w:rsidRPr="00E62086">
              <w:t>4</w:t>
            </w:r>
          </w:p>
        </w:tc>
        <w:tc>
          <w:tcPr>
            <w:tcW w:w="367" w:type="pct"/>
            <w:shd w:val="clear" w:color="auto" w:fill="F79646" w:themeFill="accent6"/>
            <w:noWrap/>
          </w:tcPr>
          <w:p w:rsidR="00343AD1" w:rsidRPr="00E62086" w:rsidRDefault="00343AD1" w:rsidP="00FE4491">
            <w:pPr>
              <w:pStyle w:val="TableTextEntries"/>
              <w:jc w:val="center"/>
            </w:pPr>
            <w:r w:rsidRPr="00E62086">
              <w:t>3</w:t>
            </w:r>
          </w:p>
        </w:tc>
        <w:tc>
          <w:tcPr>
            <w:tcW w:w="325" w:type="pct"/>
            <w:shd w:val="clear" w:color="auto" w:fill="FFFF00"/>
            <w:noWrap/>
          </w:tcPr>
          <w:p w:rsidR="00343AD1" w:rsidRPr="00E62086" w:rsidRDefault="00343AD1" w:rsidP="00FE4491">
            <w:pPr>
              <w:pStyle w:val="TableTextEntries"/>
              <w:jc w:val="center"/>
            </w:pPr>
            <w:r w:rsidRPr="00E62086">
              <w:t>4</w:t>
            </w:r>
          </w:p>
        </w:tc>
        <w:tc>
          <w:tcPr>
            <w:tcW w:w="353" w:type="pct"/>
            <w:shd w:val="clear" w:color="auto" w:fill="FFFF00"/>
            <w:noWrap/>
          </w:tcPr>
          <w:p w:rsidR="00343AD1" w:rsidRPr="00E62086" w:rsidRDefault="00343AD1" w:rsidP="00FE4491">
            <w:pPr>
              <w:pStyle w:val="TableTextEntries"/>
              <w:jc w:val="center"/>
            </w:pPr>
            <w:r w:rsidRPr="00E62086">
              <w:t>4</w:t>
            </w:r>
          </w:p>
        </w:tc>
        <w:tc>
          <w:tcPr>
            <w:tcW w:w="351" w:type="pct"/>
            <w:shd w:val="clear" w:color="auto" w:fill="92D050"/>
            <w:noWrap/>
          </w:tcPr>
          <w:p w:rsidR="00343AD1" w:rsidRPr="00FE4491" w:rsidRDefault="00343AD1" w:rsidP="00FE4491">
            <w:pPr>
              <w:pStyle w:val="TableTextEntries"/>
              <w:jc w:val="center"/>
            </w:pPr>
            <w:r w:rsidRPr="00C40724">
              <w:t>M</w:t>
            </w:r>
          </w:p>
        </w:tc>
      </w:tr>
      <w:tr w:rsidR="00343AD1" w:rsidRPr="009D53C4" w:rsidTr="002049C1">
        <w:trPr>
          <w:cnfStyle w:val="000000010000" w:firstRow="0" w:lastRow="0" w:firstColumn="0" w:lastColumn="0" w:oddVBand="0" w:evenVBand="0" w:oddHBand="0" w:evenHBand="1" w:firstRowFirstColumn="0" w:firstRowLastColumn="0" w:lastRowFirstColumn="0" w:lastRowLastColumn="0"/>
          <w:trHeight w:val="284"/>
        </w:trPr>
        <w:tc>
          <w:tcPr>
            <w:tcW w:w="765" w:type="pct"/>
            <w:vMerge/>
          </w:tcPr>
          <w:p w:rsidR="00343AD1" w:rsidRPr="00FE4491" w:rsidRDefault="00343AD1" w:rsidP="00FE4491">
            <w:pPr>
              <w:pStyle w:val="TableTextEntries"/>
            </w:pPr>
          </w:p>
        </w:tc>
        <w:tc>
          <w:tcPr>
            <w:tcW w:w="785" w:type="pct"/>
            <w:vMerge/>
          </w:tcPr>
          <w:p w:rsidR="00343AD1" w:rsidRPr="00FE4491" w:rsidRDefault="00343AD1" w:rsidP="00FE4491">
            <w:pPr>
              <w:pStyle w:val="TableTextEntries"/>
            </w:pPr>
          </w:p>
        </w:tc>
        <w:tc>
          <w:tcPr>
            <w:tcW w:w="757" w:type="pct"/>
            <w:gridSpan w:val="2"/>
          </w:tcPr>
          <w:p w:rsidR="00343AD1" w:rsidRPr="00FE4491" w:rsidRDefault="00343AD1" w:rsidP="00FE4491">
            <w:pPr>
              <w:pStyle w:val="TableTextEntries"/>
            </w:pPr>
            <w:r w:rsidRPr="00FE4491">
              <w:t>2011</w:t>
            </w:r>
          </w:p>
        </w:tc>
        <w:tc>
          <w:tcPr>
            <w:tcW w:w="399" w:type="pct"/>
            <w:shd w:val="clear" w:color="auto" w:fill="B8CCE4" w:themeFill="accent1" w:themeFillTint="66"/>
            <w:noWrap/>
          </w:tcPr>
          <w:p w:rsidR="00343AD1" w:rsidRPr="00FE4491" w:rsidRDefault="00343AD1" w:rsidP="00FE4491">
            <w:pPr>
              <w:pStyle w:val="TableTextEntries"/>
              <w:jc w:val="center"/>
            </w:pPr>
            <w:r>
              <w:t>N/A</w:t>
            </w:r>
          </w:p>
        </w:tc>
        <w:tc>
          <w:tcPr>
            <w:tcW w:w="351" w:type="pct"/>
            <w:shd w:val="clear" w:color="auto" w:fill="B8CCE4" w:themeFill="accent1" w:themeFillTint="66"/>
            <w:noWrap/>
          </w:tcPr>
          <w:p w:rsidR="00343AD1" w:rsidRPr="00FE4491" w:rsidRDefault="00343AD1" w:rsidP="00FE4491">
            <w:pPr>
              <w:pStyle w:val="TableTextEntries"/>
              <w:jc w:val="center"/>
            </w:pPr>
            <w:r>
              <w:t>N/A</w:t>
            </w:r>
          </w:p>
        </w:tc>
        <w:tc>
          <w:tcPr>
            <w:tcW w:w="353" w:type="pct"/>
            <w:shd w:val="clear" w:color="auto" w:fill="B8CCE4" w:themeFill="accent1" w:themeFillTint="66"/>
            <w:noWrap/>
          </w:tcPr>
          <w:p w:rsidR="00343AD1" w:rsidRPr="00FE4491" w:rsidRDefault="00343AD1" w:rsidP="00FE4491">
            <w:pPr>
              <w:pStyle w:val="TableTextEntries"/>
              <w:jc w:val="center"/>
            </w:pPr>
            <w:r>
              <w:t>N/A</w:t>
            </w:r>
          </w:p>
        </w:tc>
        <w:tc>
          <w:tcPr>
            <w:tcW w:w="367" w:type="pct"/>
            <w:shd w:val="clear" w:color="auto" w:fill="B8CCE4" w:themeFill="accent1" w:themeFillTint="66"/>
            <w:noWrap/>
          </w:tcPr>
          <w:p w:rsidR="00343AD1" w:rsidRPr="00FE4491" w:rsidRDefault="00343AD1" w:rsidP="00FE4491">
            <w:pPr>
              <w:pStyle w:val="TableTextEntries"/>
              <w:jc w:val="center"/>
            </w:pPr>
            <w:r>
              <w:t>N/A</w:t>
            </w:r>
          </w:p>
        </w:tc>
        <w:tc>
          <w:tcPr>
            <w:tcW w:w="325" w:type="pct"/>
            <w:shd w:val="clear" w:color="auto" w:fill="B8CCE4" w:themeFill="accent1" w:themeFillTint="66"/>
            <w:noWrap/>
          </w:tcPr>
          <w:p w:rsidR="00343AD1" w:rsidRPr="00FE4491" w:rsidRDefault="00343AD1" w:rsidP="00FE4491">
            <w:pPr>
              <w:pStyle w:val="TableTextEntries"/>
              <w:jc w:val="center"/>
            </w:pPr>
            <w:r>
              <w:t>N/A</w:t>
            </w:r>
          </w:p>
        </w:tc>
        <w:tc>
          <w:tcPr>
            <w:tcW w:w="353" w:type="pct"/>
            <w:shd w:val="clear" w:color="auto" w:fill="B8CCE4" w:themeFill="accent1" w:themeFillTint="66"/>
            <w:noWrap/>
          </w:tcPr>
          <w:p w:rsidR="00343AD1" w:rsidRPr="00FE4491" w:rsidRDefault="00343AD1" w:rsidP="00FE4491">
            <w:pPr>
              <w:pStyle w:val="TableTextEntries"/>
              <w:jc w:val="center"/>
            </w:pPr>
            <w:r>
              <w:t>N/A</w:t>
            </w:r>
          </w:p>
        </w:tc>
        <w:tc>
          <w:tcPr>
            <w:tcW w:w="351" w:type="pct"/>
            <w:shd w:val="clear" w:color="auto" w:fill="B8CCE4" w:themeFill="accent1" w:themeFillTint="66"/>
            <w:noWrap/>
          </w:tcPr>
          <w:p w:rsidR="00343AD1" w:rsidRPr="00FE4491" w:rsidRDefault="00343AD1" w:rsidP="00FE4491">
            <w:pPr>
              <w:pStyle w:val="TableTextEntries"/>
              <w:jc w:val="center"/>
            </w:pPr>
            <w:r>
              <w:t>N/A</w:t>
            </w:r>
          </w:p>
        </w:tc>
      </w:tr>
    </w:tbl>
    <w:p w:rsidR="00343AD1" w:rsidRDefault="00343AD1" w:rsidP="00FE4491">
      <w:pPr>
        <w:pStyle w:val="Note"/>
      </w:pPr>
      <w:r>
        <w:t>Definitions of rating scale:</w:t>
      </w:r>
      <w:r>
        <w:tab/>
      </w:r>
    </w:p>
    <w:p w:rsidR="00343AD1" w:rsidRDefault="00343AD1" w:rsidP="00FE4491">
      <w:pPr>
        <w:pStyle w:val="Note"/>
      </w:pPr>
      <w:r>
        <w:t>Satisfactory (4, 5 and 6)</w:t>
      </w:r>
    </w:p>
    <w:p w:rsidR="00343AD1" w:rsidRDefault="00343AD1" w:rsidP="00FE4491">
      <w:pPr>
        <w:pStyle w:val="Note"/>
      </w:pPr>
      <w:r w:rsidRPr="00FE4491">
        <w:rPr>
          <w:color w:val="92D050"/>
        </w:rPr>
        <w:sym w:font="Webdings" w:char="F067"/>
      </w:r>
      <w:r>
        <w:t xml:space="preserve"> = 6 = Very high quality</w:t>
      </w:r>
    </w:p>
    <w:p w:rsidR="00343AD1" w:rsidRDefault="00343AD1" w:rsidP="00FE4491">
      <w:pPr>
        <w:pStyle w:val="Note"/>
      </w:pPr>
      <w:r w:rsidRPr="00FE4491">
        <w:rPr>
          <w:color w:val="92D050"/>
        </w:rPr>
        <w:sym w:font="Webdings" w:char="F067"/>
      </w:r>
      <w:r>
        <w:t xml:space="preserve"> = 5 = Good quality</w:t>
      </w:r>
    </w:p>
    <w:p w:rsidR="00343AD1" w:rsidRDefault="00343AD1" w:rsidP="00FE4491">
      <w:pPr>
        <w:pStyle w:val="Note"/>
      </w:pPr>
      <w:r w:rsidRPr="000774FD">
        <w:rPr>
          <w:color w:val="FFFF00"/>
        </w:rPr>
        <w:sym w:font="Webdings" w:char="F067"/>
      </w:r>
      <w:r>
        <w:t xml:space="preserve"> = 4 = Adequate quality, needs some work</w:t>
      </w:r>
    </w:p>
    <w:p w:rsidR="00343AD1" w:rsidRDefault="00343AD1" w:rsidP="00FE4491">
      <w:pPr>
        <w:pStyle w:val="Note"/>
      </w:pPr>
      <w:r>
        <w:t>Less than satisfactory (1, 2 and 3)</w:t>
      </w:r>
    </w:p>
    <w:p w:rsidR="00343AD1" w:rsidRDefault="00343AD1" w:rsidP="00FE4491">
      <w:pPr>
        <w:pStyle w:val="Note"/>
      </w:pPr>
      <w:r w:rsidRPr="00FD710F">
        <w:rPr>
          <w:color w:val="F79646"/>
        </w:rPr>
        <w:sym w:font="Webdings" w:char="F067"/>
      </w:r>
      <w:r>
        <w:t xml:space="preserve"> = 3 = Less than adequate quality; needs significant work</w:t>
      </w:r>
    </w:p>
    <w:p w:rsidR="00343AD1" w:rsidRDefault="00343AD1" w:rsidP="00FE4491">
      <w:pPr>
        <w:pStyle w:val="Note"/>
      </w:pPr>
      <w:r w:rsidRPr="000774FD">
        <w:rPr>
          <w:color w:val="FF0000"/>
        </w:rPr>
        <w:sym w:font="Webdings" w:char="F067"/>
      </w:r>
      <w:r>
        <w:t xml:space="preserve"> = 2 = Poor quality; needs major work to improve</w:t>
      </w:r>
    </w:p>
    <w:p w:rsidR="00343AD1" w:rsidRDefault="00343AD1" w:rsidP="00FE4491">
      <w:pPr>
        <w:pStyle w:val="Note"/>
      </w:pPr>
      <w:r w:rsidRPr="000774FD">
        <w:rPr>
          <w:color w:val="FF0000"/>
        </w:rPr>
        <w:sym w:font="Webdings" w:char="F067"/>
      </w:r>
      <w:r>
        <w:t xml:space="preserve"> = 1 = Very poor quality; needs major overhaul</w:t>
      </w:r>
    </w:p>
    <w:p w:rsidR="00343AD1" w:rsidRDefault="00343AD1" w:rsidP="00FE4491">
      <w:pPr>
        <w:pStyle w:val="Note"/>
      </w:pPr>
    </w:p>
    <w:p w:rsidR="00343AD1" w:rsidRDefault="00343AD1" w:rsidP="00FE4491">
      <w:pPr>
        <w:pStyle w:val="Note"/>
      </w:pPr>
      <w:r>
        <w:t>Risk Management scale:</w:t>
      </w:r>
    </w:p>
    <w:p w:rsidR="00343AD1" w:rsidRDefault="00343AD1" w:rsidP="00FE4491">
      <w:pPr>
        <w:pStyle w:val="Note"/>
      </w:pPr>
      <w:r w:rsidRPr="00FE4491">
        <w:rPr>
          <w:color w:val="92D050"/>
        </w:rPr>
        <w:sym w:font="Webdings" w:char="F067"/>
      </w:r>
      <w:r>
        <w:t xml:space="preserve">  Mature (M). Indicates the initiative manager conducts risk discussions on at least a monthly basis with all stakeholders and updates the risk registry quarterly. </w:t>
      </w:r>
    </w:p>
    <w:p w:rsidR="00343AD1" w:rsidRDefault="00343AD1" w:rsidP="00FE4491">
      <w:pPr>
        <w:pStyle w:val="Note"/>
      </w:pPr>
      <w:r w:rsidRPr="00FD710F">
        <w:rPr>
          <w:color w:val="F79646"/>
        </w:rPr>
        <w:sym w:font="Webdings" w:char="F067"/>
      </w:r>
      <w:r>
        <w:t xml:space="preserve"> Intermediate (I). Indicates the initiative manager conducts ad-hoc risk discussion and updates the risk register occasionally. </w:t>
      </w:r>
    </w:p>
    <w:p w:rsidR="00343AD1" w:rsidRDefault="00343AD1" w:rsidP="00FE4491">
      <w:pPr>
        <w:pStyle w:val="Note"/>
      </w:pPr>
      <w:r w:rsidRPr="000774FD">
        <w:rPr>
          <w:color w:val="FF0000"/>
        </w:rPr>
        <w:sym w:font="Webdings" w:char="F067"/>
      </w:r>
      <w:r>
        <w:t xml:space="preserve"> </w:t>
      </w:r>
      <w:proofErr w:type="gramStart"/>
      <w:r>
        <w:t>Basic (B).</w:t>
      </w:r>
      <w:proofErr w:type="gramEnd"/>
      <w:r>
        <w:t xml:space="preserve"> Indicates there are limited or few risk discussions and the risk register has not been updated in the past 12 months.</w:t>
      </w:r>
    </w:p>
    <w:p w:rsidR="00343AD1" w:rsidRDefault="00343AD1" w:rsidP="00071B95"/>
    <w:p w:rsidR="00343AD1" w:rsidRDefault="00343AD1" w:rsidP="00071B95">
      <w:pPr>
        <w:sectPr w:rsidR="00343AD1" w:rsidSect="00D30700">
          <w:headerReference w:type="first" r:id="rId18"/>
          <w:footerReference w:type="first" r:id="rId19"/>
          <w:pgSz w:w="11906" w:h="16838" w:code="9"/>
          <w:pgMar w:top="2268" w:right="1701" w:bottom="907" w:left="1871" w:header="709" w:footer="425" w:gutter="0"/>
          <w:cols w:space="708"/>
          <w:titlePg/>
          <w:docGrid w:linePitch="360"/>
        </w:sectPr>
      </w:pPr>
    </w:p>
    <w:p w:rsidR="00343AD1" w:rsidRPr="00071B95" w:rsidRDefault="00343AD1" w:rsidP="00071B95">
      <w:pPr>
        <w:pStyle w:val="Heading1"/>
      </w:pPr>
      <w:r>
        <w:lastRenderedPageBreak/>
        <w:t>Annex C</w:t>
      </w:r>
    </w:p>
    <w:p w:rsidR="00343AD1" w:rsidRPr="00071B95" w:rsidRDefault="00343AD1" w:rsidP="00F46297">
      <w:pPr>
        <w:pStyle w:val="Heading2"/>
      </w:pPr>
      <w:r w:rsidRPr="00071B95">
        <w:t xml:space="preserve">Evaluation and </w:t>
      </w:r>
      <w:r w:rsidR="00073CBA">
        <w:t>r</w:t>
      </w:r>
      <w:r w:rsidRPr="00071B95">
        <w:t xml:space="preserve">eview </w:t>
      </w:r>
      <w:r w:rsidR="00073CBA">
        <w:t>p</w:t>
      </w:r>
      <w:r w:rsidRPr="00071B95">
        <w:t xml:space="preserve">ipeline </w:t>
      </w:r>
      <w:r w:rsidR="00073CBA">
        <w:t>p</w:t>
      </w:r>
      <w:r w:rsidRPr="00071B95">
        <w:t>lanning</w:t>
      </w:r>
    </w:p>
    <w:p w:rsidR="00343AD1" w:rsidRPr="00071B95" w:rsidRDefault="00343AD1" w:rsidP="00071B95">
      <w:pPr>
        <w:pStyle w:val="Caption"/>
      </w:pPr>
      <w:r w:rsidRPr="00071B95">
        <w:t xml:space="preserve">List of </w:t>
      </w:r>
      <w:r w:rsidR="00312CA6">
        <w:t>e</w:t>
      </w:r>
      <w:r w:rsidRPr="00071B95">
        <w:t>valuations completed</w:t>
      </w:r>
      <w:r>
        <w:rPr>
          <w:rStyle w:val="FootnoteReference"/>
        </w:rPr>
        <w:footnoteReference w:id="31"/>
      </w:r>
      <w:r w:rsidRPr="00071B95">
        <w:t xml:space="preserve"> 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343AD1" w:rsidRPr="00071B95" w:rsidTr="00071B95">
        <w:trPr>
          <w:cnfStyle w:val="100000000000" w:firstRow="1" w:lastRow="0" w:firstColumn="0" w:lastColumn="0" w:oddVBand="0" w:evenVBand="0" w:oddHBand="0" w:evenHBand="0" w:firstRowFirstColumn="0" w:firstRowLastColumn="0" w:lastRowFirstColumn="0" w:lastRowLastColumn="0"/>
        </w:trPr>
        <w:tc>
          <w:tcPr>
            <w:tcW w:w="1902" w:type="dxa"/>
          </w:tcPr>
          <w:p w:rsidR="00343AD1" w:rsidRPr="00071B95" w:rsidRDefault="00343AD1" w:rsidP="00073CBA">
            <w:pPr>
              <w:pStyle w:val="TableTextColumnHeading"/>
              <w:rPr>
                <w:b/>
              </w:rPr>
            </w:pPr>
            <w:r w:rsidRPr="00071B95">
              <w:rPr>
                <w:b/>
              </w:rPr>
              <w:t xml:space="preserve">Name of </w:t>
            </w:r>
            <w:r w:rsidR="00073CBA">
              <w:rPr>
                <w:b/>
              </w:rPr>
              <w:t>i</w:t>
            </w:r>
            <w:r w:rsidRPr="00071B95">
              <w:rPr>
                <w:b/>
              </w:rPr>
              <w:t>nitiative</w:t>
            </w:r>
          </w:p>
        </w:tc>
        <w:tc>
          <w:tcPr>
            <w:tcW w:w="1933" w:type="dxa"/>
          </w:tcPr>
          <w:p w:rsidR="00343AD1" w:rsidRPr="00071B95" w:rsidRDefault="00343AD1" w:rsidP="00312CA6">
            <w:pPr>
              <w:pStyle w:val="TableTextColumnHeading"/>
              <w:rPr>
                <w:b/>
              </w:rPr>
            </w:pPr>
            <w:r w:rsidRPr="00071B95">
              <w:rPr>
                <w:b/>
              </w:rPr>
              <w:t>Aid</w:t>
            </w:r>
            <w:r w:rsidR="00312CA6">
              <w:rPr>
                <w:b/>
              </w:rPr>
              <w:t>W</w:t>
            </w:r>
            <w:r w:rsidRPr="00071B95">
              <w:rPr>
                <w:b/>
              </w:rPr>
              <w:t>orks number</w:t>
            </w:r>
          </w:p>
        </w:tc>
        <w:tc>
          <w:tcPr>
            <w:tcW w:w="2031" w:type="dxa"/>
          </w:tcPr>
          <w:p w:rsidR="00343AD1" w:rsidRPr="00071B95" w:rsidRDefault="00343AD1" w:rsidP="0062271C">
            <w:pPr>
              <w:pStyle w:val="TableTextColumnHeading"/>
              <w:rPr>
                <w:b/>
              </w:rPr>
            </w:pPr>
            <w:r w:rsidRPr="00071B95">
              <w:rPr>
                <w:b/>
              </w:rPr>
              <w:t>Type of evaluation</w:t>
            </w:r>
            <w:r>
              <w:rPr>
                <w:rStyle w:val="FootnoteReference"/>
                <w:b/>
              </w:rPr>
              <w:footnoteReference w:id="32"/>
            </w:r>
          </w:p>
        </w:tc>
        <w:tc>
          <w:tcPr>
            <w:tcW w:w="1939" w:type="dxa"/>
          </w:tcPr>
          <w:p w:rsidR="00343AD1" w:rsidRPr="00071B95" w:rsidRDefault="00343AD1" w:rsidP="00073CBA">
            <w:pPr>
              <w:pStyle w:val="TableTextColumnHeading"/>
              <w:rPr>
                <w:b/>
              </w:rPr>
            </w:pPr>
            <w:r w:rsidRPr="00071B95">
              <w:rPr>
                <w:b/>
              </w:rPr>
              <w:t xml:space="preserve">Date </w:t>
            </w:r>
            <w:r w:rsidR="00073CBA">
              <w:rPr>
                <w:b/>
              </w:rPr>
              <w:t>e</w:t>
            </w:r>
            <w:r w:rsidRPr="00071B95">
              <w:rPr>
                <w:b/>
              </w:rPr>
              <w:t>valuation report received</w:t>
            </w:r>
          </w:p>
        </w:tc>
        <w:tc>
          <w:tcPr>
            <w:tcW w:w="1921" w:type="dxa"/>
          </w:tcPr>
          <w:p w:rsidR="00343AD1" w:rsidRPr="00071B95" w:rsidRDefault="00343AD1" w:rsidP="00312CA6">
            <w:pPr>
              <w:pStyle w:val="TableTextColumnHeading"/>
              <w:rPr>
                <w:b/>
              </w:rPr>
            </w:pPr>
            <w:r w:rsidRPr="00071B95">
              <w:rPr>
                <w:b/>
              </w:rPr>
              <w:t xml:space="preserve">Date </w:t>
            </w:r>
            <w:r w:rsidR="00073CBA">
              <w:rPr>
                <w:b/>
              </w:rPr>
              <w:t>e</w:t>
            </w:r>
            <w:r w:rsidRPr="00071B95">
              <w:rPr>
                <w:b/>
              </w:rPr>
              <w:t xml:space="preserve">valuation report </w:t>
            </w:r>
            <w:r w:rsidR="00073CBA">
              <w:rPr>
                <w:b/>
              </w:rPr>
              <w:t>u</w:t>
            </w:r>
            <w:r w:rsidRPr="00071B95">
              <w:rPr>
                <w:b/>
              </w:rPr>
              <w:t>ploaded into Aid</w:t>
            </w:r>
            <w:r w:rsidR="00312CA6">
              <w:rPr>
                <w:b/>
              </w:rPr>
              <w:t>W</w:t>
            </w:r>
            <w:r w:rsidRPr="00071B95">
              <w:rPr>
                <w:b/>
              </w:rPr>
              <w:t>orks</w:t>
            </w:r>
          </w:p>
        </w:tc>
        <w:tc>
          <w:tcPr>
            <w:tcW w:w="1743" w:type="dxa"/>
          </w:tcPr>
          <w:p w:rsidR="00343AD1" w:rsidRPr="00071B95" w:rsidRDefault="00343AD1" w:rsidP="00312CA6">
            <w:pPr>
              <w:pStyle w:val="TableTextColumnHeading"/>
              <w:rPr>
                <w:b/>
              </w:rPr>
            </w:pPr>
            <w:r w:rsidRPr="00071B95">
              <w:rPr>
                <w:b/>
              </w:rPr>
              <w:t xml:space="preserve">Date </w:t>
            </w:r>
            <w:r w:rsidR="00073CBA">
              <w:rPr>
                <w:b/>
              </w:rPr>
              <w:t>m</w:t>
            </w:r>
            <w:r w:rsidRPr="00071B95">
              <w:rPr>
                <w:b/>
              </w:rPr>
              <w:t>anagement response uploaded into Aid</w:t>
            </w:r>
            <w:r w:rsidR="00312CA6">
              <w:rPr>
                <w:b/>
              </w:rPr>
              <w:t>W</w:t>
            </w:r>
            <w:r w:rsidRPr="00071B95">
              <w:rPr>
                <w:b/>
              </w:rPr>
              <w:t>orks</w:t>
            </w:r>
          </w:p>
        </w:tc>
        <w:tc>
          <w:tcPr>
            <w:tcW w:w="1503" w:type="dxa"/>
          </w:tcPr>
          <w:p w:rsidR="00343AD1" w:rsidRPr="00071B95" w:rsidRDefault="00343AD1" w:rsidP="00071B95">
            <w:pPr>
              <w:pStyle w:val="TableTextColumnHeading"/>
              <w:rPr>
                <w:b/>
              </w:rPr>
            </w:pPr>
            <w:r w:rsidRPr="00071B95">
              <w:rPr>
                <w:b/>
              </w:rPr>
              <w:t>Published on website</w:t>
            </w:r>
          </w:p>
        </w:tc>
      </w:tr>
      <w:tr w:rsidR="00343AD1" w:rsidRPr="00071B95" w:rsidTr="00071B95">
        <w:trPr>
          <w:cnfStyle w:val="100000000000" w:firstRow="1" w:lastRow="0" w:firstColumn="0" w:lastColumn="0" w:oddVBand="0" w:evenVBand="0" w:oddHBand="0" w:evenHBand="0" w:firstRowFirstColumn="0" w:firstRowLastColumn="0" w:lastRowFirstColumn="0" w:lastRowLastColumn="0"/>
        </w:trPr>
        <w:tc>
          <w:tcPr>
            <w:tcW w:w="1902" w:type="dxa"/>
          </w:tcPr>
          <w:p w:rsidR="00343AD1" w:rsidRPr="00071B95" w:rsidRDefault="00343AD1" w:rsidP="00071B95">
            <w:pPr>
              <w:pStyle w:val="TableTextEntries"/>
            </w:pPr>
          </w:p>
        </w:tc>
        <w:tc>
          <w:tcPr>
            <w:tcW w:w="1933" w:type="dxa"/>
          </w:tcPr>
          <w:p w:rsidR="00343AD1" w:rsidRPr="00071B95" w:rsidRDefault="00343AD1" w:rsidP="00071B95">
            <w:pPr>
              <w:pStyle w:val="TableTextEntries"/>
            </w:pPr>
          </w:p>
        </w:tc>
        <w:tc>
          <w:tcPr>
            <w:tcW w:w="2031" w:type="dxa"/>
          </w:tcPr>
          <w:p w:rsidR="00343AD1" w:rsidRPr="00071B95" w:rsidRDefault="00343AD1" w:rsidP="00071B95">
            <w:pPr>
              <w:pStyle w:val="TableTextEntries"/>
            </w:pPr>
          </w:p>
        </w:tc>
        <w:tc>
          <w:tcPr>
            <w:tcW w:w="1939" w:type="dxa"/>
          </w:tcPr>
          <w:p w:rsidR="00343AD1" w:rsidRPr="00071B95" w:rsidRDefault="00343AD1" w:rsidP="00071B95">
            <w:pPr>
              <w:pStyle w:val="TableTextEntries"/>
            </w:pPr>
          </w:p>
        </w:tc>
        <w:tc>
          <w:tcPr>
            <w:tcW w:w="1921" w:type="dxa"/>
          </w:tcPr>
          <w:p w:rsidR="00343AD1" w:rsidRPr="00071B95" w:rsidRDefault="00343AD1" w:rsidP="00071B95">
            <w:pPr>
              <w:pStyle w:val="TableTextEntries"/>
            </w:pPr>
          </w:p>
        </w:tc>
        <w:tc>
          <w:tcPr>
            <w:tcW w:w="1743" w:type="dxa"/>
          </w:tcPr>
          <w:p w:rsidR="00343AD1" w:rsidRPr="00071B95" w:rsidRDefault="00343AD1" w:rsidP="00071B95">
            <w:pPr>
              <w:pStyle w:val="TableTextEntries"/>
            </w:pPr>
          </w:p>
        </w:tc>
        <w:tc>
          <w:tcPr>
            <w:tcW w:w="1503" w:type="dxa"/>
          </w:tcPr>
          <w:p w:rsidR="00343AD1" w:rsidRPr="00071B95" w:rsidRDefault="00343AD1" w:rsidP="00071B95">
            <w:pPr>
              <w:pStyle w:val="TableTextEntries"/>
              <w:rPr>
                <w:b w:val="0"/>
              </w:rPr>
            </w:pPr>
          </w:p>
        </w:tc>
      </w:tr>
      <w:tr w:rsidR="00343AD1" w:rsidRPr="002F7A06" w:rsidTr="00071B95">
        <w:trPr>
          <w:cnfStyle w:val="100000000000" w:firstRow="1" w:lastRow="0" w:firstColumn="0" w:lastColumn="0" w:oddVBand="0" w:evenVBand="0" w:oddHBand="0" w:evenHBand="0" w:firstRowFirstColumn="0" w:firstRowLastColumn="0" w:lastRowFirstColumn="0" w:lastRowLastColumn="0"/>
        </w:trPr>
        <w:tc>
          <w:tcPr>
            <w:tcW w:w="1902" w:type="dxa"/>
          </w:tcPr>
          <w:p w:rsidR="00343AD1" w:rsidRPr="002F7A06" w:rsidRDefault="00343AD1" w:rsidP="00071B95">
            <w:pPr>
              <w:pStyle w:val="TableTextEntries"/>
              <w:rPr>
                <w:b w:val="0"/>
              </w:rPr>
            </w:pPr>
            <w:r w:rsidRPr="002F7A06">
              <w:rPr>
                <w:b w:val="0"/>
              </w:rPr>
              <w:t>Latin America program</w:t>
            </w:r>
          </w:p>
        </w:tc>
        <w:tc>
          <w:tcPr>
            <w:tcW w:w="1933" w:type="dxa"/>
          </w:tcPr>
          <w:p w:rsidR="00343AD1" w:rsidRPr="002F7A06" w:rsidRDefault="00343AD1" w:rsidP="00312CA6">
            <w:pPr>
              <w:pStyle w:val="TableTextEntries"/>
              <w:rPr>
                <w:b w:val="0"/>
              </w:rPr>
            </w:pPr>
            <w:r w:rsidRPr="002F7A06">
              <w:rPr>
                <w:b w:val="0"/>
              </w:rPr>
              <w:t>L</w:t>
            </w:r>
            <w:r w:rsidR="00312CA6">
              <w:rPr>
                <w:b w:val="0"/>
              </w:rPr>
              <w:t>atin America</w:t>
            </w:r>
            <w:r w:rsidRPr="002F7A06">
              <w:rPr>
                <w:b w:val="0"/>
              </w:rPr>
              <w:t xml:space="preserve"> Program Fund</w:t>
            </w:r>
          </w:p>
        </w:tc>
        <w:tc>
          <w:tcPr>
            <w:tcW w:w="2031" w:type="dxa"/>
          </w:tcPr>
          <w:p w:rsidR="00343AD1" w:rsidRPr="002F7A06" w:rsidRDefault="00343AD1" w:rsidP="00071B95">
            <w:pPr>
              <w:pStyle w:val="TableTextEntries"/>
              <w:rPr>
                <w:b w:val="0"/>
              </w:rPr>
            </w:pPr>
            <w:r w:rsidRPr="002F7A06">
              <w:rPr>
                <w:b w:val="0"/>
              </w:rPr>
              <w:t>Mid-term review</w:t>
            </w:r>
          </w:p>
        </w:tc>
        <w:tc>
          <w:tcPr>
            <w:tcW w:w="1939" w:type="dxa"/>
          </w:tcPr>
          <w:p w:rsidR="00343AD1" w:rsidRPr="002F7A06" w:rsidRDefault="00343AD1" w:rsidP="00312CA6">
            <w:pPr>
              <w:pStyle w:val="TableTextEntries"/>
              <w:rPr>
                <w:b w:val="0"/>
              </w:rPr>
            </w:pPr>
            <w:r>
              <w:rPr>
                <w:b w:val="0"/>
              </w:rPr>
              <w:t>June</w:t>
            </w:r>
            <w:r w:rsidRPr="002F7A06">
              <w:rPr>
                <w:b w:val="0"/>
              </w:rPr>
              <w:t xml:space="preserve"> 2013</w:t>
            </w:r>
          </w:p>
        </w:tc>
        <w:tc>
          <w:tcPr>
            <w:tcW w:w="1921" w:type="dxa"/>
          </w:tcPr>
          <w:p w:rsidR="00343AD1" w:rsidRPr="002F7A06" w:rsidRDefault="00343AD1" w:rsidP="00071B95">
            <w:pPr>
              <w:pStyle w:val="TableTextEntries"/>
              <w:rPr>
                <w:b w:val="0"/>
              </w:rPr>
            </w:pPr>
            <w:r w:rsidRPr="002F7A06">
              <w:rPr>
                <w:b w:val="0"/>
              </w:rPr>
              <w:t>To be completed</w:t>
            </w:r>
          </w:p>
        </w:tc>
        <w:tc>
          <w:tcPr>
            <w:tcW w:w="1743" w:type="dxa"/>
          </w:tcPr>
          <w:p w:rsidR="00343AD1" w:rsidRPr="002F7A06" w:rsidRDefault="00343AD1" w:rsidP="00071B95">
            <w:pPr>
              <w:pStyle w:val="TableTextEntries"/>
              <w:rPr>
                <w:b w:val="0"/>
              </w:rPr>
            </w:pPr>
            <w:r w:rsidRPr="002F7A06">
              <w:rPr>
                <w:b w:val="0"/>
              </w:rPr>
              <w:t>To be completed</w:t>
            </w:r>
          </w:p>
        </w:tc>
        <w:tc>
          <w:tcPr>
            <w:tcW w:w="1503" w:type="dxa"/>
          </w:tcPr>
          <w:p w:rsidR="00343AD1" w:rsidRPr="002F7A06" w:rsidRDefault="00343AD1" w:rsidP="00071B95">
            <w:pPr>
              <w:pStyle w:val="TableTextEntries"/>
              <w:rPr>
                <w:b w:val="0"/>
              </w:rPr>
            </w:pPr>
            <w:r w:rsidRPr="002F7A06">
              <w:rPr>
                <w:b w:val="0"/>
              </w:rPr>
              <w:t>To be completed</w:t>
            </w:r>
          </w:p>
        </w:tc>
      </w:tr>
      <w:tr w:rsidR="00343AD1" w:rsidRPr="00071B95" w:rsidTr="00071B95">
        <w:trPr>
          <w:cnfStyle w:val="100000000000" w:firstRow="1" w:lastRow="0" w:firstColumn="0" w:lastColumn="0" w:oddVBand="0" w:evenVBand="0" w:oddHBand="0" w:evenHBand="0" w:firstRowFirstColumn="0" w:firstRowLastColumn="0" w:lastRowFirstColumn="0" w:lastRowLastColumn="0"/>
        </w:trPr>
        <w:tc>
          <w:tcPr>
            <w:tcW w:w="1902" w:type="dxa"/>
          </w:tcPr>
          <w:p w:rsidR="00343AD1" w:rsidRPr="00071B95" w:rsidRDefault="00343AD1" w:rsidP="00071B95">
            <w:pPr>
              <w:pStyle w:val="TableTextEntries"/>
            </w:pPr>
          </w:p>
        </w:tc>
        <w:tc>
          <w:tcPr>
            <w:tcW w:w="1933" w:type="dxa"/>
          </w:tcPr>
          <w:p w:rsidR="00343AD1" w:rsidRPr="00071B95" w:rsidRDefault="00343AD1" w:rsidP="00071B95">
            <w:pPr>
              <w:pStyle w:val="TableTextEntries"/>
            </w:pPr>
          </w:p>
        </w:tc>
        <w:tc>
          <w:tcPr>
            <w:tcW w:w="2031" w:type="dxa"/>
          </w:tcPr>
          <w:p w:rsidR="00343AD1" w:rsidRPr="00071B95" w:rsidRDefault="00343AD1" w:rsidP="00071B95">
            <w:pPr>
              <w:pStyle w:val="TableTextEntries"/>
            </w:pPr>
          </w:p>
        </w:tc>
        <w:tc>
          <w:tcPr>
            <w:tcW w:w="1939" w:type="dxa"/>
          </w:tcPr>
          <w:p w:rsidR="00343AD1" w:rsidRPr="00071B95" w:rsidRDefault="00343AD1" w:rsidP="00071B95">
            <w:pPr>
              <w:pStyle w:val="TableTextEntries"/>
            </w:pPr>
          </w:p>
        </w:tc>
        <w:tc>
          <w:tcPr>
            <w:tcW w:w="1921" w:type="dxa"/>
          </w:tcPr>
          <w:p w:rsidR="00343AD1" w:rsidRPr="00071B95" w:rsidRDefault="00343AD1" w:rsidP="00071B95">
            <w:pPr>
              <w:pStyle w:val="TableTextEntries"/>
            </w:pPr>
          </w:p>
        </w:tc>
        <w:tc>
          <w:tcPr>
            <w:tcW w:w="1743" w:type="dxa"/>
          </w:tcPr>
          <w:p w:rsidR="00343AD1" w:rsidRPr="00071B95" w:rsidRDefault="00343AD1" w:rsidP="00071B95">
            <w:pPr>
              <w:pStyle w:val="TableTextEntries"/>
            </w:pPr>
          </w:p>
        </w:tc>
        <w:tc>
          <w:tcPr>
            <w:tcW w:w="1503" w:type="dxa"/>
          </w:tcPr>
          <w:p w:rsidR="00343AD1" w:rsidRPr="00071B95" w:rsidRDefault="00343AD1" w:rsidP="00071B95">
            <w:pPr>
              <w:pStyle w:val="TableTextEntries"/>
            </w:pPr>
          </w:p>
        </w:tc>
      </w:tr>
    </w:tbl>
    <w:p w:rsidR="00343AD1" w:rsidRPr="00071B95" w:rsidRDefault="00343AD1" w:rsidP="00071B95">
      <w:pPr>
        <w:rPr>
          <w:b/>
        </w:rPr>
      </w:pPr>
    </w:p>
    <w:p w:rsidR="00343AD1" w:rsidRPr="00071B95" w:rsidRDefault="00343AD1" w:rsidP="00071B95">
      <w:pPr>
        <w:pStyle w:val="Caption"/>
      </w:pPr>
      <w:r w:rsidRPr="00071B95">
        <w:t xml:space="preserve">List of evaluations planned in the next 12 months </w:t>
      </w:r>
    </w:p>
    <w:tbl>
      <w:tblPr>
        <w:tblStyle w:val="APPR"/>
        <w:tblW w:w="0" w:type="auto"/>
        <w:tblLook w:val="0600" w:firstRow="0" w:lastRow="0" w:firstColumn="0" w:lastColumn="0" w:noHBand="1" w:noVBand="1"/>
      </w:tblPr>
      <w:tblGrid>
        <w:gridCol w:w="2643"/>
        <w:gridCol w:w="2558"/>
        <w:gridCol w:w="2640"/>
        <w:gridCol w:w="2640"/>
        <w:gridCol w:w="2659"/>
      </w:tblGrid>
      <w:tr w:rsidR="00343AD1" w:rsidRPr="00071B95" w:rsidTr="00071B95">
        <w:tc>
          <w:tcPr>
            <w:tcW w:w="2601" w:type="dxa"/>
          </w:tcPr>
          <w:p w:rsidR="00343AD1" w:rsidRPr="00071B95" w:rsidRDefault="00343AD1" w:rsidP="00312CA6">
            <w:pPr>
              <w:pStyle w:val="TableTextColumnHeading"/>
            </w:pPr>
            <w:r w:rsidRPr="00071B95">
              <w:t xml:space="preserve">Name of </w:t>
            </w:r>
            <w:r w:rsidR="00312CA6">
              <w:t>i</w:t>
            </w:r>
            <w:r w:rsidRPr="00071B95">
              <w:t>nitiative</w:t>
            </w:r>
          </w:p>
        </w:tc>
        <w:tc>
          <w:tcPr>
            <w:tcW w:w="2530" w:type="dxa"/>
          </w:tcPr>
          <w:p w:rsidR="00343AD1" w:rsidRPr="00071B95" w:rsidRDefault="00343AD1" w:rsidP="00312CA6">
            <w:pPr>
              <w:pStyle w:val="TableTextColumnHeading"/>
            </w:pPr>
            <w:r w:rsidRPr="00071B95">
              <w:t>Aid</w:t>
            </w:r>
            <w:r w:rsidR="00312CA6">
              <w:t>W</w:t>
            </w:r>
            <w:r w:rsidRPr="00071B95">
              <w:t>orks number</w:t>
            </w:r>
          </w:p>
        </w:tc>
        <w:tc>
          <w:tcPr>
            <w:tcW w:w="2612" w:type="dxa"/>
          </w:tcPr>
          <w:p w:rsidR="00343AD1" w:rsidRPr="00071B95" w:rsidRDefault="00343AD1" w:rsidP="00071B95">
            <w:pPr>
              <w:pStyle w:val="TableTextColumnHeading"/>
            </w:pPr>
            <w:r w:rsidRPr="00071B95">
              <w:t>Type of evaluation</w:t>
            </w:r>
          </w:p>
        </w:tc>
        <w:tc>
          <w:tcPr>
            <w:tcW w:w="2612" w:type="dxa"/>
          </w:tcPr>
          <w:p w:rsidR="00343AD1" w:rsidRPr="00071B95" w:rsidRDefault="00343AD1" w:rsidP="0062271C">
            <w:pPr>
              <w:pStyle w:val="TableTextColumnHeading"/>
            </w:pPr>
            <w:r w:rsidRPr="00071B95">
              <w:t>Purpose of evaluation</w:t>
            </w:r>
            <w:r>
              <w:rPr>
                <w:rStyle w:val="FootnoteReference"/>
              </w:rPr>
              <w:footnoteReference w:id="33"/>
            </w:r>
          </w:p>
        </w:tc>
        <w:tc>
          <w:tcPr>
            <w:tcW w:w="2617" w:type="dxa"/>
          </w:tcPr>
          <w:p w:rsidR="00343AD1" w:rsidRPr="00071B95" w:rsidRDefault="00343AD1" w:rsidP="00071B95">
            <w:pPr>
              <w:pStyle w:val="TableTextColumnHeading"/>
            </w:pPr>
            <w:r w:rsidRPr="00071B95">
              <w:t>Expected completion date</w:t>
            </w:r>
          </w:p>
        </w:tc>
      </w:tr>
      <w:tr w:rsidR="00343AD1" w:rsidRPr="00071B95" w:rsidTr="00071B95">
        <w:tc>
          <w:tcPr>
            <w:tcW w:w="2601" w:type="dxa"/>
          </w:tcPr>
          <w:p w:rsidR="00343AD1" w:rsidRPr="00071B95" w:rsidRDefault="00343AD1" w:rsidP="00071B95">
            <w:pPr>
              <w:pStyle w:val="TableTextEntries"/>
            </w:pPr>
          </w:p>
        </w:tc>
        <w:tc>
          <w:tcPr>
            <w:tcW w:w="2530" w:type="dxa"/>
          </w:tcPr>
          <w:p w:rsidR="00343AD1" w:rsidRPr="00071B95" w:rsidRDefault="00343AD1" w:rsidP="00071B95">
            <w:pPr>
              <w:pStyle w:val="TableTextEntries"/>
            </w:pPr>
          </w:p>
        </w:tc>
        <w:tc>
          <w:tcPr>
            <w:tcW w:w="2612" w:type="dxa"/>
          </w:tcPr>
          <w:p w:rsidR="00343AD1" w:rsidRPr="00071B95" w:rsidRDefault="00343AD1" w:rsidP="00071B95">
            <w:pPr>
              <w:pStyle w:val="TableTextEntries"/>
            </w:pPr>
          </w:p>
        </w:tc>
        <w:tc>
          <w:tcPr>
            <w:tcW w:w="2612" w:type="dxa"/>
          </w:tcPr>
          <w:p w:rsidR="00343AD1" w:rsidRPr="00071B95" w:rsidRDefault="00343AD1" w:rsidP="00071B95">
            <w:pPr>
              <w:pStyle w:val="TableTextEntries"/>
            </w:pPr>
          </w:p>
        </w:tc>
        <w:tc>
          <w:tcPr>
            <w:tcW w:w="2617" w:type="dxa"/>
          </w:tcPr>
          <w:p w:rsidR="00343AD1" w:rsidRPr="00071B95" w:rsidRDefault="00343AD1" w:rsidP="00071B95">
            <w:pPr>
              <w:pStyle w:val="TableTextEntries"/>
            </w:pPr>
          </w:p>
        </w:tc>
      </w:tr>
      <w:tr w:rsidR="00343AD1" w:rsidRPr="00071B95" w:rsidTr="00071B95">
        <w:tc>
          <w:tcPr>
            <w:tcW w:w="2601" w:type="dxa"/>
          </w:tcPr>
          <w:p w:rsidR="00343AD1" w:rsidRDefault="00343AD1" w:rsidP="00071B95">
            <w:pPr>
              <w:pStyle w:val="TableTextEntries"/>
            </w:pPr>
            <w:r>
              <w:t>IDB-MIF</w:t>
            </w:r>
          </w:p>
          <w:p w:rsidR="00343AD1" w:rsidRDefault="00343AD1" w:rsidP="00140FB4">
            <w:pPr>
              <w:pStyle w:val="TableTextEntries"/>
            </w:pPr>
          </w:p>
          <w:p w:rsidR="00343AD1" w:rsidRDefault="00343AD1" w:rsidP="00140FB4">
            <w:pPr>
              <w:pStyle w:val="TableTextEntries"/>
            </w:pPr>
          </w:p>
          <w:p w:rsidR="00343AD1" w:rsidRDefault="00343AD1" w:rsidP="00140FB4">
            <w:pPr>
              <w:pStyle w:val="TableTextEntries"/>
            </w:pPr>
            <w:r>
              <w:t xml:space="preserve">IDB-MIF </w:t>
            </w:r>
          </w:p>
          <w:p w:rsidR="00343AD1" w:rsidRDefault="00343AD1" w:rsidP="00140FB4">
            <w:pPr>
              <w:pStyle w:val="TableTextEntries"/>
            </w:pPr>
          </w:p>
          <w:p w:rsidR="00343AD1" w:rsidRDefault="00343AD1" w:rsidP="00140FB4">
            <w:pPr>
              <w:pStyle w:val="TableTextEntries"/>
            </w:pPr>
          </w:p>
          <w:p w:rsidR="00343AD1" w:rsidRPr="00071B95" w:rsidRDefault="00343AD1" w:rsidP="00140FB4">
            <w:pPr>
              <w:pStyle w:val="TableTextEntries"/>
            </w:pPr>
            <w:r>
              <w:t>Paraguay for All</w:t>
            </w:r>
          </w:p>
        </w:tc>
        <w:tc>
          <w:tcPr>
            <w:tcW w:w="2530" w:type="dxa"/>
          </w:tcPr>
          <w:p w:rsidR="00343AD1" w:rsidRDefault="00343AD1" w:rsidP="00071B95">
            <w:pPr>
              <w:pStyle w:val="TableTextEntries"/>
            </w:pPr>
            <w:r>
              <w:t>INJ646</w:t>
            </w:r>
          </w:p>
          <w:p w:rsidR="00343AD1" w:rsidRDefault="00343AD1" w:rsidP="00071B95">
            <w:pPr>
              <w:pStyle w:val="TableTextEntries"/>
            </w:pPr>
          </w:p>
          <w:p w:rsidR="00343AD1" w:rsidRDefault="00343AD1" w:rsidP="00071B95">
            <w:pPr>
              <w:pStyle w:val="TableTextEntries"/>
            </w:pPr>
          </w:p>
          <w:p w:rsidR="00343AD1" w:rsidRDefault="00343AD1" w:rsidP="00071B95">
            <w:pPr>
              <w:pStyle w:val="TableTextEntries"/>
            </w:pPr>
            <w:r>
              <w:t>INJ646</w:t>
            </w:r>
          </w:p>
          <w:p w:rsidR="00343AD1" w:rsidRDefault="00343AD1" w:rsidP="00071B95">
            <w:pPr>
              <w:pStyle w:val="TableTextEntries"/>
            </w:pPr>
          </w:p>
          <w:p w:rsidR="00343AD1" w:rsidRDefault="00343AD1" w:rsidP="00071B95">
            <w:pPr>
              <w:pStyle w:val="TableTextEntries"/>
            </w:pPr>
          </w:p>
          <w:p w:rsidR="00343AD1" w:rsidRPr="00071B95" w:rsidRDefault="00343AD1" w:rsidP="00071B95">
            <w:pPr>
              <w:pStyle w:val="TableTextEntries"/>
            </w:pPr>
            <w:r w:rsidRPr="00140FB4">
              <w:t>INJ824</w:t>
            </w:r>
          </w:p>
        </w:tc>
        <w:tc>
          <w:tcPr>
            <w:tcW w:w="2612" w:type="dxa"/>
          </w:tcPr>
          <w:p w:rsidR="00343AD1" w:rsidRDefault="00343AD1" w:rsidP="00071B95">
            <w:pPr>
              <w:pStyle w:val="TableTextEntries"/>
            </w:pPr>
            <w:r>
              <w:t xml:space="preserve">End of </w:t>
            </w:r>
            <w:r w:rsidR="00312CA6">
              <w:t>i</w:t>
            </w:r>
            <w:r>
              <w:t xml:space="preserve">nitiative (completion) </w:t>
            </w:r>
          </w:p>
          <w:p w:rsidR="00343AD1" w:rsidRDefault="00343AD1" w:rsidP="00071B95">
            <w:pPr>
              <w:pStyle w:val="TableTextEntries"/>
            </w:pPr>
          </w:p>
          <w:p w:rsidR="00343AD1" w:rsidRDefault="00343AD1" w:rsidP="00071B95">
            <w:pPr>
              <w:pStyle w:val="TableTextEntries"/>
            </w:pPr>
          </w:p>
          <w:p w:rsidR="00343AD1" w:rsidRDefault="00343AD1" w:rsidP="00071B95">
            <w:pPr>
              <w:pStyle w:val="TableTextEntries"/>
            </w:pPr>
            <w:r>
              <w:t>Impact evaluation of the IPRF within the IDB-MIF</w:t>
            </w:r>
          </w:p>
          <w:p w:rsidR="00343AD1" w:rsidRDefault="00343AD1" w:rsidP="00071B95">
            <w:pPr>
              <w:pStyle w:val="TableTextEntries"/>
            </w:pPr>
          </w:p>
          <w:p w:rsidR="00343AD1" w:rsidRPr="00071B95" w:rsidRDefault="00343AD1" w:rsidP="00071B95">
            <w:pPr>
              <w:pStyle w:val="TableTextEntries"/>
            </w:pPr>
            <w:r>
              <w:t>Project impact evaluation</w:t>
            </w:r>
          </w:p>
        </w:tc>
        <w:tc>
          <w:tcPr>
            <w:tcW w:w="2612" w:type="dxa"/>
          </w:tcPr>
          <w:p w:rsidR="00343AD1" w:rsidRDefault="00343AD1" w:rsidP="00071B95">
            <w:pPr>
              <w:pStyle w:val="TableTextEntries"/>
            </w:pPr>
            <w:r>
              <w:t>To inform work in the future and verify initiative outcomes</w:t>
            </w:r>
          </w:p>
          <w:p w:rsidR="00343AD1" w:rsidRDefault="00343AD1" w:rsidP="00071B95">
            <w:pPr>
              <w:pStyle w:val="TableTextEntries"/>
            </w:pPr>
          </w:p>
          <w:p w:rsidR="00343AD1" w:rsidRDefault="00343AD1" w:rsidP="00071B95">
            <w:pPr>
              <w:pStyle w:val="TableTextEntries"/>
            </w:pPr>
            <w:r>
              <w:t xml:space="preserve">IDB impact evaluation </w:t>
            </w:r>
          </w:p>
          <w:p w:rsidR="00343AD1" w:rsidRDefault="00343AD1" w:rsidP="00071B95">
            <w:pPr>
              <w:pStyle w:val="TableTextEntries"/>
            </w:pPr>
          </w:p>
          <w:p w:rsidR="00343AD1" w:rsidRDefault="00343AD1" w:rsidP="00071B95">
            <w:pPr>
              <w:pStyle w:val="TableTextEntries"/>
            </w:pPr>
          </w:p>
          <w:p w:rsidR="00343AD1" w:rsidRPr="00071B95" w:rsidRDefault="00343AD1" w:rsidP="00071B95">
            <w:pPr>
              <w:pStyle w:val="TableTextEntries"/>
            </w:pPr>
            <w:r>
              <w:t>GIZ impact evaluation</w:t>
            </w:r>
          </w:p>
        </w:tc>
        <w:tc>
          <w:tcPr>
            <w:tcW w:w="2617" w:type="dxa"/>
          </w:tcPr>
          <w:p w:rsidR="00343AD1" w:rsidRDefault="00343AD1" w:rsidP="00071B95">
            <w:pPr>
              <w:pStyle w:val="TableTextEntries"/>
            </w:pPr>
            <w:r>
              <w:t>30 June 2014</w:t>
            </w:r>
          </w:p>
          <w:p w:rsidR="00343AD1" w:rsidRDefault="00343AD1" w:rsidP="00071B95">
            <w:pPr>
              <w:pStyle w:val="TableTextEntries"/>
            </w:pPr>
          </w:p>
          <w:p w:rsidR="00343AD1" w:rsidRDefault="00343AD1" w:rsidP="00071B95">
            <w:pPr>
              <w:pStyle w:val="TableTextEntries"/>
            </w:pPr>
          </w:p>
          <w:p w:rsidR="00343AD1" w:rsidRDefault="00343AD1" w:rsidP="00071B95">
            <w:pPr>
              <w:pStyle w:val="TableTextEntries"/>
            </w:pPr>
            <w:r>
              <w:t>2013</w:t>
            </w:r>
            <w:r w:rsidR="00073CBA">
              <w:t>–</w:t>
            </w:r>
            <w:r>
              <w:t>14</w:t>
            </w:r>
          </w:p>
          <w:p w:rsidR="00343AD1" w:rsidRDefault="00343AD1" w:rsidP="00071B95">
            <w:pPr>
              <w:pStyle w:val="TableTextEntries"/>
            </w:pPr>
          </w:p>
          <w:p w:rsidR="00343AD1" w:rsidRDefault="00343AD1" w:rsidP="00071B95">
            <w:pPr>
              <w:pStyle w:val="TableTextEntries"/>
            </w:pPr>
          </w:p>
          <w:p w:rsidR="00343AD1" w:rsidRPr="00071B95" w:rsidRDefault="00343AD1" w:rsidP="00071B95">
            <w:pPr>
              <w:pStyle w:val="TableTextEntries"/>
            </w:pPr>
            <w:r>
              <w:t>June 2013</w:t>
            </w:r>
          </w:p>
        </w:tc>
      </w:tr>
      <w:tr w:rsidR="00343AD1" w:rsidRPr="00071B95" w:rsidTr="00071B95">
        <w:tc>
          <w:tcPr>
            <w:tcW w:w="2601" w:type="dxa"/>
          </w:tcPr>
          <w:p w:rsidR="00343AD1" w:rsidRPr="00071B95" w:rsidRDefault="00343AD1" w:rsidP="00071B95">
            <w:pPr>
              <w:pStyle w:val="TableTextEntries"/>
            </w:pPr>
          </w:p>
        </w:tc>
        <w:tc>
          <w:tcPr>
            <w:tcW w:w="2530" w:type="dxa"/>
          </w:tcPr>
          <w:p w:rsidR="00343AD1" w:rsidRPr="00071B95" w:rsidRDefault="00343AD1" w:rsidP="00071B95">
            <w:pPr>
              <w:pStyle w:val="TableTextEntries"/>
            </w:pPr>
          </w:p>
        </w:tc>
        <w:tc>
          <w:tcPr>
            <w:tcW w:w="2612" w:type="dxa"/>
          </w:tcPr>
          <w:p w:rsidR="00343AD1" w:rsidRPr="00071B95" w:rsidRDefault="00343AD1" w:rsidP="00071B95">
            <w:pPr>
              <w:pStyle w:val="TableTextEntries"/>
            </w:pPr>
          </w:p>
        </w:tc>
        <w:tc>
          <w:tcPr>
            <w:tcW w:w="2612" w:type="dxa"/>
          </w:tcPr>
          <w:p w:rsidR="00343AD1" w:rsidRPr="00071B95" w:rsidRDefault="00343AD1" w:rsidP="00071B95">
            <w:pPr>
              <w:pStyle w:val="TableTextEntries"/>
            </w:pPr>
          </w:p>
        </w:tc>
        <w:tc>
          <w:tcPr>
            <w:tcW w:w="2617" w:type="dxa"/>
          </w:tcPr>
          <w:p w:rsidR="00343AD1" w:rsidRPr="00071B95" w:rsidRDefault="00343AD1" w:rsidP="00071B95">
            <w:pPr>
              <w:pStyle w:val="TableTextEntries"/>
            </w:pPr>
          </w:p>
        </w:tc>
      </w:tr>
    </w:tbl>
    <w:p w:rsidR="00343AD1" w:rsidRDefault="00343AD1" w:rsidP="00071B95">
      <w:pPr>
        <w:rPr>
          <w:b/>
        </w:rPr>
        <w:sectPr w:rsidR="00343AD1" w:rsidSect="00D30700">
          <w:headerReference w:type="default" r:id="rId20"/>
          <w:footerReference w:type="default" r:id="rId21"/>
          <w:headerReference w:type="first" r:id="rId22"/>
          <w:footerReference w:type="first" r:id="rId23"/>
          <w:pgSz w:w="16838" w:h="11906" w:orient="landscape" w:code="9"/>
          <w:pgMar w:top="1871" w:right="2268" w:bottom="1134" w:left="907" w:header="709" w:footer="454" w:gutter="0"/>
          <w:cols w:space="708"/>
          <w:docGrid w:linePitch="360"/>
        </w:sectPr>
      </w:pPr>
    </w:p>
    <w:p w:rsidR="00343AD1" w:rsidRPr="00F77E6A" w:rsidRDefault="00343AD1" w:rsidP="00F77E6A">
      <w:pPr>
        <w:pStyle w:val="Heading1"/>
      </w:pPr>
      <w:r>
        <w:lastRenderedPageBreak/>
        <w:t>Annex D</w:t>
      </w:r>
    </w:p>
    <w:p w:rsidR="00343AD1" w:rsidRPr="00F75E3D" w:rsidRDefault="00343AD1" w:rsidP="00F75E3D">
      <w:pPr>
        <w:pStyle w:val="Heading2"/>
      </w:pPr>
      <w:r w:rsidRPr="00F75E3D">
        <w:t xml:space="preserve">Latin America progress towards Millennium Development Goals </w:t>
      </w:r>
    </w:p>
    <w:p w:rsidR="00343AD1" w:rsidRPr="00F75E3D" w:rsidRDefault="00343AD1" w:rsidP="00F75E3D">
      <w:pPr>
        <w:rPr>
          <w:rFonts w:ascii="Calibri" w:eastAsia="Times New Roman" w:hAnsi="Calibri"/>
          <w:b/>
          <w:sz w:val="16"/>
          <w:szCs w:val="16"/>
        </w:rPr>
      </w:pPr>
    </w:p>
    <w:tbl>
      <w:tblPr>
        <w:tblW w:w="5000" w:type="pct"/>
        <w:tblLayout w:type="fixed"/>
        <w:tblCellMar>
          <w:left w:w="0" w:type="dxa"/>
          <w:right w:w="0" w:type="dxa"/>
        </w:tblCellMar>
        <w:tblLook w:val="04A0" w:firstRow="1" w:lastRow="0" w:firstColumn="1" w:lastColumn="0" w:noHBand="0" w:noVBand="1"/>
      </w:tblPr>
      <w:tblGrid>
        <w:gridCol w:w="1125"/>
        <w:gridCol w:w="1468"/>
        <w:gridCol w:w="1007"/>
        <w:gridCol w:w="1256"/>
        <w:gridCol w:w="1029"/>
        <w:gridCol w:w="1029"/>
        <w:gridCol w:w="1029"/>
        <w:gridCol w:w="1344"/>
        <w:gridCol w:w="1280"/>
        <w:gridCol w:w="1029"/>
        <w:gridCol w:w="1006"/>
        <w:gridCol w:w="1279"/>
      </w:tblGrid>
      <w:tr w:rsidR="00343AD1" w:rsidRPr="0062271C" w:rsidTr="007E6129">
        <w:trPr>
          <w:cantSplit/>
          <w:trHeight w:val="719"/>
          <w:tblHeader/>
        </w:trPr>
        <w:tc>
          <w:tcPr>
            <w:tcW w:w="1241" w:type="dxa"/>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Latin</w:t>
            </w:r>
          </w:p>
          <w:p w:rsidR="00343AD1" w:rsidRPr="0062271C" w:rsidRDefault="00343AD1" w:rsidP="0062271C">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American MDG progress</w:t>
            </w:r>
            <w:r w:rsidRPr="0062271C">
              <w:rPr>
                <w:rStyle w:val="FootnoteReference"/>
                <w:rFonts w:ascii="Arial Narrow" w:eastAsia="Times New Roman" w:hAnsi="Arial Narrow" w:cs="Arial"/>
                <w:b/>
                <w:bCs/>
                <w:color w:val="000000"/>
                <w:kern w:val="28"/>
                <w:sz w:val="14"/>
                <w:szCs w:val="14"/>
              </w:rPr>
              <w:footnoteReference w:id="34"/>
            </w:r>
          </w:p>
        </w:tc>
        <w:tc>
          <w:tcPr>
            <w:tcW w:w="4181" w:type="dxa"/>
            <w:gridSpan w:val="3"/>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MDG 1</w:t>
            </w:r>
          </w:p>
          <w:p w:rsidR="00343AD1" w:rsidRPr="0062271C" w:rsidRDefault="00343AD1" w:rsidP="00073CBA">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color w:val="000000"/>
                <w:kern w:val="28"/>
                <w:sz w:val="14"/>
                <w:szCs w:val="14"/>
              </w:rPr>
              <w:t xml:space="preserve">Eliminate </w:t>
            </w:r>
            <w:r w:rsidR="00073CBA">
              <w:rPr>
                <w:rFonts w:ascii="Arial Narrow" w:eastAsia="Times New Roman" w:hAnsi="Arial Narrow" w:cs="Arial"/>
                <w:color w:val="000000"/>
                <w:kern w:val="28"/>
                <w:sz w:val="14"/>
                <w:szCs w:val="14"/>
              </w:rPr>
              <w:t>e</w:t>
            </w:r>
            <w:r w:rsidRPr="0062271C">
              <w:rPr>
                <w:rFonts w:ascii="Arial Narrow" w:eastAsia="Times New Roman" w:hAnsi="Arial Narrow" w:cs="Arial"/>
                <w:color w:val="000000"/>
                <w:kern w:val="28"/>
                <w:sz w:val="14"/>
                <w:szCs w:val="14"/>
              </w:rPr>
              <w:t xml:space="preserve">xtreme </w:t>
            </w:r>
            <w:r w:rsidR="00073CBA">
              <w:rPr>
                <w:rFonts w:ascii="Arial Narrow" w:eastAsia="Times New Roman" w:hAnsi="Arial Narrow" w:cs="Arial"/>
                <w:color w:val="000000"/>
                <w:kern w:val="28"/>
                <w:sz w:val="14"/>
                <w:szCs w:val="14"/>
              </w:rPr>
              <w:t>p</w:t>
            </w:r>
            <w:r w:rsidRPr="0062271C">
              <w:rPr>
                <w:rFonts w:ascii="Arial Narrow" w:eastAsia="Times New Roman" w:hAnsi="Arial Narrow" w:cs="Arial"/>
                <w:color w:val="000000"/>
                <w:kern w:val="28"/>
                <w:sz w:val="14"/>
                <w:szCs w:val="14"/>
              </w:rPr>
              <w:t xml:space="preserve">overty and </w:t>
            </w:r>
            <w:r w:rsidR="00073CBA">
              <w:rPr>
                <w:rFonts w:ascii="Arial Narrow" w:eastAsia="Times New Roman" w:hAnsi="Arial Narrow" w:cs="Arial"/>
                <w:color w:val="000000"/>
                <w:kern w:val="28"/>
                <w:sz w:val="14"/>
                <w:szCs w:val="14"/>
              </w:rPr>
              <w:t>h</w:t>
            </w:r>
            <w:r w:rsidRPr="0062271C">
              <w:rPr>
                <w:rFonts w:ascii="Arial Narrow" w:eastAsia="Times New Roman" w:hAnsi="Arial Narrow" w:cs="Arial"/>
                <w:color w:val="000000"/>
                <w:kern w:val="28"/>
                <w:sz w:val="14"/>
                <w:szCs w:val="14"/>
              </w:rPr>
              <w:t>unger</w:t>
            </w:r>
          </w:p>
        </w:tc>
        <w:tc>
          <w:tcPr>
            <w:tcW w:w="1134" w:type="dxa"/>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MDG 2</w:t>
            </w:r>
          </w:p>
          <w:p w:rsidR="00343AD1" w:rsidRPr="0062271C" w:rsidRDefault="00343AD1" w:rsidP="00073CBA">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Achieve </w:t>
            </w:r>
            <w:r w:rsidR="00073CBA">
              <w:rPr>
                <w:rFonts w:ascii="Arial Narrow" w:eastAsia="Times New Roman" w:hAnsi="Arial Narrow" w:cs="Arial"/>
                <w:color w:val="000000"/>
                <w:kern w:val="28"/>
                <w:sz w:val="14"/>
                <w:szCs w:val="14"/>
              </w:rPr>
              <w:t>u</w:t>
            </w:r>
            <w:r w:rsidRPr="0062271C">
              <w:rPr>
                <w:rFonts w:ascii="Arial Narrow" w:eastAsia="Times New Roman" w:hAnsi="Arial Narrow" w:cs="Arial"/>
                <w:color w:val="000000"/>
                <w:kern w:val="28"/>
                <w:sz w:val="14"/>
                <w:szCs w:val="14"/>
              </w:rPr>
              <w:t xml:space="preserve">niversal </w:t>
            </w:r>
            <w:r w:rsidR="00073CBA">
              <w:rPr>
                <w:rFonts w:ascii="Arial Narrow" w:eastAsia="Times New Roman" w:hAnsi="Arial Narrow" w:cs="Arial"/>
                <w:color w:val="000000"/>
                <w:kern w:val="28"/>
                <w:sz w:val="14"/>
                <w:szCs w:val="14"/>
              </w:rPr>
              <w:t>p</w:t>
            </w:r>
            <w:r w:rsidRPr="0062271C">
              <w:rPr>
                <w:rFonts w:ascii="Arial Narrow" w:eastAsia="Times New Roman" w:hAnsi="Arial Narrow" w:cs="Arial"/>
                <w:color w:val="000000"/>
                <w:kern w:val="28"/>
                <w:sz w:val="14"/>
                <w:szCs w:val="14"/>
              </w:rPr>
              <w:t xml:space="preserve">rimary </w:t>
            </w:r>
            <w:r w:rsidR="00073CBA">
              <w:rPr>
                <w:rFonts w:ascii="Arial Narrow" w:eastAsia="Times New Roman" w:hAnsi="Arial Narrow" w:cs="Arial"/>
                <w:color w:val="000000"/>
                <w:kern w:val="28"/>
                <w:sz w:val="14"/>
                <w:szCs w:val="14"/>
              </w:rPr>
              <w:t>e</w:t>
            </w:r>
            <w:r w:rsidRPr="0062271C">
              <w:rPr>
                <w:rFonts w:ascii="Arial Narrow" w:eastAsia="Times New Roman" w:hAnsi="Arial Narrow" w:cs="Arial"/>
                <w:color w:val="000000"/>
                <w:kern w:val="28"/>
                <w:sz w:val="14"/>
                <w:szCs w:val="14"/>
              </w:rPr>
              <w:t>ducation</w:t>
            </w:r>
          </w:p>
        </w:tc>
        <w:tc>
          <w:tcPr>
            <w:tcW w:w="1134" w:type="dxa"/>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MDG 3</w:t>
            </w:r>
          </w:p>
          <w:p w:rsidR="00343AD1" w:rsidRPr="0062271C" w:rsidRDefault="00343AD1" w:rsidP="00073CBA">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Promote </w:t>
            </w:r>
            <w:r w:rsidR="00073CBA">
              <w:rPr>
                <w:rFonts w:ascii="Arial Narrow" w:eastAsia="Times New Roman" w:hAnsi="Arial Narrow" w:cs="Arial"/>
                <w:color w:val="000000"/>
                <w:kern w:val="28"/>
                <w:sz w:val="14"/>
                <w:szCs w:val="14"/>
              </w:rPr>
              <w:t>g</w:t>
            </w:r>
            <w:r w:rsidRPr="0062271C">
              <w:rPr>
                <w:rFonts w:ascii="Arial Narrow" w:eastAsia="Times New Roman" w:hAnsi="Arial Narrow" w:cs="Arial"/>
                <w:color w:val="000000"/>
                <w:kern w:val="28"/>
                <w:sz w:val="14"/>
                <w:szCs w:val="14"/>
              </w:rPr>
              <w:t xml:space="preserve">ender </w:t>
            </w:r>
            <w:r w:rsidR="00073CBA">
              <w:rPr>
                <w:rFonts w:ascii="Arial Narrow" w:eastAsia="Times New Roman" w:hAnsi="Arial Narrow" w:cs="Arial"/>
                <w:color w:val="000000"/>
                <w:kern w:val="28"/>
                <w:sz w:val="14"/>
                <w:szCs w:val="14"/>
              </w:rPr>
              <w:t>e</w:t>
            </w:r>
            <w:r w:rsidRPr="0062271C">
              <w:rPr>
                <w:rFonts w:ascii="Arial Narrow" w:eastAsia="Times New Roman" w:hAnsi="Arial Narrow" w:cs="Arial"/>
                <w:color w:val="000000"/>
                <w:kern w:val="28"/>
                <w:sz w:val="14"/>
                <w:szCs w:val="14"/>
              </w:rPr>
              <w:t xml:space="preserve">quality and </w:t>
            </w:r>
            <w:r w:rsidR="00073CBA">
              <w:rPr>
                <w:rFonts w:ascii="Arial Narrow" w:eastAsia="Times New Roman" w:hAnsi="Arial Narrow" w:cs="Arial"/>
                <w:color w:val="000000"/>
                <w:kern w:val="28"/>
                <w:sz w:val="14"/>
                <w:szCs w:val="14"/>
              </w:rPr>
              <w:t>e</w:t>
            </w:r>
            <w:r w:rsidRPr="0062271C">
              <w:rPr>
                <w:rFonts w:ascii="Arial Narrow" w:eastAsia="Times New Roman" w:hAnsi="Arial Narrow" w:cs="Arial"/>
                <w:color w:val="000000"/>
                <w:kern w:val="28"/>
                <w:sz w:val="14"/>
                <w:szCs w:val="14"/>
              </w:rPr>
              <w:t xml:space="preserve">mpower </w:t>
            </w:r>
            <w:r w:rsidR="00073CBA">
              <w:rPr>
                <w:rFonts w:ascii="Arial Narrow" w:eastAsia="Times New Roman" w:hAnsi="Arial Narrow" w:cs="Arial"/>
                <w:color w:val="000000"/>
                <w:kern w:val="28"/>
                <w:sz w:val="14"/>
                <w:szCs w:val="14"/>
              </w:rPr>
              <w:t>w</w:t>
            </w:r>
            <w:r w:rsidRPr="0062271C">
              <w:rPr>
                <w:rFonts w:ascii="Arial Narrow" w:eastAsia="Times New Roman" w:hAnsi="Arial Narrow" w:cs="Arial"/>
                <w:color w:val="000000"/>
                <w:kern w:val="28"/>
                <w:sz w:val="14"/>
                <w:szCs w:val="14"/>
              </w:rPr>
              <w:t>omen</w:t>
            </w:r>
          </w:p>
        </w:tc>
        <w:tc>
          <w:tcPr>
            <w:tcW w:w="1134" w:type="dxa"/>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MDG 4</w:t>
            </w:r>
          </w:p>
          <w:p w:rsidR="00343AD1" w:rsidRPr="0062271C" w:rsidRDefault="00343AD1" w:rsidP="00073CBA">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Reduce </w:t>
            </w:r>
            <w:r w:rsidR="00073CBA">
              <w:rPr>
                <w:rFonts w:ascii="Arial Narrow" w:eastAsia="Times New Roman" w:hAnsi="Arial Narrow" w:cs="Arial"/>
                <w:color w:val="000000"/>
                <w:kern w:val="28"/>
                <w:sz w:val="14"/>
                <w:szCs w:val="14"/>
              </w:rPr>
              <w:t>c</w:t>
            </w:r>
            <w:r w:rsidRPr="0062271C">
              <w:rPr>
                <w:rFonts w:ascii="Arial Narrow" w:eastAsia="Times New Roman" w:hAnsi="Arial Narrow" w:cs="Arial"/>
                <w:color w:val="000000"/>
                <w:kern w:val="28"/>
                <w:sz w:val="14"/>
                <w:szCs w:val="14"/>
              </w:rPr>
              <w:t xml:space="preserve">hild </w:t>
            </w:r>
            <w:r w:rsidR="00073CBA">
              <w:rPr>
                <w:rFonts w:ascii="Arial Narrow" w:eastAsia="Times New Roman" w:hAnsi="Arial Narrow" w:cs="Arial"/>
                <w:color w:val="000000"/>
                <w:kern w:val="28"/>
                <w:sz w:val="14"/>
                <w:szCs w:val="14"/>
              </w:rPr>
              <w:t>m</w:t>
            </w:r>
            <w:r w:rsidRPr="0062271C">
              <w:rPr>
                <w:rFonts w:ascii="Arial Narrow" w:eastAsia="Times New Roman" w:hAnsi="Arial Narrow" w:cs="Arial"/>
                <w:color w:val="000000"/>
                <w:kern w:val="28"/>
                <w:sz w:val="14"/>
                <w:szCs w:val="14"/>
              </w:rPr>
              <w:t>ortality</w:t>
            </w:r>
          </w:p>
        </w:tc>
        <w:tc>
          <w:tcPr>
            <w:tcW w:w="1490" w:type="dxa"/>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MDG 5</w:t>
            </w:r>
          </w:p>
          <w:p w:rsidR="00343AD1" w:rsidRPr="0062271C" w:rsidRDefault="00343AD1" w:rsidP="00073CBA">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Improve </w:t>
            </w:r>
            <w:r w:rsidR="00073CBA">
              <w:rPr>
                <w:rFonts w:ascii="Arial Narrow" w:eastAsia="Times New Roman" w:hAnsi="Arial Narrow" w:cs="Arial"/>
                <w:color w:val="000000"/>
                <w:kern w:val="28"/>
                <w:sz w:val="14"/>
                <w:szCs w:val="14"/>
              </w:rPr>
              <w:t>m</w:t>
            </w:r>
            <w:r w:rsidRPr="0062271C">
              <w:rPr>
                <w:rFonts w:ascii="Arial Narrow" w:eastAsia="Times New Roman" w:hAnsi="Arial Narrow" w:cs="Arial"/>
                <w:color w:val="000000"/>
                <w:kern w:val="28"/>
                <w:sz w:val="14"/>
                <w:szCs w:val="14"/>
              </w:rPr>
              <w:t xml:space="preserve">aternal </w:t>
            </w:r>
            <w:r w:rsidR="00073CBA">
              <w:rPr>
                <w:rFonts w:ascii="Arial Narrow" w:eastAsia="Times New Roman" w:hAnsi="Arial Narrow" w:cs="Arial"/>
                <w:color w:val="000000"/>
                <w:kern w:val="28"/>
                <w:sz w:val="14"/>
                <w:szCs w:val="14"/>
              </w:rPr>
              <w:t>h</w:t>
            </w:r>
            <w:r w:rsidRPr="0062271C">
              <w:rPr>
                <w:rFonts w:ascii="Arial Narrow" w:eastAsia="Times New Roman" w:hAnsi="Arial Narrow" w:cs="Arial"/>
                <w:color w:val="000000"/>
                <w:kern w:val="28"/>
                <w:sz w:val="14"/>
                <w:szCs w:val="14"/>
              </w:rPr>
              <w:t>ealth</w:t>
            </w:r>
          </w:p>
        </w:tc>
        <w:tc>
          <w:tcPr>
            <w:tcW w:w="1418" w:type="dxa"/>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MDG 6</w:t>
            </w:r>
          </w:p>
          <w:p w:rsidR="00343AD1" w:rsidRPr="0062271C" w:rsidRDefault="00343AD1" w:rsidP="00073CBA">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Combat HIV/AIDS</w:t>
            </w:r>
            <w:r w:rsidR="00312CA6">
              <w:rPr>
                <w:rFonts w:ascii="Arial Narrow" w:eastAsia="Times New Roman" w:hAnsi="Arial Narrow" w:cs="Arial"/>
                <w:color w:val="000000"/>
                <w:kern w:val="28"/>
                <w:sz w:val="14"/>
                <w:szCs w:val="14"/>
              </w:rPr>
              <w:t>, malaria</w:t>
            </w:r>
            <w:r w:rsidRPr="0062271C">
              <w:rPr>
                <w:rFonts w:ascii="Arial Narrow" w:eastAsia="Times New Roman" w:hAnsi="Arial Narrow" w:cs="Arial"/>
                <w:color w:val="000000"/>
                <w:kern w:val="28"/>
                <w:sz w:val="14"/>
                <w:szCs w:val="14"/>
              </w:rPr>
              <w:t xml:space="preserve"> and </w:t>
            </w:r>
            <w:r w:rsidR="00073CBA">
              <w:rPr>
                <w:rFonts w:ascii="Arial Narrow" w:eastAsia="Times New Roman" w:hAnsi="Arial Narrow" w:cs="Arial"/>
                <w:color w:val="000000"/>
                <w:kern w:val="28"/>
                <w:sz w:val="14"/>
                <w:szCs w:val="14"/>
              </w:rPr>
              <w:t>o</w:t>
            </w:r>
            <w:r w:rsidRPr="0062271C">
              <w:rPr>
                <w:rFonts w:ascii="Arial Narrow" w:eastAsia="Times New Roman" w:hAnsi="Arial Narrow" w:cs="Arial"/>
                <w:color w:val="000000"/>
                <w:kern w:val="28"/>
                <w:sz w:val="14"/>
                <w:szCs w:val="14"/>
              </w:rPr>
              <w:t xml:space="preserve">ther </w:t>
            </w:r>
            <w:r w:rsidR="00073CBA">
              <w:rPr>
                <w:rFonts w:ascii="Arial Narrow" w:eastAsia="Times New Roman" w:hAnsi="Arial Narrow" w:cs="Arial"/>
                <w:color w:val="000000"/>
                <w:kern w:val="28"/>
                <w:sz w:val="14"/>
                <w:szCs w:val="14"/>
              </w:rPr>
              <w:t>d</w:t>
            </w:r>
            <w:r w:rsidRPr="0062271C">
              <w:rPr>
                <w:rFonts w:ascii="Arial Narrow" w:eastAsia="Times New Roman" w:hAnsi="Arial Narrow" w:cs="Arial"/>
                <w:color w:val="000000"/>
                <w:kern w:val="28"/>
                <w:sz w:val="14"/>
                <w:szCs w:val="14"/>
              </w:rPr>
              <w:t>iseases</w:t>
            </w:r>
          </w:p>
        </w:tc>
        <w:tc>
          <w:tcPr>
            <w:tcW w:w="2268" w:type="dxa"/>
            <w:gridSpan w:val="2"/>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MDG 7</w:t>
            </w:r>
          </w:p>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color w:val="000000"/>
                <w:kern w:val="28"/>
                <w:sz w:val="14"/>
                <w:szCs w:val="14"/>
              </w:rPr>
              <w:t>Ensure Environment-al Sustainability</w:t>
            </w:r>
          </w:p>
        </w:tc>
        <w:tc>
          <w:tcPr>
            <w:tcW w:w="1417" w:type="dxa"/>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MDG 8</w:t>
            </w:r>
          </w:p>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Develop a Global Partnership for Development</w:t>
            </w:r>
          </w:p>
        </w:tc>
      </w:tr>
      <w:tr w:rsidR="00343AD1" w:rsidRPr="0062271C" w:rsidTr="00615D78">
        <w:trPr>
          <w:cantSplit/>
          <w:trHeight w:val="461"/>
        </w:trPr>
        <w:tc>
          <w:tcPr>
            <w:tcW w:w="124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343AD1" w:rsidRPr="0062271C" w:rsidRDefault="00312CA6" w:rsidP="00F75E3D">
            <w:pPr>
              <w:jc w:val="center"/>
              <w:rPr>
                <w:rFonts w:ascii="Arial Narrow" w:eastAsia="Times New Roman" w:hAnsi="Arial Narrow" w:cs="Arial"/>
                <w:b/>
                <w:bCs/>
                <w:color w:val="000000"/>
                <w:kern w:val="28"/>
                <w:sz w:val="14"/>
                <w:szCs w:val="14"/>
              </w:rPr>
            </w:pPr>
            <w:r>
              <w:rPr>
                <w:rFonts w:ascii="Arial Narrow" w:eastAsia="Times New Roman" w:hAnsi="Arial Narrow" w:cs="Arial"/>
                <w:b/>
                <w:bCs/>
                <w:color w:val="000000"/>
                <w:kern w:val="28"/>
                <w:sz w:val="14"/>
                <w:szCs w:val="14"/>
              </w:rPr>
              <w:t>Country (alphabetical order)</w:t>
            </w:r>
          </w:p>
        </w:tc>
        <w:tc>
          <w:tcPr>
            <w:tcW w:w="163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343AD1" w:rsidRPr="0062271C" w:rsidRDefault="00343AD1" w:rsidP="00312CA6">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 xml:space="preserve">Extreme </w:t>
            </w:r>
            <w:r w:rsidR="00312CA6">
              <w:rPr>
                <w:rFonts w:ascii="Arial Narrow" w:eastAsia="Times New Roman" w:hAnsi="Arial Narrow" w:cs="Arial"/>
                <w:b/>
                <w:bCs/>
                <w:color w:val="000000"/>
                <w:kern w:val="28"/>
                <w:sz w:val="14"/>
                <w:szCs w:val="14"/>
              </w:rPr>
              <w:t>p</w:t>
            </w:r>
            <w:r w:rsidRPr="0062271C">
              <w:rPr>
                <w:rFonts w:ascii="Arial Narrow" w:eastAsia="Times New Roman" w:hAnsi="Arial Narrow" w:cs="Arial"/>
                <w:b/>
                <w:bCs/>
                <w:color w:val="000000"/>
                <w:kern w:val="28"/>
                <w:sz w:val="14"/>
                <w:szCs w:val="14"/>
              </w:rPr>
              <w:t>overty</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Underweight</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Undernourishment</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Completion of primary education</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Women in national parliaments</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Child mortality</w:t>
            </w:r>
          </w:p>
        </w:tc>
        <w:tc>
          <w:tcPr>
            <w:tcW w:w="149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Maternal mortality</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343AD1" w:rsidRPr="0062271C" w:rsidRDefault="00343AD1" w:rsidP="00073CBA">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Combat HIV/AIDS</w:t>
            </w:r>
            <w:r w:rsidR="00312CA6">
              <w:rPr>
                <w:rFonts w:ascii="Arial Narrow" w:eastAsia="Times New Roman" w:hAnsi="Arial Narrow" w:cs="Arial"/>
                <w:b/>
                <w:bCs/>
                <w:color w:val="000000"/>
                <w:kern w:val="28"/>
                <w:sz w:val="14"/>
                <w:szCs w:val="14"/>
              </w:rPr>
              <w:t>, malaria</w:t>
            </w:r>
            <w:r w:rsidRPr="0062271C">
              <w:rPr>
                <w:rFonts w:ascii="Arial Narrow" w:eastAsia="Times New Roman" w:hAnsi="Arial Narrow" w:cs="Arial"/>
                <w:b/>
                <w:bCs/>
                <w:color w:val="000000"/>
                <w:kern w:val="28"/>
                <w:sz w:val="14"/>
                <w:szCs w:val="14"/>
              </w:rPr>
              <w:t xml:space="preserve"> and </w:t>
            </w:r>
            <w:r w:rsidR="00073CBA">
              <w:rPr>
                <w:rFonts w:ascii="Arial Narrow" w:eastAsia="Times New Roman" w:hAnsi="Arial Narrow" w:cs="Arial"/>
                <w:b/>
                <w:bCs/>
                <w:color w:val="000000"/>
                <w:kern w:val="28"/>
                <w:sz w:val="14"/>
                <w:szCs w:val="14"/>
              </w:rPr>
              <w:t>o</w:t>
            </w:r>
            <w:r w:rsidRPr="0062271C">
              <w:rPr>
                <w:rFonts w:ascii="Arial Narrow" w:eastAsia="Times New Roman" w:hAnsi="Arial Narrow" w:cs="Arial"/>
                <w:b/>
                <w:bCs/>
                <w:color w:val="000000"/>
                <w:kern w:val="28"/>
                <w:sz w:val="14"/>
                <w:szCs w:val="14"/>
              </w:rPr>
              <w:t xml:space="preserve">ther </w:t>
            </w:r>
            <w:r w:rsidR="00073CBA">
              <w:rPr>
                <w:rFonts w:ascii="Arial Narrow" w:eastAsia="Times New Roman" w:hAnsi="Arial Narrow" w:cs="Arial"/>
                <w:b/>
                <w:bCs/>
                <w:color w:val="000000"/>
                <w:kern w:val="28"/>
                <w:sz w:val="14"/>
                <w:szCs w:val="14"/>
              </w:rPr>
              <w:t>d</w:t>
            </w:r>
            <w:r w:rsidRPr="0062271C">
              <w:rPr>
                <w:rFonts w:ascii="Arial Narrow" w:eastAsia="Times New Roman" w:hAnsi="Arial Narrow" w:cs="Arial"/>
                <w:b/>
                <w:bCs/>
                <w:color w:val="000000"/>
                <w:kern w:val="28"/>
                <w:sz w:val="14"/>
                <w:szCs w:val="14"/>
              </w:rPr>
              <w:t>iseases</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Access to safe drinking water</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Access to sanitation</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Global Partnership for Development</w:t>
            </w:r>
          </w:p>
        </w:tc>
      </w:tr>
      <w:tr w:rsidR="00343AD1" w:rsidRPr="0062271C" w:rsidTr="00615D78">
        <w:trPr>
          <w:cantSplit/>
          <w:trHeight w:val="137"/>
        </w:trPr>
        <w:tc>
          <w:tcPr>
            <w:tcW w:w="124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rsidR="00343AD1" w:rsidRPr="0062271C" w:rsidRDefault="00343AD1" w:rsidP="00312CA6">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L</w:t>
            </w:r>
            <w:r w:rsidR="00312CA6">
              <w:rPr>
                <w:rFonts w:ascii="Arial Narrow" w:eastAsia="Times New Roman" w:hAnsi="Arial Narrow" w:cs="Arial"/>
                <w:b/>
                <w:bCs/>
                <w:color w:val="000000"/>
                <w:kern w:val="28"/>
                <w:sz w:val="14"/>
                <w:szCs w:val="14"/>
              </w:rPr>
              <w:t>atin America s</w:t>
            </w:r>
            <w:r w:rsidRPr="0062271C">
              <w:rPr>
                <w:rFonts w:ascii="Arial Narrow" w:eastAsia="Times New Roman" w:hAnsi="Arial Narrow" w:cs="Arial"/>
                <w:b/>
                <w:bCs/>
                <w:color w:val="000000"/>
                <w:kern w:val="28"/>
                <w:sz w:val="14"/>
                <w:szCs w:val="14"/>
              </w:rPr>
              <w:t>ummary</w:t>
            </w:r>
          </w:p>
        </w:tc>
        <w:tc>
          <w:tcPr>
            <w:tcW w:w="1630"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vAlign w:val="center"/>
          </w:tcPr>
          <w:p w:rsidR="00343AD1" w:rsidRPr="0062271C" w:rsidRDefault="00343AD1" w:rsidP="00F75E3D">
            <w:pPr>
              <w:jc w:val="center"/>
              <w:rPr>
                <w:rFonts w:ascii="Arial Narrow" w:eastAsia="Times New Roman" w:hAnsi="Arial Narrow" w:cs="Arial"/>
                <w:bCs/>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343AD1" w:rsidRPr="0062271C" w:rsidRDefault="00343AD1" w:rsidP="00F75E3D">
            <w:pPr>
              <w:jc w:val="center"/>
              <w:rPr>
                <w:rFonts w:ascii="Arial Narrow" w:eastAsia="Times New Roman" w:hAnsi="Arial Narrow" w:cs="Arial"/>
                <w:bCs/>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4" w:space="0" w:color="auto"/>
              <w:left w:val="single" w:sz="4" w:space="0" w:color="auto"/>
              <w:bottom w:val="single" w:sz="4" w:space="0" w:color="auto"/>
              <w:right w:val="single" w:sz="4" w:space="0" w:color="auto"/>
            </w:tcBorders>
            <w:shd w:val="clear" w:color="auto" w:fill="FF0000"/>
            <w:vAlign w:val="center"/>
          </w:tcPr>
          <w:p w:rsidR="00343AD1" w:rsidRPr="0062271C" w:rsidRDefault="00343AD1" w:rsidP="00F75E3D">
            <w:pPr>
              <w:jc w:val="center"/>
              <w:rPr>
                <w:rFonts w:ascii="Arial Narrow" w:eastAsia="Times New Roman" w:hAnsi="Arial Narrow" w:cs="Arial"/>
                <w:bCs/>
                <w:color w:val="000000"/>
                <w:kern w:val="28"/>
                <w:sz w:val="14"/>
                <w:szCs w:val="14"/>
              </w:rPr>
            </w:pPr>
            <w:r w:rsidRPr="0062271C">
              <w:rPr>
                <w:rFonts w:ascii="Arial Narrow" w:eastAsia="Times New Roman" w:hAnsi="Arial Narrow" w:cs="Arial"/>
                <w:color w:val="000000"/>
                <w:kern w:val="28"/>
                <w:sz w:val="14"/>
                <w:szCs w:val="14"/>
              </w:rPr>
              <w:t xml:space="preserve">Off track </w:t>
            </w:r>
            <w:r w:rsidRPr="0062271C">
              <w:rPr>
                <w:rFonts w:ascii="Arial Narrow" w:eastAsia="Times New Roman" w:hAnsi="Arial Narrow"/>
                <w:color w:val="000000"/>
                <w:kern w:val="28"/>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vAlign w:val="center"/>
          </w:tcPr>
          <w:p w:rsidR="00343AD1" w:rsidRPr="0062271C" w:rsidRDefault="00343AD1" w:rsidP="00F75E3D">
            <w:pPr>
              <w:jc w:val="center"/>
              <w:rPr>
                <w:rFonts w:ascii="Arial Narrow" w:eastAsia="Times New Roman" w:hAnsi="Arial Narrow" w:cs="Arial"/>
                <w:bCs/>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vAlign w:val="center"/>
          </w:tcPr>
          <w:p w:rsidR="00343AD1" w:rsidRPr="0062271C" w:rsidRDefault="00343AD1" w:rsidP="00F75E3D">
            <w:pPr>
              <w:jc w:val="center"/>
              <w:rPr>
                <w:rFonts w:ascii="Arial Narrow" w:eastAsia="Times New Roman" w:hAnsi="Arial Narrow" w:cs="Arial"/>
                <w:bCs/>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vAlign w:val="center"/>
          </w:tcPr>
          <w:p w:rsidR="00343AD1" w:rsidRPr="0062271C" w:rsidRDefault="00343AD1" w:rsidP="00F75E3D">
            <w:pPr>
              <w:jc w:val="center"/>
              <w:rPr>
                <w:rFonts w:ascii="Arial Narrow" w:eastAsia="Times New Roman" w:hAnsi="Arial Narrow" w:cs="Arial"/>
                <w:bCs/>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90" w:type="dxa"/>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vAlign w:val="center"/>
          </w:tcPr>
          <w:p w:rsidR="00343AD1" w:rsidRPr="0062271C" w:rsidRDefault="00343AD1" w:rsidP="00F75E3D">
            <w:pPr>
              <w:jc w:val="center"/>
              <w:rPr>
                <w:rFonts w:ascii="Arial Narrow" w:eastAsia="Times New Roman" w:hAnsi="Arial Narrow" w:cs="Arial"/>
                <w:bCs/>
                <w:color w:val="000000"/>
                <w:kern w:val="28"/>
                <w:sz w:val="14"/>
                <w:szCs w:val="14"/>
              </w:rPr>
            </w:pPr>
            <w:r w:rsidRPr="0062271C">
              <w:rPr>
                <w:rFonts w:ascii="Arial Narrow" w:eastAsia="Times New Roman" w:hAnsi="Arial Narrow" w:cs="Arial"/>
                <w:color w:val="000000"/>
                <w:kern w:val="28"/>
                <w:sz w:val="14"/>
                <w:szCs w:val="14"/>
              </w:rPr>
              <w:t>Mixed</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343AD1" w:rsidRPr="0062271C" w:rsidRDefault="00343AD1" w:rsidP="008F2485">
            <w:pPr>
              <w:jc w:val="center"/>
              <w:rPr>
                <w:rFonts w:ascii="Arial Narrow" w:eastAsia="Times New Roman" w:hAnsi="Arial Narrow" w:cs="Arial"/>
                <w:bCs/>
                <w:color w:val="000000"/>
                <w:kern w:val="28"/>
                <w:sz w:val="14"/>
                <w:szCs w:val="14"/>
              </w:rPr>
            </w:pPr>
            <w:r w:rsidRPr="0062271C">
              <w:rPr>
                <w:rFonts w:ascii="Arial Narrow" w:eastAsia="Times New Roman" w:hAnsi="Arial Narrow" w:cs="Arial"/>
                <w:color w:val="000000"/>
                <w:kern w:val="28"/>
                <w:sz w:val="14"/>
                <w:szCs w:val="14"/>
              </w:rPr>
              <w:t>Insufficient Information</w:t>
            </w:r>
          </w:p>
        </w:tc>
        <w:tc>
          <w:tcPr>
            <w:tcW w:w="1134"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vAlign w:val="center"/>
          </w:tcPr>
          <w:p w:rsidR="00343AD1" w:rsidRPr="0062271C" w:rsidRDefault="00343AD1" w:rsidP="00F75E3D">
            <w:pPr>
              <w:jc w:val="center"/>
              <w:rPr>
                <w:rFonts w:ascii="Arial Narrow" w:eastAsia="Times New Roman" w:hAnsi="Arial Narrow" w:cs="Arial"/>
                <w:bCs/>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343AD1" w:rsidRPr="0062271C" w:rsidRDefault="00343AD1" w:rsidP="00F75E3D">
            <w:pPr>
              <w:jc w:val="center"/>
              <w:rPr>
                <w:rFonts w:ascii="Arial Narrow" w:eastAsia="Times New Roman" w:hAnsi="Arial Narrow" w:cs="Arial"/>
                <w:bCs/>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343AD1" w:rsidRPr="0062271C" w:rsidRDefault="00343AD1" w:rsidP="008F2485">
            <w:pPr>
              <w:jc w:val="center"/>
              <w:rPr>
                <w:rFonts w:ascii="Arial Narrow" w:eastAsia="Times New Roman" w:hAnsi="Arial Narrow" w:cs="Arial"/>
                <w:bCs/>
                <w:color w:val="000000"/>
                <w:kern w:val="28"/>
                <w:sz w:val="14"/>
                <w:szCs w:val="14"/>
              </w:rPr>
            </w:pPr>
            <w:r w:rsidRPr="0062271C">
              <w:rPr>
                <w:rFonts w:ascii="Arial Narrow" w:eastAsia="Times New Roman" w:hAnsi="Arial Narrow" w:cs="Arial"/>
                <w:color w:val="000000"/>
                <w:kern w:val="28"/>
                <w:sz w:val="14"/>
                <w:szCs w:val="14"/>
              </w:rPr>
              <w:t>Insufficient Information</w:t>
            </w:r>
          </w:p>
        </w:tc>
      </w:tr>
      <w:tr w:rsidR="00343AD1" w:rsidRPr="0062271C" w:rsidTr="00615D78">
        <w:trPr>
          <w:cantSplit/>
          <w:trHeight w:val="126"/>
        </w:trPr>
        <w:tc>
          <w:tcPr>
            <w:tcW w:w="1241" w:type="dxa"/>
            <w:tcBorders>
              <w:top w:val="single" w:sz="4" w:space="0" w:color="auto"/>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Argentina</w:t>
            </w:r>
          </w:p>
        </w:tc>
        <w:tc>
          <w:tcPr>
            <w:tcW w:w="1630" w:type="dxa"/>
            <w:tcBorders>
              <w:top w:val="single" w:sz="4" w:space="0" w:color="auto"/>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4" w:space="0" w:color="auto"/>
              <w:left w:val="single" w:sz="8" w:space="0" w:color="000000"/>
              <w:bottom w:val="single" w:sz="8" w:space="0" w:color="000000"/>
              <w:right w:val="single" w:sz="8" w:space="0" w:color="000000"/>
            </w:tcBorders>
            <w:shd w:val="clear" w:color="auto" w:fill="FF0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Off track </w:t>
            </w:r>
            <w:r w:rsidRPr="0062271C">
              <w:rPr>
                <w:rFonts w:ascii="Arial Narrow" w:eastAsia="Times New Roman" w:hAnsi="Arial Narrow"/>
                <w:color w:val="000000"/>
                <w:kern w:val="28"/>
                <w:sz w:val="14"/>
                <w:szCs w:val="14"/>
              </w:rPr>
              <w:t></w:t>
            </w:r>
          </w:p>
        </w:tc>
        <w:tc>
          <w:tcPr>
            <w:tcW w:w="1417" w:type="dxa"/>
            <w:tcBorders>
              <w:top w:val="single" w:sz="4" w:space="0" w:color="auto"/>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4" w:space="0" w:color="auto"/>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4" w:space="0" w:color="auto"/>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4" w:space="0" w:color="auto"/>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90" w:type="dxa"/>
            <w:tcBorders>
              <w:top w:val="single" w:sz="4" w:space="0" w:color="auto"/>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418" w:type="dxa"/>
            <w:tcBorders>
              <w:top w:val="single" w:sz="4" w:space="0" w:color="auto"/>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4" w:space="0" w:color="auto"/>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4" w:space="0" w:color="auto"/>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8F2485">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 Information</w:t>
            </w:r>
          </w:p>
        </w:tc>
      </w:tr>
      <w:tr w:rsidR="00343AD1" w:rsidRPr="0062271C" w:rsidTr="00615D78">
        <w:trPr>
          <w:cantSplit/>
          <w:trHeight w:val="121"/>
        </w:trPr>
        <w:tc>
          <w:tcPr>
            <w:tcW w:w="12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b/>
                <w:bCs/>
                <w:color w:val="000000"/>
                <w:kern w:val="28"/>
                <w:sz w:val="14"/>
                <w:szCs w:val="14"/>
              </w:rPr>
              <w:t>Bolivia</w:t>
            </w:r>
          </w:p>
        </w:tc>
        <w:tc>
          <w:tcPr>
            <w:tcW w:w="1630"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w:t>
            </w:r>
            <w:r w:rsidRPr="0062271C">
              <w:rPr>
                <w:rFonts w:ascii="Arial Narrow" w:eastAsia="Times New Roman" w:hAnsi="Arial Narrow" w:cs="Arial"/>
                <w:color w:val="000000"/>
                <w:kern w:val="28"/>
                <w:sz w:val="14"/>
                <w:szCs w:val="14"/>
                <w:shd w:val="clear" w:color="auto" w:fill="FFC000"/>
              </w:rPr>
              <w:t>d</w:t>
            </w:r>
          </w:p>
        </w:tc>
        <w:tc>
          <w:tcPr>
            <w:tcW w:w="14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073CBA">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Insufficient </w:t>
            </w:r>
            <w:r w:rsidR="00073CBA">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418"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Mixed</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8F2485">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 Information</w:t>
            </w:r>
          </w:p>
        </w:tc>
      </w:tr>
      <w:tr w:rsidR="00343AD1" w:rsidRPr="0062271C" w:rsidTr="00615D78">
        <w:trPr>
          <w:cantSplit/>
          <w:trHeight w:val="80"/>
        </w:trPr>
        <w:tc>
          <w:tcPr>
            <w:tcW w:w="12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b/>
                <w:bCs/>
                <w:color w:val="000000"/>
                <w:kern w:val="28"/>
                <w:sz w:val="14"/>
                <w:szCs w:val="14"/>
              </w:rPr>
            </w:pPr>
            <w:r w:rsidRPr="0062271C">
              <w:rPr>
                <w:rFonts w:ascii="Arial Narrow" w:eastAsia="Times New Roman" w:hAnsi="Arial Narrow" w:cs="Arial"/>
                <w:b/>
                <w:bCs/>
                <w:color w:val="000000"/>
                <w:kern w:val="28"/>
                <w:sz w:val="14"/>
                <w:szCs w:val="14"/>
              </w:rPr>
              <w:t>Brazil</w:t>
            </w:r>
          </w:p>
        </w:tc>
        <w:tc>
          <w:tcPr>
            <w:tcW w:w="1630"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90"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Off track </w:t>
            </w:r>
            <w:r w:rsidRPr="0062271C">
              <w:rPr>
                <w:rFonts w:ascii="Arial Narrow" w:eastAsia="Times New Roman" w:hAnsi="Arial Narrow"/>
                <w:color w:val="000000"/>
                <w:kern w:val="28"/>
                <w:sz w:val="14"/>
                <w:szCs w:val="1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Mixed</w:t>
            </w:r>
          </w:p>
        </w:tc>
        <w:tc>
          <w:tcPr>
            <w:tcW w:w="1417"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r>
      <w:tr w:rsidR="00343AD1" w:rsidRPr="0062271C" w:rsidTr="00615D78">
        <w:trPr>
          <w:cantSplit/>
          <w:trHeight w:val="137"/>
        </w:trPr>
        <w:tc>
          <w:tcPr>
            <w:tcW w:w="12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Chile</w:t>
            </w:r>
          </w:p>
        </w:tc>
        <w:tc>
          <w:tcPr>
            <w:tcW w:w="1630"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90"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418"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8F2485">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 Information</w:t>
            </w:r>
          </w:p>
        </w:tc>
      </w:tr>
      <w:tr w:rsidR="00343AD1" w:rsidRPr="0062271C" w:rsidTr="00615D78">
        <w:trPr>
          <w:cantSplit/>
          <w:trHeight w:val="195"/>
        </w:trPr>
        <w:tc>
          <w:tcPr>
            <w:tcW w:w="12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Colombia</w:t>
            </w:r>
          </w:p>
        </w:tc>
        <w:tc>
          <w:tcPr>
            <w:tcW w:w="1630"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Mixed</w:t>
            </w: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490"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073CBA">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Insufficient </w:t>
            </w:r>
            <w:r w:rsidR="00073CBA">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Mixed</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8F2485">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 Information</w:t>
            </w:r>
          </w:p>
        </w:tc>
      </w:tr>
      <w:tr w:rsidR="00343AD1" w:rsidRPr="0062271C" w:rsidTr="00615D78">
        <w:trPr>
          <w:cantSplit/>
          <w:trHeight w:val="157"/>
        </w:trPr>
        <w:tc>
          <w:tcPr>
            <w:tcW w:w="12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Costa Rica</w:t>
            </w:r>
          </w:p>
        </w:tc>
        <w:tc>
          <w:tcPr>
            <w:tcW w:w="1630"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Off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490"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8F2485">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 Information</w:t>
            </w:r>
          </w:p>
        </w:tc>
      </w:tr>
      <w:tr w:rsidR="00343AD1" w:rsidRPr="0062271C" w:rsidTr="00615D78">
        <w:trPr>
          <w:cantSplit/>
          <w:trHeight w:val="64"/>
        </w:trPr>
        <w:tc>
          <w:tcPr>
            <w:tcW w:w="12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Ecuador</w:t>
            </w:r>
          </w:p>
        </w:tc>
        <w:tc>
          <w:tcPr>
            <w:tcW w:w="1630"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073CBA">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Insufficient </w:t>
            </w:r>
            <w:r w:rsidR="00073CBA">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418"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8F2485">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 Information</w:t>
            </w:r>
          </w:p>
        </w:tc>
      </w:tr>
      <w:tr w:rsidR="00343AD1" w:rsidRPr="0062271C" w:rsidTr="00615D78">
        <w:trPr>
          <w:cantSplit/>
          <w:trHeight w:val="76"/>
        </w:trPr>
        <w:tc>
          <w:tcPr>
            <w:tcW w:w="12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El Salvador</w:t>
            </w:r>
          </w:p>
        </w:tc>
        <w:tc>
          <w:tcPr>
            <w:tcW w:w="1630"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Mixed</w:t>
            </w:r>
          </w:p>
        </w:tc>
        <w:tc>
          <w:tcPr>
            <w:tcW w:w="1417"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Off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073CBA">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Insufficient </w:t>
            </w:r>
            <w:r w:rsidR="00073CBA">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073CBA">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Insufficient </w:t>
            </w:r>
            <w:r w:rsidR="00073CBA">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8F2485">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 Information</w:t>
            </w:r>
          </w:p>
        </w:tc>
      </w:tr>
      <w:tr w:rsidR="00343AD1" w:rsidRPr="0062271C" w:rsidTr="00615D78">
        <w:trPr>
          <w:cantSplit/>
          <w:trHeight w:val="179"/>
        </w:trPr>
        <w:tc>
          <w:tcPr>
            <w:tcW w:w="12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Guatemala</w:t>
            </w:r>
          </w:p>
        </w:tc>
        <w:tc>
          <w:tcPr>
            <w:tcW w:w="1630"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Off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073CBA">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Insufficient </w:t>
            </w:r>
            <w:r w:rsidR="00073CBA">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073CBA">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Insufficient </w:t>
            </w:r>
            <w:r w:rsidR="00073CBA">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8F2485">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 Information</w:t>
            </w:r>
          </w:p>
        </w:tc>
      </w:tr>
      <w:tr w:rsidR="00343AD1" w:rsidRPr="0062271C" w:rsidTr="00615D78">
        <w:trPr>
          <w:cantSplit/>
          <w:trHeight w:val="196"/>
        </w:trPr>
        <w:tc>
          <w:tcPr>
            <w:tcW w:w="12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Honduras</w:t>
            </w:r>
          </w:p>
        </w:tc>
        <w:tc>
          <w:tcPr>
            <w:tcW w:w="1630"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4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073CBA">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Insufficient </w:t>
            </w:r>
            <w:r w:rsidR="00073CBA">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073CBA">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Insufficient </w:t>
            </w:r>
            <w:r w:rsidR="00073CBA">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8F2485">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 Information</w:t>
            </w:r>
          </w:p>
        </w:tc>
      </w:tr>
      <w:tr w:rsidR="00343AD1" w:rsidRPr="0062271C" w:rsidTr="00615D78">
        <w:trPr>
          <w:cantSplit/>
          <w:trHeight w:val="64"/>
        </w:trPr>
        <w:tc>
          <w:tcPr>
            <w:tcW w:w="12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Mexico</w:t>
            </w:r>
          </w:p>
        </w:tc>
        <w:tc>
          <w:tcPr>
            <w:tcW w:w="1630"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90"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8F2485">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 Information</w:t>
            </w:r>
          </w:p>
        </w:tc>
      </w:tr>
      <w:tr w:rsidR="00343AD1" w:rsidRPr="0062271C" w:rsidTr="00615D78">
        <w:trPr>
          <w:cantSplit/>
          <w:trHeight w:val="64"/>
        </w:trPr>
        <w:tc>
          <w:tcPr>
            <w:tcW w:w="12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Nicaragua</w:t>
            </w:r>
          </w:p>
        </w:tc>
        <w:tc>
          <w:tcPr>
            <w:tcW w:w="1630"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90"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073CBA">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Insufficient </w:t>
            </w:r>
            <w:r w:rsidR="00073CBA">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Mixed</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8F2485">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 Information</w:t>
            </w:r>
          </w:p>
        </w:tc>
      </w:tr>
      <w:tr w:rsidR="00343AD1" w:rsidRPr="0062271C" w:rsidTr="00615D78">
        <w:trPr>
          <w:cantSplit/>
          <w:trHeight w:val="118"/>
        </w:trPr>
        <w:tc>
          <w:tcPr>
            <w:tcW w:w="12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Panama</w:t>
            </w:r>
          </w:p>
        </w:tc>
        <w:tc>
          <w:tcPr>
            <w:tcW w:w="1630"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Off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4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073CBA">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Insufficient </w:t>
            </w:r>
            <w:r w:rsidR="00073CBA">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418"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Off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Mixed</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8F2485">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 Information</w:t>
            </w:r>
          </w:p>
        </w:tc>
      </w:tr>
      <w:tr w:rsidR="00343AD1" w:rsidRPr="0062271C" w:rsidTr="00615D78">
        <w:trPr>
          <w:cantSplit/>
          <w:trHeight w:val="64"/>
        </w:trPr>
        <w:tc>
          <w:tcPr>
            <w:tcW w:w="12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lastRenderedPageBreak/>
              <w:t>Paraguay</w:t>
            </w:r>
          </w:p>
        </w:tc>
        <w:tc>
          <w:tcPr>
            <w:tcW w:w="1630"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Off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490"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Off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Mixed</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8F2485">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 Information</w:t>
            </w:r>
          </w:p>
        </w:tc>
      </w:tr>
      <w:tr w:rsidR="00343AD1" w:rsidRPr="0062271C" w:rsidTr="00615D78">
        <w:trPr>
          <w:cantSplit/>
          <w:trHeight w:val="64"/>
        </w:trPr>
        <w:tc>
          <w:tcPr>
            <w:tcW w:w="12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Peru</w:t>
            </w:r>
          </w:p>
        </w:tc>
        <w:tc>
          <w:tcPr>
            <w:tcW w:w="1630"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073CBA">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Insufficient </w:t>
            </w:r>
            <w:r w:rsidR="00073CBA">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418"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Off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8F2485">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 Information</w:t>
            </w:r>
          </w:p>
        </w:tc>
      </w:tr>
      <w:tr w:rsidR="00343AD1" w:rsidRPr="0062271C" w:rsidTr="00615D78">
        <w:trPr>
          <w:cantSplit/>
          <w:trHeight w:val="84"/>
        </w:trPr>
        <w:tc>
          <w:tcPr>
            <w:tcW w:w="12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Uruguay</w:t>
            </w:r>
          </w:p>
        </w:tc>
        <w:tc>
          <w:tcPr>
            <w:tcW w:w="1630"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Off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Off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4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073CBA">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Insufficient </w:t>
            </w:r>
            <w:r w:rsidR="00073CBA">
              <w:rPr>
                <w:rFonts w:ascii="Arial Narrow" w:eastAsia="Times New Roman" w:hAnsi="Arial Narrow" w:cs="Arial"/>
                <w:color w:val="000000"/>
                <w:kern w:val="28"/>
                <w:sz w:val="14"/>
                <w:szCs w:val="14"/>
              </w:rPr>
              <w:t>i</w:t>
            </w:r>
            <w:r w:rsidRPr="0062271C">
              <w:rPr>
                <w:rFonts w:ascii="Arial Narrow" w:eastAsia="Times New Roman" w:hAnsi="Arial Narrow" w:cs="Arial"/>
                <w:color w:val="000000"/>
                <w:kern w:val="28"/>
                <w:sz w:val="14"/>
                <w:szCs w:val="14"/>
              </w:rPr>
              <w:t>nformation</w:t>
            </w:r>
          </w:p>
        </w:tc>
        <w:tc>
          <w:tcPr>
            <w:tcW w:w="1418"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r>
      <w:tr w:rsidR="00343AD1" w:rsidRPr="0062271C" w:rsidTr="00615D78">
        <w:trPr>
          <w:cantSplit/>
          <w:trHeight w:val="64"/>
        </w:trPr>
        <w:tc>
          <w:tcPr>
            <w:tcW w:w="12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b/>
                <w:bCs/>
                <w:color w:val="000000"/>
                <w:kern w:val="28"/>
                <w:sz w:val="14"/>
                <w:szCs w:val="14"/>
              </w:rPr>
            </w:pPr>
            <w:r w:rsidRPr="0062271C">
              <w:rPr>
                <w:rFonts w:ascii="Arial Narrow" w:eastAsia="Times New Roman" w:hAnsi="Arial Narrow" w:cs="Arial"/>
                <w:b/>
                <w:bCs/>
                <w:color w:val="000000"/>
                <w:kern w:val="28"/>
                <w:sz w:val="14"/>
                <w:szCs w:val="14"/>
              </w:rPr>
              <w:t>Venezuela</w:t>
            </w:r>
          </w:p>
        </w:tc>
        <w:tc>
          <w:tcPr>
            <w:tcW w:w="1630"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On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Off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490"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418"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343AD1" w:rsidRPr="0062271C" w:rsidRDefault="00343AD1" w:rsidP="00F75E3D">
            <w:pPr>
              <w:jc w:val="center"/>
              <w:rPr>
                <w:rFonts w:ascii="Arial Narrow" w:eastAsia="Times New Roman" w:hAnsi="Arial Narrow"/>
                <w:color w:val="000000"/>
                <w:kern w:val="28"/>
                <w:sz w:val="14"/>
                <w:szCs w:val="14"/>
              </w:rPr>
            </w:pPr>
            <w:r w:rsidRPr="0062271C">
              <w:rPr>
                <w:rFonts w:ascii="Arial Narrow" w:eastAsia="Times New Roman" w:hAnsi="Arial Narrow" w:cs="Arial"/>
                <w:color w:val="000000"/>
                <w:kern w:val="28"/>
                <w:sz w:val="14"/>
                <w:szCs w:val="14"/>
              </w:rPr>
              <w:t xml:space="preserve">Off track </w:t>
            </w:r>
            <w:r w:rsidRPr="0062271C">
              <w:rPr>
                <w:rFonts w:ascii="Arial Narrow" w:eastAsia="Times New Roman" w:hAnsi="Arial Narrow"/>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43AD1" w:rsidRPr="0062271C" w:rsidRDefault="00343AD1" w:rsidP="00F75E3D">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 xml:space="preserve">Off track </w:t>
            </w:r>
            <w:r w:rsidRPr="0062271C">
              <w:rPr>
                <w:rFonts w:ascii="Arial Narrow" w:eastAsia="Times New Roman" w:hAnsi="Arial Narrow"/>
                <w:color w:val="000000"/>
                <w:kern w:val="28"/>
                <w:sz w:val="14"/>
                <w:szCs w:val="1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343AD1" w:rsidRPr="0062271C" w:rsidRDefault="00343AD1" w:rsidP="008F2485">
            <w:pPr>
              <w:jc w:val="center"/>
              <w:rPr>
                <w:rFonts w:ascii="Arial Narrow" w:eastAsia="Times New Roman" w:hAnsi="Arial Narrow" w:cs="Arial"/>
                <w:color w:val="000000"/>
                <w:kern w:val="28"/>
                <w:sz w:val="14"/>
                <w:szCs w:val="14"/>
              </w:rPr>
            </w:pPr>
            <w:r w:rsidRPr="0062271C">
              <w:rPr>
                <w:rFonts w:ascii="Arial Narrow" w:eastAsia="Times New Roman" w:hAnsi="Arial Narrow" w:cs="Arial"/>
                <w:color w:val="000000"/>
                <w:kern w:val="28"/>
                <w:sz w:val="14"/>
                <w:szCs w:val="14"/>
              </w:rPr>
              <w:t>Insufficient Information</w:t>
            </w:r>
          </w:p>
        </w:tc>
      </w:tr>
    </w:tbl>
    <w:p w:rsidR="00F95575" w:rsidRDefault="00F95575" w:rsidP="004852B4">
      <w:pPr>
        <w:spacing w:line="276" w:lineRule="auto"/>
        <w:rPr>
          <w:rFonts w:eastAsia="Times New Roman"/>
          <w:b/>
          <w:sz w:val="22"/>
          <w:szCs w:val="22"/>
          <w:lang w:eastAsia="en-US"/>
        </w:rPr>
        <w:sectPr w:rsidR="00F95575" w:rsidSect="00D30700">
          <w:headerReference w:type="default" r:id="rId24"/>
          <w:footerReference w:type="default" r:id="rId25"/>
          <w:headerReference w:type="first" r:id="rId26"/>
          <w:footerReference w:type="first" r:id="rId27"/>
          <w:pgSz w:w="16840" w:h="11907" w:orient="landscape" w:code="9"/>
          <w:pgMar w:top="1871" w:right="2268" w:bottom="1134" w:left="907" w:header="851" w:footer="340" w:gutter="0"/>
          <w:cols w:space="720"/>
          <w:docGrid w:linePitch="272"/>
        </w:sectPr>
      </w:pPr>
    </w:p>
    <w:p w:rsidR="00343AD1" w:rsidRPr="00F95575" w:rsidRDefault="00343AD1" w:rsidP="00F95575">
      <w:pPr>
        <w:pStyle w:val="Heading1"/>
      </w:pPr>
      <w:r>
        <w:lastRenderedPageBreak/>
        <w:t>Annex E</w:t>
      </w:r>
    </w:p>
    <w:p w:rsidR="00343AD1" w:rsidRPr="00F75E3D" w:rsidRDefault="00343AD1" w:rsidP="0074759B">
      <w:pPr>
        <w:pStyle w:val="Heading2"/>
      </w:pPr>
      <w:r>
        <w:t>2013 Latin America Human Development Index Ranking</w:t>
      </w:r>
    </w:p>
    <w:tbl>
      <w:tblPr>
        <w:tblStyle w:val="APPR"/>
        <w:tblW w:w="0" w:type="auto"/>
        <w:tblLook w:val="04A0" w:firstRow="1" w:lastRow="0" w:firstColumn="1" w:lastColumn="0" w:noHBand="0" w:noVBand="1"/>
      </w:tblPr>
      <w:tblGrid>
        <w:gridCol w:w="2064"/>
        <w:gridCol w:w="3473"/>
        <w:gridCol w:w="3070"/>
      </w:tblGrid>
      <w:tr w:rsidR="0097330B" w:rsidTr="002049C1">
        <w:trPr>
          <w:cnfStyle w:val="100000000000" w:firstRow="1" w:lastRow="0" w:firstColumn="0" w:lastColumn="0" w:oddVBand="0" w:evenVBand="0" w:oddHBand="0" w:evenHBand="0" w:firstRowFirstColumn="0" w:firstRowLastColumn="0" w:lastRowFirstColumn="0" w:lastRowLastColumn="0"/>
          <w:trHeight w:val="167"/>
        </w:trPr>
        <w:tc>
          <w:tcPr>
            <w:tcW w:w="2093" w:type="dxa"/>
          </w:tcPr>
          <w:p w:rsidR="00343AD1" w:rsidRPr="002049C1" w:rsidRDefault="00343AD1" w:rsidP="002049C1">
            <w:pPr>
              <w:pStyle w:val="TableTextColumnHeading"/>
              <w:rPr>
                <w:b/>
              </w:rPr>
            </w:pPr>
            <w:r w:rsidRPr="002049C1">
              <w:rPr>
                <w:b/>
              </w:rPr>
              <w:t>Country*</w:t>
            </w:r>
            <w:r w:rsidR="00312CA6" w:rsidRPr="002049C1">
              <w:rPr>
                <w:b/>
              </w:rPr>
              <w:t>(alphabetical order)</w:t>
            </w:r>
          </w:p>
        </w:tc>
        <w:tc>
          <w:tcPr>
            <w:tcW w:w="4252" w:type="dxa"/>
          </w:tcPr>
          <w:p w:rsidR="00343AD1" w:rsidRPr="002049C1" w:rsidRDefault="00343AD1" w:rsidP="002049C1">
            <w:pPr>
              <w:pStyle w:val="TableTextColumnHeading"/>
              <w:rPr>
                <w:b/>
              </w:rPr>
            </w:pPr>
            <w:r w:rsidRPr="002049C1">
              <w:rPr>
                <w:b/>
              </w:rPr>
              <w:t>2013 Human Development Index Ranking (out of 187)</w:t>
            </w:r>
            <w:r w:rsidRPr="002049C1">
              <w:rPr>
                <w:rStyle w:val="FootnoteReference"/>
                <w:rFonts w:ascii="Franklin Gothic Medium" w:hAnsi="Franklin Gothic Medium"/>
                <w:b/>
                <w:position w:val="0"/>
                <w:sz w:val="17"/>
                <w:szCs w:val="17"/>
              </w:rPr>
              <w:footnoteReference w:id="35"/>
            </w:r>
          </w:p>
        </w:tc>
        <w:tc>
          <w:tcPr>
            <w:tcW w:w="3686" w:type="dxa"/>
          </w:tcPr>
          <w:p w:rsidR="00343AD1" w:rsidRPr="002049C1" w:rsidRDefault="00343AD1" w:rsidP="002049C1">
            <w:pPr>
              <w:pStyle w:val="TableTextColumnHeading"/>
              <w:rPr>
                <w:b/>
              </w:rPr>
            </w:pPr>
            <w:r w:rsidRPr="002049C1">
              <w:rPr>
                <w:b/>
              </w:rPr>
              <w:t>2007 Human Development Index Ranking</w:t>
            </w:r>
            <w:r w:rsidRPr="002049C1">
              <w:rPr>
                <w:rStyle w:val="FootnoteReference"/>
                <w:rFonts w:ascii="Franklin Gothic Medium" w:hAnsi="Franklin Gothic Medium"/>
                <w:b/>
                <w:position w:val="0"/>
                <w:sz w:val="17"/>
                <w:szCs w:val="17"/>
              </w:rPr>
              <w:footnoteReference w:id="36"/>
            </w:r>
          </w:p>
        </w:tc>
      </w:tr>
      <w:tr w:rsidR="0097330B" w:rsidTr="002049C1">
        <w:trPr>
          <w:cnfStyle w:val="100000000000" w:firstRow="1" w:lastRow="0" w:firstColumn="0" w:lastColumn="0" w:oddVBand="0" w:evenVBand="0" w:oddHBand="0" w:evenHBand="0" w:firstRowFirstColumn="0" w:firstRowLastColumn="0" w:lastRowFirstColumn="0" w:lastRowLastColumn="0"/>
          <w:trHeight w:val="177"/>
        </w:trPr>
        <w:tc>
          <w:tcPr>
            <w:tcW w:w="2093" w:type="dxa"/>
          </w:tcPr>
          <w:p w:rsidR="0097330B" w:rsidRPr="002049C1" w:rsidRDefault="0097330B" w:rsidP="002049C1">
            <w:pPr>
              <w:pStyle w:val="TableTextEntries"/>
              <w:rPr>
                <w:b w:val="0"/>
              </w:rPr>
            </w:pPr>
            <w:r w:rsidRPr="002049C1">
              <w:rPr>
                <w:b w:val="0"/>
              </w:rPr>
              <w:t>Argentina</w:t>
            </w:r>
          </w:p>
        </w:tc>
        <w:tc>
          <w:tcPr>
            <w:tcW w:w="4252" w:type="dxa"/>
          </w:tcPr>
          <w:p w:rsidR="0097330B" w:rsidRPr="002049C1" w:rsidRDefault="0097330B" w:rsidP="002049C1">
            <w:pPr>
              <w:pStyle w:val="TableTextEntries"/>
              <w:rPr>
                <w:b w:val="0"/>
              </w:rPr>
            </w:pPr>
            <w:r w:rsidRPr="002049C1">
              <w:rPr>
                <w:b w:val="0"/>
              </w:rPr>
              <w:t xml:space="preserve">45 </w:t>
            </w:r>
          </w:p>
        </w:tc>
        <w:tc>
          <w:tcPr>
            <w:tcW w:w="3686" w:type="dxa"/>
          </w:tcPr>
          <w:p w:rsidR="0097330B" w:rsidRPr="002049C1" w:rsidRDefault="0097330B" w:rsidP="002049C1">
            <w:pPr>
              <w:pStyle w:val="TableTextEntries"/>
              <w:rPr>
                <w:b w:val="0"/>
              </w:rPr>
            </w:pPr>
            <w:r w:rsidRPr="002049C1">
              <w:rPr>
                <w:b w:val="0"/>
              </w:rPr>
              <w:t>49</w:t>
            </w:r>
          </w:p>
        </w:tc>
      </w:tr>
      <w:tr w:rsidR="0097330B" w:rsidTr="002049C1">
        <w:trPr>
          <w:cnfStyle w:val="100000000000" w:firstRow="1" w:lastRow="0" w:firstColumn="0" w:lastColumn="0" w:oddVBand="0" w:evenVBand="0" w:oddHBand="0" w:evenHBand="0" w:firstRowFirstColumn="0" w:firstRowLastColumn="0" w:lastRowFirstColumn="0" w:lastRowLastColumn="0"/>
        </w:trPr>
        <w:tc>
          <w:tcPr>
            <w:tcW w:w="2093" w:type="dxa"/>
          </w:tcPr>
          <w:p w:rsidR="0097330B" w:rsidRPr="002049C1" w:rsidRDefault="0097330B" w:rsidP="002049C1">
            <w:pPr>
              <w:pStyle w:val="TableTextEntries"/>
              <w:rPr>
                <w:b w:val="0"/>
              </w:rPr>
            </w:pPr>
            <w:r w:rsidRPr="002049C1">
              <w:rPr>
                <w:b w:val="0"/>
              </w:rPr>
              <w:t>Bolivia</w:t>
            </w:r>
          </w:p>
        </w:tc>
        <w:tc>
          <w:tcPr>
            <w:tcW w:w="4252" w:type="dxa"/>
          </w:tcPr>
          <w:p w:rsidR="0097330B" w:rsidRPr="002049C1" w:rsidRDefault="0097330B" w:rsidP="002049C1">
            <w:pPr>
              <w:pStyle w:val="TableTextEntries"/>
              <w:rPr>
                <w:b w:val="0"/>
              </w:rPr>
            </w:pPr>
            <w:r w:rsidRPr="002049C1">
              <w:rPr>
                <w:b w:val="0"/>
              </w:rPr>
              <w:t>108</w:t>
            </w:r>
          </w:p>
        </w:tc>
        <w:tc>
          <w:tcPr>
            <w:tcW w:w="3686" w:type="dxa"/>
          </w:tcPr>
          <w:p w:rsidR="0097330B" w:rsidRPr="002049C1" w:rsidRDefault="0097330B" w:rsidP="002049C1">
            <w:pPr>
              <w:pStyle w:val="TableTextEntries"/>
              <w:rPr>
                <w:b w:val="0"/>
              </w:rPr>
            </w:pPr>
            <w:r w:rsidRPr="002049C1">
              <w:rPr>
                <w:b w:val="0"/>
              </w:rPr>
              <w:t>113</w:t>
            </w:r>
          </w:p>
        </w:tc>
      </w:tr>
      <w:tr w:rsidR="0097330B" w:rsidTr="002049C1">
        <w:trPr>
          <w:cnfStyle w:val="100000000000" w:firstRow="1" w:lastRow="0" w:firstColumn="0" w:lastColumn="0" w:oddVBand="0" w:evenVBand="0" w:oddHBand="0" w:evenHBand="0" w:firstRowFirstColumn="0" w:firstRowLastColumn="0" w:lastRowFirstColumn="0" w:lastRowLastColumn="0"/>
        </w:trPr>
        <w:tc>
          <w:tcPr>
            <w:tcW w:w="2093" w:type="dxa"/>
          </w:tcPr>
          <w:p w:rsidR="0097330B" w:rsidRPr="002049C1" w:rsidRDefault="0097330B" w:rsidP="002049C1">
            <w:pPr>
              <w:pStyle w:val="TableTextEntries"/>
              <w:rPr>
                <w:b w:val="0"/>
              </w:rPr>
            </w:pPr>
            <w:r w:rsidRPr="002049C1">
              <w:rPr>
                <w:b w:val="0"/>
              </w:rPr>
              <w:t>Brazil</w:t>
            </w:r>
          </w:p>
        </w:tc>
        <w:tc>
          <w:tcPr>
            <w:tcW w:w="4252" w:type="dxa"/>
          </w:tcPr>
          <w:p w:rsidR="0097330B" w:rsidRPr="002049C1" w:rsidRDefault="0097330B" w:rsidP="002049C1">
            <w:pPr>
              <w:pStyle w:val="TableTextEntries"/>
              <w:rPr>
                <w:b w:val="0"/>
              </w:rPr>
            </w:pPr>
            <w:r w:rsidRPr="002049C1">
              <w:rPr>
                <w:b w:val="0"/>
              </w:rPr>
              <w:t>85</w:t>
            </w:r>
          </w:p>
        </w:tc>
        <w:tc>
          <w:tcPr>
            <w:tcW w:w="3686" w:type="dxa"/>
          </w:tcPr>
          <w:p w:rsidR="0097330B" w:rsidRPr="002049C1" w:rsidRDefault="0097330B" w:rsidP="002049C1">
            <w:pPr>
              <w:pStyle w:val="TableTextEntries"/>
              <w:rPr>
                <w:b w:val="0"/>
              </w:rPr>
            </w:pPr>
            <w:r w:rsidRPr="002049C1">
              <w:rPr>
                <w:b w:val="0"/>
              </w:rPr>
              <w:t>75</w:t>
            </w:r>
          </w:p>
        </w:tc>
      </w:tr>
      <w:tr w:rsidR="0097330B" w:rsidTr="002049C1">
        <w:trPr>
          <w:cnfStyle w:val="100000000000" w:firstRow="1" w:lastRow="0" w:firstColumn="0" w:lastColumn="0" w:oddVBand="0" w:evenVBand="0" w:oddHBand="0" w:evenHBand="0" w:firstRowFirstColumn="0" w:firstRowLastColumn="0" w:lastRowFirstColumn="0" w:lastRowLastColumn="0"/>
        </w:trPr>
        <w:tc>
          <w:tcPr>
            <w:tcW w:w="2093" w:type="dxa"/>
          </w:tcPr>
          <w:p w:rsidR="0097330B" w:rsidRPr="002049C1" w:rsidRDefault="0097330B" w:rsidP="002049C1">
            <w:pPr>
              <w:pStyle w:val="TableTextEntries"/>
              <w:rPr>
                <w:b w:val="0"/>
              </w:rPr>
            </w:pPr>
            <w:r w:rsidRPr="002049C1">
              <w:rPr>
                <w:b w:val="0"/>
              </w:rPr>
              <w:t>Chile</w:t>
            </w:r>
          </w:p>
        </w:tc>
        <w:tc>
          <w:tcPr>
            <w:tcW w:w="4252" w:type="dxa"/>
          </w:tcPr>
          <w:p w:rsidR="0097330B" w:rsidRPr="002049C1" w:rsidRDefault="0097330B" w:rsidP="002049C1">
            <w:pPr>
              <w:pStyle w:val="TableTextEntries"/>
              <w:rPr>
                <w:b w:val="0"/>
              </w:rPr>
            </w:pPr>
            <w:r w:rsidRPr="002049C1">
              <w:rPr>
                <w:b w:val="0"/>
              </w:rPr>
              <w:t>40</w:t>
            </w:r>
          </w:p>
        </w:tc>
        <w:tc>
          <w:tcPr>
            <w:tcW w:w="3686" w:type="dxa"/>
          </w:tcPr>
          <w:p w:rsidR="0097330B" w:rsidRPr="002049C1" w:rsidRDefault="0097330B" w:rsidP="002049C1">
            <w:pPr>
              <w:pStyle w:val="TableTextEntries"/>
              <w:rPr>
                <w:b w:val="0"/>
              </w:rPr>
            </w:pPr>
            <w:r w:rsidRPr="002049C1">
              <w:rPr>
                <w:b w:val="0"/>
              </w:rPr>
              <w:t>44</w:t>
            </w:r>
          </w:p>
        </w:tc>
      </w:tr>
      <w:tr w:rsidR="0097330B" w:rsidTr="002049C1">
        <w:trPr>
          <w:cnfStyle w:val="100000000000" w:firstRow="1" w:lastRow="0" w:firstColumn="0" w:lastColumn="0" w:oddVBand="0" w:evenVBand="0" w:oddHBand="0" w:evenHBand="0" w:firstRowFirstColumn="0" w:firstRowLastColumn="0" w:lastRowFirstColumn="0" w:lastRowLastColumn="0"/>
        </w:trPr>
        <w:tc>
          <w:tcPr>
            <w:tcW w:w="2093" w:type="dxa"/>
          </w:tcPr>
          <w:p w:rsidR="0097330B" w:rsidRPr="002049C1" w:rsidRDefault="0097330B" w:rsidP="002049C1">
            <w:pPr>
              <w:pStyle w:val="TableTextEntries"/>
              <w:rPr>
                <w:b w:val="0"/>
              </w:rPr>
            </w:pPr>
            <w:r w:rsidRPr="002049C1">
              <w:rPr>
                <w:b w:val="0"/>
              </w:rPr>
              <w:t>Colombia</w:t>
            </w:r>
          </w:p>
        </w:tc>
        <w:tc>
          <w:tcPr>
            <w:tcW w:w="4252" w:type="dxa"/>
          </w:tcPr>
          <w:p w:rsidR="0097330B" w:rsidRPr="002049C1" w:rsidRDefault="0097330B" w:rsidP="002049C1">
            <w:pPr>
              <w:pStyle w:val="TableTextEntries"/>
              <w:rPr>
                <w:b w:val="0"/>
              </w:rPr>
            </w:pPr>
            <w:r w:rsidRPr="002049C1">
              <w:rPr>
                <w:b w:val="0"/>
              </w:rPr>
              <w:t>91</w:t>
            </w:r>
          </w:p>
        </w:tc>
        <w:tc>
          <w:tcPr>
            <w:tcW w:w="3686" w:type="dxa"/>
          </w:tcPr>
          <w:p w:rsidR="0097330B" w:rsidRPr="002049C1" w:rsidRDefault="0097330B" w:rsidP="002049C1">
            <w:pPr>
              <w:pStyle w:val="TableTextEntries"/>
              <w:rPr>
                <w:b w:val="0"/>
              </w:rPr>
            </w:pPr>
            <w:r w:rsidRPr="002049C1">
              <w:rPr>
                <w:b w:val="0"/>
              </w:rPr>
              <w:t>77</w:t>
            </w:r>
          </w:p>
        </w:tc>
      </w:tr>
      <w:tr w:rsidR="0097330B" w:rsidTr="002049C1">
        <w:trPr>
          <w:cnfStyle w:val="100000000000" w:firstRow="1" w:lastRow="0" w:firstColumn="0" w:lastColumn="0" w:oddVBand="0" w:evenVBand="0" w:oddHBand="0" w:evenHBand="0" w:firstRowFirstColumn="0" w:firstRowLastColumn="0" w:lastRowFirstColumn="0" w:lastRowLastColumn="0"/>
        </w:trPr>
        <w:tc>
          <w:tcPr>
            <w:tcW w:w="2093" w:type="dxa"/>
          </w:tcPr>
          <w:p w:rsidR="0097330B" w:rsidRPr="002049C1" w:rsidRDefault="0097330B" w:rsidP="002049C1">
            <w:pPr>
              <w:pStyle w:val="TableTextEntries"/>
              <w:rPr>
                <w:b w:val="0"/>
              </w:rPr>
            </w:pPr>
            <w:r w:rsidRPr="002049C1">
              <w:rPr>
                <w:b w:val="0"/>
              </w:rPr>
              <w:t>Costa Rica</w:t>
            </w:r>
          </w:p>
        </w:tc>
        <w:tc>
          <w:tcPr>
            <w:tcW w:w="4252" w:type="dxa"/>
          </w:tcPr>
          <w:p w:rsidR="0097330B" w:rsidRPr="002049C1" w:rsidRDefault="0097330B" w:rsidP="002049C1">
            <w:pPr>
              <w:pStyle w:val="TableTextEntries"/>
              <w:rPr>
                <w:b w:val="0"/>
              </w:rPr>
            </w:pPr>
            <w:r w:rsidRPr="002049C1">
              <w:rPr>
                <w:b w:val="0"/>
              </w:rPr>
              <w:t>62</w:t>
            </w:r>
          </w:p>
        </w:tc>
        <w:tc>
          <w:tcPr>
            <w:tcW w:w="3686" w:type="dxa"/>
          </w:tcPr>
          <w:p w:rsidR="0097330B" w:rsidRPr="002049C1" w:rsidRDefault="0097330B" w:rsidP="002049C1">
            <w:pPr>
              <w:pStyle w:val="TableTextEntries"/>
              <w:rPr>
                <w:b w:val="0"/>
              </w:rPr>
            </w:pPr>
            <w:r w:rsidRPr="002049C1">
              <w:rPr>
                <w:b w:val="0"/>
              </w:rPr>
              <w:t>54</w:t>
            </w:r>
          </w:p>
        </w:tc>
      </w:tr>
      <w:tr w:rsidR="0097330B" w:rsidTr="002049C1">
        <w:trPr>
          <w:cnfStyle w:val="100000000000" w:firstRow="1" w:lastRow="0" w:firstColumn="0" w:lastColumn="0" w:oddVBand="0" w:evenVBand="0" w:oddHBand="0" w:evenHBand="0" w:firstRowFirstColumn="0" w:firstRowLastColumn="0" w:lastRowFirstColumn="0" w:lastRowLastColumn="0"/>
        </w:trPr>
        <w:tc>
          <w:tcPr>
            <w:tcW w:w="2093" w:type="dxa"/>
          </w:tcPr>
          <w:p w:rsidR="0097330B" w:rsidRPr="002049C1" w:rsidRDefault="0097330B" w:rsidP="002049C1">
            <w:pPr>
              <w:pStyle w:val="TableTextEntries"/>
              <w:rPr>
                <w:b w:val="0"/>
              </w:rPr>
            </w:pPr>
            <w:r w:rsidRPr="002049C1">
              <w:rPr>
                <w:b w:val="0"/>
              </w:rPr>
              <w:t>Ecuador</w:t>
            </w:r>
          </w:p>
        </w:tc>
        <w:tc>
          <w:tcPr>
            <w:tcW w:w="4252" w:type="dxa"/>
          </w:tcPr>
          <w:p w:rsidR="0097330B" w:rsidRPr="002049C1" w:rsidRDefault="0097330B" w:rsidP="002049C1">
            <w:pPr>
              <w:pStyle w:val="TableTextEntries"/>
              <w:rPr>
                <w:b w:val="0"/>
              </w:rPr>
            </w:pPr>
            <w:r w:rsidRPr="002049C1">
              <w:rPr>
                <w:b w:val="0"/>
              </w:rPr>
              <w:t>89</w:t>
            </w:r>
          </w:p>
        </w:tc>
        <w:tc>
          <w:tcPr>
            <w:tcW w:w="3686" w:type="dxa"/>
          </w:tcPr>
          <w:p w:rsidR="0097330B" w:rsidRPr="002049C1" w:rsidRDefault="0097330B" w:rsidP="002049C1">
            <w:pPr>
              <w:pStyle w:val="TableTextEntries"/>
              <w:rPr>
                <w:b w:val="0"/>
              </w:rPr>
            </w:pPr>
            <w:r w:rsidRPr="002049C1">
              <w:rPr>
                <w:b w:val="0"/>
              </w:rPr>
              <w:t>80</w:t>
            </w:r>
          </w:p>
        </w:tc>
      </w:tr>
      <w:tr w:rsidR="0097330B" w:rsidTr="002049C1">
        <w:trPr>
          <w:cnfStyle w:val="100000000000" w:firstRow="1" w:lastRow="0" w:firstColumn="0" w:lastColumn="0" w:oddVBand="0" w:evenVBand="0" w:oddHBand="0" w:evenHBand="0" w:firstRowFirstColumn="0" w:firstRowLastColumn="0" w:lastRowFirstColumn="0" w:lastRowLastColumn="0"/>
        </w:trPr>
        <w:tc>
          <w:tcPr>
            <w:tcW w:w="2093" w:type="dxa"/>
          </w:tcPr>
          <w:p w:rsidR="0097330B" w:rsidRPr="002049C1" w:rsidRDefault="0097330B" w:rsidP="002049C1">
            <w:pPr>
              <w:pStyle w:val="TableTextEntries"/>
              <w:rPr>
                <w:b w:val="0"/>
              </w:rPr>
            </w:pPr>
            <w:r w:rsidRPr="002049C1">
              <w:rPr>
                <w:b w:val="0"/>
              </w:rPr>
              <w:t>El Salvador</w:t>
            </w:r>
          </w:p>
        </w:tc>
        <w:tc>
          <w:tcPr>
            <w:tcW w:w="4252" w:type="dxa"/>
          </w:tcPr>
          <w:p w:rsidR="0097330B" w:rsidRPr="002049C1" w:rsidRDefault="0097330B" w:rsidP="002049C1">
            <w:pPr>
              <w:pStyle w:val="TableTextEntries"/>
              <w:rPr>
                <w:b w:val="0"/>
              </w:rPr>
            </w:pPr>
            <w:r w:rsidRPr="002049C1">
              <w:rPr>
                <w:b w:val="0"/>
              </w:rPr>
              <w:t>107</w:t>
            </w:r>
          </w:p>
        </w:tc>
        <w:tc>
          <w:tcPr>
            <w:tcW w:w="3686" w:type="dxa"/>
          </w:tcPr>
          <w:p w:rsidR="0097330B" w:rsidRPr="002049C1" w:rsidRDefault="0097330B" w:rsidP="002049C1">
            <w:pPr>
              <w:pStyle w:val="TableTextEntries"/>
              <w:rPr>
                <w:b w:val="0"/>
              </w:rPr>
            </w:pPr>
            <w:r w:rsidRPr="002049C1">
              <w:rPr>
                <w:b w:val="0"/>
              </w:rPr>
              <w:t>106</w:t>
            </w:r>
          </w:p>
        </w:tc>
      </w:tr>
      <w:tr w:rsidR="0097330B" w:rsidTr="002049C1">
        <w:trPr>
          <w:cnfStyle w:val="100000000000" w:firstRow="1" w:lastRow="0" w:firstColumn="0" w:lastColumn="0" w:oddVBand="0" w:evenVBand="0" w:oddHBand="0" w:evenHBand="0" w:firstRowFirstColumn="0" w:firstRowLastColumn="0" w:lastRowFirstColumn="0" w:lastRowLastColumn="0"/>
        </w:trPr>
        <w:tc>
          <w:tcPr>
            <w:tcW w:w="2093" w:type="dxa"/>
          </w:tcPr>
          <w:p w:rsidR="0097330B" w:rsidRPr="002049C1" w:rsidRDefault="0097330B" w:rsidP="002049C1">
            <w:pPr>
              <w:pStyle w:val="TableTextEntries"/>
              <w:rPr>
                <w:b w:val="0"/>
              </w:rPr>
            </w:pPr>
            <w:r w:rsidRPr="002049C1">
              <w:rPr>
                <w:b w:val="0"/>
              </w:rPr>
              <w:t>Guatemala</w:t>
            </w:r>
          </w:p>
        </w:tc>
        <w:tc>
          <w:tcPr>
            <w:tcW w:w="4252" w:type="dxa"/>
          </w:tcPr>
          <w:p w:rsidR="0097330B" w:rsidRPr="002049C1" w:rsidRDefault="0097330B" w:rsidP="002049C1">
            <w:pPr>
              <w:pStyle w:val="TableTextEntries"/>
              <w:rPr>
                <w:b w:val="0"/>
              </w:rPr>
            </w:pPr>
            <w:r w:rsidRPr="002049C1">
              <w:rPr>
                <w:b w:val="0"/>
              </w:rPr>
              <w:t>133</w:t>
            </w:r>
          </w:p>
        </w:tc>
        <w:tc>
          <w:tcPr>
            <w:tcW w:w="3686" w:type="dxa"/>
          </w:tcPr>
          <w:p w:rsidR="0097330B" w:rsidRPr="002049C1" w:rsidRDefault="0097330B" w:rsidP="002049C1">
            <w:pPr>
              <w:pStyle w:val="TableTextEntries"/>
              <w:rPr>
                <w:b w:val="0"/>
              </w:rPr>
            </w:pPr>
            <w:r w:rsidRPr="002049C1">
              <w:rPr>
                <w:b w:val="0"/>
              </w:rPr>
              <w:t>122</w:t>
            </w:r>
          </w:p>
        </w:tc>
      </w:tr>
      <w:tr w:rsidR="0097330B" w:rsidTr="002049C1">
        <w:trPr>
          <w:cnfStyle w:val="100000000000" w:firstRow="1" w:lastRow="0" w:firstColumn="0" w:lastColumn="0" w:oddVBand="0" w:evenVBand="0" w:oddHBand="0" w:evenHBand="0" w:firstRowFirstColumn="0" w:firstRowLastColumn="0" w:lastRowFirstColumn="0" w:lastRowLastColumn="0"/>
        </w:trPr>
        <w:tc>
          <w:tcPr>
            <w:tcW w:w="2093" w:type="dxa"/>
          </w:tcPr>
          <w:p w:rsidR="0097330B" w:rsidRPr="002049C1" w:rsidRDefault="0097330B" w:rsidP="002049C1">
            <w:pPr>
              <w:pStyle w:val="TableTextEntries"/>
              <w:rPr>
                <w:b w:val="0"/>
              </w:rPr>
            </w:pPr>
            <w:r w:rsidRPr="002049C1">
              <w:rPr>
                <w:b w:val="0"/>
              </w:rPr>
              <w:t>Honduras</w:t>
            </w:r>
          </w:p>
        </w:tc>
        <w:tc>
          <w:tcPr>
            <w:tcW w:w="4252" w:type="dxa"/>
          </w:tcPr>
          <w:p w:rsidR="0097330B" w:rsidRPr="002049C1" w:rsidRDefault="0097330B" w:rsidP="002049C1">
            <w:pPr>
              <w:pStyle w:val="TableTextEntries"/>
              <w:rPr>
                <w:b w:val="0"/>
              </w:rPr>
            </w:pPr>
            <w:r w:rsidRPr="002049C1">
              <w:rPr>
                <w:b w:val="0"/>
              </w:rPr>
              <w:t>120</w:t>
            </w:r>
          </w:p>
        </w:tc>
        <w:tc>
          <w:tcPr>
            <w:tcW w:w="3686" w:type="dxa"/>
          </w:tcPr>
          <w:p w:rsidR="0097330B" w:rsidRPr="002049C1" w:rsidRDefault="0097330B" w:rsidP="002049C1">
            <w:pPr>
              <w:pStyle w:val="TableTextEntries"/>
              <w:rPr>
                <w:b w:val="0"/>
              </w:rPr>
            </w:pPr>
            <w:r w:rsidRPr="002049C1">
              <w:rPr>
                <w:b w:val="0"/>
              </w:rPr>
              <w:t>112</w:t>
            </w:r>
          </w:p>
        </w:tc>
      </w:tr>
      <w:tr w:rsidR="0097330B" w:rsidTr="002049C1">
        <w:trPr>
          <w:cnfStyle w:val="100000000000" w:firstRow="1" w:lastRow="0" w:firstColumn="0" w:lastColumn="0" w:oddVBand="0" w:evenVBand="0" w:oddHBand="0" w:evenHBand="0" w:firstRowFirstColumn="0" w:firstRowLastColumn="0" w:lastRowFirstColumn="0" w:lastRowLastColumn="0"/>
        </w:trPr>
        <w:tc>
          <w:tcPr>
            <w:tcW w:w="2093" w:type="dxa"/>
          </w:tcPr>
          <w:p w:rsidR="0097330B" w:rsidRPr="002049C1" w:rsidRDefault="0097330B" w:rsidP="002049C1">
            <w:pPr>
              <w:pStyle w:val="TableTextEntries"/>
              <w:rPr>
                <w:b w:val="0"/>
              </w:rPr>
            </w:pPr>
            <w:r w:rsidRPr="002049C1">
              <w:rPr>
                <w:b w:val="0"/>
              </w:rPr>
              <w:t>Mexico</w:t>
            </w:r>
          </w:p>
        </w:tc>
        <w:tc>
          <w:tcPr>
            <w:tcW w:w="4252" w:type="dxa"/>
          </w:tcPr>
          <w:p w:rsidR="0097330B" w:rsidRPr="002049C1" w:rsidRDefault="0097330B" w:rsidP="002049C1">
            <w:pPr>
              <w:pStyle w:val="TableTextEntries"/>
              <w:rPr>
                <w:b w:val="0"/>
              </w:rPr>
            </w:pPr>
            <w:r w:rsidRPr="002049C1">
              <w:rPr>
                <w:b w:val="0"/>
              </w:rPr>
              <w:t>61</w:t>
            </w:r>
          </w:p>
        </w:tc>
        <w:tc>
          <w:tcPr>
            <w:tcW w:w="3686" w:type="dxa"/>
          </w:tcPr>
          <w:p w:rsidR="0097330B" w:rsidRPr="002049C1" w:rsidRDefault="0097330B" w:rsidP="002049C1">
            <w:pPr>
              <w:pStyle w:val="TableTextEntries"/>
              <w:rPr>
                <w:b w:val="0"/>
              </w:rPr>
            </w:pPr>
            <w:r w:rsidRPr="002049C1">
              <w:rPr>
                <w:b w:val="0"/>
              </w:rPr>
              <w:t>53</w:t>
            </w:r>
          </w:p>
        </w:tc>
      </w:tr>
      <w:tr w:rsidR="0097330B" w:rsidTr="002049C1">
        <w:trPr>
          <w:cnfStyle w:val="100000000000" w:firstRow="1" w:lastRow="0" w:firstColumn="0" w:lastColumn="0" w:oddVBand="0" w:evenVBand="0" w:oddHBand="0" w:evenHBand="0" w:firstRowFirstColumn="0" w:firstRowLastColumn="0" w:lastRowFirstColumn="0" w:lastRowLastColumn="0"/>
        </w:trPr>
        <w:tc>
          <w:tcPr>
            <w:tcW w:w="2093" w:type="dxa"/>
          </w:tcPr>
          <w:p w:rsidR="0097330B" w:rsidRPr="002049C1" w:rsidRDefault="0097330B" w:rsidP="002049C1">
            <w:pPr>
              <w:pStyle w:val="TableTextEntries"/>
              <w:rPr>
                <w:b w:val="0"/>
              </w:rPr>
            </w:pPr>
            <w:r w:rsidRPr="002049C1">
              <w:rPr>
                <w:b w:val="0"/>
              </w:rPr>
              <w:t>Nicaragua</w:t>
            </w:r>
          </w:p>
        </w:tc>
        <w:tc>
          <w:tcPr>
            <w:tcW w:w="4252" w:type="dxa"/>
          </w:tcPr>
          <w:p w:rsidR="0097330B" w:rsidRPr="002049C1" w:rsidRDefault="0097330B" w:rsidP="002049C1">
            <w:pPr>
              <w:pStyle w:val="TableTextEntries"/>
              <w:rPr>
                <w:b w:val="0"/>
              </w:rPr>
            </w:pPr>
            <w:r w:rsidRPr="002049C1">
              <w:rPr>
                <w:b w:val="0"/>
              </w:rPr>
              <w:t>129</w:t>
            </w:r>
          </w:p>
        </w:tc>
        <w:tc>
          <w:tcPr>
            <w:tcW w:w="3686" w:type="dxa"/>
          </w:tcPr>
          <w:p w:rsidR="0097330B" w:rsidRPr="002049C1" w:rsidRDefault="0097330B" w:rsidP="002049C1">
            <w:pPr>
              <w:pStyle w:val="TableTextEntries"/>
              <w:rPr>
                <w:b w:val="0"/>
              </w:rPr>
            </w:pPr>
            <w:r w:rsidRPr="002049C1">
              <w:rPr>
                <w:b w:val="0"/>
              </w:rPr>
              <w:t>124</w:t>
            </w:r>
          </w:p>
        </w:tc>
      </w:tr>
      <w:tr w:rsidR="0097330B" w:rsidTr="002049C1">
        <w:trPr>
          <w:cnfStyle w:val="100000000000" w:firstRow="1" w:lastRow="0" w:firstColumn="0" w:lastColumn="0" w:oddVBand="0" w:evenVBand="0" w:oddHBand="0" w:evenHBand="0" w:firstRowFirstColumn="0" w:firstRowLastColumn="0" w:lastRowFirstColumn="0" w:lastRowLastColumn="0"/>
        </w:trPr>
        <w:tc>
          <w:tcPr>
            <w:tcW w:w="2093" w:type="dxa"/>
          </w:tcPr>
          <w:p w:rsidR="0097330B" w:rsidRPr="002049C1" w:rsidRDefault="0097330B" w:rsidP="002049C1">
            <w:pPr>
              <w:pStyle w:val="TableTextEntries"/>
              <w:rPr>
                <w:b w:val="0"/>
              </w:rPr>
            </w:pPr>
            <w:r w:rsidRPr="002049C1">
              <w:rPr>
                <w:b w:val="0"/>
              </w:rPr>
              <w:t>Panama</w:t>
            </w:r>
          </w:p>
        </w:tc>
        <w:tc>
          <w:tcPr>
            <w:tcW w:w="4252" w:type="dxa"/>
          </w:tcPr>
          <w:p w:rsidR="0097330B" w:rsidRPr="002049C1" w:rsidRDefault="0097330B" w:rsidP="002049C1">
            <w:pPr>
              <w:pStyle w:val="TableTextEntries"/>
              <w:rPr>
                <w:b w:val="0"/>
              </w:rPr>
            </w:pPr>
            <w:r w:rsidRPr="002049C1">
              <w:rPr>
                <w:b w:val="0"/>
              </w:rPr>
              <w:t>59</w:t>
            </w:r>
          </w:p>
        </w:tc>
        <w:tc>
          <w:tcPr>
            <w:tcW w:w="3686" w:type="dxa"/>
          </w:tcPr>
          <w:p w:rsidR="0097330B" w:rsidRPr="002049C1" w:rsidRDefault="0097330B" w:rsidP="002049C1">
            <w:pPr>
              <w:pStyle w:val="TableTextEntries"/>
              <w:rPr>
                <w:b w:val="0"/>
              </w:rPr>
            </w:pPr>
            <w:r w:rsidRPr="002049C1">
              <w:rPr>
                <w:b w:val="0"/>
              </w:rPr>
              <w:t>60</w:t>
            </w:r>
          </w:p>
        </w:tc>
      </w:tr>
      <w:tr w:rsidR="0097330B" w:rsidTr="002049C1">
        <w:trPr>
          <w:cnfStyle w:val="100000000000" w:firstRow="1" w:lastRow="0" w:firstColumn="0" w:lastColumn="0" w:oddVBand="0" w:evenVBand="0" w:oddHBand="0" w:evenHBand="0" w:firstRowFirstColumn="0" w:firstRowLastColumn="0" w:lastRowFirstColumn="0" w:lastRowLastColumn="0"/>
        </w:trPr>
        <w:tc>
          <w:tcPr>
            <w:tcW w:w="2093" w:type="dxa"/>
          </w:tcPr>
          <w:p w:rsidR="0097330B" w:rsidRPr="002049C1" w:rsidRDefault="0097330B" w:rsidP="002049C1">
            <w:pPr>
              <w:pStyle w:val="TableTextEntries"/>
              <w:rPr>
                <w:b w:val="0"/>
              </w:rPr>
            </w:pPr>
            <w:r w:rsidRPr="002049C1">
              <w:rPr>
                <w:b w:val="0"/>
              </w:rPr>
              <w:t>Paraguay</w:t>
            </w:r>
          </w:p>
        </w:tc>
        <w:tc>
          <w:tcPr>
            <w:tcW w:w="4252" w:type="dxa"/>
          </w:tcPr>
          <w:p w:rsidR="0097330B" w:rsidRPr="002049C1" w:rsidRDefault="0097330B" w:rsidP="002049C1">
            <w:pPr>
              <w:pStyle w:val="TableTextEntries"/>
              <w:rPr>
                <w:b w:val="0"/>
              </w:rPr>
            </w:pPr>
            <w:r w:rsidRPr="002049C1">
              <w:rPr>
                <w:b w:val="0"/>
              </w:rPr>
              <w:t>111</w:t>
            </w:r>
          </w:p>
        </w:tc>
        <w:tc>
          <w:tcPr>
            <w:tcW w:w="3686" w:type="dxa"/>
          </w:tcPr>
          <w:p w:rsidR="0097330B" w:rsidRPr="002049C1" w:rsidRDefault="0097330B" w:rsidP="002049C1">
            <w:pPr>
              <w:pStyle w:val="TableTextEntries"/>
              <w:rPr>
                <w:b w:val="0"/>
              </w:rPr>
            </w:pPr>
            <w:r w:rsidRPr="002049C1">
              <w:rPr>
                <w:b w:val="0"/>
              </w:rPr>
              <w:t>101</w:t>
            </w:r>
          </w:p>
        </w:tc>
      </w:tr>
      <w:tr w:rsidR="0097330B" w:rsidTr="002049C1">
        <w:trPr>
          <w:cnfStyle w:val="100000000000" w:firstRow="1" w:lastRow="0" w:firstColumn="0" w:lastColumn="0" w:oddVBand="0" w:evenVBand="0" w:oddHBand="0" w:evenHBand="0" w:firstRowFirstColumn="0" w:firstRowLastColumn="0" w:lastRowFirstColumn="0" w:lastRowLastColumn="0"/>
        </w:trPr>
        <w:tc>
          <w:tcPr>
            <w:tcW w:w="2093" w:type="dxa"/>
          </w:tcPr>
          <w:p w:rsidR="0097330B" w:rsidRPr="002049C1" w:rsidRDefault="0097330B" w:rsidP="002049C1">
            <w:pPr>
              <w:pStyle w:val="TableTextEntries"/>
              <w:rPr>
                <w:b w:val="0"/>
              </w:rPr>
            </w:pPr>
            <w:r w:rsidRPr="002049C1">
              <w:rPr>
                <w:b w:val="0"/>
              </w:rPr>
              <w:t>Peru</w:t>
            </w:r>
          </w:p>
        </w:tc>
        <w:tc>
          <w:tcPr>
            <w:tcW w:w="4252" w:type="dxa"/>
          </w:tcPr>
          <w:p w:rsidR="0097330B" w:rsidRPr="002049C1" w:rsidRDefault="0097330B" w:rsidP="002049C1">
            <w:pPr>
              <w:pStyle w:val="TableTextEntries"/>
              <w:rPr>
                <w:b w:val="0"/>
              </w:rPr>
            </w:pPr>
            <w:r w:rsidRPr="002049C1">
              <w:rPr>
                <w:b w:val="0"/>
              </w:rPr>
              <w:t>77</w:t>
            </w:r>
          </w:p>
        </w:tc>
        <w:tc>
          <w:tcPr>
            <w:tcW w:w="3686" w:type="dxa"/>
          </w:tcPr>
          <w:p w:rsidR="0097330B" w:rsidRPr="002049C1" w:rsidRDefault="0097330B" w:rsidP="002049C1">
            <w:pPr>
              <w:pStyle w:val="TableTextEntries"/>
              <w:rPr>
                <w:b w:val="0"/>
              </w:rPr>
            </w:pPr>
            <w:r w:rsidRPr="002049C1">
              <w:rPr>
                <w:b w:val="0"/>
              </w:rPr>
              <w:t>78</w:t>
            </w:r>
          </w:p>
        </w:tc>
      </w:tr>
      <w:tr w:rsidR="0097330B" w:rsidTr="002049C1">
        <w:trPr>
          <w:cnfStyle w:val="100000000000" w:firstRow="1" w:lastRow="0" w:firstColumn="0" w:lastColumn="0" w:oddVBand="0" w:evenVBand="0" w:oddHBand="0" w:evenHBand="0" w:firstRowFirstColumn="0" w:firstRowLastColumn="0" w:lastRowFirstColumn="0" w:lastRowLastColumn="0"/>
        </w:trPr>
        <w:tc>
          <w:tcPr>
            <w:tcW w:w="2093" w:type="dxa"/>
          </w:tcPr>
          <w:p w:rsidR="0097330B" w:rsidRPr="002049C1" w:rsidRDefault="0097330B" w:rsidP="002049C1">
            <w:pPr>
              <w:pStyle w:val="TableTextEntries"/>
              <w:rPr>
                <w:b w:val="0"/>
              </w:rPr>
            </w:pPr>
            <w:r w:rsidRPr="002049C1">
              <w:rPr>
                <w:b w:val="0"/>
              </w:rPr>
              <w:t>Uruguay</w:t>
            </w:r>
          </w:p>
        </w:tc>
        <w:tc>
          <w:tcPr>
            <w:tcW w:w="4252" w:type="dxa"/>
          </w:tcPr>
          <w:p w:rsidR="0097330B" w:rsidRPr="002049C1" w:rsidRDefault="0097330B" w:rsidP="002049C1">
            <w:pPr>
              <w:pStyle w:val="TableTextEntries"/>
              <w:rPr>
                <w:b w:val="0"/>
              </w:rPr>
            </w:pPr>
            <w:r w:rsidRPr="002049C1">
              <w:rPr>
                <w:b w:val="0"/>
              </w:rPr>
              <w:t>51</w:t>
            </w:r>
          </w:p>
        </w:tc>
        <w:tc>
          <w:tcPr>
            <w:tcW w:w="3686" w:type="dxa"/>
          </w:tcPr>
          <w:p w:rsidR="0097330B" w:rsidRPr="002049C1" w:rsidRDefault="0097330B" w:rsidP="002049C1">
            <w:pPr>
              <w:pStyle w:val="TableTextEntries"/>
              <w:rPr>
                <w:b w:val="0"/>
              </w:rPr>
            </w:pPr>
            <w:r w:rsidRPr="002049C1">
              <w:rPr>
                <w:b w:val="0"/>
              </w:rPr>
              <w:t>50</w:t>
            </w:r>
          </w:p>
        </w:tc>
      </w:tr>
      <w:tr w:rsidR="0097330B" w:rsidTr="002049C1">
        <w:trPr>
          <w:cnfStyle w:val="100000000000" w:firstRow="1" w:lastRow="0" w:firstColumn="0" w:lastColumn="0" w:oddVBand="0" w:evenVBand="0" w:oddHBand="0" w:evenHBand="0" w:firstRowFirstColumn="0" w:firstRowLastColumn="0" w:lastRowFirstColumn="0" w:lastRowLastColumn="0"/>
        </w:trPr>
        <w:tc>
          <w:tcPr>
            <w:tcW w:w="2093" w:type="dxa"/>
          </w:tcPr>
          <w:p w:rsidR="0097330B" w:rsidRPr="002049C1" w:rsidRDefault="0097330B" w:rsidP="002049C1">
            <w:pPr>
              <w:pStyle w:val="TableTextEntries"/>
              <w:rPr>
                <w:b w:val="0"/>
              </w:rPr>
            </w:pPr>
            <w:r w:rsidRPr="002049C1">
              <w:rPr>
                <w:b w:val="0"/>
              </w:rPr>
              <w:t>Venezuela</w:t>
            </w:r>
          </w:p>
        </w:tc>
        <w:tc>
          <w:tcPr>
            <w:tcW w:w="4252" w:type="dxa"/>
          </w:tcPr>
          <w:p w:rsidR="0097330B" w:rsidRPr="002049C1" w:rsidRDefault="0097330B" w:rsidP="002049C1">
            <w:pPr>
              <w:pStyle w:val="TableTextEntries"/>
              <w:rPr>
                <w:b w:val="0"/>
              </w:rPr>
            </w:pPr>
            <w:r w:rsidRPr="002049C1">
              <w:rPr>
                <w:b w:val="0"/>
              </w:rPr>
              <w:t>71</w:t>
            </w:r>
          </w:p>
        </w:tc>
        <w:tc>
          <w:tcPr>
            <w:tcW w:w="3686" w:type="dxa"/>
          </w:tcPr>
          <w:p w:rsidR="0097330B" w:rsidRPr="002049C1" w:rsidRDefault="0097330B" w:rsidP="002049C1">
            <w:pPr>
              <w:pStyle w:val="TableTextEntries"/>
              <w:rPr>
                <w:b w:val="0"/>
              </w:rPr>
            </w:pPr>
            <w:r w:rsidRPr="002049C1">
              <w:rPr>
                <w:b w:val="0"/>
              </w:rPr>
              <w:t>58</w:t>
            </w:r>
          </w:p>
        </w:tc>
      </w:tr>
    </w:tbl>
    <w:p w:rsidR="0086554D" w:rsidRDefault="0086554D" w:rsidP="002049C1">
      <w:pPr>
        <w:pStyle w:val="Note"/>
        <w:rPr>
          <w:lang w:eastAsia="en-US"/>
        </w:rPr>
      </w:pPr>
      <w:r w:rsidRPr="0062271C">
        <w:rPr>
          <w:lang w:eastAsia="en-US"/>
        </w:rPr>
        <w:t>* HDI ranking changes from 2007 to 2013 show that most Latin American countries are slipping in their ranking.</w:t>
      </w:r>
    </w:p>
    <w:p w:rsidR="00EF2F40" w:rsidRPr="0062271C" w:rsidRDefault="00EF2F40" w:rsidP="00F95575">
      <w:pPr>
        <w:spacing w:after="200" w:line="276" w:lineRule="auto"/>
        <w:rPr>
          <w:rFonts w:eastAsia="Times New Roman"/>
          <w:sz w:val="24"/>
          <w:lang w:eastAsia="en-US"/>
        </w:rPr>
      </w:pPr>
    </w:p>
    <w:sectPr w:rsidR="00EF2F40" w:rsidRPr="0062271C" w:rsidSect="00615D78">
      <w:headerReference w:type="default" r:id="rId28"/>
      <w:footerReference w:type="default" r:id="rId29"/>
      <w:headerReference w:type="first" r:id="rId30"/>
      <w:footerReference w:type="first" r:id="rId31"/>
      <w:pgSz w:w="11907" w:h="16840" w:code="9"/>
      <w:pgMar w:top="2268" w:right="1701" w:bottom="907" w:left="1871"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33F" w:rsidRDefault="00E9433F" w:rsidP="0050529F">
      <w:r>
        <w:separator/>
      </w:r>
    </w:p>
    <w:p w:rsidR="00E9433F" w:rsidRDefault="00E9433F"/>
    <w:p w:rsidR="00E9433F" w:rsidRDefault="00E9433F"/>
  </w:endnote>
  <w:endnote w:type="continuationSeparator" w:id="0">
    <w:p w:rsidR="00E9433F" w:rsidRDefault="00E9433F" w:rsidP="0050529F">
      <w:r>
        <w:continuationSeparator/>
      </w:r>
    </w:p>
    <w:p w:rsidR="00E9433F" w:rsidRDefault="00E9433F"/>
    <w:p w:rsidR="00E9433F" w:rsidRDefault="00E94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Pr="002049C1" w:rsidRDefault="00B77697" w:rsidP="002049C1">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AE36EC">
      <w:rPr>
        <w:rFonts w:ascii="Franklin Gothic Medium" w:eastAsia="Times New Roman" w:hAnsi="Franklin Gothic Medium"/>
        <w:noProof/>
        <w:sz w:val="14"/>
        <w:szCs w:val="14"/>
      </w:rPr>
      <w:t>Aid Program Performance Report 2012−13 Latin America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AE36EC">
      <w:rPr>
        <w:rFonts w:ascii="Franklin Gothic Medium" w:eastAsia="Times New Roman" w:hAnsi="Franklin Gothic Medium"/>
        <w:noProof/>
        <w:sz w:val="14"/>
        <w:szCs w:val="14"/>
      </w:rPr>
      <w:t>9</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0976" behindDoc="1" locked="0" layoutInCell="1" allowOverlap="1" wp14:anchorId="719ABE1E" wp14:editId="587C663B">
              <wp:simplePos x="0" y="0"/>
              <wp:positionH relativeFrom="column">
                <wp:posOffset>0</wp:posOffset>
              </wp:positionH>
              <wp:positionV relativeFrom="paragraph">
                <wp:posOffset>8498840</wp:posOffset>
              </wp:positionV>
              <wp:extent cx="7379970" cy="2181860"/>
              <wp:effectExtent l="0" t="2540" r="1905" b="0"/>
              <wp:wrapNone/>
              <wp:docPr id="47"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Y5g1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1tjm&#10;DW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9952" behindDoc="1" locked="0" layoutInCell="1" allowOverlap="1" wp14:anchorId="376ABD7A" wp14:editId="14F3B535">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Pr="00D30700" w:rsidRDefault="00B77697" w:rsidP="00D30700">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AE36EC">
      <w:rPr>
        <w:rFonts w:ascii="Franklin Gothic Medium" w:eastAsia="Times New Roman" w:hAnsi="Franklin Gothic Medium"/>
        <w:noProof/>
        <w:sz w:val="14"/>
        <w:szCs w:val="14"/>
      </w:rPr>
      <w:t>Aid Program Performance Report 2012−13 Latin America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AE36EC">
      <w:rPr>
        <w:rFonts w:ascii="Franklin Gothic Medium" w:eastAsia="Times New Roman" w:hAnsi="Franklin Gothic Medium"/>
        <w:noProof/>
        <w:sz w:val="14"/>
        <w:szCs w:val="14"/>
      </w:rPr>
      <w:t>18</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2784" behindDoc="1" locked="0" layoutInCell="1" allowOverlap="1" wp14:anchorId="682E3FAF" wp14:editId="514E1CDA">
              <wp:simplePos x="0" y="0"/>
              <wp:positionH relativeFrom="column">
                <wp:posOffset>0</wp:posOffset>
              </wp:positionH>
              <wp:positionV relativeFrom="paragraph">
                <wp:posOffset>8498840</wp:posOffset>
              </wp:positionV>
              <wp:extent cx="7379970" cy="2181860"/>
              <wp:effectExtent l="0" t="2540" r="1905" b="0"/>
              <wp:wrapNone/>
              <wp:docPr id="42"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rA5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X+Cs&#10;D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1760" behindDoc="1" locked="0" layoutInCell="1" allowOverlap="1" wp14:anchorId="3CB5AFD6" wp14:editId="21277A03">
              <wp:simplePos x="0" y="0"/>
              <wp:positionH relativeFrom="column">
                <wp:posOffset>0</wp:posOffset>
              </wp:positionH>
              <wp:positionV relativeFrom="paragraph">
                <wp:posOffset>8498840</wp:posOffset>
              </wp:positionV>
              <wp:extent cx="7379970" cy="2181860"/>
              <wp:effectExtent l="0" t="2540" r="1905" b="0"/>
              <wp:wrapNone/>
              <wp:docPr id="43"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MfkZ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McV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t0x+&#10;Rm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Pr="004C4A3E" w:rsidRDefault="00B77697"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Latin America Annual Program Performance Report 2012–13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17</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99712" behindDoc="1" locked="0" layoutInCell="1" allowOverlap="1" wp14:anchorId="028093B2" wp14:editId="19AEB589">
              <wp:simplePos x="0" y="0"/>
              <wp:positionH relativeFrom="column">
                <wp:posOffset>0</wp:posOffset>
              </wp:positionH>
              <wp:positionV relativeFrom="paragraph">
                <wp:posOffset>8498840</wp:posOffset>
              </wp:positionV>
              <wp:extent cx="7379970" cy="2181860"/>
              <wp:effectExtent l="0" t="2540" r="1905" b="0"/>
              <wp:wrapNone/>
              <wp:docPr id="38" name="Rectangle 3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alt="AusAID web address graphic" style="position:absolute;margin-left:0;margin-top:669.2pt;width:581.1pt;height:171.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WtbK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Yla1s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98688" behindDoc="1" locked="0" layoutInCell="1" allowOverlap="1" wp14:anchorId="5E770024" wp14:editId="164D5ED7">
              <wp:simplePos x="0" y="0"/>
              <wp:positionH relativeFrom="column">
                <wp:posOffset>0</wp:posOffset>
              </wp:positionH>
              <wp:positionV relativeFrom="paragraph">
                <wp:posOffset>8498840</wp:posOffset>
              </wp:positionV>
              <wp:extent cx="7379970" cy="2181860"/>
              <wp:effectExtent l="0" t="2540" r="1905" b="0"/>
              <wp:wrapNone/>
              <wp:docPr id="39" name="Rectangle 39"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alt="AusAID web address graphic" style="position:absolute;margin-left:0;margin-top:669.2pt;width:581.1pt;height:171.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9WNa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xf1Y1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Pr="00D30700" w:rsidRDefault="00B77697" w:rsidP="00D30700">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AE36EC">
      <w:rPr>
        <w:rFonts w:ascii="Franklin Gothic Medium" w:eastAsia="Times New Roman" w:hAnsi="Franklin Gothic Medium"/>
        <w:noProof/>
        <w:sz w:val="14"/>
        <w:szCs w:val="14"/>
      </w:rPr>
      <w:t>Aid Program Performance Report 2012−13 Latin America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AE36EC">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74112" behindDoc="1" locked="0" layoutInCell="1" allowOverlap="1" wp14:anchorId="751EDCC0" wp14:editId="3C079A33">
              <wp:simplePos x="0" y="0"/>
              <wp:positionH relativeFrom="column">
                <wp:posOffset>0</wp:posOffset>
              </wp:positionH>
              <wp:positionV relativeFrom="paragraph">
                <wp:posOffset>8498840</wp:posOffset>
              </wp:positionV>
              <wp:extent cx="7379970" cy="2181860"/>
              <wp:effectExtent l="0" t="2540" r="1905" b="0"/>
              <wp:wrapNone/>
              <wp:docPr id="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QD8Z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H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7EA/G&#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73088" behindDoc="1" locked="0" layoutInCell="1" allowOverlap="1" wp14:anchorId="0AB37850" wp14:editId="221B4A1D">
              <wp:simplePos x="0" y="0"/>
              <wp:positionH relativeFrom="column">
                <wp:posOffset>0</wp:posOffset>
              </wp:positionH>
              <wp:positionV relativeFrom="paragraph">
                <wp:posOffset>8498840</wp:posOffset>
              </wp:positionV>
              <wp:extent cx="7379970" cy="2181860"/>
              <wp:effectExtent l="0" t="2540" r="1905" b="0"/>
              <wp:wrapNone/>
              <wp:docPr id="24"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xktd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MB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XbGS&#10;1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Pr="00D30700" w:rsidRDefault="00B77697" w:rsidP="00D30700">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AE36EC">
      <w:rPr>
        <w:rFonts w:ascii="Franklin Gothic Medium" w:eastAsia="Times New Roman" w:hAnsi="Franklin Gothic Medium"/>
        <w:noProof/>
        <w:sz w:val="14"/>
        <w:szCs w:val="14"/>
      </w:rPr>
      <w:t>Aid Program Performance Report 2012−13 Latin America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AE36EC">
      <w:rPr>
        <w:rFonts w:ascii="Franklin Gothic Medium" w:eastAsia="Times New Roman" w:hAnsi="Franklin Gothic Medium"/>
        <w:noProof/>
        <w:sz w:val="14"/>
        <w:szCs w:val="14"/>
      </w:rPr>
      <w:t>13</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7904" behindDoc="1" locked="0" layoutInCell="1" allowOverlap="1" wp14:anchorId="1F83ECE1" wp14:editId="23232AD0">
              <wp:simplePos x="0" y="0"/>
              <wp:positionH relativeFrom="column">
                <wp:posOffset>0</wp:posOffset>
              </wp:positionH>
              <wp:positionV relativeFrom="paragraph">
                <wp:posOffset>8498840</wp:posOffset>
              </wp:positionV>
              <wp:extent cx="7379970" cy="2181860"/>
              <wp:effectExtent l="0" t="2540" r="1905" b="0"/>
              <wp:wrapNone/>
              <wp:docPr id="45"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V9d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Bj5X&#10;12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6880" behindDoc="1" locked="0" layoutInCell="1" allowOverlap="1" wp14:anchorId="172E3473" wp14:editId="629ECCCF">
              <wp:simplePos x="0" y="0"/>
              <wp:positionH relativeFrom="column">
                <wp:posOffset>0</wp:posOffset>
              </wp:positionH>
              <wp:positionV relativeFrom="paragraph">
                <wp:posOffset>8498840</wp:posOffset>
              </wp:positionV>
              <wp:extent cx="7379970" cy="2181860"/>
              <wp:effectExtent l="0" t="2540" r="1905" b="0"/>
              <wp:wrapNone/>
              <wp:docPr id="46"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9GdJ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Mcd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Cz0Z&#10;0m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Pr="00D30700" w:rsidRDefault="00B77697" w:rsidP="00D30700">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Latin America Annual Program Performance Report 2012–13</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13</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79232" behindDoc="1" locked="0" layoutInCell="1" allowOverlap="1" wp14:anchorId="5D38AF6A" wp14:editId="62AE6BF8">
              <wp:simplePos x="0" y="0"/>
              <wp:positionH relativeFrom="column">
                <wp:posOffset>0</wp:posOffset>
              </wp:positionH>
              <wp:positionV relativeFrom="paragraph">
                <wp:posOffset>8498840</wp:posOffset>
              </wp:positionV>
              <wp:extent cx="7379970" cy="2181860"/>
              <wp:effectExtent l="0" t="2540" r="1905" b="0"/>
              <wp:wrapNone/>
              <wp:docPr id="4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GHd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ehYflrwV4L+2uBKAqq&#10;GuwBSJyuPUhw/2isOHTwUh7dVnoJ3aYVsQ+ETjRaBfYHAVpw9OTU60KPv5bjqfc/tY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PBh3U&#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78208" behindDoc="1" locked="0" layoutInCell="1" allowOverlap="1" wp14:anchorId="5870E99A" wp14:editId="7EBE90FC">
              <wp:simplePos x="0" y="0"/>
              <wp:positionH relativeFrom="column">
                <wp:posOffset>0</wp:posOffset>
              </wp:positionH>
              <wp:positionV relativeFrom="paragraph">
                <wp:posOffset>8498840</wp:posOffset>
              </wp:positionV>
              <wp:extent cx="7379970" cy="2181860"/>
              <wp:effectExtent l="0" t="2540" r="1905" b="0"/>
              <wp:wrapNone/>
              <wp:docPr id="4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vd8B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hS93&#10;w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Pr="00D30700" w:rsidRDefault="00B77697" w:rsidP="00D30700">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AE36EC">
      <w:rPr>
        <w:rFonts w:ascii="Franklin Gothic Medium" w:eastAsia="Times New Roman" w:hAnsi="Franklin Gothic Medium"/>
        <w:noProof/>
        <w:sz w:val="14"/>
        <w:szCs w:val="14"/>
      </w:rPr>
      <w:t>Aid Program Performance Report 2012−13 Latin America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AE36EC">
      <w:rPr>
        <w:rFonts w:ascii="Franklin Gothic Medium" w:eastAsia="Times New Roman" w:hAnsi="Franklin Gothic Medium"/>
        <w:noProof/>
        <w:sz w:val="14"/>
        <w:szCs w:val="14"/>
      </w:rPr>
      <w:t>14</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87424" behindDoc="1" locked="0" layoutInCell="1" allowOverlap="1" wp14:anchorId="227D7691" wp14:editId="423A59CA">
              <wp:simplePos x="0" y="0"/>
              <wp:positionH relativeFrom="column">
                <wp:posOffset>0</wp:posOffset>
              </wp:positionH>
              <wp:positionV relativeFrom="paragraph">
                <wp:posOffset>8498840</wp:posOffset>
              </wp:positionV>
              <wp:extent cx="7379970" cy="2181860"/>
              <wp:effectExtent l="0" t="2540" r="1905" b="0"/>
              <wp:wrapNone/>
              <wp:docPr id="17"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pgZl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qqYGZ&#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86400" behindDoc="1" locked="0" layoutInCell="1" allowOverlap="1" wp14:anchorId="53936E4D" wp14:editId="59FB6A98">
              <wp:simplePos x="0" y="0"/>
              <wp:positionH relativeFrom="column">
                <wp:posOffset>0</wp:posOffset>
              </wp:positionH>
              <wp:positionV relativeFrom="paragraph">
                <wp:posOffset>8498840</wp:posOffset>
              </wp:positionV>
              <wp:extent cx="7379970" cy="2181860"/>
              <wp:effectExtent l="0" t="2540" r="1905" b="0"/>
              <wp:wrapNone/>
              <wp:docPr id="18"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AhjRj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BgIY0&#10;YwMAAB0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Pr="00D30700" w:rsidRDefault="00B77697" w:rsidP="00D30700">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AE36EC">
      <w:rPr>
        <w:rFonts w:ascii="Franklin Gothic Medium" w:eastAsia="Times New Roman" w:hAnsi="Franklin Gothic Medium"/>
        <w:noProof/>
        <w:sz w:val="14"/>
        <w:szCs w:val="14"/>
      </w:rPr>
      <w:t>Aid Program Performance Report 2012−13 Latin America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AE36EC">
      <w:rPr>
        <w:rFonts w:ascii="Franklin Gothic Medium" w:eastAsia="Times New Roman" w:hAnsi="Franklin Gothic Medium"/>
        <w:noProof/>
        <w:sz w:val="14"/>
        <w:szCs w:val="14"/>
      </w:rPr>
      <w:t>15</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93568" behindDoc="1" locked="0" layoutInCell="1" allowOverlap="1" wp14:anchorId="0DFC3CDB" wp14:editId="20B74486">
              <wp:simplePos x="0" y="0"/>
              <wp:positionH relativeFrom="column">
                <wp:posOffset>0</wp:posOffset>
              </wp:positionH>
              <wp:positionV relativeFrom="paragraph">
                <wp:posOffset>8498840</wp:posOffset>
              </wp:positionV>
              <wp:extent cx="7379970" cy="2181860"/>
              <wp:effectExtent l="0" t="2540" r="1905" b="0"/>
              <wp:wrapNone/>
              <wp:docPr id="3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fYah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4N9h&#10;qG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2544" behindDoc="1" locked="0" layoutInCell="1" allowOverlap="1" wp14:anchorId="31CC8D8A" wp14:editId="0F5EBE34">
              <wp:simplePos x="0" y="0"/>
              <wp:positionH relativeFrom="column">
                <wp:posOffset>0</wp:posOffset>
              </wp:positionH>
              <wp:positionV relativeFrom="paragraph">
                <wp:posOffset>8498840</wp:posOffset>
              </wp:positionV>
              <wp:extent cx="7379970" cy="2181860"/>
              <wp:effectExtent l="0" t="2540" r="1905" b="0"/>
              <wp:wrapNone/>
              <wp:docPr id="3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vBh1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lS8G&#10;HW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Pr="00D30700" w:rsidRDefault="00B77697" w:rsidP="00D30700">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Latin America Annual Program Performance Report 2012–13</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15</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90496" behindDoc="1" locked="0" layoutInCell="1" allowOverlap="1" wp14:anchorId="40B386EA" wp14:editId="424B976C">
              <wp:simplePos x="0" y="0"/>
              <wp:positionH relativeFrom="column">
                <wp:posOffset>0</wp:posOffset>
              </wp:positionH>
              <wp:positionV relativeFrom="paragraph">
                <wp:posOffset>8498840</wp:posOffset>
              </wp:positionV>
              <wp:extent cx="7379970" cy="2181860"/>
              <wp:effectExtent l="0" t="2540" r="1905" b="0"/>
              <wp:wrapNone/>
              <wp:docPr id="2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ld4V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pXeF&#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89472" behindDoc="1" locked="0" layoutInCell="1" allowOverlap="1" wp14:anchorId="68FCF0F5" wp14:editId="4AB4E854">
              <wp:simplePos x="0" y="0"/>
              <wp:positionH relativeFrom="column">
                <wp:posOffset>0</wp:posOffset>
              </wp:positionH>
              <wp:positionV relativeFrom="paragraph">
                <wp:posOffset>8498840</wp:posOffset>
              </wp:positionV>
              <wp:extent cx="7379970" cy="2181860"/>
              <wp:effectExtent l="0" t="2540" r="1905" b="0"/>
              <wp:wrapNone/>
              <wp:docPr id="33"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MbEx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oxs&#10;T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Pr="00D30700" w:rsidRDefault="00B77697" w:rsidP="00D30700">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AE36EC">
      <w:rPr>
        <w:rFonts w:ascii="Franklin Gothic Medium" w:eastAsia="Times New Roman" w:hAnsi="Franklin Gothic Medium"/>
        <w:noProof/>
        <w:sz w:val="14"/>
        <w:szCs w:val="14"/>
      </w:rPr>
      <w:t>Aid Program Performance Report 2012−13 Latin America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AE36EC">
      <w:rPr>
        <w:rFonts w:ascii="Franklin Gothic Medium" w:eastAsia="Times New Roman" w:hAnsi="Franklin Gothic Medium"/>
        <w:noProof/>
        <w:sz w:val="14"/>
        <w:szCs w:val="14"/>
      </w:rPr>
      <w:t>17</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96640" behindDoc="1" locked="0" layoutInCell="1" allowOverlap="1" wp14:anchorId="672C42A0" wp14:editId="2804E4E5">
              <wp:simplePos x="0" y="0"/>
              <wp:positionH relativeFrom="column">
                <wp:posOffset>0</wp:posOffset>
              </wp:positionH>
              <wp:positionV relativeFrom="paragraph">
                <wp:posOffset>8498840</wp:posOffset>
              </wp:positionV>
              <wp:extent cx="7379970" cy="2181860"/>
              <wp:effectExtent l="0" t="2540" r="1905" b="0"/>
              <wp:wrapNone/>
              <wp:docPr id="3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50HJ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I6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MDnQ&#10;c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5616" behindDoc="1" locked="0" layoutInCell="1" allowOverlap="1" wp14:anchorId="5ECDE6D4" wp14:editId="1C1D315A">
              <wp:simplePos x="0" y="0"/>
              <wp:positionH relativeFrom="column">
                <wp:posOffset>0</wp:posOffset>
              </wp:positionH>
              <wp:positionV relativeFrom="paragraph">
                <wp:posOffset>8498840</wp:posOffset>
              </wp:positionV>
              <wp:extent cx="7379970" cy="2181860"/>
              <wp:effectExtent l="0" t="2540" r="1905" b="0"/>
              <wp:wrapNone/>
              <wp:docPr id="3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MD5tkAwAAHQ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p0wP&#10;m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Pr="004C4A3E" w:rsidRDefault="00B77697"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Latin America Annual Program Performance Report 2012–13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17</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49536" behindDoc="1" locked="0" layoutInCell="1" allowOverlap="1" wp14:anchorId="26FB1779" wp14:editId="09C04544">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Description: AusAID web address graphic" style="position:absolute;margin-left:0;margin-top:669.2pt;width:581.1pt;height:17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48512" behindDoc="1" locked="0" layoutInCell="1" allowOverlap="1" wp14:anchorId="302E000B" wp14:editId="6FC484A1">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Description: AusAID web address graphic" style="position:absolute;margin-left:0;margin-top:669.2pt;width:581.1pt;height:17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33F" w:rsidRDefault="00E9433F" w:rsidP="0050529F">
      <w:r>
        <w:separator/>
      </w:r>
    </w:p>
    <w:p w:rsidR="00E9433F" w:rsidRDefault="00E9433F"/>
    <w:p w:rsidR="00E9433F" w:rsidRDefault="00E9433F"/>
  </w:footnote>
  <w:footnote w:type="continuationSeparator" w:id="0">
    <w:p w:rsidR="00E9433F" w:rsidRDefault="00E9433F" w:rsidP="0050529F">
      <w:r>
        <w:continuationSeparator/>
      </w:r>
    </w:p>
    <w:p w:rsidR="00E9433F" w:rsidRDefault="00E9433F"/>
    <w:p w:rsidR="00E9433F" w:rsidRDefault="00E9433F"/>
  </w:footnote>
  <w:footnote w:id="1">
    <w:p w:rsidR="00B77697" w:rsidRPr="000A6062" w:rsidRDefault="00B77697">
      <w:pPr>
        <w:pStyle w:val="FootnoteText"/>
      </w:pPr>
      <w:r>
        <w:rPr>
          <w:rStyle w:val="FootnoteReference"/>
        </w:rPr>
        <w:footnoteRef/>
      </w:r>
      <w:r>
        <w:t xml:space="preserve">Australian Aid Latin America Program Mid-Term Programmatic Review Report, dated 13 June 2013. This was a DFAT review that was led by an independent consultant (author: John </w:t>
      </w:r>
      <w:proofErr w:type="spellStart"/>
      <w:r>
        <w:t>Fargher</w:t>
      </w:r>
      <w:proofErr w:type="spellEnd"/>
      <w:r>
        <w:t>)</w:t>
      </w:r>
      <w:r w:rsidRPr="000A6062">
        <w:rPr>
          <w:lang w:val="en-US"/>
        </w:rPr>
        <w:t>.</w:t>
      </w:r>
    </w:p>
  </w:footnote>
  <w:footnote w:id="2">
    <w:p w:rsidR="00B77697" w:rsidRDefault="00B77697">
      <w:pPr>
        <w:pStyle w:val="FootnoteText"/>
      </w:pPr>
      <w:r>
        <w:rPr>
          <w:rStyle w:val="FootnoteReference"/>
        </w:rPr>
        <w:footnoteRef/>
      </w:r>
      <w:r>
        <w:t xml:space="preserve"> </w:t>
      </w:r>
      <w:r w:rsidRPr="00D20FFC">
        <w:t>World Bank (2013)</w:t>
      </w:r>
      <w:r>
        <w:t>,</w:t>
      </w:r>
      <w:r w:rsidRPr="00D20FFC">
        <w:t xml:space="preserve"> World Development Indicators</w:t>
      </w:r>
      <w:r>
        <w:t xml:space="preserve">, </w:t>
      </w:r>
      <w:hyperlink r:id="rId1" w:history="1">
        <w:r w:rsidRPr="00FC726F">
          <w:rPr>
            <w:color w:val="1F497D" w:themeColor="text2"/>
          </w:rPr>
          <w:t>http://data.worldbank.org/data-catalog/world-development-indicator</w:t>
        </w:r>
        <w:r w:rsidRPr="00FC726F">
          <w:t>s, accessed March 21</w:t>
        </w:r>
      </w:hyperlink>
      <w:r w:rsidRPr="00FC726F">
        <w:t>, 2013.</w:t>
      </w:r>
    </w:p>
  </w:footnote>
  <w:footnote w:id="3">
    <w:p w:rsidR="00B77697" w:rsidRDefault="00B77697">
      <w:pPr>
        <w:pStyle w:val="FootnoteText"/>
      </w:pPr>
      <w:r>
        <w:rPr>
          <w:rStyle w:val="FootnoteReference"/>
        </w:rPr>
        <w:footnoteRef/>
      </w:r>
      <w:r>
        <w:t xml:space="preserve"> </w:t>
      </w:r>
      <w:r w:rsidRPr="00D20FFC">
        <w:t>World Bank (2011)</w:t>
      </w:r>
      <w:r>
        <w:t>,</w:t>
      </w:r>
      <w:r w:rsidRPr="00D20FFC">
        <w:t xml:space="preserve"> </w:t>
      </w:r>
      <w:proofErr w:type="gramStart"/>
      <w:r w:rsidRPr="00D20FFC">
        <w:t>A</w:t>
      </w:r>
      <w:proofErr w:type="gramEnd"/>
      <w:r w:rsidRPr="00D20FFC">
        <w:t xml:space="preserve"> break </w:t>
      </w:r>
      <w:r>
        <w:t>with</w:t>
      </w:r>
      <w:r w:rsidRPr="00D20FFC">
        <w:t xml:space="preserve"> </w:t>
      </w:r>
      <w:r w:rsidRPr="002F76A7">
        <w:t>history: fifteen</w:t>
      </w:r>
      <w:r w:rsidRPr="00D20FFC">
        <w:t xml:space="preserve"> years of inequality reduction in Latin America</w:t>
      </w:r>
      <w:r>
        <w:t xml:space="preserve">. </w:t>
      </w:r>
      <w:r w:rsidRPr="0064621D">
        <w:t>LATIN American Countries AC Poverty and Gender Group</w:t>
      </w:r>
      <w:r>
        <w:t xml:space="preserve"> p</w:t>
      </w:r>
      <w:r w:rsidRPr="00D20FFC">
        <w:t xml:space="preserve">overty and </w:t>
      </w:r>
      <w:r>
        <w:t>l</w:t>
      </w:r>
      <w:r w:rsidRPr="00D20FFC">
        <w:t xml:space="preserve">abour </w:t>
      </w:r>
      <w:r>
        <w:t>b</w:t>
      </w:r>
      <w:r w:rsidRPr="00D20FFC">
        <w:t>rief, World Bank, Washington DC, U</w:t>
      </w:r>
      <w:r>
        <w:t xml:space="preserve">nited States. </w:t>
      </w:r>
    </w:p>
  </w:footnote>
  <w:footnote w:id="4">
    <w:p w:rsidR="00B77697" w:rsidRDefault="00B77697" w:rsidP="00812D7B">
      <w:pPr>
        <w:pStyle w:val="FootnoteText"/>
      </w:pPr>
      <w:r>
        <w:rPr>
          <w:rStyle w:val="FootnoteReference"/>
        </w:rPr>
        <w:footnoteRef/>
      </w:r>
      <w:r>
        <w:t xml:space="preserve"> </w:t>
      </w:r>
      <w:proofErr w:type="gramStart"/>
      <w:r w:rsidRPr="00D20FFC">
        <w:t>ECLAC (2012)</w:t>
      </w:r>
      <w:r>
        <w:t>,</w:t>
      </w:r>
      <w:r w:rsidRPr="00D20FFC">
        <w:t xml:space="preserve"> </w:t>
      </w:r>
      <w:r w:rsidRPr="0064621D">
        <w:rPr>
          <w:i/>
        </w:rPr>
        <w:t>Social Panorama of Latin America 2012</w:t>
      </w:r>
      <w:r w:rsidRPr="002F76A7">
        <w:t>.</w:t>
      </w:r>
      <w:proofErr w:type="gramEnd"/>
      <w:r w:rsidRPr="002F76A7">
        <w:t xml:space="preserve"> E</w:t>
      </w:r>
      <w:r w:rsidRPr="00812D7B">
        <w:t>CLAC</w:t>
      </w:r>
      <w:r w:rsidRPr="002F76A7">
        <w:t>, Santiago, Chile,</w:t>
      </w:r>
      <w:r w:rsidRPr="00D20FFC">
        <w:t xml:space="preserve"> Table 1, p</w:t>
      </w:r>
      <w:r>
        <w:t xml:space="preserve">. </w:t>
      </w:r>
      <w:r w:rsidRPr="00D20FFC">
        <w:t>18</w:t>
      </w:r>
      <w:r>
        <w:t>. D</w:t>
      </w:r>
      <w:r w:rsidRPr="00D20FFC">
        <w:t>ata available at</w:t>
      </w:r>
      <w:r>
        <w:t xml:space="preserve"> </w:t>
      </w:r>
      <w:hyperlink r:id="rId2" w:history="1">
        <w:r w:rsidRPr="008C79D9">
          <w:t>http://websie.cepal.org/anuario_estadistico/anuario_2012/en/contents_en.asp</w:t>
        </w:r>
      </w:hyperlink>
      <w:r>
        <w:t xml:space="preserve">  </w:t>
      </w:r>
    </w:p>
  </w:footnote>
  <w:footnote w:id="5">
    <w:p w:rsidR="00B77697" w:rsidRDefault="00B77697">
      <w:pPr>
        <w:pStyle w:val="FootnoteText"/>
      </w:pPr>
      <w:r>
        <w:rPr>
          <w:rStyle w:val="FootnoteReference"/>
        </w:rPr>
        <w:footnoteRef/>
      </w:r>
      <w:r>
        <w:t xml:space="preserve"> </w:t>
      </w:r>
      <w:r w:rsidRPr="00D20FFC">
        <w:t>United Nations Development Program</w:t>
      </w:r>
      <w:r>
        <w:t>me (UNDP) (</w:t>
      </w:r>
      <w:r w:rsidRPr="00D20FFC">
        <w:t>2010</w:t>
      </w:r>
      <w:r>
        <w:t>)</w:t>
      </w:r>
      <w:r w:rsidRPr="00D20FFC">
        <w:t xml:space="preserve">, </w:t>
      </w:r>
      <w:r>
        <w:t>‘</w:t>
      </w:r>
      <w:r w:rsidRPr="00D20FFC">
        <w:t>Regional Human Development Report for Latin America and the Caribbean 2010</w:t>
      </w:r>
      <w:r>
        <w:t>’,</w:t>
      </w:r>
      <w:r w:rsidRPr="00D20FFC">
        <w:t xml:space="preserve"> </w:t>
      </w:r>
      <w:r>
        <w:t xml:space="preserve"> UNDP</w:t>
      </w:r>
      <w:r w:rsidRPr="00D20FFC">
        <w:t xml:space="preserve">, New York, </w:t>
      </w:r>
      <w:r>
        <w:t xml:space="preserve">United States, </w:t>
      </w:r>
      <w:r w:rsidRPr="00D20FFC">
        <w:t>p.</w:t>
      </w:r>
      <w:r>
        <w:t xml:space="preserve"> </w:t>
      </w:r>
      <w:r w:rsidRPr="00D20FFC">
        <w:t>37</w:t>
      </w:r>
      <w:r>
        <w:t xml:space="preserve">.  </w:t>
      </w:r>
    </w:p>
  </w:footnote>
  <w:footnote w:id="6">
    <w:p w:rsidR="00B77697" w:rsidRDefault="00B77697">
      <w:pPr>
        <w:pStyle w:val="FootnoteText"/>
      </w:pPr>
      <w:r>
        <w:rPr>
          <w:rStyle w:val="FootnoteReference"/>
        </w:rPr>
        <w:footnoteRef/>
      </w:r>
      <w:r>
        <w:t xml:space="preserve"> </w:t>
      </w:r>
      <w:r w:rsidRPr="00D20FFC">
        <w:t xml:space="preserve">The </w:t>
      </w:r>
      <w:proofErr w:type="spellStart"/>
      <w:r w:rsidRPr="00D20FFC">
        <w:t>Gini</w:t>
      </w:r>
      <w:proofErr w:type="spellEnd"/>
      <w:r w:rsidRPr="00D20FFC">
        <w:t xml:space="preserve"> coefficient measures inequality in a population (</w:t>
      </w:r>
      <w:r>
        <w:t>for example,</w:t>
      </w:r>
      <w:r w:rsidRPr="00D20FFC">
        <w:t xml:space="preserve"> </w:t>
      </w:r>
      <w:r>
        <w:t xml:space="preserve">through </w:t>
      </w:r>
      <w:r w:rsidRPr="00D20FFC">
        <w:t xml:space="preserve">levels of income). A </w:t>
      </w:r>
      <w:proofErr w:type="spellStart"/>
      <w:r w:rsidRPr="00D20FFC">
        <w:t>Gini</w:t>
      </w:r>
      <w:proofErr w:type="spellEnd"/>
      <w:r w:rsidRPr="00D20FFC">
        <w:t xml:space="preserve"> coefficient of 0.00 expresses perfect equality (everyone has the same income)</w:t>
      </w:r>
      <w:proofErr w:type="gramStart"/>
      <w:r w:rsidRPr="00D20FFC">
        <w:t>,</w:t>
      </w:r>
      <w:proofErr w:type="gramEnd"/>
      <w:r w:rsidRPr="00D20FFC">
        <w:t xml:space="preserve"> while a </w:t>
      </w:r>
      <w:proofErr w:type="spellStart"/>
      <w:r w:rsidRPr="00D20FFC">
        <w:t>Gini</w:t>
      </w:r>
      <w:proofErr w:type="spellEnd"/>
      <w:r w:rsidRPr="00D20FFC">
        <w:t xml:space="preserve"> coefficient of 1.00 expresses maximum inequality (only one person has all the income). </w:t>
      </w:r>
      <w:r>
        <w:t>S</w:t>
      </w:r>
      <w:r w:rsidRPr="00D20FFC">
        <w:t>tatistics show that less equality in Brazil, Colombia, Honduras, Guatemala and Paraguay compar</w:t>
      </w:r>
      <w:r>
        <w:t>ed to</w:t>
      </w:r>
      <w:r w:rsidRPr="00D20FFC">
        <w:t xml:space="preserve"> middle-income countries in South East Asia, such as Indonesia (0.34) or Vietnam (0.36).</w:t>
      </w:r>
    </w:p>
  </w:footnote>
  <w:footnote w:id="7">
    <w:p w:rsidR="00B77697" w:rsidRDefault="00B77697">
      <w:pPr>
        <w:pStyle w:val="FootnoteText"/>
      </w:pPr>
      <w:r>
        <w:rPr>
          <w:rStyle w:val="FootnoteReference"/>
        </w:rPr>
        <w:footnoteRef/>
      </w:r>
      <w:r>
        <w:t xml:space="preserve"> </w:t>
      </w:r>
      <w:r w:rsidRPr="00D20FFC">
        <w:t xml:space="preserve">World Bank </w:t>
      </w:r>
      <w:r>
        <w:t>(</w:t>
      </w:r>
      <w:r w:rsidRPr="00D20FFC">
        <w:t>2013</w:t>
      </w:r>
      <w:r>
        <w:t>)</w:t>
      </w:r>
      <w:r w:rsidRPr="00D20FFC">
        <w:t xml:space="preserve">, </w:t>
      </w:r>
      <w:r w:rsidRPr="00D20FFC">
        <w:rPr>
          <w:lang w:val="en"/>
        </w:rPr>
        <w:t xml:space="preserve">GINI </w:t>
      </w:r>
      <w:r>
        <w:rPr>
          <w:lang w:val="en"/>
        </w:rPr>
        <w:t>I</w:t>
      </w:r>
      <w:r w:rsidRPr="00D20FFC">
        <w:rPr>
          <w:lang w:val="en"/>
        </w:rPr>
        <w:t xml:space="preserve">, </w:t>
      </w:r>
      <w:hyperlink r:id="rId3" w:history="1">
        <w:r w:rsidRPr="0064621D">
          <w:t>http://data.worldbank.org/indicator/SI.POV.GINI</w:t>
        </w:r>
      </w:hyperlink>
      <w:r w:rsidRPr="00D20FFC">
        <w:t>, accessed 17 May 2013</w:t>
      </w:r>
      <w:r>
        <w:t>.</w:t>
      </w:r>
    </w:p>
  </w:footnote>
  <w:footnote w:id="8">
    <w:p w:rsidR="00B77697" w:rsidRPr="00812D7B" w:rsidRDefault="00B77697">
      <w:pPr>
        <w:pStyle w:val="FootnoteText"/>
        <w:rPr>
          <w:lang w:val="en-GB"/>
        </w:rPr>
      </w:pPr>
      <w:r>
        <w:rPr>
          <w:rStyle w:val="FootnoteReference"/>
        </w:rPr>
        <w:footnoteRef/>
      </w:r>
      <w:r>
        <w:t xml:space="preserve"> </w:t>
      </w:r>
      <w:r w:rsidRPr="00836E92">
        <w:rPr>
          <w:lang w:val="en-GB"/>
        </w:rPr>
        <w:t>This ranges from highly urbanised countries such as Chile (89.4 per cent of population living in urban centres), Colombia (85.4 per cent) and Mexico (85.7 per cent) to Costa Rica (75.4 per cent), Ecuador (75.4 per cent) and El Salvador (67.3 per cent).</w:t>
      </w:r>
      <w:r>
        <w:rPr>
          <w:lang w:val="en-GB"/>
        </w:rPr>
        <w:t xml:space="preserve"> </w:t>
      </w:r>
      <w:proofErr w:type="gramStart"/>
      <w:r w:rsidRPr="00D20FFC">
        <w:t>ECLAC (2012)</w:t>
      </w:r>
      <w:r>
        <w:t>,</w:t>
      </w:r>
      <w:r w:rsidRPr="00D20FFC">
        <w:t xml:space="preserve"> Social Panorama of Latin America 2012</w:t>
      </w:r>
      <w:r>
        <w:t>.</w:t>
      </w:r>
      <w:proofErr w:type="gramEnd"/>
      <w:r>
        <w:t xml:space="preserve"> </w:t>
      </w:r>
      <w:r w:rsidRPr="00D20FFC">
        <w:t>E</w:t>
      </w:r>
      <w:r>
        <w:t xml:space="preserve">CLAC, </w:t>
      </w:r>
      <w:r w:rsidRPr="00D20FFC">
        <w:t>Table 1, p</w:t>
      </w:r>
      <w:r>
        <w:t>.</w:t>
      </w:r>
      <w:r w:rsidRPr="00D20FFC">
        <w:t>18</w:t>
      </w:r>
      <w:r>
        <w:t xml:space="preserve">, </w:t>
      </w:r>
      <w:proofErr w:type="gramStart"/>
      <w:r>
        <w:t>Ibid.,</w:t>
      </w:r>
      <w:proofErr w:type="gramEnd"/>
      <w:r>
        <w:t xml:space="preserve"> p. 18. </w:t>
      </w:r>
      <w:hyperlink r:id="rId4" w:history="1">
        <w:r w:rsidRPr="0064621D">
          <w:rPr>
            <w:lang w:val="en-GB"/>
          </w:rPr>
          <w:t>http://websie.cepal.org/anuario_estadistico/anuario_2012/en/contents_en.asp</w:t>
        </w:r>
      </w:hyperlink>
      <w:r w:rsidRPr="0064621D">
        <w:rPr>
          <w:lang w:val="en-GB"/>
        </w:rPr>
        <w:t>]</w:t>
      </w:r>
    </w:p>
  </w:footnote>
  <w:footnote w:id="9">
    <w:p w:rsidR="00B77697" w:rsidRDefault="00B77697">
      <w:pPr>
        <w:pStyle w:val="FootnoteText"/>
      </w:pPr>
      <w:r>
        <w:rPr>
          <w:rStyle w:val="FootnoteReference"/>
        </w:rPr>
        <w:footnoteRef/>
      </w:r>
      <w:r>
        <w:t xml:space="preserve"> M </w:t>
      </w:r>
      <w:proofErr w:type="spellStart"/>
      <w:r w:rsidRPr="002F76A7">
        <w:t>Khamis</w:t>
      </w:r>
      <w:proofErr w:type="spellEnd"/>
      <w:r w:rsidRPr="00261123">
        <w:t xml:space="preserve"> and C Osorio (2013), </w:t>
      </w:r>
      <w:proofErr w:type="spellStart"/>
      <w:r w:rsidRPr="00812D7B">
        <w:rPr>
          <w:i/>
        </w:rPr>
        <w:t>América</w:t>
      </w:r>
      <w:proofErr w:type="spellEnd"/>
      <w:r w:rsidRPr="00812D7B">
        <w:rPr>
          <w:i/>
        </w:rPr>
        <w:t xml:space="preserve"> </w:t>
      </w:r>
      <w:proofErr w:type="gramStart"/>
      <w:r w:rsidRPr="00812D7B">
        <w:rPr>
          <w:i/>
        </w:rPr>
        <w:t>del</w:t>
      </w:r>
      <w:proofErr w:type="gramEnd"/>
      <w:r w:rsidRPr="00812D7B">
        <w:rPr>
          <w:i/>
        </w:rPr>
        <w:t xml:space="preserve"> Sur: </w:t>
      </w:r>
      <w:proofErr w:type="spellStart"/>
      <w:r w:rsidRPr="00812D7B">
        <w:rPr>
          <w:i/>
        </w:rPr>
        <w:t>Una</w:t>
      </w:r>
      <w:proofErr w:type="spellEnd"/>
      <w:r w:rsidRPr="00812D7B">
        <w:rPr>
          <w:i/>
        </w:rPr>
        <w:t xml:space="preserve"> </w:t>
      </w:r>
      <w:proofErr w:type="spellStart"/>
      <w:r w:rsidRPr="00812D7B">
        <w:rPr>
          <w:i/>
        </w:rPr>
        <w:t>visión</w:t>
      </w:r>
      <w:proofErr w:type="spellEnd"/>
      <w:r w:rsidRPr="00812D7B">
        <w:rPr>
          <w:i/>
        </w:rPr>
        <w:t xml:space="preserve"> regional de la </w:t>
      </w:r>
      <w:proofErr w:type="spellStart"/>
      <w:r w:rsidRPr="00812D7B">
        <w:rPr>
          <w:i/>
        </w:rPr>
        <w:t>situación</w:t>
      </w:r>
      <w:proofErr w:type="spellEnd"/>
      <w:r w:rsidRPr="00812D7B">
        <w:rPr>
          <w:i/>
        </w:rPr>
        <w:t xml:space="preserve"> de </w:t>
      </w:r>
      <w:proofErr w:type="spellStart"/>
      <w:r w:rsidRPr="00812D7B">
        <w:rPr>
          <w:i/>
        </w:rPr>
        <w:t>riesgo</w:t>
      </w:r>
      <w:proofErr w:type="spellEnd"/>
      <w:r w:rsidRPr="00812D7B">
        <w:rPr>
          <w:i/>
        </w:rPr>
        <w:t xml:space="preserve"> de </w:t>
      </w:r>
      <w:proofErr w:type="spellStart"/>
      <w:r w:rsidRPr="00812D7B">
        <w:rPr>
          <w:i/>
        </w:rPr>
        <w:t>desastres</w:t>
      </w:r>
      <w:proofErr w:type="spellEnd"/>
      <w:r w:rsidRPr="002F76A7">
        <w:t xml:space="preserve">. </w:t>
      </w:r>
      <w:proofErr w:type="gramStart"/>
      <w:r w:rsidRPr="00261123">
        <w:t>European Commission and U</w:t>
      </w:r>
      <w:r w:rsidRPr="00812D7B">
        <w:t>nited Nations International Strategy for Disaster Reduction (UNISR)</w:t>
      </w:r>
      <w:r w:rsidRPr="00261123">
        <w:t>, Brussels</w:t>
      </w:r>
      <w:r w:rsidRPr="00D20FFC">
        <w:t>, Belgium.</w:t>
      </w:r>
      <w:proofErr w:type="gramEnd"/>
    </w:p>
  </w:footnote>
  <w:footnote w:id="10">
    <w:p w:rsidR="00B77697" w:rsidRDefault="00B77697">
      <w:pPr>
        <w:pStyle w:val="FootnoteText"/>
      </w:pPr>
      <w:r>
        <w:rPr>
          <w:rStyle w:val="FootnoteReference"/>
        </w:rPr>
        <w:footnoteRef/>
      </w:r>
      <w:r>
        <w:t xml:space="preserve"> Ibid.</w:t>
      </w:r>
    </w:p>
  </w:footnote>
  <w:footnote w:id="11">
    <w:p w:rsidR="00B77697" w:rsidRDefault="00B77697">
      <w:pPr>
        <w:pStyle w:val="FootnoteText"/>
      </w:pPr>
      <w:r>
        <w:rPr>
          <w:rStyle w:val="FootnoteReference"/>
        </w:rPr>
        <w:footnoteRef/>
      </w:r>
      <w:r>
        <w:t xml:space="preserve"> </w:t>
      </w:r>
      <w:proofErr w:type="gramStart"/>
      <w:r w:rsidRPr="00BF7367">
        <w:t>UNISDR (2011)</w:t>
      </w:r>
      <w:r>
        <w:t xml:space="preserve">, </w:t>
      </w:r>
      <w:r w:rsidRPr="00BF7367">
        <w:t>Regional summary of progress against the Hyogo Framework for Action</w:t>
      </w:r>
      <w:r>
        <w:t>.</w:t>
      </w:r>
      <w:proofErr w:type="gramEnd"/>
      <w:r>
        <w:t xml:space="preserve"> </w:t>
      </w:r>
      <w:proofErr w:type="gramStart"/>
      <w:r w:rsidRPr="00BF7367">
        <w:t>U</w:t>
      </w:r>
      <w:r>
        <w:t>NISDR</w:t>
      </w:r>
      <w:r w:rsidRPr="00261123">
        <w:t>, Gen</w:t>
      </w:r>
      <w:r w:rsidRPr="00DE4C55">
        <w:t>e</w:t>
      </w:r>
      <w:r w:rsidRPr="00261123">
        <w:t>va, S</w:t>
      </w:r>
      <w:r w:rsidRPr="00812D7B">
        <w:t>witzerland</w:t>
      </w:r>
      <w:r w:rsidRPr="00DE4C55">
        <w:t>.</w:t>
      </w:r>
      <w:proofErr w:type="gramEnd"/>
    </w:p>
  </w:footnote>
  <w:footnote w:id="12">
    <w:p w:rsidR="00B77697" w:rsidRDefault="00B77697">
      <w:pPr>
        <w:pStyle w:val="FootnoteText"/>
      </w:pPr>
      <w:r>
        <w:rPr>
          <w:rStyle w:val="FootnoteReference"/>
        </w:rPr>
        <w:footnoteRef/>
      </w:r>
      <w:r>
        <w:t xml:space="preserve"> </w:t>
      </w:r>
      <w:r w:rsidRPr="00BF7367">
        <w:t xml:space="preserve">UNDP </w:t>
      </w:r>
      <w:r>
        <w:t>(</w:t>
      </w:r>
      <w:r w:rsidRPr="00BF7367">
        <w:t>2010</w:t>
      </w:r>
      <w:r>
        <w:t>)</w:t>
      </w:r>
      <w:r w:rsidRPr="00BF7367">
        <w:t xml:space="preserve">, </w:t>
      </w:r>
      <w:r>
        <w:t>‘</w:t>
      </w:r>
      <w:proofErr w:type="gramStart"/>
      <w:r w:rsidRPr="00BF7367">
        <w:t>Achieving</w:t>
      </w:r>
      <w:proofErr w:type="gramEnd"/>
      <w:r w:rsidRPr="00BF7367">
        <w:t xml:space="preserve"> the Millennium Development Goals with equality in Latin America and the Caribbean: Progress and Challenges</w:t>
      </w:r>
      <w:r>
        <w:t>’</w:t>
      </w:r>
      <w:r w:rsidRPr="00BF7367">
        <w:t>, p.</w:t>
      </w:r>
      <w:r>
        <w:t xml:space="preserve"> </w:t>
      </w:r>
      <w:r w:rsidRPr="00BF7367">
        <w:t xml:space="preserve">345, </w:t>
      </w:r>
      <w:hyperlink r:id="rId5" w:history="1">
        <w:r w:rsidRPr="00812D7B">
          <w:t>http://www.undp.org/content/dam/undp/library/MDG/english/MDG%20Regional%20Reports/LAC-Regional%20MDG%20Report%202010.pdf</w:t>
        </w:r>
      </w:hyperlink>
      <w:r w:rsidRPr="00261123">
        <w:t>, accessed 28 April</w:t>
      </w:r>
      <w:r w:rsidRPr="00BF7367">
        <w:t xml:space="preserve"> 2013</w:t>
      </w:r>
      <w:r>
        <w:t>.</w:t>
      </w:r>
    </w:p>
  </w:footnote>
  <w:footnote w:id="13">
    <w:p w:rsidR="00B77697" w:rsidRDefault="00B77697">
      <w:pPr>
        <w:pStyle w:val="FootnoteText"/>
      </w:pPr>
      <w:r>
        <w:rPr>
          <w:rStyle w:val="FootnoteReference"/>
        </w:rPr>
        <w:footnoteRef/>
      </w:r>
      <w:r>
        <w:t xml:space="preserve"> </w:t>
      </w:r>
      <w:proofErr w:type="gramStart"/>
      <w:r w:rsidRPr="00BF7367">
        <w:t>UNDP (2013)</w:t>
      </w:r>
      <w:r>
        <w:t>,</w:t>
      </w:r>
      <w:r w:rsidRPr="00BF7367">
        <w:t xml:space="preserve"> Human Development Index 2013</w:t>
      </w:r>
      <w:r>
        <w:t>.</w:t>
      </w:r>
      <w:proofErr w:type="gramEnd"/>
      <w:r>
        <w:t xml:space="preserve"> </w:t>
      </w:r>
      <w:proofErr w:type="gramStart"/>
      <w:r w:rsidRPr="00BF7367">
        <w:t>U</w:t>
      </w:r>
      <w:r>
        <w:t>NDP</w:t>
      </w:r>
      <w:r w:rsidRPr="00BF7367">
        <w:t>, New York, U</w:t>
      </w:r>
      <w:r>
        <w:t>nited States</w:t>
      </w:r>
      <w:r w:rsidRPr="00BF7367">
        <w:t>.</w:t>
      </w:r>
      <w:proofErr w:type="gramEnd"/>
    </w:p>
  </w:footnote>
  <w:footnote w:id="14">
    <w:p w:rsidR="00B77697" w:rsidRDefault="00B77697" w:rsidP="00193AE0">
      <w:pPr>
        <w:pStyle w:val="FootnoteText"/>
      </w:pPr>
      <w:r>
        <w:rPr>
          <w:rStyle w:val="FootnoteReference"/>
        </w:rPr>
        <w:footnoteRef/>
      </w:r>
      <w:r>
        <w:t xml:space="preserve"> DFAT</w:t>
      </w:r>
      <w:r w:rsidRPr="00BF7367">
        <w:t xml:space="preserve"> </w:t>
      </w:r>
      <w:r>
        <w:t>o</w:t>
      </w:r>
      <w:r w:rsidRPr="00BF7367">
        <w:t xml:space="preserve">nline </w:t>
      </w:r>
      <w:r>
        <w:t>s</w:t>
      </w:r>
      <w:r w:rsidRPr="00BF7367">
        <w:t>tatistics</w:t>
      </w:r>
    </w:p>
  </w:footnote>
  <w:footnote w:id="15">
    <w:p w:rsidR="00B77697" w:rsidRDefault="00B77697" w:rsidP="00193AE0">
      <w:pPr>
        <w:pStyle w:val="FootnoteText"/>
      </w:pPr>
      <w:r w:rsidRPr="00812D7B">
        <w:footnoteRef/>
      </w:r>
      <w:r>
        <w:t xml:space="preserve"> Ibid.</w:t>
      </w:r>
    </w:p>
  </w:footnote>
  <w:footnote w:id="16">
    <w:p w:rsidR="00B77697" w:rsidRDefault="00B77697" w:rsidP="003838EC">
      <w:pPr>
        <w:pStyle w:val="FootnoteText"/>
      </w:pPr>
      <w:r w:rsidRPr="00812D7B">
        <w:footnoteRef/>
      </w:r>
      <w:r>
        <w:t xml:space="preserve"> Ibid.</w:t>
      </w:r>
    </w:p>
  </w:footnote>
  <w:footnote w:id="17">
    <w:p w:rsidR="00B77697" w:rsidRDefault="00B77697" w:rsidP="00193AE0">
      <w:pPr>
        <w:pStyle w:val="FootnoteText"/>
      </w:pPr>
      <w:r>
        <w:rPr>
          <w:rStyle w:val="FootnoteReference"/>
        </w:rPr>
        <w:footnoteRef/>
      </w:r>
      <w:r>
        <w:t xml:space="preserve"> </w:t>
      </w:r>
      <w:r w:rsidRPr="00BF7367">
        <w:t xml:space="preserve">B Carr, </w:t>
      </w:r>
      <w:r>
        <w:t>‘</w:t>
      </w:r>
      <w:r w:rsidRPr="00BF7367">
        <w:t>Budget: Australia’s International Development Assistance Program 2012</w:t>
      </w:r>
      <w:r>
        <w:t>–</w:t>
      </w:r>
      <w:r w:rsidRPr="00BF7367">
        <w:t>13</w:t>
      </w:r>
      <w:r>
        <w:t>’</w:t>
      </w:r>
      <w:proofErr w:type="gramStart"/>
      <w:r w:rsidRPr="00BF7367">
        <w:t xml:space="preserve">,  </w:t>
      </w:r>
      <w:r w:rsidRPr="00BF7367">
        <w:rPr>
          <w:i/>
        </w:rPr>
        <w:t>Blue</w:t>
      </w:r>
      <w:proofErr w:type="gramEnd"/>
      <w:r w:rsidRPr="00BF7367">
        <w:rPr>
          <w:i/>
        </w:rPr>
        <w:t xml:space="preserve"> Book</w:t>
      </w:r>
      <w:r w:rsidRPr="00BF7367">
        <w:t>, Statement by</w:t>
      </w:r>
      <w:r>
        <w:t xml:space="preserve"> Australia’s</w:t>
      </w:r>
      <w:r w:rsidRPr="00BF7367">
        <w:t xml:space="preserve"> Minister for Foreign Affairs, 8 May 2012</w:t>
      </w:r>
      <w:r>
        <w:t>.</w:t>
      </w:r>
    </w:p>
  </w:footnote>
  <w:footnote w:id="18">
    <w:p w:rsidR="00B77697" w:rsidRDefault="00B77697">
      <w:pPr>
        <w:pStyle w:val="FootnoteText"/>
      </w:pPr>
      <w:r>
        <w:rPr>
          <w:rStyle w:val="FootnoteReference"/>
        </w:rPr>
        <w:footnoteRef/>
      </w:r>
      <w:r>
        <w:t xml:space="preserve"> The regional program expenditure and expected expenditure detailed in Table 1A and Table 1B do not add up to 100 per cent because of other relatively minor expenditure that is not directly attributed to the three objectives.</w:t>
      </w:r>
    </w:p>
  </w:footnote>
  <w:footnote w:id="19">
    <w:p w:rsidR="00B77697" w:rsidRDefault="00B77697">
      <w:pPr>
        <w:pStyle w:val="FootnoteText"/>
      </w:pPr>
      <w:r>
        <w:rPr>
          <w:rStyle w:val="FootnoteReference"/>
        </w:rPr>
        <w:footnoteRef/>
      </w:r>
      <w:r>
        <w:t xml:space="preserve"> Subject to DFAT agreement, trust fund activities can occur in any of the 17 Latin America countries, and activities identify at the outset how many people will benefit from the assistance along with how recipients will be targeted and why.</w:t>
      </w:r>
    </w:p>
  </w:footnote>
  <w:footnote w:id="20">
    <w:p w:rsidR="00B77697" w:rsidRDefault="00B77697">
      <w:pPr>
        <w:pStyle w:val="FootnoteText"/>
      </w:pPr>
      <w:r>
        <w:rPr>
          <w:rStyle w:val="FootnoteReference"/>
        </w:rPr>
        <w:footnoteRef/>
      </w:r>
      <w:r>
        <w:t xml:space="preserve"> </w:t>
      </w:r>
      <w:proofErr w:type="gramStart"/>
      <w:r w:rsidRPr="00BF7367">
        <w:t>IDB</w:t>
      </w:r>
      <w:r>
        <w:t>–</w:t>
      </w:r>
      <w:r w:rsidRPr="00BF7367">
        <w:t xml:space="preserve">MIF </w:t>
      </w:r>
      <w:r>
        <w:t>(</w:t>
      </w:r>
      <w:r w:rsidRPr="00BF7367">
        <w:t>2010</w:t>
      </w:r>
      <w:r>
        <w:t>)</w:t>
      </w:r>
      <w:r w:rsidRPr="00BF7367">
        <w:t xml:space="preserve">, </w:t>
      </w:r>
      <w:r>
        <w:t>‘</w:t>
      </w:r>
      <w:r w:rsidRPr="00BF7367">
        <w:t>Donors Memorandum</w:t>
      </w:r>
      <w:r>
        <w:t>—</w:t>
      </w:r>
      <w:r w:rsidRPr="00BF7367">
        <w:t>Strengthening Women Entrepreneurship in Peru [PE-M1066]</w:t>
      </w:r>
      <w:r>
        <w:t>’</w:t>
      </w:r>
      <w:r w:rsidRPr="00BF7367">
        <w:t>, I</w:t>
      </w:r>
      <w:r>
        <w:t>DB–MIF</w:t>
      </w:r>
      <w:r w:rsidRPr="00BF7367">
        <w:t>, Washington DC, U</w:t>
      </w:r>
      <w:r>
        <w:t>nited States.</w:t>
      </w:r>
      <w:proofErr w:type="gramEnd"/>
    </w:p>
  </w:footnote>
  <w:footnote w:id="21">
    <w:p w:rsidR="00B77697" w:rsidRDefault="00B77697">
      <w:pPr>
        <w:pStyle w:val="FootnoteText"/>
      </w:pPr>
      <w:r>
        <w:rPr>
          <w:rStyle w:val="FootnoteReference"/>
        </w:rPr>
        <w:footnoteRef/>
      </w:r>
      <w:r>
        <w:t xml:space="preserve"> This project aims </w:t>
      </w:r>
      <w:r w:rsidRPr="00261123">
        <w:t xml:space="preserve">to </w:t>
      </w:r>
      <w:r w:rsidRPr="00DE4C55">
        <w:t>increase access to savings for remittances recipients. This is important because in 2012 the total remittances from overseas workers to Latin America were US$61</w:t>
      </w:r>
      <w:r w:rsidRPr="00261123">
        <w:t> 300 million. This</w:t>
      </w:r>
      <w:r>
        <w:t xml:space="preserve"> was provided through 250 million transfers.</w:t>
      </w:r>
    </w:p>
  </w:footnote>
  <w:footnote w:id="22">
    <w:p w:rsidR="00B77697" w:rsidRDefault="00B77697">
      <w:pPr>
        <w:pStyle w:val="FootnoteText"/>
      </w:pPr>
      <w:r>
        <w:rPr>
          <w:rStyle w:val="FootnoteReference"/>
        </w:rPr>
        <w:footnoteRef/>
      </w:r>
      <w:r>
        <w:t xml:space="preserve"> S </w:t>
      </w:r>
      <w:r w:rsidRPr="00AA13A8">
        <w:t>Kidd, Stephen</w:t>
      </w:r>
      <w:r>
        <w:t xml:space="preserve"> (</w:t>
      </w:r>
      <w:r w:rsidRPr="00AA13A8">
        <w:t>2012</w:t>
      </w:r>
      <w:r>
        <w:t>)</w:t>
      </w:r>
      <w:r w:rsidRPr="00AA13A8">
        <w:t xml:space="preserve">, </w:t>
      </w:r>
      <w:r w:rsidRPr="00261123">
        <w:t xml:space="preserve">‘Report on mission to monitor Paraguay for All Project: 22–26 October 2012’, </w:t>
      </w:r>
      <w:r w:rsidRPr="00812D7B">
        <w:t xml:space="preserve">Report to </w:t>
      </w:r>
      <w:r>
        <w:t>DFAT</w:t>
      </w:r>
      <w:r w:rsidRPr="00812D7B">
        <w:t xml:space="preserve"> by independent monitoring advisor</w:t>
      </w:r>
      <w:r w:rsidRPr="00261123">
        <w:t>, Lima</w:t>
      </w:r>
      <w:r>
        <w:t xml:space="preserve"> Post</w:t>
      </w:r>
      <w:r w:rsidRPr="00261123">
        <w:t>, Peru, pp. 307–308</w:t>
      </w:r>
      <w:r>
        <w:t xml:space="preserve"> and pp.</w:t>
      </w:r>
      <w:r w:rsidRPr="00261123">
        <w:t xml:space="preserve"> 311</w:t>
      </w:r>
      <w:r>
        <w:t>–3</w:t>
      </w:r>
      <w:r w:rsidRPr="00261123">
        <w:t>13.</w:t>
      </w:r>
      <w:r>
        <w:t>.</w:t>
      </w:r>
    </w:p>
  </w:footnote>
  <w:footnote w:id="23">
    <w:p w:rsidR="00B77697" w:rsidRDefault="00B77697" w:rsidP="00E83F6E">
      <w:pPr>
        <w:pStyle w:val="FootnoteText"/>
      </w:pPr>
      <w:r>
        <w:rPr>
          <w:rStyle w:val="FootnoteReference"/>
        </w:rPr>
        <w:footnoteRef/>
      </w:r>
      <w:r>
        <w:t xml:space="preserve"> </w:t>
      </w:r>
      <w:r w:rsidRPr="00E83F6E">
        <w:t>In December 2011</w:t>
      </w:r>
      <w:r>
        <w:t>, Australia’s Foreign Minister</w:t>
      </w:r>
      <w:r w:rsidRPr="00E83F6E">
        <w:t xml:space="preserve"> attend</w:t>
      </w:r>
      <w:r>
        <w:t>ed</w:t>
      </w:r>
      <w:r w:rsidRPr="00E83F6E">
        <w:t xml:space="preserve"> the SICA Summit </w:t>
      </w:r>
      <w:r>
        <w:t xml:space="preserve">and </w:t>
      </w:r>
      <w:r w:rsidRPr="00E83F6E">
        <w:t xml:space="preserve">during </w:t>
      </w:r>
      <w:r>
        <w:t>a</w:t>
      </w:r>
      <w:r w:rsidRPr="00E83F6E">
        <w:t xml:space="preserve"> visit to El Salvador committed to increase </w:t>
      </w:r>
      <w:r>
        <w:t>ODA</w:t>
      </w:r>
      <w:r w:rsidRPr="00E83F6E">
        <w:t xml:space="preserve"> to Central America</w:t>
      </w:r>
      <w:r>
        <w:t xml:space="preserve">. This included </w:t>
      </w:r>
      <w:r w:rsidRPr="00E83F6E">
        <w:t>doubl</w:t>
      </w:r>
      <w:r>
        <w:t>ing</w:t>
      </w:r>
      <w:r w:rsidRPr="00E83F6E">
        <w:t xml:space="preserve"> the number of Australia Awards </w:t>
      </w:r>
      <w:r>
        <w:t>S</w:t>
      </w:r>
      <w:r w:rsidRPr="00E83F6E">
        <w:t xml:space="preserve">cholarships for Central America </w:t>
      </w:r>
      <w:r>
        <w:t>and actively supporting security projects in crime prevention (particularly youth violence in partnership with GIZ), narcotics control and anti-money-laundering.</w:t>
      </w:r>
    </w:p>
  </w:footnote>
  <w:footnote w:id="24">
    <w:p w:rsidR="00B77697" w:rsidRDefault="00B77697">
      <w:pPr>
        <w:pStyle w:val="FootnoteText"/>
      </w:pPr>
      <w:r>
        <w:rPr>
          <w:rStyle w:val="FootnoteReference"/>
        </w:rPr>
        <w:footnoteRef/>
      </w:r>
      <w:r>
        <w:t xml:space="preserve"> </w:t>
      </w:r>
      <w:r w:rsidRPr="00052909">
        <w:t>For example, in 2011</w:t>
      </w:r>
      <w:r>
        <w:t>–</w:t>
      </w:r>
      <w:r w:rsidRPr="00052909">
        <w:t xml:space="preserve">12 </w:t>
      </w:r>
      <w:r>
        <w:t>Australia</w:t>
      </w:r>
      <w:r w:rsidRPr="00052909">
        <w:t xml:space="preserve"> provided $27 215 to </w:t>
      </w:r>
      <w:proofErr w:type="spellStart"/>
      <w:r w:rsidRPr="00052909">
        <w:t>Reledev</w:t>
      </w:r>
      <w:proofErr w:type="spellEnd"/>
      <w:r w:rsidRPr="00052909">
        <w:t xml:space="preserve"> Australia’s Women’s Micro-enterprise Project in Paraguay through an ANCP grant. Consistent with the intended approach, this project successfully supported 19 women to sell their products through which they respectively obtain an average income of about </w:t>
      </w:r>
      <w:proofErr w:type="gramStart"/>
      <w:r w:rsidRPr="00052909">
        <w:t>A$</w:t>
      </w:r>
      <w:proofErr w:type="gramEnd"/>
      <w:r w:rsidRPr="00052909">
        <w:t xml:space="preserve">57 </w:t>
      </w:r>
      <w:r>
        <w:t>a</w:t>
      </w:r>
      <w:r w:rsidRPr="00052909">
        <w:t xml:space="preserve"> month. This project has transformed the lives of participants. For example, after one participant gained sewing and dressmaking qualifications her monthly income increased from around </w:t>
      </w:r>
      <w:proofErr w:type="gramStart"/>
      <w:r w:rsidRPr="00052909">
        <w:t>A$</w:t>
      </w:r>
      <w:proofErr w:type="gramEnd"/>
      <w:r w:rsidRPr="00052909">
        <w:t>43 to A$347.</w:t>
      </w:r>
    </w:p>
  </w:footnote>
  <w:footnote w:id="25">
    <w:p w:rsidR="00B77697" w:rsidRDefault="00B77697" w:rsidP="009D03F7">
      <w:pPr>
        <w:pStyle w:val="FootnoteText"/>
      </w:pPr>
      <w:r>
        <w:rPr>
          <w:rStyle w:val="FootnoteReference"/>
        </w:rPr>
        <w:footnoteRef/>
      </w:r>
      <w:r>
        <w:t xml:space="preserve"> In December 2010, Australia’s Foreign Minister attended the SICA Summit and during a visit to El Salvador committed to providing 200 Australia Awards Scholarships over four years to Latin America. In December 2011, the Foreign Minister increased this to 250 scholarships, with 100 targeted to Central America, during his visit to El Salvador to attend the SICA Summit.</w:t>
      </w:r>
    </w:p>
  </w:footnote>
  <w:footnote w:id="26">
    <w:p w:rsidR="00AE36EC" w:rsidRDefault="00AE36EC">
      <w:pPr>
        <w:pStyle w:val="FootnoteText"/>
      </w:pPr>
      <w:r>
        <w:rPr>
          <w:rStyle w:val="FootnoteReference"/>
        </w:rPr>
        <w:footnoteRef/>
      </w:r>
      <w:r>
        <w:t xml:space="preserve"> </w:t>
      </w:r>
      <w:r w:rsidRPr="00AE36EC">
        <w:t>Prior to 2012-13 Aid Program Performance Reports were called Annual Program Performance Reports</w:t>
      </w:r>
      <w:r>
        <w:t>.</w:t>
      </w:r>
    </w:p>
  </w:footnote>
  <w:footnote w:id="27">
    <w:p w:rsidR="00B77697" w:rsidRDefault="00B77697">
      <w:pPr>
        <w:pStyle w:val="FootnoteText"/>
      </w:pPr>
      <w:r>
        <w:rPr>
          <w:rStyle w:val="FootnoteReference"/>
        </w:rPr>
        <w:footnoteRef/>
      </w:r>
      <w:r>
        <w:t xml:space="preserve"> Australia has also attempted to negotiate agreements to place volunteers in Colombia and Paraguay.</w:t>
      </w:r>
    </w:p>
  </w:footnote>
  <w:footnote w:id="28">
    <w:p w:rsidR="00B77697" w:rsidRDefault="00B77697">
      <w:pPr>
        <w:pStyle w:val="FootnoteText"/>
      </w:pPr>
      <w:r>
        <w:rPr>
          <w:rStyle w:val="FootnoteReference"/>
        </w:rPr>
        <w:footnoteRef/>
      </w:r>
      <w:r>
        <w:t xml:space="preserve"> </w:t>
      </w:r>
      <w:r w:rsidRPr="0064205D">
        <w:t>Australian funds assist in implementing training for middle</w:t>
      </w:r>
      <w:r>
        <w:t>-</w:t>
      </w:r>
      <w:r w:rsidRPr="0064205D">
        <w:t xml:space="preserve">level government officials for the Centre for Natural Disaster Prevention in Central America National Commissions and Executive Secretariat, which operates under </w:t>
      </w:r>
      <w:r>
        <w:t xml:space="preserve">the </w:t>
      </w:r>
      <w:r w:rsidRPr="0064205D">
        <w:t>SICA</w:t>
      </w:r>
      <w:r>
        <w:t xml:space="preserve">. </w:t>
      </w:r>
      <w:r w:rsidRPr="0064205D">
        <w:t xml:space="preserve">The training </w:t>
      </w:r>
      <w:r>
        <w:t>is</w:t>
      </w:r>
      <w:r w:rsidRPr="0064205D">
        <w:t xml:space="preserve"> strengthen</w:t>
      </w:r>
      <w:r>
        <w:t>ing</w:t>
      </w:r>
      <w:r w:rsidRPr="0064205D">
        <w:t xml:space="preserve"> public sector capacities to adequately plan </w:t>
      </w:r>
      <w:r>
        <w:t xml:space="preserve">for </w:t>
      </w:r>
      <w:r w:rsidRPr="0064205D">
        <w:t>and manage the recovery and reconstruction process in the areas of the Central American subregion affected by natural disasters.</w:t>
      </w:r>
    </w:p>
  </w:footnote>
  <w:footnote w:id="29">
    <w:p w:rsidR="00B77697" w:rsidRDefault="00B77697">
      <w:pPr>
        <w:pStyle w:val="FootnoteText"/>
      </w:pPr>
      <w:r>
        <w:rPr>
          <w:rStyle w:val="FootnoteReference"/>
        </w:rPr>
        <w:footnoteRef/>
      </w:r>
      <w:r>
        <w:t xml:space="preserve"> Due to the newness of the program and awards to the region, t</w:t>
      </w:r>
      <w:r w:rsidRPr="002F563C">
        <w:t xml:space="preserve">he ranking does not assess the </w:t>
      </w:r>
      <w:r>
        <w:t xml:space="preserve">early </w:t>
      </w:r>
      <w:r w:rsidRPr="002F563C">
        <w:t>effectiveness of returning scholars.</w:t>
      </w:r>
    </w:p>
  </w:footnote>
  <w:footnote w:id="30">
    <w:p w:rsidR="00B77697" w:rsidRDefault="00B77697" w:rsidP="00E30986">
      <w:pPr>
        <w:pStyle w:val="FootnoteText"/>
      </w:pPr>
      <w:r>
        <w:rPr>
          <w:rStyle w:val="FootnoteReference"/>
        </w:rPr>
        <w:footnoteRef/>
      </w:r>
      <w:r>
        <w:t xml:space="preserve"> </w:t>
      </w:r>
      <w:r w:rsidRPr="00502BFF">
        <w:rPr>
          <w:rFonts w:hint="eastAsia"/>
        </w:rPr>
        <w:t>The Advisory Committees provide guidance throughout all stages of the program, including</w:t>
      </w:r>
      <w:r>
        <w:t xml:space="preserve"> by providing</w:t>
      </w:r>
      <w:r w:rsidRPr="00502BFF">
        <w:rPr>
          <w:rFonts w:hint="eastAsia"/>
        </w:rPr>
        <w:t xml:space="preserve"> input on decision</w:t>
      </w:r>
      <w:r>
        <w:rPr>
          <w:rFonts w:ascii="Cambria Math" w:hAnsi="Cambria Math" w:cs="Cambria Math"/>
        </w:rPr>
        <w:t xml:space="preserve"> </w:t>
      </w:r>
      <w:r w:rsidRPr="00502BFF">
        <w:rPr>
          <w:rFonts w:hint="eastAsia"/>
        </w:rPr>
        <w:t>making related to: program establishment (providing guidance on and approve project selection methodology)</w:t>
      </w:r>
      <w:r>
        <w:t>;</w:t>
      </w:r>
      <w:r w:rsidRPr="00502BFF">
        <w:rPr>
          <w:rFonts w:hint="eastAsia"/>
        </w:rPr>
        <w:t xml:space="preserve"> project selection (providing guidance on </w:t>
      </w:r>
      <w:r w:rsidRPr="00502BFF">
        <w:t>project selection)</w:t>
      </w:r>
      <w:r>
        <w:t>;</w:t>
      </w:r>
      <w:r w:rsidRPr="00502BFF">
        <w:t xml:space="preserve"> and knowledge products (identifying knowledge gaps and approve a research agenda)</w:t>
      </w:r>
      <w:r>
        <w:t>.</w:t>
      </w:r>
    </w:p>
  </w:footnote>
  <w:footnote w:id="31">
    <w:p w:rsidR="00B77697" w:rsidRDefault="00B77697">
      <w:pPr>
        <w:pStyle w:val="FootnoteText"/>
      </w:pPr>
      <w:r>
        <w:rPr>
          <w:rStyle w:val="FootnoteReference"/>
        </w:rPr>
        <w:footnoteRef/>
      </w:r>
      <w:r>
        <w:t xml:space="preserve"> </w:t>
      </w:r>
      <w:r w:rsidRPr="0062271C">
        <w:t>‘</w:t>
      </w:r>
      <w:r>
        <w:t>C</w:t>
      </w:r>
      <w:r w:rsidRPr="0062271C">
        <w:t>ompleted’ means the final version of the report has been received</w:t>
      </w:r>
    </w:p>
  </w:footnote>
  <w:footnote w:id="32">
    <w:p w:rsidR="00B77697" w:rsidRDefault="00B77697">
      <w:pPr>
        <w:pStyle w:val="FootnoteText"/>
      </w:pPr>
      <w:r>
        <w:rPr>
          <w:rStyle w:val="FootnoteReference"/>
        </w:rPr>
        <w:footnoteRef/>
      </w:r>
      <w:r>
        <w:t xml:space="preserve"> </w:t>
      </w:r>
      <w:r w:rsidRPr="0062271C">
        <w:t xml:space="preserve">Mid-term review, </w:t>
      </w:r>
      <w:r>
        <w:t>c</w:t>
      </w:r>
      <w:r w:rsidRPr="0062271C">
        <w:t>ompletion report, partner-led evaluation, joint evaluation</w:t>
      </w:r>
    </w:p>
  </w:footnote>
  <w:footnote w:id="33">
    <w:p w:rsidR="00B77697" w:rsidRDefault="00B77697">
      <w:pPr>
        <w:pStyle w:val="FootnoteText"/>
      </w:pPr>
      <w:r>
        <w:rPr>
          <w:rStyle w:val="FootnoteReference"/>
        </w:rPr>
        <w:footnoteRef/>
      </w:r>
      <w:r>
        <w:t xml:space="preserve"> </w:t>
      </w:r>
      <w:r w:rsidRPr="0062271C">
        <w:t>To inform a future phase of program, to improve existing program; to verify program outcomes</w:t>
      </w:r>
    </w:p>
  </w:footnote>
  <w:footnote w:id="34">
    <w:p w:rsidR="00B77697" w:rsidRDefault="00B77697">
      <w:pPr>
        <w:pStyle w:val="FootnoteText"/>
      </w:pPr>
      <w:r>
        <w:rPr>
          <w:rStyle w:val="FootnoteReference"/>
        </w:rPr>
        <w:footnoteRef/>
      </w:r>
      <w:r>
        <w:t xml:space="preserve"> </w:t>
      </w:r>
      <w:r w:rsidRPr="002049C1">
        <w:t>UNDP (2010), ‘</w:t>
      </w:r>
      <w:proofErr w:type="gramStart"/>
      <w:r w:rsidRPr="002049C1">
        <w:t>Achieving</w:t>
      </w:r>
      <w:proofErr w:type="gramEnd"/>
      <w:r w:rsidRPr="002049C1">
        <w:t xml:space="preserve"> the Millennium Development Goals with equality in Latin America and the Caribbean: Progress and Challenges, p. 345, </w:t>
      </w:r>
      <w:hyperlink r:id="rId6" w:history="1">
        <w:r w:rsidRPr="00DE3485">
          <w:rPr>
            <w:rStyle w:val="Hyperlink"/>
            <w:sz w:val="14"/>
          </w:rPr>
          <w:t>http://www.undp.org/content/dam/undp/library/MDG/english/MDG%20Regional%20Reports/LAC-Regional%20MDG%20Report%202010.pdf</w:t>
        </w:r>
      </w:hyperlink>
      <w:r w:rsidRPr="002049C1">
        <w:t>, accessed 28 April 2013.</w:t>
      </w:r>
    </w:p>
  </w:footnote>
  <w:footnote w:id="35">
    <w:p w:rsidR="00B77697" w:rsidRDefault="00B77697">
      <w:pPr>
        <w:pStyle w:val="FootnoteText"/>
      </w:pPr>
      <w:r>
        <w:rPr>
          <w:rStyle w:val="FootnoteReference"/>
        </w:rPr>
        <w:footnoteRef/>
      </w:r>
      <w:r>
        <w:t xml:space="preserve"> </w:t>
      </w:r>
      <w:r w:rsidRPr="002049C1">
        <w:t xml:space="preserve">UNDP (2013), ‘Country reports 2013’, </w:t>
      </w:r>
      <w:hyperlink r:id="rId7" w:history="1">
        <w:r w:rsidRPr="002049C1">
          <w:rPr>
            <w:color w:val="1F497D" w:themeColor="text2"/>
          </w:rPr>
          <w:t>http://hdr.undp.org/en/countries/</w:t>
        </w:r>
      </w:hyperlink>
      <w:r w:rsidRPr="002049C1">
        <w:t>, accessed 16 May 2013.</w:t>
      </w:r>
    </w:p>
  </w:footnote>
  <w:footnote w:id="36">
    <w:p w:rsidR="00B77697" w:rsidRDefault="00B77697">
      <w:pPr>
        <w:pStyle w:val="FootnoteText"/>
      </w:pPr>
      <w:r>
        <w:rPr>
          <w:rStyle w:val="FootnoteReference"/>
        </w:rPr>
        <w:footnoteRef/>
      </w:r>
      <w:r>
        <w:t xml:space="preserve"> </w:t>
      </w:r>
      <w:r w:rsidRPr="002049C1">
        <w:t>UNDP (2010), ‘Regional Human Development Report for Latin America and the Caribbean 2010’, Table A1: Latin America and the Caribbean. Human Development Index, 1980–2007</w:t>
      </w:r>
      <w:r w:rsidRPr="002049C1">
        <w:rPr>
          <w:color w:val="1F497D" w:themeColor="text2"/>
        </w:rPr>
        <w:t xml:space="preserve"> </w:t>
      </w:r>
      <w:hyperlink r:id="rId8" w:history="1">
        <w:r w:rsidRPr="002049C1">
          <w:rPr>
            <w:color w:val="1F497D" w:themeColor="text2"/>
          </w:rPr>
          <w:t>http://hdr.undp.org/996B8B65-6E4C-4247-A3CA-DFB791B7257F/FinalDownload/DownloadId-6CE64897FB594608A8185E85FD2441FB/996B8B65-6E4C-4247-A3CA-DFB791B7257F/en/reports/regional/latinamericathecaribbean/idhalc_en_2010.pdf</w:t>
        </w:r>
      </w:hyperlink>
      <w:r w:rsidRPr="002049C1">
        <w:t>, accessed 17 May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Default="00B77697">
    <w:pPr>
      <w:pStyle w:val="Header"/>
    </w:pPr>
    <w:r>
      <w:rPr>
        <w:noProof/>
      </w:rPr>
      <w:drawing>
        <wp:anchor distT="0" distB="0" distL="114300" distR="114300" simplePos="0" relativeHeight="251667968" behindDoc="0" locked="0" layoutInCell="1" allowOverlap="1" wp14:anchorId="2B81E12A" wp14:editId="30A7DEBA">
          <wp:simplePos x="0" y="0"/>
          <wp:positionH relativeFrom="page">
            <wp:align>left</wp:align>
          </wp:positionH>
          <wp:positionV relativeFrom="page">
            <wp:align>top</wp:align>
          </wp:positionV>
          <wp:extent cx="7560000" cy="1440000"/>
          <wp:effectExtent l="0" t="0" r="3175"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rsidR="00B77697" w:rsidRDefault="00B7769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Default="00B77697">
    <w:pPr>
      <w:pStyle w:val="Header"/>
    </w:pPr>
    <w:r>
      <w:rPr>
        <w:noProof/>
      </w:rPr>
      <w:drawing>
        <wp:anchor distT="0" distB="0" distL="114300" distR="114300" simplePos="0" relativeHeight="251704832" behindDoc="0" locked="0" layoutInCell="1" allowOverlap="1" wp14:anchorId="6FDD876D" wp14:editId="20A1545D">
          <wp:simplePos x="0" y="0"/>
          <wp:positionH relativeFrom="page">
            <wp:align>left</wp:align>
          </wp:positionH>
          <wp:positionV relativeFrom="page">
            <wp:align>top</wp:align>
          </wp:positionV>
          <wp:extent cx="7560000" cy="1440000"/>
          <wp:effectExtent l="0" t="0" r="3175" b="8255"/>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rsidR="00B77697" w:rsidRDefault="00B7769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Default="00B776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Default="00B77697">
    <w:pPr>
      <w:pStyle w:val="Header"/>
    </w:pPr>
    <w:r>
      <w:rPr>
        <w:noProof/>
      </w:rPr>
      <w:drawing>
        <wp:anchor distT="0" distB="0" distL="114300" distR="114300" simplePos="0" relativeHeight="251676160" behindDoc="0" locked="0" layoutInCell="1" allowOverlap="1" wp14:anchorId="20CBBE4B" wp14:editId="434FF659">
          <wp:simplePos x="0" y="0"/>
          <wp:positionH relativeFrom="page">
            <wp:align>left</wp:align>
          </wp:positionH>
          <wp:positionV relativeFrom="page">
            <wp:align>top</wp:align>
          </wp:positionV>
          <wp:extent cx="7560000" cy="1890000"/>
          <wp:effectExtent l="0" t="0" r="317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Default="00B77697">
    <w:pPr>
      <w:pStyle w:val="Header"/>
    </w:pPr>
  </w:p>
  <w:p w:rsidR="00B77697" w:rsidRDefault="00B7769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Default="00B7769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Default="00B77697">
    <w:pPr>
      <w:pStyle w:val="Header"/>
    </w:pPr>
    <w:r>
      <w:rPr>
        <w:noProof/>
      </w:rPr>
      <w:drawing>
        <wp:anchor distT="0" distB="0" distL="114300" distR="114300" simplePos="0" relativeHeight="251684352" behindDoc="0" locked="0" layoutInCell="1" allowOverlap="1" wp14:anchorId="1A31ECD6" wp14:editId="085791B5">
          <wp:simplePos x="0" y="0"/>
          <wp:positionH relativeFrom="page">
            <wp:align>left</wp:align>
          </wp:positionH>
          <wp:positionV relativeFrom="page">
            <wp:align>top</wp:align>
          </wp:positionV>
          <wp:extent cx="7560000" cy="1440000"/>
          <wp:effectExtent l="0" t="0" r="3175" b="825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Default="00B77697">
    <w:pPr>
      <w:pStyle w:val="Header"/>
    </w:pPr>
  </w:p>
  <w:p w:rsidR="00B77697" w:rsidRDefault="00B7769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Default="00B7769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Default="00B77697">
    <w:pPr>
      <w:pStyle w:val="Header"/>
    </w:pPr>
  </w:p>
  <w:p w:rsidR="00B77697" w:rsidRDefault="00B7769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97" w:rsidRDefault="00B776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F64EBD"/>
    <w:multiLevelType w:val="hybridMultilevel"/>
    <w:tmpl w:val="2EDC14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5603E"/>
    <w:multiLevelType w:val="hybridMultilevel"/>
    <w:tmpl w:val="1DD609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7">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8">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1931339"/>
    <w:multiLevelType w:val="hybridMultilevel"/>
    <w:tmpl w:val="465A59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9A1D57"/>
    <w:multiLevelType w:val="hybridMultilevel"/>
    <w:tmpl w:val="465A59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8081A4D"/>
    <w:multiLevelType w:val="hybridMultilevel"/>
    <w:tmpl w:val="71A8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DD35675"/>
    <w:multiLevelType w:val="hybridMultilevel"/>
    <w:tmpl w:val="1F6CB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863F5A"/>
    <w:multiLevelType w:val="hybridMultilevel"/>
    <w:tmpl w:val="465A59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361458A"/>
    <w:multiLevelType w:val="hybridMultilevel"/>
    <w:tmpl w:val="465A59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2">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8F428F3"/>
    <w:multiLevelType w:val="hybridMultilevel"/>
    <w:tmpl w:val="BD4802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5">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4"/>
  </w:num>
  <w:num w:numId="3">
    <w:abstractNumId w:val="6"/>
  </w:num>
  <w:num w:numId="4">
    <w:abstractNumId w:val="19"/>
  </w:num>
  <w:num w:numId="5">
    <w:abstractNumId w:val="5"/>
  </w:num>
  <w:num w:numId="6">
    <w:abstractNumId w:val="18"/>
  </w:num>
  <w:num w:numId="7">
    <w:abstractNumId w:val="13"/>
  </w:num>
  <w:num w:numId="8">
    <w:abstractNumId w:val="11"/>
  </w:num>
  <w:num w:numId="9">
    <w:abstractNumId w:val="22"/>
  </w:num>
  <w:num w:numId="10">
    <w:abstractNumId w:val="3"/>
  </w:num>
  <w:num w:numId="11">
    <w:abstractNumId w:val="17"/>
  </w:num>
  <w:num w:numId="12">
    <w:abstractNumId w:val="25"/>
  </w:num>
  <w:num w:numId="13">
    <w:abstractNumId w:val="7"/>
  </w:num>
  <w:num w:numId="14">
    <w:abstractNumId w:val="26"/>
  </w:num>
  <w:num w:numId="15">
    <w:abstractNumId w:val="27"/>
  </w:num>
  <w:num w:numId="16">
    <w:abstractNumId w:val="9"/>
  </w:num>
  <w:num w:numId="17">
    <w:abstractNumId w:val="0"/>
  </w:num>
  <w:num w:numId="18">
    <w:abstractNumId w:val="1"/>
  </w:num>
  <w:num w:numId="19">
    <w:abstractNumId w:val="23"/>
  </w:num>
  <w:num w:numId="20">
    <w:abstractNumId w:val="20"/>
  </w:num>
  <w:num w:numId="21">
    <w:abstractNumId w:val="12"/>
  </w:num>
  <w:num w:numId="22">
    <w:abstractNumId w:val="16"/>
  </w:num>
  <w:num w:numId="23">
    <w:abstractNumId w:val="14"/>
  </w:num>
  <w:num w:numId="24">
    <w:abstractNumId w:val="10"/>
  </w:num>
  <w:num w:numId="25">
    <w:abstractNumId w:val="6"/>
  </w:num>
  <w:num w:numId="26">
    <w:abstractNumId w:val="6"/>
  </w:num>
  <w:num w:numId="27">
    <w:abstractNumId w:val="6"/>
  </w:num>
  <w:num w:numId="28">
    <w:abstractNumId w:val="4"/>
  </w:num>
  <w:num w:numId="29">
    <w:abstractNumId w:val="2"/>
  </w:num>
  <w:num w:numId="30">
    <w:abstractNumId w:val="2"/>
  </w:num>
  <w:num w:numId="31">
    <w:abstractNumId w:val="15"/>
  </w:num>
  <w:num w:numId="32">
    <w:abstractNumId w:val="6"/>
  </w:num>
  <w:num w:numId="33">
    <w:abstractNumId w:val="5"/>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39CF"/>
    <w:rsid w:val="000143D9"/>
    <w:rsid w:val="00015480"/>
    <w:rsid w:val="0001617D"/>
    <w:rsid w:val="00020121"/>
    <w:rsid w:val="000214CD"/>
    <w:rsid w:val="00021A9E"/>
    <w:rsid w:val="00023DBE"/>
    <w:rsid w:val="00030111"/>
    <w:rsid w:val="00031100"/>
    <w:rsid w:val="000329B3"/>
    <w:rsid w:val="000345CC"/>
    <w:rsid w:val="00035F86"/>
    <w:rsid w:val="0004242B"/>
    <w:rsid w:val="00045DF1"/>
    <w:rsid w:val="00046238"/>
    <w:rsid w:val="00046C5D"/>
    <w:rsid w:val="00050EE2"/>
    <w:rsid w:val="00051433"/>
    <w:rsid w:val="00052909"/>
    <w:rsid w:val="0005335F"/>
    <w:rsid w:val="0005495B"/>
    <w:rsid w:val="00055B21"/>
    <w:rsid w:val="00057905"/>
    <w:rsid w:val="0006781A"/>
    <w:rsid w:val="00071B95"/>
    <w:rsid w:val="000721DA"/>
    <w:rsid w:val="00073CBA"/>
    <w:rsid w:val="000745E2"/>
    <w:rsid w:val="00074761"/>
    <w:rsid w:val="000774FD"/>
    <w:rsid w:val="000779AD"/>
    <w:rsid w:val="000876E1"/>
    <w:rsid w:val="00091858"/>
    <w:rsid w:val="00093DF4"/>
    <w:rsid w:val="000961CE"/>
    <w:rsid w:val="000972C5"/>
    <w:rsid w:val="000979A0"/>
    <w:rsid w:val="000A1618"/>
    <w:rsid w:val="000A1D38"/>
    <w:rsid w:val="000A4A86"/>
    <w:rsid w:val="000A6062"/>
    <w:rsid w:val="000B047D"/>
    <w:rsid w:val="000B3121"/>
    <w:rsid w:val="000B6092"/>
    <w:rsid w:val="000C29BF"/>
    <w:rsid w:val="000C3184"/>
    <w:rsid w:val="000C5498"/>
    <w:rsid w:val="000C6080"/>
    <w:rsid w:val="000C60A8"/>
    <w:rsid w:val="000C616C"/>
    <w:rsid w:val="000C6BC9"/>
    <w:rsid w:val="000D3AD8"/>
    <w:rsid w:val="000E5C57"/>
    <w:rsid w:val="000E62F7"/>
    <w:rsid w:val="000E7297"/>
    <w:rsid w:val="000F023F"/>
    <w:rsid w:val="000F0A72"/>
    <w:rsid w:val="000F5119"/>
    <w:rsid w:val="000F57E3"/>
    <w:rsid w:val="000F5DB0"/>
    <w:rsid w:val="000F5DC7"/>
    <w:rsid w:val="000F67D3"/>
    <w:rsid w:val="00100AA2"/>
    <w:rsid w:val="001035BA"/>
    <w:rsid w:val="00106577"/>
    <w:rsid w:val="00112E97"/>
    <w:rsid w:val="00117537"/>
    <w:rsid w:val="00120403"/>
    <w:rsid w:val="00120FC7"/>
    <w:rsid w:val="00121D90"/>
    <w:rsid w:val="0013017A"/>
    <w:rsid w:val="001360E0"/>
    <w:rsid w:val="001365F3"/>
    <w:rsid w:val="001366B4"/>
    <w:rsid w:val="0013684F"/>
    <w:rsid w:val="001400BA"/>
    <w:rsid w:val="00140FB4"/>
    <w:rsid w:val="00141A30"/>
    <w:rsid w:val="00142D48"/>
    <w:rsid w:val="0014411B"/>
    <w:rsid w:val="00151874"/>
    <w:rsid w:val="00151F50"/>
    <w:rsid w:val="001522FA"/>
    <w:rsid w:val="001526EB"/>
    <w:rsid w:val="00152BCB"/>
    <w:rsid w:val="00152F7E"/>
    <w:rsid w:val="0015546A"/>
    <w:rsid w:val="00156865"/>
    <w:rsid w:val="001612CE"/>
    <w:rsid w:val="00164405"/>
    <w:rsid w:val="0016544D"/>
    <w:rsid w:val="001722AB"/>
    <w:rsid w:val="00173975"/>
    <w:rsid w:val="00173C6E"/>
    <w:rsid w:val="00180B19"/>
    <w:rsid w:val="001816D1"/>
    <w:rsid w:val="0018196F"/>
    <w:rsid w:val="001829BB"/>
    <w:rsid w:val="00185B6A"/>
    <w:rsid w:val="00192498"/>
    <w:rsid w:val="001936D7"/>
    <w:rsid w:val="00193AE0"/>
    <w:rsid w:val="00194806"/>
    <w:rsid w:val="00195E45"/>
    <w:rsid w:val="001A04E5"/>
    <w:rsid w:val="001A3D67"/>
    <w:rsid w:val="001B0B60"/>
    <w:rsid w:val="001B1A0C"/>
    <w:rsid w:val="001B2C3C"/>
    <w:rsid w:val="001B63AE"/>
    <w:rsid w:val="001B7F0F"/>
    <w:rsid w:val="001C1EA0"/>
    <w:rsid w:val="001C279E"/>
    <w:rsid w:val="001C3C93"/>
    <w:rsid w:val="001C434C"/>
    <w:rsid w:val="001C507E"/>
    <w:rsid w:val="001C6C01"/>
    <w:rsid w:val="001C700E"/>
    <w:rsid w:val="001C7117"/>
    <w:rsid w:val="001D20FC"/>
    <w:rsid w:val="001D210A"/>
    <w:rsid w:val="001E27D6"/>
    <w:rsid w:val="001E70CE"/>
    <w:rsid w:val="001F1E8F"/>
    <w:rsid w:val="001F35B6"/>
    <w:rsid w:val="001F3A42"/>
    <w:rsid w:val="001F7480"/>
    <w:rsid w:val="001F7E16"/>
    <w:rsid w:val="00201A33"/>
    <w:rsid w:val="00204536"/>
    <w:rsid w:val="002049C1"/>
    <w:rsid w:val="002052DB"/>
    <w:rsid w:val="00205E9C"/>
    <w:rsid w:val="0021043F"/>
    <w:rsid w:val="002115BD"/>
    <w:rsid w:val="00213F2E"/>
    <w:rsid w:val="00215A7C"/>
    <w:rsid w:val="00217E5E"/>
    <w:rsid w:val="00221C6B"/>
    <w:rsid w:val="00224B20"/>
    <w:rsid w:val="002305F0"/>
    <w:rsid w:val="00231D45"/>
    <w:rsid w:val="00237C4B"/>
    <w:rsid w:val="00242F2E"/>
    <w:rsid w:val="00245311"/>
    <w:rsid w:val="00246E5F"/>
    <w:rsid w:val="00247E41"/>
    <w:rsid w:val="00252B6F"/>
    <w:rsid w:val="00253419"/>
    <w:rsid w:val="00253D6F"/>
    <w:rsid w:val="00256335"/>
    <w:rsid w:val="00261123"/>
    <w:rsid w:val="00264C81"/>
    <w:rsid w:val="00264FD6"/>
    <w:rsid w:val="00273224"/>
    <w:rsid w:val="00273DFA"/>
    <w:rsid w:val="002742EB"/>
    <w:rsid w:val="00280043"/>
    <w:rsid w:val="00281D84"/>
    <w:rsid w:val="00282BF0"/>
    <w:rsid w:val="002849B4"/>
    <w:rsid w:val="002855CF"/>
    <w:rsid w:val="002864E4"/>
    <w:rsid w:val="00293200"/>
    <w:rsid w:val="002962D1"/>
    <w:rsid w:val="00296497"/>
    <w:rsid w:val="002A1935"/>
    <w:rsid w:val="002A22F7"/>
    <w:rsid w:val="002A2D21"/>
    <w:rsid w:val="002A3703"/>
    <w:rsid w:val="002A42DD"/>
    <w:rsid w:val="002A454B"/>
    <w:rsid w:val="002B1E2D"/>
    <w:rsid w:val="002B3FC5"/>
    <w:rsid w:val="002B433A"/>
    <w:rsid w:val="002B79D4"/>
    <w:rsid w:val="002C7811"/>
    <w:rsid w:val="002D01E9"/>
    <w:rsid w:val="002D02AC"/>
    <w:rsid w:val="002D4843"/>
    <w:rsid w:val="002D4B64"/>
    <w:rsid w:val="002D5DD1"/>
    <w:rsid w:val="002D6914"/>
    <w:rsid w:val="002D6A1B"/>
    <w:rsid w:val="002D716E"/>
    <w:rsid w:val="002E09B0"/>
    <w:rsid w:val="002E5311"/>
    <w:rsid w:val="002E7B31"/>
    <w:rsid w:val="002F479A"/>
    <w:rsid w:val="002F563C"/>
    <w:rsid w:val="002F5A14"/>
    <w:rsid w:val="002F737E"/>
    <w:rsid w:val="002F76A7"/>
    <w:rsid w:val="002F7A06"/>
    <w:rsid w:val="0030246A"/>
    <w:rsid w:val="00303038"/>
    <w:rsid w:val="0030450E"/>
    <w:rsid w:val="003052A0"/>
    <w:rsid w:val="00310426"/>
    <w:rsid w:val="00310B86"/>
    <w:rsid w:val="00312168"/>
    <w:rsid w:val="0031253E"/>
    <w:rsid w:val="00312CA6"/>
    <w:rsid w:val="0031403F"/>
    <w:rsid w:val="00315D13"/>
    <w:rsid w:val="003223F8"/>
    <w:rsid w:val="00322CF8"/>
    <w:rsid w:val="0032486D"/>
    <w:rsid w:val="003260C0"/>
    <w:rsid w:val="00326B5A"/>
    <w:rsid w:val="003270C0"/>
    <w:rsid w:val="00327F27"/>
    <w:rsid w:val="00331230"/>
    <w:rsid w:val="003317A1"/>
    <w:rsid w:val="003327F8"/>
    <w:rsid w:val="00340E04"/>
    <w:rsid w:val="00341177"/>
    <w:rsid w:val="00341283"/>
    <w:rsid w:val="00343AD1"/>
    <w:rsid w:val="0034515E"/>
    <w:rsid w:val="00345B8E"/>
    <w:rsid w:val="00351251"/>
    <w:rsid w:val="003519BF"/>
    <w:rsid w:val="00351ACA"/>
    <w:rsid w:val="00352AE5"/>
    <w:rsid w:val="00354354"/>
    <w:rsid w:val="00355A7A"/>
    <w:rsid w:val="00357AF7"/>
    <w:rsid w:val="00360662"/>
    <w:rsid w:val="00361D2E"/>
    <w:rsid w:val="003625FC"/>
    <w:rsid w:val="00366A57"/>
    <w:rsid w:val="00366B3A"/>
    <w:rsid w:val="00372825"/>
    <w:rsid w:val="00372E1B"/>
    <w:rsid w:val="00377C98"/>
    <w:rsid w:val="00382196"/>
    <w:rsid w:val="00382E37"/>
    <w:rsid w:val="00383294"/>
    <w:rsid w:val="003838EC"/>
    <w:rsid w:val="00384058"/>
    <w:rsid w:val="00385A47"/>
    <w:rsid w:val="0039437D"/>
    <w:rsid w:val="00395CFA"/>
    <w:rsid w:val="003A2D7B"/>
    <w:rsid w:val="003A429C"/>
    <w:rsid w:val="003A74BF"/>
    <w:rsid w:val="003B066C"/>
    <w:rsid w:val="003B4EBA"/>
    <w:rsid w:val="003B52C9"/>
    <w:rsid w:val="003B5DB6"/>
    <w:rsid w:val="003C0DCE"/>
    <w:rsid w:val="003C4686"/>
    <w:rsid w:val="003C50B2"/>
    <w:rsid w:val="003C7721"/>
    <w:rsid w:val="003D081D"/>
    <w:rsid w:val="003D147E"/>
    <w:rsid w:val="003D48BF"/>
    <w:rsid w:val="003D5246"/>
    <w:rsid w:val="003E4982"/>
    <w:rsid w:val="003E7503"/>
    <w:rsid w:val="003E7F53"/>
    <w:rsid w:val="003F0CF4"/>
    <w:rsid w:val="003F17E8"/>
    <w:rsid w:val="003F483F"/>
    <w:rsid w:val="003F4D19"/>
    <w:rsid w:val="0040192D"/>
    <w:rsid w:val="00404DA7"/>
    <w:rsid w:val="00407FA9"/>
    <w:rsid w:val="00410289"/>
    <w:rsid w:val="00413539"/>
    <w:rsid w:val="00414E27"/>
    <w:rsid w:val="00415697"/>
    <w:rsid w:val="00415A92"/>
    <w:rsid w:val="00416734"/>
    <w:rsid w:val="00416F50"/>
    <w:rsid w:val="004219BA"/>
    <w:rsid w:val="004228CD"/>
    <w:rsid w:val="0042364F"/>
    <w:rsid w:val="00426354"/>
    <w:rsid w:val="00427B03"/>
    <w:rsid w:val="004322C3"/>
    <w:rsid w:val="0043430A"/>
    <w:rsid w:val="00440D23"/>
    <w:rsid w:val="004413B2"/>
    <w:rsid w:val="00443639"/>
    <w:rsid w:val="004449E9"/>
    <w:rsid w:val="00445A3B"/>
    <w:rsid w:val="0044621E"/>
    <w:rsid w:val="00446DC9"/>
    <w:rsid w:val="004470DD"/>
    <w:rsid w:val="00454834"/>
    <w:rsid w:val="00455DD6"/>
    <w:rsid w:val="00457FFC"/>
    <w:rsid w:val="00460244"/>
    <w:rsid w:val="00461B6E"/>
    <w:rsid w:val="004723A9"/>
    <w:rsid w:val="00472B4B"/>
    <w:rsid w:val="0047757F"/>
    <w:rsid w:val="00483606"/>
    <w:rsid w:val="004852B4"/>
    <w:rsid w:val="00487014"/>
    <w:rsid w:val="004952C1"/>
    <w:rsid w:val="004A16C5"/>
    <w:rsid w:val="004A3E99"/>
    <w:rsid w:val="004A4083"/>
    <w:rsid w:val="004A7400"/>
    <w:rsid w:val="004B3606"/>
    <w:rsid w:val="004B5073"/>
    <w:rsid w:val="004B5679"/>
    <w:rsid w:val="004B719F"/>
    <w:rsid w:val="004C0608"/>
    <w:rsid w:val="004C0B06"/>
    <w:rsid w:val="004C2015"/>
    <w:rsid w:val="004C48C3"/>
    <w:rsid w:val="004C4A3E"/>
    <w:rsid w:val="004C660D"/>
    <w:rsid w:val="004C701C"/>
    <w:rsid w:val="004D1529"/>
    <w:rsid w:val="004D19CE"/>
    <w:rsid w:val="004D4522"/>
    <w:rsid w:val="004D5A18"/>
    <w:rsid w:val="004E62F6"/>
    <w:rsid w:val="004E6328"/>
    <w:rsid w:val="004E6400"/>
    <w:rsid w:val="004E6E33"/>
    <w:rsid w:val="004E7CE7"/>
    <w:rsid w:val="004F521E"/>
    <w:rsid w:val="004F76B0"/>
    <w:rsid w:val="00502BFF"/>
    <w:rsid w:val="00503974"/>
    <w:rsid w:val="00503A50"/>
    <w:rsid w:val="0050529F"/>
    <w:rsid w:val="0051443E"/>
    <w:rsid w:val="005145D6"/>
    <w:rsid w:val="00514B5E"/>
    <w:rsid w:val="0051510F"/>
    <w:rsid w:val="005164F8"/>
    <w:rsid w:val="00516AB9"/>
    <w:rsid w:val="005209D2"/>
    <w:rsid w:val="0052286C"/>
    <w:rsid w:val="00522AB9"/>
    <w:rsid w:val="00525485"/>
    <w:rsid w:val="005265B9"/>
    <w:rsid w:val="00531D53"/>
    <w:rsid w:val="00532870"/>
    <w:rsid w:val="00533533"/>
    <w:rsid w:val="00535E24"/>
    <w:rsid w:val="00536CA4"/>
    <w:rsid w:val="005414CE"/>
    <w:rsid w:val="005417E6"/>
    <w:rsid w:val="005423C5"/>
    <w:rsid w:val="0054250C"/>
    <w:rsid w:val="00543CD0"/>
    <w:rsid w:val="005440F6"/>
    <w:rsid w:val="0054557A"/>
    <w:rsid w:val="00545B85"/>
    <w:rsid w:val="005469E1"/>
    <w:rsid w:val="00546DD6"/>
    <w:rsid w:val="005537C2"/>
    <w:rsid w:val="0055442A"/>
    <w:rsid w:val="00555837"/>
    <w:rsid w:val="00556366"/>
    <w:rsid w:val="00557319"/>
    <w:rsid w:val="0055771D"/>
    <w:rsid w:val="00557953"/>
    <w:rsid w:val="00557B69"/>
    <w:rsid w:val="0056051B"/>
    <w:rsid w:val="00563B77"/>
    <w:rsid w:val="005646C7"/>
    <w:rsid w:val="005670D4"/>
    <w:rsid w:val="00567926"/>
    <w:rsid w:val="00567FCF"/>
    <w:rsid w:val="0057010C"/>
    <w:rsid w:val="00575295"/>
    <w:rsid w:val="005779C7"/>
    <w:rsid w:val="00582B77"/>
    <w:rsid w:val="005845CB"/>
    <w:rsid w:val="0058498A"/>
    <w:rsid w:val="0058575D"/>
    <w:rsid w:val="00586350"/>
    <w:rsid w:val="005869EB"/>
    <w:rsid w:val="00593506"/>
    <w:rsid w:val="00595B43"/>
    <w:rsid w:val="005A18C5"/>
    <w:rsid w:val="005A3F88"/>
    <w:rsid w:val="005B40C3"/>
    <w:rsid w:val="005B7C71"/>
    <w:rsid w:val="005C15D7"/>
    <w:rsid w:val="005C3538"/>
    <w:rsid w:val="005C4A6B"/>
    <w:rsid w:val="005C56B8"/>
    <w:rsid w:val="005D0BA2"/>
    <w:rsid w:val="005D2A59"/>
    <w:rsid w:val="005D5F71"/>
    <w:rsid w:val="005E5306"/>
    <w:rsid w:val="005F0C00"/>
    <w:rsid w:val="005F150E"/>
    <w:rsid w:val="005F33F2"/>
    <w:rsid w:val="005F37B6"/>
    <w:rsid w:val="005F5958"/>
    <w:rsid w:val="00605CB4"/>
    <w:rsid w:val="0061579E"/>
    <w:rsid w:val="006157B8"/>
    <w:rsid w:val="00615D78"/>
    <w:rsid w:val="00616FBF"/>
    <w:rsid w:val="00617F30"/>
    <w:rsid w:val="00621748"/>
    <w:rsid w:val="0062271C"/>
    <w:rsid w:val="0062489E"/>
    <w:rsid w:val="0062630A"/>
    <w:rsid w:val="006267EA"/>
    <w:rsid w:val="00634ACB"/>
    <w:rsid w:val="00634CDA"/>
    <w:rsid w:val="00636665"/>
    <w:rsid w:val="0063718E"/>
    <w:rsid w:val="00637501"/>
    <w:rsid w:val="0063798D"/>
    <w:rsid w:val="0064205D"/>
    <w:rsid w:val="00642767"/>
    <w:rsid w:val="00642809"/>
    <w:rsid w:val="00642E50"/>
    <w:rsid w:val="00643FBC"/>
    <w:rsid w:val="00646049"/>
    <w:rsid w:val="0064621D"/>
    <w:rsid w:val="00647075"/>
    <w:rsid w:val="00652902"/>
    <w:rsid w:val="00655651"/>
    <w:rsid w:val="006558CC"/>
    <w:rsid w:val="00657108"/>
    <w:rsid w:val="00663909"/>
    <w:rsid w:val="006656FB"/>
    <w:rsid w:val="0066672C"/>
    <w:rsid w:val="006671BC"/>
    <w:rsid w:val="006722EF"/>
    <w:rsid w:val="006729EC"/>
    <w:rsid w:val="006742BA"/>
    <w:rsid w:val="00674734"/>
    <w:rsid w:val="00680679"/>
    <w:rsid w:val="00681103"/>
    <w:rsid w:val="00683FFB"/>
    <w:rsid w:val="00685718"/>
    <w:rsid w:val="006864B0"/>
    <w:rsid w:val="00686725"/>
    <w:rsid w:val="00695279"/>
    <w:rsid w:val="0069712C"/>
    <w:rsid w:val="006A0DBA"/>
    <w:rsid w:val="006A7E5F"/>
    <w:rsid w:val="006B3069"/>
    <w:rsid w:val="006B7D6D"/>
    <w:rsid w:val="006C3954"/>
    <w:rsid w:val="006C6800"/>
    <w:rsid w:val="006C6FD5"/>
    <w:rsid w:val="006C761D"/>
    <w:rsid w:val="006D2E37"/>
    <w:rsid w:val="006D319D"/>
    <w:rsid w:val="006E6E25"/>
    <w:rsid w:val="006E7912"/>
    <w:rsid w:val="006E7E9F"/>
    <w:rsid w:val="006E7FA8"/>
    <w:rsid w:val="006F302E"/>
    <w:rsid w:val="006F4623"/>
    <w:rsid w:val="006F4B40"/>
    <w:rsid w:val="00701B5B"/>
    <w:rsid w:val="00701D7C"/>
    <w:rsid w:val="00701FEA"/>
    <w:rsid w:val="00702C0E"/>
    <w:rsid w:val="00706DE1"/>
    <w:rsid w:val="00707B67"/>
    <w:rsid w:val="007110C9"/>
    <w:rsid w:val="00713DBA"/>
    <w:rsid w:val="0071461A"/>
    <w:rsid w:val="00714BA3"/>
    <w:rsid w:val="00715ED9"/>
    <w:rsid w:val="00716E93"/>
    <w:rsid w:val="00721098"/>
    <w:rsid w:val="00722BB6"/>
    <w:rsid w:val="007241DC"/>
    <w:rsid w:val="00724A8B"/>
    <w:rsid w:val="00725C05"/>
    <w:rsid w:val="00726826"/>
    <w:rsid w:val="0072758F"/>
    <w:rsid w:val="00731558"/>
    <w:rsid w:val="0073330A"/>
    <w:rsid w:val="00733AC5"/>
    <w:rsid w:val="0073642A"/>
    <w:rsid w:val="00736A28"/>
    <w:rsid w:val="007370D3"/>
    <w:rsid w:val="00737391"/>
    <w:rsid w:val="0073761D"/>
    <w:rsid w:val="00745088"/>
    <w:rsid w:val="0074759B"/>
    <w:rsid w:val="00750E77"/>
    <w:rsid w:val="00751835"/>
    <w:rsid w:val="0076021E"/>
    <w:rsid w:val="00761235"/>
    <w:rsid w:val="00766838"/>
    <w:rsid w:val="00766BCF"/>
    <w:rsid w:val="00767F39"/>
    <w:rsid w:val="007726E1"/>
    <w:rsid w:val="00774F4B"/>
    <w:rsid w:val="00777A33"/>
    <w:rsid w:val="00777CD7"/>
    <w:rsid w:val="00784F8C"/>
    <w:rsid w:val="00786C1E"/>
    <w:rsid w:val="00787F4E"/>
    <w:rsid w:val="00790D69"/>
    <w:rsid w:val="0079256F"/>
    <w:rsid w:val="00792887"/>
    <w:rsid w:val="00792B3F"/>
    <w:rsid w:val="0079472E"/>
    <w:rsid w:val="00795F9D"/>
    <w:rsid w:val="007972D3"/>
    <w:rsid w:val="007A272D"/>
    <w:rsid w:val="007A3C6A"/>
    <w:rsid w:val="007A5821"/>
    <w:rsid w:val="007A5D06"/>
    <w:rsid w:val="007A74F6"/>
    <w:rsid w:val="007A7BB7"/>
    <w:rsid w:val="007B4B3D"/>
    <w:rsid w:val="007B51E2"/>
    <w:rsid w:val="007B578C"/>
    <w:rsid w:val="007B7B01"/>
    <w:rsid w:val="007C15F7"/>
    <w:rsid w:val="007C520C"/>
    <w:rsid w:val="007C54BC"/>
    <w:rsid w:val="007C7B3D"/>
    <w:rsid w:val="007D0B70"/>
    <w:rsid w:val="007E2A95"/>
    <w:rsid w:val="007E35F9"/>
    <w:rsid w:val="007E3D2A"/>
    <w:rsid w:val="007E6129"/>
    <w:rsid w:val="007F02D2"/>
    <w:rsid w:val="007F218F"/>
    <w:rsid w:val="007F2420"/>
    <w:rsid w:val="007F2841"/>
    <w:rsid w:val="007F3B20"/>
    <w:rsid w:val="007F4B22"/>
    <w:rsid w:val="007F7CBA"/>
    <w:rsid w:val="00800810"/>
    <w:rsid w:val="00802A66"/>
    <w:rsid w:val="00802C2D"/>
    <w:rsid w:val="0080344A"/>
    <w:rsid w:val="0080370A"/>
    <w:rsid w:val="00804EFD"/>
    <w:rsid w:val="00805A72"/>
    <w:rsid w:val="008115C4"/>
    <w:rsid w:val="00812521"/>
    <w:rsid w:val="00812D7B"/>
    <w:rsid w:val="008171DB"/>
    <w:rsid w:val="008175C4"/>
    <w:rsid w:val="00820A42"/>
    <w:rsid w:val="00821541"/>
    <w:rsid w:val="008218AE"/>
    <w:rsid w:val="00823859"/>
    <w:rsid w:val="0082492E"/>
    <w:rsid w:val="008257CE"/>
    <w:rsid w:val="00826E6B"/>
    <w:rsid w:val="00830155"/>
    <w:rsid w:val="00830647"/>
    <w:rsid w:val="00830E80"/>
    <w:rsid w:val="00834597"/>
    <w:rsid w:val="00835DE0"/>
    <w:rsid w:val="00836E92"/>
    <w:rsid w:val="00837C18"/>
    <w:rsid w:val="00842976"/>
    <w:rsid w:val="00845B5B"/>
    <w:rsid w:val="00846750"/>
    <w:rsid w:val="00846A35"/>
    <w:rsid w:val="008517C8"/>
    <w:rsid w:val="0085341F"/>
    <w:rsid w:val="00860392"/>
    <w:rsid w:val="0086050C"/>
    <w:rsid w:val="00863288"/>
    <w:rsid w:val="0086554D"/>
    <w:rsid w:val="0087101A"/>
    <w:rsid w:val="008810FA"/>
    <w:rsid w:val="008823E9"/>
    <w:rsid w:val="0088296B"/>
    <w:rsid w:val="00883882"/>
    <w:rsid w:val="00884878"/>
    <w:rsid w:val="00885B9C"/>
    <w:rsid w:val="00885C5A"/>
    <w:rsid w:val="00890302"/>
    <w:rsid w:val="00896927"/>
    <w:rsid w:val="00897E16"/>
    <w:rsid w:val="008A095A"/>
    <w:rsid w:val="008A144E"/>
    <w:rsid w:val="008A2683"/>
    <w:rsid w:val="008A2EC8"/>
    <w:rsid w:val="008B0262"/>
    <w:rsid w:val="008B0E00"/>
    <w:rsid w:val="008B1897"/>
    <w:rsid w:val="008B425D"/>
    <w:rsid w:val="008B5222"/>
    <w:rsid w:val="008B5F65"/>
    <w:rsid w:val="008C41B7"/>
    <w:rsid w:val="008D1302"/>
    <w:rsid w:val="008D17DC"/>
    <w:rsid w:val="008D2379"/>
    <w:rsid w:val="008D27EF"/>
    <w:rsid w:val="008D2DC8"/>
    <w:rsid w:val="008D34F9"/>
    <w:rsid w:val="008D745E"/>
    <w:rsid w:val="008D7DDE"/>
    <w:rsid w:val="008E118E"/>
    <w:rsid w:val="008E1DCD"/>
    <w:rsid w:val="008E2B26"/>
    <w:rsid w:val="008E326B"/>
    <w:rsid w:val="008F0546"/>
    <w:rsid w:val="008F06F2"/>
    <w:rsid w:val="008F0950"/>
    <w:rsid w:val="008F1E5B"/>
    <w:rsid w:val="008F2485"/>
    <w:rsid w:val="008F4C4B"/>
    <w:rsid w:val="008F5D80"/>
    <w:rsid w:val="00903768"/>
    <w:rsid w:val="009040E3"/>
    <w:rsid w:val="00904DE1"/>
    <w:rsid w:val="0090702D"/>
    <w:rsid w:val="00910FCD"/>
    <w:rsid w:val="0091393A"/>
    <w:rsid w:val="0091534E"/>
    <w:rsid w:val="00917881"/>
    <w:rsid w:val="00923D3D"/>
    <w:rsid w:val="00924CCB"/>
    <w:rsid w:val="00924E15"/>
    <w:rsid w:val="0092520A"/>
    <w:rsid w:val="00932F17"/>
    <w:rsid w:val="00932FAD"/>
    <w:rsid w:val="009445F1"/>
    <w:rsid w:val="0094548E"/>
    <w:rsid w:val="00945E01"/>
    <w:rsid w:val="00947451"/>
    <w:rsid w:val="00951562"/>
    <w:rsid w:val="00953755"/>
    <w:rsid w:val="00954EF3"/>
    <w:rsid w:val="00963094"/>
    <w:rsid w:val="009637C8"/>
    <w:rsid w:val="00964FCC"/>
    <w:rsid w:val="009668EF"/>
    <w:rsid w:val="009729A9"/>
    <w:rsid w:val="0097330B"/>
    <w:rsid w:val="009755DD"/>
    <w:rsid w:val="0097613F"/>
    <w:rsid w:val="0098030D"/>
    <w:rsid w:val="00981E62"/>
    <w:rsid w:val="00982592"/>
    <w:rsid w:val="009A10C9"/>
    <w:rsid w:val="009A1E07"/>
    <w:rsid w:val="009A28D2"/>
    <w:rsid w:val="009A2EB3"/>
    <w:rsid w:val="009A4D39"/>
    <w:rsid w:val="009B1632"/>
    <w:rsid w:val="009B212C"/>
    <w:rsid w:val="009B31A0"/>
    <w:rsid w:val="009B3920"/>
    <w:rsid w:val="009B3F79"/>
    <w:rsid w:val="009B5190"/>
    <w:rsid w:val="009B58D9"/>
    <w:rsid w:val="009B590E"/>
    <w:rsid w:val="009B654F"/>
    <w:rsid w:val="009B7337"/>
    <w:rsid w:val="009C15B0"/>
    <w:rsid w:val="009C16DF"/>
    <w:rsid w:val="009C4804"/>
    <w:rsid w:val="009D03F7"/>
    <w:rsid w:val="009D3524"/>
    <w:rsid w:val="009D459F"/>
    <w:rsid w:val="009D6D76"/>
    <w:rsid w:val="009E35D4"/>
    <w:rsid w:val="009E6780"/>
    <w:rsid w:val="009F1C81"/>
    <w:rsid w:val="009F2B7D"/>
    <w:rsid w:val="009F3BC3"/>
    <w:rsid w:val="009F4D99"/>
    <w:rsid w:val="009F50F0"/>
    <w:rsid w:val="009F5457"/>
    <w:rsid w:val="009F5D95"/>
    <w:rsid w:val="00A03911"/>
    <w:rsid w:val="00A05140"/>
    <w:rsid w:val="00A10DE1"/>
    <w:rsid w:val="00A175D5"/>
    <w:rsid w:val="00A207A0"/>
    <w:rsid w:val="00A211E3"/>
    <w:rsid w:val="00A22538"/>
    <w:rsid w:val="00A3077B"/>
    <w:rsid w:val="00A34039"/>
    <w:rsid w:val="00A34668"/>
    <w:rsid w:val="00A3552E"/>
    <w:rsid w:val="00A368DC"/>
    <w:rsid w:val="00A417FA"/>
    <w:rsid w:val="00A42760"/>
    <w:rsid w:val="00A443C7"/>
    <w:rsid w:val="00A503A2"/>
    <w:rsid w:val="00A5551F"/>
    <w:rsid w:val="00A56122"/>
    <w:rsid w:val="00A56B12"/>
    <w:rsid w:val="00A56F4B"/>
    <w:rsid w:val="00A57B62"/>
    <w:rsid w:val="00A60E68"/>
    <w:rsid w:val="00A61D12"/>
    <w:rsid w:val="00A63A1D"/>
    <w:rsid w:val="00A65CAA"/>
    <w:rsid w:val="00A718DC"/>
    <w:rsid w:val="00A75EE8"/>
    <w:rsid w:val="00A766FD"/>
    <w:rsid w:val="00A77CE4"/>
    <w:rsid w:val="00A820E7"/>
    <w:rsid w:val="00A8533D"/>
    <w:rsid w:val="00A860DA"/>
    <w:rsid w:val="00A937EF"/>
    <w:rsid w:val="00A94EC5"/>
    <w:rsid w:val="00A96917"/>
    <w:rsid w:val="00A97D5C"/>
    <w:rsid w:val="00AA13A8"/>
    <w:rsid w:val="00AA1CA1"/>
    <w:rsid w:val="00AA4F9F"/>
    <w:rsid w:val="00AA7A22"/>
    <w:rsid w:val="00AB3900"/>
    <w:rsid w:val="00AB6472"/>
    <w:rsid w:val="00AB7215"/>
    <w:rsid w:val="00AC068F"/>
    <w:rsid w:val="00AC56C2"/>
    <w:rsid w:val="00AC5E19"/>
    <w:rsid w:val="00AC7DE4"/>
    <w:rsid w:val="00AD078A"/>
    <w:rsid w:val="00AE0624"/>
    <w:rsid w:val="00AE10B9"/>
    <w:rsid w:val="00AE36EC"/>
    <w:rsid w:val="00AE3724"/>
    <w:rsid w:val="00AE5C52"/>
    <w:rsid w:val="00AF045F"/>
    <w:rsid w:val="00AF0FA2"/>
    <w:rsid w:val="00AF0FDD"/>
    <w:rsid w:val="00AF1273"/>
    <w:rsid w:val="00AF4CD6"/>
    <w:rsid w:val="00AF514C"/>
    <w:rsid w:val="00AF555D"/>
    <w:rsid w:val="00AF70FB"/>
    <w:rsid w:val="00AF72C1"/>
    <w:rsid w:val="00B02F33"/>
    <w:rsid w:val="00B06FDA"/>
    <w:rsid w:val="00B162FA"/>
    <w:rsid w:val="00B17A9D"/>
    <w:rsid w:val="00B21C2F"/>
    <w:rsid w:val="00B220BA"/>
    <w:rsid w:val="00B23E3B"/>
    <w:rsid w:val="00B25393"/>
    <w:rsid w:val="00B2628F"/>
    <w:rsid w:val="00B26AE5"/>
    <w:rsid w:val="00B2764E"/>
    <w:rsid w:val="00B30E77"/>
    <w:rsid w:val="00B31665"/>
    <w:rsid w:val="00B32D86"/>
    <w:rsid w:val="00B33F27"/>
    <w:rsid w:val="00B348E5"/>
    <w:rsid w:val="00B3648C"/>
    <w:rsid w:val="00B456CC"/>
    <w:rsid w:val="00B478EF"/>
    <w:rsid w:val="00B51BAD"/>
    <w:rsid w:val="00B54327"/>
    <w:rsid w:val="00B557C5"/>
    <w:rsid w:val="00B55C13"/>
    <w:rsid w:val="00B56551"/>
    <w:rsid w:val="00B57AE9"/>
    <w:rsid w:val="00B638BD"/>
    <w:rsid w:val="00B6591D"/>
    <w:rsid w:val="00B65DC3"/>
    <w:rsid w:val="00B65EB5"/>
    <w:rsid w:val="00B66EE0"/>
    <w:rsid w:val="00B72CC7"/>
    <w:rsid w:val="00B72CEC"/>
    <w:rsid w:val="00B75AD6"/>
    <w:rsid w:val="00B775EB"/>
    <w:rsid w:val="00B77697"/>
    <w:rsid w:val="00B80707"/>
    <w:rsid w:val="00B81BD1"/>
    <w:rsid w:val="00B87675"/>
    <w:rsid w:val="00B95043"/>
    <w:rsid w:val="00B95A41"/>
    <w:rsid w:val="00B96EBF"/>
    <w:rsid w:val="00BA13DA"/>
    <w:rsid w:val="00BA3026"/>
    <w:rsid w:val="00BA3EFF"/>
    <w:rsid w:val="00BA4972"/>
    <w:rsid w:val="00BA5FE7"/>
    <w:rsid w:val="00BB1614"/>
    <w:rsid w:val="00BB1C24"/>
    <w:rsid w:val="00BB391B"/>
    <w:rsid w:val="00BB423C"/>
    <w:rsid w:val="00BC6774"/>
    <w:rsid w:val="00BC6EEF"/>
    <w:rsid w:val="00BC7980"/>
    <w:rsid w:val="00BD1043"/>
    <w:rsid w:val="00BD4079"/>
    <w:rsid w:val="00BD4D43"/>
    <w:rsid w:val="00BD6990"/>
    <w:rsid w:val="00BD75E4"/>
    <w:rsid w:val="00BE0466"/>
    <w:rsid w:val="00BE0D5C"/>
    <w:rsid w:val="00BE26BF"/>
    <w:rsid w:val="00BE306E"/>
    <w:rsid w:val="00BE65E4"/>
    <w:rsid w:val="00BF0AA7"/>
    <w:rsid w:val="00BF2F97"/>
    <w:rsid w:val="00BF4FEF"/>
    <w:rsid w:val="00BF60EB"/>
    <w:rsid w:val="00BF7367"/>
    <w:rsid w:val="00C00765"/>
    <w:rsid w:val="00C06287"/>
    <w:rsid w:val="00C06CE8"/>
    <w:rsid w:val="00C13147"/>
    <w:rsid w:val="00C20D5E"/>
    <w:rsid w:val="00C23583"/>
    <w:rsid w:val="00C2638A"/>
    <w:rsid w:val="00C30028"/>
    <w:rsid w:val="00C3092B"/>
    <w:rsid w:val="00C3575E"/>
    <w:rsid w:val="00C36C67"/>
    <w:rsid w:val="00C36F48"/>
    <w:rsid w:val="00C376ED"/>
    <w:rsid w:val="00C4066A"/>
    <w:rsid w:val="00C40724"/>
    <w:rsid w:val="00C40D0E"/>
    <w:rsid w:val="00C469FC"/>
    <w:rsid w:val="00C4776C"/>
    <w:rsid w:val="00C545EB"/>
    <w:rsid w:val="00C56BAB"/>
    <w:rsid w:val="00C5759F"/>
    <w:rsid w:val="00C60D92"/>
    <w:rsid w:val="00C6100F"/>
    <w:rsid w:val="00C643AD"/>
    <w:rsid w:val="00C65930"/>
    <w:rsid w:val="00C74C5B"/>
    <w:rsid w:val="00C74D89"/>
    <w:rsid w:val="00C75AB0"/>
    <w:rsid w:val="00C75E93"/>
    <w:rsid w:val="00C82AA4"/>
    <w:rsid w:val="00C8305C"/>
    <w:rsid w:val="00C86EBB"/>
    <w:rsid w:val="00C90369"/>
    <w:rsid w:val="00C92AE4"/>
    <w:rsid w:val="00C95691"/>
    <w:rsid w:val="00C974D7"/>
    <w:rsid w:val="00CA19A3"/>
    <w:rsid w:val="00CA1ECD"/>
    <w:rsid w:val="00CA1EFC"/>
    <w:rsid w:val="00CA4C7F"/>
    <w:rsid w:val="00CA7F43"/>
    <w:rsid w:val="00CB4199"/>
    <w:rsid w:val="00CB5205"/>
    <w:rsid w:val="00CB521A"/>
    <w:rsid w:val="00CC1509"/>
    <w:rsid w:val="00CC3E73"/>
    <w:rsid w:val="00CC40D6"/>
    <w:rsid w:val="00CC70A1"/>
    <w:rsid w:val="00CD0FA4"/>
    <w:rsid w:val="00CD503B"/>
    <w:rsid w:val="00CD7FD1"/>
    <w:rsid w:val="00CE24D7"/>
    <w:rsid w:val="00CF0A4C"/>
    <w:rsid w:val="00CF5974"/>
    <w:rsid w:val="00D021A6"/>
    <w:rsid w:val="00D0608D"/>
    <w:rsid w:val="00D061C7"/>
    <w:rsid w:val="00D06E87"/>
    <w:rsid w:val="00D06EFC"/>
    <w:rsid w:val="00D07410"/>
    <w:rsid w:val="00D117ED"/>
    <w:rsid w:val="00D1197E"/>
    <w:rsid w:val="00D12146"/>
    <w:rsid w:val="00D12A5C"/>
    <w:rsid w:val="00D14B1E"/>
    <w:rsid w:val="00D1619E"/>
    <w:rsid w:val="00D20FFC"/>
    <w:rsid w:val="00D275A7"/>
    <w:rsid w:val="00D30125"/>
    <w:rsid w:val="00D30700"/>
    <w:rsid w:val="00D33DA7"/>
    <w:rsid w:val="00D407B2"/>
    <w:rsid w:val="00D42E3E"/>
    <w:rsid w:val="00D472D8"/>
    <w:rsid w:val="00D50C02"/>
    <w:rsid w:val="00D51211"/>
    <w:rsid w:val="00D513AC"/>
    <w:rsid w:val="00D5363B"/>
    <w:rsid w:val="00D56FF4"/>
    <w:rsid w:val="00D636D5"/>
    <w:rsid w:val="00D655CE"/>
    <w:rsid w:val="00D73E37"/>
    <w:rsid w:val="00D74036"/>
    <w:rsid w:val="00D76DD4"/>
    <w:rsid w:val="00D805AE"/>
    <w:rsid w:val="00D808EE"/>
    <w:rsid w:val="00D811B4"/>
    <w:rsid w:val="00D82158"/>
    <w:rsid w:val="00D833D2"/>
    <w:rsid w:val="00D8691F"/>
    <w:rsid w:val="00D90266"/>
    <w:rsid w:val="00D903FF"/>
    <w:rsid w:val="00D91DA9"/>
    <w:rsid w:val="00D93663"/>
    <w:rsid w:val="00D94097"/>
    <w:rsid w:val="00D94338"/>
    <w:rsid w:val="00D947F0"/>
    <w:rsid w:val="00DA6248"/>
    <w:rsid w:val="00DA7DA7"/>
    <w:rsid w:val="00DB0CB2"/>
    <w:rsid w:val="00DB46BC"/>
    <w:rsid w:val="00DB5F36"/>
    <w:rsid w:val="00DB6A57"/>
    <w:rsid w:val="00DB72E1"/>
    <w:rsid w:val="00DB784A"/>
    <w:rsid w:val="00DC5DEC"/>
    <w:rsid w:val="00DD3BDB"/>
    <w:rsid w:val="00DD7032"/>
    <w:rsid w:val="00DE08E5"/>
    <w:rsid w:val="00DE4C55"/>
    <w:rsid w:val="00DE55E6"/>
    <w:rsid w:val="00DF17AA"/>
    <w:rsid w:val="00DF3617"/>
    <w:rsid w:val="00DF6F30"/>
    <w:rsid w:val="00E0054E"/>
    <w:rsid w:val="00E02450"/>
    <w:rsid w:val="00E04482"/>
    <w:rsid w:val="00E06978"/>
    <w:rsid w:val="00E07968"/>
    <w:rsid w:val="00E12409"/>
    <w:rsid w:val="00E12481"/>
    <w:rsid w:val="00E2267F"/>
    <w:rsid w:val="00E231D4"/>
    <w:rsid w:val="00E27C9F"/>
    <w:rsid w:val="00E30986"/>
    <w:rsid w:val="00E37853"/>
    <w:rsid w:val="00E42885"/>
    <w:rsid w:val="00E45D93"/>
    <w:rsid w:val="00E45DBB"/>
    <w:rsid w:val="00E46129"/>
    <w:rsid w:val="00E463EF"/>
    <w:rsid w:val="00E51704"/>
    <w:rsid w:val="00E52759"/>
    <w:rsid w:val="00E56013"/>
    <w:rsid w:val="00E56811"/>
    <w:rsid w:val="00E6139F"/>
    <w:rsid w:val="00E61E1E"/>
    <w:rsid w:val="00E62086"/>
    <w:rsid w:val="00E62387"/>
    <w:rsid w:val="00E64B3B"/>
    <w:rsid w:val="00E660B5"/>
    <w:rsid w:val="00E70CCD"/>
    <w:rsid w:val="00E71156"/>
    <w:rsid w:val="00E71A05"/>
    <w:rsid w:val="00E75EF6"/>
    <w:rsid w:val="00E83F6E"/>
    <w:rsid w:val="00E840A1"/>
    <w:rsid w:val="00E85D46"/>
    <w:rsid w:val="00E90B9D"/>
    <w:rsid w:val="00E923F1"/>
    <w:rsid w:val="00E924C1"/>
    <w:rsid w:val="00E9433F"/>
    <w:rsid w:val="00E959FC"/>
    <w:rsid w:val="00E96C84"/>
    <w:rsid w:val="00EA3F1B"/>
    <w:rsid w:val="00EA5F09"/>
    <w:rsid w:val="00EA6882"/>
    <w:rsid w:val="00EA6CA1"/>
    <w:rsid w:val="00EA72BB"/>
    <w:rsid w:val="00EB2DB5"/>
    <w:rsid w:val="00EB3981"/>
    <w:rsid w:val="00EB3D8A"/>
    <w:rsid w:val="00EB462E"/>
    <w:rsid w:val="00EB4AF9"/>
    <w:rsid w:val="00EB5571"/>
    <w:rsid w:val="00EB607F"/>
    <w:rsid w:val="00EB696F"/>
    <w:rsid w:val="00EB711D"/>
    <w:rsid w:val="00EC4623"/>
    <w:rsid w:val="00EC467F"/>
    <w:rsid w:val="00EC5A24"/>
    <w:rsid w:val="00EC6638"/>
    <w:rsid w:val="00EC7842"/>
    <w:rsid w:val="00ED2536"/>
    <w:rsid w:val="00ED37DC"/>
    <w:rsid w:val="00EE0E84"/>
    <w:rsid w:val="00EE308D"/>
    <w:rsid w:val="00EE44C9"/>
    <w:rsid w:val="00EF1C09"/>
    <w:rsid w:val="00EF2769"/>
    <w:rsid w:val="00EF2F40"/>
    <w:rsid w:val="00EF4DF3"/>
    <w:rsid w:val="00EF5470"/>
    <w:rsid w:val="00F01DA5"/>
    <w:rsid w:val="00F0799D"/>
    <w:rsid w:val="00F209D8"/>
    <w:rsid w:val="00F20D15"/>
    <w:rsid w:val="00F23829"/>
    <w:rsid w:val="00F23C4D"/>
    <w:rsid w:val="00F25290"/>
    <w:rsid w:val="00F2632A"/>
    <w:rsid w:val="00F27ED1"/>
    <w:rsid w:val="00F34361"/>
    <w:rsid w:val="00F41BB1"/>
    <w:rsid w:val="00F44352"/>
    <w:rsid w:val="00F46297"/>
    <w:rsid w:val="00F50D37"/>
    <w:rsid w:val="00F5172B"/>
    <w:rsid w:val="00F52496"/>
    <w:rsid w:val="00F53655"/>
    <w:rsid w:val="00F53F4B"/>
    <w:rsid w:val="00F6071E"/>
    <w:rsid w:val="00F62ED0"/>
    <w:rsid w:val="00F65284"/>
    <w:rsid w:val="00F66885"/>
    <w:rsid w:val="00F6719B"/>
    <w:rsid w:val="00F711FF"/>
    <w:rsid w:val="00F71512"/>
    <w:rsid w:val="00F7319A"/>
    <w:rsid w:val="00F73B72"/>
    <w:rsid w:val="00F74FA5"/>
    <w:rsid w:val="00F75E3D"/>
    <w:rsid w:val="00F77E6A"/>
    <w:rsid w:val="00F81D93"/>
    <w:rsid w:val="00F845BE"/>
    <w:rsid w:val="00F85602"/>
    <w:rsid w:val="00F856D3"/>
    <w:rsid w:val="00F86C62"/>
    <w:rsid w:val="00F93164"/>
    <w:rsid w:val="00F940A3"/>
    <w:rsid w:val="00F9413F"/>
    <w:rsid w:val="00F94D21"/>
    <w:rsid w:val="00F95575"/>
    <w:rsid w:val="00FA11D0"/>
    <w:rsid w:val="00FA165A"/>
    <w:rsid w:val="00FA406D"/>
    <w:rsid w:val="00FA4570"/>
    <w:rsid w:val="00FA4722"/>
    <w:rsid w:val="00FB0689"/>
    <w:rsid w:val="00FB0E22"/>
    <w:rsid w:val="00FB3D58"/>
    <w:rsid w:val="00FB4347"/>
    <w:rsid w:val="00FB7D40"/>
    <w:rsid w:val="00FC00C1"/>
    <w:rsid w:val="00FC0E7D"/>
    <w:rsid w:val="00FC19A6"/>
    <w:rsid w:val="00FC268A"/>
    <w:rsid w:val="00FC335C"/>
    <w:rsid w:val="00FC3C87"/>
    <w:rsid w:val="00FC4765"/>
    <w:rsid w:val="00FC4B07"/>
    <w:rsid w:val="00FC726F"/>
    <w:rsid w:val="00FD3C04"/>
    <w:rsid w:val="00FE1536"/>
    <w:rsid w:val="00FE1D31"/>
    <w:rsid w:val="00FE25EE"/>
    <w:rsid w:val="00FE4141"/>
    <w:rsid w:val="00FE4491"/>
    <w:rsid w:val="00FF1E42"/>
    <w:rsid w:val="00FF2D07"/>
    <w:rsid w:val="00FF4495"/>
    <w:rsid w:val="00FF6A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A1"/>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D30700"/>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652902"/>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652902"/>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uiPriority w:val="99"/>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locked/>
    <w:rsid w:val="001612C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nhideWhenUsed/>
    <w:qFormat/>
    <w:rsid w:val="00FC726F"/>
    <w:pPr>
      <w:spacing w:after="0"/>
      <w:contextualSpacing/>
    </w:pPr>
    <w:rPr>
      <w:sz w:val="16"/>
      <w:szCs w:val="20"/>
    </w:rPr>
  </w:style>
  <w:style w:type="character" w:customStyle="1" w:styleId="FootnoteTextChar">
    <w:name w:val="Footnote Text Char"/>
    <w:basedOn w:val="DefaultParagraphFont"/>
    <w:link w:val="FootnoteText"/>
    <w:rsid w:val="00FC726F"/>
    <w:rPr>
      <w:rFonts w:ascii="Times New Roman" w:eastAsia="Times New Roman" w:hAnsi="Times New Roman" w:cs="Times New Roman"/>
      <w:sz w:val="16"/>
      <w:szCs w:val="20"/>
    </w:rPr>
  </w:style>
  <w:style w:type="character" w:styleId="FootnoteReference">
    <w:name w:val="footnote reference"/>
    <w:semiHidden/>
    <w:rsid w:val="00F77E6A"/>
    <w:rPr>
      <w:rFonts w:ascii="Times New Roman" w:hAnsi="Times New Roman"/>
      <w:w w:val="100"/>
      <w:position w:val="6"/>
      <w:sz w:val="16"/>
      <w:szCs w:val="12"/>
      <w:vertAlign w:val="baseline"/>
    </w:rPr>
  </w:style>
  <w:style w:type="paragraph" w:customStyle="1" w:styleId="CharChar">
    <w:name w:val="Char Char"/>
    <w:basedOn w:val="Normal"/>
    <w:semiHidden/>
    <w:rsid w:val="00281D84"/>
    <w:pPr>
      <w:spacing w:before="180" w:line="280" w:lineRule="atLeast"/>
    </w:pPr>
    <w:rPr>
      <w:rFonts w:ascii="Arial" w:eastAsia="Times New Roman" w:hAnsi="Arial"/>
      <w:sz w:val="22"/>
      <w:szCs w:val="20"/>
      <w:lang w:eastAsia="en-US"/>
    </w:rPr>
  </w:style>
  <w:style w:type="character" w:styleId="PlaceholderText">
    <w:name w:val="Placeholder Text"/>
    <w:basedOn w:val="DefaultParagraphFont"/>
    <w:uiPriority w:val="99"/>
    <w:semiHidden/>
    <w:rsid w:val="00634CD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A1"/>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D30700"/>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652902"/>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652902"/>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uiPriority w:val="99"/>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locked/>
    <w:rsid w:val="001612C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nhideWhenUsed/>
    <w:qFormat/>
    <w:rsid w:val="00FC726F"/>
    <w:pPr>
      <w:spacing w:after="0"/>
      <w:contextualSpacing/>
    </w:pPr>
    <w:rPr>
      <w:sz w:val="16"/>
      <w:szCs w:val="20"/>
    </w:rPr>
  </w:style>
  <w:style w:type="character" w:customStyle="1" w:styleId="FootnoteTextChar">
    <w:name w:val="Footnote Text Char"/>
    <w:basedOn w:val="DefaultParagraphFont"/>
    <w:link w:val="FootnoteText"/>
    <w:rsid w:val="00FC726F"/>
    <w:rPr>
      <w:rFonts w:ascii="Times New Roman" w:eastAsia="Times New Roman" w:hAnsi="Times New Roman" w:cs="Times New Roman"/>
      <w:sz w:val="16"/>
      <w:szCs w:val="20"/>
    </w:rPr>
  </w:style>
  <w:style w:type="character" w:styleId="FootnoteReference">
    <w:name w:val="footnote reference"/>
    <w:semiHidden/>
    <w:rsid w:val="00F77E6A"/>
    <w:rPr>
      <w:rFonts w:ascii="Times New Roman" w:hAnsi="Times New Roman"/>
      <w:w w:val="100"/>
      <w:position w:val="6"/>
      <w:sz w:val="16"/>
      <w:szCs w:val="12"/>
      <w:vertAlign w:val="baseline"/>
    </w:rPr>
  </w:style>
  <w:style w:type="paragraph" w:customStyle="1" w:styleId="CharChar">
    <w:name w:val="Char Char"/>
    <w:basedOn w:val="Normal"/>
    <w:semiHidden/>
    <w:rsid w:val="00281D84"/>
    <w:pPr>
      <w:spacing w:before="180" w:line="280" w:lineRule="atLeast"/>
    </w:pPr>
    <w:rPr>
      <w:rFonts w:ascii="Arial" w:eastAsia="Times New Roman" w:hAnsi="Arial"/>
      <w:sz w:val="22"/>
      <w:szCs w:val="20"/>
      <w:lang w:eastAsia="en-US"/>
    </w:rPr>
  </w:style>
  <w:style w:type="character" w:styleId="PlaceholderText">
    <w:name w:val="Placeholder Text"/>
    <w:basedOn w:val="DefaultParagraphFont"/>
    <w:uiPriority w:val="99"/>
    <w:semiHidden/>
    <w:rsid w:val="00634C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900362843">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customXml" Target="../customXml/item3.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10.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1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hdr.undp.org/996B8B65-6E4C-4247-A3CA-DFB791B7257F/FinalDownload/DownloadId-6CE64897FB594608A8185E85FD2441FB/996B8B65-6E4C-4247-A3CA-DFB791B7257F/en/reports/regional/latinamericathecaribbean/idhalc_en_2010.pdf" TargetMode="External"/><Relationship Id="rId3" Type="http://schemas.openxmlformats.org/officeDocument/2006/relationships/hyperlink" Target="http://data.worldbank.org/indicator/SI.POV.GINI" TargetMode="External"/><Relationship Id="rId7" Type="http://schemas.openxmlformats.org/officeDocument/2006/relationships/hyperlink" Target="http://hdr.undp.org/en/countries/" TargetMode="External"/><Relationship Id="rId2" Type="http://schemas.openxmlformats.org/officeDocument/2006/relationships/hyperlink" Target="http://websie.cepal.org/anuario_estadistico/anuario_2012/en/contents_en.asp" TargetMode="External"/><Relationship Id="rId1" Type="http://schemas.openxmlformats.org/officeDocument/2006/relationships/hyperlink" Target="http://data.worldbank.org/data-catalog/world-development-indicators,%20accessed%20March%2021" TargetMode="External"/><Relationship Id="rId6" Type="http://schemas.openxmlformats.org/officeDocument/2006/relationships/hyperlink" Target="http://www.undp.org/content/dam/undp/library/MDG/english/MDG%20Regional%20Reports/LAC-Regional%20MDG%20Report%202010.pdf" TargetMode="External"/><Relationship Id="rId5" Type="http://schemas.openxmlformats.org/officeDocument/2006/relationships/hyperlink" Target="http://www.undp.org/content/dam/undp/library/MDG/english/MDG%20Regional%20Reports/LAC-Regional%20MDG%20Report%202010.pdf" TargetMode="External"/><Relationship Id="rId4" Type="http://schemas.openxmlformats.org/officeDocument/2006/relationships/hyperlink" Target="http://websie.cepal.org/anuario_estadistico/anuario_2012/en/contents_en.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651FC-5EF6-4DDC-AD0E-5665EFDC5F53}"/>
</file>

<file path=customXml/itemProps2.xml><?xml version="1.0" encoding="utf-8"?>
<ds:datastoreItem xmlns:ds="http://schemas.openxmlformats.org/officeDocument/2006/customXml" ds:itemID="{37BCDF11-077E-4D48-B266-0674EA050A28}"/>
</file>

<file path=customXml/itemProps3.xml><?xml version="1.0" encoding="utf-8"?>
<ds:datastoreItem xmlns:ds="http://schemas.openxmlformats.org/officeDocument/2006/customXml" ds:itemID="{EB9BBFB8-2A26-41B5-BB47-8AFF914F3B6C}"/>
</file>

<file path=customXml/itemProps4.xml><?xml version="1.0" encoding="utf-8"?>
<ds:datastoreItem xmlns:ds="http://schemas.openxmlformats.org/officeDocument/2006/customXml" ds:itemID="{BAD8AA68-5635-4809-8810-D64C66EFECAA}"/>
</file>

<file path=docProps/app.xml><?xml version="1.0" encoding="utf-8"?>
<Properties xmlns="http://schemas.openxmlformats.org/officeDocument/2006/extended-properties" xmlns:vt="http://schemas.openxmlformats.org/officeDocument/2006/docPropsVTypes">
  <Template>Normal.dotm</Template>
  <TotalTime>0</TotalTime>
  <Pages>18</Pages>
  <Words>6244</Words>
  <Characters>35594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2013-12-05T05:27:00Z</dcterms:created>
  <dcterms:modified xsi:type="dcterms:W3CDTF">2014-01-29T05:29:00Z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315500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