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970A8" w14:textId="4A702354" w:rsidR="00993138" w:rsidRDefault="00ED06CB" w:rsidP="006C72C1">
      <w:pPr>
        <w:pStyle w:val="Title"/>
        <w:rPr>
          <w:color w:val="FFFFFF"/>
        </w:rPr>
      </w:pPr>
      <w:bookmarkStart w:id="0" w:name="_GoBack"/>
      <w:bookmarkEnd w:id="0"/>
      <w:r>
        <w:rPr>
          <w:noProof/>
          <w:color w:val="FFFFFF"/>
        </w:rPr>
        <w:drawing>
          <wp:anchor distT="0" distB="0" distL="114300" distR="114300" simplePos="0" relativeHeight="251658752" behindDoc="1" locked="0" layoutInCell="1" allowOverlap="1" wp14:anchorId="2A497128" wp14:editId="2A497129">
            <wp:simplePos x="0" y="0"/>
            <wp:positionH relativeFrom="page">
              <wp:posOffset>0</wp:posOffset>
            </wp:positionH>
            <wp:positionV relativeFrom="page">
              <wp:posOffset>0</wp:posOffset>
            </wp:positionV>
            <wp:extent cx="7560310" cy="10694035"/>
            <wp:effectExtent l="0" t="0" r="2540" b="0"/>
            <wp:wrapNone/>
            <wp:docPr id="9" name="Picture 9" descr="AusAID_repor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AID_report_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r w:rsidR="00E640A2">
        <w:rPr>
          <w:color w:val="FFFFFF"/>
        </w:rPr>
        <w:t>Latin America</w:t>
      </w:r>
      <w:r w:rsidR="00426626">
        <w:rPr>
          <w:color w:val="FFFFFF"/>
        </w:rPr>
        <w:t xml:space="preserve"> Regional </w:t>
      </w:r>
      <w:r w:rsidR="00993138">
        <w:rPr>
          <w:color w:val="FFFFFF"/>
        </w:rPr>
        <w:t>Strategy</w:t>
      </w:r>
    </w:p>
    <w:p w14:paraId="1B07C7BC" w14:textId="2CF766C9" w:rsidR="00E640A2" w:rsidRPr="00427297" w:rsidRDefault="003456AC" w:rsidP="006C72C1">
      <w:pPr>
        <w:ind w:left="2381"/>
        <w:rPr>
          <w:color w:val="FFFFFF" w:themeColor="background1"/>
          <w:sz w:val="40"/>
          <w:szCs w:val="40"/>
        </w:rPr>
      </w:pPr>
      <w:r>
        <w:rPr>
          <w:color w:val="FFFFFF" w:themeColor="background1"/>
          <w:sz w:val="40"/>
          <w:szCs w:val="40"/>
        </w:rPr>
        <w:t>May 2013</w:t>
      </w:r>
    </w:p>
    <w:p w14:paraId="2A4970A9" w14:textId="77777777" w:rsidR="00A960E9" w:rsidRPr="00953A8D" w:rsidRDefault="00A960E9" w:rsidP="00A960E9">
      <w:pPr>
        <w:pStyle w:val="Date"/>
        <w:spacing w:before="0" w:after="0" w:line="14" w:lineRule="exact"/>
      </w:pPr>
    </w:p>
    <w:p w14:paraId="2A4970AA" w14:textId="77777777" w:rsidR="00A960E9" w:rsidRDefault="00A960E9" w:rsidP="00A960E9">
      <w:pPr>
        <w:pStyle w:val="Title"/>
        <w:sectPr w:rsidR="00A960E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2381" w:right="2268" w:bottom="851" w:left="1701" w:header="851" w:footer="340" w:gutter="0"/>
          <w:cols w:space="720"/>
        </w:sectPr>
      </w:pPr>
    </w:p>
    <w:p w14:paraId="2EC55741" w14:textId="6130A887" w:rsidR="003F6C1F" w:rsidRPr="003F6C1F" w:rsidRDefault="00ED06CB" w:rsidP="003F6C1F">
      <w:pPr>
        <w:pStyle w:val="BoxText"/>
        <w:pageBreakBefore/>
        <w:spacing w:before="300"/>
        <w:ind w:right="1134"/>
      </w:pPr>
      <w:r>
        <w:rPr>
          <w:noProof/>
        </w:rPr>
        <w:lastRenderedPageBreak/>
        <w:drawing>
          <wp:anchor distT="0" distB="0" distL="114300" distR="114300" simplePos="0" relativeHeight="251654656" behindDoc="1" locked="0" layoutInCell="1" allowOverlap="1" wp14:anchorId="2A49712A" wp14:editId="2A49712B">
            <wp:simplePos x="0" y="0"/>
            <wp:positionH relativeFrom="page">
              <wp:posOffset>-92710</wp:posOffset>
            </wp:positionH>
            <wp:positionV relativeFrom="page">
              <wp:posOffset>1169035</wp:posOffset>
            </wp:positionV>
            <wp:extent cx="7658100" cy="1585595"/>
            <wp:effectExtent l="0" t="0" r="0" b="0"/>
            <wp:wrapSquare wrapText="bothSides"/>
            <wp:docPr id="4" name="Picture 4"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AID_report_D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58100" cy="1585595"/>
                    </a:xfrm>
                    <a:prstGeom prst="rect">
                      <a:avLst/>
                    </a:prstGeom>
                    <a:noFill/>
                  </pic:spPr>
                </pic:pic>
              </a:graphicData>
            </a:graphic>
            <wp14:sizeRelH relativeFrom="page">
              <wp14:pctWidth>0</wp14:pctWidth>
            </wp14:sizeRelH>
            <wp14:sizeRelV relativeFrom="page">
              <wp14:pctHeight>0</wp14:pctHeight>
            </wp14:sizeRelV>
          </wp:anchor>
        </w:drawing>
      </w:r>
      <w:r w:rsidR="003F6C1F" w:rsidRPr="003F6C1F">
        <w:t>With the exception of the Commonwealth Coat of Arms and where otherwise noted, all material presented in this document is provided under a Creative Commons Attribution 3.0 Australia (</w:t>
      </w:r>
      <w:hyperlink r:id="rId17" w:history="1">
        <w:r w:rsidR="003F6C1F" w:rsidRPr="003F6C1F">
          <w:t>http://creativecommons.org/licenses/by/3.0/au/</w:t>
        </w:r>
      </w:hyperlink>
      <w:r w:rsidR="003F6C1F" w:rsidRPr="003F6C1F">
        <w:t>) licence. The details of the relevant licence conditions are available on the Creative Commons website (accessible using the links provided) as is the full legal code for the CC BY 3.0 AU licence (</w:t>
      </w:r>
      <w:hyperlink r:id="rId18" w:history="1">
        <w:r w:rsidR="003F6C1F" w:rsidRPr="003F6C1F">
          <w:t>http://creativecommons.org/licenses/by/3.0/au/legalcode</w:t>
        </w:r>
      </w:hyperlink>
      <w:r w:rsidR="003F6C1F" w:rsidRPr="003F6C1F">
        <w:t>). The document must be attributed as AusAID (title, date of publication, new registration number).</w:t>
      </w:r>
    </w:p>
    <w:p w14:paraId="2EE2FBC7" w14:textId="77777777" w:rsidR="003F6C1F" w:rsidRPr="00737052" w:rsidRDefault="003F6C1F" w:rsidP="00A960E9">
      <w:pPr>
        <w:pStyle w:val="BoxText"/>
        <w:ind w:right="1134"/>
      </w:pPr>
    </w:p>
    <w:p w14:paraId="2A4970AE" w14:textId="775CBB04" w:rsidR="00A960E9" w:rsidRPr="00CF0CE7" w:rsidRDefault="00DF11CC" w:rsidP="00A960E9">
      <w:pPr>
        <w:pStyle w:val="BoxText"/>
        <w:spacing w:before="400"/>
        <w:ind w:right="1134"/>
      </w:pPr>
      <w:r w:rsidRPr="00CF0CE7">
        <w:t xml:space="preserve">Published by the Australian Agency for International Development (AusAID), Canberra, </w:t>
      </w:r>
      <w:r w:rsidR="00801CD7">
        <w:t>May</w:t>
      </w:r>
      <w:r>
        <w:t xml:space="preserve"> 2013</w:t>
      </w:r>
      <w:r w:rsidRPr="00CF0CE7">
        <w:t>.</w:t>
      </w:r>
    </w:p>
    <w:p w14:paraId="2A4970AF" w14:textId="77777777" w:rsidR="00A960E9" w:rsidRPr="00F0526B" w:rsidRDefault="00A960E9" w:rsidP="00A960E9">
      <w:pPr>
        <w:pStyle w:val="BoxText"/>
        <w:ind w:right="1134"/>
      </w:pPr>
      <w:r w:rsidRPr="00F0526B">
        <w:t xml:space="preserve">This document is online at </w:t>
      </w:r>
      <w:hyperlink r:id="rId19" w:history="1">
        <w:r w:rsidRPr="00F0526B">
          <w:t>www.ausaid.gov.au/publications</w:t>
        </w:r>
      </w:hyperlink>
    </w:p>
    <w:p w14:paraId="56BA4F8D" w14:textId="77777777" w:rsidR="00E640A2" w:rsidRDefault="00E640A2" w:rsidP="00A960E9">
      <w:pPr>
        <w:pStyle w:val="BoxText"/>
        <w:ind w:right="2418"/>
      </w:pPr>
    </w:p>
    <w:p w14:paraId="2A4970B1" w14:textId="77777777" w:rsidR="00A960E9" w:rsidRPr="00F0526B" w:rsidRDefault="00A960E9" w:rsidP="00A960E9">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14:paraId="2A4970B2" w14:textId="77777777" w:rsidR="00A960E9" w:rsidRPr="00F0526B" w:rsidRDefault="00A960E9" w:rsidP="00A960E9">
      <w:pPr>
        <w:pStyle w:val="BoxText"/>
        <w:spacing w:after="0"/>
        <w:ind w:right="1134"/>
      </w:pPr>
      <w:r>
        <w:t>Communications Section</w:t>
      </w:r>
    </w:p>
    <w:p w14:paraId="2A4970B3" w14:textId="77777777" w:rsidR="00A960E9" w:rsidRPr="00F0526B" w:rsidRDefault="00A960E9" w:rsidP="00A960E9">
      <w:pPr>
        <w:pStyle w:val="BoxText"/>
        <w:spacing w:before="0" w:after="0"/>
        <w:ind w:right="1134"/>
      </w:pPr>
      <w:r w:rsidRPr="00F0526B">
        <w:t>AusAID</w:t>
      </w:r>
    </w:p>
    <w:p w14:paraId="2A4970B4" w14:textId="77777777" w:rsidR="00A960E9" w:rsidRPr="00F0526B" w:rsidRDefault="00A960E9" w:rsidP="00A960E9">
      <w:pPr>
        <w:pStyle w:val="BoxText"/>
        <w:spacing w:before="0" w:after="0"/>
        <w:ind w:right="1134"/>
      </w:pPr>
      <w:r w:rsidRPr="00F0526B">
        <w:t>GPO Box 887</w:t>
      </w:r>
    </w:p>
    <w:p w14:paraId="2A4970B5" w14:textId="77777777" w:rsidR="00A960E9" w:rsidRPr="00F0526B" w:rsidRDefault="00A960E9" w:rsidP="00A960E9">
      <w:pPr>
        <w:pStyle w:val="BoxText"/>
        <w:spacing w:before="0"/>
        <w:ind w:right="1134"/>
      </w:pPr>
      <w:r w:rsidRPr="00F0526B">
        <w:t>Canberra ACT 2601</w:t>
      </w:r>
    </w:p>
    <w:p w14:paraId="2A4970B6" w14:textId="010CB45E" w:rsidR="00A960E9" w:rsidRPr="00F0526B" w:rsidRDefault="00A960E9" w:rsidP="00A960E9">
      <w:pPr>
        <w:pStyle w:val="BoxText"/>
        <w:spacing w:after="0"/>
        <w:ind w:right="1134"/>
      </w:pPr>
      <w:r w:rsidRPr="00F0526B">
        <w:t>Phone</w:t>
      </w:r>
      <w:r w:rsidRPr="00F0526B">
        <w:rPr>
          <w:rFonts w:ascii="Arial Unicode MS" w:eastAsia="Arial Unicode MS" w:hAnsi="Arial Unicode MS" w:cs="Arial Unicode MS" w:hint="eastAsia"/>
        </w:rPr>
        <w:t> </w:t>
      </w:r>
      <w:r w:rsidRPr="00F0526B">
        <w:t>(02) 6</w:t>
      </w:r>
      <w:r w:rsidR="003F6C1F">
        <w:t>178</w:t>
      </w:r>
      <w:r w:rsidRPr="00F0526B">
        <w:t xml:space="preserve"> </w:t>
      </w:r>
      <w:r>
        <w:t>4000</w:t>
      </w:r>
    </w:p>
    <w:p w14:paraId="2A4970B7" w14:textId="5C5981EE" w:rsidR="00A960E9" w:rsidRPr="00F0526B" w:rsidRDefault="00A960E9" w:rsidP="00A960E9">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(02) 6</w:t>
      </w:r>
      <w:r w:rsidR="003F6C1F">
        <w:t>178</w:t>
      </w:r>
      <w:r w:rsidRPr="00F0526B">
        <w:t xml:space="preserve"> </w:t>
      </w:r>
      <w:r>
        <w:t>4880</w:t>
      </w:r>
    </w:p>
    <w:p w14:paraId="2A4970B8" w14:textId="77777777" w:rsidR="00A960E9" w:rsidRDefault="00ED06CB" w:rsidP="00A960E9">
      <w:pPr>
        <w:pStyle w:val="BoxText"/>
        <w:spacing w:before="0"/>
        <w:ind w:right="1134"/>
      </w:pPr>
      <w:r>
        <w:rPr>
          <w:noProof/>
        </w:rPr>
        <mc:AlternateContent>
          <mc:Choice Requires="wps">
            <w:drawing>
              <wp:anchor distT="0" distB="0" distL="114300" distR="114300" simplePos="0" relativeHeight="251653632" behindDoc="0" locked="0" layoutInCell="1" allowOverlap="1" wp14:anchorId="2A49712C" wp14:editId="2A49712D">
                <wp:simplePos x="0" y="0"/>
                <wp:positionH relativeFrom="page">
                  <wp:posOffset>-3175</wp:posOffset>
                </wp:positionH>
                <wp:positionV relativeFrom="paragraph">
                  <wp:posOffset>2078990</wp:posOffset>
                </wp:positionV>
                <wp:extent cx="7560310" cy="385445"/>
                <wp:effectExtent l="0" t="2540" r="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pt;margin-top:163.7pt;width:595.3pt;height:30.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" stroked="f">
                <w10:wrap anchorx="page"/>
              </v:rect>
            </w:pict>
          </mc:Fallback>
        </mc:AlternateContent>
      </w:r>
      <w:r w:rsidR="00A960E9" w:rsidRPr="00F0526B">
        <w:t>Internet</w:t>
      </w:r>
      <w:r w:rsidR="00A960E9" w:rsidRPr="00F0526B">
        <w:rPr>
          <w:rFonts w:ascii="Arial Unicode MS" w:eastAsia="Arial Unicode MS" w:hAnsi="Arial Unicode MS" w:cs="Arial Unicode MS" w:hint="eastAsia"/>
        </w:rPr>
        <w:t> </w:t>
      </w:r>
      <w:hyperlink r:id="rId20" w:history="1">
        <w:r w:rsidR="00A960E9" w:rsidRPr="00F0526B">
          <w:t>www.</w:t>
        </w:r>
        <w:bookmarkStart w:id="1" w:name="_Hlt536343294"/>
        <w:r w:rsidR="00A960E9" w:rsidRPr="00F0526B">
          <w:t>a</w:t>
        </w:r>
        <w:bookmarkEnd w:id="1"/>
        <w:r w:rsidR="00A960E9" w:rsidRPr="00F0526B">
          <w:t>u</w:t>
        </w:r>
        <w:bookmarkStart w:id="2" w:name="_Hlt536343388"/>
        <w:r w:rsidR="00A960E9" w:rsidRPr="00F0526B">
          <w:t>s</w:t>
        </w:r>
        <w:bookmarkStart w:id="3" w:name="_Hlt536343250"/>
        <w:bookmarkEnd w:id="2"/>
        <w:r w:rsidR="00A960E9" w:rsidRPr="00F0526B">
          <w:t>a</w:t>
        </w:r>
        <w:bookmarkStart w:id="4" w:name="_Hlt536343212"/>
        <w:bookmarkEnd w:id="3"/>
        <w:r w:rsidR="00A960E9" w:rsidRPr="00F0526B">
          <w:t>i</w:t>
        </w:r>
        <w:bookmarkStart w:id="5" w:name="_Hlt536343325"/>
        <w:bookmarkEnd w:id="4"/>
        <w:r w:rsidR="00A960E9" w:rsidRPr="00F0526B">
          <w:t>d</w:t>
        </w:r>
        <w:bookmarkEnd w:id="5"/>
        <w:r w:rsidR="00A960E9" w:rsidRPr="00F0526B">
          <w:t>.go</w:t>
        </w:r>
        <w:bookmarkStart w:id="6" w:name="_Hlt86200017"/>
        <w:r w:rsidR="00A960E9" w:rsidRPr="00F0526B">
          <w:t>v</w:t>
        </w:r>
        <w:bookmarkEnd w:id="6"/>
        <w:r w:rsidR="00A960E9" w:rsidRPr="00F0526B">
          <w:t>.au</w:t>
        </w:r>
      </w:hyperlink>
    </w:p>
    <w:p w14:paraId="2A4970B9" w14:textId="77777777" w:rsidR="00A960E9" w:rsidRDefault="00ED06CB" w:rsidP="00A960E9">
      <w:pPr>
        <w:pStyle w:val="Contents"/>
        <w:rPr>
          <w:noProof/>
        </w:rPr>
      </w:pPr>
      <w:r>
        <w:rPr>
          <w:noProof/>
        </w:rPr>
        <w:lastRenderedPageBreak/>
        <w:drawing>
          <wp:anchor distT="0" distB="0" distL="114300" distR="114300" simplePos="0" relativeHeight="251652608" behindDoc="1" locked="0" layoutInCell="1" allowOverlap="1" wp14:anchorId="2A49712E" wp14:editId="2A49712F">
            <wp:simplePos x="0" y="0"/>
            <wp:positionH relativeFrom="page">
              <wp:posOffset>-92710</wp:posOffset>
            </wp:positionH>
            <wp:positionV relativeFrom="page">
              <wp:posOffset>1054735</wp:posOffset>
            </wp:positionV>
            <wp:extent cx="7658100" cy="1585595"/>
            <wp:effectExtent l="0" t="0" r="0" b="0"/>
            <wp:wrapNone/>
            <wp:docPr id="2" name="Picture 2"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report_D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58100" cy="1585595"/>
                    </a:xfrm>
                    <a:prstGeom prst="rect">
                      <a:avLst/>
                    </a:prstGeom>
                    <a:noFill/>
                  </pic:spPr>
                </pic:pic>
              </a:graphicData>
            </a:graphic>
            <wp14:sizeRelH relativeFrom="page">
              <wp14:pctWidth>0</wp14:pctWidth>
            </wp14:sizeRelH>
            <wp14:sizeRelV relativeFrom="page">
              <wp14:pctHeight>0</wp14:pctHeight>
            </wp14:sizeRelV>
          </wp:anchor>
        </w:drawing>
      </w:r>
      <w:r w:rsidR="00A960E9">
        <w:rPr>
          <w:noProof/>
        </w:rPr>
        <w:t>Contents</w:t>
      </w:r>
    </w:p>
    <w:p w14:paraId="62010A99" w14:textId="77777777" w:rsidR="00480B83" w:rsidRDefault="00F74FC4">
      <w:pPr>
        <w:pStyle w:val="TOC1"/>
        <w:rPr>
          <w:rFonts w:asciiTheme="minorHAnsi" w:eastAsiaTheme="minorEastAsia" w:hAnsiTheme="minorHAnsi" w:cstheme="minorBidi"/>
          <w:noProof/>
          <w:color w:val="auto"/>
          <w:sz w:val="22"/>
          <w:szCs w:val="22"/>
        </w:rPr>
      </w:pPr>
      <w:r>
        <w:fldChar w:fldCharType="begin"/>
      </w:r>
      <w:r>
        <w:instrText xml:space="preserve"> TOC \o "1-3" </w:instrText>
      </w:r>
      <w:r>
        <w:fldChar w:fldCharType="separate"/>
      </w:r>
      <w:r w:rsidR="00480B83">
        <w:rPr>
          <w:noProof/>
        </w:rPr>
        <w:t>1</w:t>
      </w:r>
      <w:r w:rsidR="00480B83">
        <w:rPr>
          <w:rFonts w:asciiTheme="minorHAnsi" w:eastAsiaTheme="minorEastAsia" w:hAnsiTheme="minorHAnsi" w:cstheme="minorBidi"/>
          <w:noProof/>
          <w:color w:val="auto"/>
          <w:sz w:val="22"/>
          <w:szCs w:val="22"/>
        </w:rPr>
        <w:tab/>
      </w:r>
      <w:r w:rsidR="00480B83">
        <w:rPr>
          <w:noProof/>
        </w:rPr>
        <w:t>Summary</w:t>
      </w:r>
      <w:r w:rsidR="00480B83">
        <w:rPr>
          <w:noProof/>
        </w:rPr>
        <w:tab/>
      </w:r>
      <w:r w:rsidR="00480B83">
        <w:rPr>
          <w:noProof/>
        </w:rPr>
        <w:fldChar w:fldCharType="begin"/>
      </w:r>
      <w:r w:rsidR="00480B83">
        <w:rPr>
          <w:noProof/>
        </w:rPr>
        <w:instrText xml:space="preserve"> PAGEREF _Toc357172639 \h </w:instrText>
      </w:r>
      <w:r w:rsidR="00480B83">
        <w:rPr>
          <w:noProof/>
        </w:rPr>
      </w:r>
      <w:r w:rsidR="00480B83">
        <w:rPr>
          <w:noProof/>
        </w:rPr>
        <w:fldChar w:fldCharType="separate"/>
      </w:r>
      <w:r w:rsidR="00567822">
        <w:rPr>
          <w:noProof/>
        </w:rPr>
        <w:t>4</w:t>
      </w:r>
      <w:r w:rsidR="00480B83">
        <w:rPr>
          <w:noProof/>
        </w:rPr>
        <w:fldChar w:fldCharType="end"/>
      </w:r>
    </w:p>
    <w:p w14:paraId="5D007555" w14:textId="77777777" w:rsidR="00480B83" w:rsidRDefault="00480B83">
      <w:pPr>
        <w:pStyle w:val="TOC1"/>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Pr>
          <w:noProof/>
        </w:rPr>
        <w:t>Context and rationale for Australian aid in Latin America</w:t>
      </w:r>
      <w:r>
        <w:rPr>
          <w:noProof/>
        </w:rPr>
        <w:tab/>
      </w:r>
      <w:r>
        <w:rPr>
          <w:noProof/>
        </w:rPr>
        <w:fldChar w:fldCharType="begin"/>
      </w:r>
      <w:r>
        <w:rPr>
          <w:noProof/>
        </w:rPr>
        <w:instrText xml:space="preserve"> PAGEREF _Toc357172640 \h </w:instrText>
      </w:r>
      <w:r>
        <w:rPr>
          <w:noProof/>
        </w:rPr>
      </w:r>
      <w:r>
        <w:rPr>
          <w:noProof/>
        </w:rPr>
        <w:fldChar w:fldCharType="separate"/>
      </w:r>
      <w:r w:rsidR="00567822">
        <w:rPr>
          <w:noProof/>
        </w:rPr>
        <w:t>5</w:t>
      </w:r>
      <w:r>
        <w:rPr>
          <w:noProof/>
        </w:rPr>
        <w:fldChar w:fldCharType="end"/>
      </w:r>
    </w:p>
    <w:p w14:paraId="75A23157" w14:textId="77777777" w:rsidR="00480B83" w:rsidRDefault="00480B83">
      <w:pPr>
        <w:pStyle w:val="TOC2"/>
        <w:rPr>
          <w:rFonts w:asciiTheme="minorHAnsi" w:eastAsiaTheme="minorEastAsia" w:hAnsiTheme="minorHAnsi" w:cstheme="minorBidi"/>
          <w:noProof/>
          <w:color w:val="auto"/>
          <w:sz w:val="22"/>
          <w:szCs w:val="22"/>
        </w:rPr>
      </w:pPr>
      <w:r>
        <w:rPr>
          <w:noProof/>
        </w:rPr>
        <w:t>2.1</w:t>
      </w:r>
      <w:r>
        <w:rPr>
          <w:rFonts w:asciiTheme="minorHAnsi" w:eastAsiaTheme="minorEastAsia" w:hAnsiTheme="minorHAnsi" w:cstheme="minorBidi"/>
          <w:noProof/>
          <w:color w:val="auto"/>
          <w:sz w:val="22"/>
          <w:szCs w:val="22"/>
        </w:rPr>
        <w:tab/>
      </w:r>
      <w:r>
        <w:rPr>
          <w:noProof/>
        </w:rPr>
        <w:t>Context</w:t>
      </w:r>
      <w:r>
        <w:rPr>
          <w:noProof/>
        </w:rPr>
        <w:tab/>
      </w:r>
      <w:r>
        <w:rPr>
          <w:noProof/>
        </w:rPr>
        <w:fldChar w:fldCharType="begin"/>
      </w:r>
      <w:r>
        <w:rPr>
          <w:noProof/>
        </w:rPr>
        <w:instrText xml:space="preserve"> PAGEREF _Toc357172641 \h </w:instrText>
      </w:r>
      <w:r>
        <w:rPr>
          <w:noProof/>
        </w:rPr>
      </w:r>
      <w:r>
        <w:rPr>
          <w:noProof/>
        </w:rPr>
        <w:fldChar w:fldCharType="separate"/>
      </w:r>
      <w:r w:rsidR="00567822">
        <w:rPr>
          <w:noProof/>
        </w:rPr>
        <w:t>5</w:t>
      </w:r>
      <w:r>
        <w:rPr>
          <w:noProof/>
        </w:rPr>
        <w:fldChar w:fldCharType="end"/>
      </w:r>
    </w:p>
    <w:p w14:paraId="6A4BD349" w14:textId="77777777" w:rsidR="00480B83" w:rsidRDefault="00480B83">
      <w:pPr>
        <w:pStyle w:val="TOC2"/>
        <w:rPr>
          <w:rFonts w:asciiTheme="minorHAnsi" w:eastAsiaTheme="minorEastAsia" w:hAnsiTheme="minorHAnsi" w:cstheme="minorBidi"/>
          <w:noProof/>
          <w:color w:val="auto"/>
          <w:sz w:val="22"/>
          <w:szCs w:val="22"/>
        </w:rPr>
      </w:pPr>
      <w:r>
        <w:rPr>
          <w:noProof/>
        </w:rPr>
        <w:t>2.2</w:t>
      </w:r>
      <w:r>
        <w:rPr>
          <w:rFonts w:asciiTheme="minorHAnsi" w:eastAsiaTheme="minorEastAsia" w:hAnsiTheme="minorHAnsi" w:cstheme="minorBidi"/>
          <w:noProof/>
          <w:color w:val="auto"/>
          <w:sz w:val="22"/>
          <w:szCs w:val="22"/>
        </w:rPr>
        <w:tab/>
      </w:r>
      <w:r>
        <w:rPr>
          <w:noProof/>
        </w:rPr>
        <w:t>Poverty and need</w:t>
      </w:r>
      <w:r>
        <w:rPr>
          <w:noProof/>
        </w:rPr>
        <w:tab/>
      </w:r>
      <w:r>
        <w:rPr>
          <w:noProof/>
        </w:rPr>
        <w:fldChar w:fldCharType="begin"/>
      </w:r>
      <w:r>
        <w:rPr>
          <w:noProof/>
        </w:rPr>
        <w:instrText xml:space="preserve"> PAGEREF _Toc357172642 \h </w:instrText>
      </w:r>
      <w:r>
        <w:rPr>
          <w:noProof/>
        </w:rPr>
      </w:r>
      <w:r>
        <w:rPr>
          <w:noProof/>
        </w:rPr>
        <w:fldChar w:fldCharType="separate"/>
      </w:r>
      <w:r w:rsidR="00567822">
        <w:rPr>
          <w:noProof/>
        </w:rPr>
        <w:t>5</w:t>
      </w:r>
      <w:r>
        <w:rPr>
          <w:noProof/>
        </w:rPr>
        <w:fldChar w:fldCharType="end"/>
      </w:r>
    </w:p>
    <w:p w14:paraId="79F57AF2" w14:textId="77777777" w:rsidR="00480B83" w:rsidRDefault="00480B83">
      <w:pPr>
        <w:pStyle w:val="TOC2"/>
        <w:rPr>
          <w:rFonts w:asciiTheme="minorHAnsi" w:eastAsiaTheme="minorEastAsia" w:hAnsiTheme="minorHAnsi" w:cstheme="minorBidi"/>
          <w:noProof/>
          <w:color w:val="auto"/>
          <w:sz w:val="22"/>
          <w:szCs w:val="22"/>
        </w:rPr>
      </w:pPr>
      <w:r>
        <w:rPr>
          <w:noProof/>
        </w:rPr>
        <w:t>2.3</w:t>
      </w:r>
      <w:r>
        <w:rPr>
          <w:rFonts w:asciiTheme="minorHAnsi" w:eastAsiaTheme="minorEastAsia" w:hAnsiTheme="minorHAnsi" w:cstheme="minorBidi"/>
          <w:noProof/>
          <w:color w:val="auto"/>
          <w:sz w:val="22"/>
          <w:szCs w:val="22"/>
        </w:rPr>
        <w:tab/>
      </w:r>
      <w:r>
        <w:rPr>
          <w:noProof/>
        </w:rPr>
        <w:t>Australia’s national interests</w:t>
      </w:r>
      <w:r>
        <w:rPr>
          <w:noProof/>
        </w:rPr>
        <w:tab/>
      </w:r>
      <w:r>
        <w:rPr>
          <w:noProof/>
        </w:rPr>
        <w:fldChar w:fldCharType="begin"/>
      </w:r>
      <w:r>
        <w:rPr>
          <w:noProof/>
        </w:rPr>
        <w:instrText xml:space="preserve"> PAGEREF _Toc357172643 \h </w:instrText>
      </w:r>
      <w:r>
        <w:rPr>
          <w:noProof/>
        </w:rPr>
      </w:r>
      <w:r>
        <w:rPr>
          <w:noProof/>
        </w:rPr>
        <w:fldChar w:fldCharType="separate"/>
      </w:r>
      <w:r w:rsidR="00567822">
        <w:rPr>
          <w:noProof/>
        </w:rPr>
        <w:t>6</w:t>
      </w:r>
      <w:r>
        <w:rPr>
          <w:noProof/>
        </w:rPr>
        <w:fldChar w:fldCharType="end"/>
      </w:r>
    </w:p>
    <w:p w14:paraId="597A978A" w14:textId="77777777" w:rsidR="00480B83" w:rsidRDefault="00480B83">
      <w:pPr>
        <w:pStyle w:val="TOC2"/>
        <w:rPr>
          <w:rFonts w:asciiTheme="minorHAnsi" w:eastAsiaTheme="minorEastAsia" w:hAnsiTheme="minorHAnsi" w:cstheme="minorBidi"/>
          <w:noProof/>
          <w:color w:val="auto"/>
          <w:sz w:val="22"/>
          <w:szCs w:val="22"/>
        </w:rPr>
      </w:pPr>
      <w:r>
        <w:rPr>
          <w:noProof/>
        </w:rPr>
        <w:t>2.4</w:t>
      </w:r>
      <w:r>
        <w:rPr>
          <w:rFonts w:asciiTheme="minorHAnsi" w:eastAsiaTheme="minorEastAsia" w:hAnsiTheme="minorHAnsi" w:cstheme="minorBidi"/>
          <w:noProof/>
          <w:color w:val="auto"/>
          <w:sz w:val="22"/>
          <w:szCs w:val="22"/>
        </w:rPr>
        <w:tab/>
      </w:r>
      <w:r>
        <w:rPr>
          <w:noProof/>
        </w:rPr>
        <w:t>Capacity to make a difference</w:t>
      </w:r>
      <w:r>
        <w:rPr>
          <w:noProof/>
        </w:rPr>
        <w:tab/>
      </w:r>
      <w:r>
        <w:rPr>
          <w:noProof/>
        </w:rPr>
        <w:fldChar w:fldCharType="begin"/>
      </w:r>
      <w:r>
        <w:rPr>
          <w:noProof/>
        </w:rPr>
        <w:instrText xml:space="preserve"> PAGEREF _Toc357172644 \h </w:instrText>
      </w:r>
      <w:r>
        <w:rPr>
          <w:noProof/>
        </w:rPr>
      </w:r>
      <w:r>
        <w:rPr>
          <w:noProof/>
        </w:rPr>
        <w:fldChar w:fldCharType="separate"/>
      </w:r>
      <w:r w:rsidR="00567822">
        <w:rPr>
          <w:noProof/>
        </w:rPr>
        <w:t>7</w:t>
      </w:r>
      <w:r>
        <w:rPr>
          <w:noProof/>
        </w:rPr>
        <w:fldChar w:fldCharType="end"/>
      </w:r>
    </w:p>
    <w:p w14:paraId="4F146C43" w14:textId="77777777" w:rsidR="00480B83" w:rsidRDefault="00480B83">
      <w:pPr>
        <w:pStyle w:val="TOC2"/>
        <w:rPr>
          <w:rFonts w:asciiTheme="minorHAnsi" w:eastAsiaTheme="minorEastAsia" w:hAnsiTheme="minorHAnsi" w:cstheme="minorBidi"/>
          <w:noProof/>
          <w:color w:val="auto"/>
          <w:sz w:val="22"/>
          <w:szCs w:val="22"/>
        </w:rPr>
      </w:pPr>
      <w:r>
        <w:rPr>
          <w:noProof/>
        </w:rPr>
        <w:t>2.5</w:t>
      </w:r>
      <w:r>
        <w:rPr>
          <w:rFonts w:asciiTheme="minorHAnsi" w:eastAsiaTheme="minorEastAsia" w:hAnsiTheme="minorHAnsi" w:cstheme="minorBidi"/>
          <w:noProof/>
          <w:color w:val="auto"/>
          <w:sz w:val="22"/>
          <w:szCs w:val="22"/>
        </w:rPr>
        <w:tab/>
      </w:r>
      <w:r>
        <w:rPr>
          <w:noProof/>
        </w:rPr>
        <w:t>Scale and effectiveness</w:t>
      </w:r>
      <w:r>
        <w:rPr>
          <w:noProof/>
        </w:rPr>
        <w:tab/>
      </w:r>
      <w:r>
        <w:rPr>
          <w:noProof/>
        </w:rPr>
        <w:fldChar w:fldCharType="begin"/>
      </w:r>
      <w:r>
        <w:rPr>
          <w:noProof/>
        </w:rPr>
        <w:instrText xml:space="preserve"> PAGEREF _Toc357172645 \h </w:instrText>
      </w:r>
      <w:r>
        <w:rPr>
          <w:noProof/>
        </w:rPr>
      </w:r>
      <w:r>
        <w:rPr>
          <w:noProof/>
        </w:rPr>
        <w:fldChar w:fldCharType="separate"/>
      </w:r>
      <w:r w:rsidR="00567822">
        <w:rPr>
          <w:noProof/>
        </w:rPr>
        <w:t>7</w:t>
      </w:r>
      <w:r>
        <w:rPr>
          <w:noProof/>
        </w:rPr>
        <w:fldChar w:fldCharType="end"/>
      </w:r>
    </w:p>
    <w:p w14:paraId="5D8A2C17" w14:textId="77777777" w:rsidR="00480B83" w:rsidRDefault="00480B83">
      <w:pPr>
        <w:pStyle w:val="TOC1"/>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rPr>
        <w:t>Strategic priorities for Australian aid</w:t>
      </w:r>
      <w:r>
        <w:rPr>
          <w:noProof/>
        </w:rPr>
        <w:tab/>
      </w:r>
      <w:r>
        <w:rPr>
          <w:noProof/>
        </w:rPr>
        <w:fldChar w:fldCharType="begin"/>
      </w:r>
      <w:r>
        <w:rPr>
          <w:noProof/>
        </w:rPr>
        <w:instrText xml:space="preserve"> PAGEREF _Toc357172646 \h </w:instrText>
      </w:r>
      <w:r>
        <w:rPr>
          <w:noProof/>
        </w:rPr>
      </w:r>
      <w:r>
        <w:rPr>
          <w:noProof/>
        </w:rPr>
        <w:fldChar w:fldCharType="separate"/>
      </w:r>
      <w:r w:rsidR="00567822">
        <w:rPr>
          <w:noProof/>
        </w:rPr>
        <w:t>9</w:t>
      </w:r>
      <w:r>
        <w:rPr>
          <w:noProof/>
        </w:rPr>
        <w:fldChar w:fldCharType="end"/>
      </w:r>
    </w:p>
    <w:p w14:paraId="18CA61D3" w14:textId="77777777" w:rsidR="00480B83" w:rsidRDefault="00480B83">
      <w:pPr>
        <w:pStyle w:val="TOC2"/>
        <w:rPr>
          <w:rFonts w:asciiTheme="minorHAnsi" w:eastAsiaTheme="minorEastAsia" w:hAnsiTheme="minorHAnsi" w:cstheme="minorBidi"/>
          <w:noProof/>
          <w:color w:val="auto"/>
          <w:sz w:val="22"/>
          <w:szCs w:val="22"/>
        </w:rPr>
      </w:pPr>
      <w:r>
        <w:rPr>
          <w:noProof/>
        </w:rPr>
        <w:t>3.1</w:t>
      </w:r>
      <w:r>
        <w:rPr>
          <w:rFonts w:asciiTheme="minorHAnsi" w:eastAsiaTheme="minorEastAsia" w:hAnsiTheme="minorHAnsi" w:cstheme="minorBidi"/>
          <w:noProof/>
          <w:color w:val="auto"/>
          <w:sz w:val="22"/>
          <w:szCs w:val="22"/>
        </w:rPr>
        <w:tab/>
      </w:r>
      <w:r>
        <w:rPr>
          <w:noProof/>
        </w:rPr>
        <w:t>Proposed focus areas, expected outcomes and Australia’s contribution</w:t>
      </w:r>
      <w:r>
        <w:rPr>
          <w:noProof/>
        </w:rPr>
        <w:tab/>
      </w:r>
      <w:r>
        <w:rPr>
          <w:noProof/>
        </w:rPr>
        <w:fldChar w:fldCharType="begin"/>
      </w:r>
      <w:r>
        <w:rPr>
          <w:noProof/>
        </w:rPr>
        <w:instrText xml:space="preserve"> PAGEREF _Toc357172647 \h </w:instrText>
      </w:r>
      <w:r>
        <w:rPr>
          <w:noProof/>
        </w:rPr>
      </w:r>
      <w:r>
        <w:rPr>
          <w:noProof/>
        </w:rPr>
        <w:fldChar w:fldCharType="separate"/>
      </w:r>
      <w:r w:rsidR="00567822">
        <w:rPr>
          <w:noProof/>
        </w:rPr>
        <w:t>9</w:t>
      </w:r>
      <w:r>
        <w:rPr>
          <w:noProof/>
        </w:rPr>
        <w:fldChar w:fldCharType="end"/>
      </w:r>
    </w:p>
    <w:p w14:paraId="27178B9C" w14:textId="77777777" w:rsidR="00480B83" w:rsidRDefault="00480B83">
      <w:pPr>
        <w:pStyle w:val="TOC2"/>
        <w:rPr>
          <w:rFonts w:asciiTheme="minorHAnsi" w:eastAsiaTheme="minorEastAsia" w:hAnsiTheme="minorHAnsi" w:cstheme="minorBidi"/>
          <w:noProof/>
          <w:color w:val="auto"/>
          <w:sz w:val="22"/>
          <w:szCs w:val="22"/>
        </w:rPr>
      </w:pPr>
      <w:r>
        <w:rPr>
          <w:noProof/>
        </w:rPr>
        <w:t>3.2</w:t>
      </w:r>
      <w:r>
        <w:rPr>
          <w:rFonts w:asciiTheme="minorHAnsi" w:eastAsiaTheme="minorEastAsia" w:hAnsiTheme="minorHAnsi" w:cstheme="minorBidi"/>
          <w:noProof/>
          <w:color w:val="auto"/>
          <w:sz w:val="22"/>
          <w:szCs w:val="22"/>
        </w:rPr>
        <w:tab/>
      </w:r>
      <w:r>
        <w:rPr>
          <w:noProof/>
        </w:rPr>
        <w:t>Program approaches and ways of working</w:t>
      </w:r>
      <w:r>
        <w:rPr>
          <w:noProof/>
        </w:rPr>
        <w:tab/>
      </w:r>
      <w:r>
        <w:rPr>
          <w:noProof/>
        </w:rPr>
        <w:fldChar w:fldCharType="begin"/>
      </w:r>
      <w:r>
        <w:rPr>
          <w:noProof/>
        </w:rPr>
        <w:instrText xml:space="preserve"> PAGEREF _Toc357172648 \h </w:instrText>
      </w:r>
      <w:r>
        <w:rPr>
          <w:noProof/>
        </w:rPr>
      </w:r>
      <w:r>
        <w:rPr>
          <w:noProof/>
        </w:rPr>
        <w:fldChar w:fldCharType="separate"/>
      </w:r>
      <w:r w:rsidR="00567822">
        <w:rPr>
          <w:noProof/>
        </w:rPr>
        <w:t>10</w:t>
      </w:r>
      <w:r>
        <w:rPr>
          <w:noProof/>
        </w:rPr>
        <w:fldChar w:fldCharType="end"/>
      </w:r>
    </w:p>
    <w:p w14:paraId="4D539CBD" w14:textId="77777777" w:rsidR="00480B83" w:rsidRDefault="00480B83">
      <w:pPr>
        <w:pStyle w:val="TOC2"/>
        <w:rPr>
          <w:rFonts w:asciiTheme="minorHAnsi" w:eastAsiaTheme="minorEastAsia" w:hAnsiTheme="minorHAnsi" w:cstheme="minorBidi"/>
          <w:noProof/>
          <w:color w:val="auto"/>
          <w:sz w:val="22"/>
          <w:szCs w:val="22"/>
        </w:rPr>
      </w:pPr>
      <w:r>
        <w:rPr>
          <w:noProof/>
        </w:rPr>
        <w:t>3.3</w:t>
      </w:r>
      <w:r>
        <w:rPr>
          <w:rFonts w:asciiTheme="minorHAnsi" w:eastAsiaTheme="minorEastAsia" w:hAnsiTheme="minorHAnsi" w:cstheme="minorBidi"/>
          <w:noProof/>
          <w:color w:val="auto"/>
          <w:sz w:val="22"/>
          <w:szCs w:val="22"/>
        </w:rPr>
        <w:tab/>
      </w:r>
      <w:r>
        <w:rPr>
          <w:noProof/>
        </w:rPr>
        <w:t>Building on strengths</w:t>
      </w:r>
      <w:r>
        <w:rPr>
          <w:noProof/>
        </w:rPr>
        <w:tab/>
      </w:r>
      <w:r>
        <w:rPr>
          <w:noProof/>
        </w:rPr>
        <w:fldChar w:fldCharType="begin"/>
      </w:r>
      <w:r>
        <w:rPr>
          <w:noProof/>
        </w:rPr>
        <w:instrText xml:space="preserve"> PAGEREF _Toc357172649 \h </w:instrText>
      </w:r>
      <w:r>
        <w:rPr>
          <w:noProof/>
        </w:rPr>
      </w:r>
      <w:r>
        <w:rPr>
          <w:noProof/>
        </w:rPr>
        <w:fldChar w:fldCharType="separate"/>
      </w:r>
      <w:r w:rsidR="00567822">
        <w:rPr>
          <w:noProof/>
        </w:rPr>
        <w:t>10</w:t>
      </w:r>
      <w:r>
        <w:rPr>
          <w:noProof/>
        </w:rPr>
        <w:fldChar w:fldCharType="end"/>
      </w:r>
    </w:p>
    <w:p w14:paraId="1BB0D9ED" w14:textId="77777777" w:rsidR="00480B83" w:rsidRDefault="00480B83">
      <w:pPr>
        <w:pStyle w:val="TOC1"/>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rPr>
        <w:t>Program performance and risk management</w:t>
      </w:r>
      <w:r>
        <w:rPr>
          <w:noProof/>
        </w:rPr>
        <w:tab/>
      </w:r>
      <w:r>
        <w:rPr>
          <w:noProof/>
        </w:rPr>
        <w:fldChar w:fldCharType="begin"/>
      </w:r>
      <w:r>
        <w:rPr>
          <w:noProof/>
        </w:rPr>
        <w:instrText xml:space="preserve"> PAGEREF _Toc357172650 \h </w:instrText>
      </w:r>
      <w:r>
        <w:rPr>
          <w:noProof/>
        </w:rPr>
      </w:r>
      <w:r>
        <w:rPr>
          <w:noProof/>
        </w:rPr>
        <w:fldChar w:fldCharType="separate"/>
      </w:r>
      <w:r w:rsidR="00567822">
        <w:rPr>
          <w:noProof/>
        </w:rPr>
        <w:t>12</w:t>
      </w:r>
      <w:r>
        <w:rPr>
          <w:noProof/>
        </w:rPr>
        <w:fldChar w:fldCharType="end"/>
      </w:r>
    </w:p>
    <w:p w14:paraId="6AA515B6" w14:textId="77777777" w:rsidR="00480B83" w:rsidRDefault="00480B83">
      <w:pPr>
        <w:pStyle w:val="TOC2"/>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What success will look like at the end of the strategy</w:t>
      </w:r>
      <w:r>
        <w:rPr>
          <w:noProof/>
        </w:rPr>
        <w:tab/>
      </w:r>
      <w:r>
        <w:rPr>
          <w:noProof/>
        </w:rPr>
        <w:fldChar w:fldCharType="begin"/>
      </w:r>
      <w:r>
        <w:rPr>
          <w:noProof/>
        </w:rPr>
        <w:instrText xml:space="preserve"> PAGEREF _Toc357172651 \h </w:instrText>
      </w:r>
      <w:r>
        <w:rPr>
          <w:noProof/>
        </w:rPr>
      </w:r>
      <w:r>
        <w:rPr>
          <w:noProof/>
        </w:rPr>
        <w:fldChar w:fldCharType="separate"/>
      </w:r>
      <w:r w:rsidR="00567822">
        <w:rPr>
          <w:noProof/>
        </w:rPr>
        <w:t>12</w:t>
      </w:r>
      <w:r>
        <w:rPr>
          <w:noProof/>
        </w:rPr>
        <w:fldChar w:fldCharType="end"/>
      </w:r>
    </w:p>
    <w:p w14:paraId="5A3EE54C" w14:textId="77777777" w:rsidR="00480B83" w:rsidRDefault="00480B83">
      <w:pPr>
        <w:pStyle w:val="TOC2"/>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Performance assessment framework</w:t>
      </w:r>
      <w:r>
        <w:rPr>
          <w:noProof/>
        </w:rPr>
        <w:tab/>
      </w:r>
      <w:r>
        <w:rPr>
          <w:noProof/>
        </w:rPr>
        <w:fldChar w:fldCharType="begin"/>
      </w:r>
      <w:r>
        <w:rPr>
          <w:noProof/>
        </w:rPr>
        <w:instrText xml:space="preserve"> PAGEREF _Toc357172652 \h </w:instrText>
      </w:r>
      <w:r>
        <w:rPr>
          <w:noProof/>
        </w:rPr>
      </w:r>
      <w:r>
        <w:rPr>
          <w:noProof/>
        </w:rPr>
        <w:fldChar w:fldCharType="separate"/>
      </w:r>
      <w:r w:rsidR="00567822">
        <w:rPr>
          <w:noProof/>
        </w:rPr>
        <w:t>13</w:t>
      </w:r>
      <w:r>
        <w:rPr>
          <w:noProof/>
        </w:rPr>
        <w:fldChar w:fldCharType="end"/>
      </w:r>
    </w:p>
    <w:p w14:paraId="39EF69F4" w14:textId="77777777" w:rsidR="00480B83" w:rsidRDefault="00480B83">
      <w:pPr>
        <w:pStyle w:val="TOC2"/>
        <w:rPr>
          <w:rFonts w:asciiTheme="minorHAnsi" w:eastAsiaTheme="minorEastAsia" w:hAnsiTheme="minorHAnsi" w:cstheme="minorBidi"/>
          <w:noProof/>
          <w:color w:val="auto"/>
          <w:sz w:val="22"/>
          <w:szCs w:val="22"/>
        </w:rPr>
      </w:pPr>
      <w:r>
        <w:rPr>
          <w:noProof/>
        </w:rPr>
        <w:t>4.3</w:t>
      </w:r>
      <w:r>
        <w:rPr>
          <w:rFonts w:asciiTheme="minorHAnsi" w:eastAsiaTheme="minorEastAsia" w:hAnsiTheme="minorHAnsi" w:cstheme="minorBidi"/>
          <w:noProof/>
          <w:color w:val="auto"/>
          <w:sz w:val="22"/>
          <w:szCs w:val="22"/>
        </w:rPr>
        <w:tab/>
      </w:r>
      <w:r>
        <w:rPr>
          <w:noProof/>
        </w:rPr>
        <w:t>Risk management</w:t>
      </w:r>
      <w:r>
        <w:rPr>
          <w:noProof/>
        </w:rPr>
        <w:tab/>
      </w:r>
      <w:r>
        <w:rPr>
          <w:noProof/>
        </w:rPr>
        <w:fldChar w:fldCharType="begin"/>
      </w:r>
      <w:r>
        <w:rPr>
          <w:noProof/>
        </w:rPr>
        <w:instrText xml:space="preserve"> PAGEREF _Toc357172653 \h </w:instrText>
      </w:r>
      <w:r>
        <w:rPr>
          <w:noProof/>
        </w:rPr>
      </w:r>
      <w:r>
        <w:rPr>
          <w:noProof/>
        </w:rPr>
        <w:fldChar w:fldCharType="separate"/>
      </w:r>
      <w:r w:rsidR="00567822">
        <w:rPr>
          <w:noProof/>
        </w:rPr>
        <w:t>13</w:t>
      </w:r>
      <w:r>
        <w:rPr>
          <w:noProof/>
        </w:rPr>
        <w:fldChar w:fldCharType="end"/>
      </w:r>
    </w:p>
    <w:p w14:paraId="30C08B36" w14:textId="77777777" w:rsidR="00480B83" w:rsidRDefault="00480B83">
      <w:pPr>
        <w:pStyle w:val="TOC1"/>
        <w:rPr>
          <w:rFonts w:asciiTheme="minorHAnsi" w:eastAsiaTheme="minorEastAsia" w:hAnsiTheme="minorHAnsi" w:cstheme="minorBidi"/>
          <w:noProof/>
          <w:color w:val="auto"/>
          <w:sz w:val="22"/>
          <w:szCs w:val="22"/>
        </w:rPr>
      </w:pPr>
      <w:r>
        <w:rPr>
          <w:noProof/>
        </w:rPr>
        <w:t>Annexes</w:t>
      </w:r>
      <w:r>
        <w:rPr>
          <w:noProof/>
        </w:rPr>
        <w:tab/>
      </w:r>
      <w:r>
        <w:rPr>
          <w:noProof/>
        </w:rPr>
        <w:fldChar w:fldCharType="begin"/>
      </w:r>
      <w:r>
        <w:rPr>
          <w:noProof/>
        </w:rPr>
        <w:instrText xml:space="preserve"> PAGEREF _Toc357172654 \h </w:instrText>
      </w:r>
      <w:r>
        <w:rPr>
          <w:noProof/>
        </w:rPr>
      </w:r>
      <w:r>
        <w:rPr>
          <w:noProof/>
        </w:rPr>
        <w:fldChar w:fldCharType="separate"/>
      </w:r>
      <w:r w:rsidR="00567822">
        <w:rPr>
          <w:noProof/>
        </w:rPr>
        <w:t>14</w:t>
      </w:r>
      <w:r>
        <w:rPr>
          <w:noProof/>
        </w:rPr>
        <w:fldChar w:fldCharType="end"/>
      </w:r>
    </w:p>
    <w:p w14:paraId="65A95ABA" w14:textId="77777777" w:rsidR="00480B83" w:rsidRDefault="00480B83">
      <w:pPr>
        <w:pStyle w:val="TOC2"/>
        <w:rPr>
          <w:rFonts w:asciiTheme="minorHAnsi" w:eastAsiaTheme="minorEastAsia" w:hAnsiTheme="minorHAnsi" w:cstheme="minorBidi"/>
          <w:noProof/>
          <w:color w:val="auto"/>
          <w:sz w:val="22"/>
          <w:szCs w:val="22"/>
        </w:rPr>
      </w:pPr>
      <w:r>
        <w:rPr>
          <w:noProof/>
        </w:rPr>
        <w:t>Annex A: Latin America Program Summary</w:t>
      </w:r>
      <w:r>
        <w:rPr>
          <w:noProof/>
        </w:rPr>
        <w:tab/>
      </w:r>
      <w:r>
        <w:rPr>
          <w:noProof/>
        </w:rPr>
        <w:fldChar w:fldCharType="begin"/>
      </w:r>
      <w:r>
        <w:rPr>
          <w:noProof/>
        </w:rPr>
        <w:instrText xml:space="preserve"> PAGEREF _Toc357172655 \h </w:instrText>
      </w:r>
      <w:r>
        <w:rPr>
          <w:noProof/>
        </w:rPr>
      </w:r>
      <w:r>
        <w:rPr>
          <w:noProof/>
        </w:rPr>
        <w:fldChar w:fldCharType="separate"/>
      </w:r>
      <w:r w:rsidR="00567822">
        <w:rPr>
          <w:noProof/>
        </w:rPr>
        <w:t>14</w:t>
      </w:r>
      <w:r>
        <w:rPr>
          <w:noProof/>
        </w:rPr>
        <w:fldChar w:fldCharType="end"/>
      </w:r>
    </w:p>
    <w:p w14:paraId="2D0A6FAF" w14:textId="77777777" w:rsidR="00480B83" w:rsidRDefault="00480B83">
      <w:pPr>
        <w:pStyle w:val="TOC2"/>
        <w:rPr>
          <w:rFonts w:asciiTheme="minorHAnsi" w:eastAsiaTheme="minorEastAsia" w:hAnsiTheme="minorHAnsi" w:cstheme="minorBidi"/>
          <w:noProof/>
          <w:color w:val="auto"/>
          <w:sz w:val="22"/>
          <w:szCs w:val="22"/>
        </w:rPr>
      </w:pPr>
      <w:r>
        <w:rPr>
          <w:noProof/>
        </w:rPr>
        <w:t>Annex B: Progress against MDGs in Latin America</w:t>
      </w:r>
      <w:r>
        <w:rPr>
          <w:noProof/>
        </w:rPr>
        <w:tab/>
      </w:r>
      <w:r>
        <w:rPr>
          <w:noProof/>
        </w:rPr>
        <w:fldChar w:fldCharType="begin"/>
      </w:r>
      <w:r>
        <w:rPr>
          <w:noProof/>
        </w:rPr>
        <w:instrText xml:space="preserve"> PAGEREF _Toc357172656 \h </w:instrText>
      </w:r>
      <w:r>
        <w:rPr>
          <w:noProof/>
        </w:rPr>
      </w:r>
      <w:r>
        <w:rPr>
          <w:noProof/>
        </w:rPr>
        <w:fldChar w:fldCharType="separate"/>
      </w:r>
      <w:r w:rsidR="00567822">
        <w:rPr>
          <w:noProof/>
        </w:rPr>
        <w:t>16</w:t>
      </w:r>
      <w:r>
        <w:rPr>
          <w:noProof/>
        </w:rPr>
        <w:fldChar w:fldCharType="end"/>
      </w:r>
    </w:p>
    <w:p w14:paraId="046B4573" w14:textId="77777777" w:rsidR="00480B83" w:rsidRDefault="00480B83">
      <w:pPr>
        <w:pStyle w:val="TOC2"/>
        <w:rPr>
          <w:rFonts w:asciiTheme="minorHAnsi" w:eastAsiaTheme="minorEastAsia" w:hAnsiTheme="minorHAnsi" w:cstheme="minorBidi"/>
          <w:noProof/>
          <w:color w:val="auto"/>
          <w:sz w:val="22"/>
          <w:szCs w:val="22"/>
        </w:rPr>
      </w:pPr>
      <w:r>
        <w:rPr>
          <w:noProof/>
        </w:rPr>
        <w:t>Annex C: Brief summary of development needs in Latin America</w:t>
      </w:r>
      <w:r>
        <w:rPr>
          <w:noProof/>
        </w:rPr>
        <w:tab/>
      </w:r>
      <w:r>
        <w:rPr>
          <w:noProof/>
        </w:rPr>
        <w:fldChar w:fldCharType="begin"/>
      </w:r>
      <w:r>
        <w:rPr>
          <w:noProof/>
        </w:rPr>
        <w:instrText xml:space="preserve"> PAGEREF _Toc357172657 \h </w:instrText>
      </w:r>
      <w:r>
        <w:rPr>
          <w:noProof/>
        </w:rPr>
      </w:r>
      <w:r>
        <w:rPr>
          <w:noProof/>
        </w:rPr>
        <w:fldChar w:fldCharType="separate"/>
      </w:r>
      <w:r w:rsidR="00567822">
        <w:rPr>
          <w:noProof/>
        </w:rPr>
        <w:t>17</w:t>
      </w:r>
      <w:r>
        <w:rPr>
          <w:noProof/>
        </w:rPr>
        <w:fldChar w:fldCharType="end"/>
      </w:r>
    </w:p>
    <w:p w14:paraId="2A4970CE" w14:textId="55DF9897" w:rsidR="00A960E9" w:rsidRDefault="00F74FC4" w:rsidP="003830A1">
      <w:pPr>
        <w:pStyle w:val="TOC1"/>
      </w:pPr>
      <w:r>
        <w:fldChar w:fldCharType="end"/>
      </w:r>
    </w:p>
    <w:p w14:paraId="2A4970D8" w14:textId="77777777" w:rsidR="0060759A" w:rsidRPr="0060759A" w:rsidRDefault="00ED06CB" w:rsidP="0060759A">
      <w:pPr>
        <w:pStyle w:val="Heading1"/>
        <w:rPr>
          <w:noProof/>
        </w:rPr>
      </w:pPr>
      <w:bookmarkStart w:id="7" w:name="_Toc356371535"/>
      <w:bookmarkStart w:id="8" w:name="_Toc357172639"/>
      <w:r>
        <w:rPr>
          <w:noProof/>
        </w:rPr>
        <w:lastRenderedPageBreak/>
        <w:drawing>
          <wp:anchor distT="0" distB="0" distL="114300" distR="114300" simplePos="0" relativeHeight="251657728" behindDoc="1" locked="0" layoutInCell="1" allowOverlap="1" wp14:anchorId="2A497130" wp14:editId="2A497131">
            <wp:simplePos x="0" y="0"/>
            <wp:positionH relativeFrom="page">
              <wp:posOffset>-92710</wp:posOffset>
            </wp:positionH>
            <wp:positionV relativeFrom="page">
              <wp:posOffset>1054735</wp:posOffset>
            </wp:positionV>
            <wp:extent cx="7788910" cy="1585595"/>
            <wp:effectExtent l="0" t="0" r="2540" b="0"/>
            <wp:wrapNone/>
            <wp:docPr id="8" name="Picture 8"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AID_report_D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sidR="00993138">
        <w:rPr>
          <w:noProof/>
        </w:rPr>
        <w:t>Summary</w:t>
      </w:r>
      <w:bookmarkEnd w:id="7"/>
      <w:bookmarkEnd w:id="8"/>
    </w:p>
    <w:p w14:paraId="76D8C040" w14:textId="02A4043C" w:rsidR="00A41AF0" w:rsidRDefault="00E640A2" w:rsidP="00E640A2">
      <w:pPr>
        <w:pStyle w:val="BodyText"/>
      </w:pPr>
      <w:r>
        <w:t xml:space="preserve">This document articulates </w:t>
      </w:r>
      <w:proofErr w:type="spellStart"/>
      <w:r w:rsidR="00FE2F90">
        <w:t>AusAID’s</w:t>
      </w:r>
      <w:proofErr w:type="spellEnd"/>
      <w:r w:rsidR="00FE2F90">
        <w:t xml:space="preserve"> implementation </w:t>
      </w:r>
      <w:r>
        <w:t xml:space="preserve">strategy for development assistance in Latin America from July 2010 to June 2014. </w:t>
      </w:r>
      <w:r w:rsidR="00A41AF0">
        <w:t xml:space="preserve">This approach was developed in consultation with key stakeholders and was agreed by the </w:t>
      </w:r>
      <w:r w:rsidR="00801CD7">
        <w:t xml:space="preserve">former </w:t>
      </w:r>
      <w:r w:rsidR="00A41AF0">
        <w:t>Minister for Foreign Affairs</w:t>
      </w:r>
      <w:r w:rsidR="00801CD7">
        <w:t>, Mr Stephen Smith,</w:t>
      </w:r>
      <w:r w:rsidR="00A41AF0">
        <w:t xml:space="preserve"> in 2010. </w:t>
      </w:r>
    </w:p>
    <w:p w14:paraId="2642D117" w14:textId="33B0A96E" w:rsidR="00E640A2" w:rsidRDefault="00E640A2" w:rsidP="00E640A2">
      <w:pPr>
        <w:pStyle w:val="BodyText"/>
      </w:pPr>
      <w:r>
        <w:t xml:space="preserve">A </w:t>
      </w:r>
      <w:r w:rsidR="00066E91">
        <w:t>mid-</w:t>
      </w:r>
      <w:r w:rsidR="00FE2F90">
        <w:t xml:space="preserve">term </w:t>
      </w:r>
      <w:r>
        <w:t>review of the Latin America program</w:t>
      </w:r>
      <w:r w:rsidR="00066E91">
        <w:t xml:space="preserve"> </w:t>
      </w:r>
      <w:r w:rsidR="006C4329">
        <w:t>commenced</w:t>
      </w:r>
      <w:r>
        <w:t xml:space="preserve"> in </w:t>
      </w:r>
      <w:r w:rsidR="00FE2F90">
        <w:t xml:space="preserve">April </w:t>
      </w:r>
      <w:r>
        <w:t>2013</w:t>
      </w:r>
      <w:r w:rsidR="00FE2F90">
        <w:t xml:space="preserve"> in line with AusAID quality processes</w:t>
      </w:r>
      <w:r>
        <w:t xml:space="preserve"> to </w:t>
      </w:r>
      <w:r w:rsidR="00FE2F90">
        <w:t xml:space="preserve">assess </w:t>
      </w:r>
      <w:r>
        <w:t>the</w:t>
      </w:r>
      <w:r w:rsidR="00FE2F90">
        <w:t xml:space="preserve"> on</w:t>
      </w:r>
      <w:r w:rsidR="00066E91">
        <w:t>going relevance</w:t>
      </w:r>
      <w:r>
        <w:t xml:space="preserve"> </w:t>
      </w:r>
      <w:r w:rsidR="00670916">
        <w:t xml:space="preserve">and </w:t>
      </w:r>
      <w:r w:rsidR="00066E91">
        <w:t>effectiveness of</w:t>
      </w:r>
      <w:r>
        <w:t xml:space="preserve"> the </w:t>
      </w:r>
      <w:r w:rsidR="00801CD7">
        <w:t>focus areas</w:t>
      </w:r>
      <w:r>
        <w:t xml:space="preserve"> set out </w:t>
      </w:r>
      <w:r w:rsidR="00A41AF0">
        <w:t>in this document</w:t>
      </w:r>
      <w:r>
        <w:t xml:space="preserve">.  </w:t>
      </w:r>
    </w:p>
    <w:p w14:paraId="0790C2DE" w14:textId="77777777" w:rsidR="00B07B77" w:rsidRDefault="00B07B77" w:rsidP="00E640A2">
      <w:pPr>
        <w:pStyle w:val="BodyText"/>
        <w:spacing w:before="0" w:after="0"/>
      </w:pPr>
    </w:p>
    <w:p w14:paraId="579080F5" w14:textId="77777777" w:rsidR="00B07B77" w:rsidRDefault="00B07B77" w:rsidP="00E640A2">
      <w:pPr>
        <w:pStyle w:val="BodyText"/>
        <w:spacing w:before="0" w:after="0"/>
      </w:pPr>
    </w:p>
    <w:p w14:paraId="2A4970DC" w14:textId="77777777" w:rsidR="00A960E9" w:rsidRDefault="00A960E9" w:rsidP="00A960E9">
      <w:pPr>
        <w:pStyle w:val="BodyText"/>
      </w:pPr>
    </w:p>
    <w:p w14:paraId="2A4970DD" w14:textId="77777777" w:rsidR="00993138" w:rsidRDefault="00993138" w:rsidP="00A960E9">
      <w:pPr>
        <w:pStyle w:val="BodyText"/>
      </w:pPr>
    </w:p>
    <w:p w14:paraId="2A4970E1" w14:textId="77777777" w:rsidR="00A960E9" w:rsidRDefault="00A960E9" w:rsidP="00A960E9">
      <w:pPr>
        <w:pStyle w:val="BodyText"/>
      </w:pPr>
    </w:p>
    <w:p w14:paraId="2A4970E2" w14:textId="77777777" w:rsidR="00A960E9" w:rsidRDefault="00A960E9" w:rsidP="00A960E9">
      <w:pPr>
        <w:pStyle w:val="BodyText"/>
      </w:pPr>
    </w:p>
    <w:p w14:paraId="2A4970E3" w14:textId="271EECB9" w:rsidR="00A960E9" w:rsidRDefault="00ED06CB" w:rsidP="00A960E9">
      <w:pPr>
        <w:pStyle w:val="Heading1"/>
        <w:rPr>
          <w:noProof/>
        </w:rPr>
      </w:pPr>
      <w:bookmarkStart w:id="9" w:name="_Toc356371536"/>
      <w:bookmarkStart w:id="10" w:name="_Toc357172640"/>
      <w:r>
        <w:rPr>
          <w:noProof/>
        </w:rPr>
        <w:lastRenderedPageBreak/>
        <w:drawing>
          <wp:anchor distT="0" distB="0" distL="114300" distR="114300" simplePos="0" relativeHeight="251656704" behindDoc="1" locked="0" layoutInCell="1" allowOverlap="1" wp14:anchorId="2A497134" wp14:editId="2A497135">
            <wp:simplePos x="0" y="0"/>
            <wp:positionH relativeFrom="page">
              <wp:posOffset>-92710</wp:posOffset>
            </wp:positionH>
            <wp:positionV relativeFrom="page">
              <wp:posOffset>1169035</wp:posOffset>
            </wp:positionV>
            <wp:extent cx="7903210" cy="1585595"/>
            <wp:effectExtent l="0" t="0" r="2540" b="0"/>
            <wp:wrapNone/>
            <wp:docPr id="7" name="Picture 7"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AID_report_D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03210" cy="1585595"/>
                    </a:xfrm>
                    <a:prstGeom prst="rect">
                      <a:avLst/>
                    </a:prstGeom>
                    <a:noFill/>
                  </pic:spPr>
                </pic:pic>
              </a:graphicData>
            </a:graphic>
            <wp14:sizeRelH relativeFrom="page">
              <wp14:pctWidth>0</wp14:pctWidth>
            </wp14:sizeRelH>
            <wp14:sizeRelV relativeFrom="page">
              <wp14:pctHeight>0</wp14:pctHeight>
            </wp14:sizeRelV>
          </wp:anchor>
        </w:drawing>
      </w:r>
      <w:r w:rsidR="00993138">
        <w:t xml:space="preserve">Context and rationale for Australian aid in </w:t>
      </w:r>
      <w:r w:rsidR="00B91E6B">
        <w:t>Latin America</w:t>
      </w:r>
      <w:bookmarkEnd w:id="9"/>
      <w:bookmarkEnd w:id="10"/>
    </w:p>
    <w:p w14:paraId="2A4970E4" w14:textId="65FFBD46" w:rsidR="00A960E9" w:rsidRDefault="00E640A2" w:rsidP="00A960E9">
      <w:pPr>
        <w:pStyle w:val="Heading2"/>
      </w:pPr>
      <w:bookmarkStart w:id="11" w:name="_Toc356371537"/>
      <w:bookmarkStart w:id="12" w:name="_Toc357172641"/>
      <w:r>
        <w:t>Context</w:t>
      </w:r>
      <w:bookmarkEnd w:id="11"/>
      <w:bookmarkEnd w:id="12"/>
      <w:r>
        <w:t xml:space="preserve">  </w:t>
      </w:r>
    </w:p>
    <w:p w14:paraId="76F600C7" w14:textId="737BD51A" w:rsidR="0038527C" w:rsidRPr="0038527C" w:rsidRDefault="0038527C" w:rsidP="0038527C">
      <w:pPr>
        <w:pStyle w:val="BodyText"/>
      </w:pPr>
      <w:r w:rsidRPr="0038527C">
        <w:t>Latin America is a vast region with diverse social, economic, and political systems.</w:t>
      </w:r>
      <w:r w:rsidRPr="00B042E2">
        <w:rPr>
          <w:rStyle w:val="FootnoteReference"/>
        </w:rPr>
        <w:footnoteReference w:id="1"/>
      </w:r>
      <w:r w:rsidRPr="0038527C">
        <w:t xml:space="preserve"> All countries in the region are classified by the World Bank as middle income countries but development progress across the region varies, as does the gap between the rich and poor within countries. Less developed countries still require development assistance whilst the more developed economies welcome assistance to build their domestic capacity to address inequality and secure long term sustainable development.</w:t>
      </w:r>
    </w:p>
    <w:p w14:paraId="585C03A1" w14:textId="19033BBE" w:rsidR="0038527C" w:rsidRPr="0038527C" w:rsidRDefault="0038527C" w:rsidP="0038527C">
      <w:pPr>
        <w:pStyle w:val="BodyText"/>
      </w:pPr>
      <w:r w:rsidRPr="0038527C">
        <w:t xml:space="preserve">Latin America </w:t>
      </w:r>
      <w:r w:rsidR="00F807A8">
        <w:t xml:space="preserve">faces </w:t>
      </w:r>
      <w:r w:rsidRPr="0038527C">
        <w:t xml:space="preserve">constraints to economic and social development similar to those experienced by other middle income developing states. </w:t>
      </w:r>
      <w:r w:rsidRPr="00537158">
        <w:t xml:space="preserve">The number of </w:t>
      </w:r>
      <w:r>
        <w:t>people living</w:t>
      </w:r>
      <w:r w:rsidRPr="00537158">
        <w:t xml:space="preserve"> in poverty and the </w:t>
      </w:r>
      <w:r w:rsidR="00F807A8">
        <w:t>persistent</w:t>
      </w:r>
      <w:r w:rsidRPr="00537158">
        <w:t xml:space="preserve"> rates of extreme poverty in multiple countries </w:t>
      </w:r>
      <w:r>
        <w:t>are unacceptably high</w:t>
      </w:r>
      <w:r w:rsidRPr="00537158">
        <w:t>.</w:t>
      </w:r>
      <w:r w:rsidRPr="0038527C">
        <w:t xml:space="preserve"> Economies are growing, but many are dependent on natural resources and therefore vulnerable to economic shocks and falls in commodity prices.</w:t>
      </w:r>
      <w:r>
        <w:t xml:space="preserve"> </w:t>
      </w:r>
      <w:r w:rsidRPr="0038527C">
        <w:t>Technical and public sector institutions have limited capacity and resources to effect and manage development and change. The effects of climate change and natural disasters are increasing and further threaten the region’s environmental and economic base as well as posing a significant humanitarian challenge</w:t>
      </w:r>
      <w:r w:rsidR="00F807A8">
        <w:t>.</w:t>
      </w:r>
      <w:r w:rsidR="00CB005A">
        <w:t xml:space="preserve"> Security is a growing challenge to development in Central America.</w:t>
      </w:r>
    </w:p>
    <w:p w14:paraId="2F025943" w14:textId="33E37350" w:rsidR="00FE2F90" w:rsidRPr="0038527C" w:rsidRDefault="00CB005A" w:rsidP="00FE2F90">
      <w:pPr>
        <w:pStyle w:val="BodyText"/>
      </w:pPr>
      <w:r>
        <w:t>However, w</w:t>
      </w:r>
      <w:r w:rsidR="00FE2F90" w:rsidRPr="0038527C">
        <w:t xml:space="preserve">ith relative stability and economic growth there is an opportunity for Latin America to build on its success in reducing poverty to date and address entrenched and persistent development challenges. </w:t>
      </w:r>
    </w:p>
    <w:p w14:paraId="48DEE029" w14:textId="21B4C4C7" w:rsidR="0038527C" w:rsidRPr="0038527C" w:rsidRDefault="0038527C" w:rsidP="0038527C">
      <w:pPr>
        <w:pStyle w:val="BodyText"/>
      </w:pPr>
      <w:r w:rsidRPr="0038527C">
        <w:t>Australia has the capacity and development experience working with middle income countries in other regions to engage effectively in Latin America</w:t>
      </w:r>
      <w:r>
        <w:t>.</w:t>
      </w:r>
    </w:p>
    <w:p w14:paraId="2D41CB5E" w14:textId="77777777" w:rsidR="00E640A2" w:rsidRDefault="00E640A2" w:rsidP="00E640A2">
      <w:pPr>
        <w:pStyle w:val="Heading2"/>
      </w:pPr>
      <w:bookmarkStart w:id="13" w:name="_Toc356371538"/>
      <w:bookmarkStart w:id="14" w:name="_Toc357172642"/>
      <w:r>
        <w:t>Poverty and need</w:t>
      </w:r>
      <w:bookmarkEnd w:id="13"/>
      <w:bookmarkEnd w:id="14"/>
    </w:p>
    <w:p w14:paraId="164CDB75" w14:textId="2C1796DB" w:rsidR="0038527C" w:rsidRPr="0038527C" w:rsidRDefault="00FE2F90" w:rsidP="0038527C">
      <w:pPr>
        <w:pStyle w:val="BodyText"/>
      </w:pPr>
      <w:r>
        <w:t xml:space="preserve">Some </w:t>
      </w:r>
      <w:r w:rsidR="0038527C" w:rsidRPr="0038527C">
        <w:t>Latin America</w:t>
      </w:r>
      <w:r>
        <w:t xml:space="preserve">n countries </w:t>
      </w:r>
      <w:r w:rsidRPr="0038527C">
        <w:t>have</w:t>
      </w:r>
      <w:r w:rsidR="0038527C" w:rsidRPr="0038527C">
        <w:t xml:space="preserve"> made significant achievements </w:t>
      </w:r>
      <w:r w:rsidR="00F807A8">
        <w:t xml:space="preserve">towards reducing poverty and achieving </w:t>
      </w:r>
      <w:r w:rsidR="0038527C" w:rsidRPr="0038527C">
        <w:t xml:space="preserve">the </w:t>
      </w:r>
      <w:r w:rsidR="00FB0ECC">
        <w:t>Millennium Development Goals (</w:t>
      </w:r>
      <w:r w:rsidR="0038527C" w:rsidRPr="0038527C">
        <w:t>MDGs</w:t>
      </w:r>
      <w:r w:rsidR="00FB0ECC">
        <w:t>)</w:t>
      </w:r>
      <w:r w:rsidR="0038527C" w:rsidRPr="0038527C">
        <w:t xml:space="preserve">. </w:t>
      </w:r>
      <w:r>
        <w:t>However, d</w:t>
      </w:r>
      <w:r w:rsidR="0038527C">
        <w:t>e</w:t>
      </w:r>
      <w:r w:rsidR="0038527C" w:rsidRPr="00DE493A">
        <w:t xml:space="preserve">spite </w:t>
      </w:r>
      <w:r w:rsidR="0038527C">
        <w:t xml:space="preserve">these gains, </w:t>
      </w:r>
      <w:r w:rsidR="0038527C" w:rsidRPr="00DE493A">
        <w:t>poverty and inequality remain at very high levels and sustaining life and livelih</w:t>
      </w:r>
      <w:r w:rsidR="0038527C">
        <w:t xml:space="preserve">ood is a significant challenge for millions </w:t>
      </w:r>
      <w:r w:rsidR="0038527C" w:rsidRPr="00DE493A">
        <w:t>of people</w:t>
      </w:r>
      <w:r>
        <w:t xml:space="preserve"> across the region</w:t>
      </w:r>
      <w:r w:rsidR="0038527C" w:rsidRPr="00DE493A">
        <w:t>.</w:t>
      </w:r>
      <w:r w:rsidR="0038527C">
        <w:t xml:space="preserve"> </w:t>
      </w:r>
    </w:p>
    <w:p w14:paraId="6A7E1FB8" w14:textId="20031731" w:rsidR="00FE2F90" w:rsidRPr="0038527C" w:rsidRDefault="0038527C" w:rsidP="00FE2F90">
      <w:pPr>
        <w:pStyle w:val="BodyText"/>
      </w:pPr>
      <w:r w:rsidRPr="0038527C">
        <w:t>Within Latin America</w:t>
      </w:r>
      <w:r w:rsidR="00404276">
        <w:t xml:space="preserve">, </w:t>
      </w:r>
      <w:r w:rsidR="00404276" w:rsidRPr="0038527C">
        <w:t>the</w:t>
      </w:r>
      <w:r w:rsidRPr="0038527C">
        <w:t xml:space="preserve"> scale of extreme poverty (</w:t>
      </w:r>
      <w:r w:rsidR="00CB005A">
        <w:t>less than US$1.25 per day</w:t>
      </w:r>
      <w:r w:rsidR="00404276">
        <w:t>)</w:t>
      </w:r>
      <w:r w:rsidRPr="0038527C">
        <w:t xml:space="preserve"> differs widely between countries.</w:t>
      </w:r>
      <w:r w:rsidR="00404276">
        <w:t xml:space="preserve"> </w:t>
      </w:r>
      <w:r w:rsidR="00FE2F90" w:rsidRPr="0038527C">
        <w:t>The extreme poor are particularly vulnerable when economies slow down or experience shocks such as the rise in food prices between 2006 and 2008. They suffer disproportionately from natural disasters and environmental degradation. Economic shocks such as global food, fuel and financial crises in 2009, and natural disasters in Chile, Colombia, Brazil and Central America, have placed further pressure on poverty reduction efforts.</w:t>
      </w:r>
    </w:p>
    <w:p w14:paraId="10C9D4D3" w14:textId="56D8E938" w:rsidR="000F0C06" w:rsidRDefault="00FE2F90" w:rsidP="00FE2F90">
      <w:pPr>
        <w:pStyle w:val="BodyText"/>
      </w:pPr>
      <w:r w:rsidRPr="00F849EF">
        <w:lastRenderedPageBreak/>
        <w:t xml:space="preserve">Andean countries </w:t>
      </w:r>
      <w:r w:rsidR="00404276">
        <w:t>(</w:t>
      </w:r>
      <w:r w:rsidRPr="00F849EF">
        <w:t>Colombia, Ecuador, Peru, Bolivia and Paraguay</w:t>
      </w:r>
      <w:r w:rsidR="00DF11CC">
        <w:t xml:space="preserve">) </w:t>
      </w:r>
      <w:r w:rsidR="00DF11CC" w:rsidRPr="00F849EF">
        <w:t>are</w:t>
      </w:r>
      <w:r w:rsidRPr="00F849EF">
        <w:t xml:space="preserve"> the poorest and most unequal countries of South America. The Central America countries of Guatemala, Honduras, El Salvador and Nicaragua are the poorest and most vulnerable in Latin America.</w:t>
      </w:r>
      <w:r w:rsidR="000F0C06" w:rsidRPr="00261A0E">
        <w:rPr>
          <w:rStyle w:val="FootnoteReference"/>
        </w:rPr>
        <w:footnoteReference w:id="2"/>
      </w:r>
    </w:p>
    <w:p w14:paraId="0B98E49D" w14:textId="34369952" w:rsidR="000F0C06" w:rsidRPr="0038527C" w:rsidRDefault="000F0C06" w:rsidP="0038527C">
      <w:pPr>
        <w:pStyle w:val="BodyText"/>
      </w:pPr>
      <w:r w:rsidRPr="0038527C">
        <w:t>Many Latin American countries have far higher rates of poverty and extreme poverty than comparable middle income countries in other regions.</w:t>
      </w:r>
      <w:r w:rsidRPr="00C65196">
        <w:rPr>
          <w:rStyle w:val="FootnoteReference"/>
        </w:rPr>
        <w:footnoteReference w:id="3"/>
      </w:r>
      <w:r w:rsidRPr="0038527C">
        <w:t xml:space="preserve"> This is because Latin America is the most unequal region in the world</w:t>
      </w:r>
      <w:r>
        <w:t>—</w:t>
      </w:r>
      <w:r w:rsidRPr="0038527C">
        <w:t>ten of the world’s 15 most unequal countries are in Latin America.</w:t>
      </w:r>
      <w:r w:rsidRPr="00C65196">
        <w:rPr>
          <w:rStyle w:val="FootnoteReference"/>
        </w:rPr>
        <w:footnoteReference w:id="4"/>
      </w:r>
      <w:r w:rsidRPr="0038527C">
        <w:t xml:space="preserve"> In many Latin American countries, those in the top 20 per cent income bracket have over 55 per cent of total national income and those in the bottom 20 per cent have 3.5 per cent or less of total national income.</w:t>
      </w:r>
      <w:r>
        <w:t xml:space="preserve"> T</w:t>
      </w:r>
      <w:r w:rsidRPr="0038527C">
        <w:t>he richest one-t</w:t>
      </w:r>
      <w:r>
        <w:t>enth of the population earns 48 per cent</w:t>
      </w:r>
      <w:r w:rsidRPr="0038527C">
        <w:t xml:space="preserve"> of the total income.</w:t>
      </w:r>
      <w:r w:rsidRPr="00C65196">
        <w:rPr>
          <w:rStyle w:val="FootnoteReference"/>
        </w:rPr>
        <w:footnoteReference w:id="5"/>
      </w:r>
    </w:p>
    <w:p w14:paraId="70A0599C" w14:textId="34BACD5B" w:rsidR="000F0C06" w:rsidRPr="0038527C" w:rsidRDefault="000F0C06" w:rsidP="0038527C">
      <w:pPr>
        <w:pStyle w:val="BodyText"/>
      </w:pPr>
      <w:r w:rsidRPr="0038527C">
        <w:t>Whilst development challenges vary between count</w:t>
      </w:r>
      <w:r w:rsidR="00954167">
        <w:t>r</w:t>
      </w:r>
      <w:r w:rsidRPr="0038527C">
        <w:t>ies, the Organisation for Economic Cooperation and Development (OECD) has highlighted key opportunities for Latin America to build inclusive and sustainable long-term development. Reducing inequality, improving the provision of public services and public sector management</w:t>
      </w:r>
      <w:r>
        <w:t>,</w:t>
      </w:r>
      <w:r w:rsidRPr="0038527C">
        <w:t xml:space="preserve"> and promoting economic diversification are seen as particularly relevant alongside fiscal reform.</w:t>
      </w:r>
      <w:r w:rsidRPr="00C65196">
        <w:rPr>
          <w:rStyle w:val="FootnoteReference"/>
        </w:rPr>
        <w:footnoteReference w:id="6"/>
      </w:r>
      <w:r w:rsidRPr="00C65196">
        <w:rPr>
          <w:rStyle w:val="FootnoteReference"/>
        </w:rPr>
        <w:t xml:space="preserve"> </w:t>
      </w:r>
      <w:r w:rsidRPr="0038527C">
        <w:t xml:space="preserve"> </w:t>
      </w:r>
    </w:p>
    <w:p w14:paraId="2F5BE36E" w14:textId="22F2C52D" w:rsidR="000F0C06" w:rsidRPr="0038527C" w:rsidRDefault="000F0C06" w:rsidP="0038527C">
      <w:pPr>
        <w:pStyle w:val="BodyText"/>
      </w:pPr>
      <w:r w:rsidRPr="0038527C">
        <w:t xml:space="preserve">The unusually high level of inequality in Latin America is a fundamental impediment to individuals’ quality of life as well as overall economic growth and development. Women, indigenous and Afro-descendent populations experience poverty disproportionately, </w:t>
      </w:r>
      <w:r>
        <w:t>and</w:t>
      </w:r>
      <w:r w:rsidRPr="0038527C">
        <w:t xml:space="preserve"> the incidence of extreme poverty in rural areas</w:t>
      </w:r>
      <w:r>
        <w:t xml:space="preserve"> is</w:t>
      </w:r>
      <w:r w:rsidRPr="0038527C">
        <w:t xml:space="preserve"> three times higher than in urban areas. This reflects the lack of economic and social development opportunities for marginalised populations as well as longstanding disadvantage based on gender and racial-ethnic origins, leading to persistent intergenerational disadvantage. These people are generally the least able to access expanded opportunities when economic growth accelerates.</w:t>
      </w:r>
    </w:p>
    <w:p w14:paraId="68B75CFA" w14:textId="045AC921" w:rsidR="000F0C06" w:rsidRPr="0038527C" w:rsidRDefault="000F0C06" w:rsidP="0038527C">
      <w:pPr>
        <w:pStyle w:val="BodyText"/>
      </w:pPr>
      <w:r w:rsidRPr="0038527C">
        <w:t xml:space="preserve">Inequality in Latin America is also reinforced by low participation of disadvantaged people in the formal sector, which </w:t>
      </w:r>
      <w:r>
        <w:t>would normally give</w:t>
      </w:r>
      <w:r w:rsidRPr="0038527C">
        <w:t xml:space="preserve"> people access to a range of public social protection programs such as pensions and health insurance.</w:t>
      </w:r>
      <w:r w:rsidRPr="00C65196">
        <w:rPr>
          <w:rStyle w:val="FootnoteReference"/>
        </w:rPr>
        <w:footnoteReference w:id="7"/>
      </w:r>
    </w:p>
    <w:p w14:paraId="2A4970E8" w14:textId="5D76C02E" w:rsidR="000F0C06" w:rsidRDefault="000F0C06" w:rsidP="0038527C">
      <w:pPr>
        <w:pStyle w:val="Heading2"/>
      </w:pPr>
      <w:bookmarkStart w:id="15" w:name="_Toc356371539"/>
      <w:bookmarkStart w:id="16" w:name="_Toc357172643"/>
      <w:r>
        <w:t>Australia’s national interests</w:t>
      </w:r>
      <w:bookmarkEnd w:id="15"/>
      <w:bookmarkEnd w:id="16"/>
    </w:p>
    <w:p w14:paraId="462DC482" w14:textId="4AFF2AC7" w:rsidR="000F0C06" w:rsidRPr="0038527C" w:rsidRDefault="000F0C06" w:rsidP="0038527C">
      <w:pPr>
        <w:pStyle w:val="BodyText"/>
      </w:pPr>
      <w:proofErr w:type="spellStart"/>
      <w:r w:rsidRPr="0038527C">
        <w:t>AusAID’s</w:t>
      </w:r>
      <w:proofErr w:type="spellEnd"/>
      <w:r w:rsidRPr="0038527C">
        <w:t xml:space="preserve"> Latin America regional </w:t>
      </w:r>
      <w:r>
        <w:t>p</w:t>
      </w:r>
      <w:r w:rsidRPr="0038527C">
        <w:t xml:space="preserve">rogram reflects Australia’s foreign policy and national interests by promoting global stability and prosperity. It is in Australia’s interest to support human development and security beyond our region and </w:t>
      </w:r>
      <w:r>
        <w:t xml:space="preserve">our </w:t>
      </w:r>
      <w:r w:rsidRPr="0038527C">
        <w:t xml:space="preserve">traditional partners. </w:t>
      </w:r>
    </w:p>
    <w:p w14:paraId="6214E296" w14:textId="753CF30F" w:rsidR="000F0C06" w:rsidRPr="0038527C" w:rsidRDefault="000F0C06" w:rsidP="0038527C">
      <w:pPr>
        <w:pStyle w:val="BodyText"/>
      </w:pPr>
      <w:r w:rsidRPr="0038527C">
        <w:t xml:space="preserve">Australia has </w:t>
      </w:r>
      <w:r>
        <w:t>significant</w:t>
      </w:r>
      <w:r w:rsidRPr="0038527C">
        <w:t xml:space="preserve"> economic interests in Latin America. Backed by trade agreements, strong relationships and a good investment environment, Australia's two-way merchandise trade with Latin America has grown consistently over the past decade, reaching $7.7 billion in 2011.</w:t>
      </w:r>
      <w:r w:rsidRPr="00C65196">
        <w:rPr>
          <w:rStyle w:val="FootnoteReference"/>
        </w:rPr>
        <w:footnoteReference w:id="8"/>
      </w:r>
      <w:r w:rsidRPr="00C65196">
        <w:rPr>
          <w:rStyle w:val="FootnoteReference"/>
        </w:rPr>
        <w:t xml:space="preserve"> </w:t>
      </w:r>
      <w:r w:rsidRPr="0038527C">
        <w:t xml:space="preserve">Brazil, Mexico and Chile are Australia’s largest trading partners in Latin America, accounting for $6.15 billion. Australian </w:t>
      </w:r>
      <w:r w:rsidRPr="0038527C">
        <w:lastRenderedPageBreak/>
        <w:t>investments are in excess of $27 billion.</w:t>
      </w:r>
      <w:r w:rsidRPr="00C65196">
        <w:rPr>
          <w:rStyle w:val="FootnoteReference"/>
        </w:rPr>
        <w:footnoteReference w:id="9"/>
      </w:r>
      <w:r w:rsidRPr="0038527C">
        <w:t xml:space="preserve"> Australian companies in mining and agribusiness and renewable energy have significant interests in the region</w:t>
      </w:r>
      <w:r>
        <w:t>.</w:t>
      </w:r>
    </w:p>
    <w:p w14:paraId="56458C00" w14:textId="407082B6" w:rsidR="000F0C06" w:rsidRPr="0038527C" w:rsidRDefault="000F0C06" w:rsidP="0038527C">
      <w:pPr>
        <w:pStyle w:val="BodyText"/>
      </w:pPr>
      <w:r w:rsidRPr="0038527C">
        <w:t>People to people and institutional links are growing, primarily through tourism</w:t>
      </w:r>
      <w:r>
        <w:t xml:space="preserve"> and education</w:t>
      </w:r>
      <w:r w:rsidRPr="0038527C">
        <w:t>. In 2012</w:t>
      </w:r>
      <w:r>
        <w:t xml:space="preserve"> around</w:t>
      </w:r>
      <w:r w:rsidRPr="0038527C">
        <w:t xml:space="preserve"> 21 000 Latin American students were studying in Australia</w:t>
      </w:r>
      <w:r>
        <w:t>,</w:t>
      </w:r>
      <w:r w:rsidRPr="0038527C">
        <w:t xml:space="preserve"> and enrolments are growing. Improved promotion and transport between Australia and Latin America have also boosted tourist numbers from the region, reaching 69 300 in 2011, at an economic value of $500 million to Australia.</w:t>
      </w:r>
      <w:r w:rsidRPr="00C65196">
        <w:rPr>
          <w:rStyle w:val="FootnoteReference"/>
        </w:rPr>
        <w:footnoteReference w:id="10"/>
      </w:r>
      <w:r w:rsidRPr="0038527C">
        <w:t xml:space="preserve"> </w:t>
      </w:r>
    </w:p>
    <w:p w14:paraId="6423BB50" w14:textId="7B88E4E4" w:rsidR="000F0C06" w:rsidRPr="0038527C" w:rsidRDefault="000F0C06" w:rsidP="0038527C">
      <w:pPr>
        <w:pStyle w:val="BodyText"/>
      </w:pPr>
      <w:r w:rsidRPr="0038527C">
        <w:t xml:space="preserve">Recent years have seen increases in Australia’s cooperation with Latin America in </w:t>
      </w:r>
      <w:r>
        <w:t>international</w:t>
      </w:r>
      <w:r w:rsidRPr="0038527C">
        <w:t xml:space="preserve"> </w:t>
      </w:r>
      <w:proofErr w:type="spellStart"/>
      <w:r w:rsidRPr="0038527C">
        <w:t>fora</w:t>
      </w:r>
      <w:proofErr w:type="spellEnd"/>
      <w:r w:rsidRPr="0038527C">
        <w:t>, notably the World Trade Organi</w:t>
      </w:r>
      <w:r>
        <w:t>z</w:t>
      </w:r>
      <w:r w:rsidRPr="0038527C">
        <w:t>ation and Cairns Group, Group of Twenty Finance Ministers and Central Bank Governors, UN Group of Friends of the Responsibility to Protect, UN Climate Change Conference of the Parties, Asia-Pacific Economic Cooperation</w:t>
      </w:r>
      <w:r>
        <w:t>, Central America Integration System (SICA),</w:t>
      </w:r>
      <w:r w:rsidRPr="0038527C">
        <w:t xml:space="preserve"> and The Forum of East Asia-Latin America Cooperation. Australia has worked closely with Brazil, Argentina and Mexico </w:t>
      </w:r>
      <w:r>
        <w:t xml:space="preserve">on issues relating </w:t>
      </w:r>
      <w:r w:rsidRPr="0038527C">
        <w:t xml:space="preserve">to reform </w:t>
      </w:r>
      <w:r>
        <w:t xml:space="preserve">of </w:t>
      </w:r>
      <w:r w:rsidRPr="0038527C">
        <w:t xml:space="preserve">the global financial system.  </w:t>
      </w:r>
    </w:p>
    <w:p w14:paraId="2A4970EC" w14:textId="77777777" w:rsidR="000F0C06" w:rsidRDefault="000F0C06" w:rsidP="00A960E9">
      <w:pPr>
        <w:pStyle w:val="Heading2"/>
      </w:pPr>
      <w:bookmarkStart w:id="17" w:name="_Toc356371540"/>
      <w:bookmarkStart w:id="18" w:name="_Toc357172644"/>
      <w:r>
        <w:t>Capacity to make a difference</w:t>
      </w:r>
      <w:bookmarkEnd w:id="17"/>
      <w:bookmarkEnd w:id="18"/>
    </w:p>
    <w:p w14:paraId="3B4AB0C2" w14:textId="1F9818EC" w:rsidR="000F0C06" w:rsidRPr="0038527C" w:rsidRDefault="000F0C06" w:rsidP="0038527C">
      <w:pPr>
        <w:pStyle w:val="BodyText"/>
      </w:pPr>
      <w:r w:rsidRPr="0038527C">
        <w:t xml:space="preserve">Australia’s capacity to make a difference in </w:t>
      </w:r>
      <w:r>
        <w:t>Latin America</w:t>
      </w:r>
      <w:r w:rsidRPr="0038527C">
        <w:t xml:space="preserve"> </w:t>
      </w:r>
      <w:r>
        <w:t xml:space="preserve">through the aid program </w:t>
      </w:r>
      <w:r w:rsidRPr="0038527C">
        <w:t>lies in our experience supporting development in many regions of the world</w:t>
      </w:r>
      <w:r>
        <w:t xml:space="preserve"> including middle-income countries. </w:t>
      </w:r>
      <w:r w:rsidRPr="0038527C">
        <w:t xml:space="preserve">Our approach to development and Australia’s technical institutions are recognised for their </w:t>
      </w:r>
      <w:r>
        <w:t xml:space="preserve">relevance and </w:t>
      </w:r>
      <w:r w:rsidRPr="0038527C">
        <w:t xml:space="preserve">responsiveness to </w:t>
      </w:r>
      <w:r>
        <w:t>regional needs</w:t>
      </w:r>
      <w:r w:rsidRPr="0038527C">
        <w:t xml:space="preserve"> and flexibility to provide assistance effectively in partnership with recipient countries. </w:t>
      </w:r>
    </w:p>
    <w:p w14:paraId="3B6BE59B" w14:textId="29AB44B8" w:rsidR="000F0C06" w:rsidRDefault="000F0C06" w:rsidP="0038527C">
      <w:pPr>
        <w:pStyle w:val="BodyText"/>
      </w:pPr>
      <w:r w:rsidRPr="0038527C">
        <w:t>Our international recognition and expertise in</w:t>
      </w:r>
      <w:r>
        <w:t xml:space="preserve"> governance,</w:t>
      </w:r>
      <w:r w:rsidRPr="0038527C">
        <w:t xml:space="preserve"> disaster management and risk reduction, and sustainable economic development align with the needs of Latin American countries and place us in a strong position to share our </w:t>
      </w:r>
      <w:r>
        <w:t xml:space="preserve">domestic and international </w:t>
      </w:r>
      <w:r w:rsidRPr="0038527C">
        <w:t xml:space="preserve">expertise. </w:t>
      </w:r>
    </w:p>
    <w:p w14:paraId="79A8B98D" w14:textId="4DC1EAF3" w:rsidR="000F0C06" w:rsidRDefault="000F0C06" w:rsidP="0038527C">
      <w:pPr>
        <w:pStyle w:val="BodyText"/>
      </w:pPr>
      <w:r>
        <w:t>Australia’s experience in natural resource management and mining in particular is well recognised and our support to build capacity in this sector is increasingly sought. Latin American countries recognise Australia’s stable institutional governance and delivery capacity at all levels and they are keen to draw on and learn from this.</w:t>
      </w:r>
    </w:p>
    <w:p w14:paraId="35545110" w14:textId="58E35CDE" w:rsidR="000F0C06" w:rsidRPr="0038527C" w:rsidRDefault="000F0C06" w:rsidP="0038527C">
      <w:pPr>
        <w:pStyle w:val="BodyText"/>
      </w:pPr>
      <w:r w:rsidRPr="0038527C">
        <w:t xml:space="preserve">Australia has world class education opportunities, which when </w:t>
      </w:r>
      <w:r>
        <w:t xml:space="preserve">made </w:t>
      </w:r>
      <w:r w:rsidRPr="0038527C">
        <w:t xml:space="preserve">accessible to developing countries through scholarships and fellowships help build local capacity and leadership to support sustained development. </w:t>
      </w:r>
    </w:p>
    <w:p w14:paraId="7EB69FE9" w14:textId="235F4A50" w:rsidR="000F0C06" w:rsidRPr="0038527C" w:rsidRDefault="000F0C06" w:rsidP="0038527C">
      <w:pPr>
        <w:pStyle w:val="BodyText"/>
      </w:pPr>
      <w:r w:rsidRPr="0038527C">
        <w:t xml:space="preserve">Australia is recognised and respected internationally for its commitment to the MDGs. Australia provides a strong voice in international </w:t>
      </w:r>
      <w:proofErr w:type="spellStart"/>
      <w:r>
        <w:t>fora</w:t>
      </w:r>
      <w:proofErr w:type="spellEnd"/>
      <w:r w:rsidRPr="0038527C">
        <w:t xml:space="preserve"> such as the G20 and United Nations Security Council </w:t>
      </w:r>
      <w:r>
        <w:t xml:space="preserve">advocating </w:t>
      </w:r>
      <w:r w:rsidRPr="0038527C">
        <w:t xml:space="preserve">the interests of developing nations. </w:t>
      </w:r>
      <w:r w:rsidRPr="00F849EF">
        <w:t>New partnerships formed through this engagement</w:t>
      </w:r>
      <w:r>
        <w:t xml:space="preserve"> also</w:t>
      </w:r>
      <w:r w:rsidRPr="00F849EF">
        <w:t xml:space="preserve"> enable us to maximise </w:t>
      </w:r>
      <w:r>
        <w:t>our voice</w:t>
      </w:r>
      <w:r w:rsidRPr="00F849EF">
        <w:t xml:space="preserve"> and shared interests in international </w:t>
      </w:r>
      <w:proofErr w:type="spellStart"/>
      <w:r w:rsidRPr="00F849EF">
        <w:t>fora</w:t>
      </w:r>
      <w:proofErr w:type="spellEnd"/>
      <w:r w:rsidRPr="00F849EF">
        <w:t>.</w:t>
      </w:r>
    </w:p>
    <w:p w14:paraId="3F21AA53" w14:textId="044AE42C" w:rsidR="000F0C06" w:rsidRPr="0038527C" w:rsidRDefault="000F0C06" w:rsidP="0038527C">
      <w:pPr>
        <w:pStyle w:val="BodyText"/>
      </w:pPr>
      <w:r w:rsidRPr="0038527C">
        <w:t xml:space="preserve">In Latin America, Australia </w:t>
      </w:r>
      <w:r>
        <w:t>has the benefit of being</w:t>
      </w:r>
      <w:r w:rsidRPr="0038527C">
        <w:t xml:space="preserve"> a new development actor which is free from the constraints and sensitivities inherent in </w:t>
      </w:r>
      <w:r>
        <w:t>post-</w:t>
      </w:r>
      <w:r w:rsidRPr="0038527C">
        <w:t>colonial relationships.</w:t>
      </w:r>
      <w:r>
        <w:t xml:space="preserve"> The perception of Australia as an effective and neutral partner in development facilitates our engagement at bilateral and regional levels beyond what would ordinarily be expected from the actual scale of our investment. </w:t>
      </w:r>
    </w:p>
    <w:p w14:paraId="2A4970F0" w14:textId="77777777" w:rsidR="000F0C06" w:rsidRDefault="000F0C06" w:rsidP="00A960E9">
      <w:pPr>
        <w:pStyle w:val="Heading2"/>
      </w:pPr>
      <w:bookmarkStart w:id="19" w:name="_Toc356371541"/>
      <w:bookmarkStart w:id="20" w:name="_Toc357172645"/>
      <w:r>
        <w:t>Scale and effectiveness</w:t>
      </w:r>
      <w:bookmarkEnd w:id="19"/>
      <w:bookmarkEnd w:id="20"/>
    </w:p>
    <w:p w14:paraId="2A13DA56" w14:textId="30D0898A" w:rsidR="000F0C06" w:rsidRPr="00F849EF" w:rsidRDefault="000F0C06" w:rsidP="00F849EF">
      <w:pPr>
        <w:pStyle w:val="BodyText"/>
      </w:pPr>
      <w:r w:rsidRPr="00F849EF">
        <w:t>The top three bilateral donors for 2011</w:t>
      </w:r>
      <w:r w:rsidR="00D80E4B">
        <w:t>—</w:t>
      </w:r>
      <w:r w:rsidRPr="00F849EF">
        <w:t>United States (US$ 1.75 billion), Germany (US$1.29</w:t>
      </w:r>
      <w:r>
        <w:t xml:space="preserve"> billion</w:t>
      </w:r>
      <w:r w:rsidRPr="00F849EF">
        <w:t>) and France (US$773 million)</w:t>
      </w:r>
      <w:r w:rsidR="002A55C3">
        <w:t>—</w:t>
      </w:r>
      <w:r w:rsidRPr="00F849EF">
        <w:t xml:space="preserve">made significant </w:t>
      </w:r>
      <w:r w:rsidR="00D80E4B">
        <w:t>official development assistance (</w:t>
      </w:r>
      <w:r w:rsidRPr="00F849EF">
        <w:t>ODA</w:t>
      </w:r>
      <w:r w:rsidR="00D80E4B">
        <w:t>)</w:t>
      </w:r>
      <w:r w:rsidRPr="00F849EF">
        <w:t xml:space="preserve"> contributions</w:t>
      </w:r>
      <w:r>
        <w:t xml:space="preserve"> to Latin </w:t>
      </w:r>
      <w:r>
        <w:lastRenderedPageBreak/>
        <w:t>America</w:t>
      </w:r>
      <w:r w:rsidRPr="00F849EF">
        <w:t>.</w:t>
      </w:r>
      <w:r w:rsidRPr="00C65196">
        <w:rPr>
          <w:rStyle w:val="FootnoteReference"/>
        </w:rPr>
        <w:footnoteReference w:id="11"/>
      </w:r>
      <w:r w:rsidRPr="00F849EF">
        <w:t xml:space="preserve"> Canada, a medium-sized donor, provided approximately US$</w:t>
      </w:r>
      <w:r>
        <w:t>305</w:t>
      </w:r>
      <w:r w:rsidRPr="00F849EF">
        <w:t xml:space="preserve"> million.</w:t>
      </w:r>
      <w:r>
        <w:rPr>
          <w:rStyle w:val="FootnoteReference"/>
        </w:rPr>
        <w:footnoteReference w:id="12"/>
      </w:r>
      <w:r w:rsidRPr="00F849EF">
        <w:t xml:space="preserve"> The top three multilateral donors to Latin America are the Inter-American Development Bank</w:t>
      </w:r>
      <w:r>
        <w:t>,</w:t>
      </w:r>
      <w:r w:rsidRPr="00F849EF">
        <w:t xml:space="preserve"> European Union Institutions, and the World Bank’s International Development Association.</w:t>
      </w:r>
      <w:r w:rsidRPr="00C65196">
        <w:rPr>
          <w:rStyle w:val="FootnoteReference"/>
        </w:rPr>
        <w:footnoteReference w:id="13"/>
      </w:r>
    </w:p>
    <w:p w14:paraId="42ABB9C6" w14:textId="39CADC97" w:rsidR="000F0C06" w:rsidRPr="00F849EF" w:rsidRDefault="000F0C06" w:rsidP="00F8143A">
      <w:pPr>
        <w:pStyle w:val="BodyText"/>
      </w:pPr>
      <w:r>
        <w:t>Australia’s average ODA flow to Latin America is around $13 million per year, representing around</w:t>
      </w:r>
      <w:r w:rsidRPr="00F849EF">
        <w:t xml:space="preserve"> 0.5 per cent of Australia’s </w:t>
      </w:r>
      <w:r>
        <w:t>annual</w:t>
      </w:r>
      <w:r w:rsidRPr="00F849EF">
        <w:t xml:space="preserve"> aid budget.</w:t>
      </w:r>
      <w:r>
        <w:rPr>
          <w:rStyle w:val="FootnoteReference"/>
        </w:rPr>
        <w:footnoteReference w:id="14"/>
      </w:r>
      <w:r w:rsidRPr="00441C4B">
        <w:t xml:space="preserve"> </w:t>
      </w:r>
      <w:r>
        <w:t>In this context,</w:t>
      </w:r>
      <w:r w:rsidRPr="00F8143A">
        <w:t xml:space="preserve"> </w:t>
      </w:r>
      <w:r w:rsidRPr="00F849EF">
        <w:t xml:space="preserve">Australia’s investment </w:t>
      </w:r>
      <w:r>
        <w:t>is small relative to other donors.</w:t>
      </w:r>
    </w:p>
    <w:p w14:paraId="3880D7D8" w14:textId="56341487" w:rsidR="000F0C06" w:rsidRDefault="000F0C06" w:rsidP="00F849EF">
      <w:pPr>
        <w:pStyle w:val="BodyText"/>
      </w:pPr>
      <w:r w:rsidRPr="00F849EF">
        <w:t xml:space="preserve">Our ability to achieve effective outcomes is </w:t>
      </w:r>
      <w:r>
        <w:t xml:space="preserve">also </w:t>
      </w:r>
      <w:r w:rsidRPr="00F849EF">
        <w:t>challenged by the scale of our aid relative to the size, diversity and complexity of the region where no single body advocates for the region as a whole</w:t>
      </w:r>
      <w:r>
        <w:t xml:space="preserve"> and the needs of the region remain vast</w:t>
      </w:r>
      <w:r w:rsidRPr="00F849EF">
        <w:t xml:space="preserve">. A further challenge is our limited presence and experience in the region. </w:t>
      </w:r>
    </w:p>
    <w:p w14:paraId="64649D74" w14:textId="436C45C0" w:rsidR="000F0C06" w:rsidRPr="00F849EF" w:rsidRDefault="000F0C06" w:rsidP="00F849EF">
      <w:pPr>
        <w:pStyle w:val="BodyText"/>
      </w:pPr>
      <w:r>
        <w:t>To maximise our impact</w:t>
      </w:r>
      <w:r w:rsidRPr="00F849EF">
        <w:t xml:space="preserve">, Australia’s aid contribution </w:t>
      </w:r>
      <w:r>
        <w:t>will</w:t>
      </w:r>
      <w:r w:rsidRPr="00F849EF">
        <w:t xml:space="preserve"> achieve results by strategic</w:t>
      </w:r>
      <w:r>
        <w:t xml:space="preserve">ally targeting sectors where we can add value </w:t>
      </w:r>
      <w:r w:rsidRPr="00F849EF">
        <w:t xml:space="preserve">and </w:t>
      </w:r>
      <w:r>
        <w:t xml:space="preserve">by </w:t>
      </w:r>
      <w:r w:rsidRPr="00F849EF">
        <w:t>delivering assistance through</w:t>
      </w:r>
      <w:r w:rsidR="002A55C3">
        <w:t>—</w:t>
      </w:r>
      <w:r>
        <w:t xml:space="preserve">or in partnership with other donors </w:t>
      </w:r>
      <w:r w:rsidRPr="00F849EF">
        <w:t>(</w:t>
      </w:r>
      <w:r>
        <w:t xml:space="preserve">regional, </w:t>
      </w:r>
      <w:r w:rsidRPr="00F849EF">
        <w:t xml:space="preserve">multilateral </w:t>
      </w:r>
      <w:r>
        <w:t>and bilateral)</w:t>
      </w:r>
      <w:r w:rsidR="002A55C3" w:rsidRPr="002A55C3">
        <w:t xml:space="preserve"> </w:t>
      </w:r>
      <w:r w:rsidR="002A55C3">
        <w:t>—</w:t>
      </w:r>
      <w:r>
        <w:t>who are already delivering results on the ground.</w:t>
      </w:r>
      <w:r w:rsidRPr="00F849EF">
        <w:t xml:space="preserve"> </w:t>
      </w:r>
    </w:p>
    <w:p w14:paraId="2A4970F3" w14:textId="02F95073" w:rsidR="000F0C06" w:rsidRPr="00D81143" w:rsidRDefault="000F0C06" w:rsidP="00F849EF">
      <w:pPr>
        <w:pStyle w:val="Heading1"/>
        <w:rPr>
          <w:noProof/>
        </w:rPr>
      </w:pPr>
      <w:bookmarkStart w:id="21" w:name="_Toc356371542"/>
      <w:bookmarkStart w:id="22" w:name="_Toc357172646"/>
      <w:r>
        <w:rPr>
          <w:noProof/>
        </w:rPr>
        <w:lastRenderedPageBreak/>
        <w:drawing>
          <wp:anchor distT="0" distB="0" distL="114300" distR="114300" simplePos="0" relativeHeight="251666944" behindDoc="1" locked="0" layoutInCell="1" allowOverlap="1" wp14:anchorId="2A497136" wp14:editId="2A497137">
            <wp:simplePos x="0" y="0"/>
            <wp:positionH relativeFrom="page">
              <wp:posOffset>-92710</wp:posOffset>
            </wp:positionH>
            <wp:positionV relativeFrom="page">
              <wp:posOffset>1054735</wp:posOffset>
            </wp:positionV>
            <wp:extent cx="7788910" cy="1585595"/>
            <wp:effectExtent l="0" t="0" r="2540" b="0"/>
            <wp:wrapNone/>
            <wp:docPr id="10" name="Picture 10"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sAID_report_D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Pr>
          <w:noProof/>
        </w:rPr>
        <w:t>Strategic priorities for Australian aid</w:t>
      </w:r>
      <w:bookmarkEnd w:id="21"/>
      <w:bookmarkEnd w:id="22"/>
    </w:p>
    <w:p w14:paraId="2A4970F4" w14:textId="77777777" w:rsidR="000F0C06" w:rsidRDefault="000F0C06" w:rsidP="00993138">
      <w:pPr>
        <w:pStyle w:val="Heading2"/>
      </w:pPr>
      <w:bookmarkStart w:id="23" w:name="_Toc356371543"/>
      <w:bookmarkStart w:id="24" w:name="_Toc357172647"/>
      <w:r>
        <w:t>Proposed focus areas, expected outcomes and Australia’s contribution</w:t>
      </w:r>
      <w:bookmarkEnd w:id="23"/>
      <w:bookmarkEnd w:id="24"/>
    </w:p>
    <w:p w14:paraId="169120AD" w14:textId="1CA7E281" w:rsidR="000F0C06" w:rsidRDefault="000F0C06" w:rsidP="00F849EF">
      <w:pPr>
        <w:pStyle w:val="BodyText"/>
      </w:pPr>
      <w:r w:rsidRPr="00F849EF">
        <w:t xml:space="preserve">Consistent with the Comprehensive Aid Policy Framework, Australia’s aid </w:t>
      </w:r>
      <w:r>
        <w:t>will</w:t>
      </w:r>
      <w:r w:rsidRPr="00F849EF">
        <w:t xml:space="preserve">: </w:t>
      </w:r>
    </w:p>
    <w:p w14:paraId="366F680C" w14:textId="77777777" w:rsidR="000F0C06" w:rsidRDefault="000F0C06" w:rsidP="00F849EF">
      <w:pPr>
        <w:pStyle w:val="BodyText"/>
      </w:pPr>
    </w:p>
    <w:p w14:paraId="52C5160B" w14:textId="02958E19" w:rsidR="000F0C06" w:rsidRPr="00F849EF" w:rsidRDefault="000F0C06" w:rsidP="007E3C56">
      <w:pPr>
        <w:pStyle w:val="BodyText"/>
        <w:numPr>
          <w:ilvl w:val="0"/>
          <w:numId w:val="19"/>
        </w:numPr>
      </w:pPr>
      <w:r>
        <w:rPr>
          <w:b/>
        </w:rPr>
        <w:t>S</w:t>
      </w:r>
      <w:r w:rsidRPr="007E3C56">
        <w:rPr>
          <w:b/>
        </w:rPr>
        <w:t>upport sustainable economic development</w:t>
      </w:r>
      <w:r w:rsidR="00D80E4B">
        <w:t>—</w:t>
      </w:r>
      <w:r w:rsidRPr="00F849EF">
        <w:t>by helping improve food security</w:t>
      </w:r>
      <w:r>
        <w:t>,</w:t>
      </w:r>
      <w:r w:rsidRPr="00F849EF">
        <w:t xml:space="preserve"> incomes and enterprise opportunities; and helping reduce the negative impacts of climate change and other environmental factors.</w:t>
      </w:r>
    </w:p>
    <w:p w14:paraId="71AC61BF" w14:textId="5E123E47" w:rsidR="000F0C06" w:rsidRPr="004206CA" w:rsidRDefault="000F0C06" w:rsidP="007E3C56">
      <w:pPr>
        <w:pStyle w:val="BodyText"/>
        <w:ind w:left="360"/>
      </w:pPr>
      <w:r>
        <w:t>O</w:t>
      </w:r>
      <w:r w:rsidRPr="004206CA">
        <w:t xml:space="preserve">ne of the best ways to help people out of poverty is by generating sustainable economic growth and providing them with the opportunity to earn a living. Jobs increase people’s incomes and generate revenue for governments to reinvest in services such as education and health. </w:t>
      </w:r>
      <w:r>
        <w:t>T</w:t>
      </w:r>
      <w:r w:rsidRPr="004206CA">
        <w:t>he program is</w:t>
      </w:r>
      <w:r>
        <w:t xml:space="preserve"> primarily focusing on</w:t>
      </w:r>
      <w:r w:rsidRPr="004206CA">
        <w:t>:</w:t>
      </w:r>
    </w:p>
    <w:p w14:paraId="077899B6" w14:textId="77777777" w:rsidR="000F0C06" w:rsidRDefault="000F0C06" w:rsidP="007E3C56">
      <w:pPr>
        <w:pStyle w:val="BodyText"/>
        <w:numPr>
          <w:ilvl w:val="1"/>
          <w:numId w:val="19"/>
        </w:numPr>
      </w:pPr>
      <w:r w:rsidRPr="00C67DAD">
        <w:rPr>
          <w:b/>
        </w:rPr>
        <w:t>Improving incomes, employment and enterprise opportunities:</w:t>
      </w:r>
      <w:r w:rsidRPr="007E3C56">
        <w:t xml:space="preserve"> Private enterprise increases the capacity of individuals to break out of the poverty cycle and also contributes to increasing government revenues which can be reinvested in improving service delivery. In Latin America the poor often lack access to capital and financial management skills necessary for them to develop self-sustaining enterprises. Relatively small-scale micro-finance initiatives support individuals and communities to engage in enterprise that has the capacity to raise them out of poverty.</w:t>
      </w:r>
    </w:p>
    <w:p w14:paraId="34EF44D2" w14:textId="6D9A2B0A" w:rsidR="000F0C06" w:rsidRPr="007E3C56" w:rsidRDefault="000F0C06" w:rsidP="007E3C56">
      <w:pPr>
        <w:pStyle w:val="BodyText"/>
        <w:numPr>
          <w:ilvl w:val="1"/>
          <w:numId w:val="19"/>
        </w:numPr>
      </w:pPr>
      <w:r w:rsidRPr="007E3C56">
        <w:rPr>
          <w:b/>
        </w:rPr>
        <w:t>Improving food security</w:t>
      </w:r>
      <w:r w:rsidRPr="007E3C56">
        <w:t xml:space="preserve">: The poor have been hardest hit by rising food prices, as they spend most of their income on food. In the Latin America region rural poverty rates can reach up to three times that of urban poverty rates. Improving the productive capability and sustainability of rural producers, in particular smallholder farmers, is the key to alleviating poverty in the region.  </w:t>
      </w:r>
    </w:p>
    <w:p w14:paraId="38AD871A" w14:textId="77777777" w:rsidR="000F0C06" w:rsidRPr="000D1383" w:rsidRDefault="000F0C06" w:rsidP="004206CA">
      <w:pPr>
        <w:rPr>
          <w:sz w:val="16"/>
          <w:szCs w:val="16"/>
          <w:lang w:val="en-GB"/>
        </w:rPr>
      </w:pPr>
    </w:p>
    <w:p w14:paraId="24840F58" w14:textId="09AE79BC" w:rsidR="000F0C06" w:rsidRPr="007E3C56" w:rsidRDefault="000F0C06" w:rsidP="007E3C56">
      <w:pPr>
        <w:pStyle w:val="BodyText"/>
        <w:numPr>
          <w:ilvl w:val="0"/>
          <w:numId w:val="19"/>
        </w:numPr>
        <w:rPr>
          <w:b/>
        </w:rPr>
      </w:pPr>
      <w:r>
        <w:rPr>
          <w:b/>
        </w:rPr>
        <w:t>S</w:t>
      </w:r>
      <w:r w:rsidRPr="007E3C56">
        <w:rPr>
          <w:b/>
        </w:rPr>
        <w:t>upport effective governance</w:t>
      </w:r>
      <w:r w:rsidR="005A1CEC" w:rsidRPr="005A1CEC">
        <w:t>—</w:t>
      </w:r>
      <w:r w:rsidRPr="00C67DAD">
        <w:t>helping</w:t>
      </w:r>
      <w:r w:rsidRPr="007E3C56">
        <w:t xml:space="preserve"> improve public sector capacity to deliver better services, including security and human rights.</w:t>
      </w:r>
    </w:p>
    <w:p w14:paraId="291EC0AE" w14:textId="0580CC4F" w:rsidR="000F0C06" w:rsidRDefault="000F0C06" w:rsidP="007E3C56">
      <w:pPr>
        <w:pStyle w:val="BodyText"/>
        <w:ind w:left="360"/>
      </w:pPr>
      <w:r w:rsidRPr="007E3C56">
        <w:t>Social stability, the quality of government</w:t>
      </w:r>
      <w:r>
        <w:t xml:space="preserve"> and public sector</w:t>
      </w:r>
      <w:r w:rsidRPr="007E3C56">
        <w:t xml:space="preserve">, and an engaged civil society all contribute to an environment where jobs can be created and services delivered to poor people. </w:t>
      </w:r>
      <w:r>
        <w:t xml:space="preserve">Under this focus area </w:t>
      </w:r>
      <w:r w:rsidRPr="007E3C56">
        <w:t xml:space="preserve">AusAID </w:t>
      </w:r>
      <w:r>
        <w:t>supports</w:t>
      </w:r>
      <w:r w:rsidRPr="007E3C56">
        <w:t xml:space="preserve"> improved policy, service delivery and resource allocation with a</w:t>
      </w:r>
      <w:r>
        <w:t>n emphasis</w:t>
      </w:r>
      <w:r w:rsidRPr="007E3C56">
        <w:t xml:space="preserve"> on public sector governance.  </w:t>
      </w:r>
    </w:p>
    <w:p w14:paraId="7464DEF8" w14:textId="27571D8D" w:rsidR="000F0C06" w:rsidRPr="007E3C56" w:rsidRDefault="000F0C06" w:rsidP="00635803">
      <w:pPr>
        <w:pStyle w:val="BodyText"/>
        <w:ind w:left="360"/>
      </w:pPr>
      <w:r w:rsidRPr="007E3C56">
        <w:t xml:space="preserve">Under this </w:t>
      </w:r>
      <w:r>
        <w:t>focus area</w:t>
      </w:r>
      <w:r w:rsidRPr="007E3C56">
        <w:t>, the program is</w:t>
      </w:r>
      <w:r>
        <w:t xml:space="preserve"> providing support primarily through AusAID global programs including the Public Sector Linkages Program (now Government Partnerships for Development); the Human Rights Grants Scheme; provision of Australia Awards (short and long-term scholarships) and placement of Australian volunteers. </w:t>
      </w:r>
    </w:p>
    <w:p w14:paraId="5CCAB5D9" w14:textId="77777777" w:rsidR="000F0C06" w:rsidRPr="000D1383" w:rsidRDefault="000F0C06" w:rsidP="004206CA">
      <w:pPr>
        <w:rPr>
          <w:sz w:val="16"/>
          <w:szCs w:val="16"/>
          <w:lang w:val="en-GB"/>
        </w:rPr>
      </w:pPr>
    </w:p>
    <w:p w14:paraId="00433192" w14:textId="4A6EAC8E" w:rsidR="000F0C06" w:rsidRDefault="000F0C06" w:rsidP="00635803">
      <w:pPr>
        <w:pStyle w:val="BodyText"/>
        <w:numPr>
          <w:ilvl w:val="0"/>
          <w:numId w:val="19"/>
        </w:numPr>
      </w:pPr>
      <w:r w:rsidRPr="00C02BB0">
        <w:rPr>
          <w:b/>
        </w:rPr>
        <w:t>Reduce the humanitarian impact of natural disasters</w:t>
      </w:r>
      <w:r w:rsidR="005A1CEC" w:rsidRPr="005A1CEC">
        <w:t>—</w:t>
      </w:r>
      <w:r w:rsidRPr="00F849EF">
        <w:t xml:space="preserve">by helping </w:t>
      </w:r>
      <w:r>
        <w:t xml:space="preserve">develop </w:t>
      </w:r>
      <w:r w:rsidRPr="00F849EF">
        <w:t>more effective preparedness and respon</w:t>
      </w:r>
      <w:r>
        <w:t>ding, when necessary, to these events.</w:t>
      </w:r>
    </w:p>
    <w:p w14:paraId="172DD7C9" w14:textId="60FDDE20" w:rsidR="000F0C06" w:rsidRDefault="000F0C06" w:rsidP="00B33734">
      <w:pPr>
        <w:pStyle w:val="BodyText"/>
        <w:ind w:left="360"/>
      </w:pPr>
      <w:r>
        <w:lastRenderedPageBreak/>
        <w:t>A</w:t>
      </w:r>
      <w:r w:rsidRPr="00D178EE">
        <w:t xml:space="preserve">ccording to the United Nations Development Program, Latin America and the Caribbean experience the second-highest incidence of flooding, landslides, earthquakes and droughts in the world. These disasters threaten to reverse decades of hard-won development gains and impact disproportionately on poor people who live in vulnerable regions and have the least resilience to withstand these disasters. Our goal for humanitarian action in Latin America is to save lives, alleviate suffering, and maintain human dignity during and in the aftermath of natural disasters and other humanitarian crises as well as to strengthen preparedness for the occurrence </w:t>
      </w:r>
      <w:r>
        <w:t>of such situations. For example</w:t>
      </w:r>
      <w:r w:rsidRPr="00B33734">
        <w:t>, Australia supports countries to pre-position food stocks for humanitarian relief following natural disasters.</w:t>
      </w:r>
    </w:p>
    <w:p w14:paraId="67AF2A02" w14:textId="75BFF824" w:rsidR="000F0C06" w:rsidRPr="00D178EE" w:rsidRDefault="000F0C06" w:rsidP="00635803">
      <w:pPr>
        <w:pStyle w:val="BodyText"/>
        <w:ind w:left="360"/>
      </w:pPr>
      <w:r>
        <w:t>Under this focus area</w:t>
      </w:r>
      <w:r w:rsidRPr="00D178EE">
        <w:t>, the program is:</w:t>
      </w:r>
    </w:p>
    <w:p w14:paraId="45EB894F" w14:textId="77777777" w:rsidR="000F0C06" w:rsidRDefault="000F0C06" w:rsidP="00D178EE">
      <w:pPr>
        <w:pStyle w:val="BodyText"/>
        <w:numPr>
          <w:ilvl w:val="1"/>
          <w:numId w:val="19"/>
        </w:numPr>
      </w:pPr>
      <w:r w:rsidRPr="00D178EE">
        <w:t>Supporting more effective preparedness and responses to natural disasters and crises.</w:t>
      </w:r>
    </w:p>
    <w:p w14:paraId="577F1898" w14:textId="5E9DE405" w:rsidR="000F0C06" w:rsidRDefault="000F0C06" w:rsidP="00D178EE">
      <w:pPr>
        <w:pStyle w:val="BodyText"/>
        <w:numPr>
          <w:ilvl w:val="1"/>
          <w:numId w:val="19"/>
        </w:numPr>
      </w:pPr>
      <w:r>
        <w:t>Providing food assistance</w:t>
      </w:r>
    </w:p>
    <w:p w14:paraId="30D2C156" w14:textId="7382364B" w:rsidR="000F0C06" w:rsidRPr="00F849EF" w:rsidRDefault="000F0C06" w:rsidP="004206CA">
      <w:pPr>
        <w:pStyle w:val="BodyText"/>
      </w:pPr>
      <w:r>
        <w:t xml:space="preserve">Through AusAID programs we aim to focus </w:t>
      </w:r>
      <w:r w:rsidRPr="00F849EF">
        <w:t>on those hardest hit by poverty, soci</w:t>
      </w:r>
      <w:r>
        <w:t xml:space="preserve">al disadvantage and inequality in particular </w:t>
      </w:r>
      <w:r w:rsidRPr="00F849EF">
        <w:t>women</w:t>
      </w:r>
      <w:r>
        <w:t>;</w:t>
      </w:r>
      <w:r w:rsidRPr="00F849EF">
        <w:t xml:space="preserve"> indigenous and Afro-descendent populations; people adversely affected by natural disasters; and rural communities. </w:t>
      </w:r>
    </w:p>
    <w:p w14:paraId="2A4970F8" w14:textId="77777777" w:rsidR="000F0C06" w:rsidRDefault="000F0C06" w:rsidP="00993138">
      <w:pPr>
        <w:pStyle w:val="Heading2"/>
      </w:pPr>
      <w:bookmarkStart w:id="25" w:name="_Toc356371544"/>
      <w:bookmarkStart w:id="26" w:name="_Toc357172648"/>
      <w:r>
        <w:t>Program approaches and ways of working</w:t>
      </w:r>
      <w:bookmarkEnd w:id="25"/>
      <w:bookmarkEnd w:id="26"/>
    </w:p>
    <w:p w14:paraId="6713204B" w14:textId="0F84883C" w:rsidR="000F0C06" w:rsidRPr="00F849EF" w:rsidRDefault="000F0C06" w:rsidP="00F849EF">
      <w:pPr>
        <w:pStyle w:val="BodyText"/>
      </w:pPr>
      <w:r w:rsidRPr="00F849EF">
        <w:rPr>
          <w:b/>
        </w:rPr>
        <w:t xml:space="preserve">A regional </w:t>
      </w:r>
      <w:r>
        <w:rPr>
          <w:b/>
        </w:rPr>
        <w:t>approach</w:t>
      </w:r>
      <w:r w:rsidRPr="00F849EF">
        <w:t xml:space="preserve">: Australian aid in Latin America is delivered primarily on a regional or multi-country basis, with some capacity for small bilateral support where Australia has particular expertise and there is a clearly established need. </w:t>
      </w:r>
    </w:p>
    <w:p w14:paraId="63CABBBB" w14:textId="4DFC26D3" w:rsidR="000F0C06" w:rsidRPr="00F849EF" w:rsidRDefault="000F0C06" w:rsidP="00F849EF">
      <w:pPr>
        <w:pStyle w:val="BodyText"/>
      </w:pPr>
      <w:r w:rsidRPr="00F849EF">
        <w:rPr>
          <w:b/>
        </w:rPr>
        <w:t>Working through partnerships</w:t>
      </w:r>
      <w:r w:rsidRPr="00F849EF">
        <w:t>: Australia primarily works through partnerships in the region to extend the reach and impact of our relatively small contribution. Our partners include multilateral organisations</w:t>
      </w:r>
      <w:r>
        <w:t xml:space="preserve"> (I</w:t>
      </w:r>
      <w:r w:rsidR="002A55C3">
        <w:t>nter-American Development Bank</w:t>
      </w:r>
      <w:r>
        <w:t>, W</w:t>
      </w:r>
      <w:r w:rsidR="002A55C3">
        <w:t>orld Food Programme</w:t>
      </w:r>
      <w:r>
        <w:t>, F</w:t>
      </w:r>
      <w:r w:rsidR="002A55C3">
        <w:t>ood and Agriculture Organisation</w:t>
      </w:r>
      <w:r w:rsidR="005A1CEC">
        <w:t>, the United Nations Office for Disaster Risk Reduction</w:t>
      </w:r>
      <w:r w:rsidRPr="00F849EF">
        <w:t>, OECD D</w:t>
      </w:r>
      <w:r w:rsidR="005A1CEC">
        <w:t>evelopment Assistance Committee</w:t>
      </w:r>
      <w:r w:rsidRPr="00F849EF">
        <w:t xml:space="preserve"> donors</w:t>
      </w:r>
      <w:r>
        <w:t xml:space="preserve"> (Germany), Regional organisations (SICA)</w:t>
      </w:r>
      <w:r w:rsidRPr="00F849EF">
        <w:t>, and emerging Latin American donors</w:t>
      </w:r>
      <w:r>
        <w:t xml:space="preserve"> (Chile and Brazil)</w:t>
      </w:r>
      <w:r w:rsidRPr="00F849EF">
        <w:t xml:space="preserve">. </w:t>
      </w:r>
    </w:p>
    <w:p w14:paraId="7390D0A5" w14:textId="2C40E84B" w:rsidR="000F0C06" w:rsidRPr="00F849EF" w:rsidRDefault="000F0C06" w:rsidP="00F849EF">
      <w:pPr>
        <w:pStyle w:val="BodyText"/>
      </w:pPr>
      <w:r w:rsidRPr="00F849EF">
        <w:rPr>
          <w:b/>
        </w:rPr>
        <w:t>Global programming</w:t>
      </w:r>
      <w:r w:rsidRPr="00F849EF">
        <w:t xml:space="preserve">: All </w:t>
      </w:r>
      <w:r>
        <w:t xml:space="preserve">17 </w:t>
      </w:r>
      <w:r w:rsidRPr="00F849EF">
        <w:t>countries covered by the Latin America program have access to AusAID global programs including Australia Awards</w:t>
      </w:r>
      <w:r>
        <w:t xml:space="preserve"> (short and long term scholarships and leadership awards)</w:t>
      </w:r>
      <w:r w:rsidRPr="00F849EF">
        <w:t xml:space="preserve">, Government Partnerships for Development and small grants through the Human Rights Grant Scheme. They have access to the Development Assistance Program </w:t>
      </w:r>
      <w:r>
        <w:t>managed by Australian embassies in the region</w:t>
      </w:r>
      <w:r w:rsidRPr="00F849EF">
        <w:t>. Australian non-government organisations who are A</w:t>
      </w:r>
      <w:r w:rsidR="005A1CEC">
        <w:t>usAID NGO Cooperation Program</w:t>
      </w:r>
      <w:r w:rsidRPr="00F849EF">
        <w:t xml:space="preserve"> partners are able to use AusAID funding to support their initiatives in Latin America. Australian volunteers </w:t>
      </w:r>
      <w:r>
        <w:t xml:space="preserve">will be strategically placed to support local organisations (public and NGOs) improve planning and program delivery. </w:t>
      </w:r>
    </w:p>
    <w:p w14:paraId="542F4E2F" w14:textId="32801B8E" w:rsidR="000F0C06" w:rsidRDefault="000F0C06" w:rsidP="00D2020F">
      <w:pPr>
        <w:pStyle w:val="Heading2"/>
      </w:pPr>
      <w:bookmarkStart w:id="27" w:name="_Toc356371545"/>
      <w:bookmarkStart w:id="28" w:name="_Toc357172649"/>
      <w:r w:rsidRPr="00E14CF5">
        <w:t>Building on strengths</w:t>
      </w:r>
      <w:bookmarkEnd w:id="27"/>
      <w:bookmarkEnd w:id="28"/>
    </w:p>
    <w:p w14:paraId="62901C84" w14:textId="511C4DB3" w:rsidR="000F0C06" w:rsidRDefault="000F0C06" w:rsidP="00E14CF5">
      <w:pPr>
        <w:pStyle w:val="BodyText"/>
      </w:pPr>
      <w:r w:rsidRPr="00F849EF">
        <w:t xml:space="preserve">Where possible, </w:t>
      </w:r>
      <w:r>
        <w:t>Australian aid will be used to build on or expand high quality activities of strategic partners where our input provides an opportunity to enhance results. Small scale activities will be minimised to limit program management and overhead costs</w:t>
      </w:r>
      <w:r w:rsidRPr="00F849EF">
        <w:t xml:space="preserve">. </w:t>
      </w:r>
      <w:r>
        <w:t>Program partners</w:t>
      </w:r>
    </w:p>
    <w:p w14:paraId="4134AA68" w14:textId="66E87C83" w:rsidR="000F0C06" w:rsidRPr="00F849EF" w:rsidRDefault="000F0C06" w:rsidP="00F849EF">
      <w:pPr>
        <w:pStyle w:val="BodyText"/>
      </w:pPr>
      <w:r w:rsidRPr="00F849EF">
        <w:rPr>
          <w:b/>
        </w:rPr>
        <w:t>Multilateral organisations</w:t>
      </w:r>
      <w:r w:rsidRPr="00F849EF">
        <w:t xml:space="preserve">: Channelling funds through </w:t>
      </w:r>
      <w:r>
        <w:t>effective</w:t>
      </w:r>
      <w:r w:rsidRPr="00F849EF">
        <w:t xml:space="preserve"> multilateral partners such as the Inter-American Development Bank, the World Bank and the United Nations help</w:t>
      </w:r>
      <w:r>
        <w:t>s</w:t>
      </w:r>
      <w:r w:rsidRPr="00F849EF">
        <w:t xml:space="preserve"> streamline programming and meet critical needs, leveraging greater impacts than working bilaterally in the region. Australia has a good track record in working with these organisations in </w:t>
      </w:r>
      <w:r>
        <w:t xml:space="preserve">Latin America and </w:t>
      </w:r>
      <w:r w:rsidRPr="00F849EF">
        <w:t>other regions.</w:t>
      </w:r>
    </w:p>
    <w:p w14:paraId="1821A32D" w14:textId="087CED6F" w:rsidR="000F0C06" w:rsidRPr="00F849EF" w:rsidRDefault="000F0C06" w:rsidP="00F849EF">
      <w:pPr>
        <w:pStyle w:val="BodyText"/>
      </w:pPr>
      <w:r w:rsidRPr="00F849EF">
        <w:rPr>
          <w:b/>
        </w:rPr>
        <w:lastRenderedPageBreak/>
        <w:t>OECD DAC Donors</w:t>
      </w:r>
      <w:r w:rsidRPr="00F849EF">
        <w:t xml:space="preserve">: </w:t>
      </w:r>
      <w:r w:rsidR="005A1CEC" w:rsidRPr="00F849EF">
        <w:t>Middle</w:t>
      </w:r>
      <w:r w:rsidR="005A1CEC">
        <w:t>-</w:t>
      </w:r>
      <w:r w:rsidRPr="00F849EF">
        <w:t>level OECD donors such as Germany have significant experience working in Latin America. AusAID has an existing relationship with Germany in this and other regions.</w:t>
      </w:r>
      <w:r w:rsidRPr="008834F1">
        <w:rPr>
          <w:rStyle w:val="FootnoteReference"/>
        </w:rPr>
        <w:footnoteReference w:id="15"/>
      </w:r>
      <w:r w:rsidRPr="00F849EF">
        <w:t xml:space="preserve"> Australia </w:t>
      </w:r>
      <w:r>
        <w:t xml:space="preserve">and Germany </w:t>
      </w:r>
      <w:r w:rsidRPr="00F849EF">
        <w:t xml:space="preserve">will work together with </w:t>
      </w:r>
      <w:r>
        <w:t xml:space="preserve">other partners, such as </w:t>
      </w:r>
      <w:r w:rsidR="002A55C3">
        <w:t>the Inter-American Development Bank</w:t>
      </w:r>
      <w:r>
        <w:t xml:space="preserve">, </w:t>
      </w:r>
      <w:r w:rsidRPr="00F849EF">
        <w:t>in priority sectors</w:t>
      </w:r>
      <w:r>
        <w:t>.</w:t>
      </w:r>
    </w:p>
    <w:p w14:paraId="3A8E63A2" w14:textId="3BAD77F1" w:rsidR="000F0C06" w:rsidRPr="00F849EF" w:rsidRDefault="000F0C06" w:rsidP="00F849EF">
      <w:pPr>
        <w:pStyle w:val="BodyText"/>
      </w:pPr>
      <w:r w:rsidRPr="00F849EF">
        <w:rPr>
          <w:b/>
        </w:rPr>
        <w:t>South-South cooperation partners</w:t>
      </w:r>
      <w:r w:rsidRPr="00F849EF">
        <w:t xml:space="preserve">: </w:t>
      </w:r>
      <w:r>
        <w:t>South-South and trilateral cooperation is a significant approach to development in Latin America. Australia will work under two</w:t>
      </w:r>
      <w:r w:rsidRPr="00F849EF">
        <w:t xml:space="preserve"> trilateral partnerships </w:t>
      </w:r>
      <w:r>
        <w:t>(</w:t>
      </w:r>
      <w:r w:rsidRPr="00F849EF">
        <w:t>with Brazil and Chile</w:t>
      </w:r>
      <w:r>
        <w:t>) to deliver assistance in less developed third countries. Trilateral partnerships will help to facilitate A</w:t>
      </w:r>
      <w:r w:rsidRPr="00F849EF">
        <w:t xml:space="preserve">ustralia’s engagement </w:t>
      </w:r>
      <w:r>
        <w:t>in the region, deliver appropriate development activities based on the local experience of emerging donors and build aid delivery capacity by sharing knowledge and expertise.</w:t>
      </w:r>
    </w:p>
    <w:p w14:paraId="2A4970FA" w14:textId="77777777" w:rsidR="000F0C06" w:rsidRDefault="000F0C06" w:rsidP="00993138">
      <w:pPr>
        <w:pStyle w:val="Heading1"/>
        <w:rPr>
          <w:noProof/>
        </w:rPr>
      </w:pPr>
      <w:bookmarkStart w:id="29" w:name="_Toc356371546"/>
      <w:bookmarkStart w:id="30" w:name="_Toc357172650"/>
      <w:r>
        <w:rPr>
          <w:noProof/>
        </w:rPr>
        <w:lastRenderedPageBreak/>
        <w:drawing>
          <wp:anchor distT="0" distB="0" distL="114300" distR="114300" simplePos="0" relativeHeight="251667968" behindDoc="1" locked="0" layoutInCell="1" allowOverlap="1" wp14:anchorId="2A497138" wp14:editId="2A497139">
            <wp:simplePos x="0" y="0"/>
            <wp:positionH relativeFrom="page">
              <wp:posOffset>-92710</wp:posOffset>
            </wp:positionH>
            <wp:positionV relativeFrom="page">
              <wp:posOffset>1054735</wp:posOffset>
            </wp:positionV>
            <wp:extent cx="7788910" cy="1585595"/>
            <wp:effectExtent l="0" t="0" r="2540" b="0"/>
            <wp:wrapNone/>
            <wp:docPr id="11" name="Picture 11"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AID_report_D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Pr>
          <w:noProof/>
        </w:rPr>
        <w:t>Program performance and risk management</w:t>
      </w:r>
      <w:bookmarkEnd w:id="29"/>
      <w:bookmarkEnd w:id="30"/>
    </w:p>
    <w:p w14:paraId="2A4970FB" w14:textId="77777777" w:rsidR="000F0C06" w:rsidRDefault="000F0C06" w:rsidP="00993138">
      <w:pPr>
        <w:pStyle w:val="Heading2"/>
      </w:pPr>
      <w:bookmarkStart w:id="31" w:name="_Toc356371547"/>
      <w:bookmarkStart w:id="32" w:name="_Toc357172651"/>
      <w:r>
        <w:t>What success will look like at the end of the strategy</w:t>
      </w:r>
      <w:bookmarkEnd w:id="31"/>
      <w:bookmarkEnd w:id="32"/>
    </w:p>
    <w:p w14:paraId="649207DE" w14:textId="47E51D3F" w:rsidR="000F0C06" w:rsidRDefault="000F0C06" w:rsidP="00B46BD6">
      <w:pPr>
        <w:pStyle w:val="BodyText"/>
      </w:pPr>
      <w:r w:rsidRPr="00B46BD6">
        <w:t xml:space="preserve">Using </w:t>
      </w:r>
      <w:r>
        <w:t>effective</w:t>
      </w:r>
      <w:r w:rsidRPr="00B46BD6">
        <w:t xml:space="preserve"> partners, Australia’s modest aid program will yield </w:t>
      </w:r>
      <w:r>
        <w:t xml:space="preserve">measurable </w:t>
      </w:r>
      <w:r w:rsidRPr="00B46BD6">
        <w:t>development results in Latin America</w:t>
      </w:r>
      <w:r>
        <w:t>. Australia</w:t>
      </w:r>
      <w:r w:rsidRPr="00B46BD6">
        <w:t xml:space="preserve"> will be </w:t>
      </w:r>
      <w:r>
        <w:t>recognised</w:t>
      </w:r>
      <w:r w:rsidRPr="00B46BD6">
        <w:t xml:space="preserve"> as </w:t>
      </w:r>
      <w:r>
        <w:t xml:space="preserve">a </w:t>
      </w:r>
      <w:r w:rsidRPr="00B46BD6">
        <w:t>valuable</w:t>
      </w:r>
      <w:r>
        <w:t xml:space="preserve"> development</w:t>
      </w:r>
      <w:r w:rsidRPr="00B46BD6">
        <w:t xml:space="preserve"> partner, able to contribute to </w:t>
      </w:r>
      <w:r>
        <w:t>the region’s efforts to reduce</w:t>
      </w:r>
      <w:r w:rsidRPr="00B46BD6">
        <w:t xml:space="preserve"> p</w:t>
      </w:r>
      <w:r>
        <w:t xml:space="preserve">overty and achieving sustained development </w:t>
      </w:r>
      <w:r w:rsidRPr="00B46BD6">
        <w:t>in the region.</w:t>
      </w:r>
    </w:p>
    <w:p w14:paraId="3B4B78FB" w14:textId="77777777" w:rsidR="000F0C06" w:rsidRPr="00B46BD6" w:rsidRDefault="000F0C06" w:rsidP="00B46BD6">
      <w:pPr>
        <w:pStyle w:val="BodyText"/>
      </w:pPr>
    </w:p>
    <w:p w14:paraId="5F1BC4B4" w14:textId="7B17B46F" w:rsidR="000F0C06" w:rsidRDefault="000F0C06" w:rsidP="00B46BD6">
      <w:pPr>
        <w:pStyle w:val="BodyText"/>
      </w:pPr>
      <w:r>
        <w:rPr>
          <w:i/>
        </w:rPr>
        <w:t>S</w:t>
      </w:r>
      <w:r w:rsidRPr="00B46BD6">
        <w:rPr>
          <w:i/>
        </w:rPr>
        <w:t>upport sustainable economic development</w:t>
      </w:r>
      <w:r w:rsidRPr="00B46BD6">
        <w:t>:</w:t>
      </w:r>
    </w:p>
    <w:p w14:paraId="58787C70" w14:textId="0FB9D2E8" w:rsidR="000F0C06" w:rsidRDefault="000F0C06" w:rsidP="00B46BD6">
      <w:pPr>
        <w:pStyle w:val="BodyText"/>
      </w:pPr>
      <w:r>
        <w:t>Australian aid will have improved exposure, for at least 100,000 people</w:t>
      </w:r>
      <w:r w:rsidRPr="00B46BD6">
        <w:t xml:space="preserve"> (</w:t>
      </w:r>
      <w:r>
        <w:t>mostly</w:t>
      </w:r>
      <w:r w:rsidRPr="00B46BD6">
        <w:t xml:space="preserve"> women)</w:t>
      </w:r>
      <w:r>
        <w:t>,</w:t>
      </w:r>
      <w:r w:rsidRPr="00B46BD6">
        <w:t xml:space="preserve"> </w:t>
      </w:r>
      <w:r>
        <w:t xml:space="preserve">to training and tools to </w:t>
      </w:r>
      <w:r w:rsidRPr="00B46BD6">
        <w:t xml:space="preserve">better understand </w:t>
      </w:r>
      <w:r>
        <w:t xml:space="preserve">good business practice and financial management. Through this they will have greater chances of accessing </w:t>
      </w:r>
      <w:r w:rsidRPr="00B46BD6">
        <w:t>financial services</w:t>
      </w:r>
      <w:r>
        <w:t>, establishing microenterprises and thereby</w:t>
      </w:r>
      <w:r w:rsidRPr="00B46BD6">
        <w:t xml:space="preserve"> participate in</w:t>
      </w:r>
      <w:r>
        <w:t xml:space="preserve"> and contribute to </w:t>
      </w:r>
      <w:r w:rsidRPr="00B46BD6">
        <w:t xml:space="preserve">economic development. </w:t>
      </w:r>
      <w:r>
        <w:t xml:space="preserve">Our aid will have also contributed to improvements to the microfinance services for poor communities </w:t>
      </w:r>
    </w:p>
    <w:p w14:paraId="33635DF4" w14:textId="4129218B" w:rsidR="000F0C06" w:rsidRDefault="000F0C06" w:rsidP="00B46BD6">
      <w:pPr>
        <w:pStyle w:val="BodyText"/>
      </w:pPr>
      <w:r>
        <w:t>Improving food production in rural areas will help communities recover more quickly from natural disaster such as earthquakes and hurricanes and build their longer term resilience to these on-going and regular threats.</w:t>
      </w:r>
    </w:p>
    <w:p w14:paraId="6847EAD8" w14:textId="77777777" w:rsidR="000F0C06" w:rsidRDefault="000F0C06" w:rsidP="00B46BD6">
      <w:pPr>
        <w:pStyle w:val="BodyText"/>
        <w:rPr>
          <w:i/>
        </w:rPr>
      </w:pPr>
    </w:p>
    <w:p w14:paraId="161D187E" w14:textId="4907621B" w:rsidR="000F0C06" w:rsidRDefault="000F0C06" w:rsidP="00B46BD6">
      <w:pPr>
        <w:pStyle w:val="BodyText"/>
      </w:pPr>
      <w:r>
        <w:rPr>
          <w:i/>
        </w:rPr>
        <w:t>S</w:t>
      </w:r>
      <w:r w:rsidRPr="00B46BD6">
        <w:rPr>
          <w:i/>
        </w:rPr>
        <w:t>upport effective governance</w:t>
      </w:r>
      <w:r w:rsidRPr="00B46BD6">
        <w:t xml:space="preserve">: </w:t>
      </w:r>
    </w:p>
    <w:p w14:paraId="3D8E035B" w14:textId="3CA8B082" w:rsidR="000F0C06" w:rsidRDefault="000F0C06" w:rsidP="00B46BD6">
      <w:pPr>
        <w:pStyle w:val="BodyText"/>
      </w:pPr>
      <w:r>
        <w:t>Through AusAID global programs (Australia Awards, P</w:t>
      </w:r>
      <w:r w:rsidR="005A1CEC">
        <w:t>ublic Sector Linkages Program</w:t>
      </w:r>
      <w:r>
        <w:t>/G</w:t>
      </w:r>
      <w:r w:rsidR="005A1CEC">
        <w:t>overnment Partnerships for Development</w:t>
      </w:r>
      <w:r>
        <w:t xml:space="preserve">, </w:t>
      </w:r>
      <w:r w:rsidR="003830A1">
        <w:t xml:space="preserve">Human Rights Grants Scheme </w:t>
      </w:r>
      <w:r>
        <w:t xml:space="preserve"> and Volunteers), Australia will have made a notable contribution to the institutional strengthening of many organisations in Latin America, which will help them to develop policy and provide services to their communities. Over 250 postgraduate scholars will return from study in Australia to their countries of origin with new skills and knowledge to help build the technical and professional skills of their own workplaces.</w:t>
      </w:r>
      <w:r w:rsidRPr="00B46BD6">
        <w:t xml:space="preserve"> </w:t>
      </w:r>
      <w:r>
        <w:t xml:space="preserve">Australian </w:t>
      </w:r>
      <w:r w:rsidRPr="00B46BD6">
        <w:t>volunteers</w:t>
      </w:r>
      <w:r>
        <w:t xml:space="preserve"> will have directly contributed to the organisational capacity of around 40 institutions and enhanced people-to-people links. Australia will have contributed to building capacity of public sector institutions in Latin America and Australia’s reputation as a source of technical and professional expertise will have been significantly enhanced.</w:t>
      </w:r>
    </w:p>
    <w:p w14:paraId="5CED8193" w14:textId="77777777" w:rsidR="000F0C06" w:rsidRPr="00B46BD6" w:rsidRDefault="000F0C06" w:rsidP="00B46BD6">
      <w:pPr>
        <w:pStyle w:val="BodyText"/>
      </w:pPr>
    </w:p>
    <w:p w14:paraId="2A834527" w14:textId="77777777" w:rsidR="000F0C06" w:rsidRDefault="000F0C06" w:rsidP="00B46BD6">
      <w:pPr>
        <w:pStyle w:val="BodyText"/>
      </w:pPr>
      <w:r w:rsidRPr="00B46BD6">
        <w:rPr>
          <w:i/>
        </w:rPr>
        <w:t>Reduce the humanitarian impact of natural disasters</w:t>
      </w:r>
      <w:r w:rsidRPr="00B46BD6">
        <w:t xml:space="preserve">: </w:t>
      </w:r>
    </w:p>
    <w:p w14:paraId="4C18CE49" w14:textId="4146E23B" w:rsidR="000F0C06" w:rsidRDefault="000F0C06" w:rsidP="00B46BD6">
      <w:pPr>
        <w:pStyle w:val="BodyText"/>
      </w:pPr>
      <w:r w:rsidRPr="00B46BD6">
        <w:t>Latin American countries, particularly in Central America, will have benefitted from timely Australian humanitarian support in the wake of natural disasters and will be better prepared for natural disasters.</w:t>
      </w:r>
      <w:r w:rsidRPr="00EA5C52">
        <w:t xml:space="preserve"> </w:t>
      </w:r>
      <w:r>
        <w:t xml:space="preserve">By pre-positioning food in disaster prone areas and supporting regional response capacity Australian aid will have improved the ability to deploy lifesaving food and equipment </w:t>
      </w:r>
      <w:r w:rsidR="005A1CEC">
        <w:t xml:space="preserve">rapidly </w:t>
      </w:r>
      <w:r>
        <w:t>to avert humanitarian crises.</w:t>
      </w:r>
    </w:p>
    <w:p w14:paraId="5ED507CF" w14:textId="77777777" w:rsidR="000F0C06" w:rsidRDefault="000F0C06" w:rsidP="00B46BD6">
      <w:pPr>
        <w:pStyle w:val="BodyText"/>
      </w:pPr>
    </w:p>
    <w:p w14:paraId="2D99676B" w14:textId="77777777" w:rsidR="000F0C06" w:rsidRDefault="000F0C06" w:rsidP="00B46BD6">
      <w:pPr>
        <w:pStyle w:val="BodyText"/>
      </w:pPr>
    </w:p>
    <w:p w14:paraId="712137D4" w14:textId="77777777" w:rsidR="000F0C06" w:rsidRDefault="000F0C06" w:rsidP="00B46BD6">
      <w:pPr>
        <w:pStyle w:val="BodyText"/>
      </w:pPr>
    </w:p>
    <w:p w14:paraId="2A4970FF" w14:textId="77777777" w:rsidR="000F0C06" w:rsidRDefault="000F0C06" w:rsidP="00993138">
      <w:pPr>
        <w:pStyle w:val="Heading2"/>
      </w:pPr>
      <w:bookmarkStart w:id="33" w:name="_Toc356371548"/>
      <w:bookmarkStart w:id="34" w:name="_Toc357172652"/>
      <w:r>
        <w:lastRenderedPageBreak/>
        <w:t>Performance assessment framework</w:t>
      </w:r>
      <w:bookmarkEnd w:id="33"/>
      <w:bookmarkEnd w:id="34"/>
    </w:p>
    <w:p w14:paraId="2A497100" w14:textId="42CA6D7E" w:rsidR="000F0C06" w:rsidRDefault="000F0C06" w:rsidP="00D81143">
      <w:pPr>
        <w:pStyle w:val="BodyText"/>
      </w:pPr>
      <w:r>
        <w:t>The</w:t>
      </w:r>
      <w:r w:rsidRPr="00B64E3C">
        <w:t xml:space="preserve"> program</w:t>
      </w:r>
      <w:r>
        <w:t xml:space="preserve"> summary</w:t>
      </w:r>
      <w:r w:rsidRPr="00B64E3C">
        <w:t xml:space="preserve"> (Annex </w:t>
      </w:r>
      <w:r>
        <w:t>A</w:t>
      </w:r>
      <w:r w:rsidRPr="00B64E3C">
        <w:t xml:space="preserve">) lists the three </w:t>
      </w:r>
      <w:r>
        <w:t>focus areas</w:t>
      </w:r>
      <w:r w:rsidRPr="00B64E3C">
        <w:t xml:space="preserve"> for Australian Aid to Latin America, links them to the core goals of </w:t>
      </w:r>
      <w:r w:rsidRPr="00B64E3C">
        <w:rPr>
          <w:i/>
        </w:rPr>
        <w:t>An Effective Aid Program for Australia: Making a real difference</w:t>
      </w:r>
      <w:r w:rsidR="006C0F33">
        <w:rPr>
          <w:i/>
        </w:rPr>
        <w:t xml:space="preserve"> - D</w:t>
      </w:r>
      <w:r w:rsidRPr="00B64E3C">
        <w:rPr>
          <w:i/>
        </w:rPr>
        <w:t>elivering real results</w:t>
      </w:r>
      <w:r w:rsidRPr="00B64E3C">
        <w:t>, and outlines selected 2014 targets.</w:t>
      </w:r>
      <w:r>
        <w:t xml:space="preserve"> In 2013, AusAID will develop a performance </w:t>
      </w:r>
      <w:r w:rsidR="005A1CEC">
        <w:t>a</w:t>
      </w:r>
      <w:r>
        <w:t>ssessment framework to increase the measurement and reporting of results.</w:t>
      </w:r>
    </w:p>
    <w:p w14:paraId="2A497103" w14:textId="77777777" w:rsidR="000F0C06" w:rsidRDefault="000F0C06" w:rsidP="00D81143">
      <w:pPr>
        <w:pStyle w:val="Heading2"/>
      </w:pPr>
      <w:bookmarkStart w:id="35" w:name="_Toc356371549"/>
      <w:bookmarkStart w:id="36" w:name="_Toc357172653"/>
      <w:r>
        <w:t>Risk management</w:t>
      </w:r>
      <w:bookmarkEnd w:id="35"/>
      <w:bookmarkEnd w:id="36"/>
    </w:p>
    <w:p w14:paraId="2A49711F" w14:textId="627C3D20" w:rsidR="000F0C06" w:rsidRPr="00D81143" w:rsidRDefault="000F0C06" w:rsidP="00E5135B">
      <w:pPr>
        <w:pStyle w:val="BodyText"/>
      </w:pPr>
      <w:r>
        <w:t>Five</w:t>
      </w:r>
      <w:r w:rsidRPr="00E5135B">
        <w:t xml:space="preserve"> main risks may inh</w:t>
      </w:r>
      <w:r>
        <w:t>ibit or prevent delivery of the</w:t>
      </w:r>
      <w:r w:rsidRPr="00E5135B">
        <w:t xml:space="preserve"> program. These risks and</w:t>
      </w:r>
      <w:r>
        <w:t xml:space="preserve"> the</w:t>
      </w:r>
      <w:r w:rsidRPr="00E5135B">
        <w:t xml:space="preserve"> measures for ma</w:t>
      </w:r>
      <w:r>
        <w:t>naging them are outlined below.</w:t>
      </w:r>
    </w:p>
    <w:p w14:paraId="2A497122" w14:textId="77777777" w:rsidR="000F0C06" w:rsidRDefault="000F0C06" w:rsidP="00993138">
      <w:pPr>
        <w:pStyle w:val="BodyText"/>
      </w:pPr>
    </w:p>
    <w:p w14:paraId="6AD244FB" w14:textId="77777777" w:rsidR="000F0C06" w:rsidRDefault="000F0C06" w:rsidP="00DF11CC">
      <w:pPr>
        <w:ind w:right="-526"/>
        <w:rPr>
          <w:rFonts w:ascii="Franklin Gothic Demi" w:hAnsi="Franklin Gothic Demi"/>
          <w:color w:val="5A9A98"/>
          <w:sz w:val="20"/>
          <w:szCs w:val="20"/>
        </w:rPr>
      </w:pPr>
      <w:r>
        <w:rPr>
          <w:rFonts w:ascii="Franklin Gothic Demi" w:hAnsi="Franklin Gothic Demi"/>
          <w:color w:val="5A9A98"/>
          <w:sz w:val="20"/>
          <w:szCs w:val="20"/>
        </w:rPr>
        <w:t>Summary of risks and the associated management approaches</w:t>
      </w:r>
    </w:p>
    <w:p w14:paraId="2D926BC8" w14:textId="77777777" w:rsidR="000F0C06" w:rsidRDefault="000F0C06" w:rsidP="00DF11CC">
      <w:pPr>
        <w:rPr>
          <w:rFonts w:ascii="Times New Roman" w:eastAsiaTheme="minorHAnsi" w:hAnsi="Times New Roman"/>
          <w:lang w:eastAsia="en-US"/>
        </w:rPr>
      </w:pPr>
    </w:p>
    <w:tbl>
      <w:tblPr>
        <w:tblStyle w:val="TableGrid"/>
        <w:tblpPr w:leftFromText="181" w:rightFromText="181" w:vertAnchor="text" w:tblpX="108" w:tblpY="1"/>
        <w:tblOverlap w:val="never"/>
        <w:tblW w:w="4942" w:type="pct"/>
        <w:tblLook w:val="04A0" w:firstRow="1" w:lastRow="0" w:firstColumn="1" w:lastColumn="0" w:noHBand="0" w:noVBand="1"/>
      </w:tblPr>
      <w:tblGrid>
        <w:gridCol w:w="1507"/>
        <w:gridCol w:w="3782"/>
        <w:gridCol w:w="3780"/>
      </w:tblGrid>
      <w:tr w:rsidR="000F0C06" w14:paraId="26DCE6F7" w14:textId="77777777" w:rsidTr="00314566">
        <w:tc>
          <w:tcPr>
            <w:tcW w:w="831" w:type="pct"/>
            <w:tcBorders>
              <w:top w:val="single" w:sz="4" w:space="0" w:color="auto"/>
              <w:left w:val="single" w:sz="4" w:space="0" w:color="auto"/>
              <w:bottom w:val="single" w:sz="4" w:space="0" w:color="auto"/>
              <w:right w:val="single" w:sz="4" w:space="0" w:color="auto"/>
            </w:tcBorders>
            <w:hideMark/>
          </w:tcPr>
          <w:p w14:paraId="5299E559" w14:textId="77777777" w:rsidR="000F0C06" w:rsidRDefault="000F0C06" w:rsidP="00314566">
            <w:pPr>
              <w:spacing w:line="271" w:lineRule="auto"/>
              <w:rPr>
                <w:rFonts w:ascii="Arial" w:hAnsi="Arial" w:cs="Arial"/>
                <w:b/>
                <w:bCs/>
                <w:color w:val="000000"/>
                <w:kern w:val="28"/>
                <w:sz w:val="18"/>
                <w:szCs w:val="18"/>
                <w:lang w:eastAsia="en-AU"/>
              </w:rPr>
            </w:pPr>
            <w:r>
              <w:rPr>
                <w:rFonts w:ascii="Arial" w:hAnsi="Arial" w:cs="Arial"/>
                <w:b/>
                <w:bCs/>
                <w:color w:val="000000"/>
                <w:kern w:val="28"/>
                <w:sz w:val="18"/>
                <w:szCs w:val="18"/>
                <w:lang w:eastAsia="en-AU"/>
              </w:rPr>
              <w:t>Focus area</w:t>
            </w:r>
          </w:p>
        </w:tc>
        <w:tc>
          <w:tcPr>
            <w:tcW w:w="2085" w:type="pct"/>
            <w:tcBorders>
              <w:top w:val="single" w:sz="4" w:space="0" w:color="auto"/>
              <w:left w:val="single" w:sz="4" w:space="0" w:color="auto"/>
              <w:bottom w:val="single" w:sz="4" w:space="0" w:color="auto"/>
              <w:right w:val="single" w:sz="4" w:space="0" w:color="auto"/>
            </w:tcBorders>
            <w:hideMark/>
          </w:tcPr>
          <w:p w14:paraId="75007819" w14:textId="77777777" w:rsidR="000F0C06" w:rsidRDefault="000F0C06" w:rsidP="00314566">
            <w:pPr>
              <w:spacing w:line="271" w:lineRule="auto"/>
              <w:rPr>
                <w:rFonts w:ascii="Arial" w:hAnsi="Arial" w:cs="Arial"/>
                <w:b/>
                <w:bCs/>
                <w:color w:val="000000"/>
                <w:kern w:val="28"/>
                <w:sz w:val="18"/>
                <w:szCs w:val="18"/>
              </w:rPr>
            </w:pPr>
            <w:r>
              <w:rPr>
                <w:rFonts w:ascii="Arial" w:hAnsi="Arial" w:cs="Arial"/>
                <w:b/>
                <w:bCs/>
                <w:color w:val="000000"/>
                <w:kern w:val="28"/>
                <w:sz w:val="18"/>
                <w:szCs w:val="18"/>
              </w:rPr>
              <w:t>Major Risks</w:t>
            </w:r>
          </w:p>
        </w:tc>
        <w:tc>
          <w:tcPr>
            <w:tcW w:w="2084" w:type="pct"/>
            <w:tcBorders>
              <w:top w:val="single" w:sz="4" w:space="0" w:color="auto"/>
              <w:left w:val="single" w:sz="4" w:space="0" w:color="auto"/>
              <w:bottom w:val="single" w:sz="4" w:space="0" w:color="auto"/>
              <w:right w:val="single" w:sz="4" w:space="0" w:color="auto"/>
            </w:tcBorders>
            <w:hideMark/>
          </w:tcPr>
          <w:p w14:paraId="2E0C3F15" w14:textId="77777777" w:rsidR="000F0C06" w:rsidRDefault="000F0C06" w:rsidP="00314566">
            <w:pPr>
              <w:spacing w:line="271" w:lineRule="auto"/>
              <w:rPr>
                <w:rFonts w:ascii="Arial" w:hAnsi="Arial" w:cs="Arial"/>
                <w:b/>
                <w:bCs/>
                <w:color w:val="000000"/>
                <w:kern w:val="28"/>
                <w:sz w:val="18"/>
                <w:szCs w:val="18"/>
              </w:rPr>
            </w:pPr>
            <w:r>
              <w:rPr>
                <w:rFonts w:ascii="Arial" w:hAnsi="Arial" w:cs="Arial"/>
                <w:b/>
                <w:bCs/>
                <w:color w:val="000000"/>
                <w:kern w:val="28"/>
                <w:sz w:val="18"/>
                <w:szCs w:val="18"/>
              </w:rPr>
              <w:t>Risk management approach</w:t>
            </w:r>
          </w:p>
        </w:tc>
      </w:tr>
      <w:tr w:rsidR="000F0C06" w14:paraId="6BB16C7C" w14:textId="77777777" w:rsidTr="00314566">
        <w:tc>
          <w:tcPr>
            <w:tcW w:w="831" w:type="pct"/>
            <w:tcBorders>
              <w:top w:val="single" w:sz="4" w:space="0" w:color="auto"/>
              <w:left w:val="single" w:sz="4" w:space="0" w:color="auto"/>
              <w:bottom w:val="single" w:sz="4" w:space="0" w:color="auto"/>
              <w:right w:val="single" w:sz="4" w:space="0" w:color="auto"/>
            </w:tcBorders>
            <w:hideMark/>
          </w:tcPr>
          <w:p w14:paraId="03955F83" w14:textId="77777777" w:rsidR="000F0C06" w:rsidRDefault="000F0C06" w:rsidP="00314566">
            <w:pPr>
              <w:spacing w:line="271" w:lineRule="auto"/>
              <w:rPr>
                <w:rFonts w:ascii="Arial" w:hAnsi="Arial" w:cs="Arial"/>
                <w:bCs/>
                <w:color w:val="000000"/>
                <w:kern w:val="28"/>
                <w:sz w:val="18"/>
                <w:szCs w:val="18"/>
              </w:rPr>
            </w:pPr>
            <w:r>
              <w:rPr>
                <w:rFonts w:ascii="Arial" w:hAnsi="Arial" w:cs="Arial"/>
                <w:bCs/>
                <w:color w:val="000000"/>
                <w:kern w:val="28"/>
                <w:sz w:val="18"/>
                <w:szCs w:val="18"/>
              </w:rPr>
              <w:t>Sustainable economic development</w:t>
            </w:r>
          </w:p>
        </w:tc>
        <w:tc>
          <w:tcPr>
            <w:tcW w:w="2085" w:type="pct"/>
            <w:tcBorders>
              <w:top w:val="single" w:sz="4" w:space="0" w:color="auto"/>
              <w:left w:val="single" w:sz="4" w:space="0" w:color="auto"/>
              <w:bottom w:val="single" w:sz="4" w:space="0" w:color="auto"/>
              <w:right w:val="single" w:sz="4" w:space="0" w:color="auto"/>
            </w:tcBorders>
            <w:hideMark/>
          </w:tcPr>
          <w:p w14:paraId="147DC689" w14:textId="6D4E0D9B" w:rsidR="000F0C06" w:rsidRDefault="000F0C06" w:rsidP="00FB0ECC">
            <w:pPr>
              <w:spacing w:line="271" w:lineRule="auto"/>
              <w:rPr>
                <w:rFonts w:ascii="Arial" w:hAnsi="Arial" w:cs="Arial"/>
                <w:bCs/>
                <w:color w:val="000000"/>
                <w:kern w:val="28"/>
                <w:sz w:val="18"/>
                <w:szCs w:val="18"/>
              </w:rPr>
            </w:pPr>
            <w:r>
              <w:rPr>
                <w:rFonts w:ascii="Arial" w:eastAsia="Times New Roman" w:hAnsi="Arial" w:cs="Arial"/>
                <w:bCs/>
                <w:color w:val="000000"/>
                <w:kern w:val="28"/>
                <w:sz w:val="18"/>
                <w:szCs w:val="18"/>
                <w:lang w:eastAsia="en-AU"/>
              </w:rPr>
              <w:t xml:space="preserve">The size and diversity of the Latin America region is such that Australia’s regional assistance is unlikely to have a direct and discernible impact on poverty. It can, however, help to establish the conditions which improve poverty reduction by delivering assistance through, or in partnership with, experienced partners. </w:t>
            </w:r>
          </w:p>
        </w:tc>
        <w:tc>
          <w:tcPr>
            <w:tcW w:w="2084" w:type="pct"/>
            <w:tcBorders>
              <w:top w:val="single" w:sz="4" w:space="0" w:color="auto"/>
              <w:left w:val="single" w:sz="4" w:space="0" w:color="auto"/>
              <w:bottom w:val="single" w:sz="4" w:space="0" w:color="auto"/>
              <w:right w:val="single" w:sz="4" w:space="0" w:color="auto"/>
            </w:tcBorders>
          </w:tcPr>
          <w:p w14:paraId="3836341C" w14:textId="77777777" w:rsidR="000F0C06" w:rsidRDefault="000F0C06" w:rsidP="00314566">
            <w:pPr>
              <w:spacing w:line="271" w:lineRule="auto"/>
              <w:rPr>
                <w:rFonts w:ascii="Arial" w:eastAsia="Times New Roman" w:hAnsi="Arial" w:cs="Arial"/>
                <w:bCs/>
                <w:color w:val="000000"/>
                <w:kern w:val="28"/>
                <w:sz w:val="18"/>
                <w:szCs w:val="18"/>
                <w:lang w:eastAsia="en-AU"/>
              </w:rPr>
            </w:pPr>
            <w:r>
              <w:rPr>
                <w:rFonts w:ascii="Arial" w:eastAsia="Times New Roman" w:hAnsi="Arial" w:cs="Arial"/>
                <w:bCs/>
                <w:color w:val="000000"/>
                <w:kern w:val="28"/>
                <w:sz w:val="18"/>
                <w:szCs w:val="18"/>
                <w:lang w:eastAsia="en-AU"/>
              </w:rPr>
              <w:t xml:space="preserve">Australia’s programs must be strategically targeting sectors where we can add value. They must also work toward change over longer periods of time. This strengthens the case for working through existing partners (regional, multilateral and bilateral) who are already delivering results on the ground.  </w:t>
            </w:r>
          </w:p>
          <w:p w14:paraId="1279F4CF" w14:textId="77777777" w:rsidR="000F0C06" w:rsidRDefault="000F0C06" w:rsidP="00314566">
            <w:pPr>
              <w:spacing w:line="271" w:lineRule="auto"/>
              <w:rPr>
                <w:rFonts w:ascii="Arial" w:hAnsi="Arial" w:cs="Arial"/>
                <w:bCs/>
                <w:color w:val="000000"/>
                <w:kern w:val="28"/>
                <w:sz w:val="18"/>
                <w:szCs w:val="18"/>
              </w:rPr>
            </w:pPr>
          </w:p>
        </w:tc>
      </w:tr>
      <w:tr w:rsidR="000F0C06" w14:paraId="71627FAF" w14:textId="77777777" w:rsidTr="00314566">
        <w:tc>
          <w:tcPr>
            <w:tcW w:w="831" w:type="pct"/>
            <w:tcBorders>
              <w:top w:val="single" w:sz="4" w:space="0" w:color="auto"/>
              <w:left w:val="single" w:sz="4" w:space="0" w:color="auto"/>
              <w:bottom w:val="single" w:sz="4" w:space="0" w:color="auto"/>
              <w:right w:val="single" w:sz="4" w:space="0" w:color="auto"/>
            </w:tcBorders>
          </w:tcPr>
          <w:p w14:paraId="109BAF3C" w14:textId="77777777" w:rsidR="000F0C06" w:rsidRDefault="000F0C06" w:rsidP="00314566">
            <w:pPr>
              <w:spacing w:line="271" w:lineRule="auto"/>
              <w:rPr>
                <w:rFonts w:ascii="Arial" w:hAnsi="Arial" w:cs="Arial"/>
                <w:bCs/>
                <w:color w:val="000000"/>
                <w:kern w:val="28"/>
                <w:sz w:val="18"/>
                <w:szCs w:val="18"/>
              </w:rPr>
            </w:pPr>
          </w:p>
        </w:tc>
        <w:tc>
          <w:tcPr>
            <w:tcW w:w="2085" w:type="pct"/>
            <w:tcBorders>
              <w:top w:val="single" w:sz="4" w:space="0" w:color="auto"/>
              <w:left w:val="single" w:sz="4" w:space="0" w:color="auto"/>
              <w:bottom w:val="single" w:sz="4" w:space="0" w:color="auto"/>
              <w:right w:val="single" w:sz="4" w:space="0" w:color="auto"/>
            </w:tcBorders>
            <w:hideMark/>
          </w:tcPr>
          <w:p w14:paraId="3F9E50B6" w14:textId="77777777" w:rsidR="000F0C06" w:rsidRDefault="000F0C06" w:rsidP="00314566">
            <w:pPr>
              <w:spacing w:line="271" w:lineRule="auto"/>
              <w:rPr>
                <w:rFonts w:ascii="Arial" w:hAnsi="Arial" w:cs="Arial"/>
                <w:bCs/>
                <w:color w:val="000000"/>
                <w:kern w:val="28"/>
                <w:sz w:val="18"/>
                <w:szCs w:val="18"/>
              </w:rPr>
            </w:pPr>
            <w:r>
              <w:rPr>
                <w:rFonts w:ascii="Arial" w:eastAsia="Times New Roman" w:hAnsi="Arial" w:cs="Arial"/>
                <w:bCs/>
                <w:color w:val="000000"/>
                <w:kern w:val="28"/>
                <w:sz w:val="18"/>
                <w:szCs w:val="18"/>
                <w:lang w:eastAsia="en-AU"/>
              </w:rPr>
              <w:t>Income inequality levels will continue to widen if economic growth and wealth creation is not more equally distributed, resulting in more people being driven into extreme poverty.</w:t>
            </w:r>
          </w:p>
        </w:tc>
        <w:tc>
          <w:tcPr>
            <w:tcW w:w="2084" w:type="pct"/>
            <w:tcBorders>
              <w:top w:val="single" w:sz="4" w:space="0" w:color="auto"/>
              <w:left w:val="single" w:sz="4" w:space="0" w:color="auto"/>
              <w:bottom w:val="single" w:sz="4" w:space="0" w:color="auto"/>
              <w:right w:val="single" w:sz="4" w:space="0" w:color="auto"/>
            </w:tcBorders>
            <w:hideMark/>
          </w:tcPr>
          <w:p w14:paraId="378B2DA2" w14:textId="204FD12C" w:rsidR="000F0C06" w:rsidRDefault="000F0C06" w:rsidP="00F16A46">
            <w:pPr>
              <w:spacing w:line="271" w:lineRule="auto"/>
              <w:rPr>
                <w:rFonts w:ascii="Arial" w:hAnsi="Arial" w:cs="Arial"/>
                <w:bCs/>
                <w:color w:val="000000"/>
                <w:kern w:val="28"/>
                <w:sz w:val="18"/>
                <w:szCs w:val="18"/>
              </w:rPr>
            </w:pPr>
            <w:r>
              <w:rPr>
                <w:rFonts w:ascii="Arial" w:eastAsia="Times New Roman" w:hAnsi="Arial" w:cs="Arial"/>
                <w:bCs/>
                <w:color w:val="000000"/>
                <w:kern w:val="28"/>
                <w:sz w:val="18"/>
                <w:szCs w:val="18"/>
                <w:lang w:eastAsia="en-AU"/>
              </w:rPr>
              <w:t>Through selected initiatives, Australia will target those hardest hit by poverty, social disadvantage and inequality; chiefly, women, indigenous and Afro-descendent populations, as well as people adversely affected by conflict and natural disasters, and rural communities.</w:t>
            </w:r>
          </w:p>
        </w:tc>
      </w:tr>
      <w:tr w:rsidR="000F0C06" w14:paraId="0D4FC5D5" w14:textId="77777777" w:rsidTr="00314566">
        <w:tc>
          <w:tcPr>
            <w:tcW w:w="831" w:type="pct"/>
            <w:tcBorders>
              <w:top w:val="single" w:sz="4" w:space="0" w:color="auto"/>
              <w:left w:val="single" w:sz="4" w:space="0" w:color="auto"/>
              <w:bottom w:val="single" w:sz="4" w:space="0" w:color="auto"/>
              <w:right w:val="single" w:sz="4" w:space="0" w:color="auto"/>
            </w:tcBorders>
          </w:tcPr>
          <w:p w14:paraId="6AC942A0" w14:textId="77777777" w:rsidR="000F0C06" w:rsidRDefault="000F0C06" w:rsidP="00314566">
            <w:pPr>
              <w:spacing w:line="271" w:lineRule="auto"/>
              <w:rPr>
                <w:rFonts w:ascii="Arial" w:hAnsi="Arial" w:cs="Arial"/>
                <w:bCs/>
                <w:color w:val="000000"/>
                <w:kern w:val="28"/>
                <w:sz w:val="18"/>
                <w:szCs w:val="18"/>
              </w:rPr>
            </w:pPr>
            <w:r>
              <w:rPr>
                <w:rFonts w:ascii="Arial" w:hAnsi="Arial" w:cs="Arial"/>
                <w:bCs/>
                <w:color w:val="000000"/>
                <w:kern w:val="28"/>
                <w:sz w:val="18"/>
                <w:szCs w:val="18"/>
              </w:rPr>
              <w:t>Effective governance</w:t>
            </w:r>
          </w:p>
          <w:p w14:paraId="460DDD40" w14:textId="77777777" w:rsidR="000F0C06" w:rsidRDefault="000F0C06" w:rsidP="00314566">
            <w:pPr>
              <w:spacing w:line="271" w:lineRule="auto"/>
              <w:rPr>
                <w:rFonts w:ascii="Arial" w:hAnsi="Arial" w:cs="Arial"/>
                <w:bCs/>
                <w:color w:val="000000"/>
                <w:kern w:val="28"/>
                <w:sz w:val="18"/>
                <w:szCs w:val="18"/>
              </w:rPr>
            </w:pPr>
          </w:p>
        </w:tc>
        <w:tc>
          <w:tcPr>
            <w:tcW w:w="2085" w:type="pct"/>
            <w:tcBorders>
              <w:top w:val="single" w:sz="4" w:space="0" w:color="auto"/>
              <w:left w:val="single" w:sz="4" w:space="0" w:color="auto"/>
              <w:bottom w:val="single" w:sz="4" w:space="0" w:color="auto"/>
              <w:right w:val="single" w:sz="4" w:space="0" w:color="auto"/>
            </w:tcBorders>
            <w:hideMark/>
          </w:tcPr>
          <w:p w14:paraId="1CEDB419" w14:textId="6EBE47E9" w:rsidR="000F0C06" w:rsidRDefault="00416566" w:rsidP="00314566">
            <w:pPr>
              <w:spacing w:line="273" w:lineRule="auto"/>
              <w:rPr>
                <w:rFonts w:ascii="Arial" w:hAnsi="Arial" w:cs="Arial"/>
                <w:bCs/>
                <w:color w:val="000000"/>
                <w:kern w:val="28"/>
                <w:sz w:val="18"/>
                <w:szCs w:val="18"/>
              </w:rPr>
            </w:pPr>
            <w:r>
              <w:rPr>
                <w:rFonts w:ascii="Arial" w:eastAsia="Times New Roman" w:hAnsi="Arial" w:cs="Arial"/>
                <w:bCs/>
                <w:color w:val="000000"/>
                <w:kern w:val="28"/>
                <w:sz w:val="18"/>
                <w:szCs w:val="18"/>
                <w:lang w:eastAsia="en-AU"/>
              </w:rPr>
              <w:t>O</w:t>
            </w:r>
            <w:r w:rsidR="000F0C06">
              <w:rPr>
                <w:rFonts w:ascii="Arial" w:eastAsia="Times New Roman" w:hAnsi="Arial" w:cs="Arial"/>
                <w:bCs/>
                <w:color w:val="000000"/>
                <w:kern w:val="28"/>
                <w:sz w:val="18"/>
                <w:szCs w:val="18"/>
                <w:lang w:eastAsia="en-AU"/>
              </w:rPr>
              <w:t>ngoing conflict and violence throughout the region threaten development gains. In some countries (Colombia and Guatemala) the finalisation of peace agreements to resolve longstanding conflicts has helped to improve economic performance.</w:t>
            </w:r>
          </w:p>
        </w:tc>
        <w:tc>
          <w:tcPr>
            <w:tcW w:w="2084" w:type="pct"/>
            <w:tcBorders>
              <w:top w:val="single" w:sz="4" w:space="0" w:color="auto"/>
              <w:left w:val="single" w:sz="4" w:space="0" w:color="auto"/>
              <w:bottom w:val="single" w:sz="4" w:space="0" w:color="auto"/>
              <w:right w:val="single" w:sz="4" w:space="0" w:color="auto"/>
            </w:tcBorders>
          </w:tcPr>
          <w:p w14:paraId="6622E05F" w14:textId="2B5D3BCA" w:rsidR="000F0C06" w:rsidRDefault="000F0C06" w:rsidP="00314566">
            <w:pPr>
              <w:spacing w:line="271" w:lineRule="auto"/>
              <w:rPr>
                <w:rFonts w:ascii="Arial" w:eastAsia="Times New Roman" w:hAnsi="Arial" w:cs="Arial"/>
                <w:bCs/>
                <w:color w:val="000000"/>
                <w:kern w:val="28"/>
                <w:sz w:val="18"/>
                <w:szCs w:val="18"/>
                <w:lang w:eastAsia="en-AU"/>
              </w:rPr>
            </w:pPr>
            <w:r>
              <w:rPr>
                <w:rFonts w:ascii="Arial" w:eastAsia="Times New Roman" w:hAnsi="Arial" w:cs="Arial"/>
                <w:bCs/>
                <w:color w:val="000000"/>
                <w:kern w:val="28"/>
                <w:sz w:val="18"/>
                <w:szCs w:val="18"/>
                <w:lang w:eastAsia="en-AU"/>
              </w:rPr>
              <w:t>The aid program will work through dedicated security for development funding where we can add value, and scholarships.</w:t>
            </w:r>
          </w:p>
          <w:p w14:paraId="63068CAD" w14:textId="77777777" w:rsidR="000F0C06" w:rsidRDefault="000F0C06" w:rsidP="00314566">
            <w:pPr>
              <w:spacing w:line="271" w:lineRule="auto"/>
              <w:ind w:left="360"/>
              <w:rPr>
                <w:rFonts w:ascii="Arial" w:hAnsi="Arial" w:cs="Arial"/>
                <w:bCs/>
                <w:color w:val="000000"/>
                <w:kern w:val="28"/>
                <w:sz w:val="18"/>
                <w:szCs w:val="18"/>
              </w:rPr>
            </w:pPr>
          </w:p>
        </w:tc>
      </w:tr>
      <w:tr w:rsidR="000F0C06" w14:paraId="128A44F0" w14:textId="77777777" w:rsidTr="00314566">
        <w:tc>
          <w:tcPr>
            <w:tcW w:w="831" w:type="pct"/>
            <w:tcBorders>
              <w:top w:val="single" w:sz="4" w:space="0" w:color="auto"/>
              <w:left w:val="single" w:sz="4" w:space="0" w:color="auto"/>
              <w:bottom w:val="single" w:sz="4" w:space="0" w:color="auto"/>
              <w:right w:val="single" w:sz="4" w:space="0" w:color="auto"/>
            </w:tcBorders>
          </w:tcPr>
          <w:p w14:paraId="48652EF5" w14:textId="77777777" w:rsidR="000F0C06" w:rsidRDefault="000F0C06" w:rsidP="00314566">
            <w:pPr>
              <w:spacing w:line="271" w:lineRule="auto"/>
              <w:rPr>
                <w:rFonts w:ascii="Arial" w:hAnsi="Arial" w:cs="Arial"/>
                <w:bCs/>
                <w:color w:val="000000"/>
                <w:kern w:val="28"/>
                <w:sz w:val="18"/>
                <w:szCs w:val="18"/>
              </w:rPr>
            </w:pPr>
          </w:p>
        </w:tc>
        <w:tc>
          <w:tcPr>
            <w:tcW w:w="2085" w:type="pct"/>
            <w:tcBorders>
              <w:top w:val="single" w:sz="4" w:space="0" w:color="auto"/>
              <w:left w:val="single" w:sz="4" w:space="0" w:color="auto"/>
              <w:bottom w:val="single" w:sz="4" w:space="0" w:color="auto"/>
              <w:right w:val="single" w:sz="4" w:space="0" w:color="auto"/>
            </w:tcBorders>
            <w:hideMark/>
          </w:tcPr>
          <w:p w14:paraId="6CC737C8" w14:textId="77777777" w:rsidR="000F0C06" w:rsidRDefault="000F0C06" w:rsidP="00314566">
            <w:pPr>
              <w:spacing w:line="273" w:lineRule="auto"/>
              <w:rPr>
                <w:rFonts w:ascii="Arial" w:hAnsi="Arial" w:cs="Arial"/>
                <w:bCs/>
                <w:color w:val="000000"/>
                <w:kern w:val="28"/>
                <w:sz w:val="18"/>
                <w:szCs w:val="18"/>
              </w:rPr>
            </w:pPr>
            <w:r>
              <w:rPr>
                <w:rFonts w:ascii="Arial" w:eastAsia="Times New Roman" w:hAnsi="Arial" w:cs="Arial"/>
                <w:bCs/>
                <w:color w:val="000000"/>
                <w:kern w:val="28"/>
                <w:sz w:val="18"/>
                <w:szCs w:val="18"/>
                <w:lang w:eastAsia="en-AU"/>
              </w:rPr>
              <w:t>Our partnership approach relies on the partners driving our assistance programs. This presents a risk of implementation delays.</w:t>
            </w:r>
            <w:r>
              <w:rPr>
                <w:rFonts w:ascii="Georgia" w:hAnsi="Georgia"/>
                <w:sz w:val="19"/>
                <w:szCs w:val="19"/>
              </w:rPr>
              <w:t xml:space="preserve">   </w:t>
            </w:r>
          </w:p>
        </w:tc>
        <w:tc>
          <w:tcPr>
            <w:tcW w:w="2084" w:type="pct"/>
            <w:tcBorders>
              <w:top w:val="single" w:sz="4" w:space="0" w:color="auto"/>
              <w:left w:val="single" w:sz="4" w:space="0" w:color="auto"/>
              <w:bottom w:val="single" w:sz="4" w:space="0" w:color="auto"/>
              <w:right w:val="single" w:sz="4" w:space="0" w:color="auto"/>
            </w:tcBorders>
          </w:tcPr>
          <w:p w14:paraId="31B3D823" w14:textId="53CFCEFA" w:rsidR="000F0C06" w:rsidRDefault="000F0C06" w:rsidP="00314566">
            <w:pPr>
              <w:spacing w:line="273" w:lineRule="auto"/>
              <w:rPr>
                <w:rFonts w:ascii="Arial" w:eastAsia="Times New Roman" w:hAnsi="Arial" w:cs="Arial"/>
                <w:bCs/>
                <w:color w:val="000000"/>
                <w:kern w:val="28"/>
                <w:sz w:val="18"/>
                <w:szCs w:val="18"/>
                <w:lang w:eastAsia="en-AU"/>
              </w:rPr>
            </w:pPr>
            <w:r>
              <w:rPr>
                <w:rFonts w:ascii="Arial" w:eastAsia="Times New Roman" w:hAnsi="Arial" w:cs="Arial"/>
                <w:bCs/>
                <w:color w:val="000000"/>
                <w:kern w:val="28"/>
                <w:sz w:val="18"/>
                <w:szCs w:val="18"/>
                <w:lang w:eastAsia="en-AU"/>
              </w:rPr>
              <w:t>Australia will monitor and adjust assistance programs and activities as necessary.</w:t>
            </w:r>
          </w:p>
          <w:p w14:paraId="5B778085" w14:textId="77777777" w:rsidR="000F0C06" w:rsidRDefault="000F0C06" w:rsidP="00314566">
            <w:pPr>
              <w:spacing w:line="271" w:lineRule="auto"/>
              <w:rPr>
                <w:rFonts w:ascii="Arial" w:hAnsi="Arial" w:cs="Arial"/>
                <w:bCs/>
                <w:color w:val="000000"/>
                <w:kern w:val="28"/>
                <w:sz w:val="18"/>
                <w:szCs w:val="18"/>
              </w:rPr>
            </w:pPr>
          </w:p>
        </w:tc>
      </w:tr>
      <w:tr w:rsidR="000F0C06" w14:paraId="1E60E510" w14:textId="77777777" w:rsidTr="00314566">
        <w:tc>
          <w:tcPr>
            <w:tcW w:w="831" w:type="pct"/>
            <w:tcBorders>
              <w:top w:val="single" w:sz="4" w:space="0" w:color="auto"/>
              <w:left w:val="single" w:sz="4" w:space="0" w:color="auto"/>
              <w:bottom w:val="single" w:sz="4" w:space="0" w:color="auto"/>
              <w:right w:val="single" w:sz="4" w:space="0" w:color="auto"/>
            </w:tcBorders>
          </w:tcPr>
          <w:p w14:paraId="13B0F2FC" w14:textId="32920E51" w:rsidR="000F0C06" w:rsidRDefault="000F0C06" w:rsidP="00EA4C14">
            <w:pPr>
              <w:spacing w:line="271" w:lineRule="auto"/>
              <w:rPr>
                <w:rFonts w:ascii="Arial" w:hAnsi="Arial" w:cs="Arial"/>
                <w:bCs/>
                <w:color w:val="000000"/>
                <w:kern w:val="28"/>
                <w:sz w:val="18"/>
                <w:szCs w:val="18"/>
              </w:rPr>
            </w:pPr>
            <w:r>
              <w:rPr>
                <w:rFonts w:ascii="Arial" w:hAnsi="Arial" w:cs="Arial"/>
                <w:bCs/>
                <w:color w:val="000000"/>
                <w:kern w:val="28"/>
                <w:sz w:val="18"/>
                <w:szCs w:val="18"/>
              </w:rPr>
              <w:t>Humanitarian and disaster response</w:t>
            </w:r>
          </w:p>
        </w:tc>
        <w:tc>
          <w:tcPr>
            <w:tcW w:w="2085" w:type="pct"/>
            <w:tcBorders>
              <w:top w:val="single" w:sz="4" w:space="0" w:color="auto"/>
              <w:left w:val="single" w:sz="4" w:space="0" w:color="auto"/>
              <w:bottom w:val="single" w:sz="4" w:space="0" w:color="auto"/>
              <w:right w:val="single" w:sz="4" w:space="0" w:color="auto"/>
            </w:tcBorders>
            <w:hideMark/>
          </w:tcPr>
          <w:p w14:paraId="06666BAB" w14:textId="77777777" w:rsidR="000F0C06" w:rsidRDefault="000F0C06" w:rsidP="00314566">
            <w:pPr>
              <w:spacing w:line="271" w:lineRule="auto"/>
              <w:rPr>
                <w:rFonts w:ascii="Arial" w:hAnsi="Arial" w:cs="Arial"/>
                <w:bCs/>
                <w:color w:val="000000"/>
                <w:kern w:val="28"/>
                <w:sz w:val="18"/>
                <w:szCs w:val="18"/>
              </w:rPr>
            </w:pPr>
            <w:r>
              <w:rPr>
                <w:rFonts w:ascii="Arial" w:hAnsi="Arial" w:cs="Arial"/>
                <w:bCs/>
                <w:color w:val="000000"/>
                <w:kern w:val="28"/>
                <w:sz w:val="18"/>
                <w:szCs w:val="18"/>
              </w:rPr>
              <w:t>The whole region is prone to natural disasters, severely impacting on human and economic development.</w:t>
            </w:r>
          </w:p>
        </w:tc>
        <w:tc>
          <w:tcPr>
            <w:tcW w:w="2084" w:type="pct"/>
            <w:tcBorders>
              <w:top w:val="single" w:sz="4" w:space="0" w:color="auto"/>
              <w:left w:val="single" w:sz="4" w:space="0" w:color="auto"/>
              <w:bottom w:val="single" w:sz="4" w:space="0" w:color="auto"/>
              <w:right w:val="single" w:sz="4" w:space="0" w:color="auto"/>
            </w:tcBorders>
            <w:hideMark/>
          </w:tcPr>
          <w:p w14:paraId="223D227D" w14:textId="5F5DF522" w:rsidR="000F0C06" w:rsidRDefault="000F0C06" w:rsidP="00EA4C14">
            <w:pPr>
              <w:spacing w:line="271" w:lineRule="auto"/>
              <w:rPr>
                <w:rFonts w:ascii="Arial" w:hAnsi="Arial" w:cs="Arial"/>
                <w:bCs/>
                <w:color w:val="000000"/>
                <w:kern w:val="28"/>
                <w:sz w:val="18"/>
                <w:szCs w:val="18"/>
              </w:rPr>
            </w:pPr>
            <w:r>
              <w:rPr>
                <w:rFonts w:ascii="Arial" w:hAnsi="Arial" w:cs="Arial"/>
                <w:bCs/>
                <w:color w:val="000000"/>
                <w:kern w:val="28"/>
                <w:sz w:val="18"/>
                <w:szCs w:val="18"/>
              </w:rPr>
              <w:t>Australia will stand ready to provide appropriate support in response to crises in the region.</w:t>
            </w:r>
          </w:p>
        </w:tc>
      </w:tr>
    </w:tbl>
    <w:p w14:paraId="2A497123" w14:textId="77777777" w:rsidR="000F0C06" w:rsidRDefault="000F0C06" w:rsidP="00A960E9">
      <w:pPr>
        <w:pStyle w:val="BodyText"/>
      </w:pPr>
    </w:p>
    <w:p w14:paraId="2A497124" w14:textId="77777777" w:rsidR="000F0C06" w:rsidRDefault="000F0C06" w:rsidP="00B00C83">
      <w:pPr>
        <w:pStyle w:val="Heading1"/>
        <w:numPr>
          <w:ilvl w:val="0"/>
          <w:numId w:val="0"/>
        </w:numPr>
        <w:rPr>
          <w:noProof/>
        </w:rPr>
      </w:pPr>
      <w:bookmarkStart w:id="37" w:name="_Toc356371550"/>
      <w:bookmarkStart w:id="38" w:name="_Toc357172654"/>
      <w:r>
        <w:rPr>
          <w:noProof/>
        </w:rPr>
        <w:lastRenderedPageBreak/>
        <w:drawing>
          <wp:anchor distT="0" distB="0" distL="114300" distR="114300" simplePos="0" relativeHeight="251668992" behindDoc="1" locked="0" layoutInCell="1" allowOverlap="1" wp14:anchorId="2A49713C" wp14:editId="2A49713D">
            <wp:simplePos x="0" y="0"/>
            <wp:positionH relativeFrom="page">
              <wp:posOffset>-92710</wp:posOffset>
            </wp:positionH>
            <wp:positionV relativeFrom="page">
              <wp:posOffset>1054735</wp:posOffset>
            </wp:positionV>
            <wp:extent cx="7788910" cy="1585595"/>
            <wp:effectExtent l="0" t="0" r="2540" b="0"/>
            <wp:wrapNone/>
            <wp:docPr id="13" name="Picture 13"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sAID_report_D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Pr>
          <w:noProof/>
        </w:rPr>
        <w:t>Annexes</w:t>
      </w:r>
      <w:bookmarkEnd w:id="37"/>
      <w:bookmarkEnd w:id="38"/>
    </w:p>
    <w:p w14:paraId="0C03575C" w14:textId="4E9BB424" w:rsidR="000F0C06" w:rsidRPr="00E5135B" w:rsidRDefault="000F0C06" w:rsidP="00B00C83">
      <w:pPr>
        <w:pStyle w:val="Heading2"/>
        <w:numPr>
          <w:ilvl w:val="0"/>
          <w:numId w:val="0"/>
        </w:numPr>
        <w:ind w:left="709" w:hanging="709"/>
      </w:pPr>
      <w:bookmarkStart w:id="39" w:name="_Toc356371551"/>
      <w:bookmarkStart w:id="40" w:name="_Toc357172655"/>
      <w:r w:rsidRPr="00427297">
        <w:t>Annex A: Latin America Program Summary</w:t>
      </w:r>
      <w:bookmarkEnd w:id="39"/>
      <w:bookmarkEnd w:id="40"/>
    </w:p>
    <w:p w14:paraId="773B2CCD" w14:textId="77777777" w:rsidR="000F0C06" w:rsidRDefault="000F0C06" w:rsidP="00E5135B">
      <w:pPr>
        <w:rPr>
          <w:rFonts w:ascii="Franklin Gothic Demi" w:hAnsi="Franklin Gothic Demi"/>
          <w:color w:val="AD495D"/>
          <w:kern w:val="28"/>
          <w:sz w:val="28"/>
          <w:szCs w:val="28"/>
        </w:rPr>
      </w:pPr>
    </w:p>
    <w:p w14:paraId="115D73A0" w14:textId="77777777" w:rsidR="000F0C06" w:rsidRDefault="000F0C06" w:rsidP="00E5135B">
      <w:pPr>
        <w:rPr>
          <w:rFonts w:ascii="Franklin Gothic Demi" w:hAnsi="Franklin Gothic Demi"/>
          <w:color w:val="AD495D"/>
          <w:kern w:val="28"/>
          <w:sz w:val="28"/>
          <w:szCs w:val="28"/>
        </w:rPr>
      </w:pPr>
    </w:p>
    <w:p w14:paraId="0115A0A4" w14:textId="77777777" w:rsidR="000F0C06" w:rsidRPr="00E5135B" w:rsidRDefault="000F0C06" w:rsidP="00E5135B">
      <w:pPr>
        <w:rPr>
          <w:rFonts w:ascii="Franklin Gothic Demi" w:hAnsi="Franklin Gothic Demi"/>
          <w:color w:val="AD495D"/>
          <w:kern w:val="28"/>
          <w:sz w:val="28"/>
          <w:szCs w:val="28"/>
        </w:rPr>
      </w:pP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984"/>
        <w:gridCol w:w="236"/>
        <w:gridCol w:w="1182"/>
        <w:gridCol w:w="283"/>
        <w:gridCol w:w="851"/>
        <w:gridCol w:w="283"/>
        <w:gridCol w:w="1134"/>
        <w:gridCol w:w="284"/>
        <w:gridCol w:w="1134"/>
        <w:gridCol w:w="283"/>
        <w:gridCol w:w="1134"/>
      </w:tblGrid>
      <w:tr w:rsidR="000F0C06" w:rsidRPr="005A1CEC" w14:paraId="67C0AB88" w14:textId="77777777" w:rsidTr="004D7C1C">
        <w:tc>
          <w:tcPr>
            <w:tcW w:w="1135" w:type="dxa"/>
          </w:tcPr>
          <w:p w14:paraId="3432A025" w14:textId="77777777" w:rsidR="000F0C06" w:rsidRPr="005A1CEC" w:rsidRDefault="000F0C06" w:rsidP="00E5135B">
            <w:pPr>
              <w:rPr>
                <w:rFonts w:ascii="Franklin Gothic Demi" w:hAnsi="Franklin Gothic Demi"/>
                <w:kern w:val="28"/>
                <w:sz w:val="20"/>
                <w:szCs w:val="20"/>
              </w:rPr>
            </w:pPr>
            <w:r w:rsidRPr="005A1CEC">
              <w:rPr>
                <w:rFonts w:asciiTheme="minorHAnsi" w:hAnsiTheme="minorHAnsi" w:cstheme="minorHAnsi"/>
                <w:kern w:val="28"/>
                <w:sz w:val="20"/>
                <w:szCs w:val="20"/>
              </w:rPr>
              <w:t>End State</w:t>
            </w:r>
          </w:p>
        </w:tc>
        <w:tc>
          <w:tcPr>
            <w:tcW w:w="8788" w:type="dxa"/>
            <w:gridSpan w:val="11"/>
            <w:shd w:val="clear" w:color="auto" w:fill="FFFF00"/>
          </w:tcPr>
          <w:p w14:paraId="15368608" w14:textId="49080CDE" w:rsidR="000F0C06" w:rsidRPr="005A1CEC" w:rsidRDefault="000F0C06" w:rsidP="00E5135B">
            <w:pPr>
              <w:rPr>
                <w:rFonts w:ascii="Franklin Gothic Demi" w:hAnsi="Franklin Gothic Demi"/>
                <w:kern w:val="28"/>
                <w:sz w:val="20"/>
                <w:szCs w:val="20"/>
              </w:rPr>
            </w:pPr>
            <w:r w:rsidRPr="005A1CEC">
              <w:rPr>
                <w:rFonts w:cs="Calibri"/>
                <w:b/>
                <w:bCs/>
                <w:sz w:val="20"/>
                <w:szCs w:val="20"/>
              </w:rPr>
              <w:t>Australia will support Latin America</w:t>
            </w:r>
            <w:r w:rsidRPr="005A1CEC">
              <w:rPr>
                <w:rFonts w:ascii="Times New Roman" w:hAnsi="Times New Roman"/>
                <w:sz w:val="20"/>
                <w:szCs w:val="20"/>
              </w:rPr>
              <w:t xml:space="preserve"> </w:t>
            </w:r>
            <w:r w:rsidRPr="005A1CEC">
              <w:rPr>
                <w:rFonts w:cs="Calibri"/>
                <w:b/>
                <w:bCs/>
                <w:sz w:val="20"/>
                <w:szCs w:val="20"/>
              </w:rPr>
              <w:t>to reduce poverty and inequality and make progress towards achieving the MDGs</w:t>
            </w:r>
          </w:p>
        </w:tc>
      </w:tr>
      <w:tr w:rsidR="000F0C06" w:rsidRPr="00E5135B" w14:paraId="30BF802C" w14:textId="77777777" w:rsidTr="00E14CF5">
        <w:trPr>
          <w:trHeight w:val="508"/>
        </w:trPr>
        <w:tc>
          <w:tcPr>
            <w:tcW w:w="1135" w:type="dxa"/>
            <w:shd w:val="clear" w:color="auto" w:fill="auto"/>
          </w:tcPr>
          <w:p w14:paraId="65817D4F" w14:textId="77777777" w:rsidR="000F0C06" w:rsidRPr="00E5135B" w:rsidRDefault="000F0C06" w:rsidP="00E5135B">
            <w:pPr>
              <w:rPr>
                <w:rFonts w:ascii="Franklin Gothic Demi" w:hAnsi="Franklin Gothic Demi"/>
                <w:kern w:val="28"/>
                <w:sz w:val="28"/>
                <w:szCs w:val="28"/>
              </w:rPr>
            </w:pPr>
          </w:p>
        </w:tc>
        <w:tc>
          <w:tcPr>
            <w:tcW w:w="8788" w:type="dxa"/>
            <w:gridSpan w:val="11"/>
            <w:shd w:val="clear" w:color="auto" w:fill="auto"/>
          </w:tcPr>
          <w:p w14:paraId="33B13809" w14:textId="77777777" w:rsidR="000F0C06" w:rsidRPr="00E5135B" w:rsidRDefault="000F0C06" w:rsidP="00E5135B">
            <w:pPr>
              <w:rPr>
                <w:rFonts w:cs="Calibri"/>
                <w:b/>
                <w:bCs/>
                <w:sz w:val="32"/>
                <w:szCs w:val="32"/>
              </w:rPr>
            </w:pPr>
          </w:p>
        </w:tc>
      </w:tr>
      <w:tr w:rsidR="000F0C06" w:rsidRPr="005A1CEC" w14:paraId="0527158C" w14:textId="77777777" w:rsidTr="004D7C1C">
        <w:tc>
          <w:tcPr>
            <w:tcW w:w="1135" w:type="dxa"/>
          </w:tcPr>
          <w:p w14:paraId="3DA4D5BA" w14:textId="77777777" w:rsidR="000F0C06" w:rsidRPr="005A1CEC" w:rsidRDefault="000F0C06" w:rsidP="00E5135B">
            <w:pPr>
              <w:rPr>
                <w:rFonts w:ascii="Franklin Gothic Demi" w:hAnsi="Franklin Gothic Demi"/>
                <w:kern w:val="28"/>
                <w:sz w:val="18"/>
                <w:szCs w:val="18"/>
              </w:rPr>
            </w:pPr>
            <w:r w:rsidRPr="005A1CEC">
              <w:rPr>
                <w:rFonts w:asciiTheme="minorHAnsi" w:hAnsiTheme="minorHAnsi" w:cstheme="minorHAnsi"/>
                <w:kern w:val="28"/>
                <w:sz w:val="18"/>
                <w:szCs w:val="18"/>
              </w:rPr>
              <w:t>Where We Work</w:t>
            </w:r>
          </w:p>
        </w:tc>
        <w:tc>
          <w:tcPr>
            <w:tcW w:w="8788" w:type="dxa"/>
            <w:gridSpan w:val="11"/>
            <w:shd w:val="clear" w:color="auto" w:fill="E5DFEC" w:themeFill="accent4" w:themeFillTint="33"/>
          </w:tcPr>
          <w:p w14:paraId="77A80DD1" w14:textId="666CF66E" w:rsidR="000F0C06" w:rsidRPr="005A1CEC" w:rsidRDefault="000F0C06" w:rsidP="00FB0ECC">
            <w:pPr>
              <w:rPr>
                <w:rFonts w:cs="Calibri"/>
                <w:b/>
                <w:bCs/>
                <w:sz w:val="18"/>
                <w:szCs w:val="18"/>
              </w:rPr>
            </w:pPr>
            <w:r w:rsidRPr="005A1CEC">
              <w:rPr>
                <w:rFonts w:asciiTheme="minorHAnsi" w:hAnsiTheme="minorHAnsi" w:cstheme="minorHAnsi"/>
                <w:kern w:val="28"/>
                <w:sz w:val="18"/>
                <w:szCs w:val="18"/>
              </w:rPr>
              <w:t>Argentina, Bolivia, Brazil, Chile, Colombia, Costa Rica, Ecuador, El Salvador, Guatemala, Honduras, Mexico, Nicaragua, Panama, Paraguay, Peru, Uruguay and Venezuela</w:t>
            </w:r>
          </w:p>
        </w:tc>
      </w:tr>
      <w:tr w:rsidR="000F0C06" w:rsidRPr="00E5135B" w14:paraId="63BFAABB" w14:textId="77777777" w:rsidTr="00E14CF5">
        <w:trPr>
          <w:trHeight w:val="538"/>
        </w:trPr>
        <w:tc>
          <w:tcPr>
            <w:tcW w:w="9923" w:type="dxa"/>
            <w:gridSpan w:val="12"/>
          </w:tcPr>
          <w:p w14:paraId="5EE3C9C0" w14:textId="77777777" w:rsidR="000F0C06" w:rsidRPr="00E5135B" w:rsidRDefault="000F0C06" w:rsidP="00E5135B">
            <w:pPr>
              <w:rPr>
                <w:rFonts w:ascii="Franklin Gothic Demi" w:hAnsi="Franklin Gothic Demi"/>
                <w:kern w:val="28"/>
                <w:sz w:val="28"/>
                <w:szCs w:val="28"/>
              </w:rPr>
            </w:pPr>
          </w:p>
        </w:tc>
      </w:tr>
      <w:tr w:rsidR="000F0C06" w:rsidRPr="005A1CEC" w14:paraId="31F8AA7D" w14:textId="77777777" w:rsidTr="004D7C1C">
        <w:tc>
          <w:tcPr>
            <w:tcW w:w="1135" w:type="dxa"/>
          </w:tcPr>
          <w:p w14:paraId="2A6FADF8" w14:textId="77777777" w:rsidR="000F0C06" w:rsidRPr="005A1CEC" w:rsidRDefault="000F0C06" w:rsidP="00E5135B">
            <w:pPr>
              <w:rPr>
                <w:rFonts w:asciiTheme="minorHAnsi" w:hAnsiTheme="minorHAnsi" w:cstheme="minorHAnsi"/>
                <w:kern w:val="28"/>
                <w:sz w:val="18"/>
                <w:szCs w:val="18"/>
              </w:rPr>
            </w:pPr>
            <w:r w:rsidRPr="005A1CEC">
              <w:rPr>
                <w:rFonts w:asciiTheme="minorHAnsi" w:hAnsiTheme="minorHAnsi" w:cstheme="minorHAnsi"/>
                <w:kern w:val="28"/>
                <w:sz w:val="18"/>
                <w:szCs w:val="18"/>
              </w:rPr>
              <w:t xml:space="preserve">Focus </w:t>
            </w:r>
          </w:p>
          <w:p w14:paraId="4B05BBEC" w14:textId="61E6B1BD" w:rsidR="000F0C06" w:rsidRPr="005A1CEC" w:rsidRDefault="000F0C06" w:rsidP="00E5135B">
            <w:pPr>
              <w:rPr>
                <w:rFonts w:asciiTheme="minorHAnsi" w:hAnsiTheme="minorHAnsi" w:cstheme="minorHAnsi"/>
                <w:kern w:val="28"/>
                <w:sz w:val="18"/>
                <w:szCs w:val="18"/>
              </w:rPr>
            </w:pPr>
            <w:r w:rsidRPr="005A1CEC">
              <w:rPr>
                <w:rFonts w:asciiTheme="minorHAnsi" w:hAnsiTheme="minorHAnsi" w:cstheme="minorHAnsi"/>
                <w:kern w:val="28"/>
                <w:sz w:val="18"/>
                <w:szCs w:val="18"/>
              </w:rPr>
              <w:t>Areas</w:t>
            </w:r>
          </w:p>
        </w:tc>
        <w:tc>
          <w:tcPr>
            <w:tcW w:w="1984" w:type="dxa"/>
            <w:shd w:val="clear" w:color="auto" w:fill="F2DBDB" w:themeFill="accent2" w:themeFillTint="33"/>
          </w:tcPr>
          <w:p w14:paraId="36072D78" w14:textId="77777777" w:rsidR="000F0C06" w:rsidRPr="005A1CEC" w:rsidRDefault="000F0C06" w:rsidP="00E5135B">
            <w:pPr>
              <w:rPr>
                <w:rFonts w:asciiTheme="minorHAnsi" w:hAnsiTheme="minorHAnsi" w:cstheme="minorHAnsi"/>
                <w:kern w:val="28"/>
                <w:sz w:val="18"/>
                <w:szCs w:val="18"/>
              </w:rPr>
            </w:pPr>
            <w:r w:rsidRPr="005A1CEC">
              <w:rPr>
                <w:rFonts w:asciiTheme="minorHAnsi" w:hAnsiTheme="minorHAnsi" w:cstheme="minorHAnsi"/>
                <w:kern w:val="28"/>
                <w:sz w:val="18"/>
                <w:szCs w:val="18"/>
              </w:rPr>
              <w:t>Sustainable Economic Development</w:t>
            </w:r>
          </w:p>
        </w:tc>
        <w:tc>
          <w:tcPr>
            <w:tcW w:w="236" w:type="dxa"/>
          </w:tcPr>
          <w:p w14:paraId="4C681B2D" w14:textId="77777777" w:rsidR="000F0C06" w:rsidRPr="005A1CEC" w:rsidRDefault="000F0C06" w:rsidP="00E5135B">
            <w:pPr>
              <w:rPr>
                <w:rFonts w:asciiTheme="minorHAnsi" w:hAnsiTheme="minorHAnsi" w:cstheme="minorHAnsi"/>
                <w:kern w:val="28"/>
                <w:sz w:val="18"/>
                <w:szCs w:val="18"/>
              </w:rPr>
            </w:pPr>
          </w:p>
        </w:tc>
        <w:tc>
          <w:tcPr>
            <w:tcW w:w="3733" w:type="dxa"/>
            <w:gridSpan w:val="5"/>
            <w:shd w:val="clear" w:color="auto" w:fill="D6E3BC" w:themeFill="accent3" w:themeFillTint="66"/>
          </w:tcPr>
          <w:p w14:paraId="50E76B3B" w14:textId="77777777" w:rsidR="000F0C06" w:rsidRPr="005A1CEC" w:rsidRDefault="000F0C06" w:rsidP="00E5135B">
            <w:pPr>
              <w:rPr>
                <w:rFonts w:asciiTheme="minorHAnsi" w:hAnsiTheme="minorHAnsi" w:cstheme="minorHAnsi"/>
                <w:kern w:val="28"/>
                <w:sz w:val="18"/>
                <w:szCs w:val="18"/>
              </w:rPr>
            </w:pPr>
            <w:r w:rsidRPr="005A1CEC">
              <w:rPr>
                <w:rFonts w:asciiTheme="minorHAnsi" w:hAnsiTheme="minorHAnsi" w:cstheme="minorHAnsi"/>
                <w:kern w:val="28"/>
                <w:sz w:val="18"/>
                <w:szCs w:val="18"/>
              </w:rPr>
              <w:t>Effective Governance</w:t>
            </w:r>
          </w:p>
        </w:tc>
        <w:tc>
          <w:tcPr>
            <w:tcW w:w="284" w:type="dxa"/>
          </w:tcPr>
          <w:p w14:paraId="5909A720" w14:textId="77777777" w:rsidR="000F0C06" w:rsidRPr="005A1CEC" w:rsidRDefault="000F0C06" w:rsidP="00E5135B">
            <w:pPr>
              <w:rPr>
                <w:rFonts w:asciiTheme="minorHAnsi" w:hAnsiTheme="minorHAnsi" w:cstheme="minorHAnsi"/>
                <w:kern w:val="28"/>
                <w:sz w:val="18"/>
                <w:szCs w:val="18"/>
              </w:rPr>
            </w:pPr>
          </w:p>
        </w:tc>
        <w:tc>
          <w:tcPr>
            <w:tcW w:w="2551" w:type="dxa"/>
            <w:gridSpan w:val="3"/>
            <w:shd w:val="clear" w:color="auto" w:fill="B6DDE8" w:themeFill="accent5" w:themeFillTint="66"/>
          </w:tcPr>
          <w:p w14:paraId="625D57A8" w14:textId="77777777" w:rsidR="000F0C06" w:rsidRPr="005A1CEC" w:rsidRDefault="000F0C06" w:rsidP="00E5135B">
            <w:pPr>
              <w:rPr>
                <w:rFonts w:asciiTheme="minorHAnsi" w:hAnsiTheme="minorHAnsi" w:cstheme="minorHAnsi"/>
                <w:kern w:val="28"/>
                <w:sz w:val="18"/>
                <w:szCs w:val="18"/>
              </w:rPr>
            </w:pPr>
            <w:r w:rsidRPr="005A1CEC">
              <w:rPr>
                <w:rFonts w:asciiTheme="minorHAnsi" w:hAnsiTheme="minorHAnsi" w:cstheme="minorHAnsi"/>
                <w:kern w:val="28"/>
                <w:sz w:val="18"/>
                <w:szCs w:val="18"/>
              </w:rPr>
              <w:t>Humanitarian and Disaster Response</w:t>
            </w:r>
          </w:p>
        </w:tc>
      </w:tr>
      <w:tr w:rsidR="000F0C06" w:rsidRPr="00E5135B" w14:paraId="4B8FD964" w14:textId="77777777" w:rsidTr="00E14CF5">
        <w:trPr>
          <w:trHeight w:val="542"/>
        </w:trPr>
        <w:tc>
          <w:tcPr>
            <w:tcW w:w="9923" w:type="dxa"/>
            <w:gridSpan w:val="12"/>
          </w:tcPr>
          <w:p w14:paraId="2BB14AD0" w14:textId="77777777" w:rsidR="000F0C06" w:rsidRPr="00E5135B" w:rsidRDefault="000F0C06" w:rsidP="00E5135B">
            <w:pPr>
              <w:rPr>
                <w:rFonts w:ascii="Franklin Gothic Demi" w:hAnsi="Franklin Gothic Demi"/>
                <w:kern w:val="28"/>
                <w:sz w:val="28"/>
                <w:szCs w:val="28"/>
              </w:rPr>
            </w:pPr>
          </w:p>
        </w:tc>
      </w:tr>
      <w:tr w:rsidR="000F0C06" w:rsidRPr="005A1CEC" w14:paraId="33C8635A" w14:textId="77777777" w:rsidTr="004D7C1C">
        <w:tc>
          <w:tcPr>
            <w:tcW w:w="1135" w:type="dxa"/>
          </w:tcPr>
          <w:p w14:paraId="6893A446" w14:textId="67153781" w:rsidR="000F0C06" w:rsidRPr="005A1CEC" w:rsidRDefault="000F0C06" w:rsidP="00290022">
            <w:pPr>
              <w:rPr>
                <w:rFonts w:asciiTheme="minorHAnsi" w:hAnsiTheme="minorHAnsi" w:cstheme="minorHAnsi"/>
                <w:kern w:val="28"/>
                <w:sz w:val="18"/>
                <w:szCs w:val="18"/>
              </w:rPr>
            </w:pPr>
            <w:r w:rsidRPr="005A1CEC">
              <w:rPr>
                <w:rFonts w:asciiTheme="minorHAnsi" w:hAnsiTheme="minorHAnsi" w:cstheme="minorHAnsi"/>
                <w:kern w:val="28"/>
                <w:sz w:val="18"/>
                <w:szCs w:val="18"/>
              </w:rPr>
              <w:t>Regional Emphasis</w:t>
            </w:r>
            <w:r w:rsidRPr="005A1CEC">
              <w:rPr>
                <w:rStyle w:val="CommentReference"/>
                <w:rFonts w:ascii="Times New Roman" w:eastAsia="Times New Roman" w:hAnsi="Times New Roman" w:cs="Times New Roman"/>
                <w:sz w:val="18"/>
                <w:szCs w:val="18"/>
                <w:lang w:eastAsia="en-AU"/>
              </w:rPr>
              <w:t xml:space="preserve"> </w:t>
            </w:r>
          </w:p>
        </w:tc>
        <w:tc>
          <w:tcPr>
            <w:tcW w:w="1984" w:type="dxa"/>
            <w:shd w:val="clear" w:color="auto" w:fill="F2DBDB" w:themeFill="accent2" w:themeFillTint="33"/>
          </w:tcPr>
          <w:p w14:paraId="0311EE32" w14:textId="77777777" w:rsidR="000F0C06" w:rsidRPr="005A1CEC" w:rsidRDefault="000F0C06" w:rsidP="00E5135B">
            <w:pPr>
              <w:numPr>
                <w:ilvl w:val="0"/>
                <w:numId w:val="21"/>
              </w:numPr>
              <w:ind w:left="265"/>
              <w:contextualSpacing/>
              <w:rPr>
                <w:rFonts w:cs="Calibri"/>
                <w:bCs/>
                <w:color w:val="000000"/>
                <w:sz w:val="18"/>
                <w:szCs w:val="18"/>
              </w:rPr>
            </w:pPr>
            <w:r w:rsidRPr="005A1CEC">
              <w:rPr>
                <w:rFonts w:cs="Calibri"/>
                <w:bCs/>
                <w:color w:val="000000"/>
                <w:sz w:val="18"/>
                <w:szCs w:val="18"/>
              </w:rPr>
              <w:t>Improved food security</w:t>
            </w:r>
          </w:p>
          <w:p w14:paraId="61EBA2B1" w14:textId="77777777" w:rsidR="000F0C06" w:rsidRPr="005A1CEC" w:rsidRDefault="000F0C06" w:rsidP="00E5135B">
            <w:pPr>
              <w:numPr>
                <w:ilvl w:val="0"/>
                <w:numId w:val="21"/>
              </w:numPr>
              <w:ind w:left="265"/>
              <w:contextualSpacing/>
              <w:rPr>
                <w:rFonts w:cs="Calibri"/>
                <w:bCs/>
                <w:color w:val="000000"/>
                <w:sz w:val="18"/>
                <w:szCs w:val="18"/>
              </w:rPr>
            </w:pPr>
            <w:r w:rsidRPr="005A1CEC">
              <w:rPr>
                <w:rFonts w:cs="Calibri"/>
                <w:bCs/>
                <w:color w:val="000000"/>
                <w:sz w:val="18"/>
                <w:szCs w:val="18"/>
              </w:rPr>
              <w:t>Improved incomes, employment and enterprise opportunities</w:t>
            </w:r>
          </w:p>
          <w:p w14:paraId="27CD58CA" w14:textId="77777777" w:rsidR="000F0C06" w:rsidRPr="005A1CEC" w:rsidRDefault="000F0C06" w:rsidP="00E5135B">
            <w:pPr>
              <w:numPr>
                <w:ilvl w:val="0"/>
                <w:numId w:val="21"/>
              </w:numPr>
              <w:ind w:left="265"/>
              <w:contextualSpacing/>
              <w:rPr>
                <w:rFonts w:cs="Calibri"/>
                <w:bCs/>
                <w:color w:val="000000"/>
                <w:sz w:val="18"/>
                <w:szCs w:val="18"/>
              </w:rPr>
            </w:pPr>
            <w:r w:rsidRPr="005A1CEC">
              <w:rPr>
                <w:rFonts w:cs="Calibri"/>
                <w:bCs/>
                <w:color w:val="000000"/>
                <w:sz w:val="18"/>
                <w:szCs w:val="18"/>
              </w:rPr>
              <w:t>Reduced negative impacts of climate change and other environmental factors</w:t>
            </w:r>
          </w:p>
        </w:tc>
        <w:tc>
          <w:tcPr>
            <w:tcW w:w="236" w:type="dxa"/>
          </w:tcPr>
          <w:p w14:paraId="0BD40ADD" w14:textId="77777777" w:rsidR="000F0C06" w:rsidRPr="005A1CEC" w:rsidRDefault="000F0C06" w:rsidP="00E5135B">
            <w:pPr>
              <w:rPr>
                <w:rFonts w:ascii="Franklin Gothic Demi" w:hAnsi="Franklin Gothic Demi"/>
                <w:kern w:val="28"/>
                <w:sz w:val="18"/>
                <w:szCs w:val="18"/>
              </w:rPr>
            </w:pPr>
          </w:p>
        </w:tc>
        <w:tc>
          <w:tcPr>
            <w:tcW w:w="3733" w:type="dxa"/>
            <w:gridSpan w:val="5"/>
            <w:shd w:val="clear" w:color="auto" w:fill="D6E3BC" w:themeFill="accent3" w:themeFillTint="66"/>
          </w:tcPr>
          <w:p w14:paraId="60B16CB7" w14:textId="0F381FA5" w:rsidR="000F0C06" w:rsidRPr="005A1CEC" w:rsidRDefault="000F0C06" w:rsidP="00E311A9">
            <w:pPr>
              <w:numPr>
                <w:ilvl w:val="0"/>
                <w:numId w:val="20"/>
              </w:numPr>
              <w:ind w:left="300"/>
              <w:contextualSpacing/>
              <w:rPr>
                <w:rFonts w:ascii="Franklin Gothic Demi" w:hAnsi="Franklin Gothic Demi"/>
                <w:kern w:val="28"/>
                <w:sz w:val="18"/>
                <w:szCs w:val="18"/>
              </w:rPr>
            </w:pPr>
            <w:r w:rsidRPr="005A1CEC">
              <w:rPr>
                <w:rFonts w:cs="Calibri"/>
                <w:bCs/>
                <w:color w:val="000000"/>
                <w:sz w:val="18"/>
                <w:szCs w:val="18"/>
              </w:rPr>
              <w:t>Improved institutional capacity (particularly the public sector) to deliver better services, improve security, and enhance justice and human rights</w:t>
            </w:r>
          </w:p>
        </w:tc>
        <w:tc>
          <w:tcPr>
            <w:tcW w:w="284" w:type="dxa"/>
          </w:tcPr>
          <w:p w14:paraId="11A49DAC" w14:textId="77777777" w:rsidR="000F0C06" w:rsidRPr="005A1CEC" w:rsidRDefault="000F0C06" w:rsidP="00E5135B">
            <w:pPr>
              <w:rPr>
                <w:rFonts w:ascii="Franklin Gothic Demi" w:hAnsi="Franklin Gothic Demi"/>
                <w:kern w:val="28"/>
                <w:sz w:val="18"/>
                <w:szCs w:val="18"/>
              </w:rPr>
            </w:pPr>
          </w:p>
        </w:tc>
        <w:tc>
          <w:tcPr>
            <w:tcW w:w="2551" w:type="dxa"/>
            <w:gridSpan w:val="3"/>
            <w:shd w:val="clear" w:color="auto" w:fill="B6DDE8" w:themeFill="accent5" w:themeFillTint="66"/>
          </w:tcPr>
          <w:p w14:paraId="73418641" w14:textId="77777777" w:rsidR="000F0C06" w:rsidRPr="005A1CEC" w:rsidRDefault="000F0C06" w:rsidP="00E5135B">
            <w:pPr>
              <w:numPr>
                <w:ilvl w:val="0"/>
                <w:numId w:val="20"/>
              </w:numPr>
              <w:ind w:left="295"/>
              <w:contextualSpacing/>
              <w:rPr>
                <w:rFonts w:ascii="Franklin Gothic Demi" w:hAnsi="Franklin Gothic Demi"/>
                <w:kern w:val="28"/>
                <w:sz w:val="18"/>
                <w:szCs w:val="18"/>
              </w:rPr>
            </w:pPr>
            <w:r w:rsidRPr="005A1CEC">
              <w:rPr>
                <w:rFonts w:cs="Calibri"/>
                <w:bCs/>
                <w:color w:val="000000"/>
                <w:sz w:val="18"/>
                <w:szCs w:val="18"/>
              </w:rPr>
              <w:t>More effective preparedness and responses to disaster and crises</w:t>
            </w:r>
          </w:p>
        </w:tc>
      </w:tr>
      <w:tr w:rsidR="000F0C06" w:rsidRPr="00E5135B" w14:paraId="4EAA8311" w14:textId="77777777" w:rsidTr="00E14CF5">
        <w:trPr>
          <w:trHeight w:val="590"/>
        </w:trPr>
        <w:tc>
          <w:tcPr>
            <w:tcW w:w="9923" w:type="dxa"/>
            <w:gridSpan w:val="12"/>
          </w:tcPr>
          <w:p w14:paraId="2998315D" w14:textId="77777777" w:rsidR="000F0C06" w:rsidRPr="00E5135B" w:rsidRDefault="000F0C06" w:rsidP="00E5135B">
            <w:pPr>
              <w:rPr>
                <w:rFonts w:ascii="Franklin Gothic Demi" w:hAnsi="Franklin Gothic Demi"/>
                <w:kern w:val="28"/>
                <w:sz w:val="28"/>
                <w:szCs w:val="28"/>
              </w:rPr>
            </w:pPr>
          </w:p>
        </w:tc>
      </w:tr>
      <w:tr w:rsidR="000F0C06" w:rsidRPr="00E5135B" w14:paraId="1ABD080A" w14:textId="77777777" w:rsidTr="004D7C1C">
        <w:tc>
          <w:tcPr>
            <w:tcW w:w="1135" w:type="dxa"/>
          </w:tcPr>
          <w:p w14:paraId="7E730B8C" w14:textId="77777777" w:rsidR="000F0C06" w:rsidRPr="001802A7" w:rsidRDefault="000F0C06" w:rsidP="00E5135B">
            <w:pPr>
              <w:rPr>
                <w:rFonts w:asciiTheme="minorHAnsi" w:hAnsiTheme="minorHAnsi" w:cstheme="minorHAnsi"/>
                <w:kern w:val="28"/>
                <w:sz w:val="18"/>
                <w:szCs w:val="18"/>
              </w:rPr>
            </w:pPr>
            <w:r w:rsidRPr="001802A7">
              <w:rPr>
                <w:rFonts w:asciiTheme="minorHAnsi" w:hAnsiTheme="minorHAnsi" w:cstheme="minorHAnsi"/>
                <w:kern w:val="28"/>
                <w:sz w:val="18"/>
                <w:szCs w:val="18"/>
              </w:rPr>
              <w:t>Headline Results</w:t>
            </w:r>
          </w:p>
        </w:tc>
        <w:tc>
          <w:tcPr>
            <w:tcW w:w="1984" w:type="dxa"/>
            <w:shd w:val="clear" w:color="auto" w:fill="F2DBDB" w:themeFill="accent2" w:themeFillTint="33"/>
          </w:tcPr>
          <w:p w14:paraId="77969CDD" w14:textId="7FEC6085" w:rsidR="000F0C06" w:rsidRPr="001802A7" w:rsidRDefault="000F0C06" w:rsidP="00F74F6B">
            <w:pPr>
              <w:rPr>
                <w:rFonts w:cs="Calibri"/>
                <w:sz w:val="18"/>
                <w:szCs w:val="18"/>
              </w:rPr>
            </w:pPr>
            <w:r w:rsidRPr="001802A7">
              <w:rPr>
                <w:rFonts w:cs="Calibri"/>
                <w:sz w:val="18"/>
                <w:szCs w:val="18"/>
              </w:rPr>
              <w:t>At least 5,000 women with increased access to financial services</w:t>
            </w:r>
          </w:p>
          <w:p w14:paraId="680CBB33" w14:textId="77777777" w:rsidR="000F0C06" w:rsidRPr="001802A7" w:rsidRDefault="000F0C06" w:rsidP="00F74F6B">
            <w:pPr>
              <w:rPr>
                <w:rFonts w:cs="Calibri"/>
                <w:sz w:val="18"/>
                <w:szCs w:val="18"/>
              </w:rPr>
            </w:pPr>
          </w:p>
          <w:p w14:paraId="1E8EFB0A" w14:textId="472828DF" w:rsidR="000F0C06" w:rsidRPr="001802A7" w:rsidRDefault="000F0C06" w:rsidP="000A39F5">
            <w:pPr>
              <w:rPr>
                <w:rFonts w:ascii="Franklin Gothic Demi" w:hAnsi="Franklin Gothic Demi"/>
                <w:kern w:val="28"/>
                <w:sz w:val="18"/>
                <w:szCs w:val="18"/>
              </w:rPr>
            </w:pPr>
            <w:r w:rsidRPr="001802A7">
              <w:rPr>
                <w:rFonts w:cs="Calibri"/>
                <w:sz w:val="18"/>
                <w:szCs w:val="18"/>
              </w:rPr>
              <w:t>(</w:t>
            </w:r>
            <w:r w:rsidRPr="001802A7">
              <w:rPr>
                <w:rFonts w:cs="Calibri"/>
                <w:i/>
                <w:sz w:val="18"/>
                <w:szCs w:val="18"/>
              </w:rPr>
              <w:t>At least 35,000 women will receive micro-enterprise training</w:t>
            </w:r>
            <w:r w:rsidRPr="001802A7">
              <w:rPr>
                <w:rFonts w:cs="Calibri"/>
                <w:sz w:val="18"/>
                <w:szCs w:val="18"/>
              </w:rPr>
              <w:t>)</w:t>
            </w:r>
          </w:p>
        </w:tc>
        <w:tc>
          <w:tcPr>
            <w:tcW w:w="236" w:type="dxa"/>
          </w:tcPr>
          <w:p w14:paraId="6E4167CD" w14:textId="77777777" w:rsidR="000F0C06" w:rsidRPr="001802A7" w:rsidRDefault="000F0C06" w:rsidP="00E5135B">
            <w:pPr>
              <w:rPr>
                <w:rFonts w:ascii="Franklin Gothic Demi" w:hAnsi="Franklin Gothic Demi"/>
                <w:kern w:val="28"/>
                <w:sz w:val="18"/>
                <w:szCs w:val="18"/>
              </w:rPr>
            </w:pPr>
          </w:p>
        </w:tc>
        <w:tc>
          <w:tcPr>
            <w:tcW w:w="1182" w:type="dxa"/>
            <w:shd w:val="clear" w:color="auto" w:fill="D6E3BC" w:themeFill="accent3" w:themeFillTint="66"/>
          </w:tcPr>
          <w:p w14:paraId="5E381403" w14:textId="35A6B889" w:rsidR="000F0C06" w:rsidRPr="001802A7" w:rsidRDefault="000F0C06" w:rsidP="005E63F3">
            <w:pPr>
              <w:rPr>
                <w:rFonts w:ascii="Franklin Gothic Demi" w:hAnsi="Franklin Gothic Demi"/>
                <w:kern w:val="28"/>
                <w:sz w:val="18"/>
                <w:szCs w:val="18"/>
              </w:rPr>
            </w:pPr>
            <w:r w:rsidRPr="001802A7">
              <w:rPr>
                <w:rFonts w:cs="Calibri"/>
                <w:color w:val="000000"/>
                <w:sz w:val="18"/>
                <w:szCs w:val="18"/>
              </w:rPr>
              <w:t>At least 250 people awarded scholarships (with 100 of those from Central America)</w:t>
            </w:r>
          </w:p>
        </w:tc>
        <w:tc>
          <w:tcPr>
            <w:tcW w:w="283" w:type="dxa"/>
          </w:tcPr>
          <w:p w14:paraId="2864B0B3" w14:textId="77777777" w:rsidR="000F0C06" w:rsidRPr="001802A7" w:rsidRDefault="000F0C06" w:rsidP="00E5135B">
            <w:pPr>
              <w:rPr>
                <w:rFonts w:ascii="Franklin Gothic Demi" w:hAnsi="Franklin Gothic Demi"/>
                <w:kern w:val="28"/>
                <w:sz w:val="18"/>
                <w:szCs w:val="18"/>
              </w:rPr>
            </w:pPr>
          </w:p>
        </w:tc>
        <w:tc>
          <w:tcPr>
            <w:tcW w:w="851" w:type="dxa"/>
            <w:shd w:val="clear" w:color="auto" w:fill="D6E3BC" w:themeFill="accent3" w:themeFillTint="66"/>
          </w:tcPr>
          <w:p w14:paraId="39DB954D" w14:textId="77777777" w:rsidR="000F0C06" w:rsidRPr="001802A7" w:rsidRDefault="000F0C06" w:rsidP="00E5135B">
            <w:pPr>
              <w:rPr>
                <w:rFonts w:ascii="Franklin Gothic Demi" w:hAnsi="Franklin Gothic Demi"/>
                <w:kern w:val="28"/>
                <w:sz w:val="18"/>
                <w:szCs w:val="18"/>
              </w:rPr>
            </w:pPr>
            <w:r w:rsidRPr="001802A7">
              <w:rPr>
                <w:rFonts w:cs="Calibri"/>
                <w:color w:val="000000"/>
                <w:sz w:val="18"/>
                <w:szCs w:val="18"/>
              </w:rPr>
              <w:t>At least 80 public servants trained</w:t>
            </w:r>
          </w:p>
        </w:tc>
        <w:tc>
          <w:tcPr>
            <w:tcW w:w="283" w:type="dxa"/>
          </w:tcPr>
          <w:p w14:paraId="37FB6F62" w14:textId="77777777" w:rsidR="000F0C06" w:rsidRPr="001802A7" w:rsidRDefault="000F0C06" w:rsidP="00E5135B">
            <w:pPr>
              <w:rPr>
                <w:rFonts w:ascii="Franklin Gothic Demi" w:hAnsi="Franklin Gothic Demi"/>
                <w:kern w:val="28"/>
                <w:sz w:val="18"/>
                <w:szCs w:val="18"/>
              </w:rPr>
            </w:pPr>
          </w:p>
        </w:tc>
        <w:tc>
          <w:tcPr>
            <w:tcW w:w="1134" w:type="dxa"/>
            <w:shd w:val="clear" w:color="auto" w:fill="D6E3BC" w:themeFill="accent3" w:themeFillTint="66"/>
          </w:tcPr>
          <w:p w14:paraId="43ECD639" w14:textId="7D36D55D" w:rsidR="000F0C06" w:rsidRPr="001802A7" w:rsidRDefault="000F0C06" w:rsidP="005A1CEC">
            <w:pPr>
              <w:rPr>
                <w:rFonts w:ascii="Franklin Gothic Demi" w:hAnsi="Franklin Gothic Demi"/>
                <w:kern w:val="28"/>
                <w:sz w:val="18"/>
                <w:szCs w:val="18"/>
              </w:rPr>
            </w:pPr>
            <w:r w:rsidRPr="001802A7">
              <w:rPr>
                <w:rFonts w:cs="Calibri"/>
                <w:color w:val="000000"/>
                <w:sz w:val="18"/>
                <w:szCs w:val="18"/>
              </w:rPr>
              <w:t xml:space="preserve">At least 90 </w:t>
            </w:r>
            <w:r w:rsidR="005A1CEC">
              <w:rPr>
                <w:rFonts w:cs="Calibri"/>
                <w:color w:val="000000"/>
                <w:sz w:val="18"/>
                <w:szCs w:val="18"/>
              </w:rPr>
              <w:t xml:space="preserve">civil society organisations </w:t>
            </w:r>
            <w:r w:rsidRPr="001802A7">
              <w:rPr>
                <w:rFonts w:cs="Calibri"/>
                <w:color w:val="000000"/>
                <w:sz w:val="18"/>
                <w:szCs w:val="18"/>
              </w:rPr>
              <w:t>supported to track service provision</w:t>
            </w:r>
          </w:p>
        </w:tc>
        <w:tc>
          <w:tcPr>
            <w:tcW w:w="284" w:type="dxa"/>
          </w:tcPr>
          <w:p w14:paraId="6FE31774" w14:textId="77777777" w:rsidR="000F0C06" w:rsidRPr="001802A7" w:rsidRDefault="000F0C06" w:rsidP="00E5135B">
            <w:pPr>
              <w:rPr>
                <w:rFonts w:ascii="Franklin Gothic Demi" w:hAnsi="Franklin Gothic Demi"/>
                <w:kern w:val="28"/>
                <w:sz w:val="18"/>
                <w:szCs w:val="18"/>
              </w:rPr>
            </w:pPr>
          </w:p>
        </w:tc>
        <w:tc>
          <w:tcPr>
            <w:tcW w:w="1134" w:type="dxa"/>
            <w:shd w:val="clear" w:color="auto" w:fill="B6DDE8" w:themeFill="accent5" w:themeFillTint="66"/>
          </w:tcPr>
          <w:p w14:paraId="7607B9AB" w14:textId="3D753630" w:rsidR="000F0C06" w:rsidRPr="001802A7" w:rsidRDefault="000F0C06" w:rsidP="00666046">
            <w:pPr>
              <w:rPr>
                <w:rFonts w:ascii="Franklin Gothic Demi" w:hAnsi="Franklin Gothic Demi"/>
                <w:kern w:val="28"/>
                <w:sz w:val="18"/>
                <w:szCs w:val="18"/>
              </w:rPr>
            </w:pPr>
            <w:r w:rsidRPr="001802A7">
              <w:rPr>
                <w:rFonts w:cs="Calibri"/>
                <w:sz w:val="18"/>
                <w:szCs w:val="18"/>
              </w:rPr>
              <w:t>Provide 60,000 women, men and children affected by conflict and crisis with lifesaving assistance</w:t>
            </w:r>
          </w:p>
        </w:tc>
        <w:tc>
          <w:tcPr>
            <w:tcW w:w="283" w:type="dxa"/>
          </w:tcPr>
          <w:p w14:paraId="216AD121" w14:textId="77777777" w:rsidR="000F0C06" w:rsidRPr="001802A7" w:rsidRDefault="000F0C06" w:rsidP="00E5135B">
            <w:pPr>
              <w:rPr>
                <w:rFonts w:ascii="Franklin Gothic Demi" w:hAnsi="Franklin Gothic Demi"/>
                <w:kern w:val="28"/>
                <w:sz w:val="18"/>
                <w:szCs w:val="18"/>
              </w:rPr>
            </w:pPr>
          </w:p>
        </w:tc>
        <w:tc>
          <w:tcPr>
            <w:tcW w:w="1134" w:type="dxa"/>
            <w:shd w:val="clear" w:color="auto" w:fill="B6DDE8" w:themeFill="accent5" w:themeFillTint="66"/>
          </w:tcPr>
          <w:p w14:paraId="19E5AA25" w14:textId="017DE4B5" w:rsidR="000F0C06" w:rsidRPr="001802A7" w:rsidRDefault="000F0C06" w:rsidP="00E5135B">
            <w:pPr>
              <w:rPr>
                <w:rFonts w:ascii="Franklin Gothic Demi" w:hAnsi="Franklin Gothic Demi"/>
                <w:kern w:val="28"/>
                <w:sz w:val="18"/>
                <w:szCs w:val="18"/>
              </w:rPr>
            </w:pPr>
            <w:r w:rsidRPr="001802A7">
              <w:rPr>
                <w:rFonts w:cs="Calibri"/>
                <w:sz w:val="18"/>
                <w:szCs w:val="18"/>
              </w:rPr>
              <w:t>32 classrooms built or upgraded following the Chile earthquake in 2010</w:t>
            </w:r>
          </w:p>
        </w:tc>
      </w:tr>
      <w:tr w:rsidR="000F0C06" w:rsidRPr="00E5135B" w14:paraId="105E1000" w14:textId="77777777" w:rsidTr="00E14CF5">
        <w:trPr>
          <w:trHeight w:val="492"/>
        </w:trPr>
        <w:tc>
          <w:tcPr>
            <w:tcW w:w="9923" w:type="dxa"/>
            <w:gridSpan w:val="12"/>
          </w:tcPr>
          <w:p w14:paraId="60EA1CC1" w14:textId="77777777" w:rsidR="000F0C06" w:rsidRPr="001802A7" w:rsidRDefault="000F0C06" w:rsidP="00E5135B">
            <w:pPr>
              <w:rPr>
                <w:rFonts w:ascii="Franklin Gothic Demi" w:hAnsi="Franklin Gothic Demi"/>
                <w:kern w:val="28"/>
                <w:sz w:val="22"/>
                <w:szCs w:val="22"/>
              </w:rPr>
            </w:pPr>
          </w:p>
        </w:tc>
      </w:tr>
      <w:tr w:rsidR="000F0C06" w:rsidRPr="00E5135B" w14:paraId="649C11A7" w14:textId="77777777" w:rsidTr="004D7C1C">
        <w:tc>
          <w:tcPr>
            <w:tcW w:w="1135" w:type="dxa"/>
          </w:tcPr>
          <w:p w14:paraId="6188B74D" w14:textId="2FFA6D9C" w:rsidR="000F0C06" w:rsidRPr="00F64482" w:rsidRDefault="000F0C06" w:rsidP="008447A4">
            <w:pPr>
              <w:rPr>
                <w:rFonts w:asciiTheme="minorHAnsi" w:hAnsiTheme="minorHAnsi" w:cstheme="minorHAnsi"/>
                <w:kern w:val="28"/>
                <w:sz w:val="18"/>
                <w:szCs w:val="18"/>
              </w:rPr>
            </w:pPr>
            <w:r w:rsidRPr="00F64482">
              <w:rPr>
                <w:rFonts w:asciiTheme="minorHAnsi" w:hAnsiTheme="minorHAnsi" w:cstheme="minorHAnsi"/>
                <w:kern w:val="28"/>
                <w:sz w:val="18"/>
                <w:szCs w:val="18"/>
              </w:rPr>
              <w:t>Progress to date</w:t>
            </w:r>
          </w:p>
        </w:tc>
        <w:tc>
          <w:tcPr>
            <w:tcW w:w="1984" w:type="dxa"/>
            <w:shd w:val="clear" w:color="auto" w:fill="F2DBDB" w:themeFill="accent2" w:themeFillTint="33"/>
          </w:tcPr>
          <w:p w14:paraId="2A3FDE55" w14:textId="284558F4" w:rsidR="000F0C06" w:rsidRPr="005A1CEC" w:rsidRDefault="000F0C06" w:rsidP="005E63F3">
            <w:pPr>
              <w:rPr>
                <w:rFonts w:cs="Calibri"/>
                <w:sz w:val="18"/>
                <w:szCs w:val="18"/>
              </w:rPr>
            </w:pPr>
            <w:r w:rsidRPr="005A1CEC">
              <w:rPr>
                <w:rFonts w:cs="Calibri"/>
                <w:sz w:val="18"/>
                <w:szCs w:val="18"/>
              </w:rPr>
              <w:t>3,074 women have received increased access to financial services</w:t>
            </w:r>
          </w:p>
          <w:p w14:paraId="6F411AD9" w14:textId="77777777" w:rsidR="000F0C06" w:rsidRPr="00B52F38" w:rsidRDefault="000F0C06" w:rsidP="005E63F3">
            <w:pPr>
              <w:rPr>
                <w:rFonts w:cs="Calibri"/>
                <w:sz w:val="18"/>
                <w:szCs w:val="18"/>
              </w:rPr>
            </w:pPr>
          </w:p>
          <w:p w14:paraId="54ED0061" w14:textId="6E458397" w:rsidR="000F0C06" w:rsidRPr="00B52F38" w:rsidRDefault="000F0C06" w:rsidP="000A39F5">
            <w:pPr>
              <w:rPr>
                <w:rFonts w:cs="Calibri"/>
                <w:sz w:val="18"/>
                <w:szCs w:val="18"/>
              </w:rPr>
            </w:pPr>
            <w:r w:rsidRPr="00F64482">
              <w:rPr>
                <w:rFonts w:cs="Calibri"/>
                <w:sz w:val="18"/>
                <w:szCs w:val="18"/>
              </w:rPr>
              <w:t>(</w:t>
            </w:r>
            <w:r w:rsidRPr="00F64482">
              <w:rPr>
                <w:rFonts w:cs="Calibri"/>
                <w:i/>
                <w:sz w:val="18"/>
                <w:szCs w:val="18"/>
              </w:rPr>
              <w:t xml:space="preserve">26,250 women have </w:t>
            </w:r>
            <w:r w:rsidRPr="00F64482">
              <w:rPr>
                <w:rFonts w:cs="Calibri"/>
                <w:i/>
                <w:sz w:val="18"/>
                <w:szCs w:val="18"/>
              </w:rPr>
              <w:lastRenderedPageBreak/>
              <w:t>received micro-enterprise training</w:t>
            </w:r>
            <w:r w:rsidRPr="00F64482">
              <w:rPr>
                <w:rFonts w:cs="Calibri"/>
                <w:sz w:val="18"/>
                <w:szCs w:val="18"/>
              </w:rPr>
              <w:t>)</w:t>
            </w:r>
          </w:p>
        </w:tc>
        <w:tc>
          <w:tcPr>
            <w:tcW w:w="236" w:type="dxa"/>
          </w:tcPr>
          <w:p w14:paraId="2334694C" w14:textId="77777777" w:rsidR="000F0C06" w:rsidRPr="001802A7" w:rsidRDefault="000F0C06" w:rsidP="00E5135B">
            <w:pPr>
              <w:rPr>
                <w:rFonts w:ascii="Franklin Gothic Demi" w:hAnsi="Franklin Gothic Demi"/>
                <w:kern w:val="28"/>
                <w:sz w:val="18"/>
                <w:szCs w:val="18"/>
              </w:rPr>
            </w:pPr>
          </w:p>
        </w:tc>
        <w:tc>
          <w:tcPr>
            <w:tcW w:w="1182" w:type="dxa"/>
            <w:shd w:val="clear" w:color="auto" w:fill="D6E3BC" w:themeFill="accent3" w:themeFillTint="66"/>
          </w:tcPr>
          <w:p w14:paraId="43ED3EE6" w14:textId="59BFEB78" w:rsidR="000F0C06" w:rsidRPr="001802A7" w:rsidRDefault="000F0C06" w:rsidP="00D736C6">
            <w:pPr>
              <w:rPr>
                <w:rFonts w:cs="Calibri"/>
                <w:color w:val="000000"/>
                <w:sz w:val="18"/>
                <w:szCs w:val="18"/>
              </w:rPr>
            </w:pPr>
            <w:r w:rsidRPr="001802A7">
              <w:rPr>
                <w:rFonts w:cs="Calibri"/>
                <w:color w:val="000000"/>
                <w:sz w:val="18"/>
                <w:szCs w:val="18"/>
              </w:rPr>
              <w:t>156 people have been awarded scholarships</w:t>
            </w:r>
          </w:p>
        </w:tc>
        <w:tc>
          <w:tcPr>
            <w:tcW w:w="283" w:type="dxa"/>
            <w:shd w:val="clear" w:color="auto" w:fill="auto"/>
          </w:tcPr>
          <w:p w14:paraId="7F92E387" w14:textId="77777777" w:rsidR="000F0C06" w:rsidRPr="001802A7" w:rsidRDefault="000F0C06" w:rsidP="00E5135B">
            <w:pPr>
              <w:rPr>
                <w:rFonts w:cs="Calibri"/>
                <w:color w:val="000000"/>
                <w:sz w:val="18"/>
                <w:szCs w:val="18"/>
              </w:rPr>
            </w:pPr>
          </w:p>
        </w:tc>
        <w:tc>
          <w:tcPr>
            <w:tcW w:w="851" w:type="dxa"/>
            <w:shd w:val="clear" w:color="auto" w:fill="D6E3BC" w:themeFill="accent3" w:themeFillTint="66"/>
          </w:tcPr>
          <w:p w14:paraId="412FBA6A" w14:textId="48B13D37" w:rsidR="000F0C06" w:rsidRPr="001802A7" w:rsidRDefault="000F0C06" w:rsidP="00F74F6B">
            <w:pPr>
              <w:rPr>
                <w:rFonts w:cs="Calibri"/>
                <w:color w:val="000000"/>
                <w:sz w:val="18"/>
                <w:szCs w:val="18"/>
              </w:rPr>
            </w:pPr>
            <w:r w:rsidRPr="001802A7">
              <w:rPr>
                <w:rFonts w:cs="Calibri"/>
                <w:color w:val="000000"/>
                <w:sz w:val="18"/>
                <w:szCs w:val="18"/>
              </w:rPr>
              <w:t xml:space="preserve">71 public servants trained </w:t>
            </w:r>
          </w:p>
        </w:tc>
        <w:tc>
          <w:tcPr>
            <w:tcW w:w="283" w:type="dxa"/>
            <w:shd w:val="clear" w:color="auto" w:fill="auto"/>
          </w:tcPr>
          <w:p w14:paraId="5F0F3E76" w14:textId="77777777" w:rsidR="000F0C06" w:rsidRPr="001802A7" w:rsidRDefault="000F0C06" w:rsidP="00E5135B">
            <w:pPr>
              <w:rPr>
                <w:rFonts w:cs="Calibri"/>
                <w:color w:val="000000"/>
                <w:sz w:val="18"/>
                <w:szCs w:val="18"/>
              </w:rPr>
            </w:pPr>
          </w:p>
        </w:tc>
        <w:tc>
          <w:tcPr>
            <w:tcW w:w="1134" w:type="dxa"/>
            <w:shd w:val="clear" w:color="auto" w:fill="D6E3BC" w:themeFill="accent3" w:themeFillTint="66"/>
          </w:tcPr>
          <w:p w14:paraId="2CB85D34" w14:textId="3BA45735" w:rsidR="000F0C06" w:rsidRPr="001802A7" w:rsidRDefault="000F0C06" w:rsidP="005A1CEC">
            <w:pPr>
              <w:rPr>
                <w:rFonts w:cs="Calibri"/>
                <w:color w:val="000000"/>
                <w:sz w:val="18"/>
                <w:szCs w:val="18"/>
              </w:rPr>
            </w:pPr>
            <w:r w:rsidRPr="001802A7">
              <w:rPr>
                <w:rFonts w:cs="Calibri"/>
                <w:color w:val="000000"/>
                <w:sz w:val="18"/>
                <w:szCs w:val="18"/>
              </w:rPr>
              <w:t>80</w:t>
            </w:r>
            <w:r w:rsidRPr="001802A7">
              <w:rPr>
                <w:rFonts w:eastAsia="Times New Roman" w:cs="Calibri"/>
                <w:color w:val="000000"/>
                <w:sz w:val="18"/>
                <w:szCs w:val="18"/>
                <w:lang w:eastAsia="en-AU"/>
              </w:rPr>
              <w:t xml:space="preserve"> </w:t>
            </w:r>
            <w:r w:rsidR="005A1CEC">
              <w:rPr>
                <w:rFonts w:eastAsia="Times New Roman" w:cs="Calibri"/>
                <w:color w:val="000000"/>
                <w:sz w:val="18"/>
                <w:szCs w:val="18"/>
                <w:lang w:eastAsia="en-AU"/>
              </w:rPr>
              <w:t>civil society organisations</w:t>
            </w:r>
            <w:r w:rsidRPr="001802A7">
              <w:rPr>
                <w:rFonts w:cs="Calibri"/>
                <w:color w:val="000000"/>
                <w:sz w:val="18"/>
                <w:szCs w:val="18"/>
              </w:rPr>
              <w:t xml:space="preserve"> supported to track service </w:t>
            </w:r>
            <w:r w:rsidRPr="001802A7">
              <w:rPr>
                <w:rFonts w:cs="Calibri"/>
                <w:color w:val="000000"/>
                <w:sz w:val="18"/>
                <w:szCs w:val="18"/>
              </w:rPr>
              <w:lastRenderedPageBreak/>
              <w:t>provision</w:t>
            </w:r>
          </w:p>
        </w:tc>
        <w:tc>
          <w:tcPr>
            <w:tcW w:w="284" w:type="dxa"/>
            <w:tcBorders>
              <w:left w:val="nil"/>
            </w:tcBorders>
          </w:tcPr>
          <w:p w14:paraId="37DC7081" w14:textId="77777777" w:rsidR="000F0C06" w:rsidRPr="001802A7" w:rsidRDefault="000F0C06" w:rsidP="00E5135B">
            <w:pPr>
              <w:rPr>
                <w:rFonts w:ascii="Franklin Gothic Demi" w:hAnsi="Franklin Gothic Demi"/>
                <w:kern w:val="28"/>
                <w:sz w:val="18"/>
                <w:szCs w:val="18"/>
              </w:rPr>
            </w:pPr>
          </w:p>
        </w:tc>
        <w:tc>
          <w:tcPr>
            <w:tcW w:w="1134" w:type="dxa"/>
            <w:shd w:val="clear" w:color="auto" w:fill="B6DDE8" w:themeFill="accent5" w:themeFillTint="66"/>
          </w:tcPr>
          <w:p w14:paraId="490325DB" w14:textId="140D42EA" w:rsidR="000F0C06" w:rsidRPr="001802A7" w:rsidRDefault="000F0C06" w:rsidP="00086635">
            <w:pPr>
              <w:rPr>
                <w:rFonts w:cs="Calibri"/>
                <w:sz w:val="18"/>
                <w:szCs w:val="18"/>
              </w:rPr>
            </w:pPr>
            <w:r w:rsidRPr="001802A7">
              <w:rPr>
                <w:rFonts w:cs="Calibri"/>
                <w:sz w:val="18"/>
                <w:szCs w:val="18"/>
              </w:rPr>
              <w:t xml:space="preserve">48,761 women, men and children affected by conflict and </w:t>
            </w:r>
            <w:r w:rsidRPr="001802A7">
              <w:rPr>
                <w:rFonts w:cs="Calibri"/>
                <w:sz w:val="18"/>
                <w:szCs w:val="18"/>
              </w:rPr>
              <w:lastRenderedPageBreak/>
              <w:t>crisis provided with lifesaving assistance</w:t>
            </w:r>
          </w:p>
        </w:tc>
        <w:tc>
          <w:tcPr>
            <w:tcW w:w="283" w:type="dxa"/>
            <w:shd w:val="clear" w:color="auto" w:fill="auto"/>
          </w:tcPr>
          <w:p w14:paraId="18D0185B" w14:textId="77777777" w:rsidR="000F0C06" w:rsidRPr="001802A7" w:rsidRDefault="000F0C06" w:rsidP="00A97B9C">
            <w:pPr>
              <w:ind w:left="-104"/>
              <w:rPr>
                <w:rFonts w:cs="Calibri"/>
                <w:sz w:val="18"/>
                <w:szCs w:val="18"/>
              </w:rPr>
            </w:pPr>
          </w:p>
        </w:tc>
        <w:tc>
          <w:tcPr>
            <w:tcW w:w="1134" w:type="dxa"/>
            <w:shd w:val="clear" w:color="auto" w:fill="B6DDE8" w:themeFill="accent5" w:themeFillTint="66"/>
          </w:tcPr>
          <w:p w14:paraId="1ED4CBD3" w14:textId="14A3EC80" w:rsidR="000F0C06" w:rsidRPr="001802A7" w:rsidRDefault="000F0C06" w:rsidP="00086635">
            <w:pPr>
              <w:rPr>
                <w:rFonts w:cs="Calibri"/>
                <w:sz w:val="18"/>
                <w:szCs w:val="18"/>
              </w:rPr>
            </w:pPr>
            <w:r w:rsidRPr="001802A7">
              <w:rPr>
                <w:rFonts w:cs="Calibri"/>
                <w:sz w:val="18"/>
                <w:szCs w:val="18"/>
              </w:rPr>
              <w:t>32 classrooms built or upgraded</w:t>
            </w:r>
          </w:p>
        </w:tc>
      </w:tr>
      <w:tr w:rsidR="000F0C06" w:rsidRPr="00E5135B" w14:paraId="25ABE0CB" w14:textId="77777777" w:rsidTr="00E14CF5">
        <w:trPr>
          <w:trHeight w:val="554"/>
        </w:trPr>
        <w:tc>
          <w:tcPr>
            <w:tcW w:w="1135" w:type="dxa"/>
            <w:shd w:val="clear" w:color="auto" w:fill="auto"/>
          </w:tcPr>
          <w:p w14:paraId="715E3FA6" w14:textId="77777777" w:rsidR="000F0C06" w:rsidRPr="00F64482" w:rsidRDefault="000F0C06" w:rsidP="00E5135B">
            <w:pPr>
              <w:rPr>
                <w:rFonts w:asciiTheme="minorHAnsi" w:hAnsiTheme="minorHAnsi" w:cstheme="minorHAnsi"/>
                <w:kern w:val="28"/>
                <w:sz w:val="18"/>
                <w:szCs w:val="18"/>
              </w:rPr>
            </w:pPr>
          </w:p>
        </w:tc>
        <w:tc>
          <w:tcPr>
            <w:tcW w:w="1984" w:type="dxa"/>
            <w:shd w:val="clear" w:color="auto" w:fill="auto"/>
          </w:tcPr>
          <w:p w14:paraId="47BCC442" w14:textId="77777777" w:rsidR="000F0C06" w:rsidRPr="00F64482" w:rsidRDefault="000F0C06" w:rsidP="005E63F3">
            <w:pPr>
              <w:rPr>
                <w:rFonts w:cs="Calibri"/>
                <w:sz w:val="18"/>
                <w:szCs w:val="18"/>
              </w:rPr>
            </w:pPr>
          </w:p>
        </w:tc>
        <w:tc>
          <w:tcPr>
            <w:tcW w:w="236" w:type="dxa"/>
            <w:shd w:val="clear" w:color="auto" w:fill="auto"/>
          </w:tcPr>
          <w:p w14:paraId="2FC1E2AE" w14:textId="77777777" w:rsidR="000F0C06" w:rsidRPr="001802A7" w:rsidRDefault="000F0C06" w:rsidP="00E5135B">
            <w:pPr>
              <w:rPr>
                <w:rFonts w:ascii="Franklin Gothic Demi" w:hAnsi="Franklin Gothic Demi"/>
                <w:kern w:val="28"/>
                <w:sz w:val="22"/>
                <w:szCs w:val="22"/>
              </w:rPr>
            </w:pPr>
          </w:p>
        </w:tc>
        <w:tc>
          <w:tcPr>
            <w:tcW w:w="3733" w:type="dxa"/>
            <w:gridSpan w:val="5"/>
            <w:shd w:val="clear" w:color="auto" w:fill="auto"/>
          </w:tcPr>
          <w:p w14:paraId="3C220AB9" w14:textId="77777777" w:rsidR="000F0C06" w:rsidRPr="001802A7" w:rsidRDefault="000F0C06" w:rsidP="00E5135B">
            <w:pPr>
              <w:rPr>
                <w:rFonts w:cs="Calibri"/>
                <w:color w:val="000000"/>
                <w:sz w:val="22"/>
                <w:szCs w:val="22"/>
              </w:rPr>
            </w:pPr>
          </w:p>
        </w:tc>
        <w:tc>
          <w:tcPr>
            <w:tcW w:w="284" w:type="dxa"/>
            <w:shd w:val="clear" w:color="auto" w:fill="auto"/>
          </w:tcPr>
          <w:p w14:paraId="01022910" w14:textId="77777777" w:rsidR="000F0C06" w:rsidRPr="001802A7" w:rsidRDefault="000F0C06" w:rsidP="00E5135B">
            <w:pPr>
              <w:rPr>
                <w:rFonts w:ascii="Franklin Gothic Demi" w:hAnsi="Franklin Gothic Demi"/>
                <w:kern w:val="28"/>
                <w:sz w:val="22"/>
                <w:szCs w:val="22"/>
              </w:rPr>
            </w:pPr>
          </w:p>
        </w:tc>
        <w:tc>
          <w:tcPr>
            <w:tcW w:w="2551" w:type="dxa"/>
            <w:gridSpan w:val="3"/>
            <w:shd w:val="clear" w:color="auto" w:fill="auto"/>
          </w:tcPr>
          <w:p w14:paraId="4AEDF3B9" w14:textId="77777777" w:rsidR="000F0C06" w:rsidRPr="001802A7" w:rsidRDefault="000F0C06" w:rsidP="00086635">
            <w:pPr>
              <w:rPr>
                <w:rFonts w:cs="Calibri"/>
                <w:sz w:val="22"/>
                <w:szCs w:val="22"/>
              </w:rPr>
            </w:pPr>
          </w:p>
        </w:tc>
      </w:tr>
      <w:tr w:rsidR="000F0C06" w:rsidRPr="00E5135B" w14:paraId="50DD3096" w14:textId="77777777" w:rsidTr="004D7C1C">
        <w:tc>
          <w:tcPr>
            <w:tcW w:w="1135" w:type="dxa"/>
          </w:tcPr>
          <w:p w14:paraId="03989B75" w14:textId="77777777" w:rsidR="000F0C06" w:rsidRPr="00F64482" w:rsidRDefault="000F0C06" w:rsidP="00E5135B">
            <w:pPr>
              <w:rPr>
                <w:rFonts w:asciiTheme="minorHAnsi" w:hAnsiTheme="minorHAnsi" w:cstheme="minorHAnsi"/>
                <w:kern w:val="28"/>
                <w:sz w:val="18"/>
                <w:szCs w:val="18"/>
              </w:rPr>
            </w:pPr>
            <w:r w:rsidRPr="00F64482">
              <w:rPr>
                <w:rFonts w:asciiTheme="minorHAnsi" w:hAnsiTheme="minorHAnsi" w:cstheme="minorHAnsi"/>
                <w:kern w:val="28"/>
                <w:sz w:val="18"/>
                <w:szCs w:val="18"/>
              </w:rPr>
              <w:t>How We Work</w:t>
            </w:r>
          </w:p>
        </w:tc>
        <w:tc>
          <w:tcPr>
            <w:tcW w:w="1984" w:type="dxa"/>
            <w:shd w:val="clear" w:color="auto" w:fill="F2DBDB" w:themeFill="accent2" w:themeFillTint="33"/>
          </w:tcPr>
          <w:p w14:paraId="1090879C" w14:textId="6A7A4D26" w:rsidR="000F0C06" w:rsidRPr="00F64482" w:rsidRDefault="000F0C06" w:rsidP="00D80E4B">
            <w:pPr>
              <w:rPr>
                <w:rFonts w:ascii="Franklin Gothic Demi" w:hAnsi="Franklin Gothic Demi"/>
                <w:kern w:val="28"/>
                <w:sz w:val="18"/>
                <w:szCs w:val="18"/>
              </w:rPr>
            </w:pPr>
            <w:r w:rsidRPr="00F64482">
              <w:rPr>
                <w:rFonts w:cs="Calibri"/>
                <w:sz w:val="18"/>
                <w:szCs w:val="18"/>
              </w:rPr>
              <w:t>Through regional partnerships with development banks (</w:t>
            </w:r>
            <w:r w:rsidR="002A55C3" w:rsidRPr="00F64482">
              <w:rPr>
                <w:rFonts w:cs="Calibri"/>
                <w:sz w:val="18"/>
                <w:szCs w:val="18"/>
              </w:rPr>
              <w:t>Inter-American Development Bank</w:t>
            </w:r>
            <w:r w:rsidRPr="00F64482">
              <w:rPr>
                <w:rFonts w:cs="Calibri"/>
                <w:sz w:val="18"/>
                <w:szCs w:val="18"/>
              </w:rPr>
              <w:t xml:space="preserve">), UN agencies, </w:t>
            </w:r>
            <w:r w:rsidR="002A55C3" w:rsidRPr="00F64482">
              <w:rPr>
                <w:rFonts w:cs="Calibri"/>
                <w:sz w:val="18"/>
                <w:szCs w:val="18"/>
              </w:rPr>
              <w:t>civil society organisations</w:t>
            </w:r>
            <w:r w:rsidRPr="00F64482">
              <w:rPr>
                <w:rFonts w:cs="Calibri"/>
                <w:sz w:val="18"/>
                <w:szCs w:val="18"/>
              </w:rPr>
              <w:t xml:space="preserve">; and through trilateral cooperation partnerships (Brazil </w:t>
            </w:r>
            <w:r w:rsidR="002A55C3" w:rsidRPr="00F64482">
              <w:rPr>
                <w:rFonts w:cs="Calibri"/>
                <w:sz w:val="18"/>
                <w:szCs w:val="18"/>
              </w:rPr>
              <w:t>and</w:t>
            </w:r>
            <w:r w:rsidRPr="00F64482">
              <w:rPr>
                <w:rFonts w:cs="Calibri"/>
                <w:sz w:val="18"/>
                <w:szCs w:val="18"/>
              </w:rPr>
              <w:t xml:space="preserve"> Chile)</w:t>
            </w:r>
          </w:p>
        </w:tc>
        <w:tc>
          <w:tcPr>
            <w:tcW w:w="236" w:type="dxa"/>
          </w:tcPr>
          <w:p w14:paraId="13AF36AE" w14:textId="77777777" w:rsidR="000F0C06" w:rsidRPr="001802A7" w:rsidRDefault="000F0C06" w:rsidP="00E5135B">
            <w:pPr>
              <w:rPr>
                <w:rFonts w:ascii="Franklin Gothic Demi" w:hAnsi="Franklin Gothic Demi"/>
                <w:kern w:val="28"/>
                <w:sz w:val="22"/>
                <w:szCs w:val="22"/>
              </w:rPr>
            </w:pPr>
          </w:p>
        </w:tc>
        <w:tc>
          <w:tcPr>
            <w:tcW w:w="3733" w:type="dxa"/>
            <w:gridSpan w:val="5"/>
            <w:shd w:val="clear" w:color="auto" w:fill="D6E3BC" w:themeFill="accent3" w:themeFillTint="66"/>
          </w:tcPr>
          <w:p w14:paraId="43D15DDE" w14:textId="2E883794" w:rsidR="000F0C06" w:rsidRPr="00F64482" w:rsidRDefault="000F0C06" w:rsidP="003830A1">
            <w:pPr>
              <w:rPr>
                <w:rFonts w:cs="Calibri"/>
                <w:color w:val="000000"/>
                <w:sz w:val="18"/>
                <w:szCs w:val="18"/>
              </w:rPr>
            </w:pPr>
            <w:r w:rsidRPr="00F64482">
              <w:rPr>
                <w:rFonts w:cs="Calibri"/>
                <w:color w:val="000000"/>
                <w:sz w:val="18"/>
                <w:szCs w:val="18"/>
              </w:rPr>
              <w:t>Through global programs (Australia Awards, P</w:t>
            </w:r>
            <w:r w:rsidR="002A55C3" w:rsidRPr="00F64482">
              <w:rPr>
                <w:rFonts w:cs="Calibri"/>
                <w:color w:val="000000"/>
                <w:sz w:val="18"/>
                <w:szCs w:val="18"/>
              </w:rPr>
              <w:t>ublic Sector Linkages Program (now G</w:t>
            </w:r>
            <w:r w:rsidR="00D80E4B" w:rsidRPr="00F64482">
              <w:rPr>
                <w:rFonts w:cs="Calibri"/>
                <w:color w:val="000000"/>
                <w:sz w:val="18"/>
                <w:szCs w:val="18"/>
              </w:rPr>
              <w:t>overnment</w:t>
            </w:r>
            <w:r w:rsidR="002A55C3" w:rsidRPr="00F64482">
              <w:rPr>
                <w:rFonts w:cs="Calibri"/>
                <w:color w:val="000000"/>
                <w:sz w:val="18"/>
                <w:szCs w:val="18"/>
              </w:rPr>
              <w:t xml:space="preserve"> Partnerships for Development)</w:t>
            </w:r>
            <w:r w:rsidRPr="00F64482">
              <w:rPr>
                <w:rFonts w:cs="Calibri"/>
                <w:color w:val="000000"/>
                <w:sz w:val="18"/>
                <w:szCs w:val="18"/>
              </w:rPr>
              <w:t xml:space="preserve">, </w:t>
            </w:r>
            <w:r w:rsidR="00F64482">
              <w:rPr>
                <w:rFonts w:cs="Calibri"/>
                <w:color w:val="000000"/>
                <w:sz w:val="18"/>
                <w:szCs w:val="18"/>
              </w:rPr>
              <w:t>AusAID NGO Cooperation Program</w:t>
            </w:r>
            <w:r w:rsidRPr="00F64482">
              <w:rPr>
                <w:rFonts w:cs="Calibri"/>
                <w:color w:val="000000"/>
                <w:sz w:val="18"/>
                <w:szCs w:val="18"/>
              </w:rPr>
              <w:t>, Volunteers &amp; H</w:t>
            </w:r>
            <w:r w:rsidR="003830A1">
              <w:rPr>
                <w:rFonts w:cs="Calibri"/>
                <w:color w:val="000000"/>
                <w:sz w:val="18"/>
                <w:szCs w:val="18"/>
              </w:rPr>
              <w:t xml:space="preserve">uman </w:t>
            </w:r>
            <w:r w:rsidRPr="00F64482">
              <w:rPr>
                <w:rFonts w:cs="Calibri"/>
                <w:color w:val="000000"/>
                <w:sz w:val="18"/>
                <w:szCs w:val="18"/>
              </w:rPr>
              <w:t>R</w:t>
            </w:r>
            <w:r w:rsidR="003830A1">
              <w:rPr>
                <w:rFonts w:cs="Calibri"/>
                <w:color w:val="000000"/>
                <w:sz w:val="18"/>
                <w:szCs w:val="18"/>
              </w:rPr>
              <w:t xml:space="preserve">ights </w:t>
            </w:r>
            <w:r w:rsidRPr="00F64482">
              <w:rPr>
                <w:rFonts w:cs="Calibri"/>
                <w:color w:val="000000"/>
                <w:sz w:val="18"/>
                <w:szCs w:val="18"/>
              </w:rPr>
              <w:t>G</w:t>
            </w:r>
            <w:r w:rsidR="003830A1">
              <w:rPr>
                <w:rFonts w:cs="Calibri"/>
                <w:color w:val="000000"/>
                <w:sz w:val="18"/>
                <w:szCs w:val="18"/>
              </w:rPr>
              <w:t xml:space="preserve">rants </w:t>
            </w:r>
            <w:r w:rsidRPr="00F64482">
              <w:rPr>
                <w:rFonts w:cs="Calibri"/>
                <w:color w:val="000000"/>
                <w:sz w:val="18"/>
                <w:szCs w:val="18"/>
              </w:rPr>
              <w:t>S</w:t>
            </w:r>
            <w:r w:rsidR="003830A1">
              <w:rPr>
                <w:rFonts w:cs="Calibri"/>
                <w:color w:val="000000"/>
                <w:sz w:val="18"/>
                <w:szCs w:val="18"/>
              </w:rPr>
              <w:t>cheme)</w:t>
            </w:r>
            <w:r w:rsidRPr="00F64482">
              <w:rPr>
                <w:rFonts w:cs="Calibri"/>
                <w:color w:val="000000"/>
                <w:sz w:val="18"/>
                <w:szCs w:val="18"/>
              </w:rPr>
              <w:t>, UN agencies and Central America’s pre-eminent regional body (known as SICA).</w:t>
            </w:r>
          </w:p>
        </w:tc>
        <w:tc>
          <w:tcPr>
            <w:tcW w:w="284" w:type="dxa"/>
          </w:tcPr>
          <w:p w14:paraId="520AF161" w14:textId="77777777" w:rsidR="000F0C06" w:rsidRPr="00F64482" w:rsidRDefault="000F0C06" w:rsidP="00E5135B">
            <w:pPr>
              <w:rPr>
                <w:rFonts w:ascii="Franklin Gothic Demi" w:hAnsi="Franklin Gothic Demi"/>
                <w:kern w:val="28"/>
                <w:sz w:val="18"/>
                <w:szCs w:val="18"/>
              </w:rPr>
            </w:pPr>
          </w:p>
        </w:tc>
        <w:tc>
          <w:tcPr>
            <w:tcW w:w="2551" w:type="dxa"/>
            <w:gridSpan w:val="3"/>
            <w:shd w:val="clear" w:color="auto" w:fill="B6DDE8" w:themeFill="accent5" w:themeFillTint="66"/>
          </w:tcPr>
          <w:p w14:paraId="08DAE704" w14:textId="1F600367" w:rsidR="000F0C06" w:rsidRPr="00F64482" w:rsidRDefault="000F0C06" w:rsidP="00D80E4B">
            <w:pPr>
              <w:rPr>
                <w:rFonts w:ascii="Franklin Gothic Demi" w:hAnsi="Franklin Gothic Demi"/>
                <w:kern w:val="28"/>
                <w:sz w:val="18"/>
                <w:szCs w:val="18"/>
              </w:rPr>
            </w:pPr>
            <w:r w:rsidRPr="00F64482">
              <w:rPr>
                <w:rFonts w:cs="Calibri"/>
                <w:sz w:val="18"/>
                <w:szCs w:val="18"/>
              </w:rPr>
              <w:t xml:space="preserve">Through twinning arrangements, </w:t>
            </w:r>
            <w:r w:rsidR="002A55C3" w:rsidRPr="00F64482">
              <w:rPr>
                <w:rFonts w:cs="Calibri"/>
                <w:sz w:val="18"/>
                <w:szCs w:val="18"/>
              </w:rPr>
              <w:t>c</w:t>
            </w:r>
            <w:r w:rsidRPr="00F64482">
              <w:rPr>
                <w:rFonts w:cs="Calibri"/>
                <w:sz w:val="18"/>
                <w:szCs w:val="18"/>
              </w:rPr>
              <w:t xml:space="preserve">ivil </w:t>
            </w:r>
            <w:r w:rsidR="002A55C3" w:rsidRPr="00F64482">
              <w:rPr>
                <w:rFonts w:cs="Calibri"/>
                <w:sz w:val="18"/>
                <w:szCs w:val="18"/>
              </w:rPr>
              <w:t>s</w:t>
            </w:r>
            <w:r w:rsidRPr="00F64482">
              <w:rPr>
                <w:rFonts w:cs="Calibri"/>
                <w:sz w:val="18"/>
                <w:szCs w:val="18"/>
              </w:rPr>
              <w:t xml:space="preserve">ociety </w:t>
            </w:r>
            <w:r w:rsidR="002A55C3" w:rsidRPr="00F64482">
              <w:rPr>
                <w:rFonts w:cs="Calibri"/>
                <w:sz w:val="18"/>
                <w:szCs w:val="18"/>
              </w:rPr>
              <w:t>o</w:t>
            </w:r>
            <w:r w:rsidRPr="00F64482">
              <w:rPr>
                <w:rFonts w:cs="Calibri"/>
                <w:sz w:val="18"/>
                <w:szCs w:val="18"/>
              </w:rPr>
              <w:t>rganisations, trilateral cooperation partnerships (e.g. Brazil), UN agencies (e.g. W</w:t>
            </w:r>
            <w:r w:rsidR="00D80E4B" w:rsidRPr="00F64482">
              <w:rPr>
                <w:rFonts w:cs="Calibri"/>
                <w:sz w:val="18"/>
                <w:szCs w:val="18"/>
              </w:rPr>
              <w:t>orld Food Programme</w:t>
            </w:r>
            <w:r w:rsidRPr="00F64482">
              <w:rPr>
                <w:rFonts w:cs="Calibri"/>
                <w:sz w:val="18"/>
                <w:szCs w:val="18"/>
              </w:rPr>
              <w:t>) and NGOs</w:t>
            </w:r>
          </w:p>
        </w:tc>
      </w:tr>
      <w:tr w:rsidR="000F0C06" w:rsidRPr="00E5135B" w14:paraId="71C611A7" w14:textId="77777777" w:rsidTr="00E14CF5">
        <w:trPr>
          <w:trHeight w:val="426"/>
        </w:trPr>
        <w:tc>
          <w:tcPr>
            <w:tcW w:w="9923" w:type="dxa"/>
            <w:gridSpan w:val="12"/>
          </w:tcPr>
          <w:p w14:paraId="591E12DA" w14:textId="77777777" w:rsidR="000F0C06" w:rsidRPr="00F64482" w:rsidRDefault="000F0C06" w:rsidP="00E5135B">
            <w:pPr>
              <w:rPr>
                <w:rFonts w:ascii="Franklin Gothic Demi" w:hAnsi="Franklin Gothic Demi"/>
                <w:kern w:val="28"/>
                <w:sz w:val="18"/>
                <w:szCs w:val="18"/>
              </w:rPr>
            </w:pPr>
          </w:p>
        </w:tc>
      </w:tr>
      <w:tr w:rsidR="000F0C06" w:rsidRPr="00E5135B" w14:paraId="4EDE175C" w14:textId="77777777" w:rsidTr="004D7C1C">
        <w:trPr>
          <w:trHeight w:val="767"/>
        </w:trPr>
        <w:tc>
          <w:tcPr>
            <w:tcW w:w="1135" w:type="dxa"/>
          </w:tcPr>
          <w:p w14:paraId="56A0396A" w14:textId="77777777" w:rsidR="000F0C06" w:rsidRPr="00F64482" w:rsidRDefault="000F0C06" w:rsidP="00E5135B">
            <w:pPr>
              <w:rPr>
                <w:rFonts w:asciiTheme="minorHAnsi" w:hAnsiTheme="minorHAnsi" w:cstheme="minorHAnsi"/>
                <w:kern w:val="28"/>
                <w:sz w:val="18"/>
                <w:szCs w:val="18"/>
              </w:rPr>
            </w:pPr>
            <w:r w:rsidRPr="00F64482">
              <w:rPr>
                <w:rFonts w:asciiTheme="minorHAnsi" w:hAnsiTheme="minorHAnsi" w:cstheme="minorHAnsi"/>
                <w:kern w:val="28"/>
                <w:sz w:val="18"/>
                <w:szCs w:val="18"/>
              </w:rPr>
              <w:t>Target Countries</w:t>
            </w:r>
          </w:p>
        </w:tc>
        <w:tc>
          <w:tcPr>
            <w:tcW w:w="8788" w:type="dxa"/>
            <w:gridSpan w:val="11"/>
            <w:shd w:val="clear" w:color="auto" w:fill="FBD4B4" w:themeFill="accent6" w:themeFillTint="66"/>
          </w:tcPr>
          <w:p w14:paraId="4E7589EE" w14:textId="50287499" w:rsidR="000F0C06" w:rsidRPr="00F64482" w:rsidRDefault="000F0C06" w:rsidP="00D3428F">
            <w:pPr>
              <w:rPr>
                <w:rFonts w:cs="Calibri"/>
                <w:color w:val="000000"/>
                <w:sz w:val="18"/>
                <w:szCs w:val="18"/>
              </w:rPr>
            </w:pPr>
            <w:r w:rsidRPr="00F64482">
              <w:rPr>
                <w:rFonts w:cs="Calibri"/>
                <w:color w:val="000000"/>
                <w:sz w:val="18"/>
                <w:szCs w:val="18"/>
              </w:rPr>
              <w:t xml:space="preserve">REGIONAL, MULTI COUNTRY AND BILATERAL APPROACHES: </w:t>
            </w:r>
          </w:p>
          <w:p w14:paraId="0A85ECE7" w14:textId="64D0238F" w:rsidR="000F0C06" w:rsidRPr="00F64482" w:rsidRDefault="000F0C06" w:rsidP="005A1CEC">
            <w:pPr>
              <w:rPr>
                <w:rFonts w:ascii="Franklin Gothic Demi" w:hAnsi="Franklin Gothic Demi"/>
                <w:kern w:val="28"/>
                <w:sz w:val="18"/>
                <w:szCs w:val="18"/>
              </w:rPr>
            </w:pPr>
            <w:r w:rsidRPr="00F64482">
              <w:rPr>
                <w:rFonts w:cs="Calibri"/>
                <w:color w:val="000000"/>
                <w:sz w:val="18"/>
                <w:szCs w:val="18"/>
              </w:rPr>
              <w:t xml:space="preserve">Argentina, Bolivia,  Brazil, Chile, Colombia, Costa Rica, Ecuador, El Salvador, Guatemala, Honduras, Mexico, Nicaragua, Panama, Paraguay, Peru, Uruguay and Venezuela </w:t>
            </w:r>
          </w:p>
        </w:tc>
      </w:tr>
    </w:tbl>
    <w:p w14:paraId="2B1AFA8E" w14:textId="7400A5A1" w:rsidR="000F0C06" w:rsidRDefault="000F0C06">
      <w:r>
        <w:br w:type="page"/>
      </w:r>
    </w:p>
    <w:p w14:paraId="1CF53F80" w14:textId="70F71D87" w:rsidR="000F0C06" w:rsidRPr="00427297" w:rsidRDefault="000F0C06" w:rsidP="00B00C83">
      <w:pPr>
        <w:pStyle w:val="Heading2"/>
        <w:numPr>
          <w:ilvl w:val="0"/>
          <w:numId w:val="0"/>
        </w:numPr>
        <w:ind w:left="709" w:hanging="709"/>
      </w:pPr>
      <w:bookmarkStart w:id="41" w:name="_Toc356371552"/>
      <w:bookmarkStart w:id="42" w:name="_Toc357172656"/>
      <w:r w:rsidRPr="00427297">
        <w:lastRenderedPageBreak/>
        <w:t>Annex B:</w:t>
      </w:r>
      <w:r w:rsidRPr="00427297">
        <w:rPr>
          <w:noProof/>
        </w:rPr>
        <mc:AlternateContent>
          <mc:Choice Requires="wps">
            <w:drawing>
              <wp:anchor distT="36576" distB="36576" distL="36576" distR="36576" simplePos="0" relativeHeight="251670016" behindDoc="0" locked="0" layoutInCell="1" allowOverlap="1" wp14:anchorId="1B09D8D0" wp14:editId="63CF7588">
                <wp:simplePos x="0" y="0"/>
                <wp:positionH relativeFrom="column">
                  <wp:posOffset>692785</wp:posOffset>
                </wp:positionH>
                <wp:positionV relativeFrom="paragraph">
                  <wp:posOffset>1118870</wp:posOffset>
                </wp:positionV>
                <wp:extent cx="6203950" cy="7567295"/>
                <wp:effectExtent l="0" t="0" r="635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03950" cy="75672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4.55pt;margin-top:88.1pt;width:488.5pt;height:595.85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" filled="f" stroked="f" insetpen="t">
                <v:shadow color="#eeece1"/>
                <o:lock v:ext="edit" shapetype="t"/>
                <v:textbox inset="0,0,0,0"/>
              </v:rect>
            </w:pict>
          </mc:Fallback>
        </mc:AlternateContent>
      </w:r>
      <w:r w:rsidRPr="00427297">
        <w:t xml:space="preserve"> Progress against MDGs in Latin America</w:t>
      </w:r>
      <w:r>
        <w:rPr>
          <w:rStyle w:val="FootnoteReference"/>
        </w:rPr>
        <w:footnoteReference w:id="16"/>
      </w:r>
      <w:bookmarkEnd w:id="41"/>
      <w:bookmarkEnd w:id="42"/>
    </w:p>
    <w:p w14:paraId="0791E2F3" w14:textId="77777777" w:rsidR="00E5135B" w:rsidRDefault="00E5135B" w:rsidP="00E5135B">
      <w:pPr>
        <w:ind w:right="-526"/>
        <w:rPr>
          <w:rFonts w:ascii="Georgia" w:hAnsi="Georgia"/>
          <w:b/>
          <w:sz w:val="19"/>
          <w:szCs w:val="19"/>
        </w:rPr>
      </w:pPr>
    </w:p>
    <w:p w14:paraId="02BC48C4" w14:textId="77777777" w:rsidR="00E5135B" w:rsidRPr="00BC2989" w:rsidRDefault="00E5135B" w:rsidP="00E5135B">
      <w:pPr>
        <w:ind w:right="-526"/>
        <w:rPr>
          <w:rFonts w:ascii="Georgia" w:hAnsi="Georgia"/>
          <w:b/>
          <w:sz w:val="19"/>
          <w:szCs w:val="19"/>
        </w:rPr>
      </w:pPr>
    </w:p>
    <w:tbl>
      <w:tblPr>
        <w:tblW w:w="10173" w:type="dxa"/>
        <w:tblLayout w:type="fixed"/>
        <w:tblCellMar>
          <w:left w:w="0" w:type="dxa"/>
          <w:right w:w="0" w:type="dxa"/>
        </w:tblCellMar>
        <w:tblLook w:val="04A0" w:firstRow="1" w:lastRow="0" w:firstColumn="1" w:lastColumn="0" w:noHBand="0" w:noVBand="1"/>
      </w:tblPr>
      <w:tblGrid>
        <w:gridCol w:w="1030"/>
        <w:gridCol w:w="1063"/>
        <w:gridCol w:w="1134"/>
        <w:gridCol w:w="1276"/>
        <w:gridCol w:w="1134"/>
        <w:gridCol w:w="1134"/>
        <w:gridCol w:w="1134"/>
        <w:gridCol w:w="1134"/>
        <w:gridCol w:w="1134"/>
      </w:tblGrid>
      <w:tr w:rsidR="00E5135B" w:rsidRPr="00BC2989" w14:paraId="35786306" w14:textId="77777777" w:rsidTr="00080A45">
        <w:trPr>
          <w:trHeight w:val="1714"/>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403B6E" w14:textId="77777777" w:rsidR="00E5135B" w:rsidRPr="00BC2989" w:rsidRDefault="00E5135B" w:rsidP="00165F88">
            <w:pPr>
              <w:spacing w:line="273" w:lineRule="auto"/>
              <w:jc w:val="center"/>
              <w:rPr>
                <w:rFonts w:ascii="Arial" w:hAnsi="Arial" w:cs="Arial"/>
                <w:b/>
                <w:bCs/>
                <w:color w:val="000000"/>
                <w:kern w:val="28"/>
                <w:sz w:val="14"/>
                <w:szCs w:val="14"/>
              </w:rPr>
            </w:pPr>
            <w:r w:rsidRPr="00BC2989">
              <w:rPr>
                <w:rFonts w:ascii="Arial" w:hAnsi="Arial" w:cs="Arial"/>
                <w:b/>
                <w:bCs/>
                <w:color w:val="000000"/>
                <w:kern w:val="28"/>
                <w:sz w:val="14"/>
                <w:szCs w:val="14"/>
              </w:rPr>
              <w:t xml:space="preserve">Latin </w:t>
            </w:r>
          </w:p>
          <w:p w14:paraId="1734B598" w14:textId="77777777" w:rsidR="00E5135B" w:rsidRPr="00BC2989" w:rsidRDefault="00E5135B" w:rsidP="00165F88">
            <w:pPr>
              <w:spacing w:line="273" w:lineRule="auto"/>
              <w:jc w:val="center"/>
              <w:rPr>
                <w:rFonts w:ascii="Times New Roman" w:hAnsi="Times New Roman"/>
                <w:color w:val="000000"/>
                <w:kern w:val="28"/>
              </w:rPr>
            </w:pPr>
            <w:r w:rsidRPr="00BC2989">
              <w:rPr>
                <w:rFonts w:ascii="Arial" w:hAnsi="Arial" w:cs="Arial"/>
                <w:b/>
                <w:bCs/>
                <w:color w:val="000000"/>
                <w:kern w:val="28"/>
                <w:sz w:val="14"/>
                <w:szCs w:val="14"/>
              </w:rPr>
              <w:t>America</w:t>
            </w:r>
          </w:p>
        </w:tc>
        <w:tc>
          <w:tcPr>
            <w:tcW w:w="10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274F64"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b/>
                <w:bCs/>
                <w:color w:val="000000"/>
                <w:kern w:val="28"/>
                <w:sz w:val="14"/>
                <w:szCs w:val="14"/>
              </w:rPr>
              <w:t>MDG 1</w:t>
            </w:r>
          </w:p>
          <w:p w14:paraId="6B1D8F59"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color w:val="000000"/>
                <w:kern w:val="28"/>
                <w:sz w:val="14"/>
                <w:szCs w:val="14"/>
              </w:rPr>
              <w:t>Eliminate Extreme Poverty and Hunger</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112D95"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b/>
                <w:bCs/>
                <w:color w:val="000000"/>
                <w:kern w:val="28"/>
                <w:sz w:val="14"/>
                <w:szCs w:val="14"/>
              </w:rPr>
              <w:t>MDG 2</w:t>
            </w:r>
          </w:p>
          <w:p w14:paraId="760EAED4"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color w:val="000000"/>
                <w:kern w:val="28"/>
                <w:sz w:val="14"/>
                <w:szCs w:val="14"/>
              </w:rPr>
              <w:t>Achieve Universal Primary Education</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55E4F7"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b/>
                <w:bCs/>
                <w:color w:val="000000"/>
                <w:kern w:val="28"/>
                <w:sz w:val="14"/>
                <w:szCs w:val="14"/>
              </w:rPr>
              <w:t>MDG 3</w:t>
            </w:r>
          </w:p>
          <w:p w14:paraId="763DAB92"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color w:val="000000"/>
                <w:kern w:val="28"/>
                <w:sz w:val="14"/>
                <w:szCs w:val="14"/>
              </w:rPr>
              <w:t>Promote Gender Equality and Empower Women</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EC0A0F"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b/>
                <w:bCs/>
                <w:color w:val="000000"/>
                <w:kern w:val="28"/>
                <w:sz w:val="14"/>
                <w:szCs w:val="14"/>
              </w:rPr>
              <w:t>MDG 4</w:t>
            </w:r>
          </w:p>
          <w:p w14:paraId="184AAB68"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color w:val="000000"/>
                <w:kern w:val="28"/>
                <w:sz w:val="14"/>
                <w:szCs w:val="14"/>
              </w:rPr>
              <w:t>Reduce Child Mortality</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E72FA"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b/>
                <w:bCs/>
                <w:color w:val="000000"/>
                <w:kern w:val="28"/>
                <w:sz w:val="14"/>
                <w:szCs w:val="14"/>
              </w:rPr>
              <w:t>MDG 5</w:t>
            </w:r>
          </w:p>
          <w:p w14:paraId="70AD8B27"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color w:val="000000"/>
                <w:kern w:val="28"/>
                <w:sz w:val="14"/>
                <w:szCs w:val="14"/>
              </w:rPr>
              <w:t>Improve Maternal Health</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C0490F"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b/>
                <w:bCs/>
                <w:color w:val="000000"/>
                <w:kern w:val="28"/>
                <w:sz w:val="14"/>
                <w:szCs w:val="14"/>
              </w:rPr>
              <w:t>MDG 6</w:t>
            </w:r>
          </w:p>
          <w:p w14:paraId="07BFA1E3"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color w:val="000000"/>
                <w:kern w:val="28"/>
                <w:sz w:val="14"/>
                <w:szCs w:val="14"/>
              </w:rPr>
              <w:t>Combat HIV/AIDS and Other Diseases</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B24858"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b/>
                <w:bCs/>
                <w:color w:val="000000"/>
                <w:kern w:val="28"/>
                <w:sz w:val="14"/>
                <w:szCs w:val="14"/>
              </w:rPr>
              <w:t>MDG 7</w:t>
            </w:r>
          </w:p>
          <w:p w14:paraId="1B8E51BB"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color w:val="000000"/>
                <w:kern w:val="28"/>
                <w:sz w:val="14"/>
                <w:szCs w:val="14"/>
              </w:rPr>
              <w:t>Ensure Environment-al Sustainability</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E22CC7"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b/>
                <w:bCs/>
                <w:color w:val="000000"/>
                <w:kern w:val="28"/>
                <w:sz w:val="14"/>
                <w:szCs w:val="14"/>
              </w:rPr>
              <w:t>MDG 8</w:t>
            </w:r>
          </w:p>
          <w:p w14:paraId="28DCB0D3" w14:textId="77777777" w:rsidR="00E5135B" w:rsidRPr="00BC2989" w:rsidRDefault="00E5135B" w:rsidP="00165F88">
            <w:pPr>
              <w:spacing w:before="120" w:line="360" w:lineRule="auto"/>
              <w:jc w:val="center"/>
              <w:rPr>
                <w:rFonts w:ascii="Times New Roman" w:hAnsi="Times New Roman"/>
                <w:color w:val="000000"/>
                <w:kern w:val="28"/>
              </w:rPr>
            </w:pPr>
            <w:r w:rsidRPr="00BC2989">
              <w:rPr>
                <w:rFonts w:ascii="Arial" w:hAnsi="Arial" w:cs="Arial"/>
                <w:color w:val="000000"/>
                <w:kern w:val="28"/>
                <w:sz w:val="14"/>
                <w:szCs w:val="14"/>
              </w:rPr>
              <w:t>Develop a Global Partnership for Development</w:t>
            </w:r>
          </w:p>
        </w:tc>
      </w:tr>
      <w:tr w:rsidR="00E5135B" w:rsidRPr="00BC2989" w14:paraId="339F9752" w14:textId="77777777" w:rsidTr="00080A45">
        <w:trPr>
          <w:trHeight w:val="531"/>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7BA4E2" w14:textId="77777777" w:rsidR="00E5135B" w:rsidRPr="00BC2989" w:rsidRDefault="00E5135B" w:rsidP="00165F88">
            <w:pPr>
              <w:jc w:val="center"/>
              <w:rPr>
                <w:rFonts w:ascii="Times New Roman" w:hAnsi="Times New Roman"/>
                <w:color w:val="000000"/>
                <w:kern w:val="28"/>
              </w:rPr>
            </w:pPr>
            <w:r w:rsidRPr="00BC2989">
              <w:rPr>
                <w:rFonts w:ascii="Arial" w:hAnsi="Arial" w:cs="Arial"/>
                <w:b/>
                <w:bCs/>
                <w:color w:val="000000"/>
                <w:kern w:val="28"/>
                <w:sz w:val="14"/>
                <w:szCs w:val="14"/>
              </w:rPr>
              <w:t>Argentina</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30716BC9"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0A40D743"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748EE5A0"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290C257C"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5206D159"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A9A3239"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885AE51"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7B7D2BB2"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C023671"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4BEF3A62"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7B56653B" w14:textId="77777777" w:rsidTr="00080A45">
        <w:trPr>
          <w:trHeight w:val="470"/>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7CF6D7" w14:textId="77777777" w:rsidR="00E5135B" w:rsidRPr="00BC2989" w:rsidRDefault="00E5135B" w:rsidP="00165F88">
            <w:pPr>
              <w:jc w:val="center"/>
              <w:rPr>
                <w:rFonts w:ascii="Times New Roman" w:hAnsi="Times New Roman"/>
                <w:color w:val="000000"/>
                <w:kern w:val="28"/>
              </w:rPr>
            </w:pPr>
            <w:r w:rsidRPr="00BC2989">
              <w:rPr>
                <w:rFonts w:ascii="Arial" w:hAnsi="Arial" w:cs="Arial"/>
                <w:b/>
                <w:bCs/>
                <w:color w:val="000000"/>
                <w:kern w:val="28"/>
                <w:sz w:val="14"/>
                <w:szCs w:val="14"/>
              </w:rPr>
              <w:t>Bolivia</w:t>
            </w:r>
          </w:p>
        </w:tc>
        <w:tc>
          <w:tcPr>
            <w:tcW w:w="1063"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3116459C"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3E7951A8"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4F3E67A8"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281B78C4"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40F4BDC9"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0821A5E9"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0DE67F9D"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5EBA64B4"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2FB62FD9"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07D2775E" w14:textId="77777777" w:rsidTr="00080A45">
        <w:trPr>
          <w:trHeight w:val="540"/>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767AA0" w14:textId="77777777" w:rsidR="00E5135B" w:rsidRPr="00BC2989" w:rsidRDefault="00E5135B" w:rsidP="00165F88">
            <w:pPr>
              <w:jc w:val="center"/>
              <w:rPr>
                <w:rFonts w:ascii="Times New Roman" w:hAnsi="Times New Roman"/>
                <w:b/>
                <w:bCs/>
                <w:color w:val="000000"/>
                <w:kern w:val="28"/>
              </w:rPr>
            </w:pPr>
            <w:r w:rsidRPr="00BC2989">
              <w:rPr>
                <w:rFonts w:ascii="Arial" w:hAnsi="Arial" w:cs="Arial"/>
                <w:b/>
                <w:bCs/>
                <w:color w:val="000000"/>
                <w:kern w:val="28"/>
                <w:sz w:val="14"/>
                <w:szCs w:val="14"/>
              </w:rPr>
              <w:t>Brazil</w:t>
            </w:r>
          </w:p>
        </w:tc>
        <w:tc>
          <w:tcPr>
            <w:tcW w:w="106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284B1F13"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4F3D24C"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78D7A8DD"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04761EC6"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42874867"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5AF17347"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7BE05F27"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9AF5EBD"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r>
      <w:tr w:rsidR="00E5135B" w:rsidRPr="00BC2989" w14:paraId="7F780DC2"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3A0A8B"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Chile</w:t>
            </w:r>
          </w:p>
        </w:tc>
        <w:tc>
          <w:tcPr>
            <w:tcW w:w="106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3DB35595"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23E6FBDD"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F5912BE"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4730EB79"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3AC662E4"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7CC87D0"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2C831F3D"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D52377C"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16275F19"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2321D92C"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B4B6D9"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Colombia</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1ED787EA"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4D85D0C2"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21A67786"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0A440961"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F287C77"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F3BE434"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37AE8C36"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E45CE0E"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16FED225"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8D08DDD"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03DF2883"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17C77550"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952D92"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Costa Rica</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4A0229E8"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500E8A63"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58DFE163"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1FD6829C"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035D66E1"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31406ECD"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0FE776A2"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DBED541"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5D08057D"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C23D69" w:rsidRPr="00BC2989" w14:paraId="54B4E285"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EC3CED" w14:textId="77777777" w:rsidR="00C23D69" w:rsidRPr="00BC2989" w:rsidRDefault="00C23D69"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Ecuador</w:t>
            </w:r>
          </w:p>
        </w:tc>
        <w:tc>
          <w:tcPr>
            <w:tcW w:w="106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56EA3925" w14:textId="60549CC7" w:rsidR="00C23D69" w:rsidRDefault="00C23D69"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p w14:paraId="290F7821" w14:textId="77777777" w:rsidR="00C23D69" w:rsidRPr="00C23D69" w:rsidRDefault="00C23D69" w:rsidP="00C23D69">
            <w:pPr>
              <w:rPr>
                <w:rFonts w:ascii="Times New Roman" w:hAnsi="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29F339A" w14:textId="77777777" w:rsidR="00C23D69" w:rsidRPr="00BC2989" w:rsidRDefault="00C23D69"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08BA21D" w14:textId="77777777" w:rsidR="00C23D69" w:rsidRPr="00BC2989" w:rsidRDefault="00C23D69"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7D72672" w14:textId="77777777" w:rsidR="00C23D69" w:rsidRPr="00BC2989" w:rsidRDefault="00C23D69"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43EAE38B" w14:textId="77777777" w:rsidR="00C23D69" w:rsidRPr="00BC2989" w:rsidRDefault="00C23D69"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25281634" w14:textId="77777777" w:rsidR="00C23D69" w:rsidRPr="00BC2989" w:rsidRDefault="00C23D69"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DE8800B" w14:textId="77777777" w:rsidR="00C23D69" w:rsidRPr="00BC2989" w:rsidRDefault="00C23D69"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2B84CD7C" w14:textId="77777777" w:rsidR="00C23D69" w:rsidRPr="00BC2989" w:rsidRDefault="00C23D69"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0CBDD53" w14:textId="77777777" w:rsidR="00C23D69" w:rsidRPr="00BC2989" w:rsidRDefault="00C23D69"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47F6735F" w14:textId="77777777" w:rsidR="00C23D69" w:rsidRPr="00BC2989" w:rsidRDefault="00C23D69"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3EFF0DD7"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62EE72"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El Salvador</w:t>
            </w:r>
          </w:p>
        </w:tc>
        <w:tc>
          <w:tcPr>
            <w:tcW w:w="10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06254FF"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57637C59"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1EA647A4"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C171041"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4BD777DC"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241E22A4"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323C0C0"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7DA6510D"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0804E9D"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0554D6A6"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2BB4A4A"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061DC444"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2D40BBA2"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C2C03A"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Guatemala</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1F556A15"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2AD36885"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B5D7556"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1B6B0E81"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5182F6B"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3BE023CB"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0C9E968"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7D0BF945"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F66B8A3"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32C626B3"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6C76090"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59D075B6"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6D4A678A"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6AFAA3"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Honduras</w:t>
            </w:r>
          </w:p>
        </w:tc>
        <w:tc>
          <w:tcPr>
            <w:tcW w:w="10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E1E0F50"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723E5091"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5BA5C914"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021FEE98"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1E10E708"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97BDF06"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7027ADBD"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D410D38"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03A4E401"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7CBB8DA"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0D7F6FC5"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CEF939C"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3DFEA69B"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72D5ECA2"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73142A"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Mexico</w:t>
            </w:r>
          </w:p>
        </w:tc>
        <w:tc>
          <w:tcPr>
            <w:tcW w:w="106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0BD972FE" w14:textId="152F24B2" w:rsidR="00E5135B" w:rsidRPr="00BC2989" w:rsidRDefault="00C23D69" w:rsidP="00165F88">
            <w:pPr>
              <w:jc w:val="center"/>
              <w:rPr>
                <w:rFonts w:ascii="Times New Roman" w:hAnsi="Times New Roman"/>
                <w:color w:val="000000"/>
                <w:kern w:val="28"/>
              </w:rPr>
            </w:pPr>
            <w:r w:rsidRPr="00C23D69">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301D24AF"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9152011"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A7C2BDA"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38AB37D1"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1B891CCD"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7622B013"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BC9AD4F"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730A7275"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069E83B0"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E4060E"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Nicaragua</w:t>
            </w:r>
          </w:p>
        </w:tc>
        <w:tc>
          <w:tcPr>
            <w:tcW w:w="10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DC8FCA9"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1291B45E"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7AC12CDF"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5FE36617"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31D05C98"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217CFDB3"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531D84A2"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2E761511"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312FB54"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0A408A4E"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9067C12"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38D2B60B"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46AFCD2F"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EB98D"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Panama</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3D911C0E"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02EE2A05"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05CEA8A2"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42805C6"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E72733B"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37BB8815"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30606BF7"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E1AB081"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60F23388"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616843EE"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5F69AD"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Paraguay</w:t>
            </w:r>
          </w:p>
        </w:tc>
        <w:tc>
          <w:tcPr>
            <w:tcW w:w="1063"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2465F761"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6CFFC6E"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24141102"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30DD35BF"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3163A6D2"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5703963D"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3FA774BB"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6360A38"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3232C97B"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4483271C" w14:textId="77777777" w:rsidTr="00080A45">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02EFE7"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Peru</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23BA6715"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41115557"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5103B3BC"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161317EE"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589B6C3"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3F35449C"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7995F28E"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Off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8872248"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433ADED3"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r w:rsidR="00E5135B" w:rsidRPr="00BC2989" w14:paraId="2383CC44" w14:textId="77777777" w:rsidTr="00080A45">
        <w:trPr>
          <w:trHeight w:val="614"/>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802A92"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Uruguay</w:t>
            </w:r>
          </w:p>
        </w:tc>
        <w:tc>
          <w:tcPr>
            <w:tcW w:w="106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2DEE153B"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21B14B62"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Achieved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29A5A500"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52B7C5E5"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F2FB44F"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14253DE7"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3C47C7D"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53E8C2BE"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r>
      <w:tr w:rsidR="00E5135B" w:rsidRPr="00BC2989" w14:paraId="6203C587" w14:textId="77777777" w:rsidTr="00080A45">
        <w:trPr>
          <w:trHeight w:val="638"/>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400CFF" w14:textId="77777777" w:rsidR="00E5135B" w:rsidRPr="00BC2989" w:rsidRDefault="00E5135B" w:rsidP="00165F88">
            <w:pPr>
              <w:jc w:val="center"/>
              <w:rPr>
                <w:rFonts w:ascii="Arial" w:hAnsi="Arial" w:cs="Arial"/>
                <w:b/>
                <w:bCs/>
                <w:color w:val="000000"/>
                <w:kern w:val="28"/>
                <w:sz w:val="14"/>
                <w:szCs w:val="14"/>
              </w:rPr>
            </w:pPr>
            <w:r w:rsidRPr="00BC2989">
              <w:rPr>
                <w:rFonts w:ascii="Arial" w:hAnsi="Arial" w:cs="Arial"/>
                <w:b/>
                <w:bCs/>
                <w:color w:val="000000"/>
                <w:kern w:val="28"/>
                <w:sz w:val="14"/>
                <w:szCs w:val="14"/>
              </w:rPr>
              <w:t>Venezuela</w:t>
            </w:r>
          </w:p>
        </w:tc>
        <w:tc>
          <w:tcPr>
            <w:tcW w:w="10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E3F4045"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1B91624C"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3374BF2C"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20D6D25A"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6C509897"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AFAC726"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31B6E508"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507D30DB" w14:textId="77777777" w:rsidR="00E5135B" w:rsidRPr="00BC2989" w:rsidRDefault="00E5135B" w:rsidP="00165F88">
            <w:pPr>
              <w:jc w:val="center"/>
              <w:rPr>
                <w:rFonts w:ascii="Times New Roman" w:hAnsi="Times New Roman"/>
                <w:color w:val="000000"/>
                <w:kern w:val="28"/>
              </w:rPr>
            </w:pPr>
            <w:r w:rsidRPr="00BC2989">
              <w:rPr>
                <w:rFonts w:ascii="Arial" w:hAnsi="Arial" w:cs="Arial"/>
                <w:color w:val="000000"/>
                <w:kern w:val="28"/>
                <w:sz w:val="14"/>
                <w:szCs w:val="14"/>
              </w:rPr>
              <w:t xml:space="preserve">On track </w:t>
            </w:r>
            <w:r w:rsidRPr="00BC2989">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DC8304D" w14:textId="77777777" w:rsidR="00E5135B" w:rsidRPr="00BC2989" w:rsidRDefault="00E5135B" w:rsidP="00165F88">
            <w:pPr>
              <w:jc w:val="center"/>
              <w:rPr>
                <w:rFonts w:ascii="Arial" w:hAnsi="Arial" w:cs="Arial"/>
                <w:color w:val="000000"/>
                <w:kern w:val="28"/>
                <w:sz w:val="14"/>
                <w:szCs w:val="14"/>
              </w:rPr>
            </w:pPr>
            <w:r w:rsidRPr="00BC2989">
              <w:rPr>
                <w:rFonts w:ascii="Arial" w:hAnsi="Arial" w:cs="Arial"/>
                <w:color w:val="000000"/>
                <w:kern w:val="28"/>
                <w:sz w:val="14"/>
                <w:szCs w:val="14"/>
              </w:rPr>
              <w:t xml:space="preserve">Insufficient </w:t>
            </w:r>
          </w:p>
          <w:p w14:paraId="33F1E5A5" w14:textId="77777777" w:rsidR="00E5135B" w:rsidRPr="00BC2989" w:rsidRDefault="00E5135B" w:rsidP="00165F88">
            <w:pPr>
              <w:jc w:val="center"/>
              <w:rPr>
                <w:rFonts w:ascii="Arial" w:hAnsi="Arial" w:cs="Arial"/>
                <w:color w:val="000000"/>
                <w:kern w:val="28"/>
              </w:rPr>
            </w:pPr>
            <w:r w:rsidRPr="00BC2989">
              <w:rPr>
                <w:rFonts w:ascii="Arial" w:hAnsi="Arial" w:cs="Arial"/>
                <w:color w:val="000000"/>
                <w:kern w:val="28"/>
                <w:sz w:val="14"/>
                <w:szCs w:val="14"/>
              </w:rPr>
              <w:t>Information</w:t>
            </w:r>
          </w:p>
        </w:tc>
      </w:tr>
    </w:tbl>
    <w:p w14:paraId="0A9EDCCA" w14:textId="68AB74BF" w:rsidR="00E5135B" w:rsidRPr="004C0D76" w:rsidRDefault="00E5135B" w:rsidP="004C0D76">
      <w:pPr>
        <w:pStyle w:val="Heading2"/>
        <w:numPr>
          <w:ilvl w:val="0"/>
          <w:numId w:val="0"/>
        </w:numPr>
        <w:ind w:left="709" w:hanging="709"/>
      </w:pPr>
      <w:bookmarkStart w:id="43" w:name="_Toc356371553"/>
      <w:bookmarkStart w:id="44" w:name="_Toc357172657"/>
      <w:r w:rsidRPr="00317809">
        <w:lastRenderedPageBreak/>
        <w:t xml:space="preserve">Annex C: </w:t>
      </w:r>
      <w:r w:rsidR="00427297" w:rsidRPr="00317809">
        <w:t>Brief s</w:t>
      </w:r>
      <w:r w:rsidRPr="00317809">
        <w:t>ummary of development needs in Latin America</w:t>
      </w:r>
      <w:bookmarkEnd w:id="43"/>
      <w:bookmarkEnd w:id="44"/>
      <w:r w:rsidRPr="00317809">
        <w:t xml:space="preserve"> </w:t>
      </w:r>
    </w:p>
    <w:p w14:paraId="64F7D3AC" w14:textId="015B3455" w:rsidR="00404276" w:rsidRPr="00C57943" w:rsidRDefault="00404276" w:rsidP="00E73C04">
      <w:pPr>
        <w:pStyle w:val="BodyText"/>
        <w:spacing w:line="276" w:lineRule="auto"/>
      </w:pPr>
      <w:r w:rsidRPr="00C57943">
        <w:t xml:space="preserve">Whilst less than one per cent of people in Argentina, Chile, Costa Rica, and Uruguay live in extreme poverty,  Brazil (7.4 million) has the largest population living in poverty although the percentage is low at 3.8 per cent, </w:t>
      </w:r>
      <w:r w:rsidR="00DF11CC" w:rsidRPr="00C57943">
        <w:t>and</w:t>
      </w:r>
      <w:r w:rsidRPr="00C57943">
        <w:t xml:space="preserve"> Colombia has a similar number of people but a higher percentage (16 per cent).  Colombia (7.3 million), Guatemala (2.4 million), Honduras (1.7 million), Bolivia (1.4 million) and Nicaragua (1 million) have some of the highest rates of extreme poverty, over 12 per cent – and except for Colombia also rank the lowest in the region under the United Nations Human Development Index.  Peru has 1.7 million extremely poor people, although its rate of extreme poverty is lower at 5.9 per cent.</w:t>
      </w:r>
    </w:p>
    <w:p w14:paraId="1D08A5DF" w14:textId="06303BD8" w:rsidR="00E5135B" w:rsidRPr="00C57943" w:rsidRDefault="00E5135B" w:rsidP="00E73C04">
      <w:pPr>
        <w:pStyle w:val="BodyText"/>
        <w:spacing w:line="276" w:lineRule="auto"/>
      </w:pPr>
      <w:r w:rsidRPr="00C57943">
        <w:t>Andean countries from Colombia, Ecuador, Peru</w:t>
      </w:r>
      <w:r w:rsidR="00086635" w:rsidRPr="00C57943">
        <w:t>,</w:t>
      </w:r>
      <w:r w:rsidR="008E44D4" w:rsidRPr="00C57943">
        <w:t xml:space="preserve"> </w:t>
      </w:r>
      <w:r w:rsidRPr="00C57943">
        <w:t xml:space="preserve">Bolivia and Paraguay (landlocked like Bolivia) are the poorest and most unequal countries of South America. The four Central American countries of Guatemala, Honduras, El Salvador and Nicaragua are the poorest and most vulnerable in Latin America. </w:t>
      </w:r>
    </w:p>
    <w:p w14:paraId="20E586EC" w14:textId="2ADF83E4" w:rsidR="00E5135B" w:rsidRPr="00C57943" w:rsidRDefault="00E5135B" w:rsidP="00E73C04">
      <w:pPr>
        <w:pStyle w:val="BodyText"/>
        <w:spacing w:line="276" w:lineRule="auto"/>
      </w:pPr>
      <w:r w:rsidRPr="00C57943">
        <w:t xml:space="preserve">Bolivia: Despite being upgraded from </w:t>
      </w:r>
      <w:r w:rsidR="007B3E91" w:rsidRPr="00C57943">
        <w:t xml:space="preserve">a </w:t>
      </w:r>
      <w:r w:rsidRPr="00C57943">
        <w:t>low to lower</w:t>
      </w:r>
      <w:r w:rsidR="00086635" w:rsidRPr="00C57943">
        <w:t>-</w:t>
      </w:r>
      <w:r w:rsidRPr="00C57943">
        <w:t>middle income country, Bolivia, with a population of 9.9 million, continues to face significant development challenges. It suffers from high levels of poverty</w:t>
      </w:r>
      <w:r w:rsidR="00086635" w:rsidRPr="00C57943">
        <w:t>,</w:t>
      </w:r>
      <w:r w:rsidRPr="00C57943">
        <w:t xml:space="preserve"> with the second lowest GNI per capita in Latin America at US$1,630; widespread income inequality</w:t>
      </w:r>
      <w:r w:rsidR="00086635" w:rsidRPr="00C57943">
        <w:t>,</w:t>
      </w:r>
      <w:r w:rsidRPr="00C57943">
        <w:t xml:space="preserve"> with a GINI index of 57.3 (second only to Honduras)</w:t>
      </w:r>
      <w:r w:rsidR="00086635" w:rsidRPr="00C57943">
        <w:t>;</w:t>
      </w:r>
      <w:r w:rsidRPr="00C57943">
        <w:t xml:space="preserve"> and social exclusion. Just under 12</w:t>
      </w:r>
      <w:r w:rsidR="00DF11CC" w:rsidRPr="00C57943">
        <w:t xml:space="preserve"> per cent</w:t>
      </w:r>
      <w:r w:rsidRPr="00C57943">
        <w:t xml:space="preserve"> of Bolivia’s population live in extreme poverty (on less than $1 a day), which has hindered Bolivia’s MDG progress. </w:t>
      </w:r>
    </w:p>
    <w:p w14:paraId="6320AAAA" w14:textId="044E4E53" w:rsidR="00E5135B" w:rsidRPr="00C57943" w:rsidRDefault="00E5135B" w:rsidP="00E73C04">
      <w:pPr>
        <w:pStyle w:val="BodyText"/>
        <w:spacing w:line="276" w:lineRule="auto"/>
      </w:pPr>
      <w:r w:rsidRPr="00C57943">
        <w:t xml:space="preserve">Paraguay: As a landlocked country, Paraguay’s more than 6 million people are some of the poorest in the region. Its GNI per capita is US$1,710 </w:t>
      </w:r>
      <w:r w:rsidR="00086635" w:rsidRPr="00C57943">
        <w:t xml:space="preserve">- </w:t>
      </w:r>
      <w:r w:rsidRPr="00C57943">
        <w:t>typical of a country with a low level of industrialisation. The poverty rate (people living under US$2</w:t>
      </w:r>
      <w:r w:rsidR="00086635" w:rsidRPr="00C57943">
        <w:t xml:space="preserve"> a</w:t>
      </w:r>
      <w:r w:rsidR="008E44D4" w:rsidRPr="00C57943">
        <w:t xml:space="preserve"> </w:t>
      </w:r>
      <w:r w:rsidRPr="00C57943">
        <w:t>day) is 13</w:t>
      </w:r>
      <w:r w:rsidR="00DF11CC" w:rsidRPr="00C57943">
        <w:t xml:space="preserve"> per cent</w:t>
      </w:r>
      <w:r w:rsidRPr="00C57943">
        <w:t>. Around 40</w:t>
      </w:r>
      <w:r w:rsidR="00DF11CC" w:rsidRPr="00C57943">
        <w:t xml:space="preserve"> per cent</w:t>
      </w:r>
      <w:r w:rsidRPr="00C57943">
        <w:t xml:space="preserve"> of the population lives in rural areas and </w:t>
      </w:r>
      <w:r w:rsidR="008E44D4" w:rsidRPr="00C57943">
        <w:t xml:space="preserve">they rely </w:t>
      </w:r>
      <w:r w:rsidRPr="00C57943">
        <w:t xml:space="preserve">heavily on agriculture. While high commodity prices </w:t>
      </w:r>
      <w:r w:rsidR="00086635" w:rsidRPr="00C57943">
        <w:t xml:space="preserve">have </w:t>
      </w:r>
      <w:r w:rsidRPr="00C57943">
        <w:t>allowed strong economic growth, Paraguay remains susceptible</w:t>
      </w:r>
      <w:r w:rsidR="00086635" w:rsidRPr="00C57943">
        <w:t xml:space="preserve"> to</w:t>
      </w:r>
      <w:r w:rsidRPr="00C57943">
        <w:t xml:space="preserve"> external economic volatility and climatic factors. Significantly high poverty, unemployment and population growth threaten its sustainable development. The poorest 40</w:t>
      </w:r>
      <w:r w:rsidR="00DF11CC" w:rsidRPr="00C57943">
        <w:t xml:space="preserve"> per cent</w:t>
      </w:r>
      <w:r w:rsidRPr="00C57943">
        <w:t xml:space="preserve"> are mainly from rural areas and receive around 10</w:t>
      </w:r>
      <w:r w:rsidR="00F37EC5" w:rsidRPr="00C57943">
        <w:t xml:space="preserve"> per cent</w:t>
      </w:r>
      <w:r w:rsidRPr="00C57943">
        <w:t xml:space="preserve"> of the income</w:t>
      </w:r>
      <w:r w:rsidR="00F37EC5" w:rsidRPr="00C57943">
        <w:t>, while the richest 10 per cent</w:t>
      </w:r>
      <w:r w:rsidRPr="00C57943">
        <w:t xml:space="preserve"> receive over 4</w:t>
      </w:r>
      <w:r w:rsidR="00DF11CC" w:rsidRPr="00C57943">
        <w:t xml:space="preserve"> per cent</w:t>
      </w:r>
      <w:r w:rsidRPr="00C57943">
        <w:t xml:space="preserve">. </w:t>
      </w:r>
    </w:p>
    <w:p w14:paraId="70DF9C5F" w14:textId="6990289F" w:rsidR="00E5135B" w:rsidRPr="00C57943" w:rsidRDefault="00E5135B" w:rsidP="00E73C04">
      <w:pPr>
        <w:pStyle w:val="BodyText"/>
        <w:spacing w:line="276" w:lineRule="auto"/>
      </w:pPr>
      <w:r w:rsidRPr="00C57943">
        <w:t xml:space="preserve">Peru: </w:t>
      </w:r>
      <w:r w:rsidR="00086635" w:rsidRPr="00C57943">
        <w:t>W</w:t>
      </w:r>
      <w:r w:rsidRPr="00C57943">
        <w:t>ith population of nearly 30 million</w:t>
      </w:r>
      <w:r w:rsidR="00086635" w:rsidRPr="00C57943">
        <w:t>, Peru</w:t>
      </w:r>
      <w:r w:rsidRPr="00C57943">
        <w:t xml:space="preserve"> has a strong record of poverty reduction over the years 2004 to 2007, mainly as a result of political stability and strong economic growth based on its substantial resources (</w:t>
      </w:r>
      <w:r w:rsidR="00086635" w:rsidRPr="00C57943">
        <w:t xml:space="preserve">it is </w:t>
      </w:r>
      <w:r w:rsidRPr="00C57943">
        <w:t xml:space="preserve">one of the largest mineral producers in the world). It </w:t>
      </w:r>
      <w:r w:rsidR="00086635" w:rsidRPr="00C57943">
        <w:t xml:space="preserve">also </w:t>
      </w:r>
      <w:r w:rsidRPr="00C57943">
        <w:t>has one of</w:t>
      </w:r>
      <w:r w:rsidR="00086635" w:rsidRPr="00C57943">
        <w:t xml:space="preserve"> the world’s</w:t>
      </w:r>
      <w:r w:rsidRPr="00C57943">
        <w:t xml:space="preserve"> highest levels of biodiversity (plants, animals and fisheries). Poverty declined sharply in the previous decade although this was uneven and a high proportion of Peruvians remain poor. Peru has high rural poverty.</w:t>
      </w:r>
    </w:p>
    <w:p w14:paraId="2A497125" w14:textId="7803B2A9" w:rsidR="00D81143" w:rsidRPr="00C57943" w:rsidRDefault="00E5135B" w:rsidP="00E73C04">
      <w:pPr>
        <w:spacing w:line="276" w:lineRule="auto"/>
        <w:rPr>
          <w:rFonts w:ascii="Georgia" w:hAnsi="Georgia"/>
          <w:noProof/>
          <w:sz w:val="19"/>
          <w:szCs w:val="19"/>
        </w:rPr>
      </w:pPr>
      <w:r w:rsidRPr="00C57943">
        <w:rPr>
          <w:rFonts w:ascii="Georgia" w:hAnsi="Georgia"/>
          <w:sz w:val="19"/>
          <w:szCs w:val="19"/>
        </w:rPr>
        <w:t xml:space="preserve"> Central America: The low income countries of Central America (in addition to Bolivia) are the poorest in all of Latin America</w:t>
      </w:r>
      <w:r w:rsidR="00723200" w:rsidRPr="00C57943">
        <w:rPr>
          <w:rFonts w:ascii="Georgia" w:hAnsi="Georgia"/>
          <w:sz w:val="19"/>
          <w:szCs w:val="19"/>
        </w:rPr>
        <w:t>,</w:t>
      </w:r>
      <w:r w:rsidRPr="00C57943">
        <w:rPr>
          <w:rFonts w:ascii="Georgia" w:hAnsi="Georgia"/>
          <w:sz w:val="19"/>
          <w:szCs w:val="19"/>
        </w:rPr>
        <w:t xml:space="preserve"> with extremely low GNI per capita in Guatemala (US$2,650), Nicaragua (US$1,000) and Honduras (US$1,800) compared to Brazil, Chile or Mexico (at nearly US$9,000). They are followed closely by El Salvador. Three of these countries (Guatemala, Honduras and Nicaragua) also have the lowest human development indicators in the region. They also have some of</w:t>
      </w:r>
      <w:r w:rsidR="00723200" w:rsidRPr="00C57943">
        <w:rPr>
          <w:rFonts w:ascii="Georgia" w:hAnsi="Georgia"/>
          <w:sz w:val="19"/>
          <w:szCs w:val="19"/>
        </w:rPr>
        <w:t xml:space="preserve"> the</w:t>
      </w:r>
      <w:r w:rsidRPr="00C57943">
        <w:rPr>
          <w:rFonts w:ascii="Georgia" w:hAnsi="Georgia"/>
          <w:sz w:val="19"/>
          <w:szCs w:val="19"/>
        </w:rPr>
        <w:t xml:space="preserve"> highest income inequality, particularly in rural regions and have been slowly recovering from long term conflict. </w:t>
      </w:r>
      <w:r w:rsidR="00723200" w:rsidRPr="00C57943">
        <w:rPr>
          <w:rFonts w:ascii="Georgia" w:hAnsi="Georgia"/>
          <w:sz w:val="19"/>
          <w:szCs w:val="19"/>
        </w:rPr>
        <w:t>P</w:t>
      </w:r>
      <w:r w:rsidRPr="00C57943">
        <w:rPr>
          <w:rFonts w:ascii="Georgia" w:hAnsi="Georgia"/>
          <w:sz w:val="19"/>
          <w:szCs w:val="19"/>
        </w:rPr>
        <w:t xml:space="preserve">opulations in Nicaragua, Honduras and El Salvador are small </w:t>
      </w:r>
      <w:r w:rsidR="00723200" w:rsidRPr="00C57943">
        <w:rPr>
          <w:rFonts w:ascii="Georgia" w:hAnsi="Georgia"/>
          <w:sz w:val="19"/>
          <w:szCs w:val="19"/>
        </w:rPr>
        <w:t>(</w:t>
      </w:r>
      <w:r w:rsidRPr="00C57943">
        <w:rPr>
          <w:rFonts w:ascii="Georgia" w:hAnsi="Georgia"/>
          <w:sz w:val="19"/>
          <w:szCs w:val="19"/>
        </w:rPr>
        <w:t>ranging from 5</w:t>
      </w:r>
      <w:r w:rsidR="00723200" w:rsidRPr="00C57943">
        <w:rPr>
          <w:rFonts w:ascii="Georgia" w:hAnsi="Georgia"/>
          <w:sz w:val="19"/>
          <w:szCs w:val="19"/>
        </w:rPr>
        <w:t xml:space="preserve"> to</w:t>
      </w:r>
      <w:r w:rsidRPr="00C57943">
        <w:rPr>
          <w:rFonts w:ascii="Georgia" w:hAnsi="Georgia"/>
          <w:sz w:val="19"/>
          <w:szCs w:val="19"/>
        </w:rPr>
        <w:t>8 million</w:t>
      </w:r>
      <w:r w:rsidR="00723200" w:rsidRPr="00C57943">
        <w:rPr>
          <w:rFonts w:ascii="Georgia" w:hAnsi="Georgia"/>
          <w:sz w:val="19"/>
          <w:szCs w:val="19"/>
        </w:rPr>
        <w:t>), although Guatemala is larger (14 million),</w:t>
      </w:r>
      <w:r w:rsidRPr="00C57943">
        <w:rPr>
          <w:rFonts w:ascii="Georgia" w:hAnsi="Georgia"/>
          <w:sz w:val="19"/>
          <w:szCs w:val="19"/>
        </w:rPr>
        <w:t xml:space="preserve"> but they all have high poverty rates. These countries also are extremely vulnerable to frequent natural disasters and climatic changes such as floods, droughts and storms. </w:t>
      </w:r>
    </w:p>
    <w:sectPr w:rsidR="00D81143" w:rsidRPr="00C57943" w:rsidSect="00A960E9">
      <w:headerReference w:type="even" r:id="rId23"/>
      <w:footerReference w:type="even" r:id="rId24"/>
      <w:footerReference w:type="default" r:id="rId25"/>
      <w:endnotePr>
        <w:numFmt w:val="decimal"/>
      </w:endnotePr>
      <w:pgSz w:w="11907" w:h="16840" w:code="9"/>
      <w:pgMar w:top="2381" w:right="1474" w:bottom="851" w:left="147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97140" w14:textId="77777777" w:rsidR="00567822" w:rsidRDefault="00567822">
      <w:r>
        <w:separator/>
      </w:r>
    </w:p>
  </w:endnote>
  <w:endnote w:type="continuationSeparator" w:id="0">
    <w:p w14:paraId="2A497141" w14:textId="77777777" w:rsidR="00567822" w:rsidRDefault="0056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80381" w14:textId="77777777" w:rsidR="00BA0CCA" w:rsidRDefault="00BA0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EB9DD" w14:textId="77777777" w:rsidR="00BA0CCA" w:rsidRDefault="00BA0C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E01" w14:textId="77777777" w:rsidR="00BA0CCA" w:rsidRDefault="00BA0C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7144" w14:textId="77777777" w:rsidR="00567822" w:rsidRPr="00AD612A" w:rsidRDefault="0056782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tab/>
    </w:r>
    <w:r w:rsidRPr="007A2D4A">
      <w:rPr>
        <w:color w:val="99988B"/>
      </w:rPr>
      <w:t>www.ausaid.gov.au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7145" w14:textId="77777777" w:rsidR="00567822" w:rsidRPr="001260C2" w:rsidRDefault="00567822" w:rsidP="00A960E9">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D26C97">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9713E" w14:textId="77777777" w:rsidR="00567822" w:rsidRDefault="00567822">
      <w:r>
        <w:separator/>
      </w:r>
    </w:p>
  </w:footnote>
  <w:footnote w:type="continuationSeparator" w:id="0">
    <w:p w14:paraId="2A49713F" w14:textId="77777777" w:rsidR="00567822" w:rsidRDefault="00567822">
      <w:r>
        <w:continuationSeparator/>
      </w:r>
    </w:p>
  </w:footnote>
  <w:footnote w:id="1">
    <w:p w14:paraId="294A5B97" w14:textId="1FF10383" w:rsidR="00567822" w:rsidRPr="00B52F38" w:rsidRDefault="00567822" w:rsidP="0038527C">
      <w:pPr>
        <w:pStyle w:val="FootnoteText"/>
        <w:rPr>
          <w:rFonts w:ascii="Georgia" w:hAnsi="Georgia"/>
          <w:sz w:val="16"/>
          <w:szCs w:val="16"/>
        </w:rPr>
      </w:pPr>
      <w:r w:rsidRPr="00B52F38">
        <w:rPr>
          <w:rStyle w:val="FootnoteReference"/>
          <w:rFonts w:ascii="Georgia" w:hAnsi="Georgia"/>
          <w:sz w:val="16"/>
          <w:szCs w:val="16"/>
        </w:rPr>
        <w:footnoteRef/>
      </w:r>
      <w:r w:rsidRPr="00B52F38">
        <w:rPr>
          <w:rFonts w:ascii="Georgia" w:hAnsi="Georgia"/>
          <w:sz w:val="16"/>
          <w:szCs w:val="16"/>
        </w:rPr>
        <w:t xml:space="preserve"> There are 17 Latin America countries supported by AusAID: Argentina, Bolivia, Brazil, Chile, Colombia, Costa Rica, Ecuador, El Salvador, Guatemala, Honduras, Mexico, Nicaragua, Panama, Paraguay, Peru, Uruguay and Venezuela.</w:t>
      </w:r>
    </w:p>
  </w:footnote>
  <w:footnote w:id="2">
    <w:p w14:paraId="55F26549" w14:textId="77777777" w:rsidR="00567822" w:rsidRPr="00B52F38" w:rsidRDefault="00567822" w:rsidP="00FE2F90">
      <w:pPr>
        <w:rPr>
          <w:rFonts w:ascii="Georgia" w:hAnsi="Georgia"/>
          <w:sz w:val="16"/>
          <w:szCs w:val="16"/>
        </w:rPr>
      </w:pPr>
      <w:r w:rsidRPr="00B52F38">
        <w:rPr>
          <w:rStyle w:val="FootnoteReference"/>
          <w:rFonts w:ascii="Georgia" w:eastAsiaTheme="minorEastAsia" w:hAnsi="Georgia" w:cstheme="minorBidi"/>
          <w:sz w:val="16"/>
          <w:szCs w:val="16"/>
        </w:rPr>
        <w:footnoteRef/>
      </w:r>
      <w:r w:rsidRPr="00B52F38">
        <w:rPr>
          <w:rFonts w:ascii="Georgia" w:hAnsi="Georgia"/>
          <w:sz w:val="16"/>
          <w:szCs w:val="16"/>
        </w:rPr>
        <w:t xml:space="preserve"> The statistics provided in the table below for the countries listed above and the statistics for non-target countries listed at Appendix 1 show the comparative needs of the selected countries at a macro level. </w:t>
      </w:r>
    </w:p>
  </w:footnote>
  <w:footnote w:id="3">
    <w:p w14:paraId="649EA2A1" w14:textId="028C9B88" w:rsidR="00567822" w:rsidRPr="00B52F38" w:rsidRDefault="00567822" w:rsidP="0038527C">
      <w:pPr>
        <w:pStyle w:val="FootnoteText"/>
        <w:rPr>
          <w:rFonts w:ascii="Georgia" w:hAnsi="Georgia"/>
          <w:sz w:val="16"/>
          <w:szCs w:val="16"/>
          <w:u w:val="single"/>
        </w:rPr>
      </w:pPr>
      <w:r w:rsidRPr="00B52F38">
        <w:rPr>
          <w:rStyle w:val="FootnoteReference"/>
          <w:rFonts w:ascii="Georgia" w:hAnsi="Georgia"/>
          <w:sz w:val="16"/>
          <w:szCs w:val="16"/>
        </w:rPr>
        <w:footnoteRef/>
      </w:r>
      <w:r w:rsidRPr="00B52F38">
        <w:rPr>
          <w:rFonts w:ascii="Georgia" w:hAnsi="Georgia"/>
          <w:sz w:val="16"/>
          <w:szCs w:val="16"/>
        </w:rPr>
        <w:t xml:space="preserve"> United Nations Development Program 2011, </w:t>
      </w:r>
      <w:r w:rsidRPr="00B52F38">
        <w:rPr>
          <w:rFonts w:ascii="Georgia" w:hAnsi="Georgia"/>
          <w:i/>
          <w:sz w:val="16"/>
          <w:szCs w:val="16"/>
        </w:rPr>
        <w:t>Human Development Report 2011 Multidimensional Poverty Index</w:t>
      </w:r>
      <w:r w:rsidRPr="00B52F38">
        <w:rPr>
          <w:rFonts w:ascii="Georgia" w:hAnsi="Georgia"/>
          <w:sz w:val="16"/>
          <w:szCs w:val="16"/>
        </w:rPr>
        <w:t xml:space="preserve">. Accessed 19 September 2012.  </w:t>
      </w:r>
      <w:hyperlink r:id="rId1" w:history="1">
        <w:r w:rsidRPr="00B52F38">
          <w:rPr>
            <w:rStyle w:val="Hyperlink"/>
            <w:rFonts w:ascii="Georgia" w:hAnsi="Georgia"/>
            <w:color w:val="auto"/>
            <w:sz w:val="16"/>
            <w:szCs w:val="16"/>
          </w:rPr>
          <w:t>http://hdr.undp.org/en/statistics/mpi/</w:t>
        </w:r>
      </w:hyperlink>
    </w:p>
  </w:footnote>
  <w:footnote w:id="4">
    <w:p w14:paraId="72A2D6FA" w14:textId="67376022" w:rsidR="00567822" w:rsidRPr="00B52F38" w:rsidRDefault="00567822" w:rsidP="0038527C">
      <w:pPr>
        <w:pStyle w:val="FootnoteText"/>
        <w:rPr>
          <w:rFonts w:ascii="Georgia" w:hAnsi="Georgia"/>
          <w:sz w:val="16"/>
          <w:szCs w:val="16"/>
        </w:rPr>
      </w:pPr>
      <w:r w:rsidRPr="00B52F38">
        <w:rPr>
          <w:rStyle w:val="FootnoteReference"/>
          <w:rFonts w:ascii="Georgia" w:hAnsi="Georgia"/>
          <w:sz w:val="16"/>
          <w:szCs w:val="16"/>
        </w:rPr>
        <w:footnoteRef/>
      </w:r>
      <w:r w:rsidRPr="00B52F38">
        <w:rPr>
          <w:rFonts w:ascii="Georgia" w:hAnsi="Georgia"/>
          <w:sz w:val="16"/>
          <w:szCs w:val="16"/>
        </w:rPr>
        <w:t xml:space="preserve"> United Nations Development Program 2010, “Regional Human Development Report for Latin America and the Caribbean 2010”, United Nations Development Program, New York, p.37</w:t>
      </w:r>
    </w:p>
  </w:footnote>
  <w:footnote w:id="5">
    <w:p w14:paraId="5A476291" w14:textId="526FED3E" w:rsidR="00567822" w:rsidRPr="00B52F38" w:rsidRDefault="00567822" w:rsidP="0038527C">
      <w:pPr>
        <w:pStyle w:val="FootnoteText"/>
        <w:rPr>
          <w:rFonts w:ascii="Georgia" w:hAnsi="Georgia"/>
          <w:sz w:val="16"/>
          <w:szCs w:val="16"/>
        </w:rPr>
      </w:pPr>
      <w:r w:rsidRPr="00B52F38">
        <w:rPr>
          <w:rStyle w:val="FootnoteReference"/>
          <w:rFonts w:ascii="Georgia" w:hAnsi="Georgia"/>
          <w:sz w:val="16"/>
          <w:szCs w:val="16"/>
        </w:rPr>
        <w:footnoteRef/>
      </w:r>
      <w:r w:rsidRPr="00B52F38">
        <w:rPr>
          <w:rFonts w:ascii="Georgia" w:hAnsi="Georgia"/>
          <w:sz w:val="16"/>
          <w:szCs w:val="16"/>
        </w:rPr>
        <w:t xml:space="preserve"> The top most unequal countries, as measured by the </w:t>
      </w:r>
      <w:proofErr w:type="spellStart"/>
      <w:r w:rsidRPr="00B52F38">
        <w:rPr>
          <w:rFonts w:ascii="Georgia" w:hAnsi="Georgia"/>
          <w:sz w:val="16"/>
          <w:szCs w:val="16"/>
        </w:rPr>
        <w:t>Gini</w:t>
      </w:r>
      <w:proofErr w:type="spellEnd"/>
      <w:r w:rsidRPr="00B52F38">
        <w:rPr>
          <w:rFonts w:ascii="Georgia" w:hAnsi="Georgia"/>
          <w:sz w:val="16"/>
          <w:szCs w:val="16"/>
        </w:rPr>
        <w:t xml:space="preserve"> coefficient, are Colombia, Bolivia, Brazil, Honduras and Panama. Source: World Bank, World Development Indicators 2009</w:t>
      </w:r>
    </w:p>
  </w:footnote>
  <w:footnote w:id="6">
    <w:p w14:paraId="5B56D7DF" w14:textId="2AED3BCA" w:rsidR="00567822" w:rsidRPr="00B52F38" w:rsidRDefault="00567822" w:rsidP="0038527C">
      <w:pPr>
        <w:pStyle w:val="FootnoteText"/>
        <w:rPr>
          <w:rFonts w:ascii="Georgia" w:hAnsi="Georgia"/>
          <w:sz w:val="16"/>
          <w:szCs w:val="16"/>
          <w:lang w:val="en"/>
        </w:rPr>
      </w:pPr>
      <w:r w:rsidRPr="00B52F38">
        <w:rPr>
          <w:rStyle w:val="FootnoteReference"/>
          <w:rFonts w:ascii="Georgia" w:hAnsi="Georgia"/>
          <w:sz w:val="16"/>
          <w:szCs w:val="16"/>
        </w:rPr>
        <w:footnoteRef/>
      </w:r>
      <w:r w:rsidRPr="00B52F38">
        <w:rPr>
          <w:rFonts w:ascii="Georgia" w:hAnsi="Georgia"/>
          <w:sz w:val="16"/>
          <w:szCs w:val="16"/>
        </w:rPr>
        <w:t xml:space="preserve"> Organisation for Economic Cooperation and Development 2011, “</w:t>
      </w:r>
      <w:r w:rsidRPr="00B52F38">
        <w:rPr>
          <w:rFonts w:ascii="Georgia" w:hAnsi="Georgia"/>
          <w:sz w:val="16"/>
          <w:szCs w:val="16"/>
          <w:lang w:val="en"/>
        </w:rPr>
        <w:t xml:space="preserve">Latin American Economic Outlook 2012: Transforming the State for Development”, Asuncion, Paraguay, accessed 19 February 2013. </w:t>
      </w:r>
      <w:hyperlink r:id="rId2" w:history="1">
        <w:r w:rsidRPr="00B52F38">
          <w:rPr>
            <w:rStyle w:val="Hyperlink"/>
            <w:rFonts w:ascii="Georgia" w:hAnsi="Georgia"/>
            <w:color w:val="auto"/>
            <w:sz w:val="16"/>
            <w:szCs w:val="16"/>
            <w:lang w:val="en"/>
          </w:rPr>
          <w:t>http://www.oecd.org/dev/latinamericaneconomicoutlook2012transformingthestatefordevelopment-asuncionparaguay-28october2011.htm</w:t>
        </w:r>
      </w:hyperlink>
      <w:r w:rsidRPr="00B52F38">
        <w:rPr>
          <w:rFonts w:ascii="Georgia" w:hAnsi="Georgia"/>
          <w:sz w:val="16"/>
          <w:szCs w:val="16"/>
          <w:lang w:val="en"/>
        </w:rPr>
        <w:t xml:space="preserve">  </w:t>
      </w:r>
    </w:p>
  </w:footnote>
  <w:footnote w:id="7">
    <w:p w14:paraId="5D8AE2B8" w14:textId="6A1B8D2C" w:rsidR="00567822" w:rsidRPr="00B52F38" w:rsidRDefault="00567822" w:rsidP="0038527C">
      <w:pPr>
        <w:pStyle w:val="FootnoteText"/>
        <w:rPr>
          <w:rFonts w:ascii="Georgia" w:hAnsi="Georgia"/>
          <w:bCs/>
          <w:sz w:val="16"/>
          <w:szCs w:val="16"/>
          <w:lang w:val="en"/>
        </w:rPr>
      </w:pPr>
      <w:r w:rsidRPr="00B52F38">
        <w:rPr>
          <w:rStyle w:val="FootnoteReference"/>
          <w:rFonts w:ascii="Georgia" w:hAnsi="Georgia"/>
          <w:sz w:val="16"/>
          <w:szCs w:val="16"/>
        </w:rPr>
        <w:footnoteRef/>
      </w:r>
      <w:r w:rsidRPr="00B52F38">
        <w:rPr>
          <w:rFonts w:ascii="Georgia" w:hAnsi="Georgia"/>
          <w:sz w:val="16"/>
          <w:szCs w:val="16"/>
        </w:rPr>
        <w:t xml:space="preserve"> </w:t>
      </w:r>
      <w:r w:rsidRPr="00B52F38">
        <w:rPr>
          <w:rFonts w:ascii="Georgia" w:hAnsi="Georgia"/>
          <w:sz w:val="16"/>
          <w:szCs w:val="16"/>
          <w:lang w:val="en"/>
        </w:rPr>
        <w:t xml:space="preserve">de Ferranti, D. and </w:t>
      </w:r>
      <w:proofErr w:type="spellStart"/>
      <w:r w:rsidRPr="00B52F38">
        <w:rPr>
          <w:rFonts w:ascii="Georgia" w:hAnsi="Georgia"/>
          <w:sz w:val="16"/>
          <w:szCs w:val="16"/>
          <w:lang w:val="en"/>
        </w:rPr>
        <w:t>Ody</w:t>
      </w:r>
      <w:proofErr w:type="spellEnd"/>
      <w:r w:rsidRPr="00B52F38">
        <w:rPr>
          <w:rFonts w:ascii="Georgia" w:hAnsi="Georgia"/>
          <w:sz w:val="16"/>
          <w:szCs w:val="16"/>
          <w:lang w:val="en"/>
        </w:rPr>
        <w:t>,</w:t>
      </w:r>
      <w:r w:rsidRPr="00B52F38">
        <w:rPr>
          <w:rFonts w:ascii="Georgia" w:hAnsi="Georgia"/>
          <w:bCs/>
          <w:sz w:val="16"/>
          <w:szCs w:val="16"/>
          <w:lang w:val="en"/>
        </w:rPr>
        <w:t xml:space="preserve"> </w:t>
      </w:r>
      <w:r w:rsidRPr="00B52F38">
        <w:rPr>
          <w:rFonts w:ascii="Georgia" w:hAnsi="Georgia"/>
          <w:sz w:val="16"/>
          <w:szCs w:val="16"/>
          <w:lang w:val="en"/>
        </w:rPr>
        <w:t>A.J 2009, “</w:t>
      </w:r>
      <w:r w:rsidRPr="00B52F38">
        <w:rPr>
          <w:rFonts w:ascii="Georgia" w:hAnsi="Georgia"/>
          <w:bCs/>
          <w:i/>
          <w:sz w:val="16"/>
          <w:szCs w:val="16"/>
          <w:lang w:val="en"/>
        </w:rPr>
        <w:t>Key Economic and Social Challenges for Latin America: Perspectives from Recent Studies</w:t>
      </w:r>
      <w:r w:rsidRPr="00B52F38">
        <w:rPr>
          <w:rFonts w:ascii="Georgia" w:hAnsi="Georgia"/>
          <w:bCs/>
          <w:sz w:val="16"/>
          <w:szCs w:val="16"/>
          <w:lang w:val="en"/>
        </w:rPr>
        <w:t xml:space="preserve">”, accessed 19 February 2013. </w:t>
      </w:r>
      <w:hyperlink r:id="rId3" w:history="1">
        <w:r w:rsidRPr="00B52F38">
          <w:rPr>
            <w:rStyle w:val="Hyperlink"/>
            <w:rFonts w:ascii="Georgia" w:hAnsi="Georgia"/>
            <w:bCs/>
            <w:color w:val="auto"/>
            <w:sz w:val="16"/>
            <w:szCs w:val="16"/>
            <w:lang w:val="en"/>
          </w:rPr>
          <w:t>http://www.brookings.edu/research/papers/2006/08/globaleconomics-ferranti</w:t>
        </w:r>
      </w:hyperlink>
      <w:r w:rsidRPr="00B52F38">
        <w:rPr>
          <w:rFonts w:ascii="Georgia" w:hAnsi="Georgia"/>
          <w:bCs/>
          <w:sz w:val="16"/>
          <w:szCs w:val="16"/>
          <w:lang w:val="en"/>
        </w:rPr>
        <w:t xml:space="preserve"> </w:t>
      </w:r>
    </w:p>
  </w:footnote>
  <w:footnote w:id="8">
    <w:p w14:paraId="74821BB5" w14:textId="3E03B431" w:rsidR="00567822" w:rsidRPr="00B52F38" w:rsidRDefault="00567822" w:rsidP="0038527C">
      <w:pPr>
        <w:pStyle w:val="FootnoteText"/>
        <w:rPr>
          <w:rFonts w:ascii="Georgia" w:hAnsi="Georgia"/>
          <w:sz w:val="16"/>
          <w:szCs w:val="16"/>
        </w:rPr>
      </w:pPr>
      <w:r w:rsidRPr="00B52F38">
        <w:rPr>
          <w:rStyle w:val="FootnoteReference"/>
          <w:rFonts w:ascii="Georgia" w:hAnsi="Georgia"/>
          <w:sz w:val="16"/>
          <w:szCs w:val="16"/>
        </w:rPr>
        <w:footnoteRef/>
      </w:r>
      <w:r w:rsidRPr="00B52F38">
        <w:rPr>
          <w:rFonts w:ascii="Georgia" w:hAnsi="Georgia"/>
          <w:sz w:val="16"/>
          <w:szCs w:val="16"/>
        </w:rPr>
        <w:t xml:space="preserve"> This figure is based on statistics provided in the DFAT country briefs (internet) on the 17 countries supported by AusAID, accessed 15 August 2012</w:t>
      </w:r>
    </w:p>
  </w:footnote>
  <w:footnote w:id="9">
    <w:p w14:paraId="1B0D57D3" w14:textId="2F248229" w:rsidR="00567822" w:rsidRPr="00B52F38" w:rsidRDefault="00567822" w:rsidP="0038527C">
      <w:pPr>
        <w:pStyle w:val="FootnoteText"/>
        <w:rPr>
          <w:rFonts w:ascii="Georgia" w:hAnsi="Georgia"/>
          <w:sz w:val="16"/>
          <w:szCs w:val="16"/>
        </w:rPr>
      </w:pPr>
      <w:r w:rsidRPr="00B52F38">
        <w:rPr>
          <w:rStyle w:val="FootnoteReference"/>
          <w:rFonts w:ascii="Georgia" w:hAnsi="Georgia"/>
          <w:sz w:val="16"/>
          <w:szCs w:val="16"/>
        </w:rPr>
        <w:footnoteRef/>
      </w:r>
      <w:r w:rsidRPr="00B52F38">
        <w:rPr>
          <w:rFonts w:ascii="Georgia" w:hAnsi="Georgia"/>
          <w:sz w:val="16"/>
          <w:szCs w:val="16"/>
        </w:rPr>
        <w:t xml:space="preserve"> This figure is based on statistics provided in the DFAT country briefs (internet) on the 17 countries supported by AusAID, accessed 15 August 2012</w:t>
      </w:r>
    </w:p>
  </w:footnote>
  <w:footnote w:id="10">
    <w:p w14:paraId="0FBDE923" w14:textId="26A227E0" w:rsidR="00567822" w:rsidRPr="00B52F38" w:rsidRDefault="00567822" w:rsidP="004A1A77">
      <w:pPr>
        <w:pStyle w:val="FootnoteText"/>
        <w:rPr>
          <w:rFonts w:ascii="Georgia" w:hAnsi="Georgia"/>
          <w:sz w:val="16"/>
          <w:szCs w:val="16"/>
        </w:rPr>
      </w:pPr>
      <w:r w:rsidRPr="00B52F38">
        <w:rPr>
          <w:rStyle w:val="FootnoteReference"/>
          <w:rFonts w:ascii="Georgia" w:hAnsi="Georgia"/>
          <w:sz w:val="16"/>
          <w:szCs w:val="16"/>
        </w:rPr>
        <w:footnoteRef/>
      </w:r>
      <w:r w:rsidRPr="00B52F38">
        <w:rPr>
          <w:rFonts w:ascii="Georgia" w:hAnsi="Georgia"/>
          <w:sz w:val="16"/>
          <w:szCs w:val="16"/>
        </w:rPr>
        <w:t xml:space="preserve"> Tourism Research Australia. 2012. “Latin America short-term visitor arrivals: the trends and outlook for Australia”. COALAR and Department of Resources, Energy and Tourism, Canberra.  Accessed 15 August 2012. </w:t>
      </w:r>
      <w:hyperlink r:id="rId4" w:history="1">
        <w:r w:rsidRPr="00B52F38">
          <w:rPr>
            <w:rStyle w:val="Hyperlink"/>
            <w:rFonts w:ascii="Georgia" w:hAnsi="Georgia"/>
            <w:color w:val="auto"/>
            <w:sz w:val="16"/>
            <w:szCs w:val="16"/>
          </w:rPr>
          <w:t>http://www.ret.gov.au/tourism/.../2012/</w:t>
        </w:r>
      </w:hyperlink>
    </w:p>
  </w:footnote>
  <w:footnote w:id="11">
    <w:p w14:paraId="5EBA986D" w14:textId="35E09311" w:rsidR="00567822" w:rsidRPr="00B52F38" w:rsidRDefault="00567822" w:rsidP="00F849EF">
      <w:pPr>
        <w:pStyle w:val="FootnoteText"/>
        <w:rPr>
          <w:rFonts w:ascii="Georgia" w:hAnsi="Georgia"/>
          <w:sz w:val="16"/>
          <w:szCs w:val="16"/>
        </w:rPr>
      </w:pPr>
      <w:r w:rsidRPr="00B52F38">
        <w:rPr>
          <w:rStyle w:val="FootnoteReference"/>
          <w:rFonts w:ascii="Georgia" w:hAnsi="Georgia"/>
          <w:sz w:val="16"/>
          <w:szCs w:val="16"/>
        </w:rPr>
        <w:footnoteRef/>
      </w:r>
      <w:r w:rsidRPr="00B52F38">
        <w:rPr>
          <w:rFonts w:ascii="Georgia" w:hAnsi="Georgia"/>
          <w:sz w:val="16"/>
          <w:szCs w:val="16"/>
        </w:rPr>
        <w:t xml:space="preserve"> AusAID Online Statistics: Latin America, accessed 19 February 2013. </w:t>
      </w:r>
      <w:hyperlink r:id="rId5" w:history="1">
        <w:r w:rsidRPr="00B52F38">
          <w:rPr>
            <w:rStyle w:val="Hyperlink"/>
            <w:rFonts w:ascii="Georgia" w:hAnsi="Georgia"/>
            <w:color w:val="auto"/>
            <w:sz w:val="16"/>
            <w:szCs w:val="16"/>
          </w:rPr>
          <w:t>http://intranet2.ausaid.gov.au/sharedsites/aso/Pages/LatinAmericanandtheCaribbean.aspx</w:t>
        </w:r>
      </w:hyperlink>
    </w:p>
  </w:footnote>
  <w:footnote w:id="12">
    <w:p w14:paraId="07853B04" w14:textId="0376D317" w:rsidR="00567822" w:rsidRPr="00D80E4B" w:rsidRDefault="00567822">
      <w:pPr>
        <w:pStyle w:val="FootnoteText"/>
        <w:rPr>
          <w:rFonts w:ascii="Times New Roman" w:hAnsi="Times New Roman"/>
          <w:u w:val="single"/>
        </w:rPr>
      </w:pPr>
      <w:r w:rsidRPr="00B52F38">
        <w:rPr>
          <w:rStyle w:val="FootnoteReference"/>
          <w:rFonts w:ascii="Georgia" w:hAnsi="Georgia"/>
          <w:sz w:val="16"/>
          <w:szCs w:val="16"/>
        </w:rPr>
        <w:footnoteRef/>
      </w:r>
      <w:r w:rsidRPr="00B52F38">
        <w:rPr>
          <w:rFonts w:ascii="Georgia" w:hAnsi="Georgia"/>
          <w:sz w:val="16"/>
          <w:szCs w:val="16"/>
        </w:rPr>
        <w:t xml:space="preserve"> AusAID Online Statistics: Latin America, accessed 19 February 2013. </w:t>
      </w:r>
      <w:hyperlink r:id="rId6" w:history="1">
        <w:r w:rsidRPr="00B52F38">
          <w:rPr>
            <w:rStyle w:val="Hyperlink"/>
            <w:rFonts w:ascii="Georgia" w:hAnsi="Georgia"/>
            <w:color w:val="auto"/>
            <w:sz w:val="16"/>
            <w:szCs w:val="16"/>
          </w:rPr>
          <w:t>http://intranet2.ausaid.gov.au/sharedsites/aso/Pages/LatinAmericanandtheCaribbean.aspx</w:t>
        </w:r>
      </w:hyperlink>
    </w:p>
  </w:footnote>
  <w:footnote w:id="13">
    <w:p w14:paraId="4B71F163" w14:textId="008CB9A7" w:rsidR="00567822" w:rsidRPr="00D80E4B" w:rsidRDefault="00567822" w:rsidP="00F849EF">
      <w:pPr>
        <w:pStyle w:val="FootnoteText"/>
        <w:rPr>
          <w:rFonts w:ascii="Georgia" w:hAnsi="Georgia"/>
          <w:sz w:val="16"/>
          <w:szCs w:val="16"/>
        </w:rPr>
      </w:pPr>
      <w:r w:rsidRPr="00D80E4B">
        <w:rPr>
          <w:rStyle w:val="FootnoteReference"/>
          <w:rFonts w:ascii="Georgia" w:hAnsi="Georgia"/>
          <w:sz w:val="16"/>
          <w:szCs w:val="16"/>
        </w:rPr>
        <w:footnoteRef/>
      </w:r>
      <w:r w:rsidRPr="00D80E4B">
        <w:rPr>
          <w:rFonts w:ascii="Georgia" w:hAnsi="Georgia"/>
          <w:sz w:val="16"/>
          <w:szCs w:val="16"/>
        </w:rPr>
        <w:t xml:space="preserve"> AusAID Online Statistics: Latin America, accessed 19 February 2013. </w:t>
      </w:r>
      <w:hyperlink r:id="rId7" w:history="1">
        <w:r w:rsidRPr="00D80E4B">
          <w:rPr>
            <w:rStyle w:val="Hyperlink"/>
            <w:rFonts w:ascii="Georgia" w:hAnsi="Georgia"/>
            <w:color w:val="auto"/>
            <w:sz w:val="16"/>
            <w:szCs w:val="16"/>
          </w:rPr>
          <w:t>http://intranet2.ausaid.gov.au/sharedsites/aso/Pages/LatinAmericanandtheCaribbean.aspx</w:t>
        </w:r>
      </w:hyperlink>
    </w:p>
  </w:footnote>
  <w:footnote w:id="14">
    <w:p w14:paraId="1C31FF8B" w14:textId="330AA51F" w:rsidR="00567822" w:rsidRPr="00D80E4B" w:rsidRDefault="00567822">
      <w:pPr>
        <w:pStyle w:val="FootnoteText"/>
        <w:rPr>
          <w:rFonts w:ascii="Georgia" w:hAnsi="Georgia"/>
          <w:sz w:val="16"/>
          <w:szCs w:val="16"/>
        </w:rPr>
      </w:pPr>
      <w:r w:rsidRPr="00D80E4B">
        <w:rPr>
          <w:rStyle w:val="FootnoteReference"/>
          <w:rFonts w:ascii="Georgia" w:hAnsi="Georgia"/>
          <w:sz w:val="16"/>
          <w:szCs w:val="16"/>
        </w:rPr>
        <w:footnoteRef/>
      </w:r>
      <w:r w:rsidRPr="00D80E4B">
        <w:rPr>
          <w:rFonts w:ascii="Georgia" w:hAnsi="Georgia"/>
          <w:sz w:val="16"/>
          <w:szCs w:val="16"/>
        </w:rPr>
        <w:t xml:space="preserve"> Bob Carr, “Budget: Australia’s International Development Assistance Program 2012-13”, </w:t>
      </w:r>
      <w:r w:rsidRPr="00D80E4B">
        <w:rPr>
          <w:rFonts w:ascii="Georgia" w:hAnsi="Georgia"/>
          <w:i/>
          <w:sz w:val="16"/>
          <w:szCs w:val="16"/>
        </w:rPr>
        <w:t>Blue Book</w:t>
      </w:r>
      <w:r w:rsidRPr="00D80E4B">
        <w:rPr>
          <w:rFonts w:ascii="Georgia" w:hAnsi="Georgia"/>
          <w:sz w:val="16"/>
          <w:szCs w:val="16"/>
        </w:rPr>
        <w:t>, Statement by Minister for Foreign Affairs, 8 May 2012</w:t>
      </w:r>
    </w:p>
  </w:footnote>
  <w:footnote w:id="15">
    <w:p w14:paraId="1F4BE66E" w14:textId="6D1BBD1A" w:rsidR="00567822" w:rsidRPr="00D80E4B" w:rsidRDefault="00567822" w:rsidP="00F849EF">
      <w:pPr>
        <w:pStyle w:val="FootnoteText"/>
        <w:rPr>
          <w:rFonts w:ascii="Georgia" w:hAnsi="Georgia"/>
          <w:sz w:val="16"/>
          <w:szCs w:val="16"/>
        </w:rPr>
      </w:pPr>
      <w:r w:rsidRPr="00D80E4B">
        <w:rPr>
          <w:rStyle w:val="FootnoteReference"/>
          <w:rFonts w:ascii="Georgia" w:hAnsi="Georgia"/>
          <w:sz w:val="16"/>
          <w:szCs w:val="16"/>
        </w:rPr>
        <w:footnoteRef/>
      </w:r>
      <w:r w:rsidRPr="00D80E4B">
        <w:rPr>
          <w:rFonts w:ascii="Georgia" w:hAnsi="Georgia"/>
          <w:sz w:val="16"/>
          <w:szCs w:val="16"/>
        </w:rPr>
        <w:t xml:space="preserve"> Australia has a strategic partnership with GIZ (Germany’s primary implementing agency) globally including in Asia, Afghanistan and Africa.</w:t>
      </w:r>
    </w:p>
  </w:footnote>
  <w:footnote w:id="16">
    <w:p w14:paraId="5334C585" w14:textId="0021EC24" w:rsidR="00567822" w:rsidRPr="00D80E4B" w:rsidRDefault="00567822">
      <w:pPr>
        <w:pStyle w:val="FootnoteText"/>
        <w:rPr>
          <w:rFonts w:ascii="Georgia" w:hAnsi="Georgia"/>
          <w:sz w:val="16"/>
          <w:szCs w:val="16"/>
        </w:rPr>
      </w:pPr>
      <w:r w:rsidRPr="00D80E4B">
        <w:rPr>
          <w:rStyle w:val="FootnoteReference"/>
          <w:rFonts w:ascii="Georgia" w:hAnsi="Georgia"/>
          <w:sz w:val="16"/>
          <w:szCs w:val="16"/>
        </w:rPr>
        <w:footnoteRef/>
      </w:r>
      <w:r w:rsidRPr="00D80E4B">
        <w:rPr>
          <w:rFonts w:ascii="Georgia" w:hAnsi="Georgia"/>
          <w:sz w:val="16"/>
          <w:szCs w:val="16"/>
        </w:rPr>
        <w:t xml:space="preserve"> “The MDGs in Latin America and the Caribbean: Employment Remains a Challenge for Poverty Reduction” </w:t>
      </w:r>
      <w:hyperlink r:id="rId8" w:history="1">
        <w:r w:rsidRPr="00D80E4B">
          <w:rPr>
            <w:rStyle w:val="Hyperlink"/>
            <w:rFonts w:ascii="Georgia" w:hAnsi="Georgia"/>
            <w:color w:val="auto"/>
            <w:sz w:val="16"/>
            <w:szCs w:val="16"/>
          </w:rPr>
          <w:t>http://www.un.org/wcm/content/site/chronicle/cache/bypass/home/archive/issues2008/partnershipfordevelopment/pid/21591?print=1</w:t>
        </w:r>
      </w:hyperlink>
      <w:r w:rsidRPr="00D80E4B">
        <w:rPr>
          <w:rFonts w:ascii="Georgia" w:hAnsi="Georgia"/>
          <w:sz w:val="16"/>
          <w:szCs w:val="16"/>
        </w:rPr>
        <w:t xml:space="preserve"> accessed 28 April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7142" w14:textId="77777777" w:rsidR="00567822" w:rsidRDefault="00567822">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8989" w14:textId="77777777" w:rsidR="00BA0CCA" w:rsidRDefault="00BA0C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78B8F" w14:textId="77777777" w:rsidR="00BA0CCA" w:rsidRDefault="00BA0C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7143" w14:textId="77777777" w:rsidR="00567822" w:rsidRDefault="00567822" w:rsidP="00A960E9">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DB5"/>
    <w:multiLevelType w:val="hybridMultilevel"/>
    <w:tmpl w:val="FAAE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4B3D61"/>
    <w:multiLevelType w:val="hybridMultilevel"/>
    <w:tmpl w:val="EFB23CB4"/>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CE4A68"/>
    <w:multiLevelType w:val="hybridMultilevel"/>
    <w:tmpl w:val="87FA1DD8"/>
    <w:lvl w:ilvl="0" w:tplc="8A9887B4">
      <w:start w:val="1"/>
      <w:numFmt w:val="bullet"/>
      <w:lvlText w:val=""/>
      <w:lvlJc w:val="left"/>
      <w:pPr>
        <w:tabs>
          <w:tab w:val="num" w:pos="360"/>
        </w:tabs>
        <w:ind w:left="360" w:hanging="360"/>
      </w:pPr>
      <w:rPr>
        <w:rFonts w:ascii="Symbol" w:hAnsi="Symbol"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861D7D"/>
    <w:multiLevelType w:val="hybridMultilevel"/>
    <w:tmpl w:val="D206E6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6122755"/>
    <w:multiLevelType w:val="hybridMultilevel"/>
    <w:tmpl w:val="538226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D403AE3"/>
    <w:multiLevelType w:val="hybridMultilevel"/>
    <w:tmpl w:val="E134162E"/>
    <w:lvl w:ilvl="0" w:tplc="4E5EC87E">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ED2DD3"/>
    <w:multiLevelType w:val="hybridMultilevel"/>
    <w:tmpl w:val="5B2AD658"/>
    <w:lvl w:ilvl="0" w:tplc="9752A1E6">
      <w:start w:val="1"/>
      <w:numFmt w:val="bullet"/>
      <w:lvlText w:val=""/>
      <w:lvlJc w:val="left"/>
      <w:pPr>
        <w:ind w:left="502" w:hanging="360"/>
      </w:pPr>
      <w:rPr>
        <w:rFonts w:ascii="Symbol" w:hAnsi="Symbol" w:hint="default"/>
        <w:b w:val="0"/>
        <w:color w:val="auto"/>
        <w:sz w:val="20"/>
        <w:szCs w:val="2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8">
    <w:nsid w:val="37CB1E71"/>
    <w:multiLevelType w:val="multilevel"/>
    <w:tmpl w:val="0FCA36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bullet"/>
      <w:lvlText w:val="-"/>
      <w:lvlJc w:val="left"/>
      <w:pPr>
        <w:tabs>
          <w:tab w:val="num" w:pos="1080"/>
        </w:tabs>
        <w:ind w:left="1080" w:hanging="360"/>
      </w:pPr>
      <w:rPr>
        <w:rFonts w:ascii="Arial" w:eastAsia="Times New Roman" w:hAnsi="Arial" w:hint="default"/>
        <w:color w:val="auto"/>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B4D3771"/>
    <w:multiLevelType w:val="hybridMultilevel"/>
    <w:tmpl w:val="62E20F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04D0184"/>
    <w:multiLevelType w:val="hybridMultilevel"/>
    <w:tmpl w:val="836E95D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4B105E08"/>
    <w:multiLevelType w:val="hybridMultilevel"/>
    <w:tmpl w:val="5DA27432"/>
    <w:lvl w:ilvl="0" w:tplc="6046EDC6">
      <w:start w:val="1"/>
      <w:numFmt w:val="bullet"/>
      <w:lvlText w:val=""/>
      <w:lvlJc w:val="left"/>
      <w:pPr>
        <w:tabs>
          <w:tab w:val="num" w:pos="360"/>
        </w:tabs>
        <w:ind w:left="360" w:hanging="360"/>
      </w:pPr>
      <w:rPr>
        <w:rFonts w:ascii="Symbol" w:hAnsi="Symbol" w:hint="default"/>
        <w:color w:val="auto"/>
      </w:rPr>
    </w:lvl>
    <w:lvl w:ilvl="1" w:tplc="5BAEA29A">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D6F37DC"/>
    <w:multiLevelType w:val="hybridMultilevel"/>
    <w:tmpl w:val="463035BA"/>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4F264CF"/>
    <w:multiLevelType w:val="multilevel"/>
    <w:tmpl w:val="5504FDB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14">
    <w:nsid w:val="66866241"/>
    <w:multiLevelType w:val="hybridMultilevel"/>
    <w:tmpl w:val="9BC43ED0"/>
    <w:lvl w:ilvl="0" w:tplc="6046EDC6">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CCE6FDF"/>
    <w:multiLevelType w:val="multilevel"/>
    <w:tmpl w:val="04EC0BE6"/>
    <w:lvl w:ilvl="0">
      <w:start w:val="1"/>
      <w:numFmt w:val="decimal"/>
      <w:lvlText w:val="%1."/>
      <w:lvlJc w:val="left"/>
      <w:pPr>
        <w:tabs>
          <w:tab w:val="num" w:pos="360"/>
        </w:tabs>
        <w:ind w:left="360" w:hanging="360"/>
      </w:pPr>
      <w:rPr>
        <w:sz w:val="20"/>
        <w:szCs w:val="20"/>
      </w:rPr>
    </w:lvl>
    <w:lvl w:ilvl="1">
      <w:start w:val="1"/>
      <w:numFmt w:val="decimal"/>
      <w:pStyle w:val="TOC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83269CB"/>
    <w:multiLevelType w:val="hybridMultilevel"/>
    <w:tmpl w:val="72D02408"/>
    <w:lvl w:ilvl="0" w:tplc="6046EDC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14"/>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num>
  <w:num w:numId="6">
    <w:abstractNumId w:val="4"/>
  </w:num>
  <w:num w:numId="7">
    <w:abstractNumId w:val="13"/>
  </w:num>
  <w:num w:numId="8">
    <w:abstractNumId w:val="13"/>
  </w:num>
  <w:num w:numId="9">
    <w:abstractNumId w:val="13"/>
  </w:num>
  <w:num w:numId="10">
    <w:abstractNumId w:val="13"/>
  </w:num>
  <w:num w:numId="11">
    <w:abstractNumId w:val="13"/>
  </w:num>
  <w:num w:numId="12">
    <w:abstractNumId w:val="10"/>
  </w:num>
  <w:num w:numId="13">
    <w:abstractNumId w:val="15"/>
  </w:num>
  <w:num w:numId="14">
    <w:abstractNumId w:val="8"/>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3"/>
  </w:num>
  <w:num w:numId="20">
    <w:abstractNumId w:val="5"/>
  </w:num>
  <w:num w:numId="21">
    <w:abstractNumId w:val="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2"/>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8A"/>
    <w:rsid w:val="0000767F"/>
    <w:rsid w:val="000079A6"/>
    <w:rsid w:val="00012A1E"/>
    <w:rsid w:val="00013755"/>
    <w:rsid w:val="00014118"/>
    <w:rsid w:val="00037675"/>
    <w:rsid w:val="000652F7"/>
    <w:rsid w:val="00066D8A"/>
    <w:rsid w:val="00066E91"/>
    <w:rsid w:val="000709E3"/>
    <w:rsid w:val="00080A45"/>
    <w:rsid w:val="00086635"/>
    <w:rsid w:val="00091024"/>
    <w:rsid w:val="000940C5"/>
    <w:rsid w:val="000A18D9"/>
    <w:rsid w:val="000A39F5"/>
    <w:rsid w:val="000A4272"/>
    <w:rsid w:val="000B1A05"/>
    <w:rsid w:val="000B462B"/>
    <w:rsid w:val="000C45FF"/>
    <w:rsid w:val="000C487C"/>
    <w:rsid w:val="000E4F86"/>
    <w:rsid w:val="000F0C06"/>
    <w:rsid w:val="000F1715"/>
    <w:rsid w:val="001114AF"/>
    <w:rsid w:val="00142F08"/>
    <w:rsid w:val="0014419C"/>
    <w:rsid w:val="00151D76"/>
    <w:rsid w:val="0016112D"/>
    <w:rsid w:val="00163499"/>
    <w:rsid w:val="00165F88"/>
    <w:rsid w:val="0017687D"/>
    <w:rsid w:val="001802A7"/>
    <w:rsid w:val="00182B54"/>
    <w:rsid w:val="001974E2"/>
    <w:rsid w:val="001A22C2"/>
    <w:rsid w:val="001B7EC7"/>
    <w:rsid w:val="001C0DD8"/>
    <w:rsid w:val="001C3645"/>
    <w:rsid w:val="001C44BF"/>
    <w:rsid w:val="001D2769"/>
    <w:rsid w:val="001E459B"/>
    <w:rsid w:val="001F518C"/>
    <w:rsid w:val="001F71A2"/>
    <w:rsid w:val="00201470"/>
    <w:rsid w:val="002023F0"/>
    <w:rsid w:val="00206FB4"/>
    <w:rsid w:val="00212ADA"/>
    <w:rsid w:val="00225506"/>
    <w:rsid w:val="00232E05"/>
    <w:rsid w:val="0026003E"/>
    <w:rsid w:val="00261A0E"/>
    <w:rsid w:val="00274F68"/>
    <w:rsid w:val="00290022"/>
    <w:rsid w:val="0029267F"/>
    <w:rsid w:val="0029320E"/>
    <w:rsid w:val="002950B9"/>
    <w:rsid w:val="002A55C3"/>
    <w:rsid w:val="002B7CCD"/>
    <w:rsid w:val="002C3A8F"/>
    <w:rsid w:val="002F0E74"/>
    <w:rsid w:val="002F468E"/>
    <w:rsid w:val="002F6D9E"/>
    <w:rsid w:val="00314566"/>
    <w:rsid w:val="00317809"/>
    <w:rsid w:val="00323C42"/>
    <w:rsid w:val="003323ED"/>
    <w:rsid w:val="003324DC"/>
    <w:rsid w:val="00340850"/>
    <w:rsid w:val="003455F9"/>
    <w:rsid w:val="003456AC"/>
    <w:rsid w:val="003473A3"/>
    <w:rsid w:val="00363137"/>
    <w:rsid w:val="00363F32"/>
    <w:rsid w:val="003830A1"/>
    <w:rsid w:val="0038527C"/>
    <w:rsid w:val="00386979"/>
    <w:rsid w:val="003A0C24"/>
    <w:rsid w:val="003B5B54"/>
    <w:rsid w:val="003C0304"/>
    <w:rsid w:val="003D0F4D"/>
    <w:rsid w:val="003E3101"/>
    <w:rsid w:val="003F6C1F"/>
    <w:rsid w:val="00403B36"/>
    <w:rsid w:val="00404276"/>
    <w:rsid w:val="00406BE9"/>
    <w:rsid w:val="00407E40"/>
    <w:rsid w:val="00416566"/>
    <w:rsid w:val="004206CA"/>
    <w:rsid w:val="004235B8"/>
    <w:rsid w:val="004258E3"/>
    <w:rsid w:val="00426626"/>
    <w:rsid w:val="00427297"/>
    <w:rsid w:val="00431978"/>
    <w:rsid w:val="00441C4B"/>
    <w:rsid w:val="00451A07"/>
    <w:rsid w:val="00452FC2"/>
    <w:rsid w:val="00472000"/>
    <w:rsid w:val="004749D7"/>
    <w:rsid w:val="00480B83"/>
    <w:rsid w:val="00482C7E"/>
    <w:rsid w:val="004A1A77"/>
    <w:rsid w:val="004A7715"/>
    <w:rsid w:val="004B36AB"/>
    <w:rsid w:val="004B4FF9"/>
    <w:rsid w:val="004B6569"/>
    <w:rsid w:val="004C0D76"/>
    <w:rsid w:val="004C6E1A"/>
    <w:rsid w:val="004D1D53"/>
    <w:rsid w:val="004D7C1C"/>
    <w:rsid w:val="004E510F"/>
    <w:rsid w:val="004F7B2E"/>
    <w:rsid w:val="00511864"/>
    <w:rsid w:val="00515342"/>
    <w:rsid w:val="005212AE"/>
    <w:rsid w:val="00526E35"/>
    <w:rsid w:val="00535232"/>
    <w:rsid w:val="0054594C"/>
    <w:rsid w:val="00554842"/>
    <w:rsid w:val="005600C0"/>
    <w:rsid w:val="00567822"/>
    <w:rsid w:val="00567BD5"/>
    <w:rsid w:val="005707B8"/>
    <w:rsid w:val="00581BE8"/>
    <w:rsid w:val="005A1CEC"/>
    <w:rsid w:val="005D0850"/>
    <w:rsid w:val="005E63F3"/>
    <w:rsid w:val="005F0BCE"/>
    <w:rsid w:val="0060086A"/>
    <w:rsid w:val="0060759A"/>
    <w:rsid w:val="006101B7"/>
    <w:rsid w:val="00610E9C"/>
    <w:rsid w:val="006119CF"/>
    <w:rsid w:val="006145D5"/>
    <w:rsid w:val="006146D5"/>
    <w:rsid w:val="00614ABA"/>
    <w:rsid w:val="00616803"/>
    <w:rsid w:val="00635803"/>
    <w:rsid w:val="00661BAD"/>
    <w:rsid w:val="00666046"/>
    <w:rsid w:val="00670916"/>
    <w:rsid w:val="00675416"/>
    <w:rsid w:val="006838A3"/>
    <w:rsid w:val="00691683"/>
    <w:rsid w:val="00691BE7"/>
    <w:rsid w:val="0069313F"/>
    <w:rsid w:val="00696741"/>
    <w:rsid w:val="006A0A2C"/>
    <w:rsid w:val="006B77C1"/>
    <w:rsid w:val="006C0F33"/>
    <w:rsid w:val="006C4329"/>
    <w:rsid w:val="006C72C1"/>
    <w:rsid w:val="006E46CC"/>
    <w:rsid w:val="00704DF2"/>
    <w:rsid w:val="007175DB"/>
    <w:rsid w:val="00723200"/>
    <w:rsid w:val="007264E3"/>
    <w:rsid w:val="0074150D"/>
    <w:rsid w:val="0074299F"/>
    <w:rsid w:val="00744751"/>
    <w:rsid w:val="007453D7"/>
    <w:rsid w:val="007468DC"/>
    <w:rsid w:val="00753F7F"/>
    <w:rsid w:val="007621AF"/>
    <w:rsid w:val="00765BF4"/>
    <w:rsid w:val="00792D06"/>
    <w:rsid w:val="007A0497"/>
    <w:rsid w:val="007A3DC2"/>
    <w:rsid w:val="007A4ABE"/>
    <w:rsid w:val="007B0173"/>
    <w:rsid w:val="007B3E91"/>
    <w:rsid w:val="007D33B7"/>
    <w:rsid w:val="007D465A"/>
    <w:rsid w:val="007E3C56"/>
    <w:rsid w:val="00801CD7"/>
    <w:rsid w:val="00802587"/>
    <w:rsid w:val="00812C2A"/>
    <w:rsid w:val="00820ACD"/>
    <w:rsid w:val="00825EA8"/>
    <w:rsid w:val="00831B8F"/>
    <w:rsid w:val="008447A4"/>
    <w:rsid w:val="008456A3"/>
    <w:rsid w:val="00855A61"/>
    <w:rsid w:val="00872E8D"/>
    <w:rsid w:val="008744C2"/>
    <w:rsid w:val="008814E6"/>
    <w:rsid w:val="008834F1"/>
    <w:rsid w:val="00894361"/>
    <w:rsid w:val="00895628"/>
    <w:rsid w:val="0089582F"/>
    <w:rsid w:val="008A0E29"/>
    <w:rsid w:val="008A11A0"/>
    <w:rsid w:val="008B4D83"/>
    <w:rsid w:val="008D6F7F"/>
    <w:rsid w:val="008D7C9A"/>
    <w:rsid w:val="008E44D4"/>
    <w:rsid w:val="00905718"/>
    <w:rsid w:val="0091556C"/>
    <w:rsid w:val="00926A16"/>
    <w:rsid w:val="00937718"/>
    <w:rsid w:val="00951959"/>
    <w:rsid w:val="00954167"/>
    <w:rsid w:val="0096246C"/>
    <w:rsid w:val="0096310C"/>
    <w:rsid w:val="0098252B"/>
    <w:rsid w:val="00993138"/>
    <w:rsid w:val="009D102F"/>
    <w:rsid w:val="009D3DC4"/>
    <w:rsid w:val="009E20CE"/>
    <w:rsid w:val="009E73BB"/>
    <w:rsid w:val="009F7CDA"/>
    <w:rsid w:val="00A04476"/>
    <w:rsid w:val="00A10BED"/>
    <w:rsid w:val="00A1460B"/>
    <w:rsid w:val="00A177BD"/>
    <w:rsid w:val="00A2678C"/>
    <w:rsid w:val="00A26B5F"/>
    <w:rsid w:val="00A36749"/>
    <w:rsid w:val="00A37A7B"/>
    <w:rsid w:val="00A40097"/>
    <w:rsid w:val="00A41AF0"/>
    <w:rsid w:val="00A43A71"/>
    <w:rsid w:val="00A44301"/>
    <w:rsid w:val="00A44749"/>
    <w:rsid w:val="00A5097B"/>
    <w:rsid w:val="00A5396D"/>
    <w:rsid w:val="00A734C1"/>
    <w:rsid w:val="00A75657"/>
    <w:rsid w:val="00A859F3"/>
    <w:rsid w:val="00A90552"/>
    <w:rsid w:val="00A960E9"/>
    <w:rsid w:val="00A97B9C"/>
    <w:rsid w:val="00AB203D"/>
    <w:rsid w:val="00AB3D26"/>
    <w:rsid w:val="00AC23E8"/>
    <w:rsid w:val="00AC3874"/>
    <w:rsid w:val="00AC4F67"/>
    <w:rsid w:val="00AC6ADB"/>
    <w:rsid w:val="00AD77CF"/>
    <w:rsid w:val="00AD7CFB"/>
    <w:rsid w:val="00AE57E5"/>
    <w:rsid w:val="00B00C83"/>
    <w:rsid w:val="00B02888"/>
    <w:rsid w:val="00B042E2"/>
    <w:rsid w:val="00B07B77"/>
    <w:rsid w:val="00B150A4"/>
    <w:rsid w:val="00B33734"/>
    <w:rsid w:val="00B379A9"/>
    <w:rsid w:val="00B44FF6"/>
    <w:rsid w:val="00B46BD6"/>
    <w:rsid w:val="00B52F38"/>
    <w:rsid w:val="00B53C24"/>
    <w:rsid w:val="00B53DF6"/>
    <w:rsid w:val="00B54DB5"/>
    <w:rsid w:val="00B60257"/>
    <w:rsid w:val="00B64E3C"/>
    <w:rsid w:val="00B70701"/>
    <w:rsid w:val="00B761FA"/>
    <w:rsid w:val="00B91B59"/>
    <w:rsid w:val="00B91E6B"/>
    <w:rsid w:val="00B92A16"/>
    <w:rsid w:val="00B93EA6"/>
    <w:rsid w:val="00BA0CCA"/>
    <w:rsid w:val="00BA0FBE"/>
    <w:rsid w:val="00BB2901"/>
    <w:rsid w:val="00BC6F68"/>
    <w:rsid w:val="00BD3B06"/>
    <w:rsid w:val="00BD5A27"/>
    <w:rsid w:val="00BD6989"/>
    <w:rsid w:val="00BE3B00"/>
    <w:rsid w:val="00BF4B30"/>
    <w:rsid w:val="00C02BB0"/>
    <w:rsid w:val="00C20CC8"/>
    <w:rsid w:val="00C23D69"/>
    <w:rsid w:val="00C321E8"/>
    <w:rsid w:val="00C53837"/>
    <w:rsid w:val="00C57943"/>
    <w:rsid w:val="00C62C76"/>
    <w:rsid w:val="00C65196"/>
    <w:rsid w:val="00C67DAD"/>
    <w:rsid w:val="00C70758"/>
    <w:rsid w:val="00C721FC"/>
    <w:rsid w:val="00C85441"/>
    <w:rsid w:val="00C879B8"/>
    <w:rsid w:val="00CA2B00"/>
    <w:rsid w:val="00CA448A"/>
    <w:rsid w:val="00CB005A"/>
    <w:rsid w:val="00CB2F8E"/>
    <w:rsid w:val="00CB7139"/>
    <w:rsid w:val="00CC159E"/>
    <w:rsid w:val="00CD2DD8"/>
    <w:rsid w:val="00CE3A80"/>
    <w:rsid w:val="00CE5A6D"/>
    <w:rsid w:val="00CE5F34"/>
    <w:rsid w:val="00CF40F2"/>
    <w:rsid w:val="00CF5DF2"/>
    <w:rsid w:val="00D178EE"/>
    <w:rsid w:val="00D2020F"/>
    <w:rsid w:val="00D20FE9"/>
    <w:rsid w:val="00D2169E"/>
    <w:rsid w:val="00D25B13"/>
    <w:rsid w:val="00D26C97"/>
    <w:rsid w:val="00D3428F"/>
    <w:rsid w:val="00D47375"/>
    <w:rsid w:val="00D47681"/>
    <w:rsid w:val="00D47FC6"/>
    <w:rsid w:val="00D55B5F"/>
    <w:rsid w:val="00D736C6"/>
    <w:rsid w:val="00D80E4B"/>
    <w:rsid w:val="00D81143"/>
    <w:rsid w:val="00D90644"/>
    <w:rsid w:val="00DA05C8"/>
    <w:rsid w:val="00DA599C"/>
    <w:rsid w:val="00DB2244"/>
    <w:rsid w:val="00DB6A18"/>
    <w:rsid w:val="00DC4D7A"/>
    <w:rsid w:val="00DD1B37"/>
    <w:rsid w:val="00DD5F85"/>
    <w:rsid w:val="00DE1C63"/>
    <w:rsid w:val="00DE33A5"/>
    <w:rsid w:val="00DF11CC"/>
    <w:rsid w:val="00E04D7F"/>
    <w:rsid w:val="00E14CF5"/>
    <w:rsid w:val="00E30829"/>
    <w:rsid w:val="00E311A9"/>
    <w:rsid w:val="00E326D0"/>
    <w:rsid w:val="00E42A24"/>
    <w:rsid w:val="00E42D33"/>
    <w:rsid w:val="00E451E1"/>
    <w:rsid w:val="00E4645C"/>
    <w:rsid w:val="00E5135B"/>
    <w:rsid w:val="00E535EE"/>
    <w:rsid w:val="00E62608"/>
    <w:rsid w:val="00E640A2"/>
    <w:rsid w:val="00E73C04"/>
    <w:rsid w:val="00E9490C"/>
    <w:rsid w:val="00EA4C14"/>
    <w:rsid w:val="00EA5C52"/>
    <w:rsid w:val="00EC7B82"/>
    <w:rsid w:val="00EC7EE1"/>
    <w:rsid w:val="00ED06CB"/>
    <w:rsid w:val="00ED1BA4"/>
    <w:rsid w:val="00EE1FD4"/>
    <w:rsid w:val="00EE594B"/>
    <w:rsid w:val="00EF1091"/>
    <w:rsid w:val="00EF12A4"/>
    <w:rsid w:val="00EF3AA8"/>
    <w:rsid w:val="00F04EF8"/>
    <w:rsid w:val="00F103E5"/>
    <w:rsid w:val="00F161ED"/>
    <w:rsid w:val="00F16A46"/>
    <w:rsid w:val="00F21D6D"/>
    <w:rsid w:val="00F27397"/>
    <w:rsid w:val="00F37EC5"/>
    <w:rsid w:val="00F616C5"/>
    <w:rsid w:val="00F63B16"/>
    <w:rsid w:val="00F64482"/>
    <w:rsid w:val="00F74BB8"/>
    <w:rsid w:val="00F74F6B"/>
    <w:rsid w:val="00F74FC4"/>
    <w:rsid w:val="00F807A8"/>
    <w:rsid w:val="00F8143A"/>
    <w:rsid w:val="00F849EF"/>
    <w:rsid w:val="00F90947"/>
    <w:rsid w:val="00FA6A8C"/>
    <w:rsid w:val="00FB0ECC"/>
    <w:rsid w:val="00FC1C7A"/>
    <w:rsid w:val="00FC44ED"/>
    <w:rsid w:val="00FD0242"/>
    <w:rsid w:val="00FD2E5A"/>
    <w:rsid w:val="00FD4726"/>
    <w:rsid w:val="00FE2F90"/>
    <w:rsid w:val="00FE6312"/>
    <w:rsid w:val="00FF5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A49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24"/>
      <w:szCs w:val="24"/>
    </w:rPr>
  </w:style>
  <w:style w:type="paragraph" w:styleId="Heading1">
    <w:name w:val="heading 1"/>
    <w:basedOn w:val="Normal"/>
    <w:next w:val="BodyText"/>
    <w:qFormat/>
    <w:rsid w:val="00A960E9"/>
    <w:pPr>
      <w:keepNext/>
      <w:pageBreakBefore/>
      <w:numPr>
        <w:numId w:val="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qFormat/>
    <w:rsid w:val="00A960E9"/>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A960E9"/>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A960E9"/>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A960E9"/>
    <w:pPr>
      <w:keepNext/>
      <w:numPr>
        <w:ilvl w:val="4"/>
        <w:numId w:val="5"/>
      </w:numPr>
      <w:spacing w:before="320" w:after="0"/>
      <w:outlineLvl w:val="4"/>
    </w:pPr>
    <w:rPr>
      <w:b/>
      <w:color w:val="54534A"/>
    </w:rPr>
  </w:style>
  <w:style w:type="paragraph" w:styleId="Heading6">
    <w:name w:val="heading 6"/>
    <w:basedOn w:val="Heading1"/>
    <w:next w:val="BodyText"/>
    <w:qFormat/>
    <w:rsid w:val="00A960E9"/>
    <w:pPr>
      <w:numPr>
        <w:ilvl w:val="5"/>
      </w:numPr>
      <w:outlineLvl w:val="5"/>
    </w:pPr>
    <w:rPr>
      <w:bCs/>
    </w:rPr>
  </w:style>
  <w:style w:type="paragraph" w:styleId="Heading7">
    <w:name w:val="heading 7"/>
    <w:basedOn w:val="Heading2"/>
    <w:next w:val="BodyText"/>
    <w:qFormat/>
    <w:rsid w:val="00A960E9"/>
    <w:pPr>
      <w:numPr>
        <w:ilvl w:val="6"/>
      </w:numPr>
      <w:outlineLvl w:val="6"/>
    </w:pPr>
  </w:style>
  <w:style w:type="paragraph" w:styleId="Heading8">
    <w:name w:val="heading 8"/>
    <w:basedOn w:val="Heading3"/>
    <w:next w:val="BodyText"/>
    <w:qFormat/>
    <w:rsid w:val="00A960E9"/>
    <w:pPr>
      <w:numPr>
        <w:ilvl w:val="7"/>
      </w:numPr>
      <w:outlineLvl w:val="7"/>
    </w:pPr>
  </w:style>
  <w:style w:type="paragraph" w:styleId="Heading9">
    <w:name w:val="heading 9"/>
    <w:basedOn w:val="Heading4"/>
    <w:next w:val="BodyText"/>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66D8A"/>
    <w:rPr>
      <w:sz w:val="16"/>
      <w:szCs w:val="16"/>
    </w:rPr>
  </w:style>
  <w:style w:type="paragraph" w:styleId="CommentText">
    <w:name w:val="annotation text"/>
    <w:basedOn w:val="Normal"/>
    <w:link w:val="CommentTextChar"/>
    <w:uiPriority w:val="99"/>
    <w:semiHidden/>
    <w:rsid w:val="00066D8A"/>
    <w:rPr>
      <w:rFonts w:ascii="Times New Roman" w:hAnsi="Times New Roman"/>
      <w:sz w:val="20"/>
      <w:szCs w:val="20"/>
    </w:rPr>
  </w:style>
  <w:style w:type="paragraph" w:styleId="BalloonText">
    <w:name w:val="Balloon Text"/>
    <w:basedOn w:val="Normal"/>
    <w:semiHidden/>
    <w:rsid w:val="00066D8A"/>
    <w:rPr>
      <w:rFonts w:ascii="Tahoma" w:hAnsi="Tahoma" w:cs="Tahoma"/>
      <w:sz w:val="16"/>
      <w:szCs w:val="16"/>
    </w:rPr>
  </w:style>
  <w:style w:type="paragraph" w:styleId="CommentSubject">
    <w:name w:val="annotation subject"/>
    <w:basedOn w:val="CommentText"/>
    <w:next w:val="CommentText"/>
    <w:link w:val="CommentSubjectChar"/>
    <w:rsid w:val="00BD3B06"/>
    <w:rPr>
      <w:rFonts w:ascii="Calibri" w:hAnsi="Calibri"/>
      <w:b/>
      <w:bCs/>
    </w:rPr>
  </w:style>
  <w:style w:type="character" w:styleId="Hyperlink">
    <w:name w:val="Hyperlink"/>
    <w:basedOn w:val="DefaultParagraphFont"/>
    <w:rsid w:val="00825EA8"/>
    <w:rPr>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A960E9"/>
    <w:rPr>
      <w:rFonts w:ascii="Georgia" w:hAnsi="Georgia"/>
      <w:sz w:val="19"/>
      <w:szCs w:val="19"/>
      <w:lang w:val="en-AU" w:eastAsia="en-AU" w:bidi="ar-SA"/>
    </w:rPr>
  </w:style>
  <w:style w:type="paragraph" w:styleId="Title">
    <w:name w:val="Title"/>
    <w:basedOn w:val="Normal"/>
    <w:next w:val="Subtitle"/>
    <w:link w:val="TitleChar"/>
    <w:qFormat/>
    <w:rsid w:val="00A960E9"/>
    <w:pPr>
      <w:pageBreakBefore/>
      <w:spacing w:before="1800" w:line="640" w:lineRule="atLeast"/>
      <w:ind w:left="2381" w:right="-1418"/>
    </w:pPr>
    <w:rPr>
      <w:rFonts w:ascii="Franklin Gothic Book" w:hAnsi="Franklin Gothic Book"/>
      <w:color w:val="54534A"/>
      <w:kern w:val="28"/>
      <w:sz w:val="50"/>
      <w:szCs w:val="50"/>
    </w:rPr>
  </w:style>
  <w:style w:type="paragraph" w:customStyle="1" w:styleId="Contents">
    <w:name w:val="Contents"/>
    <w:basedOn w:val="Normal"/>
    <w:next w:val="BodyText"/>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A960E9"/>
    <w:pPr>
      <w:spacing w:before="200" w:after="600" w:line="380" w:lineRule="atLeast"/>
      <w:ind w:left="2381" w:right="-1418"/>
      <w:jc w:val="left"/>
      <w:outlineLvl w:val="9"/>
    </w:pPr>
    <w:rPr>
      <w:rFonts w:ascii="Franklin Gothic Book" w:hAnsi="Franklin Gothic Book" w:cs="Times New Roman"/>
      <w:color w:val="54534A"/>
      <w:kern w:val="28"/>
    </w:rPr>
  </w:style>
  <w:style w:type="paragraph" w:styleId="Footer">
    <w:name w:val="footer"/>
    <w:basedOn w:val="Normal"/>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A960E9"/>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A960E9"/>
    <w:rPr>
      <w:rFonts w:ascii="Franklin Gothic Medium" w:hAnsi="Franklin Gothic Medium"/>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rsid w:val="00A960E9"/>
    <w:pPr>
      <w:spacing w:before="60" w:after="60" w:line="260" w:lineRule="atLeast"/>
    </w:pPr>
    <w:rPr>
      <w:rFonts w:ascii="Franklin Gothic Book" w:hAnsi="Franklin Gothic Book"/>
      <w:sz w:val="18"/>
      <w:szCs w:val="18"/>
    </w:rPr>
  </w:style>
  <w:style w:type="character" w:customStyle="1" w:styleId="TitleChar">
    <w:name w:val="Title Char"/>
    <w:basedOn w:val="DefaultParagraphFont"/>
    <w:link w:val="Title"/>
    <w:rsid w:val="00A960E9"/>
    <w:rPr>
      <w:rFonts w:ascii="Franklin Gothic Book" w:hAnsi="Franklin Gothic Book"/>
      <w:color w:val="54534A"/>
      <w:kern w:val="28"/>
      <w:sz w:val="50"/>
      <w:szCs w:val="50"/>
      <w:lang w:val="en-AU" w:eastAsia="en-AU" w:bidi="ar-SA"/>
    </w:rPr>
  </w:style>
  <w:style w:type="character" w:customStyle="1" w:styleId="DateChar">
    <w:name w:val="Date Char"/>
    <w:basedOn w:val="DefaultParagraphFont"/>
    <w:link w:val="Date"/>
    <w:rsid w:val="00A960E9"/>
    <w:rPr>
      <w:rFonts w:ascii="Franklin Gothic Book" w:hAnsi="Franklin Gothic Book"/>
      <w:color w:val="54534A"/>
      <w:kern w:val="28"/>
      <w:sz w:val="24"/>
      <w:szCs w:val="24"/>
      <w:lang w:val="en-AU" w:eastAsia="en-AU" w:bidi="ar-SA"/>
    </w:rPr>
  </w:style>
  <w:style w:type="paragraph" w:customStyle="1" w:styleId="CharChar">
    <w:name w:val="Char Char"/>
    <w:basedOn w:val="Normal"/>
    <w:semiHidden/>
    <w:rsid w:val="00A960E9"/>
    <w:pPr>
      <w:spacing w:before="180" w:line="280" w:lineRule="atLeast"/>
    </w:pPr>
    <w:rPr>
      <w:rFonts w:ascii="Arial" w:hAnsi="Arial"/>
      <w:sz w:val="22"/>
      <w:szCs w:val="20"/>
      <w:lang w:eastAsia="en-US"/>
    </w:rPr>
  </w:style>
  <w:style w:type="paragraph" w:styleId="Subtitle">
    <w:name w:val="Subtitle"/>
    <w:basedOn w:val="Normal"/>
    <w:qFormat/>
    <w:rsid w:val="00A960E9"/>
    <w:pPr>
      <w:spacing w:after="60"/>
      <w:jc w:val="center"/>
      <w:outlineLvl w:val="1"/>
    </w:pPr>
    <w:rPr>
      <w:rFonts w:ascii="Arial" w:hAnsi="Arial" w:cs="Arial"/>
    </w:rPr>
  </w:style>
  <w:style w:type="paragraph" w:customStyle="1" w:styleId="Style1">
    <w:name w:val="Style1"/>
    <w:basedOn w:val="Heading2"/>
    <w:rsid w:val="00A960E9"/>
    <w:rPr>
      <w:sz w:val="24"/>
      <w:szCs w:val="24"/>
    </w:rPr>
  </w:style>
  <w:style w:type="paragraph" w:styleId="TOC3">
    <w:name w:val="toc 3"/>
    <w:basedOn w:val="Normal"/>
    <w:next w:val="Normal"/>
    <w:autoRedefine/>
    <w:rsid w:val="0089582F"/>
    <w:pPr>
      <w:numPr>
        <w:ilvl w:val="1"/>
        <w:numId w:val="13"/>
      </w:numPr>
    </w:pPr>
    <w:rPr>
      <w:rFonts w:ascii="Franklin Gothic Demi" w:hAnsi="Franklin Gothic Demi"/>
      <w:color w:val="5A9A98"/>
      <w:sz w:val="20"/>
      <w:szCs w:val="20"/>
    </w:rPr>
  </w:style>
  <w:style w:type="character" w:customStyle="1" w:styleId="CommentSubjectChar">
    <w:name w:val="Comment Subject Char"/>
    <w:link w:val="CommentSubject"/>
    <w:rsid w:val="0089582F"/>
    <w:rPr>
      <w:rFonts w:ascii="Calibri" w:hAnsi="Calibri"/>
      <w:b/>
      <w:bCs/>
    </w:rPr>
  </w:style>
  <w:style w:type="table" w:styleId="TableGrid">
    <w:name w:val="Table Grid"/>
    <w:basedOn w:val="TableNormal"/>
    <w:uiPriority w:val="59"/>
    <w:rsid w:val="008958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semiHidden/>
    <w:rsid w:val="00802587"/>
    <w:pPr>
      <w:spacing w:before="60" w:after="60" w:line="240" w:lineRule="atLeast"/>
    </w:pPr>
    <w:rPr>
      <w:rFonts w:ascii="Calibri" w:hAnsi="Calibri"/>
      <w:color w:val="0000FF"/>
      <w:sz w:val="20"/>
      <w:szCs w:val="20"/>
    </w:rPr>
  </w:style>
  <w:style w:type="character" w:styleId="FollowedHyperlink">
    <w:name w:val="FollowedHyperlink"/>
    <w:basedOn w:val="DefaultParagraphFont"/>
    <w:rsid w:val="00A37A7B"/>
    <w:rPr>
      <w:color w:val="800080" w:themeColor="followedHyperlink"/>
      <w:u w:val="single"/>
    </w:rPr>
  </w:style>
  <w:style w:type="character" w:customStyle="1" w:styleId="Heading2Char">
    <w:name w:val="Heading 2 Char"/>
    <w:basedOn w:val="DefaultParagraphFont"/>
    <w:link w:val="Heading2"/>
    <w:rsid w:val="00E640A2"/>
    <w:rPr>
      <w:rFonts w:ascii="Franklin Gothic Demi" w:hAnsi="Franklin Gothic Demi"/>
      <w:color w:val="AD495D"/>
      <w:kern w:val="28"/>
      <w:sz w:val="28"/>
      <w:szCs w:val="28"/>
    </w:rPr>
  </w:style>
  <w:style w:type="paragraph" w:styleId="FootnoteText">
    <w:name w:val="footnote text"/>
    <w:basedOn w:val="Normal"/>
    <w:link w:val="FootnoteTextChar"/>
    <w:rsid w:val="0038527C"/>
    <w:rPr>
      <w:sz w:val="20"/>
      <w:szCs w:val="20"/>
    </w:rPr>
  </w:style>
  <w:style w:type="character" w:customStyle="1" w:styleId="FootnoteTextChar">
    <w:name w:val="Footnote Text Char"/>
    <w:basedOn w:val="DefaultParagraphFont"/>
    <w:link w:val="FootnoteText"/>
    <w:rsid w:val="0038527C"/>
    <w:rPr>
      <w:rFonts w:ascii="Calibri" w:hAnsi="Calibri"/>
    </w:rPr>
  </w:style>
  <w:style w:type="character" w:styleId="FootnoteReference">
    <w:name w:val="footnote reference"/>
    <w:basedOn w:val="DefaultParagraphFont"/>
    <w:rsid w:val="0038527C"/>
    <w:rPr>
      <w:vertAlign w:val="superscript"/>
    </w:rPr>
  </w:style>
  <w:style w:type="paragraph" w:styleId="NormalWeb">
    <w:name w:val="Normal (Web)"/>
    <w:basedOn w:val="Normal"/>
    <w:rsid w:val="0038527C"/>
    <w:pPr>
      <w:spacing w:before="100" w:beforeAutospacing="1" w:after="100" w:afterAutospacing="1"/>
    </w:pPr>
    <w:rPr>
      <w:rFonts w:ascii="Times New Roman" w:hAnsi="Times New Roman"/>
    </w:rPr>
  </w:style>
  <w:style w:type="paragraph" w:styleId="ListParagraph">
    <w:name w:val="List Paragraph"/>
    <w:basedOn w:val="Normal"/>
    <w:uiPriority w:val="34"/>
    <w:qFormat/>
    <w:rsid w:val="0038527C"/>
    <w:pPr>
      <w:spacing w:after="200"/>
      <w:ind w:left="720"/>
      <w:contextualSpacing/>
    </w:pPr>
    <w:rPr>
      <w:rFonts w:ascii="Arial" w:eastAsia="Cambria" w:hAnsi="Arial"/>
      <w:sz w:val="22"/>
      <w:szCs w:val="20"/>
      <w:lang w:eastAsia="en-US"/>
    </w:rPr>
  </w:style>
  <w:style w:type="character" w:styleId="EndnoteReference">
    <w:name w:val="endnote reference"/>
    <w:basedOn w:val="DefaultParagraphFont"/>
    <w:uiPriority w:val="99"/>
    <w:unhideWhenUsed/>
    <w:rsid w:val="0038527C"/>
    <w:rPr>
      <w:vertAlign w:val="superscript"/>
    </w:rPr>
  </w:style>
  <w:style w:type="paragraph" w:styleId="EndnoteText">
    <w:name w:val="endnote text"/>
    <w:basedOn w:val="Normal"/>
    <w:link w:val="EndnoteTextChar"/>
    <w:uiPriority w:val="99"/>
    <w:unhideWhenUsed/>
    <w:rsid w:val="0038527C"/>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38527C"/>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385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24"/>
      <w:szCs w:val="24"/>
    </w:rPr>
  </w:style>
  <w:style w:type="paragraph" w:styleId="Heading1">
    <w:name w:val="heading 1"/>
    <w:basedOn w:val="Normal"/>
    <w:next w:val="BodyText"/>
    <w:qFormat/>
    <w:rsid w:val="00A960E9"/>
    <w:pPr>
      <w:keepNext/>
      <w:pageBreakBefore/>
      <w:numPr>
        <w:numId w:val="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qFormat/>
    <w:rsid w:val="00A960E9"/>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A960E9"/>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A960E9"/>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A960E9"/>
    <w:pPr>
      <w:keepNext/>
      <w:numPr>
        <w:ilvl w:val="4"/>
        <w:numId w:val="5"/>
      </w:numPr>
      <w:spacing w:before="320" w:after="0"/>
      <w:outlineLvl w:val="4"/>
    </w:pPr>
    <w:rPr>
      <w:b/>
      <w:color w:val="54534A"/>
    </w:rPr>
  </w:style>
  <w:style w:type="paragraph" w:styleId="Heading6">
    <w:name w:val="heading 6"/>
    <w:basedOn w:val="Heading1"/>
    <w:next w:val="BodyText"/>
    <w:qFormat/>
    <w:rsid w:val="00A960E9"/>
    <w:pPr>
      <w:numPr>
        <w:ilvl w:val="5"/>
      </w:numPr>
      <w:outlineLvl w:val="5"/>
    </w:pPr>
    <w:rPr>
      <w:bCs/>
    </w:rPr>
  </w:style>
  <w:style w:type="paragraph" w:styleId="Heading7">
    <w:name w:val="heading 7"/>
    <w:basedOn w:val="Heading2"/>
    <w:next w:val="BodyText"/>
    <w:qFormat/>
    <w:rsid w:val="00A960E9"/>
    <w:pPr>
      <w:numPr>
        <w:ilvl w:val="6"/>
      </w:numPr>
      <w:outlineLvl w:val="6"/>
    </w:pPr>
  </w:style>
  <w:style w:type="paragraph" w:styleId="Heading8">
    <w:name w:val="heading 8"/>
    <w:basedOn w:val="Heading3"/>
    <w:next w:val="BodyText"/>
    <w:qFormat/>
    <w:rsid w:val="00A960E9"/>
    <w:pPr>
      <w:numPr>
        <w:ilvl w:val="7"/>
      </w:numPr>
      <w:outlineLvl w:val="7"/>
    </w:pPr>
  </w:style>
  <w:style w:type="paragraph" w:styleId="Heading9">
    <w:name w:val="heading 9"/>
    <w:basedOn w:val="Heading4"/>
    <w:next w:val="BodyText"/>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66D8A"/>
    <w:rPr>
      <w:sz w:val="16"/>
      <w:szCs w:val="16"/>
    </w:rPr>
  </w:style>
  <w:style w:type="paragraph" w:styleId="CommentText">
    <w:name w:val="annotation text"/>
    <w:basedOn w:val="Normal"/>
    <w:link w:val="CommentTextChar"/>
    <w:uiPriority w:val="99"/>
    <w:semiHidden/>
    <w:rsid w:val="00066D8A"/>
    <w:rPr>
      <w:rFonts w:ascii="Times New Roman" w:hAnsi="Times New Roman"/>
      <w:sz w:val="20"/>
      <w:szCs w:val="20"/>
    </w:rPr>
  </w:style>
  <w:style w:type="paragraph" w:styleId="BalloonText">
    <w:name w:val="Balloon Text"/>
    <w:basedOn w:val="Normal"/>
    <w:semiHidden/>
    <w:rsid w:val="00066D8A"/>
    <w:rPr>
      <w:rFonts w:ascii="Tahoma" w:hAnsi="Tahoma" w:cs="Tahoma"/>
      <w:sz w:val="16"/>
      <w:szCs w:val="16"/>
    </w:rPr>
  </w:style>
  <w:style w:type="paragraph" w:styleId="CommentSubject">
    <w:name w:val="annotation subject"/>
    <w:basedOn w:val="CommentText"/>
    <w:next w:val="CommentText"/>
    <w:link w:val="CommentSubjectChar"/>
    <w:rsid w:val="00BD3B06"/>
    <w:rPr>
      <w:rFonts w:ascii="Calibri" w:hAnsi="Calibri"/>
      <w:b/>
      <w:bCs/>
    </w:rPr>
  </w:style>
  <w:style w:type="character" w:styleId="Hyperlink">
    <w:name w:val="Hyperlink"/>
    <w:basedOn w:val="DefaultParagraphFont"/>
    <w:rsid w:val="00825EA8"/>
    <w:rPr>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A960E9"/>
    <w:rPr>
      <w:rFonts w:ascii="Georgia" w:hAnsi="Georgia"/>
      <w:sz w:val="19"/>
      <w:szCs w:val="19"/>
      <w:lang w:val="en-AU" w:eastAsia="en-AU" w:bidi="ar-SA"/>
    </w:rPr>
  </w:style>
  <w:style w:type="paragraph" w:styleId="Title">
    <w:name w:val="Title"/>
    <w:basedOn w:val="Normal"/>
    <w:next w:val="Subtitle"/>
    <w:link w:val="TitleChar"/>
    <w:qFormat/>
    <w:rsid w:val="00A960E9"/>
    <w:pPr>
      <w:pageBreakBefore/>
      <w:spacing w:before="1800" w:line="640" w:lineRule="atLeast"/>
      <w:ind w:left="2381" w:right="-1418"/>
    </w:pPr>
    <w:rPr>
      <w:rFonts w:ascii="Franklin Gothic Book" w:hAnsi="Franklin Gothic Book"/>
      <w:color w:val="54534A"/>
      <w:kern w:val="28"/>
      <w:sz w:val="50"/>
      <w:szCs w:val="50"/>
    </w:rPr>
  </w:style>
  <w:style w:type="paragraph" w:customStyle="1" w:styleId="Contents">
    <w:name w:val="Contents"/>
    <w:basedOn w:val="Normal"/>
    <w:next w:val="BodyText"/>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A960E9"/>
    <w:pPr>
      <w:spacing w:before="200" w:after="600" w:line="380" w:lineRule="atLeast"/>
      <w:ind w:left="2381" w:right="-1418"/>
      <w:jc w:val="left"/>
      <w:outlineLvl w:val="9"/>
    </w:pPr>
    <w:rPr>
      <w:rFonts w:ascii="Franklin Gothic Book" w:hAnsi="Franklin Gothic Book" w:cs="Times New Roman"/>
      <w:color w:val="54534A"/>
      <w:kern w:val="28"/>
    </w:rPr>
  </w:style>
  <w:style w:type="paragraph" w:styleId="Footer">
    <w:name w:val="footer"/>
    <w:basedOn w:val="Normal"/>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A960E9"/>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A960E9"/>
    <w:rPr>
      <w:rFonts w:ascii="Franklin Gothic Medium" w:hAnsi="Franklin Gothic Medium"/>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rsid w:val="00A960E9"/>
    <w:pPr>
      <w:spacing w:before="60" w:after="60" w:line="260" w:lineRule="atLeast"/>
    </w:pPr>
    <w:rPr>
      <w:rFonts w:ascii="Franklin Gothic Book" w:hAnsi="Franklin Gothic Book"/>
      <w:sz w:val="18"/>
      <w:szCs w:val="18"/>
    </w:rPr>
  </w:style>
  <w:style w:type="character" w:customStyle="1" w:styleId="TitleChar">
    <w:name w:val="Title Char"/>
    <w:basedOn w:val="DefaultParagraphFont"/>
    <w:link w:val="Title"/>
    <w:rsid w:val="00A960E9"/>
    <w:rPr>
      <w:rFonts w:ascii="Franklin Gothic Book" w:hAnsi="Franklin Gothic Book"/>
      <w:color w:val="54534A"/>
      <w:kern w:val="28"/>
      <w:sz w:val="50"/>
      <w:szCs w:val="50"/>
      <w:lang w:val="en-AU" w:eastAsia="en-AU" w:bidi="ar-SA"/>
    </w:rPr>
  </w:style>
  <w:style w:type="character" w:customStyle="1" w:styleId="DateChar">
    <w:name w:val="Date Char"/>
    <w:basedOn w:val="DefaultParagraphFont"/>
    <w:link w:val="Date"/>
    <w:rsid w:val="00A960E9"/>
    <w:rPr>
      <w:rFonts w:ascii="Franklin Gothic Book" w:hAnsi="Franklin Gothic Book"/>
      <w:color w:val="54534A"/>
      <w:kern w:val="28"/>
      <w:sz w:val="24"/>
      <w:szCs w:val="24"/>
      <w:lang w:val="en-AU" w:eastAsia="en-AU" w:bidi="ar-SA"/>
    </w:rPr>
  </w:style>
  <w:style w:type="paragraph" w:customStyle="1" w:styleId="CharChar">
    <w:name w:val="Char Char"/>
    <w:basedOn w:val="Normal"/>
    <w:semiHidden/>
    <w:rsid w:val="00A960E9"/>
    <w:pPr>
      <w:spacing w:before="180" w:line="280" w:lineRule="atLeast"/>
    </w:pPr>
    <w:rPr>
      <w:rFonts w:ascii="Arial" w:hAnsi="Arial"/>
      <w:sz w:val="22"/>
      <w:szCs w:val="20"/>
      <w:lang w:eastAsia="en-US"/>
    </w:rPr>
  </w:style>
  <w:style w:type="paragraph" w:styleId="Subtitle">
    <w:name w:val="Subtitle"/>
    <w:basedOn w:val="Normal"/>
    <w:qFormat/>
    <w:rsid w:val="00A960E9"/>
    <w:pPr>
      <w:spacing w:after="60"/>
      <w:jc w:val="center"/>
      <w:outlineLvl w:val="1"/>
    </w:pPr>
    <w:rPr>
      <w:rFonts w:ascii="Arial" w:hAnsi="Arial" w:cs="Arial"/>
    </w:rPr>
  </w:style>
  <w:style w:type="paragraph" w:customStyle="1" w:styleId="Style1">
    <w:name w:val="Style1"/>
    <w:basedOn w:val="Heading2"/>
    <w:rsid w:val="00A960E9"/>
    <w:rPr>
      <w:sz w:val="24"/>
      <w:szCs w:val="24"/>
    </w:rPr>
  </w:style>
  <w:style w:type="paragraph" w:styleId="TOC3">
    <w:name w:val="toc 3"/>
    <w:basedOn w:val="Normal"/>
    <w:next w:val="Normal"/>
    <w:autoRedefine/>
    <w:rsid w:val="0089582F"/>
    <w:pPr>
      <w:numPr>
        <w:ilvl w:val="1"/>
        <w:numId w:val="13"/>
      </w:numPr>
    </w:pPr>
    <w:rPr>
      <w:rFonts w:ascii="Franklin Gothic Demi" w:hAnsi="Franklin Gothic Demi"/>
      <w:color w:val="5A9A98"/>
      <w:sz w:val="20"/>
      <w:szCs w:val="20"/>
    </w:rPr>
  </w:style>
  <w:style w:type="character" w:customStyle="1" w:styleId="CommentSubjectChar">
    <w:name w:val="Comment Subject Char"/>
    <w:link w:val="CommentSubject"/>
    <w:rsid w:val="0089582F"/>
    <w:rPr>
      <w:rFonts w:ascii="Calibri" w:hAnsi="Calibri"/>
      <w:b/>
      <w:bCs/>
    </w:rPr>
  </w:style>
  <w:style w:type="table" w:styleId="TableGrid">
    <w:name w:val="Table Grid"/>
    <w:basedOn w:val="TableNormal"/>
    <w:uiPriority w:val="59"/>
    <w:rsid w:val="008958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semiHidden/>
    <w:rsid w:val="00802587"/>
    <w:pPr>
      <w:spacing w:before="60" w:after="60" w:line="240" w:lineRule="atLeast"/>
    </w:pPr>
    <w:rPr>
      <w:rFonts w:ascii="Calibri" w:hAnsi="Calibri"/>
      <w:color w:val="0000FF"/>
      <w:sz w:val="20"/>
      <w:szCs w:val="20"/>
    </w:rPr>
  </w:style>
  <w:style w:type="character" w:styleId="FollowedHyperlink">
    <w:name w:val="FollowedHyperlink"/>
    <w:basedOn w:val="DefaultParagraphFont"/>
    <w:rsid w:val="00A37A7B"/>
    <w:rPr>
      <w:color w:val="800080" w:themeColor="followedHyperlink"/>
      <w:u w:val="single"/>
    </w:rPr>
  </w:style>
  <w:style w:type="character" w:customStyle="1" w:styleId="Heading2Char">
    <w:name w:val="Heading 2 Char"/>
    <w:basedOn w:val="DefaultParagraphFont"/>
    <w:link w:val="Heading2"/>
    <w:rsid w:val="00E640A2"/>
    <w:rPr>
      <w:rFonts w:ascii="Franklin Gothic Demi" w:hAnsi="Franklin Gothic Demi"/>
      <w:color w:val="AD495D"/>
      <w:kern w:val="28"/>
      <w:sz w:val="28"/>
      <w:szCs w:val="28"/>
    </w:rPr>
  </w:style>
  <w:style w:type="paragraph" w:styleId="FootnoteText">
    <w:name w:val="footnote text"/>
    <w:basedOn w:val="Normal"/>
    <w:link w:val="FootnoteTextChar"/>
    <w:rsid w:val="0038527C"/>
    <w:rPr>
      <w:sz w:val="20"/>
      <w:szCs w:val="20"/>
    </w:rPr>
  </w:style>
  <w:style w:type="character" w:customStyle="1" w:styleId="FootnoteTextChar">
    <w:name w:val="Footnote Text Char"/>
    <w:basedOn w:val="DefaultParagraphFont"/>
    <w:link w:val="FootnoteText"/>
    <w:rsid w:val="0038527C"/>
    <w:rPr>
      <w:rFonts w:ascii="Calibri" w:hAnsi="Calibri"/>
    </w:rPr>
  </w:style>
  <w:style w:type="character" w:styleId="FootnoteReference">
    <w:name w:val="footnote reference"/>
    <w:basedOn w:val="DefaultParagraphFont"/>
    <w:rsid w:val="0038527C"/>
    <w:rPr>
      <w:vertAlign w:val="superscript"/>
    </w:rPr>
  </w:style>
  <w:style w:type="paragraph" w:styleId="NormalWeb">
    <w:name w:val="Normal (Web)"/>
    <w:basedOn w:val="Normal"/>
    <w:rsid w:val="0038527C"/>
    <w:pPr>
      <w:spacing w:before="100" w:beforeAutospacing="1" w:after="100" w:afterAutospacing="1"/>
    </w:pPr>
    <w:rPr>
      <w:rFonts w:ascii="Times New Roman" w:hAnsi="Times New Roman"/>
    </w:rPr>
  </w:style>
  <w:style w:type="paragraph" w:styleId="ListParagraph">
    <w:name w:val="List Paragraph"/>
    <w:basedOn w:val="Normal"/>
    <w:uiPriority w:val="34"/>
    <w:qFormat/>
    <w:rsid w:val="0038527C"/>
    <w:pPr>
      <w:spacing w:after="200"/>
      <w:ind w:left="720"/>
      <w:contextualSpacing/>
    </w:pPr>
    <w:rPr>
      <w:rFonts w:ascii="Arial" w:eastAsia="Cambria" w:hAnsi="Arial"/>
      <w:sz w:val="22"/>
      <w:szCs w:val="20"/>
      <w:lang w:eastAsia="en-US"/>
    </w:rPr>
  </w:style>
  <w:style w:type="character" w:styleId="EndnoteReference">
    <w:name w:val="endnote reference"/>
    <w:basedOn w:val="DefaultParagraphFont"/>
    <w:uiPriority w:val="99"/>
    <w:unhideWhenUsed/>
    <w:rsid w:val="0038527C"/>
    <w:rPr>
      <w:vertAlign w:val="superscript"/>
    </w:rPr>
  </w:style>
  <w:style w:type="paragraph" w:styleId="EndnoteText">
    <w:name w:val="endnote text"/>
    <w:basedOn w:val="Normal"/>
    <w:link w:val="EndnoteTextChar"/>
    <w:uiPriority w:val="99"/>
    <w:unhideWhenUsed/>
    <w:rsid w:val="0038527C"/>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38527C"/>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38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4592">
      <w:bodyDiv w:val="1"/>
      <w:marLeft w:val="0"/>
      <w:marRight w:val="0"/>
      <w:marTop w:val="0"/>
      <w:marBottom w:val="0"/>
      <w:divBdr>
        <w:top w:val="none" w:sz="0" w:space="0" w:color="auto"/>
        <w:left w:val="none" w:sz="0" w:space="0" w:color="auto"/>
        <w:bottom w:val="none" w:sz="0" w:space="0" w:color="auto"/>
        <w:right w:val="none" w:sz="0" w:space="0" w:color="auto"/>
      </w:divBdr>
    </w:div>
    <w:div w:id="1307471573">
      <w:bodyDiv w:val="1"/>
      <w:marLeft w:val="0"/>
      <w:marRight w:val="0"/>
      <w:marTop w:val="0"/>
      <w:marBottom w:val="0"/>
      <w:divBdr>
        <w:top w:val="none" w:sz="0" w:space="0" w:color="auto"/>
        <w:left w:val="none" w:sz="0" w:space="0" w:color="auto"/>
        <w:bottom w:val="none" w:sz="0" w:space="0" w:color="auto"/>
        <w:right w:val="none" w:sz="0" w:space="0" w:color="auto"/>
      </w:divBdr>
    </w:div>
    <w:div w:id="1744253343">
      <w:bodyDiv w:val="1"/>
      <w:marLeft w:val="0"/>
      <w:marRight w:val="0"/>
      <w:marTop w:val="0"/>
      <w:marBottom w:val="0"/>
      <w:divBdr>
        <w:top w:val="none" w:sz="0" w:space="0" w:color="auto"/>
        <w:left w:val="none" w:sz="0" w:space="0" w:color="auto"/>
        <w:bottom w:val="none" w:sz="0" w:space="0" w:color="auto"/>
        <w:right w:val="none" w:sz="0" w:space="0" w:color="auto"/>
      </w:divBdr>
    </w:div>
    <w:div w:id="186347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creativecommons.org/licenses/by/3.0/au/legalco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creativecommons.org/licenses/by/3.0/a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ausaid.gov.au/"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ausaid.gov.au/publicatio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un.org/wcm/content/site/chronicle/cache/bypass/home/archive/issues2008/partnershipfordevelopment/pid/21591?print=1" TargetMode="External"/><Relationship Id="rId3" Type="http://schemas.openxmlformats.org/officeDocument/2006/relationships/hyperlink" Target="http://www.brookings.edu/research/papers/2006/08/globaleconomics-ferranti" TargetMode="External"/><Relationship Id="rId7" Type="http://schemas.openxmlformats.org/officeDocument/2006/relationships/hyperlink" Target="http://intranet2.ausaid.gov.au/sharedsites/aso/Pages/LatinAmericanandtheCaribbean.aspx" TargetMode="External"/><Relationship Id="rId2" Type="http://schemas.openxmlformats.org/officeDocument/2006/relationships/hyperlink" Target="http://www.oecd.org/dev/latinamericaneconomicoutlook2012transformingthestatefordevelopment-asuncionparaguay-28october2011.htm" TargetMode="External"/><Relationship Id="rId1" Type="http://schemas.openxmlformats.org/officeDocument/2006/relationships/hyperlink" Target="http://hdr.undp.org/en/statistics/mpi/" TargetMode="External"/><Relationship Id="rId6" Type="http://schemas.openxmlformats.org/officeDocument/2006/relationships/hyperlink" Target="http://intranet2.ausaid.gov.au/sharedsites/aso/Pages/LatinAmericanandtheCaribbean.aspx" TargetMode="External"/><Relationship Id="rId5" Type="http://schemas.openxmlformats.org/officeDocument/2006/relationships/hyperlink" Target="http://intranet2.ausaid.gov.au/sharedsites/aso/Pages/LatinAmericanandtheCaribbean.aspx" TargetMode="External"/><Relationship Id="rId4" Type="http://schemas.openxmlformats.org/officeDocument/2006/relationships/hyperlink" Target="http://www.ret.gov.au/tourism/.../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EE0C3-A2B0-451A-8B5C-E3F232F23258}"/>
</file>

<file path=customXml/itemProps2.xml><?xml version="1.0" encoding="utf-8"?>
<ds:datastoreItem xmlns:ds="http://schemas.openxmlformats.org/officeDocument/2006/customXml" ds:itemID="{C69B22A4-C4E6-4DE7-AB31-D53FD354B28C}"/>
</file>

<file path=customXml/itemProps3.xml><?xml version="1.0" encoding="utf-8"?>
<ds:datastoreItem xmlns:ds="http://schemas.openxmlformats.org/officeDocument/2006/customXml" ds:itemID="{9A92438F-287E-4665-9AC6-0F855E57A39B}"/>
</file>

<file path=customXml/itemProps4.xml><?xml version="1.0" encoding="utf-8"?>
<ds:datastoreItem xmlns:ds="http://schemas.openxmlformats.org/officeDocument/2006/customXml" ds:itemID="{B3BFFDAB-2E8C-482C-BCF8-6C0A969042D5}"/>
</file>

<file path=docProps/app.xml><?xml version="1.0" encoding="utf-8"?>
<Properties xmlns="http://schemas.openxmlformats.org/officeDocument/2006/extended-properties" xmlns:vt="http://schemas.openxmlformats.org/officeDocument/2006/docPropsVTypes">
  <Template>Normal.dotm</Template>
  <TotalTime>0</TotalTime>
  <Pages>17</Pages>
  <Words>4780</Words>
  <Characters>29121</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33834</CharactersWithSpaces>
  <SharedDoc>false</SharedDoc>
  <HLinks>
    <vt:vector size="18" baseType="variant">
      <vt:variant>
        <vt:i4>4849744</vt:i4>
      </vt:variant>
      <vt:variant>
        <vt:i4>14</vt:i4>
      </vt:variant>
      <vt:variant>
        <vt:i4>0</vt:i4>
      </vt:variant>
      <vt:variant>
        <vt:i4>5</vt:i4>
      </vt:variant>
      <vt:variant>
        <vt:lpwstr>http://www.ausaid.gov.au/</vt:lpwstr>
      </vt:variant>
      <vt:variant>
        <vt:lpwstr/>
      </vt:variant>
      <vt:variant>
        <vt:i4>5701662</vt:i4>
      </vt:variant>
      <vt:variant>
        <vt:i4>9</vt:i4>
      </vt:variant>
      <vt:variant>
        <vt:i4>0</vt:i4>
      </vt:variant>
      <vt:variant>
        <vt:i4>5</vt:i4>
      </vt:variant>
      <vt:variant>
        <vt:lpwstr>http://www.ausaid.gov.au/publications</vt:lpwstr>
      </vt:variant>
      <vt:variant>
        <vt:lpwstr/>
      </vt:variant>
      <vt:variant>
        <vt:i4>5373963</vt:i4>
      </vt:variant>
      <vt:variant>
        <vt:i4>2</vt:i4>
      </vt:variant>
      <vt:variant>
        <vt:i4>0</vt:i4>
      </vt:variant>
      <vt:variant>
        <vt:i4>5</vt:i4>
      </vt:variant>
      <vt:variant>
        <vt:lpwstr>http://www.ag.gov.au/cca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2013-06-12T07:26:00Z</dcterms:created>
  <dcterms:modified xsi:type="dcterms:W3CDTF">2013-06-12T07:26:00Z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