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76" w:rsidRPr="001C02E1" w:rsidRDefault="00CB5A76">
      <w:pPr>
        <w:pStyle w:val="Heading10"/>
        <w:spacing w:before="0" w:after="0"/>
        <w:jc w:val="center"/>
        <w:rPr>
          <w:rFonts w:ascii="Arial Black" w:hAnsi="Arial Black"/>
          <w:b w:val="0"/>
          <w:bCs w:val="0"/>
          <w:sz w:val="56"/>
        </w:rPr>
      </w:pPr>
    </w:p>
    <w:p w:rsidR="00CB5A76" w:rsidRPr="00D4456C" w:rsidRDefault="00CB5A76">
      <w:pPr>
        <w:pStyle w:val="Heading10"/>
        <w:spacing w:before="0" w:after="0"/>
        <w:jc w:val="center"/>
        <w:rPr>
          <w:rFonts w:ascii="Cambria" w:hAnsi="Cambria"/>
          <w:b w:val="0"/>
          <w:bCs w:val="0"/>
          <w:color w:val="17365D"/>
          <w:sz w:val="40"/>
          <w:lang w:val="en-GB"/>
        </w:rPr>
      </w:pPr>
      <w:r w:rsidRPr="00D4456C">
        <w:rPr>
          <w:rFonts w:ascii="Cambria" w:hAnsi="Cambria"/>
          <w:b w:val="0"/>
          <w:bCs w:val="0"/>
          <w:color w:val="17365D"/>
          <w:sz w:val="40"/>
          <w:lang w:val="en-GB"/>
        </w:rPr>
        <w:t>LANGOCA</w:t>
      </w:r>
    </w:p>
    <w:p w:rsidR="00CB5A76" w:rsidRDefault="00CB5A76" w:rsidP="007A5097">
      <w:pPr>
        <w:pBdr>
          <w:bottom w:val="single" w:sz="4" w:space="1" w:color="548DD4"/>
        </w:pBdr>
        <w:rPr>
          <w:lang w:val="en-US"/>
        </w:rPr>
      </w:pPr>
    </w:p>
    <w:p w:rsidR="00CB5A76" w:rsidRDefault="00CB5A76" w:rsidP="00E01DBD">
      <w:pPr>
        <w:pStyle w:val="Heading10"/>
        <w:spacing w:before="0" w:after="0"/>
        <w:jc w:val="center"/>
        <w:rPr>
          <w:rFonts w:ascii="Arial Black" w:hAnsi="Arial Black"/>
          <w:b w:val="0"/>
          <w:bCs w:val="0"/>
          <w:sz w:val="56"/>
          <w:lang w:val="en-GB"/>
        </w:rPr>
      </w:pPr>
    </w:p>
    <w:p w:rsidR="00CB5A76" w:rsidRDefault="00CB5A76" w:rsidP="00E01DBD">
      <w:pPr>
        <w:pStyle w:val="DocumentName"/>
      </w:pPr>
      <w:r>
        <w:t>Independent Progress Review</w:t>
      </w:r>
    </w:p>
    <w:p w:rsidR="00CB5A76" w:rsidRPr="008E2F41" w:rsidRDefault="00CB5A76" w:rsidP="00E01DBD">
      <w:pPr>
        <w:pStyle w:val="DocumentName"/>
      </w:pPr>
      <w:r>
        <w:t xml:space="preserve">Gender Evaluation </w:t>
      </w:r>
      <w:r w:rsidRPr="008E2F41">
        <w:t>Report</w:t>
      </w:r>
    </w:p>
    <w:p w:rsidR="00CB5A76" w:rsidRDefault="00CB5A76" w:rsidP="00883AA1">
      <w:pPr>
        <w:pStyle w:val="Heading10"/>
        <w:spacing w:before="0" w:after="0"/>
        <w:rPr>
          <w:rFonts w:ascii="Arial Black" w:hAnsi="Arial Black"/>
          <w:b w:val="0"/>
          <w:bCs w:val="0"/>
          <w:sz w:val="56"/>
          <w:lang w:val="en-GB"/>
        </w:rPr>
      </w:pPr>
    </w:p>
    <w:p w:rsidR="00CB5A76" w:rsidRDefault="00CB5A76" w:rsidP="007A5097">
      <w:pPr>
        <w:pBdr>
          <w:top w:val="single" w:sz="4" w:space="1" w:color="548DD4"/>
        </w:pBdr>
        <w:jc w:val="center"/>
        <w:rPr>
          <w:lang w:val="en-US"/>
        </w:rPr>
      </w:pPr>
    </w:p>
    <w:p w:rsidR="00CB5A76" w:rsidRDefault="00F77070" w:rsidP="00E01DBD">
      <w:pPr>
        <w:pBdr>
          <w:top w:val="single" w:sz="4" w:space="1" w:color="548DD4"/>
        </w:pBdr>
        <w:jc w:val="center"/>
        <w:rPr>
          <w:lang w:val="en-US"/>
        </w:rPr>
      </w:pPr>
      <w:r>
        <w:rPr>
          <w:noProof/>
          <w:lang w:eastAsia="en-AU"/>
        </w:rPr>
        <w:drawing>
          <wp:inline distT="0" distB="0" distL="0" distR="0" wp14:anchorId="445C3211" wp14:editId="1FF99377">
            <wp:extent cx="4133850" cy="4737100"/>
            <wp:effectExtent l="0" t="0" r="0" b="6350"/>
            <wp:docPr id="1" name="Picture 8" descr="File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01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4737100"/>
                    </a:xfrm>
                    <a:prstGeom prst="rect">
                      <a:avLst/>
                    </a:prstGeom>
                    <a:noFill/>
                    <a:ln>
                      <a:noFill/>
                    </a:ln>
                  </pic:spPr>
                </pic:pic>
              </a:graphicData>
            </a:graphic>
          </wp:inline>
        </w:drawing>
      </w:r>
    </w:p>
    <w:p w:rsidR="00CB5A76" w:rsidRDefault="00CB5A76">
      <w:pPr>
        <w:rPr>
          <w:lang w:val="en-GB"/>
        </w:rPr>
      </w:pPr>
    </w:p>
    <w:p w:rsidR="00CB5A76" w:rsidRDefault="00CB5A76">
      <w:pPr>
        <w:rPr>
          <w:lang w:val="en-GB"/>
        </w:rPr>
      </w:pPr>
    </w:p>
    <w:p w:rsidR="00CB5A76" w:rsidRDefault="00CB5A76">
      <w:pPr>
        <w:rPr>
          <w:lang w:val="en-GB"/>
        </w:rPr>
      </w:pPr>
    </w:p>
    <w:p w:rsidR="00CB5A76" w:rsidRPr="00777D2E" w:rsidRDefault="00CB5A76" w:rsidP="00E01DBD">
      <w:pPr>
        <w:pStyle w:val="Heading10"/>
        <w:spacing w:before="0" w:after="0"/>
        <w:jc w:val="center"/>
        <w:rPr>
          <w:rFonts w:ascii="Cambria" w:hAnsi="Cambria"/>
          <w:b w:val="0"/>
          <w:bCs w:val="0"/>
          <w:color w:val="17365D"/>
          <w:lang w:val="en-GB"/>
        </w:rPr>
      </w:pPr>
      <w:r>
        <w:rPr>
          <w:rFonts w:ascii="Cambria" w:hAnsi="Cambria"/>
          <w:b w:val="0"/>
          <w:bCs w:val="0"/>
          <w:color w:val="17365D"/>
          <w:lang w:val="en-GB"/>
        </w:rPr>
        <w:t>June 2011</w:t>
      </w:r>
    </w:p>
    <w:p w:rsidR="00CB5A76" w:rsidRDefault="00CB5A76">
      <w:pPr>
        <w:rPr>
          <w:lang w:val="en-GB"/>
        </w:rPr>
      </w:pPr>
    </w:p>
    <w:p w:rsidR="00CB5A76" w:rsidRDefault="00CB5A76" w:rsidP="00E01DBD">
      <w:pPr>
        <w:pStyle w:val="Heading2"/>
        <w:numPr>
          <w:ilvl w:val="0"/>
          <w:numId w:val="0"/>
        </w:numPr>
        <w:ind w:left="720" w:hanging="720"/>
        <w:rPr>
          <w:lang w:val="en-GB"/>
        </w:rPr>
        <w:sectPr w:rsidR="00CB5A76">
          <w:headerReference w:type="even" r:id="rId9"/>
          <w:headerReference w:type="default" r:id="rId10"/>
          <w:footerReference w:type="even" r:id="rId11"/>
          <w:footerReference w:type="default" r:id="rId12"/>
          <w:headerReference w:type="first" r:id="rId13"/>
          <w:footerReference w:type="first" r:id="rId14"/>
          <w:pgSz w:w="11909" w:h="16834" w:code="9"/>
          <w:pgMar w:top="1440" w:right="720" w:bottom="1440" w:left="720" w:header="720" w:footer="720" w:gutter="0"/>
          <w:pgNumType w:fmt="lowerRoman" w:start="1"/>
          <w:cols w:space="720"/>
          <w:titlePg/>
          <w:rtlGutter/>
          <w:docGrid w:linePitch="360"/>
        </w:sectPr>
      </w:pPr>
    </w:p>
    <w:p w:rsidR="00CB5A76" w:rsidRDefault="00CB5A76" w:rsidP="00E01DBD">
      <w:pPr>
        <w:rPr>
          <w:lang w:val="en-GB"/>
        </w:rPr>
      </w:pPr>
    </w:p>
    <w:tbl>
      <w:tblPr>
        <w:tblW w:w="7320" w:type="dxa"/>
        <w:jc w:val="center"/>
        <w:tblBorders>
          <w:top w:val="single" w:sz="4" w:space="0" w:color="17365D"/>
          <w:bottom w:val="single" w:sz="4" w:space="0" w:color="17365D"/>
          <w:insideH w:val="single" w:sz="4" w:space="0" w:color="17365D"/>
        </w:tblBorders>
        <w:tblLook w:val="0000" w:firstRow="0" w:lastRow="0" w:firstColumn="0" w:lastColumn="0" w:noHBand="0" w:noVBand="0"/>
      </w:tblPr>
      <w:tblGrid>
        <w:gridCol w:w="1550"/>
        <w:gridCol w:w="5770"/>
      </w:tblGrid>
      <w:tr w:rsidR="00CB5A76" w:rsidRPr="004F2955">
        <w:trPr>
          <w:jc w:val="center"/>
        </w:trPr>
        <w:tc>
          <w:tcPr>
            <w:tcW w:w="1550" w:type="dxa"/>
            <w:shd w:val="clear" w:color="auto" w:fill="C6D9F1"/>
            <w:vAlign w:val="center"/>
          </w:tcPr>
          <w:p w:rsidR="00CB5A76" w:rsidRPr="004F2955" w:rsidRDefault="00CB5A76" w:rsidP="00E01DBD">
            <w:pPr>
              <w:pStyle w:val="Heading10"/>
              <w:spacing w:before="120" w:after="120"/>
              <w:jc w:val="center"/>
              <w:rPr>
                <w:rFonts w:ascii="Calibri" w:hAnsi="Calibri" w:cs="Calibri"/>
                <w:color w:val="17365D"/>
                <w:sz w:val="22"/>
                <w:szCs w:val="22"/>
              </w:rPr>
            </w:pPr>
            <w:r w:rsidRPr="004F2955">
              <w:rPr>
                <w:rFonts w:ascii="Calibri" w:hAnsi="Calibri" w:cs="Calibri"/>
                <w:color w:val="17365D"/>
                <w:sz w:val="22"/>
                <w:szCs w:val="22"/>
              </w:rPr>
              <w:t>Document:</w:t>
            </w:r>
          </w:p>
        </w:tc>
        <w:tc>
          <w:tcPr>
            <w:tcW w:w="5770" w:type="dxa"/>
          </w:tcPr>
          <w:p w:rsidR="00CB5A76" w:rsidRPr="004F2955" w:rsidRDefault="00F77070" w:rsidP="00E01DBD">
            <w:pPr>
              <w:spacing w:before="120" w:after="120"/>
              <w:jc w:val="center"/>
              <w:rPr>
                <w:rFonts w:ascii="Calibri" w:hAnsi="Calibri" w:cs="Calibri"/>
              </w:rPr>
            </w:pPr>
            <w:r>
              <w:fldChar w:fldCharType="begin"/>
            </w:r>
            <w:r>
              <w:instrText xml:space="preserve"> STYLEREF  "Document Name"  \* MERGEFORMAT </w:instrText>
            </w:r>
            <w:r>
              <w:fldChar w:fldCharType="separate"/>
            </w:r>
            <w:r w:rsidR="00CB5A76" w:rsidRPr="00262E20">
              <w:rPr>
                <w:rFonts w:ascii="Calibri" w:hAnsi="Calibri" w:cs="Calibri"/>
                <w:noProof/>
                <w:sz w:val="22"/>
                <w:szCs w:val="22"/>
              </w:rPr>
              <w:t>Gender Evaluation Report</w:t>
            </w:r>
            <w:r>
              <w:rPr>
                <w:rFonts w:ascii="Calibri" w:hAnsi="Calibri" w:cs="Calibri"/>
                <w:noProof/>
                <w:sz w:val="22"/>
                <w:szCs w:val="22"/>
              </w:rPr>
              <w:fldChar w:fldCharType="end"/>
            </w:r>
          </w:p>
        </w:tc>
      </w:tr>
      <w:tr w:rsidR="00CB5A76" w:rsidRPr="004F2955">
        <w:trPr>
          <w:jc w:val="center"/>
        </w:trPr>
        <w:tc>
          <w:tcPr>
            <w:tcW w:w="1550" w:type="dxa"/>
            <w:shd w:val="clear" w:color="auto" w:fill="C6D9F1"/>
            <w:vAlign w:val="center"/>
          </w:tcPr>
          <w:p w:rsidR="00CB5A76" w:rsidRPr="004F2955" w:rsidRDefault="00CB5A76" w:rsidP="00E01DBD">
            <w:pPr>
              <w:pStyle w:val="Heading10"/>
              <w:spacing w:before="120" w:after="120"/>
              <w:jc w:val="center"/>
              <w:rPr>
                <w:rFonts w:ascii="Calibri" w:hAnsi="Calibri" w:cs="Calibri"/>
                <w:color w:val="17365D"/>
                <w:sz w:val="22"/>
                <w:szCs w:val="22"/>
              </w:rPr>
            </w:pPr>
            <w:r w:rsidRPr="004F2955">
              <w:rPr>
                <w:rFonts w:ascii="Calibri" w:hAnsi="Calibri" w:cs="Calibri"/>
                <w:color w:val="17365D"/>
                <w:sz w:val="22"/>
                <w:szCs w:val="22"/>
              </w:rPr>
              <w:t>Version:</w:t>
            </w:r>
          </w:p>
        </w:tc>
        <w:tc>
          <w:tcPr>
            <w:tcW w:w="5770" w:type="dxa"/>
          </w:tcPr>
          <w:p w:rsidR="00CB5A76" w:rsidRPr="004F2955" w:rsidRDefault="00CB5A76" w:rsidP="00E01DBD">
            <w:pPr>
              <w:pStyle w:val="Version"/>
              <w:rPr>
                <w:rFonts w:ascii="Calibri" w:hAnsi="Calibri" w:cs="Calibri"/>
              </w:rPr>
            </w:pPr>
            <w:r>
              <w:rPr>
                <w:rFonts w:ascii="Calibri" w:hAnsi="Calibri" w:cs="Calibri"/>
                <w:sz w:val="22"/>
                <w:szCs w:val="22"/>
              </w:rPr>
              <w:t>1.0 DRAFT</w:t>
            </w:r>
          </w:p>
        </w:tc>
      </w:tr>
      <w:tr w:rsidR="00CB5A76" w:rsidRPr="004F2955">
        <w:trPr>
          <w:jc w:val="center"/>
        </w:trPr>
        <w:tc>
          <w:tcPr>
            <w:tcW w:w="1550" w:type="dxa"/>
            <w:shd w:val="clear" w:color="auto" w:fill="C6D9F1"/>
            <w:vAlign w:val="center"/>
          </w:tcPr>
          <w:p w:rsidR="00CB5A76" w:rsidRPr="004F2955" w:rsidRDefault="00CB5A76" w:rsidP="00E01DBD">
            <w:pPr>
              <w:pStyle w:val="Heading10"/>
              <w:spacing w:before="120" w:after="120"/>
              <w:jc w:val="center"/>
              <w:rPr>
                <w:rFonts w:ascii="Calibri" w:hAnsi="Calibri" w:cs="Calibri"/>
                <w:color w:val="17365D"/>
                <w:sz w:val="22"/>
                <w:szCs w:val="22"/>
              </w:rPr>
            </w:pPr>
            <w:r w:rsidRPr="004F2955">
              <w:rPr>
                <w:rFonts w:ascii="Calibri" w:hAnsi="Calibri" w:cs="Calibri"/>
                <w:color w:val="17365D"/>
                <w:sz w:val="22"/>
                <w:szCs w:val="22"/>
              </w:rPr>
              <w:t>Project:</w:t>
            </w:r>
          </w:p>
        </w:tc>
        <w:tc>
          <w:tcPr>
            <w:tcW w:w="5770" w:type="dxa"/>
          </w:tcPr>
          <w:p w:rsidR="00CB5A76" w:rsidRPr="004F2955" w:rsidRDefault="00CB5A76" w:rsidP="00E01DBD">
            <w:pPr>
              <w:pStyle w:val="ProjectName"/>
              <w:rPr>
                <w:rFonts w:ascii="Calibri" w:hAnsi="Calibri" w:cs="Calibri"/>
              </w:rPr>
            </w:pPr>
            <w:r>
              <w:rPr>
                <w:rFonts w:ascii="Calibri" w:hAnsi="Calibri" w:cs="Calibri"/>
                <w:sz w:val="22"/>
                <w:szCs w:val="22"/>
              </w:rPr>
              <w:t>LANGOCA</w:t>
            </w:r>
          </w:p>
        </w:tc>
      </w:tr>
      <w:tr w:rsidR="00CB5A76" w:rsidRPr="004F2955">
        <w:trPr>
          <w:jc w:val="center"/>
        </w:trPr>
        <w:tc>
          <w:tcPr>
            <w:tcW w:w="1550" w:type="dxa"/>
            <w:shd w:val="clear" w:color="auto" w:fill="C6D9F1"/>
            <w:vAlign w:val="center"/>
          </w:tcPr>
          <w:p w:rsidR="00CB5A76" w:rsidRPr="004F2955" w:rsidRDefault="00CB5A76" w:rsidP="00E01DBD">
            <w:pPr>
              <w:pStyle w:val="Heading10"/>
              <w:spacing w:before="120" w:after="120"/>
              <w:jc w:val="center"/>
              <w:rPr>
                <w:rFonts w:ascii="Calibri" w:hAnsi="Calibri" w:cs="Calibri"/>
                <w:color w:val="17365D"/>
                <w:sz w:val="22"/>
                <w:szCs w:val="22"/>
              </w:rPr>
            </w:pPr>
            <w:r w:rsidRPr="004F2955">
              <w:rPr>
                <w:rFonts w:ascii="Calibri" w:hAnsi="Calibri" w:cs="Calibri"/>
                <w:color w:val="17365D"/>
                <w:sz w:val="22"/>
                <w:szCs w:val="22"/>
              </w:rPr>
              <w:t>Client:</w:t>
            </w:r>
          </w:p>
        </w:tc>
        <w:tc>
          <w:tcPr>
            <w:tcW w:w="5770" w:type="dxa"/>
          </w:tcPr>
          <w:p w:rsidR="00CB5A76" w:rsidRPr="004F2955" w:rsidRDefault="00CB5A76" w:rsidP="00E01DBD">
            <w:pPr>
              <w:pStyle w:val="Clientname"/>
              <w:rPr>
                <w:rFonts w:ascii="Calibri" w:hAnsi="Calibri" w:cs="Calibri"/>
              </w:rPr>
            </w:pPr>
            <w:r>
              <w:rPr>
                <w:rFonts w:ascii="Calibri" w:hAnsi="Calibri" w:cs="Calibri"/>
                <w:sz w:val="22"/>
                <w:szCs w:val="22"/>
              </w:rPr>
              <w:t>AusAID</w:t>
            </w:r>
          </w:p>
        </w:tc>
      </w:tr>
      <w:tr w:rsidR="00CB5A76" w:rsidRPr="004F2955">
        <w:trPr>
          <w:jc w:val="center"/>
        </w:trPr>
        <w:tc>
          <w:tcPr>
            <w:tcW w:w="1550" w:type="dxa"/>
            <w:shd w:val="clear" w:color="auto" w:fill="C6D9F1"/>
            <w:vAlign w:val="center"/>
          </w:tcPr>
          <w:p w:rsidR="00CB5A76" w:rsidRPr="004F2955" w:rsidRDefault="00CB5A76" w:rsidP="00E01DBD">
            <w:pPr>
              <w:pStyle w:val="Heading10"/>
              <w:spacing w:before="120" w:after="120"/>
              <w:jc w:val="center"/>
              <w:rPr>
                <w:rFonts w:ascii="Calibri" w:hAnsi="Calibri" w:cs="Calibri"/>
                <w:color w:val="17365D"/>
                <w:sz w:val="22"/>
                <w:szCs w:val="22"/>
              </w:rPr>
            </w:pPr>
            <w:r>
              <w:rPr>
                <w:rFonts w:ascii="Calibri" w:hAnsi="Calibri" w:cs="Calibri"/>
                <w:color w:val="17365D"/>
                <w:sz w:val="22"/>
                <w:szCs w:val="22"/>
              </w:rPr>
              <w:t>NGOs</w:t>
            </w:r>
            <w:r w:rsidRPr="004F2955">
              <w:rPr>
                <w:rFonts w:ascii="Calibri" w:hAnsi="Calibri" w:cs="Calibri"/>
                <w:color w:val="17365D"/>
                <w:sz w:val="22"/>
                <w:szCs w:val="22"/>
              </w:rPr>
              <w:t>:</w:t>
            </w:r>
          </w:p>
        </w:tc>
        <w:tc>
          <w:tcPr>
            <w:tcW w:w="5770" w:type="dxa"/>
          </w:tcPr>
          <w:p w:rsidR="00CB5A76" w:rsidRDefault="00CB5A76" w:rsidP="00E01DBD">
            <w:pPr>
              <w:spacing w:before="120"/>
              <w:jc w:val="center"/>
              <w:rPr>
                <w:rFonts w:ascii="Calibri" w:hAnsi="Calibri" w:cs="Calibri"/>
              </w:rPr>
            </w:pPr>
            <w:r>
              <w:rPr>
                <w:rFonts w:ascii="Calibri" w:hAnsi="Calibri" w:cs="Calibri"/>
                <w:sz w:val="22"/>
                <w:szCs w:val="22"/>
              </w:rPr>
              <w:t>CARE</w:t>
            </w:r>
          </w:p>
          <w:p w:rsidR="00CB5A76" w:rsidRDefault="00CB5A76" w:rsidP="00E01DBD">
            <w:pPr>
              <w:jc w:val="center"/>
              <w:rPr>
                <w:rFonts w:ascii="Calibri" w:hAnsi="Calibri" w:cs="Calibri"/>
              </w:rPr>
            </w:pPr>
            <w:r>
              <w:rPr>
                <w:rFonts w:ascii="Calibri" w:hAnsi="Calibri" w:cs="Calibri"/>
                <w:sz w:val="22"/>
                <w:szCs w:val="22"/>
              </w:rPr>
              <w:t>Oxfam</w:t>
            </w:r>
          </w:p>
          <w:p w:rsidR="00CB5A76" w:rsidRDefault="00CB5A76" w:rsidP="00E01DBD">
            <w:pPr>
              <w:jc w:val="center"/>
              <w:rPr>
                <w:rFonts w:ascii="Calibri" w:hAnsi="Calibri" w:cs="Calibri"/>
              </w:rPr>
            </w:pPr>
            <w:r>
              <w:rPr>
                <w:rFonts w:ascii="Calibri" w:hAnsi="Calibri" w:cs="Calibri"/>
                <w:sz w:val="22"/>
                <w:szCs w:val="22"/>
              </w:rPr>
              <w:t>Save the Children Australia</w:t>
            </w:r>
          </w:p>
          <w:p w:rsidR="00CB5A76" w:rsidRPr="004F2955" w:rsidRDefault="00CB5A76" w:rsidP="00E01DBD">
            <w:pPr>
              <w:spacing w:after="120"/>
              <w:jc w:val="center"/>
              <w:rPr>
                <w:rFonts w:ascii="Calibri" w:hAnsi="Calibri" w:cs="Calibri"/>
              </w:rPr>
            </w:pPr>
            <w:r>
              <w:rPr>
                <w:rFonts w:ascii="Calibri" w:hAnsi="Calibri" w:cs="Calibri"/>
                <w:sz w:val="22"/>
                <w:szCs w:val="22"/>
              </w:rPr>
              <w:t>World Vision</w:t>
            </w:r>
          </w:p>
        </w:tc>
      </w:tr>
      <w:tr w:rsidR="00CB5A76" w:rsidRPr="004F2955">
        <w:trPr>
          <w:jc w:val="center"/>
        </w:trPr>
        <w:tc>
          <w:tcPr>
            <w:tcW w:w="1550" w:type="dxa"/>
            <w:shd w:val="clear" w:color="auto" w:fill="C6D9F1"/>
            <w:vAlign w:val="center"/>
          </w:tcPr>
          <w:p w:rsidR="00CB5A76" w:rsidRPr="004F2955" w:rsidRDefault="00CB5A76" w:rsidP="00E01DBD">
            <w:pPr>
              <w:pStyle w:val="Heading10"/>
              <w:spacing w:before="120" w:after="120"/>
              <w:jc w:val="center"/>
              <w:rPr>
                <w:rFonts w:ascii="Calibri" w:hAnsi="Calibri" w:cs="Calibri"/>
                <w:color w:val="17365D"/>
                <w:sz w:val="22"/>
                <w:szCs w:val="22"/>
              </w:rPr>
            </w:pPr>
            <w:r>
              <w:rPr>
                <w:rFonts w:ascii="Calibri" w:hAnsi="Calibri" w:cs="Calibri"/>
                <w:color w:val="17365D"/>
                <w:sz w:val="22"/>
                <w:szCs w:val="22"/>
              </w:rPr>
              <w:t>Evaluators</w:t>
            </w:r>
            <w:r w:rsidRPr="004F2955">
              <w:rPr>
                <w:rFonts w:ascii="Calibri" w:hAnsi="Calibri" w:cs="Calibri"/>
                <w:color w:val="17365D"/>
                <w:sz w:val="22"/>
                <w:szCs w:val="22"/>
              </w:rPr>
              <w:t>:</w:t>
            </w:r>
          </w:p>
        </w:tc>
        <w:tc>
          <w:tcPr>
            <w:tcW w:w="5770" w:type="dxa"/>
          </w:tcPr>
          <w:p w:rsidR="00CB5A76" w:rsidRDefault="00CB5A76" w:rsidP="00E01DBD">
            <w:pPr>
              <w:jc w:val="center"/>
              <w:rPr>
                <w:rFonts w:ascii="Calibri" w:hAnsi="Calibri" w:cs="Calibri"/>
              </w:rPr>
            </w:pPr>
            <w:bookmarkStart w:id="0" w:name="OLE_LINK1"/>
            <w:bookmarkStart w:id="1" w:name="OLE_LINK2"/>
          </w:p>
          <w:p w:rsidR="00CB5A76" w:rsidRDefault="00CB5A76" w:rsidP="00E01DBD">
            <w:pPr>
              <w:jc w:val="center"/>
              <w:rPr>
                <w:rFonts w:ascii="Calibri" w:hAnsi="Calibri" w:cs="Calibri"/>
              </w:rPr>
            </w:pPr>
            <w:r w:rsidRPr="00593E5E">
              <w:rPr>
                <w:rFonts w:ascii="Calibri" w:hAnsi="Calibri" w:cs="Calibri"/>
                <w:sz w:val="22"/>
                <w:szCs w:val="22"/>
              </w:rPr>
              <w:t xml:space="preserve">Belinda </w:t>
            </w:r>
            <w:proofErr w:type="spellStart"/>
            <w:r w:rsidRPr="00593E5E">
              <w:rPr>
                <w:rFonts w:ascii="Calibri" w:hAnsi="Calibri" w:cs="Calibri"/>
                <w:sz w:val="22"/>
                <w:szCs w:val="22"/>
              </w:rPr>
              <w:t>Mericourt</w:t>
            </w:r>
            <w:bookmarkEnd w:id="0"/>
            <w:bookmarkEnd w:id="1"/>
            <w:proofErr w:type="spellEnd"/>
            <w:r>
              <w:rPr>
                <w:rFonts w:ascii="Calibri" w:hAnsi="Calibri" w:cs="Calibri"/>
                <w:sz w:val="22"/>
                <w:szCs w:val="22"/>
              </w:rPr>
              <w:t xml:space="preserve"> (Lead Gender specialist)</w:t>
            </w:r>
          </w:p>
          <w:p w:rsidR="00CB5A76" w:rsidRDefault="00CB5A76" w:rsidP="00E01DBD">
            <w:pPr>
              <w:jc w:val="center"/>
              <w:rPr>
                <w:rFonts w:ascii="Calibri" w:hAnsi="Calibri" w:cs="Calibri"/>
              </w:rPr>
            </w:pPr>
            <w:proofErr w:type="spellStart"/>
            <w:r w:rsidRPr="00593E5E">
              <w:rPr>
                <w:rFonts w:ascii="Calibri" w:hAnsi="Calibri" w:cs="Calibri"/>
                <w:sz w:val="22"/>
                <w:szCs w:val="22"/>
              </w:rPr>
              <w:t>Somsisouk</w:t>
            </w:r>
            <w:proofErr w:type="spellEnd"/>
            <w:r>
              <w:rPr>
                <w:rFonts w:ascii="Calibri" w:hAnsi="Calibri" w:cs="Calibri"/>
                <w:sz w:val="22"/>
                <w:szCs w:val="22"/>
              </w:rPr>
              <w:t xml:space="preserve"> </w:t>
            </w:r>
            <w:r w:rsidRPr="00593E5E">
              <w:rPr>
                <w:rFonts w:ascii="Calibri" w:hAnsi="Calibri" w:cs="Calibri"/>
                <w:sz w:val="22"/>
                <w:szCs w:val="22"/>
              </w:rPr>
              <w:t>Inthavong-</w:t>
            </w:r>
            <w:proofErr w:type="spellStart"/>
            <w:r w:rsidRPr="00593E5E">
              <w:rPr>
                <w:rFonts w:ascii="Calibri" w:hAnsi="Calibri" w:cs="Calibri"/>
                <w:sz w:val="22"/>
                <w:szCs w:val="22"/>
              </w:rPr>
              <w:t>Sihachakr</w:t>
            </w:r>
            <w:proofErr w:type="spellEnd"/>
            <w:r>
              <w:rPr>
                <w:rFonts w:ascii="Calibri" w:hAnsi="Calibri" w:cs="Calibri"/>
                <w:sz w:val="22"/>
                <w:szCs w:val="22"/>
              </w:rPr>
              <w:t xml:space="preserve"> (Gender specialist)</w:t>
            </w:r>
          </w:p>
          <w:p w:rsidR="00CB5A76" w:rsidRPr="004F2955" w:rsidRDefault="00CB5A76" w:rsidP="00E01DBD">
            <w:pPr>
              <w:spacing w:after="120"/>
              <w:jc w:val="center"/>
              <w:rPr>
                <w:rFonts w:ascii="Calibri" w:hAnsi="Calibri" w:cs="Calibri"/>
              </w:rPr>
            </w:pPr>
          </w:p>
        </w:tc>
      </w:tr>
      <w:tr w:rsidR="00CB5A76" w:rsidRPr="004F2955">
        <w:trPr>
          <w:jc w:val="center"/>
        </w:trPr>
        <w:tc>
          <w:tcPr>
            <w:tcW w:w="1550" w:type="dxa"/>
            <w:shd w:val="clear" w:color="auto" w:fill="C6D9F1"/>
            <w:vAlign w:val="center"/>
          </w:tcPr>
          <w:p w:rsidR="00CB5A76" w:rsidRPr="004F2955" w:rsidRDefault="00CB5A76" w:rsidP="00E01DBD">
            <w:pPr>
              <w:pStyle w:val="Heading10"/>
              <w:spacing w:before="120" w:after="120"/>
              <w:jc w:val="center"/>
              <w:rPr>
                <w:rFonts w:ascii="Calibri" w:hAnsi="Calibri" w:cs="Calibri"/>
                <w:color w:val="17365D"/>
                <w:sz w:val="22"/>
                <w:szCs w:val="22"/>
              </w:rPr>
            </w:pPr>
            <w:r>
              <w:rPr>
                <w:rFonts w:ascii="Calibri" w:hAnsi="Calibri" w:cs="Calibri"/>
                <w:color w:val="17365D"/>
                <w:sz w:val="22"/>
                <w:szCs w:val="22"/>
              </w:rPr>
              <w:t xml:space="preserve">Version </w:t>
            </w:r>
            <w:r w:rsidRPr="004F2955">
              <w:rPr>
                <w:rFonts w:ascii="Calibri" w:hAnsi="Calibri" w:cs="Calibri"/>
                <w:color w:val="17365D"/>
                <w:sz w:val="22"/>
                <w:szCs w:val="22"/>
              </w:rPr>
              <w:t>Date:</w:t>
            </w:r>
          </w:p>
        </w:tc>
        <w:tc>
          <w:tcPr>
            <w:tcW w:w="5770" w:type="dxa"/>
          </w:tcPr>
          <w:p w:rsidR="00CB5A76" w:rsidRPr="004F2955" w:rsidRDefault="00CB5A76" w:rsidP="00E01DBD">
            <w:pPr>
              <w:spacing w:before="120" w:after="120"/>
              <w:jc w:val="center"/>
              <w:rPr>
                <w:rFonts w:ascii="Calibri" w:hAnsi="Calibri" w:cs="Calibri"/>
              </w:rPr>
            </w:pPr>
            <w:r>
              <w:rPr>
                <w:rFonts w:ascii="Calibri" w:hAnsi="Calibri" w:cs="Calibri"/>
                <w:sz w:val="22"/>
                <w:szCs w:val="22"/>
              </w:rPr>
              <w:t>05 June 2011</w:t>
            </w:r>
          </w:p>
        </w:tc>
      </w:tr>
    </w:tbl>
    <w:p w:rsidR="00CB5A76" w:rsidRDefault="00CB5A76" w:rsidP="00E01DBD">
      <w:pPr>
        <w:pStyle w:val="Bodytxt"/>
        <w:rPr>
          <w:lang w:val="en-GB"/>
        </w:rPr>
      </w:pPr>
    </w:p>
    <w:p w:rsidR="00CB5A76" w:rsidRDefault="00CB5A76" w:rsidP="00E01DBD">
      <w:pPr>
        <w:pStyle w:val="Bodytxt"/>
        <w:rPr>
          <w:lang w:val="en-GB"/>
        </w:rPr>
      </w:pPr>
      <w:r>
        <w:rPr>
          <w:lang w:val="en-GB"/>
        </w:rPr>
        <w:t xml:space="preserve">This document is the property of </w:t>
      </w:r>
      <w:r w:rsidR="00F77070">
        <w:fldChar w:fldCharType="begin"/>
      </w:r>
      <w:r w:rsidR="00F77070">
        <w:instrText xml:space="preserve"> STYLEREF  "Client name"  \* MERGEFORMAT </w:instrText>
      </w:r>
      <w:r w:rsidR="00F77070">
        <w:fldChar w:fldCharType="separate"/>
      </w:r>
      <w:r w:rsidRPr="00262E20">
        <w:rPr>
          <w:noProof/>
          <w:lang w:val="en-GB"/>
        </w:rPr>
        <w:t>AusAID</w:t>
      </w:r>
      <w:r w:rsidR="00F77070">
        <w:rPr>
          <w:noProof/>
          <w:lang w:val="en-GB"/>
        </w:rPr>
        <w:fldChar w:fldCharType="end"/>
      </w:r>
      <w:r>
        <w:rPr>
          <w:lang w:val="en-GB"/>
        </w:rPr>
        <w:t xml:space="preserve">.  </w:t>
      </w:r>
    </w:p>
    <w:p w:rsidR="00CB5A76" w:rsidRDefault="00CB5A76" w:rsidP="00E01DBD">
      <w:pPr>
        <w:pStyle w:val="Bodytxt"/>
        <w:rPr>
          <w:lang w:val="en-GB"/>
        </w:rPr>
      </w:pPr>
      <w:r>
        <w:rPr>
          <w:lang w:val="en-GB"/>
        </w:rPr>
        <w:t>It is permissible to copy and use any of the material in this report provided that the source is appropriately acknowledged.  Further information is available from:</w:t>
      </w:r>
    </w:p>
    <w:p w:rsidR="00CB5A76" w:rsidRPr="00593E5E" w:rsidRDefault="00CB5A76" w:rsidP="00E01DBD">
      <w:pPr>
        <w:pStyle w:val="Bodytxt"/>
        <w:spacing w:after="0"/>
        <w:ind w:left="1440"/>
        <w:rPr>
          <w:b/>
          <w:lang w:val="en-GB"/>
        </w:rPr>
      </w:pPr>
      <w:r w:rsidRPr="00593E5E">
        <w:rPr>
          <w:b/>
          <w:lang w:val="en-GB"/>
        </w:rPr>
        <w:t>Dulce</w:t>
      </w:r>
      <w:r>
        <w:rPr>
          <w:b/>
          <w:lang w:val="en-GB"/>
        </w:rPr>
        <w:t xml:space="preserve"> </w:t>
      </w:r>
      <w:proofErr w:type="spellStart"/>
      <w:r w:rsidRPr="00593E5E">
        <w:rPr>
          <w:b/>
          <w:lang w:val="en-GB"/>
        </w:rPr>
        <w:t>Carandang</w:t>
      </w:r>
      <w:proofErr w:type="spellEnd"/>
      <w:r>
        <w:rPr>
          <w:b/>
          <w:lang w:val="en-GB"/>
        </w:rPr>
        <w:t xml:space="preserve"> </w:t>
      </w:r>
      <w:proofErr w:type="spellStart"/>
      <w:r w:rsidRPr="00593E5E">
        <w:rPr>
          <w:b/>
          <w:lang w:val="en-GB"/>
        </w:rPr>
        <w:t>Simmanivong</w:t>
      </w:r>
      <w:proofErr w:type="spellEnd"/>
    </w:p>
    <w:p w:rsidR="00CB5A76" w:rsidRPr="00593E5E" w:rsidRDefault="00CB5A76" w:rsidP="00E01DBD">
      <w:pPr>
        <w:pStyle w:val="Bodytxt"/>
        <w:spacing w:after="0"/>
        <w:ind w:left="1440"/>
        <w:rPr>
          <w:lang w:val="en-GB"/>
        </w:rPr>
      </w:pPr>
      <w:r w:rsidRPr="00593E5E">
        <w:rPr>
          <w:lang w:val="en-GB"/>
        </w:rPr>
        <w:t xml:space="preserve">Senior Program Manager </w:t>
      </w:r>
    </w:p>
    <w:p w:rsidR="00CB5A76" w:rsidRDefault="00F77070" w:rsidP="00E01DBD">
      <w:pPr>
        <w:pStyle w:val="Bodytxt"/>
        <w:spacing w:after="0"/>
        <w:ind w:left="1440"/>
        <w:rPr>
          <w:lang w:val="en-GB"/>
        </w:rPr>
      </w:pPr>
      <w:r>
        <w:fldChar w:fldCharType="begin"/>
      </w:r>
      <w:r>
        <w:instrText xml:space="preserve"> STYLEREF  "Client name"  \* MERGEFORMAT </w:instrText>
      </w:r>
      <w:r>
        <w:fldChar w:fldCharType="separate"/>
      </w:r>
      <w:r w:rsidR="00CB5A76" w:rsidRPr="00262E20">
        <w:rPr>
          <w:noProof/>
          <w:lang w:val="en-GB"/>
        </w:rPr>
        <w:t>AusAID</w:t>
      </w:r>
      <w:r>
        <w:rPr>
          <w:noProof/>
          <w:lang w:val="en-GB"/>
        </w:rPr>
        <w:fldChar w:fldCharType="end"/>
      </w:r>
      <w:r w:rsidR="00CB5A76" w:rsidRPr="00593E5E">
        <w:rPr>
          <w:lang w:val="en-GB"/>
        </w:rPr>
        <w:t>Vientiane</w:t>
      </w:r>
    </w:p>
    <w:p w:rsidR="00CB5A76" w:rsidRPr="00593E5E" w:rsidRDefault="00CB5A76" w:rsidP="00E01DBD">
      <w:pPr>
        <w:pStyle w:val="Bodytxt"/>
        <w:spacing w:after="0"/>
        <w:ind w:left="1440"/>
        <w:rPr>
          <w:lang w:val="en-GB"/>
        </w:rPr>
      </w:pPr>
      <w:proofErr w:type="spellStart"/>
      <w:r w:rsidRPr="00593E5E">
        <w:rPr>
          <w:lang w:val="en-GB"/>
        </w:rPr>
        <w:t>Ph</w:t>
      </w:r>
      <w:proofErr w:type="spellEnd"/>
      <w:r w:rsidRPr="00593E5E">
        <w:rPr>
          <w:lang w:val="en-GB"/>
        </w:rPr>
        <w:t xml:space="preserve"> +856 21 353800 Ext 227</w:t>
      </w:r>
      <w:r>
        <w:rPr>
          <w:lang w:val="en-GB"/>
        </w:rPr>
        <w:t xml:space="preserve">; </w:t>
      </w:r>
      <w:r w:rsidRPr="00593E5E">
        <w:rPr>
          <w:lang w:val="en-GB"/>
        </w:rPr>
        <w:t>Mob +856 20 7798 7658</w:t>
      </w:r>
    </w:p>
    <w:p w:rsidR="00CB5A76" w:rsidRDefault="00CB5A76" w:rsidP="00E01DBD">
      <w:pPr>
        <w:pStyle w:val="Bodytxt"/>
        <w:ind w:left="1440"/>
        <w:rPr>
          <w:lang w:val="en-GB"/>
        </w:rPr>
      </w:pPr>
    </w:p>
    <w:p w:rsidR="00CB5A76" w:rsidRDefault="00CB5A76" w:rsidP="00E01DBD">
      <w:pPr>
        <w:pStyle w:val="Bodytxt"/>
        <w:rPr>
          <w:lang w:val="en-GB"/>
        </w:rPr>
      </w:pPr>
      <w:r>
        <w:rPr>
          <w:lang w:val="en-GB"/>
        </w:rPr>
        <w:t xml:space="preserve">© </w:t>
      </w:r>
      <w:r w:rsidR="00F77070">
        <w:fldChar w:fldCharType="begin"/>
      </w:r>
      <w:r w:rsidR="00F77070">
        <w:instrText xml:space="preserve"> STYLEREF  "Client name"  \* MERGEFORMAT </w:instrText>
      </w:r>
      <w:r w:rsidR="00F77070">
        <w:fldChar w:fldCharType="separate"/>
      </w:r>
      <w:r w:rsidRPr="00262E20">
        <w:rPr>
          <w:noProof/>
          <w:lang w:val="en-GB"/>
        </w:rPr>
        <w:t>AusAID</w:t>
      </w:r>
      <w:r w:rsidR="00F77070">
        <w:rPr>
          <w:noProof/>
          <w:lang w:val="en-GB"/>
        </w:rPr>
        <w:fldChar w:fldCharType="end"/>
      </w:r>
      <w:r>
        <w:rPr>
          <w:lang w:val="en-GB"/>
        </w:rPr>
        <w:t xml:space="preserve"> 2011</w:t>
      </w:r>
    </w:p>
    <w:p w:rsidR="00CB5A76" w:rsidRDefault="00CB5A76" w:rsidP="00E01DBD">
      <w:pPr>
        <w:pStyle w:val="Bodytxt"/>
        <w:rPr>
          <w:lang w:val="en-GB"/>
        </w:rPr>
      </w:pPr>
    </w:p>
    <w:p w:rsidR="00CB5A76" w:rsidRDefault="00CB5A76">
      <w:pPr>
        <w:pStyle w:val="Heading2"/>
        <w:numPr>
          <w:ilvl w:val="0"/>
          <w:numId w:val="0"/>
        </w:numPr>
        <w:rPr>
          <w:lang w:val="en-GB"/>
        </w:rPr>
      </w:pPr>
      <w:r>
        <w:rPr>
          <w:lang w:val="en-GB"/>
        </w:rPr>
        <w:br w:type="page"/>
      </w:r>
      <w:bookmarkStart w:id="2" w:name="_Toc168812968"/>
      <w:r>
        <w:rPr>
          <w:lang w:val="en-GB"/>
        </w:rPr>
        <w:lastRenderedPageBreak/>
        <w:t>Aid Activity Summary</w:t>
      </w:r>
      <w:bookmarkEnd w:id="2"/>
    </w:p>
    <w:p w:rsidR="00CB5A76" w:rsidRDefault="00CB5A76">
      <w:pPr>
        <w:pStyle w:val="Bodytxt"/>
        <w:rPr>
          <w:lang w:val="en-GB"/>
        </w:rPr>
      </w:pPr>
    </w:p>
    <w:tbl>
      <w:tblPr>
        <w:tblW w:w="7320" w:type="dxa"/>
        <w:jc w:val="center"/>
        <w:tblInd w:w="828" w:type="dxa"/>
        <w:tblBorders>
          <w:top w:val="single" w:sz="4" w:space="0" w:color="17365D"/>
          <w:bottom w:val="single" w:sz="4" w:space="0" w:color="17365D"/>
          <w:insideH w:val="single" w:sz="4" w:space="0" w:color="17365D"/>
        </w:tblBorders>
        <w:tblLook w:val="0000" w:firstRow="0" w:lastRow="0" w:firstColumn="0" w:lastColumn="0" w:noHBand="0" w:noVBand="0"/>
      </w:tblPr>
      <w:tblGrid>
        <w:gridCol w:w="2483"/>
        <w:gridCol w:w="1612"/>
        <w:gridCol w:w="1612"/>
        <w:gridCol w:w="1613"/>
      </w:tblGrid>
      <w:tr w:rsidR="00CB5A76" w:rsidRPr="00A91465">
        <w:trPr>
          <w:jc w:val="center"/>
        </w:trPr>
        <w:tc>
          <w:tcPr>
            <w:tcW w:w="2483" w:type="dxa"/>
            <w:shd w:val="clear" w:color="auto" w:fill="C6D9F1"/>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Aid Activity Name</w:t>
            </w:r>
          </w:p>
        </w:tc>
        <w:tc>
          <w:tcPr>
            <w:tcW w:w="4837" w:type="dxa"/>
            <w:gridSpan w:val="3"/>
            <w:vAlign w:val="center"/>
          </w:tcPr>
          <w:p w:rsidR="00CB5A76" w:rsidRPr="00A91465" w:rsidRDefault="00CB5A76" w:rsidP="00E01DBD">
            <w:pPr>
              <w:jc w:val="center"/>
              <w:rPr>
                <w:rFonts w:ascii="Calibri" w:hAnsi="Calibri" w:cs="Calibri"/>
              </w:rPr>
            </w:pPr>
            <w:r>
              <w:rPr>
                <w:rFonts w:ascii="Calibri" w:hAnsi="Calibri" w:cs="Calibri"/>
                <w:sz w:val="22"/>
                <w:szCs w:val="22"/>
              </w:rPr>
              <w:t>LANGOCA</w:t>
            </w:r>
          </w:p>
        </w:tc>
      </w:tr>
      <w:tr w:rsidR="00CB5A76" w:rsidRPr="00A91465">
        <w:trPr>
          <w:jc w:val="center"/>
        </w:trPr>
        <w:tc>
          <w:tcPr>
            <w:tcW w:w="2483" w:type="dxa"/>
            <w:shd w:val="clear" w:color="auto" w:fill="C6D9F1"/>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Aid</w:t>
            </w:r>
            <w:r>
              <w:rPr>
                <w:rFonts w:ascii="Calibri" w:hAnsi="Calibri" w:cs="Calibri"/>
                <w:sz w:val="22"/>
                <w:szCs w:val="22"/>
              </w:rPr>
              <w:t xml:space="preserve"> </w:t>
            </w:r>
            <w:r w:rsidRPr="00A91465">
              <w:rPr>
                <w:rFonts w:ascii="Calibri" w:hAnsi="Calibri" w:cs="Calibri"/>
                <w:sz w:val="22"/>
                <w:szCs w:val="22"/>
              </w:rPr>
              <w:t>Works initiative number</w:t>
            </w:r>
          </w:p>
        </w:tc>
        <w:tc>
          <w:tcPr>
            <w:tcW w:w="4837" w:type="dxa"/>
            <w:gridSpan w:val="3"/>
            <w:vAlign w:val="center"/>
          </w:tcPr>
          <w:p w:rsidR="00CB5A76" w:rsidRPr="00A91465" w:rsidRDefault="00CB5A76" w:rsidP="00E01DBD">
            <w:pPr>
              <w:jc w:val="center"/>
              <w:rPr>
                <w:rFonts w:ascii="Calibri" w:hAnsi="Calibri" w:cs="Calibri"/>
              </w:rPr>
            </w:pPr>
            <w:r w:rsidRPr="00A91465">
              <w:rPr>
                <w:rFonts w:ascii="Calibri" w:hAnsi="Calibri" w:cs="Calibri"/>
                <w:sz w:val="22"/>
                <w:szCs w:val="22"/>
              </w:rPr>
              <w:t>INI</w:t>
            </w:r>
            <w:r>
              <w:rPr>
                <w:rFonts w:ascii="Calibri" w:hAnsi="Calibri" w:cs="Calibri"/>
                <w:sz w:val="22"/>
                <w:szCs w:val="22"/>
              </w:rPr>
              <w:t>310</w:t>
            </w:r>
          </w:p>
        </w:tc>
      </w:tr>
      <w:tr w:rsidR="00CB5A76" w:rsidRPr="00A91465">
        <w:trPr>
          <w:jc w:val="center"/>
        </w:trPr>
        <w:tc>
          <w:tcPr>
            <w:tcW w:w="2483" w:type="dxa"/>
            <w:shd w:val="clear" w:color="auto" w:fill="C6D9F1"/>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Commencement date</w:t>
            </w:r>
          </w:p>
        </w:tc>
        <w:tc>
          <w:tcPr>
            <w:tcW w:w="1612" w:type="dxa"/>
            <w:vAlign w:val="center"/>
          </w:tcPr>
          <w:p w:rsidR="00CB5A76" w:rsidRPr="00A91465" w:rsidRDefault="00CB5A76" w:rsidP="00E01DBD">
            <w:pPr>
              <w:jc w:val="center"/>
              <w:rPr>
                <w:rFonts w:ascii="Calibri" w:hAnsi="Calibri" w:cs="Calibri"/>
              </w:rPr>
            </w:pPr>
            <w:r>
              <w:rPr>
                <w:rFonts w:ascii="Calibri" w:hAnsi="Calibri" w:cs="Calibri"/>
                <w:sz w:val="22"/>
                <w:szCs w:val="22"/>
              </w:rPr>
              <w:t>July 2007</w:t>
            </w:r>
          </w:p>
        </w:tc>
        <w:tc>
          <w:tcPr>
            <w:tcW w:w="1612" w:type="dxa"/>
            <w:shd w:val="clear" w:color="auto" w:fill="C6D9F1"/>
            <w:vAlign w:val="center"/>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Completion date</w:t>
            </w:r>
          </w:p>
        </w:tc>
        <w:tc>
          <w:tcPr>
            <w:tcW w:w="1613" w:type="dxa"/>
            <w:vAlign w:val="center"/>
          </w:tcPr>
          <w:p w:rsidR="00CB5A76" w:rsidRPr="00A91465" w:rsidRDefault="00CB5A76" w:rsidP="00E01DBD">
            <w:pPr>
              <w:jc w:val="center"/>
              <w:rPr>
                <w:rFonts w:ascii="Calibri" w:hAnsi="Calibri" w:cs="Calibri"/>
              </w:rPr>
            </w:pPr>
            <w:r w:rsidRPr="00A91465">
              <w:rPr>
                <w:rFonts w:ascii="Calibri" w:hAnsi="Calibri" w:cs="Calibri"/>
                <w:sz w:val="22"/>
                <w:szCs w:val="22"/>
              </w:rPr>
              <w:t xml:space="preserve">June </w:t>
            </w:r>
            <w:r>
              <w:rPr>
                <w:rFonts w:ascii="Calibri" w:hAnsi="Calibri" w:cs="Calibri"/>
                <w:sz w:val="22"/>
                <w:szCs w:val="22"/>
              </w:rPr>
              <w:t>20</w:t>
            </w:r>
            <w:r w:rsidRPr="00A91465">
              <w:rPr>
                <w:rFonts w:ascii="Calibri" w:hAnsi="Calibri" w:cs="Calibri"/>
                <w:sz w:val="22"/>
                <w:szCs w:val="22"/>
              </w:rPr>
              <w:t>1</w:t>
            </w:r>
            <w:r>
              <w:rPr>
                <w:rFonts w:ascii="Calibri" w:hAnsi="Calibri" w:cs="Calibri"/>
                <w:sz w:val="22"/>
                <w:szCs w:val="22"/>
              </w:rPr>
              <w:t>2</w:t>
            </w:r>
          </w:p>
        </w:tc>
      </w:tr>
      <w:tr w:rsidR="00CB5A76" w:rsidRPr="00A91465">
        <w:trPr>
          <w:jc w:val="center"/>
        </w:trPr>
        <w:tc>
          <w:tcPr>
            <w:tcW w:w="2483" w:type="dxa"/>
            <w:shd w:val="clear" w:color="auto" w:fill="C6D9F1"/>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Total Australian $</w:t>
            </w:r>
          </w:p>
        </w:tc>
        <w:tc>
          <w:tcPr>
            <w:tcW w:w="4837" w:type="dxa"/>
            <w:gridSpan w:val="3"/>
            <w:vAlign w:val="center"/>
          </w:tcPr>
          <w:p w:rsidR="00CB5A76" w:rsidRPr="00A91465" w:rsidRDefault="00CB5A76" w:rsidP="00E01DBD">
            <w:pPr>
              <w:jc w:val="center"/>
              <w:rPr>
                <w:rFonts w:ascii="Calibri" w:hAnsi="Calibri" w:cs="Calibri"/>
              </w:rPr>
            </w:pPr>
            <w:r w:rsidRPr="00A91465">
              <w:rPr>
                <w:rFonts w:ascii="Calibri" w:hAnsi="Calibri" w:cs="Calibri"/>
                <w:sz w:val="22"/>
                <w:szCs w:val="22"/>
              </w:rPr>
              <w:t>$</w:t>
            </w:r>
            <w:r>
              <w:rPr>
                <w:rFonts w:ascii="Calibri" w:hAnsi="Calibri" w:cs="Calibri"/>
                <w:sz w:val="22"/>
                <w:szCs w:val="22"/>
              </w:rPr>
              <w:t>14 million</w:t>
            </w:r>
          </w:p>
        </w:tc>
      </w:tr>
      <w:tr w:rsidR="00CB5A76" w:rsidRPr="00A91465">
        <w:trPr>
          <w:jc w:val="center"/>
        </w:trPr>
        <w:tc>
          <w:tcPr>
            <w:tcW w:w="2483" w:type="dxa"/>
            <w:shd w:val="clear" w:color="auto" w:fill="C6D9F1"/>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Total other $</w:t>
            </w:r>
          </w:p>
        </w:tc>
        <w:tc>
          <w:tcPr>
            <w:tcW w:w="4837" w:type="dxa"/>
            <w:gridSpan w:val="3"/>
            <w:vAlign w:val="center"/>
          </w:tcPr>
          <w:p w:rsidR="00CB5A76" w:rsidRPr="00A91465" w:rsidRDefault="00CB5A76" w:rsidP="00E01DBD">
            <w:pPr>
              <w:jc w:val="center"/>
              <w:rPr>
                <w:rFonts w:ascii="Calibri" w:hAnsi="Calibri" w:cs="Calibri"/>
              </w:rPr>
            </w:pPr>
            <w:r w:rsidRPr="00A91465">
              <w:rPr>
                <w:rFonts w:ascii="Calibri" w:hAnsi="Calibri" w:cs="Calibri"/>
                <w:sz w:val="22"/>
                <w:szCs w:val="22"/>
              </w:rPr>
              <w:t>$0</w:t>
            </w:r>
          </w:p>
        </w:tc>
      </w:tr>
      <w:tr w:rsidR="00CB5A76" w:rsidRPr="00A91465">
        <w:trPr>
          <w:jc w:val="center"/>
        </w:trPr>
        <w:tc>
          <w:tcPr>
            <w:tcW w:w="2483" w:type="dxa"/>
            <w:shd w:val="clear" w:color="auto" w:fill="C6D9F1"/>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Delivery organisation(s)</w:t>
            </w:r>
          </w:p>
        </w:tc>
        <w:tc>
          <w:tcPr>
            <w:tcW w:w="4837" w:type="dxa"/>
            <w:gridSpan w:val="3"/>
            <w:vAlign w:val="center"/>
          </w:tcPr>
          <w:p w:rsidR="00CB5A76" w:rsidRDefault="00CB5A76" w:rsidP="00E01DBD">
            <w:pPr>
              <w:spacing w:before="120"/>
              <w:jc w:val="center"/>
              <w:rPr>
                <w:rFonts w:ascii="Calibri" w:hAnsi="Calibri" w:cs="Calibri"/>
              </w:rPr>
            </w:pPr>
            <w:r>
              <w:rPr>
                <w:rFonts w:ascii="Calibri" w:hAnsi="Calibri" w:cs="Calibri"/>
                <w:sz w:val="22"/>
                <w:szCs w:val="22"/>
              </w:rPr>
              <w:t>CARE</w:t>
            </w:r>
          </w:p>
          <w:p w:rsidR="00CB5A76" w:rsidRDefault="00CB5A76" w:rsidP="00E01DBD">
            <w:pPr>
              <w:jc w:val="center"/>
              <w:rPr>
                <w:rFonts w:ascii="Calibri" w:hAnsi="Calibri" w:cs="Calibri"/>
              </w:rPr>
            </w:pPr>
            <w:r>
              <w:rPr>
                <w:rFonts w:ascii="Calibri" w:hAnsi="Calibri" w:cs="Calibri"/>
                <w:sz w:val="22"/>
                <w:szCs w:val="22"/>
              </w:rPr>
              <w:t>Oxfam</w:t>
            </w:r>
          </w:p>
          <w:p w:rsidR="00CB5A76" w:rsidRDefault="00CB5A76" w:rsidP="00E01DBD">
            <w:pPr>
              <w:jc w:val="center"/>
              <w:rPr>
                <w:rFonts w:ascii="Calibri" w:hAnsi="Calibri" w:cs="Calibri"/>
              </w:rPr>
            </w:pPr>
            <w:r>
              <w:rPr>
                <w:rFonts w:ascii="Calibri" w:hAnsi="Calibri" w:cs="Calibri"/>
                <w:sz w:val="22"/>
                <w:szCs w:val="22"/>
              </w:rPr>
              <w:t>Save the Children</w:t>
            </w:r>
          </w:p>
          <w:p w:rsidR="00CB5A76" w:rsidRPr="00A91465" w:rsidRDefault="00CB5A76" w:rsidP="00E01DBD">
            <w:pPr>
              <w:spacing w:after="120"/>
              <w:jc w:val="center"/>
              <w:rPr>
                <w:rFonts w:ascii="Calibri" w:hAnsi="Calibri" w:cs="Calibri"/>
              </w:rPr>
            </w:pPr>
            <w:r>
              <w:rPr>
                <w:rFonts w:ascii="Calibri" w:hAnsi="Calibri" w:cs="Calibri"/>
                <w:sz w:val="22"/>
                <w:szCs w:val="22"/>
              </w:rPr>
              <w:t>World Vision</w:t>
            </w:r>
          </w:p>
        </w:tc>
      </w:tr>
      <w:tr w:rsidR="00CB5A76" w:rsidRPr="00A91465">
        <w:trPr>
          <w:jc w:val="center"/>
        </w:trPr>
        <w:tc>
          <w:tcPr>
            <w:tcW w:w="2483" w:type="dxa"/>
            <w:shd w:val="clear" w:color="auto" w:fill="C6D9F1"/>
            <w:vAlign w:val="center"/>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Implementing Partner(s)</w:t>
            </w:r>
          </w:p>
        </w:tc>
        <w:tc>
          <w:tcPr>
            <w:tcW w:w="4837" w:type="dxa"/>
            <w:gridSpan w:val="3"/>
            <w:vAlign w:val="center"/>
          </w:tcPr>
          <w:p w:rsidR="00CB5A76" w:rsidRPr="00A91465" w:rsidRDefault="00CB5A76" w:rsidP="00E01DBD">
            <w:pPr>
              <w:jc w:val="center"/>
              <w:rPr>
                <w:rFonts w:ascii="Calibri" w:hAnsi="Calibri" w:cs="Calibri"/>
              </w:rPr>
            </w:pPr>
            <w:r>
              <w:rPr>
                <w:rFonts w:ascii="Calibri" w:hAnsi="Calibri" w:cs="Calibri"/>
                <w:sz w:val="22"/>
                <w:szCs w:val="22"/>
              </w:rPr>
              <w:t>Department of International Cooperation</w:t>
            </w:r>
          </w:p>
        </w:tc>
      </w:tr>
      <w:tr w:rsidR="00CB5A76" w:rsidRPr="00A91465">
        <w:trPr>
          <w:jc w:val="center"/>
        </w:trPr>
        <w:tc>
          <w:tcPr>
            <w:tcW w:w="2483" w:type="dxa"/>
            <w:shd w:val="clear" w:color="auto" w:fill="C6D9F1"/>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Country/Region</w:t>
            </w:r>
          </w:p>
        </w:tc>
        <w:tc>
          <w:tcPr>
            <w:tcW w:w="4837" w:type="dxa"/>
            <w:gridSpan w:val="3"/>
            <w:vAlign w:val="center"/>
          </w:tcPr>
          <w:p w:rsidR="00CB5A76" w:rsidRPr="00A91465" w:rsidRDefault="00CB5A76" w:rsidP="00E01DBD">
            <w:pPr>
              <w:jc w:val="center"/>
              <w:rPr>
                <w:rFonts w:ascii="Calibri" w:hAnsi="Calibri" w:cs="Calibri"/>
              </w:rPr>
            </w:pPr>
            <w:smartTag w:uri="urn:schemas-microsoft-com:office:smarttags" w:element="place">
              <w:smartTag w:uri="urn:schemas-microsoft-com:office:smarttags" w:element="country-region">
                <w:r>
                  <w:rPr>
                    <w:rFonts w:ascii="Calibri" w:hAnsi="Calibri" w:cs="Calibri"/>
                    <w:sz w:val="22"/>
                    <w:szCs w:val="22"/>
                  </w:rPr>
                  <w:t>Laos</w:t>
                </w:r>
              </w:smartTag>
            </w:smartTag>
            <w:r>
              <w:rPr>
                <w:rFonts w:ascii="Calibri" w:hAnsi="Calibri" w:cs="Calibri"/>
                <w:sz w:val="22"/>
                <w:szCs w:val="22"/>
              </w:rPr>
              <w:t xml:space="preserve"> PDR</w:t>
            </w:r>
          </w:p>
        </w:tc>
      </w:tr>
      <w:tr w:rsidR="00CB5A76" w:rsidRPr="00A91465">
        <w:trPr>
          <w:jc w:val="center"/>
        </w:trPr>
        <w:tc>
          <w:tcPr>
            <w:tcW w:w="2483" w:type="dxa"/>
            <w:shd w:val="clear" w:color="auto" w:fill="C6D9F1"/>
          </w:tcPr>
          <w:p w:rsidR="00CB5A76" w:rsidRPr="00A91465" w:rsidRDefault="00CB5A76" w:rsidP="00E01DBD">
            <w:pPr>
              <w:pStyle w:val="Heading10"/>
              <w:spacing w:before="120" w:after="120"/>
              <w:jc w:val="center"/>
              <w:rPr>
                <w:rFonts w:ascii="Calibri" w:hAnsi="Calibri" w:cs="Calibri"/>
                <w:sz w:val="22"/>
                <w:szCs w:val="22"/>
              </w:rPr>
            </w:pPr>
            <w:r w:rsidRPr="00A91465">
              <w:rPr>
                <w:rFonts w:ascii="Calibri" w:hAnsi="Calibri" w:cs="Calibri"/>
                <w:sz w:val="22"/>
                <w:szCs w:val="22"/>
              </w:rPr>
              <w:t>Primary Sector</w:t>
            </w:r>
          </w:p>
        </w:tc>
        <w:tc>
          <w:tcPr>
            <w:tcW w:w="4837" w:type="dxa"/>
            <w:gridSpan w:val="3"/>
            <w:vAlign w:val="center"/>
          </w:tcPr>
          <w:p w:rsidR="00CB5A76" w:rsidRPr="00A91465" w:rsidRDefault="00CB5A76" w:rsidP="00E01DBD">
            <w:pPr>
              <w:jc w:val="center"/>
              <w:rPr>
                <w:rFonts w:ascii="Calibri" w:hAnsi="Calibri" w:cs="Calibri"/>
              </w:rPr>
            </w:pPr>
            <w:r>
              <w:rPr>
                <w:rFonts w:ascii="Calibri" w:hAnsi="Calibri" w:cs="Calibri"/>
                <w:sz w:val="22"/>
                <w:szCs w:val="22"/>
              </w:rPr>
              <w:t>Disaster Management, UXO Clearance</w:t>
            </w:r>
          </w:p>
        </w:tc>
      </w:tr>
    </w:tbl>
    <w:p w:rsidR="00CB5A76" w:rsidRPr="00731412" w:rsidRDefault="00CB5A76" w:rsidP="00E01DBD">
      <w:pPr>
        <w:pStyle w:val="Bodytxt"/>
      </w:pPr>
    </w:p>
    <w:p w:rsidR="00CB5A76" w:rsidRDefault="00CB5A76">
      <w:pPr>
        <w:pStyle w:val="Bodytxt"/>
        <w:rPr>
          <w:lang w:val="en-GB"/>
        </w:rPr>
      </w:pPr>
    </w:p>
    <w:p w:rsidR="00CB5A76" w:rsidRDefault="00CB5A76">
      <w:pPr>
        <w:pStyle w:val="Bodytxt"/>
        <w:rPr>
          <w:lang w:val="en-GB"/>
        </w:rPr>
      </w:pPr>
    </w:p>
    <w:p w:rsidR="00CB5A76" w:rsidRDefault="00CB5A76">
      <w:pPr>
        <w:pStyle w:val="Bodytxt"/>
        <w:rPr>
          <w:lang w:val="en-GB"/>
        </w:rPr>
      </w:pPr>
    </w:p>
    <w:p w:rsidR="00CB5A76" w:rsidRDefault="00CB5A76">
      <w:pPr>
        <w:pStyle w:val="Bodytxt"/>
        <w:rPr>
          <w:lang w:val="en-GB"/>
        </w:rPr>
      </w:pPr>
    </w:p>
    <w:p w:rsidR="00CB5A76" w:rsidRDefault="00CB5A76">
      <w:pPr>
        <w:pStyle w:val="Bodytxt"/>
        <w:rPr>
          <w:lang w:val="en-GB"/>
        </w:rPr>
      </w:pPr>
    </w:p>
    <w:p w:rsidR="00CB5A76" w:rsidRDefault="00CB5A76" w:rsidP="00E01DBD">
      <w:pPr>
        <w:pStyle w:val="Heading2"/>
        <w:numPr>
          <w:ilvl w:val="0"/>
          <w:numId w:val="0"/>
        </w:numPr>
        <w:rPr>
          <w:lang w:val="en-GB"/>
        </w:rPr>
      </w:pPr>
      <w:bookmarkStart w:id="3" w:name="_GoBack"/>
      <w:bookmarkEnd w:id="3"/>
      <w:r>
        <w:rPr>
          <w:lang w:val="en-GB"/>
        </w:rPr>
        <w:br w:type="page"/>
      </w:r>
      <w:bookmarkStart w:id="4" w:name="_Toc168812969"/>
      <w:r>
        <w:rPr>
          <w:lang w:val="en-GB"/>
        </w:rPr>
        <w:t>Acknowledgements</w:t>
      </w:r>
      <w:bookmarkEnd w:id="4"/>
    </w:p>
    <w:p w:rsidR="00CB5A76" w:rsidRPr="00CF248A" w:rsidRDefault="00CB5A76" w:rsidP="00CF248A">
      <w:pPr>
        <w:pStyle w:val="Bodytxt"/>
        <w:spacing w:after="0"/>
        <w:ind w:left="567"/>
        <w:rPr>
          <w:sz w:val="24"/>
          <w:lang w:val="en-GB"/>
        </w:rPr>
      </w:pPr>
      <w:r w:rsidRPr="00CF248A">
        <w:rPr>
          <w:sz w:val="24"/>
          <w:lang w:val="en-GB"/>
        </w:rPr>
        <w:t xml:space="preserve">Dulce </w:t>
      </w:r>
      <w:proofErr w:type="spellStart"/>
      <w:r w:rsidRPr="00CF248A">
        <w:rPr>
          <w:sz w:val="24"/>
          <w:lang w:val="en-GB"/>
        </w:rPr>
        <w:t>Carandang</w:t>
      </w:r>
      <w:proofErr w:type="spellEnd"/>
      <w:r w:rsidRPr="00CF248A">
        <w:rPr>
          <w:sz w:val="24"/>
          <w:lang w:val="en-GB"/>
        </w:rPr>
        <w:t xml:space="preserve"> </w:t>
      </w:r>
      <w:proofErr w:type="spellStart"/>
      <w:r w:rsidRPr="00CF248A">
        <w:rPr>
          <w:sz w:val="24"/>
          <w:lang w:val="en-GB"/>
        </w:rPr>
        <w:t>Simmanivong</w:t>
      </w:r>
      <w:proofErr w:type="spellEnd"/>
      <w:r>
        <w:rPr>
          <w:sz w:val="24"/>
          <w:lang w:val="en-GB"/>
        </w:rPr>
        <w:t>,</w:t>
      </w:r>
      <w:r w:rsidRPr="00CF248A">
        <w:rPr>
          <w:sz w:val="24"/>
          <w:lang w:val="en-GB"/>
        </w:rPr>
        <w:t xml:space="preserve"> Senior Program Manager and </w:t>
      </w:r>
      <w:proofErr w:type="spellStart"/>
      <w:r w:rsidRPr="00CF248A">
        <w:rPr>
          <w:sz w:val="24"/>
          <w:lang w:val="en-GB"/>
        </w:rPr>
        <w:t>Rakounna</w:t>
      </w:r>
      <w:proofErr w:type="spellEnd"/>
      <w:r>
        <w:rPr>
          <w:sz w:val="24"/>
          <w:lang w:val="en-GB"/>
        </w:rPr>
        <w:t xml:space="preserve"> </w:t>
      </w:r>
      <w:proofErr w:type="spellStart"/>
      <w:r w:rsidRPr="00B71D12">
        <w:rPr>
          <w:sz w:val="24"/>
        </w:rPr>
        <w:t>Sisaleumsak</w:t>
      </w:r>
      <w:proofErr w:type="spellEnd"/>
      <w:r w:rsidRPr="00B71D12">
        <w:rPr>
          <w:sz w:val="24"/>
        </w:rPr>
        <w:t>,</w:t>
      </w:r>
      <w:r>
        <w:t xml:space="preserve"> </w:t>
      </w:r>
      <w:r>
        <w:rPr>
          <w:sz w:val="24"/>
          <w:lang w:val="en-GB"/>
        </w:rPr>
        <w:t>Senior Program Officer,</w:t>
      </w:r>
      <w:r w:rsidRPr="00CF248A">
        <w:rPr>
          <w:sz w:val="24"/>
          <w:lang w:val="en-GB"/>
        </w:rPr>
        <w:t xml:space="preserve"> AusAID Vientiane </w:t>
      </w:r>
      <w:r>
        <w:rPr>
          <w:sz w:val="24"/>
          <w:lang w:val="en-GB"/>
        </w:rPr>
        <w:t>commissioned and managed</w:t>
      </w:r>
      <w:r w:rsidRPr="00CF248A">
        <w:rPr>
          <w:sz w:val="24"/>
          <w:lang w:val="en-GB"/>
        </w:rPr>
        <w:t xml:space="preserve"> the </w:t>
      </w:r>
      <w:r>
        <w:rPr>
          <w:sz w:val="24"/>
          <w:lang w:val="en-GB"/>
        </w:rPr>
        <w:t>Independent Progress Review</w:t>
      </w:r>
      <w:r w:rsidRPr="00CF248A">
        <w:rPr>
          <w:sz w:val="24"/>
          <w:lang w:val="en-GB"/>
        </w:rPr>
        <w:t>.</w:t>
      </w:r>
      <w:r>
        <w:rPr>
          <w:sz w:val="24"/>
          <w:lang w:val="en-GB"/>
        </w:rPr>
        <w:t xml:space="preserve"> </w:t>
      </w:r>
      <w:proofErr w:type="spellStart"/>
      <w:smartTag w:uri="urn:schemas-microsoft-com:office:smarttags" w:element="PersonName">
        <w:r w:rsidRPr="00CF248A">
          <w:rPr>
            <w:sz w:val="24"/>
            <w:lang w:val="en-GB"/>
          </w:rPr>
          <w:t>Raine</w:t>
        </w:r>
        <w:proofErr w:type="spellEnd"/>
        <w:r w:rsidRPr="00CF248A">
          <w:rPr>
            <w:sz w:val="24"/>
            <w:lang w:val="en-GB"/>
          </w:rPr>
          <w:t xml:space="preserve"> Dixon</w:t>
        </w:r>
      </w:smartTag>
      <w:r w:rsidRPr="00CF248A">
        <w:rPr>
          <w:sz w:val="24"/>
          <w:lang w:val="en-GB"/>
        </w:rPr>
        <w:t>, First Secretary</w:t>
      </w:r>
      <w:r>
        <w:rPr>
          <w:sz w:val="24"/>
          <w:lang w:val="en-GB"/>
        </w:rPr>
        <w:t xml:space="preserve">, </w:t>
      </w:r>
      <w:r w:rsidRPr="00CF248A">
        <w:rPr>
          <w:sz w:val="24"/>
          <w:lang w:val="en-GB"/>
        </w:rPr>
        <w:t>facilitated the review.</w:t>
      </w:r>
    </w:p>
    <w:p w:rsidR="00CB5A76" w:rsidRDefault="00CB5A76" w:rsidP="00CF248A">
      <w:pPr>
        <w:pStyle w:val="Bodytxt"/>
        <w:spacing w:after="0"/>
        <w:ind w:left="567"/>
        <w:rPr>
          <w:sz w:val="24"/>
          <w:lang w:val="en-GB"/>
        </w:rPr>
      </w:pPr>
    </w:p>
    <w:p w:rsidR="00CB5A76" w:rsidRPr="00CF248A" w:rsidRDefault="00CB5A76" w:rsidP="00D81000">
      <w:pPr>
        <w:pStyle w:val="Bodytxt"/>
        <w:ind w:left="567"/>
        <w:rPr>
          <w:sz w:val="24"/>
          <w:lang w:val="en-GB"/>
        </w:rPr>
      </w:pPr>
      <w:r w:rsidRPr="00CF248A">
        <w:rPr>
          <w:sz w:val="24"/>
          <w:lang w:val="en-GB"/>
        </w:rPr>
        <w:t xml:space="preserve">The gender specialists would like to thank the other members of the review team, Paul Crawford, Sophie Davies and Philippa </w:t>
      </w:r>
      <w:proofErr w:type="spellStart"/>
      <w:r w:rsidRPr="00CF248A">
        <w:rPr>
          <w:sz w:val="24"/>
          <w:lang w:val="en-GB"/>
        </w:rPr>
        <w:t>Sackett</w:t>
      </w:r>
      <w:proofErr w:type="spellEnd"/>
      <w:r w:rsidRPr="00CF248A">
        <w:rPr>
          <w:sz w:val="24"/>
          <w:lang w:val="en-GB"/>
        </w:rPr>
        <w:t xml:space="preserve"> for their </w:t>
      </w:r>
      <w:r>
        <w:rPr>
          <w:sz w:val="24"/>
          <w:lang w:val="en-GB"/>
        </w:rPr>
        <w:t>valuable input to this document, and all</w:t>
      </w:r>
      <w:r w:rsidRPr="00CF248A">
        <w:rPr>
          <w:sz w:val="24"/>
          <w:lang w:val="en-GB"/>
        </w:rPr>
        <w:t xml:space="preserve"> LANGOCA program staff </w:t>
      </w:r>
      <w:r>
        <w:rPr>
          <w:sz w:val="24"/>
          <w:lang w:val="en-GB"/>
        </w:rPr>
        <w:t xml:space="preserve">who gave their time, </w:t>
      </w:r>
      <w:r w:rsidRPr="00CF248A">
        <w:rPr>
          <w:sz w:val="24"/>
          <w:lang w:val="en-GB"/>
        </w:rPr>
        <w:t>facilitated interviews with stakeholders and visits to project sites and acted as interpreters as needed.</w:t>
      </w:r>
      <w:r>
        <w:rPr>
          <w:sz w:val="24"/>
          <w:lang w:val="en-GB"/>
        </w:rPr>
        <w:t xml:space="preserve"> We would also like to thank all the community members and beneficiaries who so generously answered all our questions and told us their stories.</w:t>
      </w:r>
    </w:p>
    <w:p w:rsidR="00CB5A76" w:rsidRPr="00CF248A" w:rsidRDefault="00CB5A76" w:rsidP="00CF248A">
      <w:pPr>
        <w:pStyle w:val="Bodytxt"/>
        <w:spacing w:after="0"/>
        <w:ind w:left="567"/>
        <w:rPr>
          <w:sz w:val="24"/>
          <w:lang w:val="en-GB"/>
        </w:rPr>
      </w:pPr>
      <w:r w:rsidRPr="00CF248A">
        <w:rPr>
          <w:sz w:val="24"/>
          <w:lang w:val="en-GB"/>
        </w:rPr>
        <w:tab/>
      </w:r>
    </w:p>
    <w:p w:rsidR="00CB5A76" w:rsidRPr="00CF248A" w:rsidRDefault="00CB5A76" w:rsidP="00CF248A">
      <w:pPr>
        <w:pStyle w:val="Bodytxt"/>
        <w:spacing w:after="0"/>
        <w:ind w:left="567"/>
        <w:rPr>
          <w:sz w:val="24"/>
          <w:lang w:val="en-GB"/>
        </w:rPr>
      </w:pPr>
      <w:r w:rsidRPr="00CF248A">
        <w:rPr>
          <w:sz w:val="24"/>
          <w:lang w:val="en-GB"/>
        </w:rPr>
        <w:t>Government of Lao PDR cooperated fully with the review team</w:t>
      </w:r>
      <w:r>
        <w:rPr>
          <w:sz w:val="24"/>
          <w:lang w:val="en-GB"/>
        </w:rPr>
        <w:t xml:space="preserve"> and provided translation of local dialects when needed.</w:t>
      </w:r>
      <w:r w:rsidRPr="00CF248A">
        <w:rPr>
          <w:sz w:val="24"/>
          <w:lang w:val="en-GB"/>
        </w:rPr>
        <w:t xml:space="preserve"> Mr </w:t>
      </w:r>
      <w:proofErr w:type="spellStart"/>
      <w:r w:rsidRPr="00CF248A">
        <w:rPr>
          <w:sz w:val="24"/>
          <w:lang w:val="en-GB"/>
        </w:rPr>
        <w:t>Vanhphen</w:t>
      </w:r>
      <w:proofErr w:type="spellEnd"/>
      <w:r w:rsidRPr="00CF248A">
        <w:rPr>
          <w:sz w:val="24"/>
          <w:lang w:val="en-GB"/>
        </w:rPr>
        <w:t xml:space="preserve"> </w:t>
      </w:r>
      <w:proofErr w:type="spellStart"/>
      <w:r w:rsidRPr="00CF248A">
        <w:rPr>
          <w:sz w:val="24"/>
          <w:lang w:val="en-GB"/>
        </w:rPr>
        <w:t>Sengmanothong</w:t>
      </w:r>
      <w:proofErr w:type="spellEnd"/>
      <w:r w:rsidRPr="00CF248A">
        <w:rPr>
          <w:sz w:val="24"/>
          <w:lang w:val="en-GB"/>
        </w:rPr>
        <w:t xml:space="preserve"> (MPI) and Mr </w:t>
      </w:r>
      <w:proofErr w:type="spellStart"/>
      <w:r w:rsidRPr="00CF248A">
        <w:rPr>
          <w:sz w:val="24"/>
          <w:lang w:val="en-GB"/>
        </w:rPr>
        <w:t>Somlith</w:t>
      </w:r>
      <w:proofErr w:type="spellEnd"/>
      <w:r w:rsidRPr="00CF248A">
        <w:rPr>
          <w:sz w:val="24"/>
          <w:lang w:val="en-GB"/>
        </w:rPr>
        <w:t xml:space="preserve"> </w:t>
      </w:r>
      <w:proofErr w:type="spellStart"/>
      <w:r w:rsidRPr="00CF248A">
        <w:rPr>
          <w:sz w:val="24"/>
          <w:lang w:val="en-GB"/>
        </w:rPr>
        <w:t>Khantivong</w:t>
      </w:r>
      <w:proofErr w:type="spellEnd"/>
      <w:r w:rsidRPr="00CF248A">
        <w:rPr>
          <w:sz w:val="24"/>
          <w:lang w:val="en-GB"/>
        </w:rPr>
        <w:t xml:space="preserve"> (MFA/DIO) accompanied the team on the field visits</w:t>
      </w:r>
      <w:r>
        <w:rPr>
          <w:sz w:val="24"/>
          <w:lang w:val="en-GB"/>
        </w:rPr>
        <w:t xml:space="preserve"> and were extremely helpful to the review team</w:t>
      </w:r>
      <w:r w:rsidRPr="00CF248A">
        <w:rPr>
          <w:sz w:val="24"/>
          <w:lang w:val="en-GB"/>
        </w:rPr>
        <w:t>.</w:t>
      </w:r>
      <w:r w:rsidRPr="00CF248A">
        <w:rPr>
          <w:sz w:val="24"/>
          <w:lang w:val="en-GB"/>
        </w:rPr>
        <w:tab/>
      </w:r>
    </w:p>
    <w:p w:rsidR="00CB5A76" w:rsidRPr="00CF248A" w:rsidRDefault="00CB5A76" w:rsidP="00CF248A">
      <w:pPr>
        <w:pStyle w:val="Bodytxt"/>
        <w:spacing w:after="0"/>
        <w:ind w:left="567"/>
        <w:rPr>
          <w:sz w:val="24"/>
          <w:lang w:val="en-GB"/>
        </w:rPr>
      </w:pPr>
    </w:p>
    <w:p w:rsidR="00CB5A76" w:rsidRDefault="00CB5A76" w:rsidP="00C362C5">
      <w:pPr>
        <w:pStyle w:val="Bodytxt"/>
        <w:ind w:left="567"/>
        <w:rPr>
          <w:sz w:val="24"/>
          <w:lang w:val="en-GB"/>
        </w:rPr>
      </w:pPr>
    </w:p>
    <w:p w:rsidR="00CB5A76" w:rsidRPr="00C362C5" w:rsidRDefault="00CB5A76" w:rsidP="00C362C5">
      <w:pPr>
        <w:pStyle w:val="Bodytxt"/>
        <w:ind w:left="567"/>
        <w:rPr>
          <w:b/>
          <w:sz w:val="24"/>
          <w:lang w:val="en-GB"/>
        </w:rPr>
      </w:pPr>
    </w:p>
    <w:p w:rsidR="00CB5A76" w:rsidRPr="00C362C5" w:rsidRDefault="00CB5A76" w:rsidP="00D81000">
      <w:pPr>
        <w:pStyle w:val="Bodytxt"/>
        <w:ind w:left="0"/>
        <w:rPr>
          <w:b/>
          <w:lang w:val="en-GB"/>
        </w:rPr>
      </w:pPr>
      <w:r w:rsidRPr="00C362C5">
        <w:rPr>
          <w:rFonts w:ascii="Cambria" w:hAnsi="Cambria"/>
          <w:b/>
          <w:sz w:val="32"/>
        </w:rPr>
        <w:t>AUTHOR DETAILS</w:t>
      </w:r>
    </w:p>
    <w:p w:rsidR="00CB5A76" w:rsidRPr="00CF248A" w:rsidRDefault="00CB5A76" w:rsidP="0073566B">
      <w:pPr>
        <w:pStyle w:val="Bodytxt"/>
        <w:ind w:left="567"/>
        <w:rPr>
          <w:sz w:val="24"/>
          <w:lang w:val="en-PH"/>
        </w:rPr>
      </w:pPr>
      <w:r w:rsidRPr="00CF248A">
        <w:rPr>
          <w:sz w:val="24"/>
          <w:lang w:val="en-PH"/>
        </w:rPr>
        <w:t xml:space="preserve">Ms Belinda </w:t>
      </w:r>
      <w:proofErr w:type="spellStart"/>
      <w:r w:rsidRPr="00CF248A">
        <w:rPr>
          <w:sz w:val="24"/>
          <w:lang w:val="en-PH"/>
        </w:rPr>
        <w:t>Mericourt</w:t>
      </w:r>
      <w:proofErr w:type="spellEnd"/>
      <w:r w:rsidRPr="00CF248A">
        <w:rPr>
          <w:sz w:val="24"/>
          <w:lang w:val="en-PH"/>
        </w:rPr>
        <w:t xml:space="preserve"> is an independent consultant based in </w:t>
      </w:r>
      <w:smartTag w:uri="urn:schemas-microsoft-com:office:smarttags" w:element="country-region">
        <w:r w:rsidRPr="00CF248A">
          <w:rPr>
            <w:sz w:val="24"/>
            <w:lang w:val="en-PH"/>
          </w:rPr>
          <w:t>Cambodia</w:t>
        </w:r>
      </w:smartTag>
      <w:r w:rsidRPr="00CF248A">
        <w:rPr>
          <w:sz w:val="24"/>
          <w:lang w:val="en-PH"/>
        </w:rPr>
        <w:t xml:space="preserve"> with experience in </w:t>
      </w:r>
      <w:smartTag w:uri="urn:schemas-microsoft-com:office:smarttags" w:element="place">
        <w:r w:rsidRPr="00CF248A">
          <w:rPr>
            <w:sz w:val="24"/>
            <w:lang w:val="en-PH"/>
          </w:rPr>
          <w:t>Southeast Asia</w:t>
        </w:r>
      </w:smartTag>
      <w:r w:rsidRPr="00CF248A">
        <w:rPr>
          <w:sz w:val="24"/>
          <w:lang w:val="en-PH"/>
        </w:rPr>
        <w:t xml:space="preserve"> and the Pacific in implementation and evaluation of strategies for gender equity &amp; disability inclusion, aid effectiveness, </w:t>
      </w:r>
      <w:proofErr w:type="spellStart"/>
      <w:r>
        <w:rPr>
          <w:sz w:val="24"/>
          <w:lang w:val="en-PH"/>
        </w:rPr>
        <w:t>capcity</w:t>
      </w:r>
      <w:proofErr w:type="spellEnd"/>
      <w:r>
        <w:rPr>
          <w:sz w:val="24"/>
          <w:lang w:val="en-PH"/>
        </w:rPr>
        <w:t xml:space="preserve"> development and</w:t>
      </w:r>
      <w:r w:rsidRPr="00CF248A">
        <w:rPr>
          <w:sz w:val="24"/>
          <w:lang w:val="en-PH"/>
        </w:rPr>
        <w:t xml:space="preserve"> civil society engagement. </w:t>
      </w:r>
      <w:hyperlink r:id="rId15" w:history="1">
        <w:r w:rsidRPr="00CF248A">
          <w:rPr>
            <w:rStyle w:val="Hyperlink"/>
            <w:rFonts w:cs="Arial"/>
            <w:sz w:val="24"/>
            <w:lang w:val="en-PH"/>
          </w:rPr>
          <w:t>belindamericourt@gmail.com</w:t>
        </w:r>
      </w:hyperlink>
      <w:r w:rsidRPr="00CF248A">
        <w:rPr>
          <w:sz w:val="24"/>
          <w:lang w:val="en-PH"/>
        </w:rPr>
        <w:t>; mobile +855 12 799249</w:t>
      </w:r>
    </w:p>
    <w:p w:rsidR="00CB5A76" w:rsidRPr="00CF248A" w:rsidRDefault="00CB5A76" w:rsidP="0073566B">
      <w:pPr>
        <w:pStyle w:val="Bodytxt"/>
        <w:ind w:left="567"/>
        <w:rPr>
          <w:sz w:val="24"/>
          <w:lang w:val="en-PH"/>
        </w:rPr>
      </w:pPr>
      <w:r w:rsidRPr="00CF248A">
        <w:rPr>
          <w:sz w:val="24"/>
          <w:lang w:val="en-PH"/>
        </w:rPr>
        <w:t xml:space="preserve">Ms </w:t>
      </w:r>
      <w:proofErr w:type="spellStart"/>
      <w:r w:rsidRPr="00CF248A">
        <w:rPr>
          <w:sz w:val="24"/>
          <w:lang w:val="en-PH"/>
        </w:rPr>
        <w:t>Somsisouk</w:t>
      </w:r>
      <w:proofErr w:type="spellEnd"/>
      <w:r w:rsidRPr="00CF248A">
        <w:rPr>
          <w:sz w:val="24"/>
          <w:lang w:val="en-PH"/>
        </w:rPr>
        <w:t xml:space="preserve"> </w:t>
      </w:r>
      <w:r w:rsidRPr="00CF248A">
        <w:rPr>
          <w:rFonts w:cs="Calibri"/>
          <w:sz w:val="24"/>
          <w:szCs w:val="22"/>
        </w:rPr>
        <w:t xml:space="preserve">Inthavong </w:t>
      </w:r>
      <w:proofErr w:type="spellStart"/>
      <w:r w:rsidRPr="00CF248A">
        <w:rPr>
          <w:rFonts w:cs="Calibri"/>
          <w:sz w:val="24"/>
          <w:szCs w:val="22"/>
        </w:rPr>
        <w:t>Sihachakr</w:t>
      </w:r>
      <w:proofErr w:type="spellEnd"/>
      <w:r w:rsidRPr="00CF248A">
        <w:rPr>
          <w:rFonts w:cs="Calibri"/>
          <w:sz w:val="24"/>
          <w:szCs w:val="22"/>
        </w:rPr>
        <w:t xml:space="preserve"> is an independent consultant based in Lao PDR with experience in project evaluation and surveys with a gender focus.</w:t>
      </w:r>
      <w:r w:rsidRPr="00CF248A">
        <w:rPr>
          <w:rFonts w:cs="Calibri"/>
          <w:color w:val="FF0000"/>
          <w:sz w:val="24"/>
          <w:szCs w:val="22"/>
        </w:rPr>
        <w:t xml:space="preserve"> </w:t>
      </w:r>
      <w:hyperlink r:id="rId16" w:history="1">
        <w:r w:rsidRPr="00CF248A">
          <w:rPr>
            <w:rStyle w:val="Hyperlink"/>
            <w:rFonts w:cs="Calibri"/>
            <w:sz w:val="24"/>
            <w:szCs w:val="22"/>
          </w:rPr>
          <w:t>somsisouk@hotmail.com</w:t>
        </w:r>
      </w:hyperlink>
      <w:r w:rsidRPr="00CF248A">
        <w:rPr>
          <w:rFonts w:cs="Calibri"/>
          <w:sz w:val="24"/>
          <w:szCs w:val="22"/>
        </w:rPr>
        <w:t>; mobile +856 20 224 28 604</w:t>
      </w:r>
    </w:p>
    <w:p w:rsidR="00CB5A76" w:rsidRDefault="00CB5A76" w:rsidP="00E01DBD">
      <w:pPr>
        <w:pStyle w:val="Heading2"/>
        <w:numPr>
          <w:ilvl w:val="0"/>
          <w:numId w:val="0"/>
        </w:numPr>
        <w:rPr>
          <w:lang w:val="en-GB"/>
        </w:rPr>
      </w:pPr>
      <w:r w:rsidRPr="0068628E">
        <w:rPr>
          <w:lang w:val="en-PH"/>
        </w:rPr>
        <w:br w:type="page"/>
      </w:r>
      <w:bookmarkStart w:id="5" w:name="_Toc168812971"/>
      <w:r>
        <w:rPr>
          <w:lang w:val="en-GB"/>
        </w:rPr>
        <w:t>Executive Summary</w:t>
      </w:r>
      <w:bookmarkEnd w:id="5"/>
    </w:p>
    <w:p w:rsidR="00CB5A76" w:rsidRPr="0073566B" w:rsidRDefault="00CB5A76" w:rsidP="00763791">
      <w:pPr>
        <w:pStyle w:val="Bodytxt"/>
        <w:ind w:left="0" w:right="-480"/>
        <w:rPr>
          <w:sz w:val="24"/>
          <w:lang w:val="en-GB"/>
        </w:rPr>
      </w:pPr>
      <w:r w:rsidRPr="0073566B">
        <w:rPr>
          <w:sz w:val="24"/>
          <w:lang w:val="en-GB"/>
        </w:rPr>
        <w:t xml:space="preserve">The LANGOCA Program is a five year program consisting of five long-term activities (LTAs) and five related short term activities (STAs) implemented by Australian NGOs - CARE, Oxfam, Save the Children Australia (SCA) and World Vision (two projects).  </w:t>
      </w:r>
    </w:p>
    <w:p w:rsidR="00CB5A76" w:rsidRPr="0073566B" w:rsidRDefault="00CB5A76" w:rsidP="00763791">
      <w:pPr>
        <w:pStyle w:val="Bodytxt"/>
        <w:ind w:left="0" w:right="-480"/>
        <w:rPr>
          <w:sz w:val="24"/>
          <w:lang w:val="en-GB"/>
        </w:rPr>
      </w:pPr>
      <w:r w:rsidRPr="0073566B">
        <w:rPr>
          <w:sz w:val="24"/>
          <w:lang w:val="en-GB"/>
        </w:rPr>
        <w:t>The LANGOCA goal is:</w:t>
      </w:r>
    </w:p>
    <w:p w:rsidR="00CB5A76" w:rsidRPr="0073566B" w:rsidRDefault="00CB5A76" w:rsidP="00763791">
      <w:pPr>
        <w:pStyle w:val="Bodytxt"/>
        <w:ind w:left="0" w:right="-480"/>
        <w:rPr>
          <w:sz w:val="24"/>
          <w:lang w:val="en-GB"/>
        </w:rPr>
      </w:pPr>
      <w:r w:rsidRPr="0073566B">
        <w:rPr>
          <w:i/>
          <w:sz w:val="24"/>
          <w:lang w:val="en-GB"/>
        </w:rPr>
        <w:t xml:space="preserve">To reduce the vulnerability of the poor (by integrating poverty reduction and cross-cutting issues with disaster management and UXO approaches in </w:t>
      </w:r>
      <w:smartTag w:uri="urn:schemas-microsoft-com:office:smarttags" w:element="place">
        <w:smartTag w:uri="urn:schemas-microsoft-com:office:smarttags" w:element="country-region">
          <w:r w:rsidRPr="0073566B">
            <w:rPr>
              <w:i/>
              <w:sz w:val="24"/>
              <w:lang w:val="en-GB"/>
            </w:rPr>
            <w:t>Laos</w:t>
          </w:r>
        </w:smartTag>
      </w:smartTag>
      <w:r w:rsidRPr="0073566B">
        <w:rPr>
          <w:i/>
          <w:sz w:val="24"/>
          <w:lang w:val="en-GB"/>
        </w:rPr>
        <w:t>).</w:t>
      </w:r>
    </w:p>
    <w:p w:rsidR="00CB5A76" w:rsidRPr="0073566B" w:rsidRDefault="00CB5A76" w:rsidP="00763791">
      <w:pPr>
        <w:pStyle w:val="Bodytxt"/>
        <w:ind w:left="0" w:right="-480"/>
        <w:rPr>
          <w:sz w:val="24"/>
          <w:lang w:val="en-GB"/>
        </w:rPr>
      </w:pPr>
      <w:r w:rsidRPr="0073566B">
        <w:rPr>
          <w:sz w:val="24"/>
          <w:lang w:val="en-GB"/>
        </w:rPr>
        <w:t xml:space="preserve">Three of the five LTAs integrate disaster management, particularly disaster risk reduction (DRR) and disaster preparedness with community development and strengthening of sustainable livelihoods. The remaining two LTAs link UXO clearance activities with community development and sustainable livelihoods planning. The activities are conducted in five of the eighteen provinces in </w:t>
      </w:r>
      <w:smartTag w:uri="urn:schemas-microsoft-com:office:smarttags" w:element="country-region">
        <w:r w:rsidRPr="0073566B">
          <w:rPr>
            <w:sz w:val="24"/>
            <w:lang w:val="en-GB"/>
          </w:rPr>
          <w:t>Laos</w:t>
        </w:r>
      </w:smartTag>
      <w:r w:rsidRPr="0073566B">
        <w:rPr>
          <w:sz w:val="24"/>
          <w:lang w:val="en-GB"/>
        </w:rPr>
        <w:t xml:space="preserve"> - </w:t>
      </w:r>
      <w:proofErr w:type="spellStart"/>
      <w:r w:rsidRPr="0073566B">
        <w:rPr>
          <w:sz w:val="24"/>
          <w:lang w:val="en-GB"/>
        </w:rPr>
        <w:t>Sekong</w:t>
      </w:r>
      <w:proofErr w:type="spellEnd"/>
      <w:r w:rsidRPr="0073566B">
        <w:rPr>
          <w:sz w:val="24"/>
          <w:lang w:val="en-GB"/>
        </w:rPr>
        <w:t xml:space="preserve"> province (CARE and Oxfam), </w:t>
      </w:r>
      <w:proofErr w:type="spellStart"/>
      <w:r w:rsidRPr="0073566B">
        <w:rPr>
          <w:sz w:val="24"/>
          <w:lang w:val="en-GB"/>
        </w:rPr>
        <w:t>Sayaboury</w:t>
      </w:r>
      <w:proofErr w:type="spellEnd"/>
      <w:r w:rsidRPr="0073566B">
        <w:rPr>
          <w:sz w:val="24"/>
          <w:lang w:val="en-GB"/>
        </w:rPr>
        <w:t xml:space="preserve"> province (SCA); </w:t>
      </w:r>
      <w:proofErr w:type="spellStart"/>
      <w:smartTag w:uri="urn:schemas-microsoft-com:office:smarttags" w:element="PlaceName">
        <w:r w:rsidRPr="0073566B">
          <w:rPr>
            <w:sz w:val="24"/>
            <w:lang w:val="en-GB"/>
          </w:rPr>
          <w:t>Saravan</w:t>
        </w:r>
      </w:smartTag>
      <w:proofErr w:type="spellEnd"/>
      <w:r w:rsidRPr="0073566B">
        <w:rPr>
          <w:sz w:val="24"/>
          <w:lang w:val="en-GB"/>
        </w:rPr>
        <w:t xml:space="preserve"> </w:t>
      </w:r>
      <w:smartTag w:uri="urn:schemas-microsoft-com:office:smarttags" w:element="PlaceType">
        <w:r w:rsidRPr="0073566B">
          <w:rPr>
            <w:sz w:val="24"/>
            <w:lang w:val="en-GB"/>
          </w:rPr>
          <w:t>Province</w:t>
        </w:r>
      </w:smartTag>
      <w:r w:rsidRPr="0073566B">
        <w:rPr>
          <w:sz w:val="24"/>
          <w:lang w:val="en-GB"/>
        </w:rPr>
        <w:t xml:space="preserve"> (Oxfam), </w:t>
      </w:r>
      <w:proofErr w:type="spellStart"/>
      <w:r w:rsidRPr="0073566B">
        <w:rPr>
          <w:sz w:val="24"/>
          <w:lang w:val="en-GB"/>
        </w:rPr>
        <w:t>Khammouan</w:t>
      </w:r>
      <w:proofErr w:type="spellEnd"/>
      <w:r w:rsidRPr="0073566B">
        <w:rPr>
          <w:sz w:val="24"/>
          <w:lang w:val="en-GB"/>
        </w:rPr>
        <w:t xml:space="preserve"> province (World Vision) and </w:t>
      </w:r>
      <w:smartTag w:uri="urn:schemas-microsoft-com:office:smarttags" w:element="place">
        <w:smartTag w:uri="urn:schemas-microsoft-com:office:smarttags" w:element="City">
          <w:r w:rsidRPr="0073566B">
            <w:rPr>
              <w:sz w:val="24"/>
              <w:lang w:val="en-GB"/>
            </w:rPr>
            <w:t>Vientiane</w:t>
          </w:r>
        </w:smartTag>
      </w:smartTag>
      <w:r w:rsidRPr="0073566B">
        <w:rPr>
          <w:sz w:val="24"/>
          <w:lang w:val="en-GB"/>
        </w:rPr>
        <w:t xml:space="preserve"> province (Oxfam). </w:t>
      </w:r>
    </w:p>
    <w:p w:rsidR="00CB5A76" w:rsidRPr="0073566B" w:rsidRDefault="00CB5A76" w:rsidP="00763791">
      <w:pPr>
        <w:pStyle w:val="Bodytxt"/>
        <w:ind w:left="0" w:right="-480"/>
        <w:rPr>
          <w:sz w:val="24"/>
          <w:lang w:val="en-GB"/>
        </w:rPr>
      </w:pPr>
      <w:r w:rsidRPr="0073566B">
        <w:rPr>
          <w:sz w:val="24"/>
          <w:lang w:val="en-GB"/>
        </w:rPr>
        <w:t>The Program formally commenced in July 2007 although delays affecting activity inception were experienced to varying degrees by most NGOs, notably World Vision who were not able to commence until late 2009.</w:t>
      </w:r>
    </w:p>
    <w:p w:rsidR="00CB5A76" w:rsidRPr="0073566B" w:rsidRDefault="00CB5A76" w:rsidP="00763791">
      <w:pPr>
        <w:pStyle w:val="Bodytxt"/>
        <w:ind w:left="0" w:right="-480"/>
        <w:rPr>
          <w:sz w:val="24"/>
        </w:rPr>
      </w:pPr>
      <w:r w:rsidRPr="0073566B">
        <w:rPr>
          <w:sz w:val="24"/>
        </w:rPr>
        <w:t>The LANGOCA program design elevated the integration of ‘cross-cutting’ issues as a program objective.  This encouraged the NGOs to proactively address gender equality and inclusion of small ethnic communities and persons at risk of HIV in activity implementation, monitoring and evaluation in both program and individual project design documents. However, other than activities related to victims of UXO accidents, disability inclusion was not addressed in the activity designs.</w:t>
      </w:r>
    </w:p>
    <w:p w:rsidR="00CB5A76" w:rsidRPr="0073566B" w:rsidRDefault="00CB5A76" w:rsidP="00763791">
      <w:pPr>
        <w:pStyle w:val="Bodytxt"/>
        <w:ind w:left="0" w:right="-480"/>
        <w:rPr>
          <w:sz w:val="24"/>
        </w:rPr>
      </w:pPr>
      <w:r w:rsidRPr="0073566B">
        <w:rPr>
          <w:sz w:val="24"/>
        </w:rPr>
        <w:t xml:space="preserve">There were some examples of effective approaches for mainstreaming gender equality including a strong employment policy on the part of all the NGOs to recruit female staff, particularly with local language skills, and, in CARE, </w:t>
      </w:r>
      <w:r>
        <w:rPr>
          <w:sz w:val="24"/>
        </w:rPr>
        <w:t xml:space="preserve">to recruit </w:t>
      </w:r>
      <w:r w:rsidRPr="0073566B">
        <w:rPr>
          <w:sz w:val="24"/>
        </w:rPr>
        <w:t xml:space="preserve">staff with a disability. </w:t>
      </w:r>
    </w:p>
    <w:p w:rsidR="00CB5A76" w:rsidRPr="0073566B" w:rsidRDefault="00CB5A76" w:rsidP="00763791">
      <w:pPr>
        <w:pStyle w:val="Bodytxt"/>
        <w:ind w:left="0" w:right="-480"/>
        <w:rPr>
          <w:sz w:val="24"/>
        </w:rPr>
      </w:pPr>
      <w:r w:rsidRPr="0073566B">
        <w:rPr>
          <w:b/>
          <w:sz w:val="24"/>
        </w:rPr>
        <w:t>Key achievements</w:t>
      </w:r>
      <w:r w:rsidRPr="0073566B">
        <w:rPr>
          <w:sz w:val="24"/>
        </w:rPr>
        <w:t xml:space="preserve"> in gender equity included;</w:t>
      </w:r>
    </w:p>
    <w:p w:rsidR="00CB5A76" w:rsidRPr="0073566B" w:rsidRDefault="00CB5A76" w:rsidP="00763791">
      <w:pPr>
        <w:pStyle w:val="Bodytxt"/>
        <w:numPr>
          <w:ilvl w:val="0"/>
          <w:numId w:val="23"/>
        </w:numPr>
        <w:ind w:right="-480"/>
        <w:rPr>
          <w:sz w:val="24"/>
        </w:rPr>
      </w:pPr>
      <w:r w:rsidRPr="0073566B">
        <w:rPr>
          <w:sz w:val="24"/>
        </w:rPr>
        <w:t>Engagement of staff from the Lao Women’s Union (LWU) who in some cases could both speak the languages of smaller ethnic communities and, as they were members of these communities themselves, represent their concerns effectively. This also had the effect of enhancing government ownership of activities w</w:t>
      </w:r>
      <w:r>
        <w:rPr>
          <w:sz w:val="24"/>
        </w:rPr>
        <w:t>h</w:t>
      </w:r>
      <w:r w:rsidRPr="0073566B">
        <w:rPr>
          <w:sz w:val="24"/>
        </w:rPr>
        <w:t>ere LWU staff were involved.</w:t>
      </w:r>
      <w:r>
        <w:rPr>
          <w:sz w:val="24"/>
        </w:rPr>
        <w:t xml:space="preserve"> </w:t>
      </w:r>
      <w:r w:rsidRPr="0073566B">
        <w:rPr>
          <w:sz w:val="24"/>
        </w:rPr>
        <w:t>(all NGOs)</w:t>
      </w:r>
    </w:p>
    <w:p w:rsidR="00CB5A76" w:rsidRPr="0073566B" w:rsidRDefault="00CB5A76" w:rsidP="00763791">
      <w:pPr>
        <w:pStyle w:val="Bodytxt"/>
        <w:numPr>
          <w:ilvl w:val="0"/>
          <w:numId w:val="23"/>
        </w:numPr>
        <w:ind w:right="-480"/>
        <w:rPr>
          <w:sz w:val="24"/>
        </w:rPr>
      </w:pPr>
      <w:r w:rsidRPr="0073566B">
        <w:rPr>
          <w:sz w:val="24"/>
        </w:rPr>
        <w:t xml:space="preserve">Increased </w:t>
      </w:r>
      <w:r w:rsidRPr="0073566B">
        <w:rPr>
          <w:i/>
          <w:sz w:val="24"/>
        </w:rPr>
        <w:t>membership</w:t>
      </w:r>
      <w:r w:rsidRPr="0073566B">
        <w:rPr>
          <w:sz w:val="24"/>
        </w:rPr>
        <w:t xml:space="preserve"> of women in village governance structures such as village development committees (VDCs), water, sanitation and health (</w:t>
      </w:r>
      <w:smartTag w:uri="urn:schemas-microsoft-com:office:smarttags" w:element="place">
        <w:smartTag w:uri="urn:schemas-microsoft-com:office:smarttags" w:element="State">
          <w:r w:rsidRPr="0073566B">
            <w:rPr>
              <w:sz w:val="24"/>
            </w:rPr>
            <w:t>WASH</w:t>
          </w:r>
        </w:smartTag>
      </w:smartTag>
      <w:r w:rsidRPr="0073566B">
        <w:rPr>
          <w:sz w:val="24"/>
        </w:rPr>
        <w:t xml:space="preserve">) committees etc. </w:t>
      </w:r>
      <w:r>
        <w:rPr>
          <w:sz w:val="24"/>
        </w:rPr>
        <w:t xml:space="preserve">and some (limited) evidence of increased participation of women in decision-making. </w:t>
      </w:r>
      <w:r w:rsidRPr="0073566B">
        <w:rPr>
          <w:sz w:val="24"/>
        </w:rPr>
        <w:t>(all NGOs)</w:t>
      </w:r>
    </w:p>
    <w:p w:rsidR="00CB5A76" w:rsidRPr="0073566B" w:rsidRDefault="00CB5A76" w:rsidP="00763791">
      <w:pPr>
        <w:pStyle w:val="Bodytxt"/>
        <w:numPr>
          <w:ilvl w:val="0"/>
          <w:numId w:val="23"/>
        </w:numPr>
        <w:ind w:right="-480"/>
        <w:rPr>
          <w:sz w:val="24"/>
        </w:rPr>
      </w:pPr>
      <w:r w:rsidRPr="0073566B">
        <w:rPr>
          <w:sz w:val="24"/>
        </w:rPr>
        <w:t>Women consistently reporting positive benefits as a result of activities such as clearance of UXO</w:t>
      </w:r>
      <w:r>
        <w:rPr>
          <w:sz w:val="24"/>
        </w:rPr>
        <w:t xml:space="preserve"> which</w:t>
      </w:r>
      <w:r w:rsidRPr="0073566B">
        <w:rPr>
          <w:sz w:val="24"/>
        </w:rPr>
        <w:t xml:space="preserve"> free</w:t>
      </w:r>
      <w:r>
        <w:rPr>
          <w:sz w:val="24"/>
        </w:rPr>
        <w:t>d</w:t>
      </w:r>
      <w:r w:rsidRPr="0073566B">
        <w:rPr>
          <w:sz w:val="24"/>
        </w:rPr>
        <w:t xml:space="preserve"> land up for agricultural production; provision of clean water supply systems and wheelbarrows for wood collection which reduced their time in these activities and enabled them to spend more time in income generation activities; and various trainings. (All NGOs)</w:t>
      </w:r>
    </w:p>
    <w:p w:rsidR="00CB5A76" w:rsidRPr="0073566B" w:rsidRDefault="00CB5A76" w:rsidP="00763791">
      <w:pPr>
        <w:pStyle w:val="Bodytxt"/>
        <w:numPr>
          <w:ilvl w:val="0"/>
          <w:numId w:val="23"/>
        </w:numPr>
        <w:ind w:right="-480"/>
        <w:rPr>
          <w:sz w:val="24"/>
        </w:rPr>
      </w:pPr>
      <w:r w:rsidRPr="0073566B">
        <w:rPr>
          <w:sz w:val="24"/>
        </w:rPr>
        <w:t>Clear health benefits to women as a result of the training and equipping of midwives in local communities</w:t>
      </w:r>
      <w:r>
        <w:rPr>
          <w:sz w:val="24"/>
        </w:rPr>
        <w:t xml:space="preserve"> </w:t>
      </w:r>
      <w:r w:rsidRPr="0073566B">
        <w:rPr>
          <w:sz w:val="24"/>
        </w:rPr>
        <w:t>(</w:t>
      </w:r>
      <w:r>
        <w:rPr>
          <w:sz w:val="24"/>
        </w:rPr>
        <w:t>Oxfam</w:t>
      </w:r>
      <w:r w:rsidRPr="0073566B">
        <w:rPr>
          <w:sz w:val="24"/>
        </w:rPr>
        <w:t>)</w:t>
      </w:r>
      <w:r>
        <w:rPr>
          <w:sz w:val="24"/>
        </w:rPr>
        <w:t xml:space="preserve"> and improved water systems. (all NGOs)</w:t>
      </w:r>
    </w:p>
    <w:p w:rsidR="00CB5A76" w:rsidRPr="0073566B" w:rsidRDefault="00CB5A76" w:rsidP="00763791">
      <w:pPr>
        <w:pStyle w:val="Bodytxt"/>
        <w:numPr>
          <w:ilvl w:val="0"/>
          <w:numId w:val="23"/>
        </w:numPr>
        <w:ind w:right="-480"/>
        <w:rPr>
          <w:sz w:val="24"/>
        </w:rPr>
      </w:pPr>
      <w:r w:rsidRPr="0073566B">
        <w:rPr>
          <w:sz w:val="24"/>
        </w:rPr>
        <w:t xml:space="preserve">Increased confidence of women who were trained as midwives </w:t>
      </w:r>
      <w:r>
        <w:rPr>
          <w:sz w:val="24"/>
        </w:rPr>
        <w:t xml:space="preserve">(Oxfam) </w:t>
      </w:r>
      <w:r w:rsidRPr="0073566B">
        <w:rPr>
          <w:sz w:val="24"/>
        </w:rPr>
        <w:t xml:space="preserve">and </w:t>
      </w:r>
      <w:r>
        <w:rPr>
          <w:sz w:val="24"/>
        </w:rPr>
        <w:t xml:space="preserve">in </w:t>
      </w:r>
      <w:r w:rsidRPr="0073566B">
        <w:rPr>
          <w:sz w:val="24"/>
        </w:rPr>
        <w:t>girls and boys who participated in the Disaster Risk Education for Children’ (DREC) groups. (SCA)</w:t>
      </w:r>
    </w:p>
    <w:p w:rsidR="00CB5A76" w:rsidRPr="0073566B" w:rsidRDefault="00CB5A76" w:rsidP="00763791">
      <w:pPr>
        <w:pStyle w:val="Bodytxt"/>
        <w:ind w:left="0" w:right="-480"/>
        <w:rPr>
          <w:sz w:val="24"/>
        </w:rPr>
      </w:pPr>
      <w:r w:rsidRPr="0073566B">
        <w:rPr>
          <w:sz w:val="24"/>
        </w:rPr>
        <w:t xml:space="preserve">Two NGOs had taken steps to enhance their capacity to ensure their activities were disability inclusive. CARE had successfully completed a short-term activity (STA) in which staff worked in partnership with Lao Disabled Peoples Association (LDPA) and the </w:t>
      </w:r>
      <w:r w:rsidRPr="0073566B">
        <w:rPr>
          <w:rFonts w:cs="Calibri"/>
          <w:sz w:val="24"/>
          <w:szCs w:val="22"/>
        </w:rPr>
        <w:t xml:space="preserve">Cooperative for Orthotic and Prosthetic Enterprise </w:t>
      </w:r>
      <w:r w:rsidRPr="0073566B">
        <w:rPr>
          <w:sz w:val="24"/>
        </w:rPr>
        <w:t>(COPE) to identify and meet the needs of people with disabilities and to run workshops for district and provincial staff to mainstream disability inclusion into government services. SCA had sought advice from Handicap International (HI) about children with disabilities</w:t>
      </w:r>
      <w:r>
        <w:rPr>
          <w:sz w:val="24"/>
        </w:rPr>
        <w:t>,</w:t>
      </w:r>
      <w:r w:rsidRPr="0073566B">
        <w:rPr>
          <w:sz w:val="24"/>
        </w:rPr>
        <w:t xml:space="preserve"> however, this was limited to advice about how staff should interact with those children and not about how to actively include them.</w:t>
      </w:r>
    </w:p>
    <w:p w:rsidR="00CB5A76" w:rsidRPr="0073566B" w:rsidRDefault="00CB5A76" w:rsidP="00763791">
      <w:pPr>
        <w:pStyle w:val="Bodytxt"/>
        <w:ind w:left="0" w:right="-480"/>
        <w:rPr>
          <w:sz w:val="24"/>
        </w:rPr>
      </w:pPr>
      <w:r w:rsidRPr="0073566B">
        <w:rPr>
          <w:b/>
          <w:sz w:val="24"/>
        </w:rPr>
        <w:t>Monitoring and evaluation</w:t>
      </w:r>
      <w:r w:rsidRPr="0073566B">
        <w:rPr>
          <w:sz w:val="24"/>
        </w:rPr>
        <w:t xml:space="preserve"> for gender equity was weak, focussing primarily on gender disaggregation of data. This has significant implications for evaluating the impact of activities on women and girls.  For example, whilst women’s membership in village governance structures had increased there was little evidence of increased participation in village decision-making as many of the women told the review team that they were “too shy” or that their husbands would represent their views as head of the household. When there were only 2 or 3 women in a committee of 18 or 19 villagers with a few exceptions, the women did not feel that they were able to speak out. In addition, as literacy was a prerequisite for committee membership this effectively excluded many women from isolated rural communities who were illiterate. They were also rarely selected for training, especially if the training involved travel away from their village. Planning for monitoring and evaluation of disability inclusion was </w:t>
      </w:r>
      <w:r>
        <w:rPr>
          <w:sz w:val="24"/>
        </w:rPr>
        <w:t xml:space="preserve">virtually </w:t>
      </w:r>
      <w:r w:rsidRPr="0073566B">
        <w:rPr>
          <w:sz w:val="24"/>
        </w:rPr>
        <w:t>non-existent.</w:t>
      </w:r>
    </w:p>
    <w:p w:rsidR="00CB5A76" w:rsidRPr="0073566B" w:rsidRDefault="00CB5A76" w:rsidP="00C660C0">
      <w:pPr>
        <w:pStyle w:val="Bodytxt"/>
        <w:ind w:left="0"/>
        <w:rPr>
          <w:b/>
          <w:sz w:val="24"/>
        </w:rPr>
      </w:pPr>
      <w:r w:rsidRPr="0073566B">
        <w:rPr>
          <w:b/>
          <w:sz w:val="24"/>
        </w:rPr>
        <w:t>Conclusion and recommendations</w:t>
      </w:r>
    </w:p>
    <w:p w:rsidR="00CB5A76" w:rsidRPr="0073566B" w:rsidRDefault="00CB5A76" w:rsidP="00763791">
      <w:pPr>
        <w:pStyle w:val="Bodytxt"/>
        <w:ind w:left="0" w:right="-480"/>
        <w:rPr>
          <w:sz w:val="24"/>
          <w:lang w:val="en-GB"/>
        </w:rPr>
      </w:pPr>
      <w:r w:rsidRPr="0073566B">
        <w:rPr>
          <w:sz w:val="24"/>
          <w:lang w:val="en-GB"/>
        </w:rPr>
        <w:t xml:space="preserve">All the NGOs in LANGOCA are making concerted efforts to model gender equality in staffing, training, and policy. However, whilst there has been some very positive progress the program still has some way to go to ensure that gender equity and inclusion goes beyond ensuring participation of women, small ethnic group members and people with disabilities in activities. Ultimately the program needs to demonstrate that there has been an in-depth analysis of gender and vulnerable/at risk members of communities that is integrated with other analyses related to rural development, poverty, governance, cultural and economic contexts etc. </w:t>
      </w:r>
    </w:p>
    <w:p w:rsidR="00CB5A76" w:rsidRPr="007F2716" w:rsidRDefault="00CB5A76" w:rsidP="007F2716">
      <w:pPr>
        <w:pStyle w:val="Bodytxt"/>
        <w:ind w:left="0" w:right="-480"/>
        <w:rPr>
          <w:sz w:val="24"/>
          <w:lang w:val="en-GB"/>
        </w:rPr>
      </w:pPr>
      <w:r w:rsidRPr="0073566B">
        <w:rPr>
          <w:sz w:val="24"/>
          <w:lang w:val="en-GB"/>
        </w:rPr>
        <w:t>Activities need to go beyond meeting the immediate and practical needs of women and girls to increasing access to resources; strengthening women’s decision-making power and men’s support for changes in women’s role and status; protecting women’s rights and the rights of people who may experience discrimination or stigma such as people with disabilities. Risk management strategies need to include consideration of whether activities may have unintended consequences that could exacerbate gender inequality, for example in larger scale income generation which could impact on women’s control of family income. Monitoring and evaluation should include indicators that speak to the impact of activities for women and men, girls and boys and people with disabilities.</w:t>
      </w:r>
    </w:p>
    <w:p w:rsidR="00CB5A76" w:rsidRDefault="00CB5A76" w:rsidP="00E01DBD">
      <w:pPr>
        <w:pStyle w:val="Heading2"/>
        <w:numPr>
          <w:ilvl w:val="0"/>
          <w:numId w:val="0"/>
        </w:numPr>
        <w:rPr>
          <w:lang w:val="en-GB"/>
        </w:rPr>
      </w:pPr>
      <w:bookmarkStart w:id="6" w:name="_Toc105750226"/>
      <w:bookmarkStart w:id="7" w:name="_Toc168812972"/>
      <w:r>
        <w:rPr>
          <w:lang w:val="en-GB"/>
        </w:rPr>
        <w:t>Summary of Recommendations</w:t>
      </w:r>
      <w:bookmarkEnd w:id="6"/>
      <w:bookmarkEnd w:id="7"/>
    </w:p>
    <w:p w:rsidR="00CB5A76" w:rsidRDefault="00CB5A76" w:rsidP="00A24DA4">
      <w:pPr>
        <w:pStyle w:val="Bodytxt"/>
        <w:numPr>
          <w:ilvl w:val="0"/>
          <w:numId w:val="20"/>
        </w:numPr>
        <w:ind w:right="-480"/>
        <w:rPr>
          <w:rFonts w:ascii="Cambria" w:hAnsi="Cambria"/>
          <w:i/>
          <w:sz w:val="24"/>
        </w:rPr>
      </w:pPr>
      <w:r>
        <w:rPr>
          <w:rFonts w:ascii="Cambria" w:hAnsi="Cambria"/>
          <w:sz w:val="24"/>
        </w:rPr>
        <w:t>AusAID</w:t>
      </w:r>
      <w:r w:rsidRPr="00915CF7">
        <w:rPr>
          <w:rFonts w:ascii="Cambria" w:hAnsi="Cambria"/>
          <w:sz w:val="24"/>
        </w:rPr>
        <w:t xml:space="preserve"> provide technical support to NGOs for the development of appropriate and adequate disability inclusion strategies that are consistent with </w:t>
      </w:r>
      <w:proofErr w:type="spellStart"/>
      <w:r w:rsidRPr="00915CF7">
        <w:rPr>
          <w:rFonts w:ascii="Cambria" w:hAnsi="Cambria"/>
          <w:sz w:val="24"/>
        </w:rPr>
        <w:t>AusAID’s</w:t>
      </w:r>
      <w:proofErr w:type="spellEnd"/>
      <w:r w:rsidRPr="00915CF7">
        <w:rPr>
          <w:rFonts w:ascii="Cambria" w:hAnsi="Cambria"/>
          <w:sz w:val="24"/>
        </w:rPr>
        <w:t xml:space="preserve"> disability strategy, </w:t>
      </w:r>
      <w:r w:rsidRPr="00915CF7">
        <w:rPr>
          <w:rFonts w:ascii="Cambria" w:hAnsi="Cambria"/>
          <w:i/>
          <w:sz w:val="24"/>
        </w:rPr>
        <w:t>Development for All.</w:t>
      </w:r>
    </w:p>
    <w:p w:rsidR="00CB5A76" w:rsidRDefault="00CB5A76" w:rsidP="00A24DA4">
      <w:pPr>
        <w:pStyle w:val="Bodytxt"/>
        <w:numPr>
          <w:ilvl w:val="0"/>
          <w:numId w:val="20"/>
        </w:numPr>
        <w:ind w:right="-480"/>
        <w:rPr>
          <w:rFonts w:ascii="Cambria" w:hAnsi="Cambria"/>
          <w:i/>
          <w:sz w:val="24"/>
        </w:rPr>
      </w:pPr>
      <w:r w:rsidRPr="00915CF7">
        <w:rPr>
          <w:rFonts w:ascii="Cambria" w:hAnsi="Cambria"/>
          <w:sz w:val="24"/>
        </w:rPr>
        <w:t xml:space="preserve">NGOs </w:t>
      </w:r>
      <w:r>
        <w:rPr>
          <w:rFonts w:ascii="Cambria" w:hAnsi="Cambria"/>
          <w:sz w:val="24"/>
        </w:rPr>
        <w:t xml:space="preserve">use available local resources such as GRID &amp; MAG assessments of gender and disability and </w:t>
      </w:r>
      <w:r w:rsidRPr="00915CF7">
        <w:rPr>
          <w:rFonts w:ascii="Cambria" w:hAnsi="Cambria"/>
          <w:sz w:val="24"/>
        </w:rPr>
        <w:t xml:space="preserve">share learning with each other about what has been effective in their projects </w:t>
      </w:r>
      <w:r>
        <w:rPr>
          <w:rFonts w:ascii="Cambria" w:hAnsi="Cambria"/>
          <w:sz w:val="24"/>
        </w:rPr>
        <w:t xml:space="preserve">to create </w:t>
      </w:r>
      <w:r w:rsidRPr="00915CF7">
        <w:rPr>
          <w:rFonts w:ascii="Cambria" w:hAnsi="Cambria"/>
          <w:sz w:val="24"/>
        </w:rPr>
        <w:t>positive impact</w:t>
      </w:r>
      <w:r>
        <w:rPr>
          <w:rFonts w:ascii="Cambria" w:hAnsi="Cambria"/>
          <w:sz w:val="24"/>
        </w:rPr>
        <w:t>s</w:t>
      </w:r>
      <w:r w:rsidRPr="00915CF7">
        <w:rPr>
          <w:rFonts w:ascii="Cambria" w:hAnsi="Cambria"/>
          <w:sz w:val="24"/>
        </w:rPr>
        <w:t xml:space="preserve"> for women, particularly </w:t>
      </w:r>
      <w:r>
        <w:rPr>
          <w:rFonts w:ascii="Cambria" w:hAnsi="Cambria"/>
          <w:sz w:val="24"/>
        </w:rPr>
        <w:t xml:space="preserve">for </w:t>
      </w:r>
      <w:r w:rsidRPr="00915CF7">
        <w:rPr>
          <w:rFonts w:ascii="Cambria" w:hAnsi="Cambria"/>
          <w:sz w:val="24"/>
        </w:rPr>
        <w:t>those women from small ethnic groups and peoples with disabilities in terms of increasing their participation, decision-making, access to resources etc.</w:t>
      </w:r>
    </w:p>
    <w:p w:rsidR="00CB5A76" w:rsidRPr="009B281D" w:rsidRDefault="00CB5A76" w:rsidP="00A24DA4">
      <w:pPr>
        <w:pStyle w:val="Bodytxt"/>
        <w:numPr>
          <w:ilvl w:val="0"/>
          <w:numId w:val="20"/>
        </w:numPr>
        <w:ind w:right="-480"/>
        <w:rPr>
          <w:rFonts w:ascii="Cambria" w:hAnsi="Cambria"/>
          <w:i/>
          <w:sz w:val="24"/>
        </w:rPr>
      </w:pPr>
      <w:r w:rsidRPr="00915CF7">
        <w:rPr>
          <w:rFonts w:ascii="Cambria" w:hAnsi="Cambria"/>
          <w:sz w:val="24"/>
        </w:rPr>
        <w:t xml:space="preserve">NGOs develop a referral and follow-up system in collaboration with local authorities to assist people with treatable impairments in their target </w:t>
      </w:r>
      <w:r w:rsidRPr="009B281D">
        <w:rPr>
          <w:rFonts w:ascii="Cambria" w:hAnsi="Cambria"/>
          <w:sz w:val="24"/>
        </w:rPr>
        <w:t>communities.</w:t>
      </w:r>
    </w:p>
    <w:p w:rsidR="00CB5A76" w:rsidRPr="009B281D" w:rsidRDefault="00CB5A76" w:rsidP="00A24DA4">
      <w:pPr>
        <w:pStyle w:val="Bodytxt"/>
        <w:numPr>
          <w:ilvl w:val="0"/>
          <w:numId w:val="20"/>
        </w:numPr>
        <w:ind w:right="-480"/>
        <w:rPr>
          <w:rFonts w:ascii="Cambria" w:hAnsi="Cambria"/>
          <w:i/>
          <w:sz w:val="24"/>
        </w:rPr>
      </w:pPr>
      <w:r w:rsidRPr="009B281D">
        <w:rPr>
          <w:rFonts w:ascii="Cambria" w:hAnsi="Cambria"/>
          <w:sz w:val="24"/>
        </w:rPr>
        <w:t>Where not already doing so, NGOs develop a targeted approach to MRE and HIV prevention to ensure those most ‘at risk’ benefit.</w:t>
      </w:r>
    </w:p>
    <w:p w:rsidR="00CB5A76" w:rsidRPr="009B281D" w:rsidRDefault="00CB5A76" w:rsidP="00A24DA4">
      <w:pPr>
        <w:pStyle w:val="Bodytxt"/>
        <w:numPr>
          <w:ilvl w:val="0"/>
          <w:numId w:val="20"/>
        </w:numPr>
        <w:ind w:right="-480"/>
        <w:rPr>
          <w:rFonts w:ascii="Cambria" w:hAnsi="Cambria"/>
          <w:i/>
          <w:sz w:val="24"/>
        </w:rPr>
      </w:pPr>
      <w:r w:rsidRPr="009B281D">
        <w:rPr>
          <w:rFonts w:ascii="Cambria" w:hAnsi="Cambria"/>
          <w:sz w:val="24"/>
        </w:rPr>
        <w:t>NGOs adopt a strengths-based approach that focuses on existing and potential capacities as opposed to a problem-based approach, particularly for disability and ethnic inclusion. Use of positive role models to stimulate discussion and changes in attitudes towards the role of women could be of benefit.</w:t>
      </w:r>
    </w:p>
    <w:p w:rsidR="00CB5A76" w:rsidRPr="009B281D" w:rsidRDefault="00CB5A76" w:rsidP="00A24DA4">
      <w:pPr>
        <w:pStyle w:val="Bodytxt"/>
        <w:numPr>
          <w:ilvl w:val="0"/>
          <w:numId w:val="20"/>
        </w:numPr>
        <w:ind w:right="-480"/>
        <w:rPr>
          <w:rFonts w:ascii="Cambria" w:hAnsi="Cambria"/>
          <w:i/>
          <w:sz w:val="24"/>
        </w:rPr>
      </w:pPr>
      <w:r w:rsidRPr="009B281D">
        <w:rPr>
          <w:rFonts w:ascii="Cambria" w:hAnsi="Cambria"/>
          <w:sz w:val="24"/>
        </w:rPr>
        <w:t xml:space="preserve">NGOs provide sufficient support and mentoring to field staff and to </w:t>
      </w:r>
      <w:proofErr w:type="spellStart"/>
      <w:r>
        <w:rPr>
          <w:rFonts w:ascii="Cambria" w:hAnsi="Cambria"/>
          <w:sz w:val="24"/>
        </w:rPr>
        <w:t>GoL</w:t>
      </w:r>
      <w:proofErr w:type="spellEnd"/>
      <w:r w:rsidRPr="009B281D">
        <w:rPr>
          <w:rFonts w:ascii="Cambria" w:hAnsi="Cambria"/>
          <w:sz w:val="24"/>
        </w:rPr>
        <w:t xml:space="preserve"> counterparts involved in implementation on a regular basis to develop practical strategies for gender equality and disability and ethnic inclusion. This may require use of external specialists </w:t>
      </w:r>
      <w:r>
        <w:rPr>
          <w:rFonts w:ascii="Cambria" w:hAnsi="Cambria"/>
          <w:sz w:val="24"/>
        </w:rPr>
        <w:t xml:space="preserve">to advise, train and mentor project and </w:t>
      </w:r>
      <w:proofErr w:type="spellStart"/>
      <w:r>
        <w:rPr>
          <w:rFonts w:ascii="Cambria" w:hAnsi="Cambria"/>
          <w:sz w:val="24"/>
        </w:rPr>
        <w:t>LoG</w:t>
      </w:r>
      <w:proofErr w:type="spellEnd"/>
      <w:r>
        <w:rPr>
          <w:rFonts w:ascii="Cambria" w:hAnsi="Cambria"/>
          <w:sz w:val="24"/>
        </w:rPr>
        <w:t xml:space="preserve"> staff </w:t>
      </w:r>
      <w:r w:rsidRPr="009B281D">
        <w:rPr>
          <w:rFonts w:ascii="Cambria" w:hAnsi="Cambria"/>
          <w:sz w:val="24"/>
        </w:rPr>
        <w:t>to ensure effectiveness.</w:t>
      </w:r>
    </w:p>
    <w:p w:rsidR="00CB5A76" w:rsidRPr="009B281D" w:rsidRDefault="00CB5A76" w:rsidP="00A24DA4">
      <w:pPr>
        <w:pStyle w:val="Bodytxt"/>
        <w:numPr>
          <w:ilvl w:val="0"/>
          <w:numId w:val="20"/>
        </w:numPr>
        <w:ind w:right="-480"/>
        <w:rPr>
          <w:rFonts w:ascii="Cambria" w:hAnsi="Cambria"/>
          <w:i/>
          <w:sz w:val="24"/>
        </w:rPr>
      </w:pPr>
      <w:r w:rsidRPr="009B281D">
        <w:rPr>
          <w:rFonts w:ascii="Cambria" w:hAnsi="Cambria"/>
          <w:sz w:val="24"/>
        </w:rPr>
        <w:t>NGOs use the monitoring and evaluation system developed for the Annual Evaluation process and baseline data to evaluate the impact of gender equality and disability and ethnic inclusion strategies</w:t>
      </w:r>
      <w:r>
        <w:rPr>
          <w:rFonts w:ascii="Cambria" w:hAnsi="Cambria"/>
          <w:sz w:val="24"/>
        </w:rPr>
        <w:t>.</w:t>
      </w:r>
    </w:p>
    <w:p w:rsidR="00CB5A76" w:rsidRDefault="00CB5A76" w:rsidP="00E01DBD">
      <w:pPr>
        <w:pStyle w:val="Heading2"/>
        <w:numPr>
          <w:ilvl w:val="0"/>
          <w:numId w:val="0"/>
        </w:numPr>
        <w:rPr>
          <w:rFonts w:ascii="Calibri" w:hAnsi="Calibri" w:cs="Calibri"/>
          <w:sz w:val="22"/>
          <w:szCs w:val="22"/>
          <w:lang w:val="en-GB"/>
        </w:rPr>
      </w:pPr>
    </w:p>
    <w:p w:rsidR="00CB5A76" w:rsidRDefault="00F77070" w:rsidP="00A74ADF">
      <w:pPr>
        <w:pStyle w:val="Heading2"/>
        <w:numPr>
          <w:ilvl w:val="0"/>
          <w:numId w:val="0"/>
        </w:numPr>
        <w:jc w:val="center"/>
        <w:rPr>
          <w:lang w:val="en-GB"/>
        </w:rPr>
      </w:pPr>
      <w:r>
        <w:rPr>
          <w:noProof/>
          <w:lang w:eastAsia="en-AU"/>
        </w:rPr>
        <w:drawing>
          <wp:inline distT="0" distB="0" distL="0" distR="0" wp14:anchorId="357B0377" wp14:editId="4B40CDF0">
            <wp:extent cx="3219450" cy="2438400"/>
            <wp:effectExtent l="0" t="0" r="0" b="0"/>
            <wp:docPr id="2" name="Picture 10" descr="File0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037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450" cy="2438400"/>
                    </a:xfrm>
                    <a:prstGeom prst="rect">
                      <a:avLst/>
                    </a:prstGeom>
                    <a:noFill/>
                    <a:ln>
                      <a:noFill/>
                    </a:ln>
                  </pic:spPr>
                </pic:pic>
              </a:graphicData>
            </a:graphic>
          </wp:inline>
        </w:drawing>
      </w:r>
      <w:r w:rsidR="00CB5A76">
        <w:rPr>
          <w:lang w:val="en-GB"/>
        </w:rPr>
        <w:br w:type="page"/>
      </w:r>
      <w:bookmarkStart w:id="8" w:name="_Toc168812973"/>
      <w:r w:rsidR="00CB5A76">
        <w:rPr>
          <w:lang w:val="en-GB"/>
        </w:rPr>
        <w:t>Table of Contents</w:t>
      </w:r>
      <w:bookmarkEnd w:id="8"/>
    </w:p>
    <w:p w:rsidR="00CB5A76" w:rsidRDefault="00CB5A76" w:rsidP="008666B9">
      <w:pPr>
        <w:pStyle w:val="TOC1"/>
        <w:tabs>
          <w:tab w:val="right" w:leader="dot" w:pos="8931"/>
        </w:tabs>
        <w:ind w:right="-622"/>
        <w:rPr>
          <w:rFonts w:ascii="Cambria" w:hAnsi="Cambria" w:cs="Cordia New"/>
          <w:noProof/>
          <w:lang w:val="en-US" w:bidi="th-TH"/>
        </w:rPr>
      </w:pPr>
      <w:r w:rsidRPr="003A62B8">
        <w:rPr>
          <w:rFonts w:ascii="Calibri" w:hAnsi="Calibri" w:cs="Calibri"/>
          <w:sz w:val="22"/>
          <w:szCs w:val="22"/>
          <w:lang w:val="en-GB"/>
        </w:rPr>
        <w:fldChar w:fldCharType="begin"/>
      </w:r>
      <w:r w:rsidRPr="003A62B8">
        <w:rPr>
          <w:rFonts w:ascii="Calibri" w:hAnsi="Calibri" w:cs="Calibri"/>
          <w:sz w:val="22"/>
          <w:szCs w:val="22"/>
          <w:lang w:val="en-GB"/>
        </w:rPr>
        <w:instrText xml:space="preserve"> TOC \h \z \t "Heading1,2,Heading2,1,Heading3,3" </w:instrText>
      </w:r>
      <w:r w:rsidRPr="003A62B8">
        <w:rPr>
          <w:rFonts w:ascii="Calibri" w:hAnsi="Calibri" w:cs="Calibri"/>
          <w:sz w:val="22"/>
          <w:szCs w:val="22"/>
          <w:lang w:val="en-GB"/>
        </w:rPr>
        <w:fldChar w:fldCharType="separate"/>
      </w:r>
      <w:r w:rsidRPr="000A041A">
        <w:rPr>
          <w:noProof/>
          <w:lang w:val="en-GB"/>
        </w:rPr>
        <w:t>Aid Activity Summary</w:t>
      </w:r>
      <w:r>
        <w:rPr>
          <w:noProof/>
        </w:rPr>
        <w:tab/>
      </w:r>
      <w:r>
        <w:rPr>
          <w:noProof/>
        </w:rPr>
        <w:fldChar w:fldCharType="begin"/>
      </w:r>
      <w:r>
        <w:rPr>
          <w:noProof/>
        </w:rPr>
        <w:instrText xml:space="preserve"> PAGEREF _Toc168812968 \h </w:instrText>
      </w:r>
      <w:r>
        <w:rPr>
          <w:noProof/>
        </w:rPr>
      </w:r>
      <w:r>
        <w:rPr>
          <w:noProof/>
        </w:rPr>
        <w:fldChar w:fldCharType="separate"/>
      </w:r>
      <w:r>
        <w:rPr>
          <w:noProof/>
        </w:rPr>
        <w:t>ii</w:t>
      </w:r>
      <w:r>
        <w:rPr>
          <w:noProof/>
        </w:rPr>
        <w:fldChar w:fldCharType="end"/>
      </w:r>
    </w:p>
    <w:p w:rsidR="00CB5A76" w:rsidRDefault="00CB5A76" w:rsidP="008666B9">
      <w:pPr>
        <w:pStyle w:val="TOC1"/>
        <w:tabs>
          <w:tab w:val="right" w:leader="dot" w:pos="8931"/>
        </w:tabs>
        <w:ind w:right="-622"/>
        <w:rPr>
          <w:rFonts w:ascii="Cambria" w:hAnsi="Cambria" w:cs="Cordia New"/>
          <w:noProof/>
          <w:lang w:val="en-US" w:bidi="th-TH"/>
        </w:rPr>
      </w:pPr>
      <w:r w:rsidRPr="000A041A">
        <w:rPr>
          <w:noProof/>
          <w:lang w:val="en-GB"/>
        </w:rPr>
        <w:t>Acknowledgements</w:t>
      </w:r>
      <w:r>
        <w:rPr>
          <w:noProof/>
        </w:rPr>
        <w:tab/>
      </w:r>
      <w:r>
        <w:rPr>
          <w:noProof/>
        </w:rPr>
        <w:fldChar w:fldCharType="begin"/>
      </w:r>
      <w:r>
        <w:rPr>
          <w:noProof/>
        </w:rPr>
        <w:instrText xml:space="preserve"> PAGEREF _Toc168812969 \h </w:instrText>
      </w:r>
      <w:r>
        <w:rPr>
          <w:noProof/>
        </w:rPr>
      </w:r>
      <w:r>
        <w:rPr>
          <w:noProof/>
        </w:rPr>
        <w:fldChar w:fldCharType="separate"/>
      </w:r>
      <w:r>
        <w:rPr>
          <w:noProof/>
        </w:rPr>
        <w:t>iii</w:t>
      </w:r>
      <w:r>
        <w:rPr>
          <w:noProof/>
        </w:rPr>
        <w:fldChar w:fldCharType="end"/>
      </w:r>
    </w:p>
    <w:p w:rsidR="00CB5A76" w:rsidRDefault="00CB5A76" w:rsidP="008666B9">
      <w:pPr>
        <w:pStyle w:val="TOC1"/>
        <w:tabs>
          <w:tab w:val="right" w:leader="dot" w:pos="8931"/>
        </w:tabs>
        <w:ind w:right="-622"/>
        <w:rPr>
          <w:noProof/>
        </w:rPr>
      </w:pPr>
      <w:r w:rsidRPr="000A041A">
        <w:rPr>
          <w:noProof/>
          <w:lang w:val="en-GB"/>
        </w:rPr>
        <w:t>Author Details</w:t>
      </w:r>
      <w:r>
        <w:rPr>
          <w:noProof/>
        </w:rPr>
        <w:tab/>
        <w:t>iii</w:t>
      </w:r>
    </w:p>
    <w:p w:rsidR="00CB5A76" w:rsidRDefault="00CB5A76" w:rsidP="008666B9">
      <w:pPr>
        <w:pStyle w:val="TOC1"/>
        <w:tabs>
          <w:tab w:val="right" w:leader="dot" w:pos="8931"/>
        </w:tabs>
        <w:ind w:right="-622"/>
        <w:rPr>
          <w:rFonts w:ascii="Cambria" w:hAnsi="Cambria" w:cs="Cordia New"/>
          <w:noProof/>
          <w:lang w:val="en-US" w:bidi="th-TH"/>
        </w:rPr>
      </w:pPr>
      <w:r w:rsidRPr="000A041A">
        <w:rPr>
          <w:noProof/>
          <w:lang w:val="en-GB"/>
        </w:rPr>
        <w:t>Executive Summary</w:t>
      </w:r>
      <w:r>
        <w:rPr>
          <w:noProof/>
        </w:rPr>
        <w:tab/>
      </w:r>
      <w:r>
        <w:rPr>
          <w:noProof/>
        </w:rPr>
        <w:fldChar w:fldCharType="begin"/>
      </w:r>
      <w:r>
        <w:rPr>
          <w:noProof/>
        </w:rPr>
        <w:instrText xml:space="preserve"> PAGEREF _Toc168812971 \h </w:instrText>
      </w:r>
      <w:r>
        <w:rPr>
          <w:noProof/>
        </w:rPr>
      </w:r>
      <w:r>
        <w:rPr>
          <w:noProof/>
        </w:rPr>
        <w:fldChar w:fldCharType="separate"/>
      </w:r>
      <w:r>
        <w:rPr>
          <w:noProof/>
        </w:rPr>
        <w:t>iv</w:t>
      </w:r>
      <w:r>
        <w:rPr>
          <w:noProof/>
        </w:rPr>
        <w:fldChar w:fldCharType="end"/>
      </w:r>
    </w:p>
    <w:p w:rsidR="00CB5A76" w:rsidRDefault="00CB5A76" w:rsidP="008666B9">
      <w:pPr>
        <w:pStyle w:val="TOC1"/>
        <w:tabs>
          <w:tab w:val="right" w:leader="dot" w:pos="8931"/>
        </w:tabs>
        <w:ind w:right="-622"/>
        <w:rPr>
          <w:rFonts w:ascii="Cambria" w:hAnsi="Cambria" w:cs="Cordia New"/>
          <w:noProof/>
          <w:lang w:val="en-US" w:bidi="th-TH"/>
        </w:rPr>
      </w:pPr>
      <w:r w:rsidRPr="000A041A">
        <w:rPr>
          <w:noProof/>
          <w:lang w:val="en-GB"/>
        </w:rPr>
        <w:t>Summary of Recommendations</w:t>
      </w:r>
      <w:r>
        <w:rPr>
          <w:noProof/>
        </w:rPr>
        <w:tab/>
      </w:r>
      <w:r>
        <w:rPr>
          <w:noProof/>
        </w:rPr>
        <w:fldChar w:fldCharType="begin"/>
      </w:r>
      <w:r>
        <w:rPr>
          <w:noProof/>
        </w:rPr>
        <w:instrText xml:space="preserve"> PAGEREF _Toc168812972 \h </w:instrText>
      </w:r>
      <w:r>
        <w:rPr>
          <w:noProof/>
        </w:rPr>
      </w:r>
      <w:r>
        <w:rPr>
          <w:noProof/>
        </w:rPr>
        <w:fldChar w:fldCharType="separate"/>
      </w:r>
      <w:r>
        <w:rPr>
          <w:noProof/>
        </w:rPr>
        <w:t>vi</w:t>
      </w:r>
      <w:r>
        <w:rPr>
          <w:noProof/>
        </w:rPr>
        <w:fldChar w:fldCharType="end"/>
      </w:r>
    </w:p>
    <w:p w:rsidR="00CB5A76" w:rsidRDefault="00CB5A76" w:rsidP="008666B9">
      <w:pPr>
        <w:pStyle w:val="TOC1"/>
        <w:tabs>
          <w:tab w:val="right" w:leader="dot" w:pos="8931"/>
        </w:tabs>
        <w:ind w:right="-622"/>
        <w:rPr>
          <w:rFonts w:ascii="Cambria" w:hAnsi="Cambria" w:cs="Cordia New"/>
          <w:noProof/>
          <w:lang w:val="en-US" w:bidi="th-TH"/>
        </w:rPr>
      </w:pPr>
      <w:r w:rsidRPr="000A041A">
        <w:rPr>
          <w:noProof/>
          <w:lang w:val="en-GB"/>
        </w:rPr>
        <w:t>Table of Contents</w:t>
      </w:r>
      <w:r>
        <w:rPr>
          <w:noProof/>
        </w:rPr>
        <w:tab/>
      </w:r>
      <w:r>
        <w:rPr>
          <w:noProof/>
        </w:rPr>
        <w:fldChar w:fldCharType="begin"/>
      </w:r>
      <w:r>
        <w:rPr>
          <w:noProof/>
        </w:rPr>
        <w:instrText xml:space="preserve"> PAGEREF _Toc168812973 \h </w:instrText>
      </w:r>
      <w:r>
        <w:rPr>
          <w:noProof/>
        </w:rPr>
      </w:r>
      <w:r>
        <w:rPr>
          <w:noProof/>
        </w:rPr>
        <w:fldChar w:fldCharType="separate"/>
      </w:r>
      <w:r>
        <w:rPr>
          <w:noProof/>
        </w:rPr>
        <w:t>vii</w:t>
      </w:r>
      <w:r>
        <w:rPr>
          <w:noProof/>
        </w:rPr>
        <w:fldChar w:fldCharType="end"/>
      </w:r>
    </w:p>
    <w:p w:rsidR="00CB5A76" w:rsidRDefault="00CB5A76" w:rsidP="008666B9">
      <w:pPr>
        <w:pStyle w:val="TOC1"/>
        <w:tabs>
          <w:tab w:val="right" w:leader="dot" w:pos="8931"/>
        </w:tabs>
        <w:ind w:right="-622"/>
        <w:rPr>
          <w:rFonts w:ascii="Cambria" w:hAnsi="Cambria" w:cs="Cordia New"/>
          <w:noProof/>
          <w:lang w:val="en-US" w:bidi="th-TH"/>
        </w:rPr>
      </w:pPr>
      <w:r w:rsidRPr="000A041A">
        <w:rPr>
          <w:noProof/>
          <w:lang w:val="en-GB"/>
        </w:rPr>
        <w:t>List of Acronyms</w:t>
      </w:r>
      <w:r>
        <w:rPr>
          <w:noProof/>
        </w:rPr>
        <w:tab/>
      </w:r>
      <w:r>
        <w:rPr>
          <w:noProof/>
        </w:rPr>
        <w:fldChar w:fldCharType="begin"/>
      </w:r>
      <w:r>
        <w:rPr>
          <w:noProof/>
        </w:rPr>
        <w:instrText xml:space="preserve"> PAGEREF _Toc168812974 \h </w:instrText>
      </w:r>
      <w:r>
        <w:rPr>
          <w:noProof/>
        </w:rPr>
      </w:r>
      <w:r>
        <w:rPr>
          <w:noProof/>
        </w:rPr>
        <w:fldChar w:fldCharType="separate"/>
      </w:r>
      <w:r>
        <w:rPr>
          <w:noProof/>
        </w:rPr>
        <w:t>viii</w:t>
      </w:r>
      <w:r>
        <w:rPr>
          <w:noProof/>
        </w:rPr>
        <w:fldChar w:fldCharType="end"/>
      </w:r>
    </w:p>
    <w:p w:rsidR="00CB5A76" w:rsidRDefault="00CB5A76" w:rsidP="008666B9">
      <w:pPr>
        <w:pStyle w:val="TOC1"/>
        <w:tabs>
          <w:tab w:val="left" w:pos="440"/>
          <w:tab w:val="right" w:leader="dot" w:pos="8931"/>
        </w:tabs>
        <w:ind w:right="-622"/>
        <w:rPr>
          <w:rFonts w:ascii="Cambria" w:hAnsi="Cambria" w:cs="Cordia New"/>
          <w:noProof/>
          <w:lang w:val="en-US" w:bidi="th-TH"/>
        </w:rPr>
      </w:pPr>
      <w:r w:rsidRPr="000A041A">
        <w:rPr>
          <w:noProof/>
          <w:lang w:val="en-GB"/>
        </w:rPr>
        <w:t>1.</w:t>
      </w:r>
      <w:r>
        <w:rPr>
          <w:rFonts w:ascii="Cambria" w:hAnsi="Cambria" w:cs="Cordia New"/>
          <w:noProof/>
          <w:lang w:val="en-US" w:bidi="th-TH"/>
        </w:rPr>
        <w:tab/>
      </w:r>
      <w:r w:rsidRPr="000A041A">
        <w:rPr>
          <w:noProof/>
          <w:lang w:val="en-GB"/>
        </w:rPr>
        <w:t>Introduction</w:t>
      </w:r>
      <w:r>
        <w:rPr>
          <w:noProof/>
        </w:rPr>
        <w:tab/>
      </w:r>
      <w:r>
        <w:rPr>
          <w:noProof/>
        </w:rPr>
        <w:fldChar w:fldCharType="begin"/>
      </w:r>
      <w:r>
        <w:rPr>
          <w:noProof/>
        </w:rPr>
        <w:instrText xml:space="preserve"> PAGEREF _Toc168812975 \h </w:instrText>
      </w:r>
      <w:r>
        <w:rPr>
          <w:noProof/>
        </w:rPr>
      </w:r>
      <w:r>
        <w:rPr>
          <w:noProof/>
        </w:rPr>
        <w:fldChar w:fldCharType="separate"/>
      </w:r>
      <w:r>
        <w:rPr>
          <w:noProof/>
        </w:rPr>
        <w:t>1</w:t>
      </w:r>
      <w:r>
        <w:rPr>
          <w:noProof/>
        </w:rPr>
        <w:fldChar w:fldCharType="end"/>
      </w:r>
    </w:p>
    <w:p w:rsidR="00CB5A76" w:rsidRPr="00D4456C" w:rsidRDefault="00CB5A76" w:rsidP="008666B9">
      <w:pPr>
        <w:pStyle w:val="TOC3"/>
        <w:tabs>
          <w:tab w:val="clear" w:pos="8299"/>
          <w:tab w:val="right" w:leader="dot" w:pos="8931"/>
        </w:tabs>
        <w:ind w:left="993" w:right="-622" w:hanging="426"/>
        <w:rPr>
          <w:rFonts w:cs="Cordia New"/>
          <w:lang w:val="en-US" w:bidi="th-TH"/>
        </w:rPr>
      </w:pPr>
      <w:r w:rsidRPr="00D4456C">
        <w:t>1.1</w:t>
      </w:r>
      <w:r w:rsidRPr="00D4456C">
        <w:rPr>
          <w:rFonts w:cs="Cordia New"/>
          <w:lang w:val="en-US" w:bidi="th-TH"/>
        </w:rPr>
        <w:tab/>
      </w:r>
      <w:r w:rsidRPr="00D4456C">
        <w:t>Document Purpose</w:t>
      </w:r>
      <w:r w:rsidRPr="00D4456C">
        <w:tab/>
      </w:r>
      <w:r w:rsidRPr="00D4456C">
        <w:fldChar w:fldCharType="begin"/>
      </w:r>
      <w:r w:rsidRPr="00D4456C">
        <w:instrText xml:space="preserve"> PAGEREF _Toc168812976 \h </w:instrText>
      </w:r>
      <w:r w:rsidRPr="00D4456C">
        <w:fldChar w:fldCharType="separate"/>
      </w:r>
      <w:r>
        <w:t>1</w:t>
      </w:r>
      <w:r w:rsidRPr="00D4456C">
        <w:fldChar w:fldCharType="end"/>
      </w:r>
    </w:p>
    <w:p w:rsidR="00CB5A76" w:rsidRPr="00D4456C" w:rsidRDefault="00CB5A76" w:rsidP="008666B9">
      <w:pPr>
        <w:pStyle w:val="TOC3"/>
        <w:tabs>
          <w:tab w:val="clear" w:pos="8299"/>
          <w:tab w:val="right" w:leader="dot" w:pos="8931"/>
        </w:tabs>
        <w:ind w:left="993" w:right="-622" w:hanging="426"/>
        <w:rPr>
          <w:rFonts w:cs="Cordia New"/>
          <w:lang w:val="en-US" w:bidi="th-TH"/>
        </w:rPr>
      </w:pPr>
      <w:r w:rsidRPr="00D4456C">
        <w:t>1.2</w:t>
      </w:r>
      <w:r w:rsidRPr="00D4456C">
        <w:rPr>
          <w:rFonts w:cs="Cordia New"/>
          <w:lang w:val="en-US" w:bidi="th-TH"/>
        </w:rPr>
        <w:tab/>
      </w:r>
      <w:r w:rsidRPr="00D4456C">
        <w:t>Background</w:t>
      </w:r>
      <w:r w:rsidRPr="00D4456C">
        <w:tab/>
      </w:r>
      <w:r w:rsidRPr="00D4456C">
        <w:fldChar w:fldCharType="begin"/>
      </w:r>
      <w:r w:rsidRPr="00D4456C">
        <w:instrText xml:space="preserve"> PAGEREF _Toc168812977 \h </w:instrText>
      </w:r>
      <w:r w:rsidRPr="00D4456C">
        <w:fldChar w:fldCharType="separate"/>
      </w:r>
      <w:r>
        <w:t>1</w:t>
      </w:r>
      <w:r w:rsidRPr="00D4456C">
        <w:fldChar w:fldCharType="end"/>
      </w:r>
    </w:p>
    <w:p w:rsidR="00CB5A76" w:rsidRDefault="00CB5A76" w:rsidP="008666B9">
      <w:pPr>
        <w:pStyle w:val="TOC1"/>
        <w:tabs>
          <w:tab w:val="left" w:pos="440"/>
          <w:tab w:val="right" w:leader="dot" w:pos="8931"/>
        </w:tabs>
        <w:ind w:right="-622"/>
        <w:rPr>
          <w:rFonts w:ascii="Cambria" w:hAnsi="Cambria" w:cs="Cordia New"/>
          <w:noProof/>
          <w:lang w:val="en-US" w:bidi="th-TH"/>
        </w:rPr>
      </w:pPr>
      <w:r w:rsidRPr="000A041A">
        <w:rPr>
          <w:noProof/>
          <w:lang w:val="en-GB"/>
        </w:rPr>
        <w:t>2.</w:t>
      </w:r>
      <w:r>
        <w:rPr>
          <w:rFonts w:ascii="Cambria" w:hAnsi="Cambria" w:cs="Cordia New"/>
          <w:noProof/>
          <w:lang w:val="en-US" w:bidi="th-TH"/>
        </w:rPr>
        <w:tab/>
      </w:r>
      <w:r w:rsidRPr="000A041A">
        <w:rPr>
          <w:noProof/>
          <w:lang w:val="en-GB"/>
        </w:rPr>
        <w:t>Methodology</w:t>
      </w:r>
      <w:r>
        <w:rPr>
          <w:noProof/>
        </w:rPr>
        <w:tab/>
      </w:r>
      <w:r>
        <w:rPr>
          <w:noProof/>
        </w:rPr>
        <w:fldChar w:fldCharType="begin"/>
      </w:r>
      <w:r>
        <w:rPr>
          <w:noProof/>
        </w:rPr>
        <w:instrText xml:space="preserve"> PAGEREF _Toc168812979 \h </w:instrText>
      </w:r>
      <w:r>
        <w:rPr>
          <w:noProof/>
        </w:rPr>
      </w:r>
      <w:r>
        <w:rPr>
          <w:noProof/>
        </w:rPr>
        <w:fldChar w:fldCharType="separate"/>
      </w:r>
      <w:r>
        <w:rPr>
          <w:noProof/>
        </w:rPr>
        <w:t>3</w:t>
      </w:r>
      <w:r>
        <w:rPr>
          <w:noProof/>
        </w:rPr>
        <w:fldChar w:fldCharType="end"/>
      </w:r>
    </w:p>
    <w:p w:rsidR="00CB5A76" w:rsidRPr="00D4456C" w:rsidRDefault="00CB5A76" w:rsidP="008666B9">
      <w:pPr>
        <w:pStyle w:val="TOC3"/>
        <w:tabs>
          <w:tab w:val="clear" w:pos="8299"/>
          <w:tab w:val="right" w:leader="dot" w:pos="8931"/>
        </w:tabs>
        <w:ind w:left="993" w:right="-622" w:hanging="426"/>
        <w:rPr>
          <w:rFonts w:cs="Cordia New"/>
          <w:lang w:val="en-US" w:bidi="th-TH"/>
        </w:rPr>
      </w:pPr>
      <w:r w:rsidRPr="00D4456C">
        <w:t>2.1</w:t>
      </w:r>
      <w:r w:rsidRPr="00D4456C">
        <w:rPr>
          <w:rFonts w:cs="Cordia New"/>
          <w:lang w:val="en-US" w:bidi="th-TH"/>
        </w:rPr>
        <w:tab/>
      </w:r>
      <w:r w:rsidRPr="00D4456C">
        <w:t>Evaluation Objectives</w:t>
      </w:r>
      <w:r w:rsidRPr="00D4456C">
        <w:tab/>
      </w:r>
      <w:r w:rsidRPr="00D4456C">
        <w:fldChar w:fldCharType="begin"/>
      </w:r>
      <w:r w:rsidRPr="00D4456C">
        <w:instrText xml:space="preserve"> PAGEREF _Toc168812980 \h </w:instrText>
      </w:r>
      <w:r w:rsidRPr="00D4456C">
        <w:fldChar w:fldCharType="separate"/>
      </w:r>
      <w:r>
        <w:t>3</w:t>
      </w:r>
      <w:r w:rsidRPr="00D4456C">
        <w:fldChar w:fldCharType="end"/>
      </w:r>
    </w:p>
    <w:p w:rsidR="00CB5A76" w:rsidRPr="00D4456C" w:rsidRDefault="00CB5A76" w:rsidP="008666B9">
      <w:pPr>
        <w:pStyle w:val="TOC3"/>
        <w:tabs>
          <w:tab w:val="clear" w:pos="8299"/>
          <w:tab w:val="right" w:leader="dot" w:pos="8931"/>
        </w:tabs>
        <w:ind w:left="993" w:right="-622" w:hanging="426"/>
        <w:rPr>
          <w:rFonts w:cs="Cordia New"/>
          <w:lang w:val="en-US" w:bidi="th-TH"/>
        </w:rPr>
      </w:pPr>
      <w:r w:rsidRPr="00D4456C">
        <w:t>2.2</w:t>
      </w:r>
      <w:r w:rsidRPr="00D4456C">
        <w:rPr>
          <w:rFonts w:cs="Cordia New"/>
          <w:lang w:val="en-US" w:bidi="th-TH"/>
        </w:rPr>
        <w:tab/>
      </w:r>
      <w:r w:rsidRPr="00D4456C">
        <w:t>Scope &amp; Methods</w:t>
      </w:r>
      <w:r w:rsidRPr="00D4456C">
        <w:tab/>
      </w:r>
      <w:r w:rsidRPr="00D4456C">
        <w:fldChar w:fldCharType="begin"/>
      </w:r>
      <w:r w:rsidRPr="00D4456C">
        <w:instrText xml:space="preserve"> PAGEREF _Toc168812981 \h </w:instrText>
      </w:r>
      <w:r w:rsidRPr="00D4456C">
        <w:fldChar w:fldCharType="separate"/>
      </w:r>
      <w:r>
        <w:t>4</w:t>
      </w:r>
      <w:r w:rsidRPr="00D4456C">
        <w:fldChar w:fldCharType="end"/>
      </w:r>
    </w:p>
    <w:p w:rsidR="00CB5A76" w:rsidRDefault="00CB5A76" w:rsidP="008666B9">
      <w:pPr>
        <w:pStyle w:val="TOC3"/>
        <w:tabs>
          <w:tab w:val="clear" w:pos="8299"/>
          <w:tab w:val="right" w:leader="dot" w:pos="8931"/>
        </w:tabs>
        <w:ind w:left="993" w:right="-622" w:hanging="426"/>
        <w:rPr>
          <w:rFonts w:ascii="Cambria" w:hAnsi="Cambria" w:cs="Cordia New"/>
          <w:lang w:val="en-US" w:bidi="th-TH"/>
        </w:rPr>
      </w:pPr>
      <w:r w:rsidRPr="00D4456C">
        <w:rPr>
          <w:sz w:val="22"/>
        </w:rPr>
        <w:t>2.3</w:t>
      </w:r>
      <w:r w:rsidRPr="00D4456C">
        <w:rPr>
          <w:rFonts w:cs="Cordia New"/>
          <w:sz w:val="22"/>
          <w:lang w:val="en-US" w:bidi="th-TH"/>
        </w:rPr>
        <w:tab/>
      </w:r>
      <w:r w:rsidRPr="00D4456C">
        <w:rPr>
          <w:sz w:val="22"/>
        </w:rPr>
        <w:t>Limitations</w:t>
      </w:r>
      <w:r>
        <w:tab/>
      </w:r>
      <w:r>
        <w:fldChar w:fldCharType="begin"/>
      </w:r>
      <w:r>
        <w:instrText xml:space="preserve"> PAGEREF _Toc168812982 \h </w:instrText>
      </w:r>
      <w:r>
        <w:fldChar w:fldCharType="separate"/>
      </w:r>
      <w:r>
        <w:t>4</w:t>
      </w:r>
      <w:r>
        <w:fldChar w:fldCharType="end"/>
      </w:r>
    </w:p>
    <w:p w:rsidR="00CB5A76" w:rsidRDefault="00CB5A76" w:rsidP="008666B9">
      <w:pPr>
        <w:pStyle w:val="TOC1"/>
        <w:tabs>
          <w:tab w:val="left" w:pos="440"/>
          <w:tab w:val="right" w:leader="dot" w:pos="8931"/>
        </w:tabs>
        <w:ind w:right="-622"/>
        <w:rPr>
          <w:rFonts w:ascii="Cambria" w:hAnsi="Cambria" w:cs="Cordia New"/>
          <w:noProof/>
          <w:lang w:val="en-US" w:bidi="th-TH"/>
        </w:rPr>
      </w:pPr>
      <w:r w:rsidRPr="000A041A">
        <w:rPr>
          <w:noProof/>
          <w:lang w:val="en-GB"/>
        </w:rPr>
        <w:t>3.</w:t>
      </w:r>
      <w:r>
        <w:rPr>
          <w:rFonts w:ascii="Cambria" w:hAnsi="Cambria" w:cs="Cordia New"/>
          <w:noProof/>
          <w:lang w:val="en-US" w:bidi="th-TH"/>
        </w:rPr>
        <w:tab/>
      </w:r>
      <w:r w:rsidRPr="000A041A">
        <w:rPr>
          <w:noProof/>
          <w:lang w:val="en-GB"/>
        </w:rPr>
        <w:t>Findings</w:t>
      </w:r>
      <w:r>
        <w:rPr>
          <w:noProof/>
        </w:rPr>
        <w:tab/>
      </w:r>
      <w:r>
        <w:rPr>
          <w:noProof/>
        </w:rPr>
        <w:fldChar w:fldCharType="begin"/>
      </w:r>
      <w:r>
        <w:rPr>
          <w:noProof/>
        </w:rPr>
        <w:instrText xml:space="preserve"> PAGEREF _Toc168812983 \h </w:instrText>
      </w:r>
      <w:r>
        <w:rPr>
          <w:noProof/>
        </w:rPr>
      </w:r>
      <w:r>
        <w:rPr>
          <w:noProof/>
        </w:rPr>
        <w:fldChar w:fldCharType="separate"/>
      </w:r>
      <w:r>
        <w:rPr>
          <w:noProof/>
        </w:rPr>
        <w:t>5</w:t>
      </w:r>
      <w:r>
        <w:rPr>
          <w:noProof/>
        </w:rPr>
        <w:fldChar w:fldCharType="end"/>
      </w:r>
    </w:p>
    <w:p w:rsidR="00CB5A76" w:rsidRPr="00363B3E" w:rsidRDefault="00CB5A76" w:rsidP="008666B9">
      <w:pPr>
        <w:pStyle w:val="TOC3"/>
        <w:tabs>
          <w:tab w:val="clear" w:pos="8299"/>
          <w:tab w:val="right" w:leader="dot" w:pos="8931"/>
        </w:tabs>
        <w:ind w:left="993" w:right="-622" w:hanging="426"/>
        <w:rPr>
          <w:rFonts w:cs="Cordia New"/>
          <w:sz w:val="22"/>
          <w:lang w:val="en-US" w:bidi="th-TH"/>
        </w:rPr>
      </w:pPr>
      <w:r w:rsidRPr="00363B3E">
        <w:rPr>
          <w:sz w:val="22"/>
        </w:rPr>
        <w:t>3.1</w:t>
      </w:r>
      <w:r w:rsidRPr="00363B3E">
        <w:rPr>
          <w:rFonts w:cs="Cordia New"/>
          <w:sz w:val="22"/>
          <w:lang w:val="en-US" w:bidi="th-TH"/>
        </w:rPr>
        <w:tab/>
      </w:r>
      <w:r w:rsidRPr="00363B3E">
        <w:rPr>
          <w:sz w:val="22"/>
        </w:rPr>
        <w:t>Development of gender policy and inclusion strategies</w:t>
      </w:r>
      <w:r w:rsidRPr="00363B3E">
        <w:rPr>
          <w:sz w:val="22"/>
        </w:rPr>
        <w:tab/>
      </w:r>
      <w:r w:rsidRPr="00363B3E">
        <w:rPr>
          <w:sz w:val="22"/>
        </w:rPr>
        <w:fldChar w:fldCharType="begin"/>
      </w:r>
      <w:r w:rsidRPr="00363B3E">
        <w:rPr>
          <w:sz w:val="22"/>
        </w:rPr>
        <w:instrText xml:space="preserve"> PAGEREF _Toc168812984 \h </w:instrText>
      </w:r>
      <w:r w:rsidRPr="00363B3E">
        <w:rPr>
          <w:sz w:val="22"/>
        </w:rPr>
      </w:r>
      <w:r w:rsidRPr="00363B3E">
        <w:rPr>
          <w:sz w:val="22"/>
        </w:rPr>
        <w:fldChar w:fldCharType="separate"/>
      </w:r>
      <w:r>
        <w:rPr>
          <w:sz w:val="22"/>
        </w:rPr>
        <w:t>5</w:t>
      </w:r>
      <w:r w:rsidRPr="00363B3E">
        <w:rPr>
          <w:sz w:val="22"/>
        </w:rPr>
        <w:fldChar w:fldCharType="end"/>
      </w:r>
    </w:p>
    <w:p w:rsidR="00CB5A76" w:rsidRPr="00363B3E" w:rsidRDefault="00CB5A76" w:rsidP="008666B9">
      <w:pPr>
        <w:pStyle w:val="TOC3"/>
        <w:tabs>
          <w:tab w:val="clear" w:pos="8299"/>
          <w:tab w:val="right" w:leader="dot" w:pos="8931"/>
        </w:tabs>
        <w:ind w:left="993" w:right="-622" w:hanging="426"/>
        <w:rPr>
          <w:sz w:val="22"/>
        </w:rPr>
      </w:pPr>
      <w:r w:rsidRPr="00363B3E">
        <w:rPr>
          <w:sz w:val="22"/>
        </w:rPr>
        <w:t>3.2</w:t>
      </w:r>
      <w:r w:rsidRPr="00363B3E">
        <w:rPr>
          <w:rFonts w:cs="Cordia New"/>
          <w:sz w:val="22"/>
          <w:lang w:val="en-US" w:bidi="th-TH"/>
        </w:rPr>
        <w:tab/>
      </w:r>
      <w:r w:rsidRPr="00363B3E">
        <w:rPr>
          <w:sz w:val="22"/>
        </w:rPr>
        <w:t xml:space="preserve">Implementation of gender </w:t>
      </w:r>
      <w:r>
        <w:rPr>
          <w:sz w:val="22"/>
        </w:rPr>
        <w:t xml:space="preserve">&amp; inclusion </w:t>
      </w:r>
      <w:r w:rsidRPr="00363B3E">
        <w:rPr>
          <w:sz w:val="22"/>
        </w:rPr>
        <w:t>strategies resulting in change</w:t>
      </w:r>
      <w:r>
        <w:rPr>
          <w:sz w:val="22"/>
        </w:rPr>
        <w:t>………...…..6</w:t>
      </w:r>
    </w:p>
    <w:p w:rsidR="00CB5A76" w:rsidRPr="00363B3E" w:rsidRDefault="00CB5A76" w:rsidP="008666B9">
      <w:pPr>
        <w:pStyle w:val="TOC3"/>
        <w:tabs>
          <w:tab w:val="clear" w:pos="8299"/>
          <w:tab w:val="right" w:leader="dot" w:pos="8931"/>
        </w:tabs>
        <w:ind w:left="993" w:right="-622" w:hanging="426"/>
        <w:rPr>
          <w:rFonts w:cs="Cordia New"/>
          <w:sz w:val="22"/>
          <w:lang w:val="en-US" w:bidi="th-TH"/>
        </w:rPr>
      </w:pPr>
      <w:r w:rsidRPr="00363B3E">
        <w:rPr>
          <w:sz w:val="22"/>
        </w:rPr>
        <w:t>3.3</w:t>
      </w:r>
      <w:r w:rsidRPr="00363B3E">
        <w:rPr>
          <w:rFonts w:cs="Cordia New"/>
          <w:sz w:val="22"/>
          <w:lang w:val="en-US" w:bidi="th-TH"/>
        </w:rPr>
        <w:tab/>
      </w:r>
      <w:r w:rsidRPr="00363B3E">
        <w:rPr>
          <w:sz w:val="22"/>
        </w:rPr>
        <w:t>Staff understanding &amp; capacity to implement gender &amp; inclusion strategies</w:t>
      </w:r>
      <w:r>
        <w:rPr>
          <w:sz w:val="22"/>
        </w:rPr>
        <w:t>……..9</w:t>
      </w:r>
    </w:p>
    <w:p w:rsidR="00CB5A76" w:rsidRPr="00363B3E" w:rsidRDefault="00CB5A76" w:rsidP="008666B9">
      <w:pPr>
        <w:pStyle w:val="TOC3"/>
        <w:tabs>
          <w:tab w:val="clear" w:pos="8299"/>
          <w:tab w:val="right" w:leader="dot" w:pos="8931"/>
        </w:tabs>
        <w:ind w:left="993" w:right="-622" w:hanging="426"/>
        <w:rPr>
          <w:sz w:val="22"/>
        </w:rPr>
      </w:pPr>
      <w:r w:rsidRPr="00363B3E">
        <w:rPr>
          <w:sz w:val="22"/>
        </w:rPr>
        <w:t>3.4</w:t>
      </w:r>
      <w:r w:rsidRPr="00363B3E">
        <w:rPr>
          <w:rFonts w:cs="Cordia New"/>
          <w:sz w:val="22"/>
          <w:lang w:val="en-US" w:bidi="th-TH"/>
        </w:rPr>
        <w:tab/>
      </w:r>
      <w:r>
        <w:rPr>
          <w:sz w:val="22"/>
        </w:rPr>
        <w:t>Budget and resources…………………………………………………………………10</w:t>
      </w:r>
    </w:p>
    <w:p w:rsidR="00CB5A76" w:rsidRPr="00363B3E" w:rsidRDefault="00CB5A76" w:rsidP="008666B9">
      <w:pPr>
        <w:pStyle w:val="TOC3"/>
        <w:tabs>
          <w:tab w:val="clear" w:pos="8299"/>
          <w:tab w:val="right" w:leader="dot" w:pos="8931"/>
        </w:tabs>
        <w:ind w:left="993" w:right="-622" w:hanging="426"/>
        <w:rPr>
          <w:sz w:val="22"/>
        </w:rPr>
      </w:pPr>
      <w:r w:rsidRPr="00363B3E">
        <w:rPr>
          <w:sz w:val="22"/>
        </w:rPr>
        <w:t xml:space="preserve">3.5 </w:t>
      </w:r>
      <w:r w:rsidRPr="00363B3E">
        <w:rPr>
          <w:sz w:val="22"/>
        </w:rPr>
        <w:tab/>
        <w:t>Adequacy of monitoring and evaluation</w:t>
      </w:r>
      <w:r>
        <w:rPr>
          <w:sz w:val="22"/>
        </w:rPr>
        <w:t xml:space="preserve">…………………………………….............10 </w:t>
      </w:r>
    </w:p>
    <w:p w:rsidR="00CB5A76" w:rsidRPr="00363B3E" w:rsidRDefault="00CB5A76" w:rsidP="008666B9">
      <w:pPr>
        <w:pStyle w:val="TOC3"/>
        <w:tabs>
          <w:tab w:val="clear" w:pos="1035"/>
          <w:tab w:val="clear" w:pos="8299"/>
          <w:tab w:val="left" w:pos="426"/>
          <w:tab w:val="right" w:leader="dot" w:pos="8931"/>
        </w:tabs>
        <w:ind w:right="-622"/>
      </w:pPr>
      <w:r w:rsidRPr="00363B3E">
        <w:t>4.</w:t>
      </w:r>
      <w:r>
        <w:tab/>
        <w:t>Conclusion</w:t>
      </w:r>
      <w:r w:rsidRPr="00363B3E">
        <w:tab/>
      </w:r>
      <w:r>
        <w:t>11</w:t>
      </w:r>
    </w:p>
    <w:p w:rsidR="00CB5A76" w:rsidRPr="00363B3E" w:rsidRDefault="00CB5A76" w:rsidP="008666B9">
      <w:pPr>
        <w:tabs>
          <w:tab w:val="right" w:leader="dot" w:pos="8789"/>
        </w:tabs>
      </w:pPr>
    </w:p>
    <w:p w:rsidR="00CB5A76" w:rsidRDefault="00CB5A76" w:rsidP="008666B9">
      <w:pPr>
        <w:pStyle w:val="TOC1"/>
        <w:tabs>
          <w:tab w:val="right" w:leader="dot" w:pos="8789"/>
        </w:tabs>
        <w:rPr>
          <w:rFonts w:ascii="Cambria" w:hAnsi="Cambria" w:cs="Cordia New"/>
          <w:noProof/>
          <w:lang w:val="en-US" w:bidi="th-TH"/>
        </w:rPr>
      </w:pPr>
      <w:r w:rsidRPr="000A041A">
        <w:rPr>
          <w:noProof/>
          <w:lang w:val="en-PH"/>
        </w:rPr>
        <w:t>Appendix A: R</w:t>
      </w:r>
      <w:r>
        <w:rPr>
          <w:noProof/>
          <w:lang w:val="en-PH"/>
        </w:rPr>
        <w:t>eviewed Documents</w:t>
      </w:r>
      <w:r>
        <w:rPr>
          <w:noProof/>
        </w:rPr>
        <w:tab/>
        <w:t>…………13</w:t>
      </w:r>
    </w:p>
    <w:p w:rsidR="00CB5A76" w:rsidRDefault="00CB5A76" w:rsidP="008666B9">
      <w:pPr>
        <w:pStyle w:val="Bodytxt"/>
        <w:tabs>
          <w:tab w:val="right" w:leader="dot" w:pos="8789"/>
        </w:tabs>
        <w:spacing w:line="480" w:lineRule="auto"/>
        <w:rPr>
          <w:lang w:val="en-GB"/>
        </w:rPr>
      </w:pPr>
      <w:r w:rsidRPr="003A62B8">
        <w:rPr>
          <w:rFonts w:cs="Calibri"/>
          <w:szCs w:val="22"/>
          <w:lang w:val="en-GB"/>
        </w:rPr>
        <w:fldChar w:fldCharType="end"/>
      </w:r>
    </w:p>
    <w:p w:rsidR="00CB5A76" w:rsidRDefault="00CB5A76">
      <w:pPr>
        <w:pStyle w:val="Bodytxt"/>
        <w:rPr>
          <w:lang w:val="en-GB"/>
        </w:rPr>
      </w:pPr>
    </w:p>
    <w:p w:rsidR="00CB5A76" w:rsidRDefault="00CB5A76">
      <w:pPr>
        <w:pStyle w:val="Bodytxt"/>
        <w:rPr>
          <w:lang w:val="en-GB"/>
        </w:rPr>
      </w:pPr>
    </w:p>
    <w:p w:rsidR="00CB5A76" w:rsidRDefault="00CB5A76">
      <w:pPr>
        <w:rPr>
          <w:rFonts w:ascii="Cambria" w:hAnsi="Cambria"/>
          <w:b/>
          <w:caps/>
          <w:color w:val="17365D"/>
          <w:sz w:val="32"/>
          <w:lang w:val="en-GB"/>
        </w:rPr>
      </w:pPr>
      <w:bookmarkStart w:id="9" w:name="_Toc48482277"/>
      <w:bookmarkStart w:id="10" w:name="_Toc48482345"/>
      <w:bookmarkStart w:id="11" w:name="_Toc168812974"/>
      <w:r>
        <w:rPr>
          <w:lang w:val="en-GB"/>
        </w:rPr>
        <w:br w:type="page"/>
      </w:r>
    </w:p>
    <w:p w:rsidR="00CB5A76" w:rsidRDefault="00CB5A76">
      <w:pPr>
        <w:pStyle w:val="Heading2"/>
        <w:numPr>
          <w:ilvl w:val="0"/>
          <w:numId w:val="0"/>
        </w:numPr>
        <w:rPr>
          <w:lang w:val="en-GB"/>
        </w:rPr>
      </w:pPr>
      <w:r>
        <w:rPr>
          <w:lang w:val="en-GB"/>
        </w:rPr>
        <w:t>List of Acronyms</w:t>
      </w:r>
      <w:bookmarkEnd w:id="9"/>
      <w:bookmarkEnd w:id="10"/>
      <w:bookmarkEnd w:id="11"/>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7"/>
      </w:tblGrid>
      <w:tr w:rsidR="00CB5A76" w:rsidRPr="003A62B8">
        <w:tc>
          <w:tcPr>
            <w:tcW w:w="1548" w:type="dxa"/>
            <w:vAlign w:val="center"/>
          </w:tcPr>
          <w:p w:rsidR="00CB5A76" w:rsidRDefault="00CB5A76" w:rsidP="000915CF">
            <w:pPr>
              <w:pStyle w:val="TableTxt0"/>
              <w:rPr>
                <w:rFonts w:cs="Calibri"/>
                <w:sz w:val="22"/>
              </w:rPr>
            </w:pPr>
            <w:r>
              <w:rPr>
                <w:rFonts w:cs="Calibri"/>
                <w:sz w:val="22"/>
                <w:szCs w:val="22"/>
              </w:rPr>
              <w:t>ACFID</w:t>
            </w:r>
          </w:p>
        </w:tc>
        <w:tc>
          <w:tcPr>
            <w:tcW w:w="7207" w:type="dxa"/>
            <w:vAlign w:val="center"/>
          </w:tcPr>
          <w:p w:rsidR="00CB5A76" w:rsidRDefault="00CB5A76" w:rsidP="000915CF">
            <w:pPr>
              <w:pStyle w:val="TableTxt0"/>
              <w:rPr>
                <w:rFonts w:cs="Calibri"/>
                <w:sz w:val="22"/>
              </w:rPr>
            </w:pPr>
            <w:r>
              <w:rPr>
                <w:rFonts w:cs="Calibri"/>
                <w:sz w:val="22"/>
                <w:szCs w:val="22"/>
              </w:rPr>
              <w:t>Australian Council for International Development</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AEW</w:t>
            </w:r>
          </w:p>
        </w:tc>
        <w:tc>
          <w:tcPr>
            <w:tcW w:w="7207" w:type="dxa"/>
            <w:vAlign w:val="center"/>
          </w:tcPr>
          <w:p w:rsidR="00CB5A76" w:rsidRPr="003A62B8" w:rsidRDefault="00CB5A76" w:rsidP="000915CF">
            <w:pPr>
              <w:pStyle w:val="TableTxt0"/>
              <w:rPr>
                <w:rFonts w:cs="Calibri"/>
                <w:sz w:val="22"/>
              </w:rPr>
            </w:pPr>
            <w:r>
              <w:rPr>
                <w:rFonts w:cs="Calibri"/>
                <w:sz w:val="22"/>
                <w:szCs w:val="22"/>
              </w:rPr>
              <w:t>Annual Evaluation Workshop</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ANGO</w:t>
            </w:r>
          </w:p>
        </w:tc>
        <w:tc>
          <w:tcPr>
            <w:tcW w:w="7207" w:type="dxa"/>
            <w:vAlign w:val="center"/>
          </w:tcPr>
          <w:p w:rsidR="00CB5A76" w:rsidRDefault="00CB5A76" w:rsidP="000915CF">
            <w:pPr>
              <w:pStyle w:val="TableTxt0"/>
              <w:rPr>
                <w:rFonts w:cs="Calibri"/>
                <w:sz w:val="22"/>
              </w:rPr>
            </w:pPr>
            <w:r>
              <w:rPr>
                <w:rFonts w:cs="Calibri"/>
                <w:sz w:val="22"/>
                <w:szCs w:val="22"/>
              </w:rPr>
              <w:t>Australian Non-Government Organisation</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AusAID</w:t>
            </w:r>
          </w:p>
        </w:tc>
        <w:tc>
          <w:tcPr>
            <w:tcW w:w="7207" w:type="dxa"/>
            <w:vAlign w:val="center"/>
          </w:tcPr>
          <w:p w:rsidR="00CB5A76" w:rsidRDefault="00CB5A76" w:rsidP="000915CF">
            <w:pPr>
              <w:pStyle w:val="TableTxt0"/>
              <w:rPr>
                <w:rFonts w:cs="Calibri"/>
                <w:sz w:val="22"/>
              </w:rPr>
            </w:pPr>
            <w:r>
              <w:rPr>
                <w:rFonts w:cs="Calibri"/>
                <w:sz w:val="22"/>
                <w:szCs w:val="22"/>
              </w:rPr>
              <w:t>Australian Agency for International Development</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CEDAW</w:t>
            </w:r>
          </w:p>
        </w:tc>
        <w:tc>
          <w:tcPr>
            <w:tcW w:w="7207" w:type="dxa"/>
            <w:vAlign w:val="center"/>
          </w:tcPr>
          <w:p w:rsidR="00CB5A76" w:rsidRPr="006823A4" w:rsidRDefault="00CB5A76" w:rsidP="000915CF">
            <w:pPr>
              <w:pStyle w:val="TableTxt0"/>
              <w:rPr>
                <w:rFonts w:cs="Calibri"/>
                <w:sz w:val="22"/>
              </w:rPr>
            </w:pPr>
            <w:r w:rsidRPr="006823A4">
              <w:rPr>
                <w:sz w:val="22"/>
              </w:rPr>
              <w:t>Convention on the Elimination of All Forms of Discrimination Against Women</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COPE</w:t>
            </w:r>
          </w:p>
        </w:tc>
        <w:tc>
          <w:tcPr>
            <w:tcW w:w="7207" w:type="dxa"/>
            <w:vAlign w:val="center"/>
          </w:tcPr>
          <w:p w:rsidR="00CB5A76" w:rsidRDefault="00CB5A76" w:rsidP="000915CF">
            <w:pPr>
              <w:pStyle w:val="TableTxt0"/>
              <w:rPr>
                <w:rFonts w:cs="Calibri"/>
                <w:sz w:val="22"/>
              </w:rPr>
            </w:pPr>
            <w:r>
              <w:rPr>
                <w:rFonts w:cs="Calibri"/>
                <w:sz w:val="22"/>
                <w:szCs w:val="22"/>
              </w:rPr>
              <w:t>Cooperative for Orthotic and Prosthetic Enterprise</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DAFO</w:t>
            </w:r>
          </w:p>
        </w:tc>
        <w:tc>
          <w:tcPr>
            <w:tcW w:w="7207" w:type="dxa"/>
            <w:vAlign w:val="center"/>
          </w:tcPr>
          <w:p w:rsidR="00CB5A76" w:rsidRPr="00277C32" w:rsidRDefault="00CB5A76" w:rsidP="000915CF">
            <w:pPr>
              <w:pStyle w:val="TableTxt0"/>
              <w:rPr>
                <w:rFonts w:cs="Calibri"/>
                <w:sz w:val="22"/>
              </w:rPr>
            </w:pPr>
            <w:r w:rsidRPr="00277C32">
              <w:rPr>
                <w:sz w:val="22"/>
              </w:rPr>
              <w:t>District Agriculture &amp; Forestry Office</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DDMC</w:t>
            </w:r>
          </w:p>
        </w:tc>
        <w:tc>
          <w:tcPr>
            <w:tcW w:w="7207" w:type="dxa"/>
            <w:vAlign w:val="center"/>
          </w:tcPr>
          <w:p w:rsidR="00CB5A76" w:rsidRPr="003A62B8" w:rsidRDefault="00CB5A76" w:rsidP="000915CF">
            <w:pPr>
              <w:pStyle w:val="TableTxt0"/>
              <w:rPr>
                <w:rFonts w:cs="Calibri"/>
                <w:sz w:val="22"/>
              </w:rPr>
            </w:pPr>
            <w:r>
              <w:rPr>
                <w:rFonts w:cs="Calibri"/>
                <w:sz w:val="22"/>
                <w:szCs w:val="22"/>
              </w:rPr>
              <w:t>District Disaster Management Committee</w:t>
            </w:r>
          </w:p>
        </w:tc>
      </w:tr>
      <w:tr w:rsidR="00CB5A76">
        <w:tc>
          <w:tcPr>
            <w:tcW w:w="1548" w:type="dxa"/>
            <w:vAlign w:val="center"/>
          </w:tcPr>
          <w:p w:rsidR="00CB5A76" w:rsidRDefault="00CB5A76" w:rsidP="000915CF">
            <w:pPr>
              <w:pStyle w:val="TableTxt0"/>
              <w:rPr>
                <w:rFonts w:cs="Calibri"/>
                <w:sz w:val="22"/>
              </w:rPr>
            </w:pPr>
            <w:r>
              <w:rPr>
                <w:rFonts w:cs="Calibri"/>
                <w:sz w:val="22"/>
                <w:szCs w:val="22"/>
              </w:rPr>
              <w:t>DIO</w:t>
            </w:r>
          </w:p>
        </w:tc>
        <w:tc>
          <w:tcPr>
            <w:tcW w:w="7207" w:type="dxa"/>
            <w:vAlign w:val="center"/>
          </w:tcPr>
          <w:p w:rsidR="00CB5A76" w:rsidRDefault="00CB5A76" w:rsidP="000915CF">
            <w:pPr>
              <w:pStyle w:val="TableTxt0"/>
              <w:rPr>
                <w:rFonts w:cs="Calibri"/>
                <w:sz w:val="22"/>
              </w:rPr>
            </w:pPr>
            <w:r>
              <w:rPr>
                <w:rFonts w:cs="Calibri"/>
                <w:sz w:val="22"/>
                <w:szCs w:val="22"/>
              </w:rPr>
              <w:t>Department of International Organisations</w:t>
            </w:r>
          </w:p>
        </w:tc>
      </w:tr>
      <w:tr w:rsidR="00CB5A76">
        <w:tc>
          <w:tcPr>
            <w:tcW w:w="1548" w:type="dxa"/>
            <w:vAlign w:val="center"/>
          </w:tcPr>
          <w:p w:rsidR="00CB5A76" w:rsidRDefault="00CB5A76" w:rsidP="000915CF">
            <w:pPr>
              <w:pStyle w:val="TableTxt0"/>
              <w:rPr>
                <w:rFonts w:cs="Calibri"/>
                <w:sz w:val="22"/>
              </w:rPr>
            </w:pPr>
            <w:r>
              <w:rPr>
                <w:rFonts w:cs="Calibri"/>
                <w:sz w:val="22"/>
                <w:szCs w:val="22"/>
              </w:rPr>
              <w:t>DREC</w:t>
            </w:r>
          </w:p>
        </w:tc>
        <w:tc>
          <w:tcPr>
            <w:tcW w:w="7207" w:type="dxa"/>
            <w:vAlign w:val="center"/>
          </w:tcPr>
          <w:p w:rsidR="00CB5A76" w:rsidRPr="002A297A" w:rsidRDefault="00CB5A76" w:rsidP="000915CF">
            <w:pPr>
              <w:pStyle w:val="TableTxt0"/>
              <w:rPr>
                <w:rFonts w:cs="Calibri"/>
                <w:sz w:val="22"/>
              </w:rPr>
            </w:pPr>
            <w:r w:rsidRPr="002A297A">
              <w:rPr>
                <w:sz w:val="22"/>
              </w:rPr>
              <w:t>Disaster Risk Education for Children</w:t>
            </w:r>
          </w:p>
        </w:tc>
      </w:tr>
      <w:tr w:rsidR="00CB5A76">
        <w:tc>
          <w:tcPr>
            <w:tcW w:w="1548" w:type="dxa"/>
            <w:vAlign w:val="center"/>
          </w:tcPr>
          <w:p w:rsidR="00CB5A76" w:rsidRDefault="00CB5A76" w:rsidP="000915CF">
            <w:pPr>
              <w:pStyle w:val="TableTxt0"/>
              <w:rPr>
                <w:rFonts w:cs="Calibri"/>
                <w:sz w:val="22"/>
              </w:rPr>
            </w:pPr>
            <w:r>
              <w:rPr>
                <w:rFonts w:cs="Calibri"/>
                <w:sz w:val="22"/>
                <w:szCs w:val="22"/>
              </w:rPr>
              <w:t>DRR</w:t>
            </w:r>
          </w:p>
        </w:tc>
        <w:tc>
          <w:tcPr>
            <w:tcW w:w="7207" w:type="dxa"/>
            <w:vAlign w:val="center"/>
          </w:tcPr>
          <w:p w:rsidR="00CB5A76" w:rsidRDefault="00CB5A76" w:rsidP="000915CF">
            <w:pPr>
              <w:pStyle w:val="TableTxt0"/>
              <w:rPr>
                <w:rFonts w:cs="Calibri"/>
                <w:sz w:val="22"/>
              </w:rPr>
            </w:pPr>
            <w:r>
              <w:rPr>
                <w:rFonts w:cs="Calibri"/>
                <w:sz w:val="22"/>
                <w:szCs w:val="22"/>
              </w:rPr>
              <w:t>Disaster Risk Reduction</w:t>
            </w:r>
          </w:p>
        </w:tc>
      </w:tr>
      <w:tr w:rsidR="00CB5A76">
        <w:tc>
          <w:tcPr>
            <w:tcW w:w="1548" w:type="dxa"/>
            <w:vAlign w:val="center"/>
          </w:tcPr>
          <w:p w:rsidR="00CB5A76" w:rsidRDefault="00CB5A76" w:rsidP="000915CF">
            <w:pPr>
              <w:pStyle w:val="TableTxt0"/>
              <w:rPr>
                <w:rFonts w:cs="Calibri"/>
                <w:sz w:val="22"/>
              </w:rPr>
            </w:pPr>
            <w:proofErr w:type="spellStart"/>
            <w:r>
              <w:rPr>
                <w:rFonts w:cs="Calibri"/>
                <w:sz w:val="22"/>
                <w:szCs w:val="22"/>
              </w:rPr>
              <w:t>GoL</w:t>
            </w:r>
            <w:proofErr w:type="spellEnd"/>
          </w:p>
        </w:tc>
        <w:tc>
          <w:tcPr>
            <w:tcW w:w="7207" w:type="dxa"/>
            <w:vAlign w:val="center"/>
          </w:tcPr>
          <w:p w:rsidR="00CB5A76" w:rsidRDefault="00CB5A76" w:rsidP="000915CF">
            <w:pPr>
              <w:pStyle w:val="TableTxt0"/>
              <w:rPr>
                <w:rFonts w:cs="Calibri"/>
                <w:sz w:val="22"/>
              </w:rPr>
            </w:pPr>
            <w:r>
              <w:rPr>
                <w:rFonts w:cs="Calibri"/>
                <w:sz w:val="22"/>
                <w:szCs w:val="22"/>
              </w:rPr>
              <w:t>Government of Laos</w:t>
            </w:r>
          </w:p>
        </w:tc>
      </w:tr>
      <w:tr w:rsidR="00CB5A76">
        <w:tc>
          <w:tcPr>
            <w:tcW w:w="1548" w:type="dxa"/>
            <w:vAlign w:val="center"/>
          </w:tcPr>
          <w:p w:rsidR="00CB5A76" w:rsidRDefault="00CB5A76" w:rsidP="000915CF">
            <w:pPr>
              <w:pStyle w:val="TableTxt0"/>
              <w:rPr>
                <w:rFonts w:cs="Calibri"/>
                <w:sz w:val="22"/>
              </w:rPr>
            </w:pPr>
            <w:r>
              <w:rPr>
                <w:rFonts w:cs="Calibri"/>
                <w:sz w:val="22"/>
                <w:szCs w:val="22"/>
              </w:rPr>
              <w:t>HI</w:t>
            </w:r>
          </w:p>
        </w:tc>
        <w:tc>
          <w:tcPr>
            <w:tcW w:w="7207" w:type="dxa"/>
            <w:vAlign w:val="center"/>
          </w:tcPr>
          <w:p w:rsidR="00CB5A76" w:rsidRDefault="00CB5A76" w:rsidP="000915CF">
            <w:pPr>
              <w:pStyle w:val="TableTxt0"/>
              <w:rPr>
                <w:rFonts w:cs="Calibri"/>
                <w:sz w:val="22"/>
              </w:rPr>
            </w:pPr>
            <w:r>
              <w:rPr>
                <w:rFonts w:cs="Calibri"/>
                <w:sz w:val="22"/>
                <w:szCs w:val="22"/>
              </w:rPr>
              <w:t>Handicap International</w:t>
            </w:r>
          </w:p>
        </w:tc>
      </w:tr>
      <w:tr w:rsidR="00CB5A76">
        <w:tc>
          <w:tcPr>
            <w:tcW w:w="1548" w:type="dxa"/>
            <w:vAlign w:val="center"/>
          </w:tcPr>
          <w:p w:rsidR="00CB5A76" w:rsidRDefault="00CB5A76" w:rsidP="00FC5C13">
            <w:pPr>
              <w:pStyle w:val="TableTxt0"/>
              <w:rPr>
                <w:rFonts w:cs="Calibri"/>
                <w:sz w:val="22"/>
              </w:rPr>
            </w:pPr>
            <w:r>
              <w:rPr>
                <w:rFonts w:cs="Calibri"/>
                <w:sz w:val="22"/>
                <w:szCs w:val="22"/>
              </w:rPr>
              <w:t>HIV / AIDS</w:t>
            </w:r>
          </w:p>
        </w:tc>
        <w:tc>
          <w:tcPr>
            <w:tcW w:w="7207" w:type="dxa"/>
            <w:vAlign w:val="center"/>
          </w:tcPr>
          <w:p w:rsidR="00CB5A76" w:rsidRDefault="00CB5A76" w:rsidP="000915CF">
            <w:pPr>
              <w:pStyle w:val="TableTxt0"/>
              <w:rPr>
                <w:rFonts w:cs="Calibri"/>
                <w:sz w:val="22"/>
              </w:rPr>
            </w:pPr>
            <w:r>
              <w:rPr>
                <w:rFonts w:cs="Calibri"/>
                <w:sz w:val="22"/>
                <w:szCs w:val="22"/>
              </w:rPr>
              <w:t>Human Immunodeficiency Virus / Acquired Immunodeficiency Syndrome</w:t>
            </w:r>
          </w:p>
        </w:tc>
      </w:tr>
      <w:tr w:rsidR="00CB5A76">
        <w:tc>
          <w:tcPr>
            <w:tcW w:w="1548" w:type="dxa"/>
            <w:vAlign w:val="center"/>
          </w:tcPr>
          <w:p w:rsidR="00CB5A76" w:rsidRDefault="00CB5A76" w:rsidP="000915CF">
            <w:pPr>
              <w:pStyle w:val="TableTxt0"/>
              <w:rPr>
                <w:rFonts w:cs="Calibri"/>
                <w:sz w:val="22"/>
              </w:rPr>
            </w:pPr>
            <w:r>
              <w:rPr>
                <w:rFonts w:cs="Calibri"/>
                <w:sz w:val="22"/>
                <w:szCs w:val="22"/>
              </w:rPr>
              <w:t>IPR</w:t>
            </w:r>
          </w:p>
        </w:tc>
        <w:tc>
          <w:tcPr>
            <w:tcW w:w="7207" w:type="dxa"/>
            <w:vAlign w:val="center"/>
          </w:tcPr>
          <w:p w:rsidR="00CB5A76" w:rsidRDefault="00CB5A76" w:rsidP="000915CF">
            <w:pPr>
              <w:pStyle w:val="TableTxt0"/>
              <w:rPr>
                <w:rFonts w:cs="Calibri"/>
                <w:sz w:val="22"/>
              </w:rPr>
            </w:pPr>
            <w:r>
              <w:rPr>
                <w:rFonts w:cs="Calibri"/>
                <w:sz w:val="22"/>
                <w:szCs w:val="22"/>
              </w:rPr>
              <w:t>Independent Progress Review</w:t>
            </w:r>
          </w:p>
        </w:tc>
      </w:tr>
      <w:tr w:rsidR="00CB5A76">
        <w:tc>
          <w:tcPr>
            <w:tcW w:w="1548" w:type="dxa"/>
            <w:vAlign w:val="center"/>
          </w:tcPr>
          <w:p w:rsidR="00CB5A76" w:rsidRDefault="00CB5A76" w:rsidP="000915CF">
            <w:pPr>
              <w:pStyle w:val="TableTxt0"/>
              <w:rPr>
                <w:rFonts w:cs="Calibri"/>
                <w:sz w:val="22"/>
              </w:rPr>
            </w:pPr>
            <w:r>
              <w:rPr>
                <w:rFonts w:cs="Calibri"/>
                <w:sz w:val="22"/>
                <w:szCs w:val="22"/>
              </w:rPr>
              <w:t>ISDP</w:t>
            </w:r>
          </w:p>
        </w:tc>
        <w:tc>
          <w:tcPr>
            <w:tcW w:w="7207" w:type="dxa"/>
            <w:vAlign w:val="center"/>
          </w:tcPr>
          <w:p w:rsidR="00CB5A76" w:rsidRDefault="00CB5A76" w:rsidP="000915CF">
            <w:pPr>
              <w:pStyle w:val="TableTxt0"/>
              <w:rPr>
                <w:rFonts w:cs="Calibri"/>
                <w:sz w:val="22"/>
              </w:rPr>
            </w:pPr>
            <w:r>
              <w:rPr>
                <w:rFonts w:cs="Calibri"/>
                <w:sz w:val="22"/>
                <w:szCs w:val="22"/>
              </w:rPr>
              <w:t xml:space="preserve">Improving Socioeconomic Integration Services for People with Disabilities in </w:t>
            </w:r>
            <w:proofErr w:type="spellStart"/>
            <w:r>
              <w:rPr>
                <w:rFonts w:cs="Calibri"/>
                <w:sz w:val="22"/>
                <w:szCs w:val="22"/>
              </w:rPr>
              <w:t>Sekong</w:t>
            </w:r>
            <w:proofErr w:type="spellEnd"/>
            <w:r>
              <w:rPr>
                <w:rFonts w:cs="Calibri"/>
                <w:sz w:val="22"/>
                <w:szCs w:val="22"/>
              </w:rPr>
              <w:t xml:space="preserve"> Province</w:t>
            </w:r>
          </w:p>
        </w:tc>
      </w:tr>
      <w:tr w:rsidR="00CB5A76">
        <w:tc>
          <w:tcPr>
            <w:tcW w:w="1548" w:type="dxa"/>
            <w:vAlign w:val="center"/>
          </w:tcPr>
          <w:p w:rsidR="00CB5A76" w:rsidRDefault="00CB5A76" w:rsidP="000915CF">
            <w:pPr>
              <w:pStyle w:val="TableTxt0"/>
              <w:rPr>
                <w:rFonts w:cs="Calibri"/>
                <w:sz w:val="22"/>
              </w:rPr>
            </w:pPr>
            <w:r>
              <w:rPr>
                <w:rFonts w:cs="Calibri"/>
                <w:sz w:val="22"/>
                <w:szCs w:val="22"/>
              </w:rPr>
              <w:t>LANGOCA</w:t>
            </w:r>
          </w:p>
        </w:tc>
        <w:tc>
          <w:tcPr>
            <w:tcW w:w="7207" w:type="dxa"/>
            <w:vAlign w:val="center"/>
          </w:tcPr>
          <w:p w:rsidR="00CB5A76" w:rsidRDefault="00CB5A76" w:rsidP="00947474">
            <w:pPr>
              <w:pStyle w:val="TableTxt0"/>
              <w:rPr>
                <w:rFonts w:cs="Calibri"/>
                <w:sz w:val="22"/>
              </w:rPr>
            </w:pPr>
            <w:r>
              <w:rPr>
                <w:rFonts w:cs="Calibri"/>
                <w:sz w:val="22"/>
                <w:szCs w:val="22"/>
              </w:rPr>
              <w:t>Lao Australia NGO Cooperation Agreement</w:t>
            </w:r>
          </w:p>
        </w:tc>
      </w:tr>
      <w:tr w:rsidR="00CB5A76">
        <w:tc>
          <w:tcPr>
            <w:tcW w:w="1548" w:type="dxa"/>
            <w:vAlign w:val="center"/>
          </w:tcPr>
          <w:p w:rsidR="00CB5A76" w:rsidRDefault="00CB5A76" w:rsidP="000915CF">
            <w:pPr>
              <w:pStyle w:val="TableTxt0"/>
              <w:rPr>
                <w:rFonts w:cs="Calibri"/>
                <w:sz w:val="22"/>
              </w:rPr>
            </w:pPr>
            <w:r>
              <w:rPr>
                <w:rFonts w:cs="Calibri"/>
                <w:sz w:val="22"/>
                <w:szCs w:val="22"/>
              </w:rPr>
              <w:t>LDPA</w:t>
            </w:r>
          </w:p>
        </w:tc>
        <w:tc>
          <w:tcPr>
            <w:tcW w:w="7207" w:type="dxa"/>
            <w:vAlign w:val="center"/>
          </w:tcPr>
          <w:p w:rsidR="00CB5A76" w:rsidRDefault="00CB5A76" w:rsidP="000915CF">
            <w:pPr>
              <w:pStyle w:val="TableTxt0"/>
              <w:rPr>
                <w:rFonts w:cs="Calibri"/>
                <w:sz w:val="22"/>
              </w:rPr>
            </w:pPr>
            <w:r>
              <w:rPr>
                <w:rFonts w:cs="Calibri"/>
                <w:sz w:val="22"/>
                <w:szCs w:val="22"/>
              </w:rPr>
              <w:t>Laos Disabled Peoples Association</w:t>
            </w:r>
          </w:p>
        </w:tc>
      </w:tr>
      <w:tr w:rsidR="00CB5A76">
        <w:tc>
          <w:tcPr>
            <w:tcW w:w="1548" w:type="dxa"/>
            <w:vAlign w:val="center"/>
          </w:tcPr>
          <w:p w:rsidR="00CB5A76" w:rsidRDefault="00CB5A76" w:rsidP="000915CF">
            <w:pPr>
              <w:pStyle w:val="TableTxt0"/>
              <w:rPr>
                <w:rFonts w:cs="Calibri"/>
                <w:sz w:val="22"/>
              </w:rPr>
            </w:pPr>
            <w:r>
              <w:rPr>
                <w:rFonts w:cs="Calibri"/>
                <w:sz w:val="22"/>
                <w:szCs w:val="22"/>
              </w:rPr>
              <w:t>LTA</w:t>
            </w:r>
          </w:p>
        </w:tc>
        <w:tc>
          <w:tcPr>
            <w:tcW w:w="7207" w:type="dxa"/>
            <w:vAlign w:val="center"/>
          </w:tcPr>
          <w:p w:rsidR="00CB5A76" w:rsidRDefault="00CB5A76" w:rsidP="000915CF">
            <w:pPr>
              <w:pStyle w:val="TableTxt0"/>
              <w:rPr>
                <w:rFonts w:cs="Calibri"/>
                <w:sz w:val="22"/>
              </w:rPr>
            </w:pPr>
            <w:r>
              <w:rPr>
                <w:rFonts w:cs="Calibri"/>
                <w:sz w:val="22"/>
                <w:szCs w:val="22"/>
              </w:rPr>
              <w:t>Long Term Activity</w:t>
            </w:r>
          </w:p>
        </w:tc>
      </w:tr>
      <w:tr w:rsidR="00CB5A76">
        <w:tc>
          <w:tcPr>
            <w:tcW w:w="1548" w:type="dxa"/>
            <w:vAlign w:val="center"/>
          </w:tcPr>
          <w:p w:rsidR="00CB5A76" w:rsidRDefault="00CB5A76" w:rsidP="000915CF">
            <w:pPr>
              <w:pStyle w:val="TableTxt0"/>
              <w:rPr>
                <w:rFonts w:cs="Calibri"/>
                <w:sz w:val="22"/>
              </w:rPr>
            </w:pPr>
            <w:r>
              <w:rPr>
                <w:rFonts w:cs="Calibri"/>
                <w:sz w:val="22"/>
                <w:szCs w:val="22"/>
              </w:rPr>
              <w:t>LWU</w:t>
            </w:r>
          </w:p>
        </w:tc>
        <w:tc>
          <w:tcPr>
            <w:tcW w:w="7207" w:type="dxa"/>
            <w:vAlign w:val="center"/>
          </w:tcPr>
          <w:p w:rsidR="00CB5A76" w:rsidRDefault="00CB5A76" w:rsidP="000915CF">
            <w:pPr>
              <w:pStyle w:val="TableTxt0"/>
              <w:rPr>
                <w:rFonts w:cs="Calibri"/>
                <w:sz w:val="22"/>
              </w:rPr>
            </w:pPr>
            <w:r>
              <w:rPr>
                <w:rFonts w:cs="Calibri"/>
                <w:sz w:val="22"/>
                <w:szCs w:val="22"/>
              </w:rPr>
              <w:t>Laos Women’s Union</w:t>
            </w:r>
          </w:p>
        </w:tc>
      </w:tr>
      <w:tr w:rsidR="00CB5A76">
        <w:tc>
          <w:tcPr>
            <w:tcW w:w="1548" w:type="dxa"/>
            <w:vAlign w:val="center"/>
          </w:tcPr>
          <w:p w:rsidR="00CB5A76" w:rsidRDefault="00CB5A76" w:rsidP="000915CF">
            <w:pPr>
              <w:pStyle w:val="TableTxt0"/>
              <w:rPr>
                <w:rFonts w:cs="Calibri"/>
                <w:sz w:val="22"/>
              </w:rPr>
            </w:pPr>
            <w:r>
              <w:rPr>
                <w:rFonts w:cs="Calibri"/>
                <w:sz w:val="22"/>
                <w:szCs w:val="22"/>
              </w:rPr>
              <w:t>M&amp;E</w:t>
            </w:r>
          </w:p>
        </w:tc>
        <w:tc>
          <w:tcPr>
            <w:tcW w:w="7207" w:type="dxa"/>
            <w:vAlign w:val="center"/>
          </w:tcPr>
          <w:p w:rsidR="00CB5A76" w:rsidRDefault="00CB5A76" w:rsidP="000F3D58">
            <w:pPr>
              <w:pStyle w:val="TableTxt0"/>
              <w:rPr>
                <w:rFonts w:cs="Calibri"/>
                <w:sz w:val="22"/>
              </w:rPr>
            </w:pPr>
            <w:r>
              <w:rPr>
                <w:rFonts w:cs="Calibri"/>
                <w:sz w:val="22"/>
                <w:szCs w:val="22"/>
              </w:rPr>
              <w:t>Monitoring and Evaluation</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MAG</w:t>
            </w:r>
          </w:p>
        </w:tc>
        <w:tc>
          <w:tcPr>
            <w:tcW w:w="7207" w:type="dxa"/>
            <w:vAlign w:val="center"/>
          </w:tcPr>
          <w:p w:rsidR="00CB5A76" w:rsidRPr="003A62B8" w:rsidRDefault="00CB5A76" w:rsidP="000915CF">
            <w:pPr>
              <w:pStyle w:val="TableTxt0"/>
              <w:rPr>
                <w:rFonts w:cs="Calibri"/>
                <w:sz w:val="22"/>
              </w:rPr>
            </w:pPr>
            <w:r>
              <w:rPr>
                <w:rFonts w:cs="Calibri"/>
                <w:sz w:val="22"/>
                <w:szCs w:val="22"/>
              </w:rPr>
              <w:t>Mines Advisory Group</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MDGs</w:t>
            </w:r>
          </w:p>
        </w:tc>
        <w:tc>
          <w:tcPr>
            <w:tcW w:w="7207" w:type="dxa"/>
            <w:vAlign w:val="center"/>
          </w:tcPr>
          <w:p w:rsidR="00CB5A76" w:rsidRDefault="00CB5A76" w:rsidP="000915CF">
            <w:pPr>
              <w:pStyle w:val="TableTxt0"/>
              <w:rPr>
                <w:rFonts w:cs="Calibri"/>
                <w:sz w:val="22"/>
              </w:rPr>
            </w:pPr>
            <w:r>
              <w:rPr>
                <w:rFonts w:cs="Calibri"/>
                <w:sz w:val="22"/>
                <w:szCs w:val="22"/>
              </w:rPr>
              <w:t>Millennium Development Goals</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MEF</w:t>
            </w:r>
          </w:p>
        </w:tc>
        <w:tc>
          <w:tcPr>
            <w:tcW w:w="7207" w:type="dxa"/>
            <w:vAlign w:val="center"/>
          </w:tcPr>
          <w:p w:rsidR="00CB5A76" w:rsidRDefault="00CB5A76" w:rsidP="000915CF">
            <w:pPr>
              <w:pStyle w:val="TableTxt0"/>
              <w:rPr>
                <w:rFonts w:cs="Calibri"/>
                <w:sz w:val="22"/>
              </w:rPr>
            </w:pPr>
            <w:r>
              <w:rPr>
                <w:rFonts w:cs="Calibri"/>
                <w:sz w:val="22"/>
                <w:szCs w:val="22"/>
              </w:rPr>
              <w:t>Monitoring and Evaluation Framework</w:t>
            </w:r>
          </w:p>
        </w:tc>
      </w:tr>
      <w:tr w:rsidR="00CB5A76">
        <w:tc>
          <w:tcPr>
            <w:tcW w:w="1548" w:type="dxa"/>
            <w:vAlign w:val="center"/>
          </w:tcPr>
          <w:p w:rsidR="00CB5A76" w:rsidRDefault="00CB5A76" w:rsidP="000915CF">
            <w:pPr>
              <w:pStyle w:val="TableTxt0"/>
              <w:rPr>
                <w:rFonts w:cs="Calibri"/>
                <w:sz w:val="22"/>
              </w:rPr>
            </w:pPr>
            <w:proofErr w:type="spellStart"/>
            <w:r>
              <w:rPr>
                <w:rFonts w:cs="Calibri"/>
                <w:sz w:val="22"/>
                <w:szCs w:val="22"/>
              </w:rPr>
              <w:t>MoFA</w:t>
            </w:r>
            <w:proofErr w:type="spellEnd"/>
          </w:p>
        </w:tc>
        <w:tc>
          <w:tcPr>
            <w:tcW w:w="7207" w:type="dxa"/>
            <w:vAlign w:val="center"/>
          </w:tcPr>
          <w:p w:rsidR="00CB5A76" w:rsidRDefault="00CB5A76" w:rsidP="000915CF">
            <w:pPr>
              <w:pStyle w:val="TableTxt0"/>
              <w:rPr>
                <w:rFonts w:cs="Calibri"/>
                <w:sz w:val="22"/>
              </w:rPr>
            </w:pPr>
            <w:r>
              <w:rPr>
                <w:rFonts w:cs="Calibri"/>
                <w:sz w:val="22"/>
                <w:szCs w:val="22"/>
              </w:rPr>
              <w:t>Ministry of Foreign Affairs</w:t>
            </w:r>
          </w:p>
        </w:tc>
      </w:tr>
      <w:tr w:rsidR="00CB5A76" w:rsidRPr="003A62B8">
        <w:tc>
          <w:tcPr>
            <w:tcW w:w="1548" w:type="dxa"/>
            <w:vAlign w:val="center"/>
          </w:tcPr>
          <w:p w:rsidR="00CB5A76" w:rsidRPr="003A62B8" w:rsidRDefault="00CB5A76" w:rsidP="000915CF">
            <w:pPr>
              <w:pStyle w:val="TableTxt0"/>
              <w:rPr>
                <w:rFonts w:cs="Calibri"/>
                <w:sz w:val="22"/>
              </w:rPr>
            </w:pPr>
            <w:proofErr w:type="spellStart"/>
            <w:r>
              <w:rPr>
                <w:rFonts w:cs="Calibri"/>
                <w:sz w:val="22"/>
                <w:szCs w:val="22"/>
              </w:rPr>
              <w:t>MoU</w:t>
            </w:r>
            <w:proofErr w:type="spellEnd"/>
          </w:p>
        </w:tc>
        <w:tc>
          <w:tcPr>
            <w:tcW w:w="7207" w:type="dxa"/>
            <w:vAlign w:val="center"/>
          </w:tcPr>
          <w:p w:rsidR="00CB5A76" w:rsidRPr="003A62B8" w:rsidRDefault="00CB5A76" w:rsidP="000915CF">
            <w:pPr>
              <w:pStyle w:val="TableTxt0"/>
              <w:rPr>
                <w:rFonts w:cs="Calibri"/>
                <w:sz w:val="22"/>
              </w:rPr>
            </w:pPr>
            <w:r>
              <w:rPr>
                <w:rFonts w:cs="Calibri"/>
                <w:sz w:val="22"/>
                <w:szCs w:val="22"/>
              </w:rPr>
              <w:t>Memorandum of Understanding</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MPI</w:t>
            </w:r>
          </w:p>
        </w:tc>
        <w:tc>
          <w:tcPr>
            <w:tcW w:w="7207" w:type="dxa"/>
            <w:vAlign w:val="center"/>
          </w:tcPr>
          <w:p w:rsidR="00CB5A76" w:rsidRDefault="00CB5A76" w:rsidP="000915CF">
            <w:pPr>
              <w:pStyle w:val="TableTxt0"/>
              <w:rPr>
                <w:rFonts w:cs="Calibri"/>
                <w:sz w:val="22"/>
              </w:rPr>
            </w:pPr>
            <w:r>
              <w:rPr>
                <w:rFonts w:cs="Calibri"/>
                <w:sz w:val="22"/>
                <w:szCs w:val="22"/>
              </w:rPr>
              <w:t>Ministry of Planning and Investment</w:t>
            </w:r>
          </w:p>
        </w:tc>
      </w:tr>
      <w:tr w:rsidR="00CB5A76">
        <w:tc>
          <w:tcPr>
            <w:tcW w:w="1548" w:type="dxa"/>
            <w:vAlign w:val="center"/>
          </w:tcPr>
          <w:p w:rsidR="00CB5A76" w:rsidRDefault="00CB5A76" w:rsidP="000915CF">
            <w:pPr>
              <w:pStyle w:val="TableTxt0"/>
              <w:rPr>
                <w:rFonts w:cs="Calibri"/>
                <w:sz w:val="22"/>
              </w:rPr>
            </w:pPr>
            <w:r>
              <w:rPr>
                <w:rFonts w:cs="Calibri"/>
                <w:sz w:val="22"/>
                <w:szCs w:val="22"/>
              </w:rPr>
              <w:t>MRE</w:t>
            </w:r>
          </w:p>
        </w:tc>
        <w:tc>
          <w:tcPr>
            <w:tcW w:w="7207" w:type="dxa"/>
            <w:vAlign w:val="center"/>
          </w:tcPr>
          <w:p w:rsidR="00CB5A76" w:rsidRDefault="00CB5A76" w:rsidP="000915CF">
            <w:pPr>
              <w:pStyle w:val="TableTxt0"/>
              <w:rPr>
                <w:rFonts w:cs="Calibri"/>
                <w:sz w:val="22"/>
              </w:rPr>
            </w:pPr>
            <w:r>
              <w:rPr>
                <w:rFonts w:cs="Calibri"/>
                <w:sz w:val="22"/>
                <w:szCs w:val="22"/>
              </w:rPr>
              <w:t>Mine Risk Education</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MSA</w:t>
            </w:r>
          </w:p>
        </w:tc>
        <w:tc>
          <w:tcPr>
            <w:tcW w:w="7207" w:type="dxa"/>
            <w:vAlign w:val="center"/>
          </w:tcPr>
          <w:p w:rsidR="00CB5A76" w:rsidRPr="003A62B8" w:rsidRDefault="00CB5A76" w:rsidP="000915CF">
            <w:pPr>
              <w:pStyle w:val="TableTxt0"/>
              <w:rPr>
                <w:rFonts w:cs="Calibri"/>
                <w:sz w:val="22"/>
              </w:rPr>
            </w:pPr>
            <w:r w:rsidRPr="006823A4">
              <w:rPr>
                <w:rFonts w:cs="Calibri"/>
                <w:sz w:val="22"/>
                <w:szCs w:val="22"/>
              </w:rPr>
              <w:t>Memorandum of Statutory Agreement</w:t>
            </w:r>
          </w:p>
        </w:tc>
      </w:tr>
      <w:tr w:rsidR="00CB5A76" w:rsidRPr="003E402A">
        <w:tc>
          <w:tcPr>
            <w:tcW w:w="1548" w:type="dxa"/>
            <w:vAlign w:val="center"/>
          </w:tcPr>
          <w:p w:rsidR="00CB5A76" w:rsidRDefault="00CB5A76" w:rsidP="000915CF">
            <w:pPr>
              <w:pStyle w:val="TableTxt0"/>
              <w:rPr>
                <w:rFonts w:cs="Calibri"/>
                <w:sz w:val="22"/>
              </w:rPr>
            </w:pPr>
            <w:r>
              <w:rPr>
                <w:rFonts w:cs="Calibri"/>
                <w:sz w:val="22"/>
                <w:szCs w:val="22"/>
              </w:rPr>
              <w:t>NDMO</w:t>
            </w:r>
          </w:p>
        </w:tc>
        <w:tc>
          <w:tcPr>
            <w:tcW w:w="7207" w:type="dxa"/>
            <w:vAlign w:val="center"/>
          </w:tcPr>
          <w:p w:rsidR="00CB5A76" w:rsidRPr="003E402A" w:rsidRDefault="00CB5A76" w:rsidP="000915CF">
            <w:pPr>
              <w:pStyle w:val="TableTxt0"/>
              <w:rPr>
                <w:rFonts w:cs="Calibri"/>
                <w:sz w:val="22"/>
              </w:rPr>
            </w:pPr>
            <w:r w:rsidRPr="003E402A">
              <w:rPr>
                <w:rFonts w:cs="Calibri"/>
                <w:sz w:val="22"/>
                <w:szCs w:val="22"/>
              </w:rPr>
              <w:t>National Disaster Management Office</w:t>
            </w:r>
          </w:p>
        </w:tc>
      </w:tr>
      <w:tr w:rsidR="00CB5A76" w:rsidRPr="003E402A">
        <w:tc>
          <w:tcPr>
            <w:tcW w:w="1548" w:type="dxa"/>
            <w:vAlign w:val="center"/>
          </w:tcPr>
          <w:p w:rsidR="00CB5A76" w:rsidRDefault="00CB5A76" w:rsidP="000915CF">
            <w:pPr>
              <w:pStyle w:val="TableTxt0"/>
              <w:rPr>
                <w:rFonts w:cs="Calibri"/>
                <w:sz w:val="22"/>
              </w:rPr>
            </w:pPr>
            <w:r>
              <w:rPr>
                <w:rFonts w:cs="Calibri"/>
                <w:sz w:val="22"/>
                <w:szCs w:val="22"/>
              </w:rPr>
              <w:t>NRA</w:t>
            </w:r>
          </w:p>
        </w:tc>
        <w:tc>
          <w:tcPr>
            <w:tcW w:w="7207" w:type="dxa"/>
            <w:vAlign w:val="center"/>
          </w:tcPr>
          <w:p w:rsidR="00CB5A76" w:rsidRPr="003E402A" w:rsidRDefault="00CB5A76" w:rsidP="000915CF">
            <w:pPr>
              <w:pStyle w:val="TableTxt0"/>
              <w:rPr>
                <w:rFonts w:cs="Calibri"/>
                <w:sz w:val="22"/>
              </w:rPr>
            </w:pPr>
            <w:r w:rsidRPr="003E402A">
              <w:rPr>
                <w:rFonts w:cs="Calibri"/>
                <w:sz w:val="22"/>
                <w:szCs w:val="22"/>
              </w:rPr>
              <w:t>National Regulatory Authority</w:t>
            </w:r>
          </w:p>
        </w:tc>
      </w:tr>
      <w:tr w:rsidR="00CB5A76" w:rsidRPr="003E402A">
        <w:tc>
          <w:tcPr>
            <w:tcW w:w="1548" w:type="dxa"/>
            <w:vAlign w:val="center"/>
          </w:tcPr>
          <w:p w:rsidR="00CB5A76" w:rsidRDefault="00CB5A76" w:rsidP="000915CF">
            <w:pPr>
              <w:pStyle w:val="TableTxt0"/>
              <w:rPr>
                <w:rFonts w:cs="Calibri"/>
                <w:sz w:val="22"/>
              </w:rPr>
            </w:pPr>
            <w:r>
              <w:rPr>
                <w:rFonts w:cs="Calibri"/>
                <w:sz w:val="22"/>
                <w:szCs w:val="22"/>
              </w:rPr>
              <w:t>NSEDP</w:t>
            </w:r>
          </w:p>
        </w:tc>
        <w:tc>
          <w:tcPr>
            <w:tcW w:w="7207" w:type="dxa"/>
            <w:vAlign w:val="center"/>
          </w:tcPr>
          <w:p w:rsidR="00CB5A76" w:rsidRPr="003E402A" w:rsidRDefault="00CB5A76" w:rsidP="000915CF">
            <w:pPr>
              <w:pStyle w:val="TableTxt0"/>
              <w:rPr>
                <w:rFonts w:cs="Calibri"/>
                <w:sz w:val="22"/>
              </w:rPr>
            </w:pPr>
            <w:r>
              <w:rPr>
                <w:rFonts w:cs="Calibri"/>
                <w:sz w:val="22"/>
                <w:szCs w:val="22"/>
              </w:rPr>
              <w:t>National Socio-Economic Development Plan</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PCC</w:t>
            </w:r>
          </w:p>
        </w:tc>
        <w:tc>
          <w:tcPr>
            <w:tcW w:w="7207" w:type="dxa"/>
            <w:vAlign w:val="center"/>
          </w:tcPr>
          <w:p w:rsidR="00CB5A76" w:rsidRPr="003A62B8" w:rsidRDefault="00CB5A76" w:rsidP="000915CF">
            <w:pPr>
              <w:pStyle w:val="TableTxt0"/>
              <w:rPr>
                <w:rFonts w:cs="Calibri"/>
                <w:sz w:val="22"/>
              </w:rPr>
            </w:pPr>
            <w:r w:rsidRPr="006B7A9C">
              <w:rPr>
                <w:rFonts w:cs="Calibri"/>
                <w:sz w:val="22"/>
                <w:szCs w:val="22"/>
              </w:rPr>
              <w:t>Program Coordination Committee</w:t>
            </w:r>
          </w:p>
        </w:tc>
      </w:tr>
      <w:tr w:rsidR="00CB5A76" w:rsidRPr="006B7A9C">
        <w:tc>
          <w:tcPr>
            <w:tcW w:w="1548" w:type="dxa"/>
            <w:vAlign w:val="center"/>
          </w:tcPr>
          <w:p w:rsidR="00CB5A76" w:rsidRDefault="00CB5A76" w:rsidP="000915CF">
            <w:pPr>
              <w:pStyle w:val="TableTxt0"/>
              <w:rPr>
                <w:rFonts w:cs="Calibri"/>
                <w:sz w:val="22"/>
              </w:rPr>
            </w:pPr>
            <w:r>
              <w:rPr>
                <w:rFonts w:cs="Calibri"/>
                <w:sz w:val="22"/>
                <w:szCs w:val="22"/>
              </w:rPr>
              <w:t>PDMC</w:t>
            </w:r>
          </w:p>
        </w:tc>
        <w:tc>
          <w:tcPr>
            <w:tcW w:w="7207" w:type="dxa"/>
            <w:vAlign w:val="center"/>
          </w:tcPr>
          <w:p w:rsidR="00CB5A76" w:rsidRPr="006B7A9C" w:rsidRDefault="00CB5A76" w:rsidP="000915CF">
            <w:pPr>
              <w:pStyle w:val="TableTxt0"/>
              <w:rPr>
                <w:rFonts w:cs="Calibri"/>
                <w:sz w:val="22"/>
              </w:rPr>
            </w:pPr>
            <w:r>
              <w:rPr>
                <w:rFonts w:cs="Calibri"/>
                <w:sz w:val="22"/>
                <w:szCs w:val="22"/>
              </w:rPr>
              <w:t>Provincial Disaster Management Committee</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PIC</w:t>
            </w:r>
          </w:p>
        </w:tc>
        <w:tc>
          <w:tcPr>
            <w:tcW w:w="7207" w:type="dxa"/>
            <w:vAlign w:val="center"/>
          </w:tcPr>
          <w:p w:rsidR="00CB5A76" w:rsidRPr="003A62B8" w:rsidRDefault="00CB5A76" w:rsidP="000915CF">
            <w:pPr>
              <w:pStyle w:val="TableTxt0"/>
              <w:rPr>
                <w:rFonts w:cs="Calibri"/>
                <w:sz w:val="22"/>
              </w:rPr>
            </w:pPr>
            <w:r w:rsidRPr="006B7A9C">
              <w:rPr>
                <w:rFonts w:cs="Calibri"/>
                <w:sz w:val="22"/>
                <w:szCs w:val="22"/>
              </w:rPr>
              <w:t xml:space="preserve">Program Implementation Committee </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PRA</w:t>
            </w:r>
          </w:p>
        </w:tc>
        <w:tc>
          <w:tcPr>
            <w:tcW w:w="7207" w:type="dxa"/>
            <w:vAlign w:val="center"/>
          </w:tcPr>
          <w:p w:rsidR="00CB5A76" w:rsidRPr="006B7A9C" w:rsidRDefault="00CB5A76" w:rsidP="000915CF">
            <w:pPr>
              <w:pStyle w:val="TableTxt0"/>
              <w:rPr>
                <w:rFonts w:cs="Calibri"/>
                <w:sz w:val="22"/>
              </w:rPr>
            </w:pPr>
            <w:r>
              <w:rPr>
                <w:rFonts w:cs="Calibri"/>
                <w:sz w:val="22"/>
                <w:szCs w:val="22"/>
              </w:rPr>
              <w:t>Participatory Rural Appraisal</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PSC</w:t>
            </w:r>
          </w:p>
        </w:tc>
        <w:tc>
          <w:tcPr>
            <w:tcW w:w="7207" w:type="dxa"/>
            <w:vAlign w:val="center"/>
          </w:tcPr>
          <w:p w:rsidR="00CB5A76" w:rsidRPr="003A62B8" w:rsidRDefault="00CB5A76" w:rsidP="000915CF">
            <w:pPr>
              <w:pStyle w:val="TableTxt0"/>
              <w:rPr>
                <w:rFonts w:cs="Calibri"/>
                <w:sz w:val="22"/>
              </w:rPr>
            </w:pPr>
            <w:r w:rsidRPr="006B7A9C">
              <w:rPr>
                <w:rFonts w:cs="Calibri"/>
                <w:sz w:val="22"/>
                <w:szCs w:val="22"/>
              </w:rPr>
              <w:t>Project Steering Committee</w:t>
            </w:r>
          </w:p>
        </w:tc>
      </w:tr>
      <w:tr w:rsidR="00CB5A76" w:rsidRPr="006B7A9C">
        <w:tc>
          <w:tcPr>
            <w:tcW w:w="1548" w:type="dxa"/>
            <w:vAlign w:val="center"/>
          </w:tcPr>
          <w:p w:rsidR="00CB5A76" w:rsidRDefault="00CB5A76" w:rsidP="000915CF">
            <w:pPr>
              <w:pStyle w:val="TableTxt0"/>
              <w:rPr>
                <w:rFonts w:cs="Calibri"/>
                <w:sz w:val="22"/>
              </w:rPr>
            </w:pPr>
            <w:r>
              <w:rPr>
                <w:rFonts w:cs="Calibri"/>
                <w:sz w:val="22"/>
                <w:szCs w:val="22"/>
              </w:rPr>
              <w:t>SCA</w:t>
            </w:r>
          </w:p>
        </w:tc>
        <w:tc>
          <w:tcPr>
            <w:tcW w:w="7207" w:type="dxa"/>
            <w:vAlign w:val="center"/>
          </w:tcPr>
          <w:p w:rsidR="00CB5A76" w:rsidRPr="006B7A9C" w:rsidRDefault="00CB5A76" w:rsidP="000915CF">
            <w:pPr>
              <w:pStyle w:val="TableTxt0"/>
              <w:rPr>
                <w:rFonts w:cs="Calibri"/>
                <w:sz w:val="22"/>
              </w:rPr>
            </w:pPr>
            <w:r>
              <w:rPr>
                <w:rFonts w:cs="Calibri"/>
                <w:sz w:val="22"/>
                <w:szCs w:val="22"/>
              </w:rPr>
              <w:t>Save the Children Australia</w:t>
            </w:r>
          </w:p>
        </w:tc>
      </w:tr>
      <w:tr w:rsidR="00CB5A76" w:rsidRPr="006B7A9C">
        <w:tc>
          <w:tcPr>
            <w:tcW w:w="1548" w:type="dxa"/>
            <w:vAlign w:val="center"/>
          </w:tcPr>
          <w:p w:rsidR="00CB5A76" w:rsidRDefault="00CB5A76" w:rsidP="000915CF">
            <w:pPr>
              <w:pStyle w:val="TableTxt0"/>
              <w:rPr>
                <w:rFonts w:cs="Calibri"/>
                <w:sz w:val="22"/>
              </w:rPr>
            </w:pPr>
            <w:r>
              <w:rPr>
                <w:rFonts w:cs="Calibri"/>
                <w:sz w:val="22"/>
                <w:szCs w:val="22"/>
              </w:rPr>
              <w:t>STA</w:t>
            </w:r>
          </w:p>
        </w:tc>
        <w:tc>
          <w:tcPr>
            <w:tcW w:w="7207" w:type="dxa"/>
            <w:vAlign w:val="center"/>
          </w:tcPr>
          <w:p w:rsidR="00CB5A76" w:rsidRDefault="00CB5A76" w:rsidP="000915CF">
            <w:pPr>
              <w:pStyle w:val="TableTxt0"/>
              <w:rPr>
                <w:rFonts w:cs="Calibri"/>
                <w:sz w:val="22"/>
              </w:rPr>
            </w:pPr>
            <w:r>
              <w:rPr>
                <w:rFonts w:cs="Calibri"/>
                <w:sz w:val="22"/>
                <w:szCs w:val="22"/>
              </w:rPr>
              <w:t>Short Term Activity</w:t>
            </w:r>
          </w:p>
        </w:tc>
      </w:tr>
      <w:tr w:rsidR="00CB5A76" w:rsidRPr="006B7A9C">
        <w:tc>
          <w:tcPr>
            <w:tcW w:w="1548" w:type="dxa"/>
            <w:vAlign w:val="center"/>
          </w:tcPr>
          <w:p w:rsidR="00CB5A76" w:rsidRDefault="00CB5A76" w:rsidP="000915CF">
            <w:pPr>
              <w:pStyle w:val="TableTxt0"/>
              <w:rPr>
                <w:rFonts w:cs="Calibri"/>
                <w:sz w:val="22"/>
              </w:rPr>
            </w:pPr>
            <w:proofErr w:type="spellStart"/>
            <w:r>
              <w:rPr>
                <w:rFonts w:cs="Calibri"/>
                <w:sz w:val="22"/>
                <w:szCs w:val="22"/>
              </w:rPr>
              <w:t>ToR</w:t>
            </w:r>
            <w:proofErr w:type="spellEnd"/>
          </w:p>
        </w:tc>
        <w:tc>
          <w:tcPr>
            <w:tcW w:w="7207" w:type="dxa"/>
            <w:vAlign w:val="center"/>
          </w:tcPr>
          <w:p w:rsidR="00CB5A76" w:rsidRDefault="00CB5A76" w:rsidP="000915CF">
            <w:pPr>
              <w:pStyle w:val="TableTxt0"/>
              <w:rPr>
                <w:rFonts w:cs="Calibri"/>
                <w:sz w:val="22"/>
              </w:rPr>
            </w:pPr>
            <w:r>
              <w:rPr>
                <w:rFonts w:cs="Calibri"/>
                <w:sz w:val="22"/>
                <w:szCs w:val="22"/>
              </w:rPr>
              <w:t>Terms of Reference</w:t>
            </w:r>
          </w:p>
        </w:tc>
      </w:tr>
      <w:tr w:rsidR="00CB5A76">
        <w:tc>
          <w:tcPr>
            <w:tcW w:w="1548" w:type="dxa"/>
            <w:vAlign w:val="center"/>
          </w:tcPr>
          <w:p w:rsidR="00CB5A76" w:rsidRDefault="00CB5A76" w:rsidP="000915CF">
            <w:pPr>
              <w:pStyle w:val="TableTxt0"/>
              <w:rPr>
                <w:rFonts w:cs="Calibri"/>
                <w:sz w:val="22"/>
              </w:rPr>
            </w:pPr>
            <w:r>
              <w:rPr>
                <w:rFonts w:cs="Calibri"/>
                <w:sz w:val="22"/>
                <w:szCs w:val="22"/>
              </w:rPr>
              <w:t>UXO</w:t>
            </w:r>
          </w:p>
        </w:tc>
        <w:tc>
          <w:tcPr>
            <w:tcW w:w="7207" w:type="dxa"/>
            <w:vAlign w:val="center"/>
          </w:tcPr>
          <w:p w:rsidR="00CB5A76" w:rsidRDefault="00CB5A76" w:rsidP="000915CF">
            <w:pPr>
              <w:pStyle w:val="TableTxt0"/>
              <w:rPr>
                <w:rFonts w:cs="Calibri"/>
                <w:sz w:val="22"/>
              </w:rPr>
            </w:pPr>
            <w:r>
              <w:rPr>
                <w:rFonts w:cs="Calibri"/>
                <w:sz w:val="22"/>
                <w:szCs w:val="22"/>
              </w:rPr>
              <w:t>Unexploded ordnance</w:t>
            </w:r>
          </w:p>
        </w:tc>
      </w:tr>
      <w:tr w:rsidR="00CB5A76">
        <w:tc>
          <w:tcPr>
            <w:tcW w:w="1548" w:type="dxa"/>
            <w:vAlign w:val="center"/>
          </w:tcPr>
          <w:p w:rsidR="00CB5A76" w:rsidRDefault="00CB5A76" w:rsidP="000915CF">
            <w:pPr>
              <w:pStyle w:val="TableTxt0"/>
              <w:rPr>
                <w:rFonts w:cs="Calibri"/>
                <w:sz w:val="22"/>
              </w:rPr>
            </w:pPr>
            <w:r>
              <w:rPr>
                <w:rFonts w:cs="Calibri"/>
                <w:sz w:val="22"/>
                <w:szCs w:val="22"/>
              </w:rPr>
              <w:t>VDC</w:t>
            </w:r>
          </w:p>
        </w:tc>
        <w:tc>
          <w:tcPr>
            <w:tcW w:w="7207" w:type="dxa"/>
            <w:vAlign w:val="center"/>
          </w:tcPr>
          <w:p w:rsidR="00CB5A76" w:rsidRDefault="00CB5A76" w:rsidP="000915CF">
            <w:pPr>
              <w:pStyle w:val="TableTxt0"/>
              <w:rPr>
                <w:rFonts w:cs="Calibri"/>
                <w:sz w:val="22"/>
              </w:rPr>
            </w:pPr>
            <w:r>
              <w:rPr>
                <w:rFonts w:cs="Calibri"/>
                <w:sz w:val="22"/>
                <w:szCs w:val="22"/>
              </w:rPr>
              <w:t>Village Development Committee</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VDMC</w:t>
            </w:r>
          </w:p>
        </w:tc>
        <w:tc>
          <w:tcPr>
            <w:tcW w:w="7207" w:type="dxa"/>
            <w:vAlign w:val="center"/>
          </w:tcPr>
          <w:p w:rsidR="00CB5A76" w:rsidRPr="003A62B8" w:rsidRDefault="00CB5A76" w:rsidP="000915CF">
            <w:pPr>
              <w:pStyle w:val="TableTxt0"/>
              <w:rPr>
                <w:rFonts w:cs="Calibri"/>
                <w:sz w:val="22"/>
              </w:rPr>
            </w:pPr>
            <w:r>
              <w:rPr>
                <w:rFonts w:cs="Calibri"/>
                <w:sz w:val="22"/>
                <w:szCs w:val="22"/>
              </w:rPr>
              <w:t>Village Disaster Management Committee</w:t>
            </w:r>
          </w:p>
        </w:tc>
      </w:tr>
      <w:tr w:rsidR="00CB5A76" w:rsidRPr="003A62B8">
        <w:tc>
          <w:tcPr>
            <w:tcW w:w="1548" w:type="dxa"/>
            <w:vAlign w:val="center"/>
          </w:tcPr>
          <w:p w:rsidR="00CB5A76" w:rsidRDefault="00CB5A76" w:rsidP="000915CF">
            <w:pPr>
              <w:pStyle w:val="TableTxt0"/>
              <w:rPr>
                <w:rFonts w:cs="Calibri"/>
                <w:sz w:val="22"/>
              </w:rPr>
            </w:pPr>
            <w:r>
              <w:rPr>
                <w:rFonts w:cs="Calibri"/>
                <w:sz w:val="22"/>
                <w:szCs w:val="22"/>
              </w:rPr>
              <w:t>WASH</w:t>
            </w:r>
          </w:p>
        </w:tc>
        <w:tc>
          <w:tcPr>
            <w:tcW w:w="7207" w:type="dxa"/>
            <w:vAlign w:val="center"/>
          </w:tcPr>
          <w:p w:rsidR="00CB5A76" w:rsidRDefault="00CB5A76" w:rsidP="00011DAA">
            <w:pPr>
              <w:pStyle w:val="TableTxt0"/>
              <w:ind w:right="-480"/>
              <w:rPr>
                <w:rFonts w:cs="Calibri"/>
                <w:sz w:val="22"/>
              </w:rPr>
            </w:pPr>
            <w:r>
              <w:rPr>
                <w:rFonts w:cs="Calibri"/>
                <w:sz w:val="22"/>
                <w:szCs w:val="22"/>
              </w:rPr>
              <w:t>Water, Sanitation and Health</w:t>
            </w:r>
          </w:p>
        </w:tc>
      </w:tr>
      <w:tr w:rsidR="00CB5A76" w:rsidRPr="003A62B8">
        <w:tc>
          <w:tcPr>
            <w:tcW w:w="1548" w:type="dxa"/>
            <w:vAlign w:val="center"/>
          </w:tcPr>
          <w:p w:rsidR="00CB5A76" w:rsidRPr="003A62B8" w:rsidRDefault="00CB5A76" w:rsidP="000915CF">
            <w:pPr>
              <w:pStyle w:val="TableTxt0"/>
              <w:rPr>
                <w:rFonts w:cs="Calibri"/>
                <w:sz w:val="22"/>
              </w:rPr>
            </w:pPr>
            <w:r>
              <w:rPr>
                <w:rFonts w:cs="Calibri"/>
                <w:sz w:val="22"/>
                <w:szCs w:val="22"/>
              </w:rPr>
              <w:t>WV</w:t>
            </w:r>
          </w:p>
        </w:tc>
        <w:tc>
          <w:tcPr>
            <w:tcW w:w="7207" w:type="dxa"/>
            <w:vAlign w:val="center"/>
          </w:tcPr>
          <w:p w:rsidR="00CB5A76" w:rsidRPr="003A62B8" w:rsidRDefault="00CB5A76" w:rsidP="000915CF">
            <w:pPr>
              <w:pStyle w:val="TableTxt0"/>
              <w:rPr>
                <w:rFonts w:cs="Calibri"/>
                <w:sz w:val="22"/>
              </w:rPr>
            </w:pPr>
            <w:r>
              <w:rPr>
                <w:rFonts w:cs="Calibri"/>
                <w:sz w:val="22"/>
                <w:szCs w:val="22"/>
              </w:rPr>
              <w:t>World Vision</w:t>
            </w:r>
          </w:p>
        </w:tc>
      </w:tr>
    </w:tbl>
    <w:p w:rsidR="00CB5A76" w:rsidRDefault="00CB5A76" w:rsidP="00675037">
      <w:pPr>
        <w:pStyle w:val="Bodytxt"/>
        <w:ind w:left="0"/>
        <w:rPr>
          <w:lang w:val="en-GB"/>
        </w:rPr>
        <w:sectPr w:rsidR="00CB5A76">
          <w:headerReference w:type="default" r:id="rId18"/>
          <w:footerReference w:type="even" r:id="rId19"/>
          <w:footerReference w:type="default" r:id="rId20"/>
          <w:pgSz w:w="11909" w:h="16834" w:code="9"/>
          <w:pgMar w:top="1440" w:right="1800" w:bottom="1440" w:left="1800" w:header="720" w:footer="720" w:gutter="0"/>
          <w:pgNumType w:fmt="lowerRoman" w:start="1"/>
          <w:cols w:space="720"/>
          <w:docGrid w:linePitch="360"/>
        </w:sectPr>
      </w:pPr>
    </w:p>
    <w:p w:rsidR="00CB5A76" w:rsidRDefault="00CB5A76" w:rsidP="00E01DBD">
      <w:pPr>
        <w:pStyle w:val="Heading2"/>
        <w:numPr>
          <w:ilvl w:val="0"/>
          <w:numId w:val="1"/>
        </w:numPr>
        <w:rPr>
          <w:lang w:val="en-GB"/>
        </w:rPr>
      </w:pPr>
      <w:bookmarkStart w:id="12" w:name="_Toc168812975"/>
      <w:r>
        <w:rPr>
          <w:lang w:val="en-GB"/>
        </w:rPr>
        <w:t>Introduction</w:t>
      </w:r>
      <w:bookmarkEnd w:id="12"/>
    </w:p>
    <w:p w:rsidR="00CB5A76" w:rsidRDefault="00CB5A76" w:rsidP="00E01DBD">
      <w:pPr>
        <w:pStyle w:val="Heading30"/>
        <w:ind w:right="-480"/>
      </w:pPr>
      <w:bookmarkStart w:id="13" w:name="_Toc168812976"/>
      <w:r>
        <w:t>Document Purpose</w:t>
      </w:r>
      <w:bookmarkEnd w:id="13"/>
    </w:p>
    <w:p w:rsidR="00CB5A76" w:rsidRDefault="00CB5A76" w:rsidP="006A6921">
      <w:pPr>
        <w:pStyle w:val="Bodytxt"/>
        <w:spacing w:after="0"/>
        <w:ind w:left="0" w:right="-482"/>
        <w:rPr>
          <w:rFonts w:ascii="Cambria" w:hAnsi="Cambria"/>
          <w:sz w:val="24"/>
          <w:lang w:val="en-GB"/>
        </w:rPr>
      </w:pPr>
      <w:r w:rsidRPr="00D33351">
        <w:rPr>
          <w:rFonts w:ascii="Cambria" w:hAnsi="Cambria"/>
          <w:sz w:val="24"/>
          <w:lang w:val="en-GB"/>
        </w:rPr>
        <w:t xml:space="preserve">This document reports </w:t>
      </w:r>
      <w:r>
        <w:rPr>
          <w:rFonts w:ascii="Cambria" w:hAnsi="Cambria"/>
          <w:sz w:val="24"/>
          <w:lang w:val="en-GB"/>
        </w:rPr>
        <w:t xml:space="preserve">on </w:t>
      </w:r>
      <w:r w:rsidRPr="00D33351">
        <w:rPr>
          <w:rFonts w:ascii="Cambria" w:hAnsi="Cambria"/>
          <w:sz w:val="24"/>
          <w:lang w:val="en-GB"/>
        </w:rPr>
        <w:t>the process and findings of the gender</w:t>
      </w:r>
      <w:r>
        <w:rPr>
          <w:rFonts w:ascii="Cambria" w:hAnsi="Cambria"/>
          <w:sz w:val="24"/>
          <w:lang w:val="en-GB"/>
        </w:rPr>
        <w:t xml:space="preserve"> and inclusive development</w:t>
      </w:r>
      <w:r w:rsidRPr="00D33351">
        <w:rPr>
          <w:rFonts w:ascii="Cambria" w:hAnsi="Cambria"/>
          <w:sz w:val="24"/>
          <w:lang w:val="en-GB"/>
        </w:rPr>
        <w:t xml:space="preserve"> evaluation component of the Independent P</w:t>
      </w:r>
      <w:r>
        <w:rPr>
          <w:rFonts w:ascii="Cambria" w:hAnsi="Cambria"/>
          <w:sz w:val="24"/>
          <w:lang w:val="en-GB"/>
        </w:rPr>
        <w:t>rogress Review (IPR) of the Lao</w:t>
      </w:r>
      <w:r w:rsidRPr="00D33351">
        <w:rPr>
          <w:rFonts w:ascii="Cambria" w:hAnsi="Cambria"/>
          <w:sz w:val="24"/>
          <w:lang w:val="en-GB"/>
        </w:rPr>
        <w:t xml:space="preserve"> PDR </w:t>
      </w:r>
      <w:proofErr w:type="spellStart"/>
      <w:r w:rsidRPr="00D33351">
        <w:rPr>
          <w:rFonts w:ascii="Cambria" w:hAnsi="Cambria"/>
          <w:sz w:val="24"/>
          <w:lang w:val="en-GB"/>
        </w:rPr>
        <w:t>Non Government</w:t>
      </w:r>
      <w:proofErr w:type="spellEnd"/>
      <w:r w:rsidRPr="00D33351">
        <w:rPr>
          <w:rFonts w:ascii="Cambria" w:hAnsi="Cambria"/>
          <w:sz w:val="24"/>
          <w:lang w:val="en-GB"/>
        </w:rPr>
        <w:t xml:space="preserve"> Organisation Cooperation Agreements (LANGOCA) program implemented funded by the Australian Agency for International Development (AusAID).  LANGOCA comprised four NGO partnerships. </w:t>
      </w:r>
      <w:r w:rsidRPr="00D33351">
        <w:rPr>
          <w:rFonts w:ascii="Cambria" w:hAnsi="Cambria"/>
          <w:sz w:val="24"/>
        </w:rPr>
        <w:t xml:space="preserve">A synthesis of the overall findings and lessons learned are presented in Section </w:t>
      </w:r>
      <w:r>
        <w:rPr>
          <w:rFonts w:ascii="Cambria" w:hAnsi="Cambria"/>
          <w:sz w:val="24"/>
        </w:rPr>
        <w:t xml:space="preserve">3 </w:t>
      </w:r>
      <w:r w:rsidRPr="00D33351">
        <w:rPr>
          <w:rFonts w:ascii="Cambria" w:hAnsi="Cambria"/>
          <w:sz w:val="24"/>
        </w:rPr>
        <w:t>of this report.</w:t>
      </w:r>
    </w:p>
    <w:p w:rsidR="00CB5A76" w:rsidRPr="007453CF" w:rsidRDefault="00CB5A76" w:rsidP="006A6921">
      <w:pPr>
        <w:pStyle w:val="Bodytxt"/>
        <w:spacing w:after="0"/>
        <w:ind w:left="0" w:right="-482"/>
        <w:rPr>
          <w:rFonts w:ascii="Cambria" w:hAnsi="Cambria"/>
          <w:sz w:val="24"/>
          <w:lang w:val="en-GB"/>
        </w:rPr>
      </w:pPr>
    </w:p>
    <w:p w:rsidR="00CB5A76" w:rsidRDefault="00CB5A76" w:rsidP="006A6921">
      <w:pPr>
        <w:pStyle w:val="Heading30"/>
        <w:numPr>
          <w:ilvl w:val="1"/>
          <w:numId w:val="6"/>
        </w:numPr>
        <w:spacing w:after="0"/>
        <w:ind w:right="-482"/>
      </w:pPr>
      <w:bookmarkStart w:id="14" w:name="_Toc168812977"/>
      <w:r>
        <w:t>Background</w:t>
      </w:r>
      <w:bookmarkEnd w:id="14"/>
    </w:p>
    <w:p w:rsidR="00CB5A76" w:rsidRPr="000168D1" w:rsidRDefault="00CB5A76" w:rsidP="00F6349E">
      <w:pPr>
        <w:pStyle w:val="Bodytxt"/>
        <w:ind w:left="0" w:right="-480"/>
        <w:rPr>
          <w:rFonts w:ascii="Cambria" w:hAnsi="Cambria"/>
          <w:sz w:val="24"/>
        </w:rPr>
      </w:pPr>
      <w:r w:rsidRPr="0037046D">
        <w:rPr>
          <w:rFonts w:ascii="Cambria" w:hAnsi="Cambria"/>
          <w:sz w:val="24"/>
        </w:rPr>
        <w:t xml:space="preserve">‘Gender equality’ concerns the extent to which the program fostered greater equality between </w:t>
      </w:r>
      <w:r>
        <w:rPr>
          <w:rFonts w:ascii="Cambria" w:hAnsi="Cambria"/>
          <w:sz w:val="24"/>
        </w:rPr>
        <w:t>women and men</w:t>
      </w:r>
      <w:r w:rsidRPr="0037046D">
        <w:rPr>
          <w:rFonts w:ascii="Cambria" w:hAnsi="Cambria"/>
          <w:sz w:val="24"/>
        </w:rPr>
        <w:t xml:space="preserve">. </w:t>
      </w:r>
      <w:r>
        <w:rPr>
          <w:rFonts w:ascii="Cambria" w:hAnsi="Cambria"/>
          <w:sz w:val="24"/>
        </w:rPr>
        <w:t>‘</w:t>
      </w:r>
      <w:r w:rsidRPr="0037046D">
        <w:rPr>
          <w:rFonts w:ascii="Cambria" w:hAnsi="Cambria"/>
          <w:sz w:val="24"/>
        </w:rPr>
        <w:t>Inclusive development</w:t>
      </w:r>
      <w:r>
        <w:rPr>
          <w:rFonts w:ascii="Cambria" w:hAnsi="Cambria"/>
          <w:sz w:val="24"/>
        </w:rPr>
        <w:t>’</w:t>
      </w:r>
      <w:r w:rsidRPr="0037046D">
        <w:rPr>
          <w:rFonts w:ascii="Cambria" w:hAnsi="Cambria"/>
          <w:sz w:val="24"/>
        </w:rPr>
        <w:t xml:space="preserve"> concerns the extent to which the program </w:t>
      </w:r>
      <w:r>
        <w:rPr>
          <w:rFonts w:ascii="Cambria" w:hAnsi="Cambria"/>
          <w:sz w:val="24"/>
        </w:rPr>
        <w:t xml:space="preserve">included </w:t>
      </w:r>
      <w:r w:rsidRPr="0037046D">
        <w:rPr>
          <w:rFonts w:ascii="Cambria" w:hAnsi="Cambria"/>
          <w:sz w:val="24"/>
        </w:rPr>
        <w:t>persons with a disability, persons from smaller ethnic communities, or persons at risk (including from HIV and AIDS)</w:t>
      </w:r>
      <w:r>
        <w:rPr>
          <w:rFonts w:ascii="Cambria" w:hAnsi="Cambria"/>
          <w:sz w:val="24"/>
        </w:rPr>
        <w:t xml:space="preserve"> as participants and beneficiaries</w:t>
      </w:r>
      <w:r w:rsidRPr="0037046D">
        <w:rPr>
          <w:rFonts w:ascii="Cambria" w:hAnsi="Cambria"/>
          <w:sz w:val="24"/>
        </w:rPr>
        <w:t>.</w:t>
      </w:r>
      <w:r>
        <w:rPr>
          <w:rFonts w:ascii="Cambria" w:hAnsi="Cambria"/>
          <w:sz w:val="24"/>
        </w:rPr>
        <w:t xml:space="preserve"> </w:t>
      </w:r>
      <w:r w:rsidRPr="000168D1">
        <w:rPr>
          <w:rFonts w:ascii="Cambria" w:hAnsi="Cambria"/>
          <w:sz w:val="24"/>
        </w:rPr>
        <w:t>The LANGOCA program design elevated the integration of ‘cross-cutting’ issues as a program objective.  This encouraged the NGOs to proactively address gender equality,</w:t>
      </w:r>
      <w:r>
        <w:rPr>
          <w:rFonts w:ascii="Cambria" w:hAnsi="Cambria"/>
          <w:sz w:val="24"/>
        </w:rPr>
        <w:t xml:space="preserve"> and</w:t>
      </w:r>
      <w:r w:rsidRPr="000168D1">
        <w:rPr>
          <w:rFonts w:ascii="Cambria" w:hAnsi="Cambria"/>
          <w:sz w:val="24"/>
        </w:rPr>
        <w:t xml:space="preserve"> inclusion of small ethnic communities and </w:t>
      </w:r>
      <w:r>
        <w:rPr>
          <w:rFonts w:ascii="Cambria" w:hAnsi="Cambria"/>
          <w:sz w:val="24"/>
        </w:rPr>
        <w:t xml:space="preserve">persons at risk of HIV </w:t>
      </w:r>
      <w:r w:rsidRPr="000168D1">
        <w:rPr>
          <w:rFonts w:ascii="Cambria" w:hAnsi="Cambria"/>
          <w:sz w:val="24"/>
        </w:rPr>
        <w:t xml:space="preserve">in activity implementation, monitoring and evaluation in </w:t>
      </w:r>
      <w:r>
        <w:rPr>
          <w:rFonts w:ascii="Cambria" w:hAnsi="Cambria"/>
          <w:sz w:val="24"/>
        </w:rPr>
        <w:t xml:space="preserve">both </w:t>
      </w:r>
      <w:r w:rsidRPr="000168D1">
        <w:rPr>
          <w:rFonts w:ascii="Cambria" w:hAnsi="Cambria"/>
          <w:sz w:val="24"/>
        </w:rPr>
        <w:t>program</w:t>
      </w:r>
      <w:r>
        <w:rPr>
          <w:rFonts w:ascii="Cambria" w:hAnsi="Cambria"/>
          <w:sz w:val="24"/>
        </w:rPr>
        <w:t xml:space="preserve"> and individual project</w:t>
      </w:r>
      <w:r w:rsidRPr="000168D1">
        <w:rPr>
          <w:rFonts w:ascii="Cambria" w:hAnsi="Cambria"/>
          <w:sz w:val="24"/>
        </w:rPr>
        <w:t xml:space="preserve"> design documents. Impact on </w:t>
      </w:r>
      <w:r>
        <w:rPr>
          <w:rFonts w:ascii="Cambria" w:hAnsi="Cambria"/>
          <w:sz w:val="24"/>
        </w:rPr>
        <w:t xml:space="preserve">the </w:t>
      </w:r>
      <w:r w:rsidRPr="000168D1">
        <w:rPr>
          <w:rFonts w:ascii="Cambria" w:hAnsi="Cambria"/>
          <w:sz w:val="24"/>
        </w:rPr>
        <w:t xml:space="preserve">environment was also included in planning and evaluation. </w:t>
      </w:r>
    </w:p>
    <w:p w:rsidR="00CB5A76" w:rsidRDefault="00CB5A76" w:rsidP="00F6349E">
      <w:pPr>
        <w:pStyle w:val="Bodytxt"/>
        <w:ind w:left="0" w:right="-480"/>
        <w:rPr>
          <w:rFonts w:ascii="Cambria" w:hAnsi="Cambria"/>
          <w:sz w:val="24"/>
        </w:rPr>
      </w:pPr>
      <w:r w:rsidRPr="000168D1">
        <w:rPr>
          <w:rFonts w:ascii="Cambria" w:hAnsi="Cambria"/>
          <w:sz w:val="24"/>
        </w:rPr>
        <w:t xml:space="preserve">The </w:t>
      </w:r>
      <w:r>
        <w:rPr>
          <w:rFonts w:ascii="Cambria" w:hAnsi="Cambria"/>
          <w:sz w:val="24"/>
        </w:rPr>
        <w:t>review</w:t>
      </w:r>
      <w:r w:rsidRPr="000168D1">
        <w:rPr>
          <w:rFonts w:ascii="Cambria" w:hAnsi="Cambria"/>
          <w:sz w:val="24"/>
        </w:rPr>
        <w:t xml:space="preserve"> team recognised the constraints that faced the NGOs in implementing gender equality such as the difficulties of recruiting adequate numbers of female project staff or staff from smaller ethnic groups in remote rural areas; the fact that most G</w:t>
      </w:r>
      <w:r>
        <w:rPr>
          <w:rFonts w:ascii="Cambria" w:hAnsi="Cambria"/>
          <w:sz w:val="24"/>
        </w:rPr>
        <w:t xml:space="preserve">overnment </w:t>
      </w:r>
      <w:r w:rsidRPr="000168D1">
        <w:rPr>
          <w:rFonts w:ascii="Cambria" w:hAnsi="Cambria"/>
          <w:sz w:val="24"/>
        </w:rPr>
        <w:t>o</w:t>
      </w:r>
      <w:r>
        <w:rPr>
          <w:rFonts w:ascii="Cambria" w:hAnsi="Cambria"/>
          <w:sz w:val="24"/>
        </w:rPr>
        <w:t xml:space="preserve">f </w:t>
      </w:r>
      <w:r w:rsidRPr="000168D1">
        <w:rPr>
          <w:rFonts w:ascii="Cambria" w:hAnsi="Cambria"/>
          <w:sz w:val="24"/>
        </w:rPr>
        <w:t>L</w:t>
      </w:r>
      <w:r>
        <w:rPr>
          <w:rFonts w:ascii="Cambria" w:hAnsi="Cambria"/>
          <w:sz w:val="24"/>
        </w:rPr>
        <w:t xml:space="preserve">aos </w:t>
      </w:r>
      <w:r w:rsidRPr="000168D1">
        <w:rPr>
          <w:rFonts w:ascii="Cambria" w:hAnsi="Cambria"/>
          <w:sz w:val="24"/>
        </w:rPr>
        <w:t>part</w:t>
      </w:r>
      <w:r>
        <w:rPr>
          <w:rFonts w:ascii="Cambria" w:hAnsi="Cambria"/>
          <w:sz w:val="24"/>
        </w:rPr>
        <w:t>ner</w:t>
      </w:r>
      <w:r w:rsidRPr="000168D1">
        <w:rPr>
          <w:rFonts w:ascii="Cambria" w:hAnsi="Cambria"/>
          <w:sz w:val="24"/>
        </w:rPr>
        <w:t xml:space="preserve"> staff are men and those who are women are usually Lao Women’s Union (LWU), not staff of line ministries; that there are significant language barriers with members of smaller ethnic groups who are also often illiterate which precludes their membership on decision-making bodies; and finally, that cultural attitudes and behaviours such as restricted perceptions of the roles and capacities of women and people with disabilities take a very long time and considerable sensitivity to change  - longer than the program life. </w:t>
      </w:r>
    </w:p>
    <w:p w:rsidR="00CB5A76" w:rsidRDefault="00CB5A76" w:rsidP="00F6349E">
      <w:pPr>
        <w:pStyle w:val="Bodytxt"/>
        <w:ind w:left="0" w:right="-480"/>
        <w:rPr>
          <w:rFonts w:ascii="Cambria" w:hAnsi="Cambria"/>
          <w:sz w:val="24"/>
        </w:rPr>
      </w:pPr>
      <w:r w:rsidRPr="000168D1">
        <w:rPr>
          <w:rFonts w:ascii="Cambria" w:hAnsi="Cambria"/>
          <w:sz w:val="24"/>
        </w:rPr>
        <w:t>Nevertheless, addressing these issues is universally considered good deve</w:t>
      </w:r>
      <w:r>
        <w:rPr>
          <w:rFonts w:ascii="Cambria" w:hAnsi="Cambria"/>
          <w:sz w:val="24"/>
        </w:rPr>
        <w:t xml:space="preserve">lopment practice, and there is to some extent an enabling policy environment </w:t>
      </w:r>
      <w:r w:rsidRPr="000168D1">
        <w:rPr>
          <w:rFonts w:ascii="Cambria" w:hAnsi="Cambria"/>
          <w:sz w:val="24"/>
        </w:rPr>
        <w:t>for gender and ethnic group equality in Laos. The G</w:t>
      </w:r>
      <w:r>
        <w:rPr>
          <w:rFonts w:ascii="Cambria" w:hAnsi="Cambria"/>
          <w:sz w:val="24"/>
        </w:rPr>
        <w:t xml:space="preserve">overnment of </w:t>
      </w:r>
      <w:r w:rsidRPr="000168D1">
        <w:rPr>
          <w:rFonts w:ascii="Cambria" w:hAnsi="Cambria"/>
          <w:sz w:val="24"/>
        </w:rPr>
        <w:t>L</w:t>
      </w:r>
      <w:r>
        <w:rPr>
          <w:rFonts w:ascii="Cambria" w:hAnsi="Cambria"/>
          <w:sz w:val="24"/>
        </w:rPr>
        <w:t>ao PDR (</w:t>
      </w:r>
      <w:proofErr w:type="spellStart"/>
      <w:r>
        <w:rPr>
          <w:rFonts w:ascii="Cambria" w:hAnsi="Cambria"/>
          <w:sz w:val="24"/>
        </w:rPr>
        <w:t>GoL</w:t>
      </w:r>
      <w:proofErr w:type="spellEnd"/>
      <w:r>
        <w:rPr>
          <w:rFonts w:ascii="Cambria" w:hAnsi="Cambria"/>
          <w:sz w:val="24"/>
        </w:rPr>
        <w:t>)</w:t>
      </w:r>
      <w:r w:rsidRPr="000168D1">
        <w:rPr>
          <w:rFonts w:ascii="Cambria" w:hAnsi="Cambria"/>
          <w:sz w:val="24"/>
        </w:rPr>
        <w:t xml:space="preserve"> is committed to the promotion of equality between women and men and of all ethnic groups and this is articulated in the priorities of the National Socio-Economic Development Plan (NSEDP) and in its commitments to the</w:t>
      </w:r>
      <w:r>
        <w:rPr>
          <w:rFonts w:ascii="Cambria" w:hAnsi="Cambria"/>
          <w:sz w:val="24"/>
        </w:rPr>
        <w:t xml:space="preserve"> Millennium Development Goals (</w:t>
      </w:r>
      <w:r w:rsidRPr="000168D1">
        <w:rPr>
          <w:rFonts w:ascii="Cambria" w:hAnsi="Cambria"/>
          <w:sz w:val="24"/>
        </w:rPr>
        <w:t>MDGs</w:t>
      </w:r>
      <w:r>
        <w:rPr>
          <w:rFonts w:ascii="Cambria" w:hAnsi="Cambria"/>
          <w:sz w:val="24"/>
        </w:rPr>
        <w:t>)</w:t>
      </w:r>
      <w:r w:rsidRPr="000168D1">
        <w:rPr>
          <w:rFonts w:ascii="Cambria" w:hAnsi="Cambria"/>
          <w:sz w:val="24"/>
        </w:rPr>
        <w:t xml:space="preserve">. The </w:t>
      </w:r>
      <w:proofErr w:type="spellStart"/>
      <w:r w:rsidRPr="000168D1">
        <w:rPr>
          <w:rFonts w:ascii="Cambria" w:hAnsi="Cambria"/>
          <w:sz w:val="24"/>
        </w:rPr>
        <w:t>GoL</w:t>
      </w:r>
      <w:proofErr w:type="spellEnd"/>
      <w:r w:rsidRPr="000168D1">
        <w:rPr>
          <w:rFonts w:ascii="Cambria" w:hAnsi="Cambria"/>
          <w:sz w:val="24"/>
        </w:rPr>
        <w:t xml:space="preserve"> has ratified the Convention on the Elimination of All Forms of Discrimination Against Women (CEDAW) and Articles</w:t>
      </w:r>
      <w:r>
        <w:rPr>
          <w:rFonts w:ascii="Cambria" w:hAnsi="Cambria"/>
          <w:sz w:val="24"/>
        </w:rPr>
        <w:t xml:space="preserve"> 22 and 24 of the Constitution </w:t>
      </w:r>
      <w:r w:rsidRPr="000168D1">
        <w:rPr>
          <w:rFonts w:ascii="Cambria" w:hAnsi="Cambria"/>
          <w:sz w:val="24"/>
        </w:rPr>
        <w:t>guarantee “</w:t>
      </w:r>
      <w:r w:rsidRPr="000168D1">
        <w:rPr>
          <w:rFonts w:ascii="Cambria" w:hAnsi="Cambria"/>
          <w:i/>
          <w:sz w:val="24"/>
        </w:rPr>
        <w:t>equal rights in political, economic, cultural, social and family affairs</w:t>
      </w:r>
      <w:r w:rsidRPr="000168D1">
        <w:rPr>
          <w:rFonts w:ascii="Cambria" w:hAnsi="Cambria"/>
          <w:sz w:val="24"/>
        </w:rPr>
        <w:t xml:space="preserve">”. </w:t>
      </w:r>
      <w:r>
        <w:rPr>
          <w:rFonts w:ascii="Cambria" w:hAnsi="Cambria"/>
          <w:sz w:val="24"/>
        </w:rPr>
        <w:t>There are several laws protecting the rights of women</w:t>
      </w:r>
      <w:r w:rsidRPr="000168D1">
        <w:rPr>
          <w:rFonts w:ascii="Cambria" w:hAnsi="Cambria"/>
          <w:sz w:val="24"/>
        </w:rPr>
        <w:t>.</w:t>
      </w:r>
      <w:r>
        <w:rPr>
          <w:rStyle w:val="FootnoteReference"/>
          <w:rFonts w:ascii="Cambria" w:hAnsi="Cambria" w:cs="Arial"/>
          <w:sz w:val="24"/>
        </w:rPr>
        <w:footnoteReference w:id="1"/>
      </w:r>
    </w:p>
    <w:p w:rsidR="00CB5A76" w:rsidRDefault="00CB5A76" w:rsidP="00F6349E">
      <w:pPr>
        <w:pStyle w:val="Bodytxt"/>
        <w:ind w:left="0" w:right="-480"/>
        <w:rPr>
          <w:rFonts w:ascii="Cambria" w:hAnsi="Cambria"/>
          <w:sz w:val="24"/>
        </w:rPr>
      </w:pPr>
      <w:r>
        <w:rPr>
          <w:rFonts w:ascii="Cambria" w:hAnsi="Cambria"/>
          <w:sz w:val="24"/>
        </w:rPr>
        <w:t>Lao women play a critical role in agriculture and use of natural resources and are primarily responsible of maintaining their families’ food security and health. Decisions within the family are made jointly by husbands and wives. However, usually men represent their families as head of the household at all official meetings to discuss village development activities. Women have limited mobility, and traditional custom is that women do not work far from their own village fields. In addition to their work in the fields women are involved in small-scale income generation activities to supplement family income.</w:t>
      </w:r>
      <w:r>
        <w:rPr>
          <w:rStyle w:val="FootnoteReference"/>
          <w:rFonts w:ascii="Cambria" w:hAnsi="Cambria" w:cs="Arial"/>
          <w:sz w:val="24"/>
        </w:rPr>
        <w:footnoteReference w:id="2"/>
      </w:r>
    </w:p>
    <w:p w:rsidR="00CB5A76" w:rsidRDefault="00CB5A76" w:rsidP="000B2F0D">
      <w:pPr>
        <w:pStyle w:val="Bodytxt"/>
        <w:spacing w:after="0"/>
        <w:ind w:left="0" w:right="-482"/>
        <w:rPr>
          <w:rFonts w:ascii="Cambria" w:hAnsi="Cambria"/>
          <w:sz w:val="24"/>
        </w:rPr>
      </w:pPr>
      <w:r>
        <w:rPr>
          <w:rFonts w:ascii="Cambria" w:hAnsi="Cambria"/>
          <w:sz w:val="24"/>
        </w:rPr>
        <w:t>Although cultural attitudes toward women and disparities of opportunities for women vary across ethnic groups in Laos, generally women from small ethnic groups in remote communities lag behind in indicators related to education and health.</w:t>
      </w:r>
      <w:r>
        <w:rPr>
          <w:rStyle w:val="FootnoteReference"/>
          <w:rFonts w:ascii="Cambria" w:hAnsi="Cambria" w:cs="Arial"/>
          <w:sz w:val="24"/>
        </w:rPr>
        <w:footnoteReference w:id="3"/>
      </w:r>
      <w:r>
        <w:rPr>
          <w:rFonts w:ascii="Cambria" w:hAnsi="Cambria"/>
          <w:sz w:val="24"/>
        </w:rPr>
        <w:t xml:space="preserve"> If they are illiterate this is a further impediment to involvement in formal decision-making. </w:t>
      </w:r>
    </w:p>
    <w:p w:rsidR="00CB5A76" w:rsidRDefault="00CB5A76" w:rsidP="000B2F0D">
      <w:pPr>
        <w:pStyle w:val="Bodytxt"/>
        <w:spacing w:after="0"/>
        <w:ind w:left="0" w:right="-482"/>
        <w:rPr>
          <w:rFonts w:ascii="Cambria" w:hAnsi="Cambria"/>
          <w:sz w:val="24"/>
        </w:rPr>
      </w:pPr>
    </w:p>
    <w:p w:rsidR="00CB5A76" w:rsidRDefault="00F77070" w:rsidP="00A74ADF">
      <w:pPr>
        <w:pStyle w:val="Bodytxt"/>
        <w:spacing w:after="0"/>
        <w:ind w:left="0" w:right="-482"/>
        <w:jc w:val="center"/>
        <w:rPr>
          <w:rFonts w:ascii="Cambria" w:hAnsi="Cambria"/>
          <w:sz w:val="24"/>
        </w:rPr>
      </w:pPr>
      <w:r>
        <w:rPr>
          <w:rFonts w:ascii="Cambria" w:hAnsi="Cambria"/>
          <w:noProof/>
          <w:sz w:val="24"/>
          <w:lang w:eastAsia="en-AU"/>
        </w:rPr>
        <w:drawing>
          <wp:inline distT="0" distB="0" distL="0" distR="0" wp14:anchorId="102944A3" wp14:editId="1A3AC987">
            <wp:extent cx="4229100" cy="3219450"/>
            <wp:effectExtent l="0" t="0" r="0" b="0"/>
            <wp:docPr id="3" name="Picture 11" descr="File0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035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9100" cy="3219450"/>
                    </a:xfrm>
                    <a:prstGeom prst="rect">
                      <a:avLst/>
                    </a:prstGeom>
                    <a:noFill/>
                    <a:ln>
                      <a:noFill/>
                    </a:ln>
                  </pic:spPr>
                </pic:pic>
              </a:graphicData>
            </a:graphic>
          </wp:inline>
        </w:drawing>
      </w:r>
    </w:p>
    <w:p w:rsidR="00CB5A76" w:rsidRDefault="00CB5A76" w:rsidP="000B2F0D">
      <w:pPr>
        <w:pStyle w:val="Bodytxt"/>
        <w:spacing w:after="0"/>
        <w:ind w:left="0" w:right="-482"/>
        <w:rPr>
          <w:rFonts w:ascii="Cambria" w:hAnsi="Cambria"/>
          <w:sz w:val="24"/>
        </w:rPr>
      </w:pPr>
    </w:p>
    <w:p w:rsidR="00CB5A76" w:rsidRDefault="00CB5A76" w:rsidP="000B2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r w:rsidRPr="002802DA">
        <w:rPr>
          <w:rFonts w:ascii="Cambria" w:hAnsi="Cambria" w:cs="Arial"/>
          <w:color w:val="000000"/>
          <w:szCs w:val="18"/>
        </w:rPr>
        <w:t xml:space="preserve">All </w:t>
      </w:r>
      <w:r>
        <w:rPr>
          <w:rFonts w:ascii="Cambria" w:hAnsi="Cambria" w:cs="Arial"/>
          <w:color w:val="000000"/>
          <w:szCs w:val="18"/>
        </w:rPr>
        <w:t xml:space="preserve">NGOs worked with Government partners from the Lao Women’s Union (LWU) whose </w:t>
      </w:r>
      <w:r w:rsidRPr="000168D1">
        <w:rPr>
          <w:rFonts w:ascii="Cambria" w:hAnsi="Cambria"/>
        </w:rPr>
        <w:t>mandate is to represent women of all ethnic groups and</w:t>
      </w:r>
      <w:r w:rsidRPr="000168D1">
        <w:rPr>
          <w:rFonts w:ascii="Cambria" w:hAnsi="Cambria"/>
          <w:i/>
        </w:rPr>
        <w:t xml:space="preserve"> “to protect women’s right</w:t>
      </w:r>
      <w:r>
        <w:rPr>
          <w:rFonts w:ascii="Cambria" w:hAnsi="Cambria"/>
          <w:i/>
        </w:rPr>
        <w:t>s</w:t>
      </w:r>
      <w:r w:rsidRPr="000168D1">
        <w:rPr>
          <w:rFonts w:ascii="Cambria" w:hAnsi="Cambria"/>
          <w:i/>
        </w:rPr>
        <w:t xml:space="preserve"> and interests”</w:t>
      </w:r>
      <w:r>
        <w:rPr>
          <w:rFonts w:ascii="Cambria" w:hAnsi="Cambria"/>
        </w:rPr>
        <w:t xml:space="preserve">. LWU also </w:t>
      </w:r>
      <w:r w:rsidRPr="000168D1">
        <w:rPr>
          <w:rFonts w:ascii="Cambria" w:hAnsi="Cambria"/>
        </w:rPr>
        <w:t xml:space="preserve">has the advantage of </w:t>
      </w:r>
      <w:r>
        <w:rPr>
          <w:rFonts w:ascii="Cambria" w:hAnsi="Cambria"/>
        </w:rPr>
        <w:t xml:space="preserve">having </w:t>
      </w:r>
      <w:r w:rsidRPr="000168D1">
        <w:rPr>
          <w:rFonts w:ascii="Cambria" w:hAnsi="Cambria"/>
        </w:rPr>
        <w:t>representatives at village level who often sp</w:t>
      </w:r>
      <w:r>
        <w:rPr>
          <w:rFonts w:ascii="Cambria" w:hAnsi="Cambria"/>
        </w:rPr>
        <w:t>eak</w:t>
      </w:r>
      <w:r w:rsidRPr="000168D1">
        <w:rPr>
          <w:rFonts w:ascii="Cambria" w:hAnsi="Cambria"/>
        </w:rPr>
        <w:t xml:space="preserve"> ethnic languages.</w:t>
      </w:r>
      <w:r>
        <w:rPr>
          <w:rFonts w:ascii="Cambria" w:hAnsi="Cambria"/>
        </w:rPr>
        <w:t xml:space="preserve"> </w:t>
      </w:r>
      <w:r>
        <w:rPr>
          <w:rFonts w:ascii="Cambria" w:hAnsi="Cambria" w:cs="Arial"/>
          <w:color w:val="000000"/>
          <w:szCs w:val="18"/>
        </w:rPr>
        <w:t>However, the</w:t>
      </w:r>
      <w:r w:rsidRPr="002802DA">
        <w:rPr>
          <w:rFonts w:ascii="Cambria" w:hAnsi="Cambria" w:cs="Arial"/>
          <w:color w:val="000000"/>
          <w:szCs w:val="18"/>
        </w:rPr>
        <w:t xml:space="preserve"> LWU also faces a number of challenges in implementing its mandate including</w:t>
      </w:r>
      <w:r>
        <w:rPr>
          <w:rFonts w:ascii="Cambria" w:hAnsi="Cambria" w:cs="Arial"/>
          <w:color w:val="000000"/>
          <w:szCs w:val="18"/>
        </w:rPr>
        <w:t xml:space="preserve"> </w:t>
      </w:r>
      <w:r>
        <w:rPr>
          <w:rFonts w:ascii="Cambria" w:hAnsi="Helvetica" w:cs="Helvetica"/>
          <w:color w:val="000000"/>
          <w:szCs w:val="18"/>
        </w:rPr>
        <w:t>a lack</w:t>
      </w:r>
      <w:r w:rsidRPr="002802DA">
        <w:rPr>
          <w:rFonts w:ascii="Cambria" w:hAnsi="Cambria" w:cs="Arial"/>
          <w:color w:val="000000"/>
          <w:szCs w:val="18"/>
        </w:rPr>
        <w:t xml:space="preserve"> of human capacity to effectively carry out gender mainstreaming within programs and through training exercises for ministry staff;</w:t>
      </w:r>
      <w:r>
        <w:rPr>
          <w:rFonts w:ascii="Cambria" w:hAnsi="Cambria" w:cs="Arial"/>
          <w:color w:val="000000"/>
          <w:szCs w:val="18"/>
        </w:rPr>
        <w:t xml:space="preserve"> </w:t>
      </w:r>
      <w:r>
        <w:rPr>
          <w:rFonts w:ascii="Cambria" w:hAnsi="Helvetica" w:cs="Helvetica"/>
          <w:color w:val="000000"/>
          <w:szCs w:val="18"/>
        </w:rPr>
        <w:t xml:space="preserve">a </w:t>
      </w:r>
      <w:r>
        <w:rPr>
          <w:rFonts w:ascii="Cambria" w:hAnsi="Cambria" w:cs="Arial"/>
          <w:color w:val="000000"/>
          <w:szCs w:val="18"/>
        </w:rPr>
        <w:t>l</w:t>
      </w:r>
      <w:r w:rsidRPr="002802DA">
        <w:rPr>
          <w:rFonts w:ascii="Cambria" w:hAnsi="Cambria" w:cs="Arial"/>
          <w:color w:val="000000"/>
          <w:szCs w:val="18"/>
        </w:rPr>
        <w:t>ack of accurate sex-disaggregated and relevant</w:t>
      </w:r>
      <w:r>
        <w:rPr>
          <w:rFonts w:ascii="Cambria" w:hAnsi="Cambria" w:cs="Arial"/>
          <w:color w:val="000000"/>
          <w:szCs w:val="18"/>
        </w:rPr>
        <w:t xml:space="preserve"> gender data to support policy-</w:t>
      </w:r>
      <w:r w:rsidRPr="002802DA">
        <w:rPr>
          <w:rFonts w:ascii="Cambria" w:hAnsi="Cambria" w:cs="Arial"/>
          <w:color w:val="000000"/>
          <w:szCs w:val="18"/>
        </w:rPr>
        <w:t>making;</w:t>
      </w:r>
      <w:r>
        <w:rPr>
          <w:rFonts w:ascii="Cambria" w:hAnsi="Cambria" w:cs="Arial"/>
          <w:color w:val="000000"/>
          <w:szCs w:val="18"/>
        </w:rPr>
        <w:t xml:space="preserve"> </w:t>
      </w:r>
      <w:r>
        <w:rPr>
          <w:rFonts w:ascii="Cambria" w:hAnsi="Helvetica" w:cs="Helvetica"/>
          <w:color w:val="000000"/>
          <w:szCs w:val="18"/>
        </w:rPr>
        <w:t>limited</w:t>
      </w:r>
      <w:r w:rsidRPr="002802DA">
        <w:rPr>
          <w:rFonts w:ascii="Cambria" w:hAnsi="Cambria" w:cs="Arial"/>
          <w:color w:val="000000"/>
          <w:szCs w:val="18"/>
        </w:rPr>
        <w:t xml:space="preserve"> budget and resources to support the gender mainstreaming process; </w:t>
      </w:r>
      <w:r>
        <w:rPr>
          <w:rFonts w:ascii="Cambria" w:hAnsi="Cambria" w:cs="Arial"/>
          <w:color w:val="000000"/>
          <w:szCs w:val="18"/>
        </w:rPr>
        <w:t>and p</w:t>
      </w:r>
      <w:r w:rsidRPr="002802DA">
        <w:rPr>
          <w:rFonts w:ascii="Cambria" w:hAnsi="Cambria" w:cs="Arial"/>
          <w:color w:val="000000"/>
          <w:szCs w:val="18"/>
        </w:rPr>
        <w:t>oor coordination of gender mainstreaming activities among Government ministries,</w:t>
      </w:r>
      <w:r>
        <w:rPr>
          <w:rFonts w:ascii="Cambria" w:hAnsi="Cambria" w:cs="Arial"/>
          <w:color w:val="000000"/>
          <w:szCs w:val="18"/>
        </w:rPr>
        <w:t xml:space="preserve"> international donors and INGOs</w:t>
      </w:r>
      <w:r w:rsidRPr="002802DA">
        <w:rPr>
          <w:rFonts w:ascii="Cambria" w:hAnsi="Cambria" w:cs="Arial"/>
          <w:color w:val="000000"/>
          <w:szCs w:val="18"/>
        </w:rPr>
        <w:t>.</w:t>
      </w:r>
      <w:r>
        <w:rPr>
          <w:rStyle w:val="FootnoteReference"/>
          <w:rFonts w:ascii="Cambria" w:hAnsi="Cambria"/>
        </w:rPr>
        <w:footnoteReference w:id="4"/>
      </w:r>
    </w:p>
    <w:p w:rsidR="00CB5A76" w:rsidRDefault="00CB5A76" w:rsidP="000B2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p>
    <w:p w:rsidR="00CB5A76" w:rsidRDefault="00CB5A76" w:rsidP="000B2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r>
        <w:rPr>
          <w:rFonts w:ascii="Cambria" w:hAnsi="Cambria" w:cs="Arial"/>
          <w:color w:val="000000"/>
          <w:szCs w:val="18"/>
        </w:rPr>
        <w:t>There is very little information relating to the incidence and impact of disability in Lao PDR. Research conducted by Handicap International in 1997</w:t>
      </w:r>
      <w:r>
        <w:rPr>
          <w:rStyle w:val="FootnoteReference"/>
          <w:rFonts w:ascii="Cambria" w:hAnsi="Cambria"/>
          <w:color w:val="000000"/>
          <w:szCs w:val="18"/>
        </w:rPr>
        <w:footnoteReference w:id="5"/>
      </w:r>
      <w:r>
        <w:rPr>
          <w:rFonts w:ascii="Cambria" w:hAnsi="Cambria" w:cs="Arial"/>
          <w:color w:val="000000"/>
          <w:szCs w:val="18"/>
        </w:rPr>
        <w:t xml:space="preserve"> found that that men with disabilities are accepted in Lao families and are able to marry and be integrated into the community. However, Narayan et al (2000)</w:t>
      </w:r>
      <w:r>
        <w:rPr>
          <w:rStyle w:val="FootnoteReference"/>
          <w:rFonts w:ascii="Cambria" w:hAnsi="Cambria"/>
          <w:color w:val="000000"/>
          <w:szCs w:val="18"/>
        </w:rPr>
        <w:footnoteReference w:id="6"/>
      </w:r>
      <w:r>
        <w:rPr>
          <w:rFonts w:ascii="Cambria" w:hAnsi="Cambria" w:cs="Arial"/>
          <w:color w:val="000000"/>
          <w:szCs w:val="18"/>
        </w:rPr>
        <w:t xml:space="preserve"> found that men who were unable to contribute adequately to family income often felt burdensome and redundant and experienced increased anger and frustration.</w:t>
      </w:r>
    </w:p>
    <w:p w:rsidR="00CB5A76" w:rsidRDefault="00CB5A76" w:rsidP="000B2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p>
    <w:p w:rsidR="00CB5A76" w:rsidRDefault="00CB5A76" w:rsidP="000B2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r>
        <w:rPr>
          <w:rFonts w:ascii="Cambria" w:hAnsi="Cambria" w:cs="Arial"/>
          <w:color w:val="000000"/>
          <w:szCs w:val="18"/>
        </w:rPr>
        <w:t xml:space="preserve">Women with disabilities are less likely to marry and more likely to be isolated and experience stigma and discrimination. Women are also far more likely to be carers of children and adult family members with a disability which hinders their ability to engage in activities outside the home and family and may therefore preclude them from income generation activities that are not home-based.  Both men and women with disabilities reported increased household spending on medical expenses, reduced capacity for engaging in productive activities that generated income and consequent vulnerability to natural disasters and extreme poverty. </w:t>
      </w:r>
    </w:p>
    <w:p w:rsidR="00CB5A76" w:rsidRDefault="00CB5A76" w:rsidP="000B2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p>
    <w:p w:rsidR="00CB5A76" w:rsidRPr="002802DA" w:rsidRDefault="00CB5A76" w:rsidP="000B2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r>
        <w:rPr>
          <w:rFonts w:ascii="Cambria" w:hAnsi="Cambria" w:cs="Arial"/>
          <w:color w:val="000000"/>
          <w:szCs w:val="18"/>
        </w:rPr>
        <w:t>Given that the LANGOCA program activities are focused on poor rural communities where there is UXO and/or vulnerability to natural disasters planning activities together with people with disabilities to ensure their inclusion and participation is essential</w:t>
      </w:r>
      <w:r w:rsidRPr="000168D1">
        <w:rPr>
          <w:rFonts w:ascii="Cambria" w:hAnsi="Cambria"/>
        </w:rPr>
        <w:t xml:space="preserve">. </w:t>
      </w:r>
      <w:r>
        <w:rPr>
          <w:rFonts w:ascii="Cambria" w:hAnsi="Cambria"/>
        </w:rPr>
        <w:t>Although s</w:t>
      </w:r>
      <w:r w:rsidRPr="000168D1">
        <w:rPr>
          <w:rFonts w:ascii="Cambria" w:hAnsi="Cambria"/>
        </w:rPr>
        <w:t>upport for UXO survivors was included as part of the UXO project designs overall disability inclusion has not been</w:t>
      </w:r>
      <w:r>
        <w:rPr>
          <w:rFonts w:ascii="Cambria" w:hAnsi="Cambria"/>
        </w:rPr>
        <w:t xml:space="preserve"> </w:t>
      </w:r>
      <w:r w:rsidRPr="000168D1">
        <w:rPr>
          <w:rFonts w:ascii="Cambria" w:hAnsi="Cambria"/>
        </w:rPr>
        <w:t>adequately addressed</w:t>
      </w:r>
      <w:r>
        <w:rPr>
          <w:rFonts w:ascii="Cambria" w:hAnsi="Cambria"/>
        </w:rPr>
        <w:t>. This is likely because disability inclusion was not identified by AusAID as a key cross-cutting issues until November 2008 after the LANGOCA designs were completed and most projects had commenced.</w:t>
      </w:r>
    </w:p>
    <w:p w:rsidR="00CB5A76" w:rsidRDefault="00CB5A76" w:rsidP="00F6349E">
      <w:pPr>
        <w:pStyle w:val="Bodytxt"/>
        <w:ind w:right="-480"/>
        <w:rPr>
          <w:lang w:val="en-GB"/>
        </w:rPr>
      </w:pPr>
    </w:p>
    <w:p w:rsidR="00CB5A76" w:rsidRDefault="00CB5A76" w:rsidP="00F6349E">
      <w:pPr>
        <w:pStyle w:val="Heading2"/>
        <w:numPr>
          <w:ilvl w:val="0"/>
          <w:numId w:val="1"/>
        </w:numPr>
        <w:ind w:right="-480"/>
        <w:rPr>
          <w:lang w:val="en-GB"/>
        </w:rPr>
      </w:pPr>
      <w:bookmarkStart w:id="15" w:name="_Toc168812979"/>
      <w:r>
        <w:rPr>
          <w:lang w:val="en-GB"/>
        </w:rPr>
        <w:t>Methodology</w:t>
      </w:r>
      <w:bookmarkEnd w:id="15"/>
    </w:p>
    <w:p w:rsidR="00CB5A76" w:rsidRDefault="00CB5A76" w:rsidP="00F6349E">
      <w:pPr>
        <w:pStyle w:val="Heading30"/>
        <w:numPr>
          <w:ilvl w:val="1"/>
          <w:numId w:val="7"/>
        </w:numPr>
        <w:ind w:right="-480"/>
      </w:pPr>
      <w:bookmarkStart w:id="16" w:name="_Toc168812980"/>
      <w:r>
        <w:t>Evaluation Objectives</w:t>
      </w:r>
      <w:bookmarkEnd w:id="16"/>
    </w:p>
    <w:p w:rsidR="00CB5A76" w:rsidRDefault="00CB5A76" w:rsidP="00C70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0"/>
        <w:jc w:val="both"/>
        <w:rPr>
          <w:rFonts w:ascii="Cambria" w:hAnsi="Cambria"/>
          <w:color w:val="000000"/>
          <w:lang w:val="en-US"/>
        </w:rPr>
      </w:pPr>
      <w:r w:rsidRPr="00CC7FFA">
        <w:rPr>
          <w:rFonts w:ascii="Cambria" w:hAnsi="Cambria"/>
          <w:lang w:val="en-GB"/>
        </w:rPr>
        <w:t xml:space="preserve">In line with standard practice, AusAID commissioned an independent </w:t>
      </w:r>
      <w:r>
        <w:rPr>
          <w:rFonts w:ascii="Cambria" w:hAnsi="Cambria"/>
          <w:lang w:val="en-GB"/>
        </w:rPr>
        <w:t xml:space="preserve">progress </w:t>
      </w:r>
      <w:r w:rsidRPr="00CC7FFA">
        <w:rPr>
          <w:rFonts w:ascii="Cambria" w:hAnsi="Cambria"/>
          <w:lang w:val="en-GB"/>
        </w:rPr>
        <w:t xml:space="preserve">evaluation of the overall LANGOCA program to meet AusAID accountability and reporting obligations, and to make findings regarding the impact </w:t>
      </w:r>
      <w:r>
        <w:rPr>
          <w:rFonts w:ascii="Cambria" w:hAnsi="Cambria"/>
          <w:lang w:val="en-GB"/>
        </w:rPr>
        <w:t xml:space="preserve">to date </w:t>
      </w:r>
      <w:r w:rsidRPr="00CC7FFA">
        <w:rPr>
          <w:rFonts w:ascii="Cambria" w:hAnsi="Cambria"/>
          <w:lang w:val="en-GB"/>
        </w:rPr>
        <w:t>of the NGO Cooperation Agreement approach.</w:t>
      </w:r>
      <w:r>
        <w:rPr>
          <w:rFonts w:ascii="Cambria" w:hAnsi="Cambria"/>
          <w:lang w:val="en-GB"/>
        </w:rPr>
        <w:t xml:space="preserve"> In addition, AusAID commissioned a stand-alone report evaluating gender issues in LANGOCA.</w:t>
      </w:r>
      <w:r w:rsidRPr="00CC7FFA">
        <w:rPr>
          <w:rFonts w:ascii="Cambria" w:hAnsi="Cambria"/>
          <w:lang w:val="en-GB"/>
        </w:rPr>
        <w:t xml:space="preserve"> </w:t>
      </w:r>
      <w:r w:rsidRPr="00D33351">
        <w:rPr>
          <w:rFonts w:ascii="Cambria" w:hAnsi="Cambria"/>
          <w:color w:val="000000"/>
          <w:lang w:val="en-US"/>
        </w:rPr>
        <w:t>The</w:t>
      </w:r>
      <w:r>
        <w:rPr>
          <w:rFonts w:ascii="Cambria" w:hAnsi="Cambria"/>
          <w:color w:val="000000"/>
          <w:lang w:val="en-US"/>
        </w:rPr>
        <w:t xml:space="preserve"> Terms of Reference (</w:t>
      </w:r>
      <w:proofErr w:type="spellStart"/>
      <w:r>
        <w:rPr>
          <w:rFonts w:ascii="Cambria" w:hAnsi="Cambria"/>
          <w:color w:val="000000"/>
          <w:lang w:val="en-US"/>
        </w:rPr>
        <w:t>ToRs</w:t>
      </w:r>
      <w:proofErr w:type="spellEnd"/>
      <w:r>
        <w:rPr>
          <w:rFonts w:ascii="Cambria" w:hAnsi="Cambria"/>
          <w:color w:val="000000"/>
          <w:lang w:val="en-US"/>
        </w:rPr>
        <w:t xml:space="preserve">) for </w:t>
      </w:r>
      <w:r w:rsidRPr="00D33351">
        <w:rPr>
          <w:rFonts w:ascii="Cambria" w:hAnsi="Cambria"/>
          <w:color w:val="000000"/>
          <w:lang w:val="en-US"/>
        </w:rPr>
        <w:t xml:space="preserve">the gender evaluation component of the Independent Progress Review (IPR) </w:t>
      </w:r>
      <w:r>
        <w:rPr>
          <w:rFonts w:ascii="Cambria" w:hAnsi="Cambria"/>
          <w:color w:val="000000"/>
          <w:lang w:val="en-US"/>
        </w:rPr>
        <w:t xml:space="preserve">stated that the objective </w:t>
      </w:r>
      <w:r w:rsidRPr="00D33351">
        <w:rPr>
          <w:rFonts w:ascii="Cambria" w:hAnsi="Cambria"/>
          <w:color w:val="000000"/>
          <w:lang w:val="en-US"/>
        </w:rPr>
        <w:t>w</w:t>
      </w:r>
      <w:r>
        <w:rPr>
          <w:rFonts w:ascii="Cambria" w:hAnsi="Cambria"/>
          <w:color w:val="000000"/>
          <w:lang w:val="en-US"/>
        </w:rPr>
        <w:t>as</w:t>
      </w:r>
      <w:r w:rsidRPr="00D33351">
        <w:rPr>
          <w:rFonts w:ascii="Cambria" w:hAnsi="Cambria"/>
          <w:color w:val="000000"/>
          <w:lang w:val="en-US"/>
        </w:rPr>
        <w:t xml:space="preserve"> to determine the extent to which:</w:t>
      </w:r>
    </w:p>
    <w:p w:rsidR="00CB5A76" w:rsidRPr="007453CF" w:rsidRDefault="00CB5A76" w:rsidP="00C70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0"/>
        <w:jc w:val="both"/>
        <w:rPr>
          <w:rFonts w:ascii="Cambria" w:hAnsi="Cambria"/>
          <w:color w:val="000000"/>
          <w:lang w:val="en-US"/>
        </w:rPr>
      </w:pPr>
    </w:p>
    <w:p w:rsidR="00CB5A76" w:rsidRDefault="00CB5A76" w:rsidP="006A692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38" w:hanging="284"/>
        <w:jc w:val="both"/>
        <w:rPr>
          <w:rFonts w:ascii="Cambria" w:hAnsi="Cambria"/>
          <w:color w:val="000000"/>
          <w:lang w:val="en-US"/>
        </w:rPr>
      </w:pPr>
      <w:r>
        <w:rPr>
          <w:rFonts w:ascii="Cambria" w:hAnsi="Cambria"/>
          <w:color w:val="000000"/>
          <w:lang w:val="en-US"/>
        </w:rPr>
        <w:t>a</w:t>
      </w:r>
      <w:r w:rsidRPr="007453CF">
        <w:rPr>
          <w:rFonts w:ascii="Cambria" w:hAnsi="Cambria"/>
          <w:color w:val="000000"/>
          <w:lang w:val="en-US"/>
        </w:rPr>
        <w:t xml:space="preserve">. </w:t>
      </w:r>
      <w:r>
        <w:rPr>
          <w:rFonts w:ascii="Cambria" w:hAnsi="Cambria"/>
          <w:color w:val="000000"/>
          <w:lang w:val="en-US"/>
        </w:rPr>
        <w:t xml:space="preserve">  </w:t>
      </w:r>
      <w:r w:rsidRPr="007453CF">
        <w:rPr>
          <w:rFonts w:ascii="Cambria" w:hAnsi="Cambria"/>
          <w:color w:val="000000"/>
          <w:lang w:val="en-US"/>
        </w:rPr>
        <w:t>gender</w:t>
      </w:r>
      <w:r>
        <w:rPr>
          <w:rFonts w:ascii="Cambria" w:hAnsi="Cambria"/>
          <w:color w:val="000000"/>
          <w:lang w:val="en-US"/>
        </w:rPr>
        <w:t xml:space="preserve"> wa</w:t>
      </w:r>
      <w:r w:rsidRPr="007453CF">
        <w:rPr>
          <w:rFonts w:ascii="Cambria" w:hAnsi="Cambria"/>
          <w:color w:val="000000"/>
          <w:lang w:val="en-US"/>
        </w:rPr>
        <w:t>s mainstreamed in the activity designs and programming and</w:t>
      </w:r>
      <w:r>
        <w:rPr>
          <w:rFonts w:ascii="Cambria" w:hAnsi="Cambria"/>
          <w:color w:val="000000"/>
          <w:lang w:val="en-US"/>
        </w:rPr>
        <w:t>;</w:t>
      </w:r>
    </w:p>
    <w:p w:rsidR="00CB5A76" w:rsidRPr="007453CF" w:rsidRDefault="00CB5A76" w:rsidP="006A692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38" w:hanging="284"/>
        <w:jc w:val="both"/>
        <w:rPr>
          <w:rFonts w:ascii="Cambria" w:hAnsi="Cambria"/>
          <w:color w:val="000000"/>
          <w:lang w:val="en-US"/>
        </w:rPr>
      </w:pPr>
      <w:r>
        <w:rPr>
          <w:rFonts w:ascii="Cambria" w:hAnsi="Cambria"/>
          <w:color w:val="000000"/>
          <w:lang w:val="en-US"/>
        </w:rPr>
        <w:t xml:space="preserve">b.  </w:t>
      </w:r>
      <w:r w:rsidRPr="007453CF">
        <w:rPr>
          <w:rFonts w:ascii="Cambria" w:hAnsi="Cambria"/>
          <w:color w:val="000000"/>
          <w:lang w:val="en-US"/>
        </w:rPr>
        <w:t xml:space="preserve">whether or not these </w:t>
      </w:r>
      <w:r>
        <w:rPr>
          <w:rFonts w:ascii="Cambria" w:hAnsi="Cambria"/>
          <w:color w:val="000000"/>
          <w:lang w:val="en-US"/>
        </w:rPr>
        <w:t>we</w:t>
      </w:r>
      <w:r w:rsidRPr="007453CF">
        <w:rPr>
          <w:rFonts w:ascii="Cambria" w:hAnsi="Cambria"/>
          <w:color w:val="000000"/>
          <w:lang w:val="en-US"/>
        </w:rPr>
        <w:t>re realized at the implementation stage thus resulting in specific gender development outcomes</w:t>
      </w:r>
      <w:r>
        <w:rPr>
          <w:rFonts w:ascii="Cambria" w:hAnsi="Cambria"/>
          <w:color w:val="000000"/>
          <w:lang w:val="en-US"/>
        </w:rPr>
        <w:t xml:space="preserve"> at the community level</w:t>
      </w:r>
      <w:r w:rsidRPr="007453CF">
        <w:rPr>
          <w:rFonts w:ascii="Cambria" w:hAnsi="Cambria"/>
          <w:color w:val="000000"/>
          <w:lang w:val="en-US"/>
        </w:rPr>
        <w:t>;</w:t>
      </w:r>
      <w:r>
        <w:rPr>
          <w:rFonts w:ascii="Cambria" w:hAnsi="Cambria"/>
          <w:color w:val="000000"/>
          <w:lang w:val="en-US"/>
        </w:rPr>
        <w:t xml:space="preserve"> </w:t>
      </w:r>
    </w:p>
    <w:p w:rsidR="00CB5A76" w:rsidRDefault="00CB5A76" w:rsidP="006A692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38" w:hanging="284"/>
        <w:jc w:val="both"/>
        <w:rPr>
          <w:rFonts w:ascii="Cambria" w:hAnsi="Cambria"/>
          <w:color w:val="000000"/>
          <w:lang w:val="en-US"/>
        </w:rPr>
      </w:pPr>
      <w:r>
        <w:rPr>
          <w:rFonts w:ascii="Cambria" w:hAnsi="Cambria"/>
          <w:color w:val="000000"/>
          <w:lang w:val="en-US"/>
        </w:rPr>
        <w:t>c.   the e</w:t>
      </w:r>
      <w:r w:rsidRPr="007453CF">
        <w:rPr>
          <w:rFonts w:ascii="Cambria" w:hAnsi="Cambria"/>
          <w:color w:val="000000"/>
          <w:lang w:val="en-US"/>
        </w:rPr>
        <w:t>xtent t</w:t>
      </w:r>
      <w:r>
        <w:rPr>
          <w:rFonts w:ascii="Cambria" w:hAnsi="Cambria"/>
          <w:color w:val="000000"/>
          <w:lang w:val="en-US"/>
        </w:rPr>
        <w:t>o which</w:t>
      </w:r>
      <w:r w:rsidRPr="007453CF">
        <w:rPr>
          <w:rFonts w:ascii="Cambria" w:hAnsi="Cambria"/>
          <w:color w:val="000000"/>
          <w:lang w:val="en-US"/>
        </w:rPr>
        <w:t xml:space="preserve"> the strategies responded to practical needs of women</w:t>
      </w:r>
      <w:r>
        <w:rPr>
          <w:rFonts w:ascii="Cambria" w:hAnsi="Cambria"/>
          <w:color w:val="000000"/>
          <w:lang w:val="en-US"/>
        </w:rPr>
        <w:t>;</w:t>
      </w:r>
    </w:p>
    <w:p w:rsidR="00CB5A76" w:rsidRDefault="00CB5A76" w:rsidP="006A692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38" w:hanging="284"/>
        <w:jc w:val="both"/>
        <w:rPr>
          <w:rFonts w:ascii="Cambria" w:hAnsi="Cambria"/>
          <w:color w:val="000000"/>
          <w:lang w:val="en-US"/>
        </w:rPr>
      </w:pPr>
      <w:r>
        <w:rPr>
          <w:rFonts w:ascii="Cambria" w:hAnsi="Cambria"/>
          <w:color w:val="000000"/>
          <w:lang w:val="en-US"/>
        </w:rPr>
        <w:t xml:space="preserve">d.  the </w:t>
      </w:r>
      <w:r w:rsidRPr="007453CF">
        <w:rPr>
          <w:rFonts w:ascii="Cambria" w:hAnsi="Cambria"/>
          <w:color w:val="000000"/>
          <w:lang w:val="en-US"/>
        </w:rPr>
        <w:t>s</w:t>
      </w:r>
      <w:r>
        <w:rPr>
          <w:rFonts w:ascii="Cambria" w:hAnsi="Cambria"/>
          <w:color w:val="000000"/>
          <w:lang w:val="en-US"/>
        </w:rPr>
        <w:t xml:space="preserve">trategies were successful in bringing about different levels of change </w:t>
      </w:r>
      <w:r w:rsidRPr="007453CF">
        <w:rPr>
          <w:rFonts w:ascii="Cambria" w:hAnsi="Cambria"/>
          <w:color w:val="000000"/>
          <w:lang w:val="en-US"/>
        </w:rPr>
        <w:t>e.g. empower women to take on new roles, changes in the norms and behaviors of the men and women beneficiaries that would lead to permanent changes in gender relations or the role and st</w:t>
      </w:r>
      <w:r>
        <w:rPr>
          <w:rFonts w:ascii="Cambria" w:hAnsi="Cambria"/>
          <w:color w:val="000000"/>
          <w:lang w:val="en-US"/>
        </w:rPr>
        <w:t>atus of women in the community;</w:t>
      </w:r>
    </w:p>
    <w:p w:rsidR="00CB5A76" w:rsidRPr="007453CF" w:rsidRDefault="00CB5A76" w:rsidP="006A692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38" w:hanging="284"/>
        <w:jc w:val="both"/>
        <w:rPr>
          <w:rFonts w:ascii="Cambria" w:hAnsi="Cambria"/>
          <w:color w:val="000000"/>
          <w:lang w:val="en-US"/>
        </w:rPr>
      </w:pPr>
      <w:r>
        <w:rPr>
          <w:rFonts w:ascii="Cambria" w:hAnsi="Cambria"/>
          <w:color w:val="000000"/>
          <w:lang w:val="en-US"/>
        </w:rPr>
        <w:t>e</w:t>
      </w:r>
      <w:r w:rsidRPr="007453CF">
        <w:rPr>
          <w:rFonts w:ascii="Cambria" w:hAnsi="Cambria"/>
          <w:color w:val="000000"/>
          <w:lang w:val="en-US"/>
        </w:rPr>
        <w:t xml:space="preserve">. </w:t>
      </w:r>
      <w:r>
        <w:rPr>
          <w:rFonts w:ascii="Cambria" w:hAnsi="Cambria"/>
          <w:color w:val="000000"/>
          <w:lang w:val="en-US"/>
        </w:rPr>
        <w:t xml:space="preserve"> </w:t>
      </w:r>
      <w:r w:rsidRPr="007453CF">
        <w:rPr>
          <w:rFonts w:ascii="Cambria" w:hAnsi="Cambria"/>
          <w:color w:val="000000"/>
          <w:lang w:val="en-US"/>
        </w:rPr>
        <w:t>activities</w:t>
      </w:r>
      <w:r>
        <w:rPr>
          <w:rFonts w:ascii="Cambria" w:hAnsi="Cambria"/>
          <w:color w:val="000000"/>
          <w:lang w:val="en-US"/>
        </w:rPr>
        <w:t xml:space="preserve"> we</w:t>
      </w:r>
      <w:r w:rsidRPr="007453CF">
        <w:rPr>
          <w:rFonts w:ascii="Cambria" w:hAnsi="Cambria"/>
          <w:color w:val="000000"/>
          <w:lang w:val="en-US"/>
        </w:rPr>
        <w:t>re implemented by staff who fully understand gender concepts and who address the barriers to access to services;</w:t>
      </w:r>
    </w:p>
    <w:p w:rsidR="00CB5A76" w:rsidRDefault="00CB5A76" w:rsidP="006A6921">
      <w:pPr>
        <w:widowControl w:val="0"/>
        <w:tabs>
          <w:tab w:val="left" w:pos="567"/>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338" w:hanging="284"/>
        <w:jc w:val="both"/>
        <w:rPr>
          <w:rFonts w:ascii="Cambria" w:hAnsi="Cambria"/>
          <w:color w:val="000000"/>
          <w:lang w:val="en-US"/>
        </w:rPr>
      </w:pPr>
      <w:r>
        <w:rPr>
          <w:rFonts w:ascii="Cambria" w:hAnsi="Cambria"/>
          <w:color w:val="000000"/>
          <w:lang w:val="en-US"/>
        </w:rPr>
        <w:t>f.  delivery of services wa</w:t>
      </w:r>
      <w:r w:rsidRPr="007453CF">
        <w:rPr>
          <w:rFonts w:ascii="Cambria" w:hAnsi="Cambria"/>
          <w:color w:val="000000"/>
          <w:lang w:val="en-US"/>
        </w:rPr>
        <w:t>s adequately supported by re</w:t>
      </w:r>
      <w:r>
        <w:rPr>
          <w:rFonts w:ascii="Cambria" w:hAnsi="Cambria"/>
          <w:color w:val="000000"/>
          <w:lang w:val="en-US"/>
        </w:rPr>
        <w:t>sources including budget which wa</w:t>
      </w:r>
      <w:r w:rsidRPr="007453CF">
        <w:rPr>
          <w:rFonts w:ascii="Cambria" w:hAnsi="Cambria"/>
          <w:color w:val="000000"/>
          <w:lang w:val="en-US"/>
        </w:rPr>
        <w:t>s responsive to the needs of both females and males;</w:t>
      </w:r>
      <w:r>
        <w:rPr>
          <w:rFonts w:ascii="Cambria" w:hAnsi="Cambria"/>
          <w:color w:val="000000"/>
          <w:lang w:val="en-US"/>
        </w:rPr>
        <w:t xml:space="preserve"> and</w:t>
      </w:r>
    </w:p>
    <w:p w:rsidR="00CB5A76" w:rsidRPr="007453CF" w:rsidRDefault="00CB5A76" w:rsidP="006A6921">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ight="-55" w:hanging="284"/>
        <w:jc w:val="both"/>
        <w:rPr>
          <w:rFonts w:ascii="Cambria" w:hAnsi="Cambria"/>
          <w:color w:val="000000"/>
          <w:lang w:val="en-US"/>
        </w:rPr>
      </w:pPr>
      <w:r>
        <w:rPr>
          <w:rFonts w:ascii="Cambria" w:hAnsi="Cambria"/>
          <w:color w:val="000000"/>
          <w:lang w:val="en-US"/>
        </w:rPr>
        <w:t>g.  monitoring</w:t>
      </w:r>
      <w:r w:rsidRPr="007453CF">
        <w:rPr>
          <w:rFonts w:ascii="Cambria" w:hAnsi="Cambria"/>
          <w:color w:val="000000"/>
          <w:lang w:val="en-US"/>
        </w:rPr>
        <w:t xml:space="preserve"> data sets, in particular sex disaggregated data, </w:t>
      </w:r>
      <w:r>
        <w:rPr>
          <w:rFonts w:ascii="Cambria" w:hAnsi="Cambria"/>
          <w:color w:val="000000"/>
          <w:lang w:val="en-US"/>
        </w:rPr>
        <w:t>we</w:t>
      </w:r>
      <w:r w:rsidRPr="007453CF">
        <w:rPr>
          <w:rFonts w:ascii="Cambria" w:hAnsi="Cambria"/>
          <w:color w:val="000000"/>
          <w:lang w:val="en-US"/>
        </w:rPr>
        <w:t>re available so that progress towards the gender development outcomes c</w:t>
      </w:r>
      <w:r>
        <w:rPr>
          <w:rFonts w:ascii="Cambria" w:hAnsi="Cambria"/>
          <w:color w:val="000000"/>
          <w:lang w:val="en-US"/>
        </w:rPr>
        <w:t>ould</w:t>
      </w:r>
      <w:r w:rsidRPr="007453CF">
        <w:rPr>
          <w:rFonts w:ascii="Cambria" w:hAnsi="Cambria"/>
          <w:color w:val="000000"/>
          <w:lang w:val="en-US"/>
        </w:rPr>
        <w:t xml:space="preserve"> be adequately monitored.</w:t>
      </w:r>
    </w:p>
    <w:p w:rsidR="00CB5A76" w:rsidRDefault="00CB5A76" w:rsidP="00F6349E">
      <w:pPr>
        <w:pStyle w:val="Bodytxt"/>
        <w:spacing w:after="0"/>
        <w:ind w:left="0" w:right="-480"/>
        <w:rPr>
          <w:rFonts w:ascii="Cambria" w:hAnsi="Cambria"/>
          <w:color w:val="000000"/>
          <w:sz w:val="24"/>
          <w:szCs w:val="21"/>
          <w:lang w:val="en-US"/>
        </w:rPr>
      </w:pPr>
    </w:p>
    <w:p w:rsidR="00CB5A76" w:rsidRPr="001A50F8" w:rsidRDefault="00CB5A76" w:rsidP="001A50F8">
      <w:pPr>
        <w:pStyle w:val="ListParagraph"/>
        <w:spacing w:after="0"/>
        <w:ind w:left="0"/>
        <w:jc w:val="both"/>
        <w:rPr>
          <w:iCs/>
          <w:lang w:val="en-AU"/>
        </w:rPr>
      </w:pPr>
      <w:r w:rsidRPr="001A50F8">
        <w:rPr>
          <w:color w:val="000000"/>
          <w:szCs w:val="21"/>
        </w:rPr>
        <w:t xml:space="preserve">The </w:t>
      </w:r>
      <w:proofErr w:type="spellStart"/>
      <w:r w:rsidRPr="001A50F8">
        <w:rPr>
          <w:color w:val="000000"/>
          <w:szCs w:val="21"/>
        </w:rPr>
        <w:t>ToRs</w:t>
      </w:r>
      <w:proofErr w:type="spellEnd"/>
      <w:r w:rsidRPr="001A50F8">
        <w:rPr>
          <w:color w:val="000000"/>
          <w:szCs w:val="21"/>
        </w:rPr>
        <w:t xml:space="preserve"> </w:t>
      </w:r>
      <w:r>
        <w:rPr>
          <w:lang w:val="en-AU"/>
        </w:rPr>
        <w:t>were largely developed in response</w:t>
      </w:r>
      <w:r w:rsidRPr="001A50F8">
        <w:rPr>
          <w:lang w:val="en-AU"/>
        </w:rPr>
        <w:t xml:space="preserve"> to the Review of the 2010 L</w:t>
      </w:r>
      <w:r>
        <w:rPr>
          <w:lang w:val="en-AU"/>
        </w:rPr>
        <w:t>ANGOCA</w:t>
      </w:r>
      <w:r w:rsidRPr="001A50F8">
        <w:rPr>
          <w:lang w:val="en-AU"/>
        </w:rPr>
        <w:t xml:space="preserve"> Annual Evaluation Process </w:t>
      </w:r>
      <w:r>
        <w:rPr>
          <w:lang w:val="en-AU"/>
        </w:rPr>
        <w:t xml:space="preserve">conducted </w:t>
      </w:r>
      <w:r w:rsidRPr="001A50F8">
        <w:rPr>
          <w:lang w:val="en-AU"/>
        </w:rPr>
        <w:t>by David Farrow</w:t>
      </w:r>
      <w:r>
        <w:rPr>
          <w:i/>
          <w:iCs/>
          <w:lang w:val="en-AU"/>
        </w:rPr>
        <w:t xml:space="preserve">. </w:t>
      </w:r>
      <w:r>
        <w:rPr>
          <w:iCs/>
          <w:lang w:val="en-AU"/>
        </w:rPr>
        <w:t>The recommendations included;</w:t>
      </w:r>
    </w:p>
    <w:p w:rsidR="00CB5A76" w:rsidRDefault="00CB5A76" w:rsidP="001A50F8">
      <w:pPr>
        <w:pStyle w:val="ListParagraph"/>
        <w:spacing w:after="0"/>
        <w:ind w:left="0"/>
        <w:jc w:val="both"/>
        <w:rPr>
          <w:lang w:val="en-AU"/>
        </w:rPr>
      </w:pPr>
    </w:p>
    <w:p w:rsidR="00CB5A76" w:rsidRPr="001A50F8" w:rsidRDefault="00CB5A76" w:rsidP="006A6921">
      <w:pPr>
        <w:pStyle w:val="ListParagraph"/>
        <w:spacing w:after="0"/>
        <w:ind w:left="284" w:right="-196"/>
        <w:jc w:val="both"/>
        <w:rPr>
          <w:i/>
          <w:lang w:val="en-AU"/>
        </w:rPr>
      </w:pPr>
      <w:r w:rsidRPr="001A50F8">
        <w:rPr>
          <w:i/>
          <w:lang w:val="en-AU"/>
        </w:rPr>
        <w:t>“Gender and women</w:t>
      </w:r>
      <w:r>
        <w:rPr>
          <w:i/>
          <w:lang w:val="en-AU"/>
        </w:rPr>
        <w:t>’s</w:t>
      </w:r>
      <w:r w:rsidRPr="001A50F8">
        <w:rPr>
          <w:i/>
          <w:lang w:val="en-AU"/>
        </w:rPr>
        <w:t xml:space="preserve"> issues should be addressed at multiple levels: Reducing women’s workload should continue but it would be followed up with a rights based approach which attempts to make changes to gender rel</w:t>
      </w:r>
      <w:r>
        <w:rPr>
          <w:i/>
          <w:lang w:val="en-AU"/>
        </w:rPr>
        <w:t>ated power and decision making.….</w:t>
      </w:r>
      <w:r w:rsidRPr="001A50F8">
        <w:rPr>
          <w:i/>
          <w:lang w:val="en-AU"/>
        </w:rPr>
        <w:t xml:space="preserve"> To address gender related issues the project should use tools such as: Women’s Empowerment Framework, Gender Analysis Matrix or Social Relation Approach. The results should reveal structural reasons for women’s disempowerment and give staff an alternative view on gender and support gender aware activity design.”</w:t>
      </w:r>
    </w:p>
    <w:p w:rsidR="00CB5A76" w:rsidRDefault="00CB5A76" w:rsidP="00F6349E">
      <w:pPr>
        <w:pStyle w:val="Bodytxt"/>
        <w:spacing w:after="0"/>
        <w:ind w:left="0" w:right="-480"/>
        <w:rPr>
          <w:rFonts w:ascii="Cambria" w:hAnsi="Cambria"/>
          <w:color w:val="000000"/>
          <w:sz w:val="24"/>
          <w:szCs w:val="21"/>
          <w:lang w:val="en-US"/>
        </w:rPr>
      </w:pPr>
    </w:p>
    <w:p w:rsidR="00CB5A76" w:rsidRDefault="00CB5A76" w:rsidP="001A50F8">
      <w:pPr>
        <w:pStyle w:val="Bodytxt"/>
        <w:spacing w:after="0"/>
        <w:ind w:left="0" w:right="-480"/>
        <w:rPr>
          <w:rFonts w:ascii="Cambria" w:hAnsi="Cambria"/>
          <w:color w:val="000000"/>
          <w:sz w:val="24"/>
          <w:szCs w:val="21"/>
          <w:lang w:val="en-US"/>
        </w:rPr>
      </w:pPr>
      <w:r>
        <w:rPr>
          <w:rFonts w:ascii="Cambria" w:hAnsi="Cambria"/>
          <w:color w:val="000000"/>
          <w:sz w:val="24"/>
          <w:szCs w:val="21"/>
          <w:lang w:val="en-US"/>
        </w:rPr>
        <w:t>In addition, the gender specialists reviewed whether the additional ‘cross-cutting’ issues of disability and small ethnic group inclusion were adequately addressed using the same framework of objectives above.</w:t>
      </w:r>
    </w:p>
    <w:p w:rsidR="00CB5A76" w:rsidRDefault="00CB5A76" w:rsidP="001A50F8">
      <w:pPr>
        <w:pStyle w:val="Bodytxt"/>
        <w:ind w:left="0" w:right="-480"/>
        <w:rPr>
          <w:lang w:val="en-GB"/>
        </w:rPr>
      </w:pPr>
    </w:p>
    <w:p w:rsidR="00CB5A76" w:rsidRDefault="00CB5A76" w:rsidP="00F6349E">
      <w:pPr>
        <w:pStyle w:val="Heading30"/>
        <w:numPr>
          <w:ilvl w:val="1"/>
          <w:numId w:val="7"/>
        </w:numPr>
        <w:ind w:right="-480"/>
      </w:pPr>
      <w:bookmarkStart w:id="17" w:name="_Toc168812981"/>
      <w:r>
        <w:t>Scope &amp; Methods</w:t>
      </w:r>
      <w:bookmarkEnd w:id="17"/>
    </w:p>
    <w:p w:rsidR="00CB5A76" w:rsidRDefault="00CB5A76" w:rsidP="00F6349E">
      <w:pPr>
        <w:pStyle w:val="Bodytxt"/>
        <w:ind w:left="0" w:right="-480"/>
        <w:rPr>
          <w:rFonts w:ascii="Cambria" w:hAnsi="Cambria"/>
          <w:sz w:val="24"/>
          <w:lang w:val="en-GB"/>
        </w:rPr>
      </w:pPr>
      <w:r w:rsidRPr="00CC7FFA">
        <w:rPr>
          <w:rFonts w:ascii="Cambria" w:hAnsi="Cambria"/>
          <w:sz w:val="24"/>
          <w:lang w:val="en-GB"/>
        </w:rPr>
        <w:t xml:space="preserve">The </w:t>
      </w:r>
      <w:r>
        <w:rPr>
          <w:rFonts w:ascii="Cambria" w:hAnsi="Cambria"/>
          <w:sz w:val="24"/>
          <w:lang w:val="en-GB"/>
        </w:rPr>
        <w:t>review</w:t>
      </w:r>
      <w:r w:rsidRPr="00CC7FFA">
        <w:rPr>
          <w:rFonts w:ascii="Cambria" w:hAnsi="Cambria"/>
          <w:sz w:val="24"/>
          <w:lang w:val="en-GB"/>
        </w:rPr>
        <w:t xml:space="preserve"> team comprised </w:t>
      </w:r>
      <w:r>
        <w:rPr>
          <w:rFonts w:ascii="Cambria" w:hAnsi="Cambria"/>
          <w:sz w:val="24"/>
          <w:lang w:val="en-GB"/>
        </w:rPr>
        <w:t xml:space="preserve">5 people including the team leader, Dr Paul Crawford, an ACFID representative, Philippa </w:t>
      </w:r>
      <w:proofErr w:type="spellStart"/>
      <w:r>
        <w:rPr>
          <w:rFonts w:ascii="Cambria" w:hAnsi="Cambria"/>
          <w:sz w:val="24"/>
          <w:lang w:val="en-GB"/>
        </w:rPr>
        <w:t>Sackett</w:t>
      </w:r>
      <w:proofErr w:type="spellEnd"/>
      <w:r>
        <w:rPr>
          <w:rFonts w:ascii="Cambria" w:hAnsi="Cambria"/>
          <w:sz w:val="24"/>
          <w:lang w:val="en-GB"/>
        </w:rPr>
        <w:t xml:space="preserve">, an AusAID </w:t>
      </w:r>
      <w:r w:rsidRPr="00523D7C">
        <w:rPr>
          <w:rFonts w:ascii="Cambria" w:hAnsi="Cambria"/>
          <w:sz w:val="24"/>
          <w:lang w:val="en-GB"/>
        </w:rPr>
        <w:t>Canberra</w:t>
      </w:r>
      <w:r>
        <w:rPr>
          <w:rFonts w:ascii="Cambria" w:hAnsi="Cambria"/>
          <w:sz w:val="24"/>
          <w:lang w:val="en-GB"/>
        </w:rPr>
        <w:t xml:space="preserve"> representative</w:t>
      </w:r>
      <w:r w:rsidRPr="00523D7C">
        <w:rPr>
          <w:rFonts w:ascii="Cambria" w:hAnsi="Cambria"/>
          <w:sz w:val="24"/>
          <w:lang w:val="en-GB"/>
        </w:rPr>
        <w:t>, Sophie Davies and 2 gender specialists,</w:t>
      </w:r>
      <w:r>
        <w:rPr>
          <w:rFonts w:ascii="Cambria" w:hAnsi="Cambria"/>
          <w:sz w:val="24"/>
          <w:lang w:val="en-GB"/>
        </w:rPr>
        <w:t xml:space="preserve"> </w:t>
      </w:r>
      <w:r w:rsidRPr="00BA10E9">
        <w:rPr>
          <w:rFonts w:ascii="Cambria" w:hAnsi="Cambria"/>
          <w:sz w:val="24"/>
          <w:lang w:val="en-GB"/>
        </w:rPr>
        <w:t xml:space="preserve">Belinda </w:t>
      </w:r>
      <w:proofErr w:type="spellStart"/>
      <w:r w:rsidRPr="00BA10E9">
        <w:rPr>
          <w:rFonts w:ascii="Cambria" w:hAnsi="Cambria"/>
          <w:sz w:val="24"/>
          <w:lang w:val="en-GB"/>
        </w:rPr>
        <w:t>Mericourt</w:t>
      </w:r>
      <w:proofErr w:type="spellEnd"/>
      <w:r w:rsidRPr="00BA10E9">
        <w:rPr>
          <w:rFonts w:ascii="Cambria" w:hAnsi="Cambria"/>
          <w:sz w:val="24"/>
          <w:lang w:val="en-GB"/>
        </w:rPr>
        <w:t xml:space="preserve"> and </w:t>
      </w:r>
      <w:proofErr w:type="spellStart"/>
      <w:r w:rsidRPr="00BA10E9">
        <w:rPr>
          <w:rFonts w:ascii="Cambria" w:hAnsi="Cambria"/>
          <w:sz w:val="24"/>
          <w:lang w:val="en-PH"/>
        </w:rPr>
        <w:t>Somsisouk</w:t>
      </w:r>
      <w:proofErr w:type="spellEnd"/>
      <w:r w:rsidRPr="00BA10E9">
        <w:rPr>
          <w:rFonts w:ascii="Cambria" w:hAnsi="Cambria"/>
          <w:sz w:val="24"/>
          <w:lang w:val="en-PH"/>
        </w:rPr>
        <w:t xml:space="preserve"> </w:t>
      </w:r>
      <w:r w:rsidRPr="00BA10E9">
        <w:rPr>
          <w:rFonts w:ascii="Cambria" w:hAnsi="Cambria" w:cs="Calibri"/>
          <w:sz w:val="24"/>
          <w:szCs w:val="22"/>
        </w:rPr>
        <w:t>Inthavong-</w:t>
      </w:r>
      <w:proofErr w:type="spellStart"/>
      <w:r w:rsidRPr="00BA10E9">
        <w:rPr>
          <w:rFonts w:ascii="Cambria" w:hAnsi="Cambria" w:cs="Calibri"/>
          <w:sz w:val="24"/>
          <w:szCs w:val="22"/>
        </w:rPr>
        <w:t>Sihachakr</w:t>
      </w:r>
      <w:proofErr w:type="spellEnd"/>
      <w:r w:rsidRPr="00BA10E9">
        <w:rPr>
          <w:rFonts w:ascii="Cambria" w:hAnsi="Cambria"/>
          <w:sz w:val="24"/>
          <w:lang w:val="en-PH"/>
        </w:rPr>
        <w:t>.</w:t>
      </w:r>
      <w:r w:rsidRPr="00BA10E9">
        <w:rPr>
          <w:lang w:val="en-PH"/>
        </w:rPr>
        <w:t xml:space="preserve"> All</w:t>
      </w:r>
      <w:r>
        <w:rPr>
          <w:rFonts w:ascii="Cambria" w:hAnsi="Cambria"/>
          <w:sz w:val="24"/>
          <w:lang w:val="en-PH"/>
        </w:rPr>
        <w:t xml:space="preserve"> members of the review team conducted a desk review of documents including program design documents, six month progress and annual review reports, reports from the review of the Annual Evaluation Process and other relevant documents.</w:t>
      </w:r>
      <w:r>
        <w:rPr>
          <w:rStyle w:val="FootnoteReference"/>
          <w:rFonts w:ascii="Cambria" w:hAnsi="Cambria" w:cs="Arial"/>
          <w:sz w:val="24"/>
          <w:lang w:val="en-PH"/>
        </w:rPr>
        <w:footnoteReference w:id="7"/>
      </w:r>
      <w:r>
        <w:rPr>
          <w:rFonts w:ascii="Cambria" w:hAnsi="Cambria"/>
          <w:sz w:val="24"/>
          <w:lang w:val="en-PH"/>
        </w:rPr>
        <w:t xml:space="preserve"> Interviews were conducted in Laos with NGO managers and project implementation staff, </w:t>
      </w:r>
      <w:proofErr w:type="spellStart"/>
      <w:r>
        <w:rPr>
          <w:rFonts w:ascii="Cambria" w:hAnsi="Cambria"/>
          <w:sz w:val="24"/>
          <w:lang w:val="en-PH"/>
        </w:rPr>
        <w:t>GoL</w:t>
      </w:r>
      <w:proofErr w:type="spellEnd"/>
      <w:r>
        <w:rPr>
          <w:rFonts w:ascii="Cambria" w:hAnsi="Cambria"/>
          <w:sz w:val="24"/>
          <w:lang w:val="en-PH"/>
        </w:rPr>
        <w:t xml:space="preserve"> partners, </w:t>
      </w:r>
      <w:r w:rsidRPr="00CC7FFA">
        <w:rPr>
          <w:rFonts w:ascii="Cambria" w:hAnsi="Cambria"/>
          <w:sz w:val="24"/>
          <w:lang w:val="en-GB"/>
        </w:rPr>
        <w:t>beneficiaries and relevant third parties.</w:t>
      </w:r>
    </w:p>
    <w:p w:rsidR="00CB5A76" w:rsidRPr="0068628E" w:rsidRDefault="00CB5A76" w:rsidP="00F6349E">
      <w:pPr>
        <w:pStyle w:val="Bodytxt"/>
        <w:ind w:left="0" w:right="-480"/>
        <w:rPr>
          <w:lang w:val="en-PH"/>
        </w:rPr>
      </w:pPr>
    </w:p>
    <w:p w:rsidR="00CB5A76" w:rsidRDefault="00CB5A76" w:rsidP="00F6349E">
      <w:pPr>
        <w:pStyle w:val="Heading30"/>
        <w:numPr>
          <w:ilvl w:val="1"/>
          <w:numId w:val="7"/>
        </w:numPr>
        <w:ind w:right="-480"/>
      </w:pPr>
      <w:bookmarkStart w:id="18" w:name="_Toc168812982"/>
      <w:r>
        <w:t>Limitations</w:t>
      </w:r>
      <w:bookmarkEnd w:id="18"/>
    </w:p>
    <w:p w:rsidR="00CB5A76" w:rsidRDefault="00CB5A76" w:rsidP="00F6349E">
      <w:pPr>
        <w:pStyle w:val="Bodytxt"/>
        <w:ind w:left="0" w:right="-480"/>
        <w:rPr>
          <w:rFonts w:ascii="Cambria" w:hAnsi="Cambria"/>
          <w:sz w:val="24"/>
          <w:lang w:val="en-GB"/>
        </w:rPr>
      </w:pPr>
      <w:r w:rsidRPr="0083769E">
        <w:rPr>
          <w:rFonts w:ascii="Cambria" w:hAnsi="Cambria"/>
          <w:sz w:val="24"/>
          <w:lang w:val="en-GB"/>
        </w:rPr>
        <w:t xml:space="preserve">The </w:t>
      </w:r>
      <w:r>
        <w:rPr>
          <w:rFonts w:ascii="Cambria" w:hAnsi="Cambria"/>
          <w:sz w:val="24"/>
          <w:lang w:val="en-GB"/>
        </w:rPr>
        <w:t xml:space="preserve">interviews in Laos were conducted over an 8 day period which significantly restricted the capacity to observe projects which are being undertaken in a total of 150 villages in 4 provinces. Discussions with beneficiaries were limited to a total of 10 villages. The review team was divided into 2 teams. One team travelled to the CARE project in 3 villages in </w:t>
      </w:r>
      <w:proofErr w:type="spellStart"/>
      <w:r>
        <w:rPr>
          <w:rFonts w:ascii="Cambria" w:hAnsi="Cambria"/>
          <w:sz w:val="24"/>
          <w:lang w:val="en-GB"/>
        </w:rPr>
        <w:t>Sekong</w:t>
      </w:r>
      <w:proofErr w:type="spellEnd"/>
      <w:r>
        <w:rPr>
          <w:rFonts w:ascii="Cambria" w:hAnsi="Cambria"/>
          <w:sz w:val="24"/>
          <w:lang w:val="en-GB"/>
        </w:rPr>
        <w:t xml:space="preserve"> district and the Oxfam project in 3 villages in </w:t>
      </w:r>
      <w:proofErr w:type="spellStart"/>
      <w:r>
        <w:rPr>
          <w:rFonts w:ascii="Cambria" w:hAnsi="Cambria"/>
          <w:sz w:val="24"/>
          <w:lang w:val="en-GB"/>
        </w:rPr>
        <w:t>Saravane</w:t>
      </w:r>
      <w:proofErr w:type="spellEnd"/>
      <w:r>
        <w:rPr>
          <w:rFonts w:ascii="Cambria" w:hAnsi="Cambria"/>
          <w:sz w:val="24"/>
          <w:lang w:val="en-GB"/>
        </w:rPr>
        <w:t xml:space="preserve"> district. The other team travelled to the Save the Children project in 2 villages in </w:t>
      </w:r>
      <w:proofErr w:type="spellStart"/>
      <w:r>
        <w:rPr>
          <w:rFonts w:ascii="Cambria" w:hAnsi="Cambria"/>
          <w:sz w:val="24"/>
          <w:lang w:val="en-GB"/>
        </w:rPr>
        <w:t>Sayabouly</w:t>
      </w:r>
      <w:proofErr w:type="spellEnd"/>
      <w:r>
        <w:rPr>
          <w:rFonts w:ascii="Cambria" w:hAnsi="Cambria"/>
          <w:sz w:val="24"/>
          <w:lang w:val="en-GB"/>
        </w:rPr>
        <w:t xml:space="preserve"> and </w:t>
      </w:r>
      <w:proofErr w:type="spellStart"/>
      <w:r>
        <w:rPr>
          <w:rFonts w:ascii="Cambria" w:hAnsi="Cambria"/>
          <w:sz w:val="24"/>
          <w:lang w:val="en-GB"/>
        </w:rPr>
        <w:t>Xieng</w:t>
      </w:r>
      <w:proofErr w:type="spellEnd"/>
      <w:r>
        <w:rPr>
          <w:rFonts w:ascii="Cambria" w:hAnsi="Cambria"/>
          <w:sz w:val="24"/>
          <w:lang w:val="en-GB"/>
        </w:rPr>
        <w:t xml:space="preserve"> Hone districts and one of the two World Vision projects in 2 villages in </w:t>
      </w:r>
      <w:proofErr w:type="spellStart"/>
      <w:r>
        <w:rPr>
          <w:rFonts w:ascii="Cambria" w:hAnsi="Cambria"/>
          <w:sz w:val="24"/>
          <w:lang w:val="en-GB"/>
        </w:rPr>
        <w:t>Mahaxay</w:t>
      </w:r>
      <w:proofErr w:type="spellEnd"/>
      <w:r>
        <w:rPr>
          <w:rFonts w:ascii="Cambria" w:hAnsi="Cambria"/>
          <w:sz w:val="24"/>
          <w:lang w:val="en-GB"/>
        </w:rPr>
        <w:t xml:space="preserve"> district. Teams then had one and a half days together to collate information and evaluate the program as a whole. </w:t>
      </w:r>
    </w:p>
    <w:p w:rsidR="00CB5A76" w:rsidRDefault="00CB5A76" w:rsidP="00F6349E">
      <w:pPr>
        <w:pStyle w:val="Bodytxt"/>
        <w:ind w:left="0" w:right="-480"/>
        <w:rPr>
          <w:rFonts w:ascii="Cambria" w:hAnsi="Cambria"/>
          <w:sz w:val="24"/>
          <w:lang w:val="en-GB"/>
        </w:rPr>
      </w:pPr>
      <w:r>
        <w:rPr>
          <w:rFonts w:ascii="Cambria" w:hAnsi="Cambria"/>
          <w:sz w:val="24"/>
          <w:lang w:val="en-GB"/>
        </w:rPr>
        <w:t>Consequently there were methodological challenges in standardising the data collection methods, whilst maintaining flexibility and interpreting the findings. The rating given to gender and cross-cutting issues required by AusAID against established criteria relied on the imperfect professional judgements of the team.</w:t>
      </w:r>
    </w:p>
    <w:p w:rsidR="00CB5A76" w:rsidRDefault="00CB5A76" w:rsidP="00F6349E">
      <w:pPr>
        <w:pStyle w:val="Bodytxt"/>
        <w:ind w:left="0" w:right="-480"/>
        <w:rPr>
          <w:rFonts w:ascii="Cambria" w:hAnsi="Cambria"/>
          <w:sz w:val="24"/>
          <w:lang w:val="en-GB"/>
        </w:rPr>
      </w:pPr>
      <w:r>
        <w:rPr>
          <w:rFonts w:ascii="Cambria" w:hAnsi="Cambria"/>
          <w:sz w:val="24"/>
          <w:lang w:val="en-GB"/>
        </w:rPr>
        <w:t xml:space="preserve">The NGOs selected the villages for the teams to visit on the basis of distance and accessibility (as it was the start of the rainy season). This is not ideal as there is a tendency to “show-case” what is working most effectively and indeed one village had been visited recently by the AusAID head of agency.  </w:t>
      </w:r>
    </w:p>
    <w:p w:rsidR="00CB5A76" w:rsidRDefault="00CB5A76" w:rsidP="00F6349E">
      <w:pPr>
        <w:pStyle w:val="Bodytxt"/>
        <w:ind w:left="0" w:right="-480"/>
        <w:rPr>
          <w:rFonts w:ascii="Cambria" w:hAnsi="Cambria"/>
          <w:sz w:val="24"/>
          <w:lang w:val="en-GB"/>
        </w:rPr>
      </w:pPr>
      <w:r>
        <w:rPr>
          <w:rFonts w:ascii="Cambria" w:hAnsi="Cambria"/>
          <w:sz w:val="24"/>
          <w:lang w:val="en-GB"/>
        </w:rPr>
        <w:t>Usually women beneficiaries were interviewed in small focus groups where at all possible. However, due to rain and lack of covered locations some of these focus groups were conducted in circumstances which made participation difficult.</w:t>
      </w:r>
    </w:p>
    <w:p w:rsidR="00CB5A76" w:rsidRDefault="00CB5A76" w:rsidP="00F6349E">
      <w:pPr>
        <w:pStyle w:val="Bodytxt"/>
        <w:ind w:left="0" w:right="-480"/>
        <w:rPr>
          <w:rFonts w:ascii="Cambria" w:hAnsi="Cambria"/>
          <w:sz w:val="24"/>
          <w:lang w:val="en-GB"/>
        </w:rPr>
      </w:pPr>
      <w:r>
        <w:rPr>
          <w:rFonts w:ascii="Cambria" w:hAnsi="Cambria"/>
          <w:sz w:val="24"/>
          <w:lang w:val="en-GB"/>
        </w:rPr>
        <w:t xml:space="preserve">Finally, interpreters were usually NGO project staff, or in the case of small ethnic groups, LWU members. The review team acknowledge that project staff were not professional interpreters but also noted on occasion interpreting was problematic when staff reframed questions because they were “not understood” and/or answers because they were not “right”. </w:t>
      </w:r>
    </w:p>
    <w:p w:rsidR="00CB5A76" w:rsidRDefault="00CB5A76" w:rsidP="00F6349E">
      <w:pPr>
        <w:pStyle w:val="Bodytxt"/>
        <w:ind w:left="0" w:right="-480"/>
        <w:rPr>
          <w:rFonts w:ascii="Cambria" w:hAnsi="Cambria"/>
          <w:sz w:val="24"/>
          <w:lang w:val="en-GB"/>
        </w:rPr>
      </w:pPr>
      <w:r>
        <w:rPr>
          <w:rFonts w:ascii="Cambria" w:hAnsi="Cambria"/>
          <w:sz w:val="24"/>
          <w:lang w:val="en-GB"/>
        </w:rPr>
        <w:t xml:space="preserve">Notwithstanding </w:t>
      </w:r>
      <w:proofErr w:type="spellStart"/>
      <w:r>
        <w:rPr>
          <w:rFonts w:ascii="Cambria" w:hAnsi="Cambria"/>
          <w:sz w:val="24"/>
          <w:lang w:val="en-GB"/>
        </w:rPr>
        <w:t>theses</w:t>
      </w:r>
      <w:proofErr w:type="spellEnd"/>
      <w:r>
        <w:rPr>
          <w:rFonts w:ascii="Cambria" w:hAnsi="Cambria"/>
          <w:sz w:val="24"/>
          <w:lang w:val="en-GB"/>
        </w:rPr>
        <w:t xml:space="preserve"> limitations, the interviews and document analyses provided valuable insights. The efficacy of the evaluation methods was assured by triangulating perspectives of multiple stakeholders and by internal discussions within the review team. </w:t>
      </w:r>
    </w:p>
    <w:p w:rsidR="00CB5A76" w:rsidRPr="0083769E" w:rsidRDefault="00CB5A76" w:rsidP="00F6349E">
      <w:pPr>
        <w:pStyle w:val="Bodytxt"/>
        <w:ind w:left="0" w:right="-480"/>
        <w:rPr>
          <w:rFonts w:ascii="Cambria" w:hAnsi="Cambria"/>
          <w:sz w:val="24"/>
          <w:lang w:val="en-GB"/>
        </w:rPr>
      </w:pPr>
    </w:p>
    <w:p w:rsidR="00CB5A76" w:rsidRDefault="00CB5A76" w:rsidP="00F6349E">
      <w:pPr>
        <w:pStyle w:val="Heading2"/>
        <w:numPr>
          <w:ilvl w:val="0"/>
          <w:numId w:val="1"/>
        </w:numPr>
        <w:ind w:right="-480"/>
        <w:rPr>
          <w:lang w:val="en-GB"/>
        </w:rPr>
      </w:pPr>
      <w:bookmarkStart w:id="19" w:name="_Toc168812983"/>
      <w:r>
        <w:rPr>
          <w:lang w:val="en-GB"/>
        </w:rPr>
        <w:t>Findings</w:t>
      </w:r>
      <w:bookmarkEnd w:id="19"/>
    </w:p>
    <w:p w:rsidR="00CB5A76" w:rsidRPr="00F6349E" w:rsidRDefault="00CB5A76" w:rsidP="00F6349E">
      <w:pPr>
        <w:pStyle w:val="Heading30"/>
        <w:numPr>
          <w:ilvl w:val="1"/>
          <w:numId w:val="8"/>
        </w:numPr>
        <w:ind w:right="-480"/>
        <w:rPr>
          <w:lang w:val="en-AU"/>
        </w:rPr>
      </w:pPr>
      <w:bookmarkStart w:id="20" w:name="_Toc168812984"/>
      <w:r>
        <w:rPr>
          <w:lang w:val="en-AU"/>
        </w:rPr>
        <w:t>Development of gender and inclusion policies and strateg</w:t>
      </w:r>
      <w:bookmarkEnd w:id="20"/>
      <w:r>
        <w:rPr>
          <w:lang w:val="en-AU"/>
        </w:rPr>
        <w:t>ies in program and project designs</w:t>
      </w:r>
    </w:p>
    <w:p w:rsidR="00CB5A76" w:rsidRDefault="00CB5A76" w:rsidP="00EB4833">
      <w:pPr>
        <w:pStyle w:val="Bodytxt"/>
        <w:ind w:left="0" w:right="-480"/>
        <w:rPr>
          <w:rFonts w:ascii="Cambria" w:hAnsi="Cambria"/>
          <w:sz w:val="24"/>
        </w:rPr>
      </w:pPr>
      <w:r>
        <w:rPr>
          <w:rFonts w:ascii="Cambria" w:hAnsi="Cambria"/>
          <w:sz w:val="24"/>
        </w:rPr>
        <w:t xml:space="preserve">The LANGOCA program design document did not have an explicit gender analysis integrated into the general program analysis or lessons learned other than stating that integration of cross-cutting issues of gender, ethnicity, HIV/AIDS and environment was important. However, the program achievements were to be </w:t>
      </w:r>
      <w:r w:rsidRPr="003C4674">
        <w:rPr>
          <w:rFonts w:ascii="Cambria" w:hAnsi="Cambria"/>
          <w:i/>
          <w:sz w:val="24"/>
        </w:rPr>
        <w:t>“assessed in terms of effectiveness of integrating cross-cutting issues into disaster management and UXO approaches in the LANGOCA program</w:t>
      </w:r>
      <w:r>
        <w:rPr>
          <w:rFonts w:ascii="Cambria" w:hAnsi="Cambria"/>
          <w:sz w:val="24"/>
        </w:rPr>
        <w:t xml:space="preserve">.” The </w:t>
      </w:r>
      <w:proofErr w:type="spellStart"/>
      <w:r>
        <w:rPr>
          <w:rFonts w:ascii="Cambria" w:hAnsi="Cambria"/>
          <w:sz w:val="24"/>
        </w:rPr>
        <w:t>logframe</w:t>
      </w:r>
      <w:proofErr w:type="spellEnd"/>
      <w:r>
        <w:rPr>
          <w:rFonts w:ascii="Cambria" w:hAnsi="Cambria"/>
          <w:sz w:val="24"/>
        </w:rPr>
        <w:t xml:space="preserve"> identified Component 3: Program Development Output 3.2 as “</w:t>
      </w:r>
      <w:r w:rsidRPr="003C4674">
        <w:rPr>
          <w:rFonts w:ascii="Cambria" w:hAnsi="Cambria"/>
          <w:i/>
          <w:sz w:val="24"/>
        </w:rPr>
        <w:t>Best practice applied within LANGOCA on the inte</w:t>
      </w:r>
      <w:r>
        <w:rPr>
          <w:rFonts w:ascii="Cambria" w:hAnsi="Cambria"/>
          <w:i/>
          <w:sz w:val="24"/>
        </w:rPr>
        <w:t>gration of cross-cutting issues</w:t>
      </w:r>
      <w:r w:rsidRPr="003C4674">
        <w:rPr>
          <w:rFonts w:ascii="Cambria" w:hAnsi="Cambria"/>
          <w:i/>
          <w:sz w:val="24"/>
        </w:rPr>
        <w:t xml:space="preserve"> in disaster</w:t>
      </w:r>
      <w:r>
        <w:rPr>
          <w:rFonts w:ascii="Cambria" w:hAnsi="Cambria"/>
          <w:i/>
          <w:sz w:val="24"/>
        </w:rPr>
        <w:t xml:space="preserve"> management and UXO activities”. </w:t>
      </w:r>
      <w:r>
        <w:rPr>
          <w:rFonts w:ascii="Cambria" w:hAnsi="Cambria"/>
          <w:sz w:val="24"/>
        </w:rPr>
        <w:t>Assistance could be requested from unallocated funds for advice or training for this component. The Activity performance monitoring and evaluation framework required disaggregated data on cross-cutting issues of gender, ethnicity, environment and HIV/AIDs “as appropriate”.</w:t>
      </w:r>
    </w:p>
    <w:p w:rsidR="00CB5A76" w:rsidRPr="00EB4833" w:rsidRDefault="00CB5A76" w:rsidP="00EB4833">
      <w:pPr>
        <w:pStyle w:val="Bodytxt"/>
        <w:numPr>
          <w:ilvl w:val="2"/>
          <w:numId w:val="8"/>
        </w:numPr>
        <w:ind w:right="-480"/>
        <w:rPr>
          <w:rFonts w:ascii="Cambria" w:hAnsi="Cambria" w:cs="Times New Roman"/>
          <w:b/>
          <w:color w:val="548DD4"/>
          <w:sz w:val="24"/>
        </w:rPr>
      </w:pPr>
      <w:r>
        <w:rPr>
          <w:rFonts w:ascii="Cambria" w:hAnsi="Cambria" w:cs="Times New Roman"/>
          <w:b/>
          <w:color w:val="548DD4"/>
          <w:sz w:val="24"/>
        </w:rPr>
        <w:t xml:space="preserve">NGO </w:t>
      </w:r>
      <w:r w:rsidRPr="00EB4833">
        <w:rPr>
          <w:rFonts w:ascii="Cambria" w:hAnsi="Cambria" w:cs="Times New Roman"/>
          <w:b/>
          <w:color w:val="548DD4"/>
          <w:sz w:val="24"/>
        </w:rPr>
        <w:t>Gender policies and strategies</w:t>
      </w:r>
    </w:p>
    <w:p w:rsidR="00CB5A76" w:rsidRDefault="00CB5A76" w:rsidP="00F6349E">
      <w:pPr>
        <w:pStyle w:val="Bodytxt"/>
        <w:ind w:left="0" w:right="-480"/>
        <w:rPr>
          <w:rFonts w:ascii="Cambria" w:hAnsi="Cambria"/>
          <w:sz w:val="24"/>
        </w:rPr>
      </w:pPr>
      <w:r w:rsidRPr="00F6349E">
        <w:rPr>
          <w:rFonts w:ascii="Cambria" w:hAnsi="Cambria"/>
          <w:sz w:val="24"/>
        </w:rPr>
        <w:t xml:space="preserve">Whilst all </w:t>
      </w:r>
      <w:r>
        <w:rPr>
          <w:rFonts w:ascii="Cambria" w:hAnsi="Cambria"/>
          <w:sz w:val="24"/>
        </w:rPr>
        <w:t xml:space="preserve">four </w:t>
      </w:r>
      <w:r w:rsidRPr="00F6349E">
        <w:rPr>
          <w:rFonts w:ascii="Cambria" w:hAnsi="Cambria"/>
          <w:sz w:val="24"/>
        </w:rPr>
        <w:t xml:space="preserve">NGOs were developing a Lao-specific gender strategy only CARE and WV were able to make draft versions available to the </w:t>
      </w:r>
      <w:r>
        <w:rPr>
          <w:rFonts w:ascii="Cambria" w:hAnsi="Cambria"/>
          <w:sz w:val="24"/>
        </w:rPr>
        <w:t xml:space="preserve">review team. Oxfam and SCA Lao </w:t>
      </w:r>
      <w:r w:rsidRPr="00F6349E">
        <w:rPr>
          <w:rFonts w:ascii="Cambria" w:hAnsi="Cambria"/>
          <w:sz w:val="24"/>
        </w:rPr>
        <w:t xml:space="preserve">specific strategies were still under development. </w:t>
      </w:r>
      <w:r>
        <w:rPr>
          <w:rFonts w:ascii="Cambria" w:hAnsi="Cambria"/>
          <w:sz w:val="24"/>
        </w:rPr>
        <w:t xml:space="preserve">None of the Lao specific strategies were in place at the time of the project designs although all NGOs could refer to their organisation and AusAID gender policies. </w:t>
      </w:r>
      <w:r w:rsidRPr="00F6349E">
        <w:rPr>
          <w:rFonts w:ascii="Cambria" w:hAnsi="Cambria"/>
          <w:sz w:val="24"/>
        </w:rPr>
        <w:t>The NGOs</w:t>
      </w:r>
      <w:r>
        <w:rPr>
          <w:rFonts w:ascii="Cambria" w:hAnsi="Cambria"/>
          <w:sz w:val="24"/>
        </w:rPr>
        <w:t>’</w:t>
      </w:r>
      <w:r w:rsidRPr="00F6349E">
        <w:rPr>
          <w:rFonts w:ascii="Cambria" w:hAnsi="Cambria"/>
          <w:sz w:val="24"/>
        </w:rPr>
        <w:t xml:space="preserve"> project designs generally combined a ‘mainstreaming’ approach to gender equality with some gender specific </w:t>
      </w:r>
      <w:r>
        <w:rPr>
          <w:rFonts w:ascii="Cambria" w:hAnsi="Cambria"/>
          <w:sz w:val="24"/>
        </w:rPr>
        <w:t>activiti</w:t>
      </w:r>
      <w:r w:rsidRPr="00F6349E">
        <w:rPr>
          <w:rFonts w:ascii="Cambria" w:hAnsi="Cambria"/>
          <w:sz w:val="24"/>
        </w:rPr>
        <w:t xml:space="preserve">es. </w:t>
      </w:r>
    </w:p>
    <w:p w:rsidR="00CB5A76" w:rsidRDefault="00CB5A76" w:rsidP="00241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r w:rsidRPr="00F6349E">
        <w:rPr>
          <w:rFonts w:ascii="Cambria" w:hAnsi="Cambria"/>
        </w:rPr>
        <w:t xml:space="preserve">Most NGOs had conducted a gender analysis using a Participatory Rural Appraisal (PRA) approach at the commencement of the projects particularly to collect baseline data and design gender specific activities, although this analysis was not always brought to bear in evaluation processes. </w:t>
      </w:r>
      <w:r>
        <w:rPr>
          <w:rFonts w:ascii="Cambria" w:hAnsi="Cambria" w:cs="Arial"/>
          <w:color w:val="000000"/>
          <w:szCs w:val="18"/>
        </w:rPr>
        <w:t>T</w:t>
      </w:r>
      <w:r w:rsidRPr="00741677">
        <w:rPr>
          <w:rFonts w:ascii="Cambria" w:hAnsi="Cambria" w:cs="Arial"/>
          <w:color w:val="000000"/>
          <w:szCs w:val="18"/>
        </w:rPr>
        <w:t xml:space="preserve">he notion that community consensus can be reached </w:t>
      </w:r>
      <w:r>
        <w:rPr>
          <w:rFonts w:ascii="Cambria" w:hAnsi="Cambria" w:cs="Arial"/>
          <w:color w:val="000000"/>
          <w:szCs w:val="18"/>
        </w:rPr>
        <w:t xml:space="preserve">is implicit in a PRA approach. However, it is </w:t>
      </w:r>
      <w:r w:rsidRPr="00741677">
        <w:rPr>
          <w:rFonts w:ascii="Cambria" w:hAnsi="Cambria" w:cs="Arial"/>
          <w:color w:val="000000"/>
          <w:szCs w:val="18"/>
        </w:rPr>
        <w:t>also important to note that communities</w:t>
      </w:r>
      <w:r>
        <w:rPr>
          <w:rFonts w:ascii="Cambria" w:hAnsi="Cambria" w:cs="Arial"/>
          <w:color w:val="000000"/>
          <w:szCs w:val="18"/>
        </w:rPr>
        <w:t>, especially with more than one ethnic group,</w:t>
      </w:r>
      <w:r w:rsidRPr="00741677">
        <w:rPr>
          <w:rFonts w:ascii="Cambria" w:hAnsi="Cambria" w:cs="Arial"/>
          <w:color w:val="000000"/>
          <w:szCs w:val="18"/>
        </w:rPr>
        <w:t xml:space="preserve"> are not necessarily homogenous</w:t>
      </w:r>
      <w:r>
        <w:rPr>
          <w:rFonts w:ascii="Cambria" w:hAnsi="Cambria" w:cs="Arial"/>
          <w:color w:val="000000"/>
          <w:szCs w:val="18"/>
        </w:rPr>
        <w:t xml:space="preserve"> and consensual. In this regard</w:t>
      </w:r>
      <w:r w:rsidRPr="00741677">
        <w:rPr>
          <w:rFonts w:ascii="Cambria" w:hAnsi="Cambria" w:cs="Arial"/>
          <w:color w:val="000000"/>
          <w:szCs w:val="18"/>
        </w:rPr>
        <w:t>, participatory processes may unintentionally create a sense of false consensus</w:t>
      </w:r>
      <w:r>
        <w:rPr>
          <w:rFonts w:ascii="Cambria" w:hAnsi="Cambria" w:cs="Arial"/>
          <w:color w:val="000000"/>
          <w:szCs w:val="18"/>
        </w:rPr>
        <w:t>. The review team was told several times that consensus decisions had been reached yet on occasion, when talking with focus groups of women, occasionally they did have different priorities from the decisions that had been made in village committees. An example was that women often prioritised education for their children but this was not in the projects’ mandates so this priority was not addressed.</w:t>
      </w:r>
    </w:p>
    <w:p w:rsidR="00CB5A76" w:rsidRPr="00241597" w:rsidRDefault="00CB5A76" w:rsidP="00241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cs="Arial"/>
          <w:color w:val="000000"/>
          <w:szCs w:val="18"/>
        </w:rPr>
      </w:pPr>
    </w:p>
    <w:p w:rsidR="00CB5A76" w:rsidRDefault="00CB5A76" w:rsidP="00241597">
      <w:pPr>
        <w:pStyle w:val="Bodytxt"/>
        <w:spacing w:after="0"/>
        <w:ind w:left="0" w:right="-482"/>
        <w:rPr>
          <w:rFonts w:ascii="Cambria" w:hAnsi="Cambria"/>
          <w:sz w:val="24"/>
        </w:rPr>
      </w:pPr>
      <w:r>
        <w:rPr>
          <w:rFonts w:ascii="Cambria" w:hAnsi="Cambria"/>
          <w:sz w:val="24"/>
        </w:rPr>
        <w:t>R</w:t>
      </w:r>
      <w:r w:rsidRPr="00F6349E">
        <w:rPr>
          <w:rFonts w:ascii="Cambria" w:hAnsi="Cambria"/>
          <w:sz w:val="24"/>
        </w:rPr>
        <w:t>ecruit</w:t>
      </w:r>
      <w:r>
        <w:rPr>
          <w:rFonts w:ascii="Cambria" w:hAnsi="Cambria"/>
          <w:sz w:val="24"/>
        </w:rPr>
        <w:t>ing female field staff and staff</w:t>
      </w:r>
      <w:r w:rsidRPr="00F6349E">
        <w:rPr>
          <w:rFonts w:ascii="Cambria" w:hAnsi="Cambria"/>
          <w:sz w:val="24"/>
        </w:rPr>
        <w:t xml:space="preserve"> with ethnic language skills</w:t>
      </w:r>
      <w:r>
        <w:rPr>
          <w:rFonts w:ascii="Cambria" w:hAnsi="Cambria"/>
          <w:sz w:val="24"/>
        </w:rPr>
        <w:t xml:space="preserve"> has been a challenge for all NGOs although considerable effort had been put into targeting women from different ethnic groups. District </w:t>
      </w:r>
      <w:proofErr w:type="spellStart"/>
      <w:r>
        <w:rPr>
          <w:rFonts w:ascii="Cambria" w:hAnsi="Cambria"/>
          <w:sz w:val="24"/>
        </w:rPr>
        <w:t>GoL</w:t>
      </w:r>
      <w:proofErr w:type="spellEnd"/>
      <w:r>
        <w:rPr>
          <w:rFonts w:ascii="Cambria" w:hAnsi="Cambria"/>
          <w:sz w:val="24"/>
        </w:rPr>
        <w:t xml:space="preserve"> partners were able to provide counterpart staff from the LWU who were from small ethnic groups and proficient in those languages.  </w:t>
      </w:r>
    </w:p>
    <w:p w:rsidR="00CB5A76" w:rsidRDefault="00CB5A76" w:rsidP="00241597">
      <w:pPr>
        <w:pStyle w:val="Bodytxt"/>
        <w:spacing w:after="0"/>
        <w:ind w:left="0" w:right="-482"/>
        <w:rPr>
          <w:rFonts w:ascii="Cambria" w:hAnsi="Cambria"/>
          <w:sz w:val="24"/>
        </w:rPr>
      </w:pPr>
    </w:p>
    <w:p w:rsidR="00CB5A76" w:rsidRPr="00EB4833" w:rsidRDefault="00CB5A76" w:rsidP="00EB4833">
      <w:pPr>
        <w:pStyle w:val="Bodytxt"/>
        <w:numPr>
          <w:ilvl w:val="2"/>
          <w:numId w:val="8"/>
        </w:numPr>
        <w:ind w:right="-480"/>
        <w:rPr>
          <w:rFonts w:ascii="Cambria" w:hAnsi="Cambria" w:cs="Times New Roman"/>
          <w:b/>
          <w:color w:val="548DD4"/>
          <w:sz w:val="24"/>
        </w:rPr>
      </w:pPr>
      <w:r>
        <w:rPr>
          <w:rFonts w:ascii="Cambria" w:hAnsi="Cambria" w:cs="Times New Roman"/>
          <w:b/>
          <w:color w:val="548DD4"/>
          <w:sz w:val="24"/>
        </w:rPr>
        <w:t xml:space="preserve">Inclusion </w:t>
      </w:r>
      <w:r w:rsidRPr="00EB4833">
        <w:rPr>
          <w:rFonts w:ascii="Cambria" w:hAnsi="Cambria" w:cs="Times New Roman"/>
          <w:b/>
          <w:color w:val="548DD4"/>
          <w:sz w:val="24"/>
        </w:rPr>
        <w:t>policies and strategies</w:t>
      </w:r>
    </w:p>
    <w:p w:rsidR="00CB5A76" w:rsidRDefault="00CB5A76" w:rsidP="00241597">
      <w:pPr>
        <w:pStyle w:val="Bodytxt"/>
        <w:spacing w:after="0"/>
        <w:ind w:left="0" w:right="-482"/>
        <w:rPr>
          <w:rFonts w:ascii="Cambria" w:hAnsi="Cambria"/>
          <w:sz w:val="24"/>
        </w:rPr>
      </w:pPr>
      <w:r>
        <w:rPr>
          <w:rFonts w:ascii="Cambria" w:hAnsi="Cambria"/>
          <w:sz w:val="24"/>
        </w:rPr>
        <w:t>The LANGOCA 2010 Annual report identified a need to “</w:t>
      </w:r>
      <w:r w:rsidRPr="003C2A31">
        <w:rPr>
          <w:rFonts w:ascii="Cambria" w:hAnsi="Cambria"/>
          <w:i/>
          <w:sz w:val="24"/>
        </w:rPr>
        <w:t>develop a fuller profile of vulnerability and marginalised groups”</w:t>
      </w:r>
      <w:r>
        <w:rPr>
          <w:rFonts w:ascii="Cambria" w:hAnsi="Cambria"/>
          <w:i/>
          <w:sz w:val="24"/>
        </w:rPr>
        <w:t xml:space="preserve"> </w:t>
      </w:r>
      <w:r w:rsidRPr="003C2A31">
        <w:rPr>
          <w:rFonts w:ascii="Cambria" w:hAnsi="Cambria"/>
          <w:sz w:val="24"/>
        </w:rPr>
        <w:t>in</w:t>
      </w:r>
      <w:r>
        <w:rPr>
          <w:rFonts w:ascii="Cambria" w:hAnsi="Cambria"/>
          <w:sz w:val="24"/>
        </w:rPr>
        <w:t xml:space="preserve"> order to better target their specific needs.  CARE had requested funding for a short term activity (STA) </w:t>
      </w:r>
      <w:r w:rsidRPr="001C7F67">
        <w:rPr>
          <w:rFonts w:ascii="Cambria" w:hAnsi="Cambria" w:cs="Calibri"/>
          <w:i/>
          <w:sz w:val="24"/>
          <w:szCs w:val="22"/>
        </w:rPr>
        <w:t xml:space="preserve">Improving Socioeconomic Integration Services for People with Disabilities in </w:t>
      </w:r>
      <w:proofErr w:type="spellStart"/>
      <w:r w:rsidRPr="001C7F67">
        <w:rPr>
          <w:rFonts w:ascii="Cambria" w:hAnsi="Cambria" w:cs="Calibri"/>
          <w:i/>
          <w:sz w:val="24"/>
          <w:szCs w:val="22"/>
        </w:rPr>
        <w:t>Sekong</w:t>
      </w:r>
      <w:proofErr w:type="spellEnd"/>
      <w:r w:rsidRPr="001C7F67">
        <w:rPr>
          <w:rFonts w:ascii="Cambria" w:hAnsi="Cambria" w:cs="Calibri"/>
          <w:i/>
          <w:sz w:val="24"/>
          <w:szCs w:val="22"/>
        </w:rPr>
        <w:t xml:space="preserve"> Province</w:t>
      </w:r>
      <w:r>
        <w:rPr>
          <w:rFonts w:ascii="Cambria" w:hAnsi="Cambria" w:cs="Calibri"/>
          <w:i/>
          <w:sz w:val="24"/>
          <w:szCs w:val="22"/>
        </w:rPr>
        <w:t xml:space="preserve"> </w:t>
      </w:r>
      <w:r>
        <w:rPr>
          <w:rFonts w:ascii="Cambria" w:hAnsi="Cambria"/>
          <w:sz w:val="24"/>
        </w:rPr>
        <w:t>and had worked in partnership with Lao Disabled Peoples Association (LDPA) an</w:t>
      </w:r>
      <w:r w:rsidRPr="001E4BA1">
        <w:rPr>
          <w:rFonts w:ascii="Cambria" w:hAnsi="Cambria"/>
          <w:sz w:val="24"/>
        </w:rPr>
        <w:t>d the</w:t>
      </w:r>
      <w:r>
        <w:rPr>
          <w:rFonts w:ascii="Cambria" w:hAnsi="Cambria"/>
          <w:sz w:val="24"/>
        </w:rPr>
        <w:t xml:space="preserve"> </w:t>
      </w:r>
      <w:r w:rsidRPr="001E4BA1">
        <w:rPr>
          <w:rFonts w:ascii="Cambria" w:hAnsi="Cambria" w:cs="Calibri"/>
          <w:sz w:val="24"/>
          <w:szCs w:val="22"/>
        </w:rPr>
        <w:t>Cooperative for Orthotic and Prosthetic Enterprise</w:t>
      </w:r>
      <w:r>
        <w:rPr>
          <w:rFonts w:ascii="Cambria" w:hAnsi="Cambria" w:cs="Calibri"/>
          <w:sz w:val="24"/>
          <w:szCs w:val="22"/>
        </w:rPr>
        <w:t xml:space="preserve"> </w:t>
      </w:r>
      <w:r>
        <w:rPr>
          <w:rFonts w:ascii="Cambria" w:hAnsi="Cambria"/>
          <w:sz w:val="24"/>
        </w:rPr>
        <w:t>(COPE) to identify and meet the needs of people with disabilities and to run workshops for district and provincial staff to mainstream disability inclusion into government services. The result of the STA has yet to result in a systematic strategy for inclusion of people with disabilities into the CARE project as a whole although it was evident that steps were being taken to do so. CARE had also recruited a staff member with a physical impairment.</w:t>
      </w:r>
    </w:p>
    <w:p w:rsidR="00CB5A76" w:rsidRDefault="00CB5A76" w:rsidP="00241597">
      <w:pPr>
        <w:pStyle w:val="Bodytxt"/>
        <w:spacing w:after="0"/>
        <w:ind w:left="0" w:right="-482"/>
        <w:rPr>
          <w:rFonts w:ascii="Cambria" w:hAnsi="Cambria"/>
          <w:sz w:val="24"/>
        </w:rPr>
      </w:pPr>
    </w:p>
    <w:p w:rsidR="00CB5A76" w:rsidRDefault="00CB5A76" w:rsidP="00241597">
      <w:pPr>
        <w:pStyle w:val="Bodytxt"/>
        <w:spacing w:after="0"/>
        <w:ind w:left="0" w:right="-482"/>
        <w:rPr>
          <w:rFonts w:ascii="Cambria" w:hAnsi="Cambria"/>
          <w:sz w:val="24"/>
        </w:rPr>
      </w:pPr>
      <w:r>
        <w:rPr>
          <w:rFonts w:ascii="Cambria" w:hAnsi="Cambria"/>
          <w:sz w:val="24"/>
        </w:rPr>
        <w:t>SCA had sought advice from Handicap International (HI) about children with disabilities but this was related to how staff should interact with those children and not about how to actively include them. As a result, although SCA has effectively targeted both girls and boys in the Disaster Risk Education for Children (DREC), there were no children with disabilities in the groups that met the review team and staff were not able to say whether there were any children with disabilities participating in this component of the project.</w:t>
      </w:r>
    </w:p>
    <w:p w:rsidR="00CB5A76" w:rsidRDefault="00CB5A76" w:rsidP="00241597">
      <w:pPr>
        <w:pStyle w:val="Bodytxt"/>
        <w:spacing w:after="0"/>
        <w:ind w:left="0" w:right="-482"/>
        <w:rPr>
          <w:rFonts w:ascii="Cambria" w:hAnsi="Cambria"/>
          <w:sz w:val="24"/>
        </w:rPr>
      </w:pPr>
    </w:p>
    <w:p w:rsidR="00CB5A76" w:rsidRDefault="00CB5A76" w:rsidP="000E66C5">
      <w:pPr>
        <w:pStyle w:val="Bodytxt"/>
        <w:ind w:left="0" w:right="-480"/>
        <w:rPr>
          <w:rFonts w:ascii="Cambria" w:hAnsi="Cambria"/>
          <w:sz w:val="24"/>
        </w:rPr>
      </w:pPr>
      <w:r>
        <w:rPr>
          <w:rFonts w:ascii="Cambria" w:hAnsi="Cambria"/>
          <w:sz w:val="24"/>
        </w:rPr>
        <w:t xml:space="preserve">Interviews with project implementation staff revealed that staff were frequently at a loss to identify people with disabilities in the target village and even when identified what practical strategies could be adopted to ensure that they had access to opportunities such as training, or meaningfully participate in activities. Staff sometimes told the review team there were no people with disabilities in the villages. However, women in focus groups were always able to indicate community members who had a disability or who were caring for someone with a disability. </w:t>
      </w:r>
      <w:r w:rsidRPr="00F6349E">
        <w:rPr>
          <w:rFonts w:ascii="Cambria" w:hAnsi="Cambria"/>
          <w:sz w:val="24"/>
        </w:rPr>
        <w:t xml:space="preserve">The </w:t>
      </w:r>
      <w:r>
        <w:rPr>
          <w:rFonts w:ascii="Cambria" w:hAnsi="Cambria"/>
          <w:sz w:val="24"/>
        </w:rPr>
        <w:t>review</w:t>
      </w:r>
      <w:r w:rsidRPr="00F6349E">
        <w:rPr>
          <w:rFonts w:ascii="Cambria" w:hAnsi="Cambria"/>
          <w:sz w:val="24"/>
        </w:rPr>
        <w:t xml:space="preserve"> team also met people with treatable impairments such children with cleft palate and older people with cataracts who would significantly benefit from referral to appropriate services of which they were currently unaware.</w:t>
      </w:r>
      <w:r>
        <w:rPr>
          <w:rFonts w:ascii="Cambria" w:hAnsi="Cambria"/>
          <w:sz w:val="24"/>
        </w:rPr>
        <w:t xml:space="preserve"> MAG’s analysis of clearance and UXO victims could be very helpful in understanding perceptions of disabilities in Laos communities.</w:t>
      </w:r>
      <w:r>
        <w:rPr>
          <w:rStyle w:val="FootnoteReference"/>
          <w:rFonts w:ascii="Cambria" w:hAnsi="Cambria" w:cs="Arial"/>
          <w:sz w:val="24"/>
        </w:rPr>
        <w:footnoteReference w:id="8"/>
      </w:r>
    </w:p>
    <w:p w:rsidR="00CB5A76" w:rsidRDefault="00F77070" w:rsidP="00206F7A">
      <w:pPr>
        <w:pStyle w:val="Bodytxt"/>
        <w:ind w:left="0" w:right="-480"/>
        <w:jc w:val="center"/>
        <w:rPr>
          <w:rFonts w:ascii="Cambria" w:hAnsi="Cambria"/>
          <w:sz w:val="24"/>
        </w:rPr>
      </w:pPr>
      <w:r>
        <w:rPr>
          <w:rFonts w:ascii="Cambria" w:hAnsi="Cambria"/>
          <w:noProof/>
          <w:sz w:val="24"/>
          <w:lang w:eastAsia="en-AU"/>
        </w:rPr>
        <w:drawing>
          <wp:inline distT="0" distB="0" distL="0" distR="0" wp14:anchorId="5C520F3E" wp14:editId="531F9723">
            <wp:extent cx="3219450" cy="2438400"/>
            <wp:effectExtent l="0" t="0" r="0" b="0"/>
            <wp:docPr id="4" name="Picture 13" descr="File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044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9450" cy="2438400"/>
                    </a:xfrm>
                    <a:prstGeom prst="rect">
                      <a:avLst/>
                    </a:prstGeom>
                    <a:noFill/>
                    <a:ln>
                      <a:noFill/>
                    </a:ln>
                  </pic:spPr>
                </pic:pic>
              </a:graphicData>
            </a:graphic>
          </wp:inline>
        </w:drawing>
      </w:r>
    </w:p>
    <w:p w:rsidR="00CB5A76" w:rsidRPr="00511401" w:rsidRDefault="00F77070" w:rsidP="005111E0">
      <w:pPr>
        <w:pStyle w:val="Bodytxt"/>
        <w:ind w:left="0" w:right="-480"/>
        <w:jc w:val="center"/>
        <w:rPr>
          <w:rFonts w:ascii="Cambria" w:hAnsi="Cambria"/>
          <w:i/>
          <w:sz w:val="20"/>
        </w:rPr>
      </w:pPr>
      <w:r>
        <w:rPr>
          <w:noProof/>
          <w:lang w:eastAsia="en-AU"/>
        </w:rPr>
        <mc:AlternateContent>
          <mc:Choice Requires="wps">
            <w:drawing>
              <wp:anchor distT="0" distB="0" distL="114300" distR="114300" simplePos="0" relativeHeight="251658752" behindDoc="0" locked="0" layoutInCell="1" allowOverlap="1" wp14:anchorId="7DF5FCD7" wp14:editId="60F1D038">
                <wp:simplePos x="0" y="0"/>
                <wp:positionH relativeFrom="column">
                  <wp:posOffset>152400</wp:posOffset>
                </wp:positionH>
                <wp:positionV relativeFrom="paragraph">
                  <wp:posOffset>308610</wp:posOffset>
                </wp:positionV>
                <wp:extent cx="5486400" cy="2777490"/>
                <wp:effectExtent l="0" t="3810" r="0" b="0"/>
                <wp:wrapTight wrapText="bothSides">
                  <wp:wrapPolygon edited="0">
                    <wp:start x="0" y="0"/>
                    <wp:lineTo x="21600" y="0"/>
                    <wp:lineTo x="21600" y="21600"/>
                    <wp:lineTo x="0" y="2160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7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76" w:rsidRPr="00406FFA" w:rsidRDefault="00CB5A76" w:rsidP="00206F7A">
                            <w:pPr>
                              <w:pStyle w:val="Bodytxt"/>
                              <w:pBdr>
                                <w:top w:val="single" w:sz="4" w:space="1" w:color="auto"/>
                                <w:left w:val="single" w:sz="4" w:space="4" w:color="auto"/>
                                <w:bottom w:val="single" w:sz="4" w:space="9" w:color="auto"/>
                                <w:right w:val="single" w:sz="4" w:space="4" w:color="auto"/>
                              </w:pBdr>
                              <w:shd w:val="clear" w:color="auto" w:fill="B6DDE8"/>
                              <w:ind w:left="0"/>
                              <w:rPr>
                                <w:rFonts w:ascii="Cambria" w:hAnsi="Cambria"/>
                                <w:sz w:val="24"/>
                              </w:rPr>
                            </w:pPr>
                            <w:r w:rsidRPr="00406FFA">
                              <w:rPr>
                                <w:rFonts w:ascii="Cambria" w:hAnsi="Cambria"/>
                                <w:sz w:val="24"/>
                              </w:rPr>
                              <w:t>Recommendations</w:t>
                            </w:r>
                          </w:p>
                          <w:p w:rsidR="00CB5A76" w:rsidRPr="00406FFA" w:rsidRDefault="00CB5A76" w:rsidP="00206F7A">
                            <w:pPr>
                              <w:pStyle w:val="Bodytxt"/>
                              <w:pBdr>
                                <w:top w:val="single" w:sz="4" w:space="1" w:color="auto"/>
                                <w:left w:val="single" w:sz="4" w:space="4" w:color="auto"/>
                                <w:bottom w:val="single" w:sz="4" w:space="9" w:color="auto"/>
                                <w:right w:val="single" w:sz="4" w:space="4" w:color="auto"/>
                              </w:pBdr>
                              <w:shd w:val="clear" w:color="auto" w:fill="B6DDE8"/>
                              <w:ind w:left="284" w:hanging="284"/>
                              <w:rPr>
                                <w:rFonts w:ascii="Cambria" w:hAnsi="Cambria"/>
                                <w:sz w:val="24"/>
                              </w:rPr>
                            </w:pPr>
                            <w:r w:rsidRPr="00406FFA">
                              <w:rPr>
                                <w:rFonts w:ascii="Cambria" w:hAnsi="Cambria"/>
                                <w:sz w:val="24"/>
                              </w:rPr>
                              <w:t xml:space="preserve">1. AusAID provides technical support to NGOs for the development of appropriate and adequate disability inclusion strategies that are consistent with </w:t>
                            </w:r>
                            <w:proofErr w:type="spellStart"/>
                            <w:r w:rsidRPr="00406FFA">
                              <w:rPr>
                                <w:rFonts w:ascii="Cambria" w:hAnsi="Cambria"/>
                                <w:sz w:val="24"/>
                              </w:rPr>
                              <w:t>AusAID’s</w:t>
                            </w:r>
                            <w:proofErr w:type="spellEnd"/>
                            <w:r w:rsidRPr="00406FFA">
                              <w:rPr>
                                <w:rFonts w:ascii="Cambria" w:hAnsi="Cambria"/>
                                <w:sz w:val="24"/>
                              </w:rPr>
                              <w:t xml:space="preserve"> disability strategy, </w:t>
                            </w:r>
                            <w:r w:rsidRPr="00406FFA">
                              <w:rPr>
                                <w:rFonts w:ascii="Cambria" w:hAnsi="Cambria"/>
                                <w:i/>
                                <w:sz w:val="24"/>
                              </w:rPr>
                              <w:t>Development for All.</w:t>
                            </w:r>
                          </w:p>
                          <w:p w:rsidR="00CB5A76" w:rsidRPr="00406FFA" w:rsidRDefault="00CB5A76" w:rsidP="00206F7A">
                            <w:pPr>
                              <w:pStyle w:val="Bodytxt"/>
                              <w:pBdr>
                                <w:top w:val="single" w:sz="4" w:space="1" w:color="auto"/>
                                <w:left w:val="single" w:sz="4" w:space="4" w:color="auto"/>
                                <w:bottom w:val="single" w:sz="4" w:space="9" w:color="auto"/>
                                <w:right w:val="single" w:sz="4" w:space="4" w:color="auto"/>
                              </w:pBdr>
                              <w:shd w:val="clear" w:color="auto" w:fill="B6DDE8"/>
                              <w:ind w:left="284" w:hanging="284"/>
                              <w:rPr>
                                <w:rFonts w:ascii="Cambria" w:hAnsi="Cambria"/>
                                <w:sz w:val="24"/>
                              </w:rPr>
                            </w:pPr>
                            <w:r w:rsidRPr="00406FFA">
                              <w:rPr>
                                <w:rFonts w:ascii="Cambria" w:hAnsi="Cambria"/>
                                <w:sz w:val="24"/>
                              </w:rPr>
                              <w:t xml:space="preserve">2. NGOs use available local resources such as GRID &amp; MAG assessments of gender and disability </w:t>
                            </w:r>
                            <w:r>
                              <w:rPr>
                                <w:rFonts w:ascii="Cambria" w:hAnsi="Cambria"/>
                                <w:sz w:val="24"/>
                              </w:rPr>
                              <w:t xml:space="preserve">&amp; </w:t>
                            </w:r>
                            <w:r w:rsidRPr="00406FFA">
                              <w:rPr>
                                <w:rFonts w:ascii="Cambria" w:hAnsi="Cambria"/>
                                <w:sz w:val="24"/>
                              </w:rPr>
                              <w:t xml:space="preserve">share learning with each other about what has been effective in their projects </w:t>
                            </w:r>
                            <w:r>
                              <w:rPr>
                                <w:rFonts w:ascii="Cambria" w:hAnsi="Cambria"/>
                                <w:sz w:val="24"/>
                              </w:rPr>
                              <w:t xml:space="preserve">to create </w:t>
                            </w:r>
                            <w:r w:rsidRPr="00915CF7">
                              <w:rPr>
                                <w:rFonts w:ascii="Cambria" w:hAnsi="Cambria"/>
                                <w:sz w:val="24"/>
                              </w:rPr>
                              <w:t>positive impact</w:t>
                            </w:r>
                            <w:r>
                              <w:rPr>
                                <w:rFonts w:ascii="Cambria" w:hAnsi="Cambria"/>
                                <w:sz w:val="24"/>
                              </w:rPr>
                              <w:t>s</w:t>
                            </w:r>
                            <w:r w:rsidRPr="00915CF7">
                              <w:rPr>
                                <w:rFonts w:ascii="Cambria" w:hAnsi="Cambria"/>
                                <w:sz w:val="24"/>
                              </w:rPr>
                              <w:t xml:space="preserve"> </w:t>
                            </w:r>
                            <w:r>
                              <w:rPr>
                                <w:rFonts w:ascii="Cambria" w:hAnsi="Cambria"/>
                                <w:sz w:val="24"/>
                              </w:rPr>
                              <w:t>in terms</w:t>
                            </w:r>
                            <w:r w:rsidRPr="00406FFA">
                              <w:rPr>
                                <w:rFonts w:ascii="Cambria" w:hAnsi="Cambria"/>
                                <w:sz w:val="24"/>
                              </w:rPr>
                              <w:t xml:space="preserve"> for women, particularly those women from small ethnic groups and peoples with disabilities in terms of increasing their participation, decision-making, access to resources etc.</w:t>
                            </w:r>
                          </w:p>
                          <w:p w:rsidR="00CB5A76" w:rsidRPr="00406FFA" w:rsidRDefault="00CB5A76" w:rsidP="00206F7A">
                            <w:pPr>
                              <w:pStyle w:val="Bodytxt"/>
                              <w:pBdr>
                                <w:top w:val="single" w:sz="4" w:space="1" w:color="auto"/>
                                <w:left w:val="single" w:sz="4" w:space="4" w:color="auto"/>
                                <w:bottom w:val="single" w:sz="4" w:space="9" w:color="auto"/>
                                <w:right w:val="single" w:sz="4" w:space="4" w:color="auto"/>
                              </w:pBdr>
                              <w:shd w:val="clear" w:color="auto" w:fill="B6DDE8"/>
                              <w:ind w:left="284" w:hanging="284"/>
                              <w:rPr>
                                <w:rFonts w:ascii="Cambria" w:hAnsi="Cambria"/>
                                <w:sz w:val="24"/>
                              </w:rPr>
                            </w:pPr>
                            <w:r w:rsidRPr="00406FFA">
                              <w:rPr>
                                <w:rFonts w:ascii="Cambria" w:hAnsi="Cambria"/>
                                <w:sz w:val="24"/>
                              </w:rPr>
                              <w:t>3. NGOs develop a referral and follow-up system in collaboration with local authorities to assist people with treatable impairments in their target communities.</w:t>
                            </w:r>
                          </w:p>
                          <w:p w:rsidR="00CB5A76" w:rsidRPr="00406FFA" w:rsidRDefault="00CB5A76" w:rsidP="005111E0">
                            <w:pPr>
                              <w:rPr>
                                <w:rFonts w:ascii="Cambria" w:hAnsi="Cambri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4.3pt;width:6in;height:2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T/s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4pse4Zep+D10IOfGeEYXF2pur+X5TeNhFw1VGzZrVJyaBitIL3Q3vQvrk44&#10;2oJsho+ygjB0Z6QDGmvV2d5BNxCgA01PJ2psKiUczkg8JwGYSrBFi8WCJI48n6bH673S5j2THbKL&#10;DCvg3sHT/b02Nh2aHl1sNCEL3raO/1Y8OwDH6QSCw1Vrs2k4On8mQbKO1zHxSDRfeyTIc++2WBFv&#10;XoSLWf4uX63y8JeNG5K04VXFhA1zlFZI/oy6g8gnUZzEpWXLKwtnU9Jqu1m1Cu0pSLtwn2s6WM5u&#10;/vM0XBOglhclhREJ7qLEK+bxwiMFmXnJIoi9IEzuknlAEpIXz0u654L9e0loyHAyi2aTms5Jv6gt&#10;cN/r2mjacQPDo+VdhuOTE02tBteictQayttpfdEKm/65FUD3kWinWCvSSa5m3IyAYmW8kdUTaFdJ&#10;UBaoECYeLBqpfmA0wPTIsP6+o4ph1H4QoP8kJMSOm8uNutxsLjdUlACVYYPRtFyZaUTtesW3DUSa&#10;XpyQt/Bmau7UfM7q8NJgQriiDtPMjqDLvfM6z9zlbwAAAP//AwBQSwMEFAAGAAgAAAAhALlpLQ3b&#10;AAAACQEAAA8AAABkcnMvZG93bnJldi54bWxMj81OwzAQhO9IvIO1SNyo06q0VohToSIegILE1Ym3&#10;SVR7HcXOD316Fi5w3JnR7DfFYfFOTDjELpCG9SoDgVQH21Gj4eP99UGBiMmQNS4QavjCCIfy9qYw&#10;uQ0zveF0So3gEoq50dCm1OdSxrpFb+Iq9EjsncPgTeJzaKQdzMzl3slNlu2kNx3xh9b0eGyxvpxG&#10;r6G+ji/q2FXTfN1/7quldY9nclrf3y3PTyASLukvDD/4jA4lM1VhJBuF07DZ8pSkYat2INhXSrFQ&#10;/QoZyLKQ/xeU3wAAAP//AwBQSwECLQAUAAYACAAAACEAtoM4kv4AAADhAQAAEwAAAAAAAAAAAAAA&#10;AAAAAAAAW0NvbnRlbnRfVHlwZXNdLnhtbFBLAQItABQABgAIAAAAIQA4/SH/1gAAAJQBAAALAAAA&#10;AAAAAAAAAAAAAC8BAABfcmVscy8ucmVsc1BLAQItABQABgAIAAAAIQDO8xT/sgIAALsFAAAOAAAA&#10;AAAAAAAAAAAAAC4CAABkcnMvZTJvRG9jLnhtbFBLAQItABQABgAIAAAAIQC5aS0N2wAAAAkBAAAP&#10;AAAAAAAAAAAAAAAAAAwFAABkcnMvZG93bnJldi54bWxQSwUGAAAAAAQABADzAAAAFAYAAAAA&#10;" filled="f" stroked="f">
                <v:textbox inset=",7.2pt,,7.2pt">
                  <w:txbxContent>
                    <w:p w:rsidR="00CB5A76" w:rsidRPr="00406FFA" w:rsidRDefault="00CB5A76" w:rsidP="00206F7A">
                      <w:pPr>
                        <w:pStyle w:val="Bodytxt"/>
                        <w:pBdr>
                          <w:top w:val="single" w:sz="4" w:space="1" w:color="auto"/>
                          <w:left w:val="single" w:sz="4" w:space="4" w:color="auto"/>
                          <w:bottom w:val="single" w:sz="4" w:space="9" w:color="auto"/>
                          <w:right w:val="single" w:sz="4" w:space="4" w:color="auto"/>
                        </w:pBdr>
                        <w:shd w:val="clear" w:color="auto" w:fill="B6DDE8"/>
                        <w:ind w:left="0"/>
                        <w:rPr>
                          <w:rFonts w:ascii="Cambria" w:hAnsi="Cambria"/>
                          <w:sz w:val="24"/>
                        </w:rPr>
                      </w:pPr>
                      <w:r w:rsidRPr="00406FFA">
                        <w:rPr>
                          <w:rFonts w:ascii="Cambria" w:hAnsi="Cambria"/>
                          <w:sz w:val="24"/>
                        </w:rPr>
                        <w:t>Recommendations</w:t>
                      </w:r>
                    </w:p>
                    <w:p w:rsidR="00CB5A76" w:rsidRPr="00406FFA" w:rsidRDefault="00CB5A76" w:rsidP="00206F7A">
                      <w:pPr>
                        <w:pStyle w:val="Bodytxt"/>
                        <w:pBdr>
                          <w:top w:val="single" w:sz="4" w:space="1" w:color="auto"/>
                          <w:left w:val="single" w:sz="4" w:space="4" w:color="auto"/>
                          <w:bottom w:val="single" w:sz="4" w:space="9" w:color="auto"/>
                          <w:right w:val="single" w:sz="4" w:space="4" w:color="auto"/>
                        </w:pBdr>
                        <w:shd w:val="clear" w:color="auto" w:fill="B6DDE8"/>
                        <w:ind w:left="284" w:hanging="284"/>
                        <w:rPr>
                          <w:rFonts w:ascii="Cambria" w:hAnsi="Cambria"/>
                          <w:sz w:val="24"/>
                        </w:rPr>
                      </w:pPr>
                      <w:r w:rsidRPr="00406FFA">
                        <w:rPr>
                          <w:rFonts w:ascii="Cambria" w:hAnsi="Cambria"/>
                          <w:sz w:val="24"/>
                        </w:rPr>
                        <w:t xml:space="preserve">1. AusAID provides technical support to NGOs for the development of appropriate and adequate disability inclusion strategies that are consistent with AusAID’s disability strategy, </w:t>
                      </w:r>
                      <w:r w:rsidRPr="00406FFA">
                        <w:rPr>
                          <w:rFonts w:ascii="Cambria" w:hAnsi="Cambria"/>
                          <w:i/>
                          <w:sz w:val="24"/>
                        </w:rPr>
                        <w:t>Development for All.</w:t>
                      </w:r>
                    </w:p>
                    <w:p w:rsidR="00CB5A76" w:rsidRPr="00406FFA" w:rsidRDefault="00CB5A76" w:rsidP="00206F7A">
                      <w:pPr>
                        <w:pStyle w:val="Bodytxt"/>
                        <w:pBdr>
                          <w:top w:val="single" w:sz="4" w:space="1" w:color="auto"/>
                          <w:left w:val="single" w:sz="4" w:space="4" w:color="auto"/>
                          <w:bottom w:val="single" w:sz="4" w:space="9" w:color="auto"/>
                          <w:right w:val="single" w:sz="4" w:space="4" w:color="auto"/>
                        </w:pBdr>
                        <w:shd w:val="clear" w:color="auto" w:fill="B6DDE8"/>
                        <w:ind w:left="284" w:hanging="284"/>
                        <w:rPr>
                          <w:rFonts w:ascii="Cambria" w:hAnsi="Cambria"/>
                          <w:sz w:val="24"/>
                        </w:rPr>
                      </w:pPr>
                      <w:r w:rsidRPr="00406FFA">
                        <w:rPr>
                          <w:rFonts w:ascii="Cambria" w:hAnsi="Cambria"/>
                          <w:sz w:val="24"/>
                        </w:rPr>
                        <w:t xml:space="preserve">2. NGOs use available local resources such as GRID &amp; MAG assessments of gender and disability </w:t>
                      </w:r>
                      <w:r>
                        <w:rPr>
                          <w:rFonts w:ascii="Cambria" w:hAnsi="Cambria"/>
                          <w:sz w:val="24"/>
                        </w:rPr>
                        <w:t xml:space="preserve">&amp; </w:t>
                      </w:r>
                      <w:r w:rsidRPr="00406FFA">
                        <w:rPr>
                          <w:rFonts w:ascii="Cambria" w:hAnsi="Cambria"/>
                          <w:sz w:val="24"/>
                        </w:rPr>
                        <w:t xml:space="preserve">share learning with each other about what has been effective in their projects </w:t>
                      </w:r>
                      <w:r>
                        <w:rPr>
                          <w:rFonts w:ascii="Cambria" w:hAnsi="Cambria"/>
                          <w:sz w:val="24"/>
                        </w:rPr>
                        <w:t xml:space="preserve">to create </w:t>
                      </w:r>
                      <w:r w:rsidRPr="00915CF7">
                        <w:rPr>
                          <w:rFonts w:ascii="Cambria" w:hAnsi="Cambria"/>
                          <w:sz w:val="24"/>
                        </w:rPr>
                        <w:t>positive impact</w:t>
                      </w:r>
                      <w:r>
                        <w:rPr>
                          <w:rFonts w:ascii="Cambria" w:hAnsi="Cambria"/>
                          <w:sz w:val="24"/>
                        </w:rPr>
                        <w:t>s</w:t>
                      </w:r>
                      <w:r w:rsidRPr="00915CF7">
                        <w:rPr>
                          <w:rFonts w:ascii="Cambria" w:hAnsi="Cambria"/>
                          <w:sz w:val="24"/>
                        </w:rPr>
                        <w:t xml:space="preserve"> </w:t>
                      </w:r>
                      <w:r>
                        <w:rPr>
                          <w:rFonts w:ascii="Cambria" w:hAnsi="Cambria"/>
                          <w:sz w:val="24"/>
                        </w:rPr>
                        <w:t>in terms</w:t>
                      </w:r>
                      <w:r w:rsidRPr="00406FFA">
                        <w:rPr>
                          <w:rFonts w:ascii="Cambria" w:hAnsi="Cambria"/>
                          <w:sz w:val="24"/>
                        </w:rPr>
                        <w:t xml:space="preserve"> for women, particularly those women from small ethnic groups and peoples with disabilities in terms of increasing their participation, decision-making, access to resources etc.</w:t>
                      </w:r>
                    </w:p>
                    <w:p w:rsidR="00CB5A76" w:rsidRPr="00406FFA" w:rsidRDefault="00CB5A76" w:rsidP="00206F7A">
                      <w:pPr>
                        <w:pStyle w:val="Bodytxt"/>
                        <w:pBdr>
                          <w:top w:val="single" w:sz="4" w:space="1" w:color="auto"/>
                          <w:left w:val="single" w:sz="4" w:space="4" w:color="auto"/>
                          <w:bottom w:val="single" w:sz="4" w:space="9" w:color="auto"/>
                          <w:right w:val="single" w:sz="4" w:space="4" w:color="auto"/>
                        </w:pBdr>
                        <w:shd w:val="clear" w:color="auto" w:fill="B6DDE8"/>
                        <w:ind w:left="284" w:hanging="284"/>
                        <w:rPr>
                          <w:rFonts w:ascii="Cambria" w:hAnsi="Cambria"/>
                          <w:sz w:val="24"/>
                        </w:rPr>
                      </w:pPr>
                      <w:r w:rsidRPr="00406FFA">
                        <w:rPr>
                          <w:rFonts w:ascii="Cambria" w:hAnsi="Cambria"/>
                          <w:sz w:val="24"/>
                        </w:rPr>
                        <w:t>3. NGOs develop a referral and follow-up system in collaboration with local authorities to assist people with treatable impairments in their target communities.</w:t>
                      </w:r>
                    </w:p>
                    <w:p w:rsidR="00CB5A76" w:rsidRPr="00406FFA" w:rsidRDefault="00CB5A76" w:rsidP="005111E0">
                      <w:pPr>
                        <w:rPr>
                          <w:rFonts w:ascii="Cambria" w:hAnsi="Cambria"/>
                        </w:rPr>
                      </w:pPr>
                    </w:p>
                  </w:txbxContent>
                </v:textbox>
                <w10:wrap type="tight"/>
              </v:shape>
            </w:pict>
          </mc:Fallback>
        </mc:AlternateContent>
      </w:r>
      <w:r w:rsidR="00CB5A76" w:rsidRPr="00511401">
        <w:rPr>
          <w:rFonts w:ascii="Cambria" w:hAnsi="Cambria"/>
          <w:i/>
          <w:sz w:val="20"/>
        </w:rPr>
        <w:t>Woman with blind son</w:t>
      </w:r>
      <w:r w:rsidR="00CB5A76">
        <w:rPr>
          <w:rFonts w:ascii="Cambria" w:hAnsi="Cambria"/>
          <w:i/>
          <w:sz w:val="20"/>
        </w:rPr>
        <w:t xml:space="preserve"> </w:t>
      </w:r>
      <w:proofErr w:type="spellStart"/>
      <w:r w:rsidR="00CB5A76">
        <w:rPr>
          <w:rFonts w:ascii="Cambria" w:hAnsi="Cambria"/>
          <w:i/>
          <w:sz w:val="20"/>
        </w:rPr>
        <w:t>Mahaxay</w:t>
      </w:r>
      <w:proofErr w:type="spellEnd"/>
      <w:r w:rsidR="00CB5A76">
        <w:rPr>
          <w:rFonts w:ascii="Cambria" w:hAnsi="Cambria"/>
          <w:i/>
          <w:sz w:val="20"/>
        </w:rPr>
        <w:t xml:space="preserve"> province</w:t>
      </w:r>
    </w:p>
    <w:p w:rsidR="00CB5A76" w:rsidRDefault="00CB5A76" w:rsidP="00231EB0">
      <w:pPr>
        <w:pStyle w:val="Bodytxt"/>
        <w:ind w:left="0" w:right="-480"/>
        <w:rPr>
          <w:rFonts w:ascii="Cambria" w:hAnsi="Cambria"/>
          <w:sz w:val="24"/>
        </w:rPr>
      </w:pPr>
      <w:r w:rsidRPr="00F6349E">
        <w:rPr>
          <w:rFonts w:ascii="Cambria" w:hAnsi="Cambria"/>
          <w:sz w:val="24"/>
        </w:rPr>
        <w:t>With the exception of CARE, mine risk education (MRE) was usually generic and not targeted towards high-risk groups such as young boys. It consisted mostly of village volunteers teaching people not to touch UXO and to report finding it to the relevant Village Committee who would then report it to clearance operators. Given that most members of the community are aware of the dangers of UXO MRE need</w:t>
      </w:r>
      <w:r>
        <w:rPr>
          <w:rFonts w:ascii="Cambria" w:hAnsi="Cambria"/>
          <w:sz w:val="24"/>
        </w:rPr>
        <w:t>ed</w:t>
      </w:r>
      <w:r w:rsidRPr="00F6349E">
        <w:rPr>
          <w:rFonts w:ascii="Cambria" w:hAnsi="Cambria"/>
          <w:sz w:val="24"/>
        </w:rPr>
        <w:t xml:space="preserve"> to be more targeted to high-risk groups who tamper with or collect UXO </w:t>
      </w:r>
      <w:r w:rsidRPr="002A297A">
        <w:rPr>
          <w:rFonts w:ascii="Cambria" w:hAnsi="Cambria"/>
          <w:i/>
          <w:sz w:val="24"/>
        </w:rPr>
        <w:t>despite</w:t>
      </w:r>
      <w:r w:rsidRPr="00F6349E">
        <w:rPr>
          <w:rFonts w:ascii="Cambria" w:hAnsi="Cambria"/>
          <w:sz w:val="24"/>
        </w:rPr>
        <w:t xml:space="preserve"> their understanding of the danger. </w:t>
      </w:r>
      <w:r>
        <w:rPr>
          <w:rFonts w:ascii="Cambria" w:hAnsi="Cambria"/>
          <w:sz w:val="24"/>
        </w:rPr>
        <w:t xml:space="preserve"> CARE’s three-step model of identifying who was </w:t>
      </w:r>
      <w:r w:rsidRPr="00F6349E">
        <w:rPr>
          <w:rFonts w:ascii="Cambria" w:hAnsi="Cambria"/>
          <w:sz w:val="24"/>
        </w:rPr>
        <w:t>most at risk in communities, what their ‘at risk’ behaviours were and the best communication strategy to influence them</w:t>
      </w:r>
      <w:r>
        <w:rPr>
          <w:rFonts w:ascii="Cambria" w:hAnsi="Cambria"/>
          <w:sz w:val="24"/>
        </w:rPr>
        <w:t xml:space="preserve"> was much more successfully targeted</w:t>
      </w:r>
      <w:r w:rsidRPr="00F6349E">
        <w:rPr>
          <w:rFonts w:ascii="Cambria" w:hAnsi="Cambria"/>
          <w:sz w:val="24"/>
        </w:rPr>
        <w:t>.</w:t>
      </w:r>
    </w:p>
    <w:p w:rsidR="00CB5A76" w:rsidRDefault="00CB5A76" w:rsidP="006A6921">
      <w:pPr>
        <w:pStyle w:val="Bodytxt"/>
        <w:tabs>
          <w:tab w:val="left" w:pos="0"/>
        </w:tabs>
        <w:spacing w:after="0"/>
        <w:ind w:left="0" w:right="-482"/>
        <w:rPr>
          <w:rFonts w:ascii="Cambria" w:hAnsi="Cambria"/>
          <w:sz w:val="24"/>
        </w:rPr>
      </w:pPr>
      <w:r>
        <w:rPr>
          <w:rFonts w:ascii="Cambria" w:hAnsi="Cambria"/>
          <w:sz w:val="24"/>
        </w:rPr>
        <w:t>HIV prevention messages also tended to be general rather than targeted towards those who were at greatest risk, such as families with migrant workers or villages near road construction. When the team asked women if they were able to convince their husbands to use a condom for sexual health reasons most said no, although they were able to convince them to use condoms for contraceptive purposes.</w:t>
      </w:r>
    </w:p>
    <w:p w:rsidR="00CB5A76" w:rsidRDefault="00CB5A76" w:rsidP="00A24DA4">
      <w:pPr>
        <w:pStyle w:val="Bodytxt"/>
        <w:tabs>
          <w:tab w:val="left" w:pos="0"/>
        </w:tabs>
        <w:spacing w:after="0"/>
        <w:ind w:left="0" w:right="-482"/>
        <w:rPr>
          <w:rFonts w:ascii="Cambria" w:hAnsi="Cambria"/>
          <w:sz w:val="24"/>
        </w:rPr>
      </w:pPr>
    </w:p>
    <w:p w:rsidR="00CB5A76" w:rsidRDefault="00CB5A76" w:rsidP="00A24DA4">
      <w:pPr>
        <w:pStyle w:val="Bodytxt"/>
        <w:tabs>
          <w:tab w:val="left" w:pos="0"/>
        </w:tabs>
        <w:spacing w:after="0"/>
        <w:ind w:left="0" w:right="-482"/>
        <w:rPr>
          <w:rFonts w:ascii="Cambria" w:hAnsi="Cambria"/>
          <w:sz w:val="24"/>
        </w:rPr>
      </w:pPr>
    </w:p>
    <w:p w:rsidR="00CB5A76" w:rsidRPr="00F6349E" w:rsidRDefault="00F77070" w:rsidP="00A24DA4">
      <w:pPr>
        <w:pStyle w:val="Bodytxt"/>
        <w:tabs>
          <w:tab w:val="left" w:pos="0"/>
        </w:tabs>
        <w:spacing w:after="0"/>
        <w:ind w:left="0" w:right="-482"/>
        <w:rPr>
          <w:rFonts w:ascii="Cambria" w:hAnsi="Cambria"/>
          <w:sz w:val="24"/>
        </w:rPr>
      </w:pPr>
      <w:r>
        <w:rPr>
          <w:noProof/>
          <w:lang w:eastAsia="en-AU"/>
        </w:rPr>
        <mc:AlternateContent>
          <mc:Choice Requires="wps">
            <w:drawing>
              <wp:anchor distT="0" distB="0" distL="114300" distR="114300" simplePos="0" relativeHeight="251659776" behindDoc="0" locked="0" layoutInCell="1" allowOverlap="1" wp14:anchorId="37CDE7CF" wp14:editId="7142C684">
                <wp:simplePos x="0" y="0"/>
                <wp:positionH relativeFrom="column">
                  <wp:posOffset>152400</wp:posOffset>
                </wp:positionH>
                <wp:positionV relativeFrom="paragraph">
                  <wp:posOffset>0</wp:posOffset>
                </wp:positionV>
                <wp:extent cx="4953000" cy="1028700"/>
                <wp:effectExtent l="0" t="0" r="0" b="0"/>
                <wp:wrapTight wrapText="bothSides">
                  <wp:wrapPolygon edited="0">
                    <wp:start x="0" y="0"/>
                    <wp:lineTo x="21600" y="0"/>
                    <wp:lineTo x="21600" y="21600"/>
                    <wp:lineTo x="0" y="21600"/>
                    <wp:lineTo x="0" y="0"/>
                  </wp:wrapPolygon>
                </wp:wrapTigh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76" w:rsidRDefault="00CB5A76" w:rsidP="006917BA">
                            <w:pPr>
                              <w:pBdr>
                                <w:top w:val="single" w:sz="4" w:space="0" w:color="auto"/>
                                <w:left w:val="single" w:sz="4" w:space="4" w:color="auto"/>
                                <w:bottom w:val="single" w:sz="4" w:space="1" w:color="auto"/>
                                <w:right w:val="single" w:sz="4" w:space="4" w:color="auto"/>
                              </w:pBdr>
                              <w:shd w:val="clear" w:color="auto" w:fill="B6DDE8"/>
                            </w:pPr>
                            <w:r>
                              <w:t>Recommendation</w:t>
                            </w:r>
                          </w:p>
                          <w:p w:rsidR="00CB5A76" w:rsidRDefault="00CB5A76" w:rsidP="006917BA">
                            <w:pPr>
                              <w:pBdr>
                                <w:top w:val="single" w:sz="4" w:space="0" w:color="auto"/>
                                <w:left w:val="single" w:sz="4" w:space="4" w:color="auto"/>
                                <w:bottom w:val="single" w:sz="4" w:space="1" w:color="auto"/>
                                <w:right w:val="single" w:sz="4" w:space="4" w:color="auto"/>
                              </w:pBdr>
                              <w:shd w:val="clear" w:color="auto" w:fill="B6DDE8"/>
                            </w:pPr>
                          </w:p>
                          <w:p w:rsidR="00CB5A76" w:rsidRDefault="00CB5A76" w:rsidP="006917BA">
                            <w:pPr>
                              <w:pBdr>
                                <w:top w:val="single" w:sz="4" w:space="0" w:color="auto"/>
                                <w:left w:val="single" w:sz="4" w:space="4" w:color="auto"/>
                                <w:bottom w:val="single" w:sz="4" w:space="1" w:color="auto"/>
                                <w:right w:val="single" w:sz="4" w:space="4" w:color="auto"/>
                              </w:pBdr>
                              <w:shd w:val="clear" w:color="auto" w:fill="B6DDE8"/>
                            </w:pPr>
                            <w:r>
                              <w:t xml:space="preserve">4. Where not already doing so, NGOs </w:t>
                            </w:r>
                            <w:r w:rsidRPr="009B281D">
                              <w:rPr>
                                <w:rFonts w:ascii="Cambria" w:hAnsi="Cambria"/>
                              </w:rPr>
                              <w:t>develop a targeted approach to MRE and HIV prevention to ensure those most ‘at risk’ benefit</w:t>
                            </w:r>
                            <w:r>
                              <w:rPr>
                                <w:rFonts w:ascii="Cambria" w:hAnsi="Cambri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pt;margin-top:0;width:390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SItgIAAMIFAAAOAAAAZHJzL2Uyb0RvYy54bWysVO1umzAU/T9p72D5P+WjTgKopGpDmCZ1&#10;H1K7B3DABGtgM9sJ6aq9+65NktJOk6Zt/EC+9vW5H+f4Xl0fuhbtmdJcigyHFwFGTJSy4mKb4S8P&#10;hRdjpA0VFW2lYBl+ZBpfL9++uRr6lEWykW3FFAIQodOhz3BjTJ/6vi4b1lF9IXsm4LCWqqMGTLX1&#10;K0UHQO9aPwqCuT9IVfVKlkxr2M3HQ7x0+HXNSvOprjUzqM0w5GbcX7n/xv795RVNt4r2DS+PadC/&#10;yKKjXEDQM1RODUU7xX+B6nippJa1uShl58u65iVzNUA1YfCqmvuG9szVAs3R/blN+v/Blh/3nxXi&#10;FXAXYiRoBxw9sINBt/KALm17hl6n4HXfg585wDa4ulJ1fyfLrxoJuWqo2LIbpeTQMFpBeqG96U+u&#10;jjjagmyGD7KCMHRnpAM61KqzvYNuIEAHmh7P1NhUStgkyewyCOCohLMwiOIFGDYGTU/Xe6XNOyY7&#10;ZBcZVsC9g6f7O21G15OLjSZkwdsW9mnaihcbgDnuQHC4as9sGo7OpyRI1vE6Jh6J5muPBHnu3RQr&#10;4s2LcDHLL/PVKg9/2LghSRteVUzYMCdpheTPqDuKfBTFWVxatryycDYlrbabVavQnoK0C/cdGzJx&#10;81+m4foFtbwqKYxIcBslXjGPFx4pyMxLFkHsBWFym8wDkpC8eFnSHRfs30tCQ4aTWTQb1fTb2oB2&#10;y/zI4KQ2mnbcwPBoeZfh+OxEU6vBtagctYbydlxPWmHTf24F0H0i2inWinSUqzlsDuPbsNGtmjey&#10;egQJKwkCAzHC4INFI9V3jAYYIhnW33ZUMYza9wKeQRISYqfO1FBTYzM1qCgBKsMGo3G5MuOk2vWK&#10;bxuIND48IW/g6dTcifo5q+ODg0HhajsONTuJprbzeh69y58AAAD//wMAUEsDBBQABgAIAAAAIQBb&#10;WQTR2gAAAAcBAAAPAAAAZHJzL2Rvd25yZXYueG1sTI/NTsMwEITvSLyDtUjcqEMEbRTiVKiIB6Ag&#10;9erE2zjCXkex80Ofnu0JLiuNZjT7TbVfvRMzjrEPpOBxk4FAaoPpqVPw9fn+UICISZPRLhAq+MEI&#10;+/r2ptKlCQt94HxMneASiqVWYFMaSilja9HruAkDEnvnMHqdWI6dNKNeuNw7mWfZVnrdE3+wesCD&#10;xfb7OHkF7WV6Kw59My+X3WnXrNY9n8kpdX+3vr6ASLimvzBc8RkdamZqwkQmCqcgf+IpSQFfdovs&#10;KhuObfMMZF3J//z1LwAAAP//AwBQSwECLQAUAAYACAAAACEAtoM4kv4AAADhAQAAEwAAAAAAAAAA&#10;AAAAAAAAAAAAW0NvbnRlbnRfVHlwZXNdLnhtbFBLAQItABQABgAIAAAAIQA4/SH/1gAAAJQBAAAL&#10;AAAAAAAAAAAAAAAAAC8BAABfcmVscy8ucmVsc1BLAQItABQABgAIAAAAIQBAczSItgIAAMIFAAAO&#10;AAAAAAAAAAAAAAAAAC4CAABkcnMvZTJvRG9jLnhtbFBLAQItABQABgAIAAAAIQBbWQTR2gAAAAcB&#10;AAAPAAAAAAAAAAAAAAAAABAFAABkcnMvZG93bnJldi54bWxQSwUGAAAAAAQABADzAAAAFwYAAAAA&#10;" filled="f" stroked="f">
                <v:textbox inset=",7.2pt,,7.2pt">
                  <w:txbxContent>
                    <w:p w:rsidR="00CB5A76" w:rsidRDefault="00CB5A76" w:rsidP="006917BA">
                      <w:pPr>
                        <w:pBdr>
                          <w:top w:val="single" w:sz="4" w:space="0" w:color="auto"/>
                          <w:left w:val="single" w:sz="4" w:space="4" w:color="auto"/>
                          <w:bottom w:val="single" w:sz="4" w:space="1" w:color="auto"/>
                          <w:right w:val="single" w:sz="4" w:space="4" w:color="auto"/>
                        </w:pBdr>
                        <w:shd w:val="clear" w:color="auto" w:fill="B6DDE8"/>
                      </w:pPr>
                      <w:r>
                        <w:t>Recommendation</w:t>
                      </w:r>
                    </w:p>
                    <w:p w:rsidR="00CB5A76" w:rsidRDefault="00CB5A76" w:rsidP="006917BA">
                      <w:pPr>
                        <w:pBdr>
                          <w:top w:val="single" w:sz="4" w:space="0" w:color="auto"/>
                          <w:left w:val="single" w:sz="4" w:space="4" w:color="auto"/>
                          <w:bottom w:val="single" w:sz="4" w:space="1" w:color="auto"/>
                          <w:right w:val="single" w:sz="4" w:space="4" w:color="auto"/>
                        </w:pBdr>
                        <w:shd w:val="clear" w:color="auto" w:fill="B6DDE8"/>
                      </w:pPr>
                    </w:p>
                    <w:p w:rsidR="00CB5A76" w:rsidRDefault="00CB5A76" w:rsidP="006917BA">
                      <w:pPr>
                        <w:pBdr>
                          <w:top w:val="single" w:sz="4" w:space="0" w:color="auto"/>
                          <w:left w:val="single" w:sz="4" w:space="4" w:color="auto"/>
                          <w:bottom w:val="single" w:sz="4" w:space="1" w:color="auto"/>
                          <w:right w:val="single" w:sz="4" w:space="4" w:color="auto"/>
                        </w:pBdr>
                        <w:shd w:val="clear" w:color="auto" w:fill="B6DDE8"/>
                      </w:pPr>
                      <w:r>
                        <w:t xml:space="preserve">4. Where not already doing so, NGOs </w:t>
                      </w:r>
                      <w:r w:rsidRPr="009B281D">
                        <w:rPr>
                          <w:rFonts w:ascii="Cambria" w:hAnsi="Cambria"/>
                        </w:rPr>
                        <w:t>develop a targeted approach to MRE and HIV prevention to ensure those most ‘at risk’ benefit</w:t>
                      </w:r>
                      <w:r>
                        <w:rPr>
                          <w:rFonts w:ascii="Cambria" w:hAnsi="Cambria"/>
                        </w:rPr>
                        <w:t>.</w:t>
                      </w:r>
                    </w:p>
                  </w:txbxContent>
                </v:textbox>
                <w10:wrap type="tight"/>
              </v:shape>
            </w:pict>
          </mc:Fallback>
        </mc:AlternateContent>
      </w:r>
    </w:p>
    <w:p w:rsidR="00CB5A76" w:rsidRPr="00F6349E" w:rsidRDefault="00CB5A76" w:rsidP="00241597">
      <w:pPr>
        <w:pStyle w:val="Heading30"/>
        <w:numPr>
          <w:ilvl w:val="1"/>
          <w:numId w:val="8"/>
        </w:numPr>
        <w:ind w:right="-480"/>
        <w:rPr>
          <w:lang w:val="en-AU"/>
        </w:rPr>
      </w:pPr>
      <w:r>
        <w:rPr>
          <w:lang w:val="en-AU"/>
        </w:rPr>
        <w:t>Implementation of gender strategies resulting in gender development outcomes and meeting the practical needs of women in communities and success of gender strategies in bringing about different levels of change</w:t>
      </w:r>
    </w:p>
    <w:p w:rsidR="00CB5A76" w:rsidRDefault="00CB5A76" w:rsidP="00E71C0A">
      <w:pPr>
        <w:pStyle w:val="Bodytxt"/>
        <w:spacing w:after="0"/>
        <w:ind w:left="0" w:right="-482"/>
        <w:rPr>
          <w:rFonts w:ascii="Cambria" w:hAnsi="Cambria"/>
          <w:sz w:val="24"/>
        </w:rPr>
      </w:pPr>
      <w:r>
        <w:rPr>
          <w:rFonts w:ascii="Cambria" w:hAnsi="Cambria"/>
          <w:sz w:val="24"/>
        </w:rPr>
        <w:t xml:space="preserve">Although it is still early days in the program there was evidence of some positive results as a result of implementation of gender strategies. All NGOs had established </w:t>
      </w:r>
      <w:r w:rsidRPr="00F6349E">
        <w:rPr>
          <w:rFonts w:ascii="Cambria" w:hAnsi="Cambria"/>
          <w:sz w:val="24"/>
        </w:rPr>
        <w:t xml:space="preserve">a quota for the number of women in village governance bodies such as VDCs, VDMCs, WASH committees, Safety Volunteers </w:t>
      </w:r>
      <w:proofErr w:type="spellStart"/>
      <w:r w:rsidRPr="00F6349E">
        <w:rPr>
          <w:rFonts w:ascii="Cambria" w:hAnsi="Cambria"/>
          <w:sz w:val="24"/>
        </w:rPr>
        <w:t>etc</w:t>
      </w:r>
      <w:proofErr w:type="spellEnd"/>
      <w:r>
        <w:rPr>
          <w:rFonts w:ascii="Cambria" w:hAnsi="Cambria"/>
          <w:sz w:val="24"/>
        </w:rPr>
        <w:t xml:space="preserve"> (usually around 30%). The review</w:t>
      </w:r>
      <w:r w:rsidRPr="00F6349E">
        <w:rPr>
          <w:rFonts w:ascii="Cambria" w:hAnsi="Cambria"/>
          <w:sz w:val="24"/>
        </w:rPr>
        <w:t xml:space="preserve"> team observed that this ha</w:t>
      </w:r>
      <w:r>
        <w:rPr>
          <w:rFonts w:ascii="Cambria" w:hAnsi="Cambria"/>
          <w:sz w:val="24"/>
        </w:rPr>
        <w:t>d</w:t>
      </w:r>
      <w:r w:rsidRPr="00F6349E">
        <w:rPr>
          <w:rFonts w:ascii="Cambria" w:hAnsi="Cambria"/>
          <w:sz w:val="24"/>
        </w:rPr>
        <w:t xml:space="preserve"> increased women’s visibility in decision-making processes</w:t>
      </w:r>
      <w:r>
        <w:rPr>
          <w:rFonts w:ascii="Cambria" w:hAnsi="Cambria"/>
          <w:sz w:val="24"/>
        </w:rPr>
        <w:t xml:space="preserve"> and both women and men on these committees reported that women were able contribute to discussions and were respected</w:t>
      </w:r>
      <w:r w:rsidRPr="00F6349E">
        <w:rPr>
          <w:rFonts w:ascii="Cambria" w:hAnsi="Cambria"/>
          <w:sz w:val="24"/>
        </w:rPr>
        <w:t xml:space="preserve">. </w:t>
      </w:r>
      <w:r>
        <w:rPr>
          <w:rFonts w:ascii="Cambria" w:hAnsi="Cambria"/>
          <w:sz w:val="24"/>
        </w:rPr>
        <w:t xml:space="preserve">Some NGOs were also using </w:t>
      </w:r>
      <w:r w:rsidRPr="00F6349E">
        <w:rPr>
          <w:rFonts w:ascii="Cambria" w:hAnsi="Cambria"/>
          <w:sz w:val="24"/>
        </w:rPr>
        <w:t>women’s focus groups</w:t>
      </w:r>
      <w:r>
        <w:rPr>
          <w:rFonts w:ascii="Cambria" w:hAnsi="Cambria"/>
          <w:sz w:val="24"/>
        </w:rPr>
        <w:t xml:space="preserve"> to</w:t>
      </w:r>
      <w:r w:rsidRPr="00F6349E">
        <w:rPr>
          <w:rFonts w:ascii="Cambria" w:hAnsi="Cambria"/>
          <w:sz w:val="24"/>
        </w:rPr>
        <w:t xml:space="preserve"> encourage greater partic</w:t>
      </w:r>
      <w:r>
        <w:rPr>
          <w:rFonts w:ascii="Cambria" w:hAnsi="Cambria"/>
          <w:sz w:val="24"/>
        </w:rPr>
        <w:t>ipation by women in discussions prior to formal village decision-making.</w:t>
      </w:r>
    </w:p>
    <w:p w:rsidR="00CB5A76" w:rsidRDefault="00CB5A76" w:rsidP="00AE4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2"/>
        <w:jc w:val="both"/>
        <w:rPr>
          <w:rFonts w:ascii="Cambria" w:hAnsi="Cambria"/>
        </w:rPr>
      </w:pPr>
    </w:p>
    <w:p w:rsidR="00CB5A76" w:rsidRPr="001A50F8" w:rsidRDefault="00CB5A76" w:rsidP="001A5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80"/>
        <w:jc w:val="both"/>
        <w:rPr>
          <w:rFonts w:ascii="Cambria" w:hAnsi="Cambria" w:cs="Arial"/>
          <w:color w:val="000000"/>
          <w:szCs w:val="18"/>
        </w:rPr>
      </w:pPr>
      <w:r>
        <w:rPr>
          <w:rFonts w:ascii="Cambria" w:hAnsi="Cambria"/>
        </w:rPr>
        <w:t xml:space="preserve">However, usually one of the criteria for membership of these committees was literacy and in remote villages this precluded the involvement of most women. Some women who were very vocal in focus groups were not on committees as they were illiterate. </w:t>
      </w:r>
      <w:r w:rsidRPr="00F6349E">
        <w:rPr>
          <w:rFonts w:ascii="Cambria" w:hAnsi="Cambria"/>
        </w:rPr>
        <w:t xml:space="preserve">Review team interviews with women in focus groups indicated that sometimes there were less women in committees than reported by village chiefs and that increasing women’s representation did not in </w:t>
      </w:r>
      <w:r>
        <w:rPr>
          <w:rFonts w:ascii="Cambria" w:hAnsi="Cambria"/>
        </w:rPr>
        <w:t>and</w:t>
      </w:r>
      <w:r w:rsidRPr="00F6349E">
        <w:rPr>
          <w:rFonts w:ascii="Cambria" w:hAnsi="Cambria"/>
        </w:rPr>
        <w:t xml:space="preserve"> of itself increase their participation or involvement in decision-making. </w:t>
      </w:r>
      <w:r w:rsidRPr="006D5916">
        <w:rPr>
          <w:rFonts w:ascii="Cambria" w:hAnsi="Cambria" w:cs="Arial"/>
          <w:color w:val="000000"/>
          <w:szCs w:val="18"/>
        </w:rPr>
        <w:t>Confidence and fear of not being ‘right’ we</w:t>
      </w:r>
      <w:r>
        <w:rPr>
          <w:rFonts w:ascii="Cambria" w:hAnsi="Cambria" w:cs="Arial"/>
          <w:color w:val="000000"/>
          <w:szCs w:val="18"/>
        </w:rPr>
        <w:t>re common themes in women’s non-</w:t>
      </w:r>
      <w:r w:rsidRPr="006D5916">
        <w:rPr>
          <w:rFonts w:ascii="Cambria" w:hAnsi="Cambria" w:cs="Arial"/>
          <w:color w:val="000000"/>
          <w:szCs w:val="18"/>
        </w:rPr>
        <w:t xml:space="preserve">participation in meetings, </w:t>
      </w:r>
      <w:r>
        <w:rPr>
          <w:rFonts w:ascii="Cambria" w:hAnsi="Cambria" w:cs="Arial"/>
          <w:color w:val="000000"/>
          <w:szCs w:val="18"/>
        </w:rPr>
        <w:t>one woman stating</w:t>
      </w:r>
      <w:r w:rsidRPr="006D5916">
        <w:rPr>
          <w:rFonts w:ascii="Cambria" w:hAnsi="Cambria" w:cs="Arial"/>
          <w:color w:val="000000"/>
          <w:szCs w:val="18"/>
        </w:rPr>
        <w:t xml:space="preserve"> “</w:t>
      </w:r>
      <w:r w:rsidRPr="00F1155E">
        <w:rPr>
          <w:rFonts w:ascii="Cambria" w:hAnsi="Cambria" w:cs="Arial"/>
          <w:i/>
          <w:color w:val="000000"/>
          <w:szCs w:val="18"/>
        </w:rPr>
        <w:t xml:space="preserve">we want to speak but are not confident to share our opinion”. </w:t>
      </w:r>
      <w:r w:rsidRPr="00F1155E">
        <w:rPr>
          <w:rFonts w:ascii="Cambria" w:hAnsi="Cambria" w:cs="Arial"/>
          <w:color w:val="000000"/>
          <w:szCs w:val="18"/>
        </w:rPr>
        <w:t xml:space="preserve">Traditional gender roles may also impact on women’s ability to actively contribute to meetings and decision-making processes. Whilst women </w:t>
      </w:r>
      <w:r>
        <w:rPr>
          <w:rFonts w:ascii="Cambria" w:hAnsi="Cambria" w:cs="Arial"/>
          <w:color w:val="000000"/>
          <w:szCs w:val="18"/>
        </w:rPr>
        <w:t xml:space="preserve">generally agreed with most decisions made by </w:t>
      </w:r>
      <w:r w:rsidRPr="00F1155E">
        <w:rPr>
          <w:rFonts w:ascii="Cambria" w:hAnsi="Cambria" w:cs="Arial"/>
          <w:color w:val="000000"/>
          <w:szCs w:val="18"/>
        </w:rPr>
        <w:t>village committees</w:t>
      </w:r>
      <w:r>
        <w:rPr>
          <w:rFonts w:ascii="Cambria" w:hAnsi="Cambria" w:cs="Arial"/>
          <w:color w:val="000000"/>
          <w:szCs w:val="18"/>
        </w:rPr>
        <w:t>, a common priority for women that was not addressed was improving opportunities for education for children.</w:t>
      </w:r>
    </w:p>
    <w:p w:rsidR="00CB5A76" w:rsidRDefault="00CB5A76" w:rsidP="00E71C0A">
      <w:pPr>
        <w:pStyle w:val="Bodytxt"/>
        <w:spacing w:after="0"/>
        <w:ind w:left="0" w:right="-482"/>
        <w:rPr>
          <w:rFonts w:ascii="Cambria" w:hAnsi="Cambria"/>
          <w:sz w:val="24"/>
        </w:rPr>
      </w:pPr>
    </w:p>
    <w:p w:rsidR="00CB5A76" w:rsidRDefault="00F77070" w:rsidP="00AE4365">
      <w:pPr>
        <w:pStyle w:val="Bodytxt"/>
        <w:spacing w:after="0"/>
        <w:ind w:left="0" w:right="-482"/>
        <w:rPr>
          <w:rFonts w:ascii="Cambria" w:hAnsi="Cambria"/>
          <w:sz w:val="24"/>
        </w:rPr>
      </w:pPr>
      <w:r>
        <w:rPr>
          <w:noProof/>
          <w:lang w:eastAsia="en-AU"/>
        </w:rPr>
        <mc:AlternateContent>
          <mc:Choice Requires="wps">
            <w:drawing>
              <wp:anchor distT="0" distB="0" distL="114300" distR="114300" simplePos="0" relativeHeight="251657728" behindDoc="0" locked="0" layoutInCell="1" allowOverlap="1" wp14:anchorId="29C69962" wp14:editId="42F71FF0">
                <wp:simplePos x="0" y="0"/>
                <wp:positionH relativeFrom="column">
                  <wp:posOffset>0</wp:posOffset>
                </wp:positionH>
                <wp:positionV relativeFrom="paragraph">
                  <wp:posOffset>393065</wp:posOffset>
                </wp:positionV>
                <wp:extent cx="2743200" cy="2371725"/>
                <wp:effectExtent l="0" t="2540" r="0" b="0"/>
                <wp:wrapTight wrapText="bothSides">
                  <wp:wrapPolygon edited="0">
                    <wp:start x="0" y="0"/>
                    <wp:lineTo x="21600" y="0"/>
                    <wp:lineTo x="21600" y="21600"/>
                    <wp:lineTo x="0" y="21600"/>
                    <wp:lineTo x="0" y="0"/>
                  </wp:wrapPolygon>
                </wp:wrapTigh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76" w:rsidRPr="00406FFA" w:rsidRDefault="00CB5A76" w:rsidP="00206F7A">
                            <w:pPr>
                              <w:pBdr>
                                <w:top w:val="single" w:sz="4" w:space="1" w:color="auto"/>
                                <w:left w:val="single" w:sz="4" w:space="4" w:color="auto"/>
                                <w:bottom w:val="single" w:sz="4" w:space="1" w:color="auto"/>
                                <w:right w:val="single" w:sz="4" w:space="4" w:color="auto"/>
                              </w:pBdr>
                              <w:shd w:val="clear" w:color="auto" w:fill="CCFFCC"/>
                              <w:jc w:val="center"/>
                              <w:rPr>
                                <w:rFonts w:ascii="Cambria" w:hAnsi="Cambria"/>
                                <w:i/>
                              </w:rPr>
                            </w:pPr>
                            <w:proofErr w:type="gramStart"/>
                            <w:r w:rsidRPr="00406FFA">
                              <w:rPr>
                                <w:rFonts w:ascii="Cambria" w:hAnsi="Cambria"/>
                                <w:i/>
                              </w:rPr>
                              <w:t>“ Men</w:t>
                            </w:r>
                            <w:proofErr w:type="gramEnd"/>
                            <w:r w:rsidRPr="00406FFA">
                              <w:rPr>
                                <w:rFonts w:ascii="Cambria" w:hAnsi="Cambria"/>
                                <w:i/>
                              </w:rPr>
                              <w:t xml:space="preserve"> were called to attend the training (on caring for livestock); one woman (the LWU representative) joined them. I know that women are the ones who are the most active in raising animals, but it would be difficult and less effective if there were too many people attending. The trainees will transfer the knowledge/skills to other villagers, including women”.</w:t>
                            </w:r>
                          </w:p>
                          <w:p w:rsidR="00CB5A76" w:rsidRPr="00206F7A" w:rsidRDefault="00CB5A76" w:rsidP="00206F7A">
                            <w:pPr>
                              <w:pBdr>
                                <w:top w:val="single" w:sz="4" w:space="1" w:color="auto"/>
                                <w:left w:val="single" w:sz="4" w:space="4" w:color="auto"/>
                                <w:bottom w:val="single" w:sz="4" w:space="1" w:color="auto"/>
                                <w:right w:val="single" w:sz="4" w:space="4" w:color="auto"/>
                              </w:pBdr>
                              <w:shd w:val="clear" w:color="auto" w:fill="CCFFCC"/>
                              <w:jc w:val="center"/>
                              <w:rPr>
                                <w:rFonts w:ascii="Cambria" w:hAnsi="Cambria"/>
                                <w:b/>
                                <w:bCs/>
                                <w:i/>
                                <w:color w:val="FF0000"/>
                              </w:rPr>
                            </w:pPr>
                            <w:r w:rsidRPr="00406FFA">
                              <w:rPr>
                                <w:rFonts w:ascii="Cambria" w:hAnsi="Cambria"/>
                              </w:rPr>
                              <w:t xml:space="preserve">District Agriculture &amp; Forestry Officer, (DAFO) </w:t>
                            </w:r>
                            <w:proofErr w:type="spellStart"/>
                            <w:r w:rsidRPr="00406FFA">
                              <w:rPr>
                                <w:rFonts w:ascii="Cambria" w:hAnsi="Cambria"/>
                              </w:rPr>
                              <w:t>Saravane</w:t>
                            </w:r>
                            <w:proofErr w:type="spellEnd"/>
                            <w:r w:rsidRPr="00406FFA">
                              <w:rPr>
                                <w:rFonts w:ascii="Cambria" w:hAnsi="Cambria"/>
                              </w:rPr>
                              <w:t xml:space="preserve"> Province</w:t>
                            </w:r>
                            <w:r w:rsidRPr="00406FFA">
                              <w:rPr>
                                <w:rFonts w:ascii="Cambria" w:hAnsi="Cambria"/>
                                <w:color w:val="FF0000"/>
                              </w:rPr>
                              <w:t xml:space="preserve"> </w:t>
                            </w:r>
                          </w:p>
                          <w:p w:rsidR="00CB5A76" w:rsidRDefault="00CB5A76" w:rsidP="00A24DA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30.95pt;width:3in;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btAIAAMI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oXaQHkFbqNEDGwy6lQMiNj19pxOwuu/AzgxwDKaOqu7uZPFVIyHXNRU7dqOU7GtGSwgvtC/9ydMR&#10;R1uQbf9BluCG7o10QEOlWps7yAYCdIjj8VwaG0oBh9GCXEK9MSrgLrpchIto5nzQ5PS8U9q8Y7JF&#10;dpFiBbV38PRwp40NhyYnE+tNyJw3jat/I54dgOF4As7hqb2zYbhy/oiDeLPcLIlHovnGI0GWeTf5&#10;mnjzPFzMsstsvc7Cn9ZvSJKalyUT1s1JWiH5s9IdRT6K4iwuLRteWjgbkla77bpR6EBB2rkbx4RM&#10;zPznYbgkAJcXlMKIBLdR7OXz5cIjOZl58SJYekEY38bzgMQky59TuuOC/Tsl1Kc4nkEdHZ3fcgvc&#10;eM2NJi030Dwa3qZ4eTaiidXgRpSutIbyZlxPUmHDf0oFlPtUaKdYK9JRrmbYDu5vRNa7VfNWlo8g&#10;YSVBYCBGaHywqKX6jlEPTSTF+tueKoZR817AN4hDQsDMTDdqutlON1QUAJVig9G4XJuxU+07xXc1&#10;eBo/npA38HUq7kT9FNXxw0GjcNyOTc12ouneWT213tUvAAAA//8DAFBLAwQUAAYACAAAACEAzmBQ&#10;j9sAAAAHAQAADwAAAGRycy9kb3ducmV2LnhtbEyPzU7DMBCE70i8g7VI3KjT0j9CnAoV8QAUJK5O&#10;vI0j7HUUOz/06dme4Lazs5r5tjjM3okR+9gGUrBcZCCQ6mBaahR8frw97EHEpMloFwgV/GCEQ3l7&#10;U+jchInecTylRnAIxVwrsCl1uZSxtuh1XIQOib1z6L1OLPtGml5PHO6dXGXZVnrdEjdY3eHRYv19&#10;GryC+jK87o9tNU6X3deumq3bnMkpdX83vzyDSDinv2O44jM6lMxUhYFMFE4BP5IUbJdPINhdP654&#10;UV2HzRpkWcj//OUvAAAA//8DAFBLAQItABQABgAIAAAAIQC2gziS/gAAAOEBAAATAAAAAAAAAAAA&#10;AAAAAAAAAABbQ29udGVudF9UeXBlc10ueG1sUEsBAi0AFAAGAAgAAAAhADj9If/WAAAAlAEAAAsA&#10;AAAAAAAAAAAAAAAALwEAAF9yZWxzLy5yZWxzUEsBAi0AFAAGAAgAAAAhAJT+FBu0AgAAwgUAAA4A&#10;AAAAAAAAAAAAAAAALgIAAGRycy9lMm9Eb2MueG1sUEsBAi0AFAAGAAgAAAAhAM5gUI/bAAAABwEA&#10;AA8AAAAAAAAAAAAAAAAADgUAAGRycy9kb3ducmV2LnhtbFBLBQYAAAAABAAEAPMAAAAWBgAAAAA=&#10;" filled="f" stroked="f">
                <v:textbox inset=",7.2pt,,7.2pt">
                  <w:txbxContent>
                    <w:p w:rsidR="00CB5A76" w:rsidRPr="00406FFA" w:rsidRDefault="00CB5A76" w:rsidP="00206F7A">
                      <w:pPr>
                        <w:pBdr>
                          <w:top w:val="single" w:sz="4" w:space="1" w:color="auto"/>
                          <w:left w:val="single" w:sz="4" w:space="4" w:color="auto"/>
                          <w:bottom w:val="single" w:sz="4" w:space="1" w:color="auto"/>
                          <w:right w:val="single" w:sz="4" w:space="4" w:color="auto"/>
                        </w:pBdr>
                        <w:shd w:val="clear" w:color="auto" w:fill="CCFFCC"/>
                        <w:jc w:val="center"/>
                        <w:rPr>
                          <w:rFonts w:ascii="Cambria" w:hAnsi="Cambria"/>
                          <w:i/>
                        </w:rPr>
                      </w:pPr>
                      <w:r w:rsidRPr="00406FFA">
                        <w:rPr>
                          <w:rFonts w:ascii="Cambria" w:hAnsi="Cambria"/>
                          <w:i/>
                        </w:rPr>
                        <w:t>“ Men were called to attend the training (on caring for livestock); one woman (the LWU representative) joined them. I know that women are the ones who are the most active in raising animals, but it would be difficult and less effective if there were too many people attending. The trainees will transfer the knowledge/skills to other villagers, including women”.</w:t>
                      </w:r>
                    </w:p>
                    <w:p w:rsidR="00CB5A76" w:rsidRPr="00206F7A" w:rsidRDefault="00CB5A76" w:rsidP="00206F7A">
                      <w:pPr>
                        <w:pBdr>
                          <w:top w:val="single" w:sz="4" w:space="1" w:color="auto"/>
                          <w:left w:val="single" w:sz="4" w:space="4" w:color="auto"/>
                          <w:bottom w:val="single" w:sz="4" w:space="1" w:color="auto"/>
                          <w:right w:val="single" w:sz="4" w:space="4" w:color="auto"/>
                        </w:pBdr>
                        <w:shd w:val="clear" w:color="auto" w:fill="CCFFCC"/>
                        <w:jc w:val="center"/>
                        <w:rPr>
                          <w:rFonts w:ascii="Cambria" w:hAnsi="Cambria"/>
                          <w:b/>
                          <w:bCs/>
                          <w:i/>
                          <w:color w:val="FF0000"/>
                        </w:rPr>
                      </w:pPr>
                      <w:r w:rsidRPr="00406FFA">
                        <w:rPr>
                          <w:rFonts w:ascii="Cambria" w:hAnsi="Cambria"/>
                        </w:rPr>
                        <w:t>District Agriculture &amp; Forestry Officer, (DAFO) Saravane Province</w:t>
                      </w:r>
                      <w:r w:rsidRPr="00406FFA">
                        <w:rPr>
                          <w:rFonts w:ascii="Cambria" w:hAnsi="Cambria"/>
                          <w:color w:val="FF0000"/>
                        </w:rPr>
                        <w:t xml:space="preserve"> </w:t>
                      </w:r>
                    </w:p>
                    <w:p w:rsidR="00CB5A76" w:rsidRDefault="00CB5A76" w:rsidP="00A24DA4"/>
                  </w:txbxContent>
                </v:textbox>
                <w10:wrap type="tight"/>
              </v:shape>
            </w:pict>
          </mc:Fallback>
        </mc:AlternateContent>
      </w:r>
      <w:r w:rsidR="00CB5A76">
        <w:rPr>
          <w:rFonts w:ascii="Cambria" w:hAnsi="Cambria"/>
          <w:sz w:val="24"/>
        </w:rPr>
        <w:t>In addition, most women on the committees interviewed by the review team were not beneficiaries of training offered to committee members as part of the project. This was sometimes due to the need to travel outside the village which was a barrier for women with young children or multiple responsibilities and sometimes because those selected were the village chief (usually a man) or other “higher status” members of the committee (also usually men). Government staff were often involved in selection of village committee members for training. Despite stating a commitment to gender equality the statement by the DAFO counterpart would indicate this is very limited.</w:t>
      </w:r>
    </w:p>
    <w:p w:rsidR="00CB5A76" w:rsidRDefault="00F77070" w:rsidP="00E71C0A">
      <w:pPr>
        <w:pStyle w:val="Bodytxt"/>
        <w:spacing w:after="0"/>
        <w:ind w:left="0" w:right="-480"/>
        <w:rPr>
          <w:rFonts w:ascii="Cambria" w:hAnsi="Cambria"/>
          <w:sz w:val="24"/>
        </w:rPr>
      </w:pPr>
      <w:r>
        <w:rPr>
          <w:noProof/>
          <w:lang w:eastAsia="en-AU"/>
        </w:rPr>
        <mc:AlternateContent>
          <mc:Choice Requires="wps">
            <w:drawing>
              <wp:anchor distT="0" distB="0" distL="114300" distR="114300" simplePos="0" relativeHeight="251654656" behindDoc="0" locked="0" layoutInCell="1" allowOverlap="1" wp14:anchorId="1D912423" wp14:editId="64242668">
                <wp:simplePos x="0" y="0"/>
                <wp:positionH relativeFrom="column">
                  <wp:posOffset>-647700</wp:posOffset>
                </wp:positionH>
                <wp:positionV relativeFrom="paragraph">
                  <wp:posOffset>478155</wp:posOffset>
                </wp:positionV>
                <wp:extent cx="76200" cy="114300"/>
                <wp:effectExtent l="0" t="1905" r="0" b="0"/>
                <wp:wrapTight wrapText="bothSides">
                  <wp:wrapPolygon edited="0">
                    <wp:start x="0" y="0"/>
                    <wp:lineTo x="21600" y="0"/>
                    <wp:lineTo x="21600" y="21600"/>
                    <wp:lineTo x="0" y="21600"/>
                    <wp:lineTo x="0" y="0"/>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76" w:rsidRPr="006D5916" w:rsidRDefault="00CB5A76" w:rsidP="006D591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1pt;margin-top:37.65pt;width:6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0msQIAAL4FAAAOAAAAZHJzL2Uyb0RvYy54bWysVG1vmzAQ/j5p/8HydwqkzguopEpCmCZ1&#10;L1K7H+CACdbAZrYT6Kb9951NktJWk6ZtfED2+fzcPXeP7+a2b2p0ZEpzKRIcXgUYMZHLgot9gr88&#10;ZN4CI22oKGgtBUvwI9P4dvn2zU3XxmwiK1kXTCEAETru2gRXxrSx7+u8Yg3VV7JlAg5LqRpqYKv2&#10;fqFoB+hN7U+CYOZ3UhWtkjnTGqzpcIiXDr8sWW4+laVmBtUJhtyM+yv339m/v7yh8V7RtuL5KQ36&#10;F1k0lAsIeoFKqaHooPgrqIbnSmpZmqtcNr4sS54zxwHYhMELNvcVbZnjAsXR7aVM+v/B5h+PnxXi&#10;RYIjjARtoEUPrDdoLXs0tdXpWh2D030LbqYHM3TZMdXtncy/aiTkpqJiz1ZKya5itIDsQnvTH10d&#10;cLQF2XUfZAFh6MFIB9SXqrGlg2IgQIcuPV46Y1PJwTifQbMxyuEkDMk1rG0AGp/vtkqbd0w2yC4S&#10;rKDvDpse77QZXM8uNpSQGa9rsNO4Fs8MgDlYIDJctWc2B9fKH1EQbRfbBfHIZLb1SJCm3irbEG+W&#10;hfNpep1uNmn408YNSVzxomDChjnLKiR/1raTwAdBXISlZc0LC2dT0mq/29QKHSnIOnPfqSAjN/95&#10;Gq5ewOUFpXBCgvUk8rLZYu6RjEy9aB4svCCM1tEsIBFJs+eU7rhg/04JdaC46WQ6SOm33AL3veZG&#10;44YbGBw1bxK8uDjR2ApwKwrXWkN5PaxHpbDpP5UC2n1utJOrVeigVdPvevcurm10K+WdLB5Bv0qC&#10;wECLMPRgUUn1HaMOBkiC9bcDVQyj+r2ANxCFhNiJM96o8WY33lCRA1SCDUbDcmOGKXVoFd9XEGl4&#10;dUKu4N2U3In6KavTa4Mh4bidBpqdQuO983oau8tfAAAA//8DAFBLAwQUAAYACAAAACEAda6Nz94A&#10;AAAKAQAADwAAAGRycy9kb3ducmV2LnhtbEyPzU7DMBCE70i8g7WVuKVOG5W0IZsKFfEAlEpcndiN&#10;o9rrKHZ+6NNjTnCcndHsN+VxsYZNavCdI4TNOgWmqHGyoxbh8vme7IH5IEgK40ghfCsPx+rxoRSF&#10;dDN9qOkcWhZLyBcCQYfQF5z7Risr/Nr1iqJ3dYMVIcqh5XIQcyy3hm/T9Jlb0VH8oEWvTlo1t/No&#10;EZr7+LY/dfU03/OvvF602V3JID6tltcXYEEt4S8Mv/gRHarIVLuRpGcGIdmk2zgmIOS7DFhMJIc0&#10;HmqEQ5YBr0r+f0L1AwAA//8DAFBLAQItABQABgAIAAAAIQC2gziS/gAAAOEBAAATAAAAAAAAAAAA&#10;AAAAAAAAAABbQ29udGVudF9UeXBlc10ueG1sUEsBAi0AFAAGAAgAAAAhADj9If/WAAAAlAEAAAsA&#10;AAAAAAAAAAAAAAAALwEAAF9yZWxzLy5yZWxzUEsBAi0AFAAGAAgAAAAhAIY2fSaxAgAAvgUAAA4A&#10;AAAAAAAAAAAAAAAALgIAAGRycy9lMm9Eb2MueG1sUEsBAi0AFAAGAAgAAAAhAHWujc/eAAAACgEA&#10;AA8AAAAAAAAAAAAAAAAACwUAAGRycy9kb3ducmV2LnhtbFBLBQYAAAAABAAEAPMAAAAWBgAAAAA=&#10;" filled="f" stroked="f">
                <v:textbox inset=",7.2pt,,7.2pt">
                  <w:txbxContent>
                    <w:p w:rsidR="00CB5A76" w:rsidRPr="006D5916" w:rsidRDefault="00CB5A76" w:rsidP="006D5916"/>
                  </w:txbxContent>
                </v:textbox>
                <w10:wrap type="tight"/>
              </v:shape>
            </w:pict>
          </mc:Fallback>
        </mc:AlternateContent>
      </w:r>
      <w:r w:rsidR="00CB5A76">
        <w:rPr>
          <w:rFonts w:ascii="Cambria" w:hAnsi="Cambria"/>
          <w:sz w:val="24"/>
        </w:rPr>
        <w:t>Review team members’ discussions with women’s focus groups were consistent with NGO progress reports about the benefits of gender specific activities for women. In every village the review team visited women reported that provision of clean water sources such as gravity fed systems or wells significantly reduced the time they took collecting water and also had health benefits such as decreased incidence of water-</w:t>
      </w:r>
      <w:proofErr w:type="spellStart"/>
      <w:r w:rsidR="00CB5A76">
        <w:rPr>
          <w:rFonts w:ascii="Cambria" w:hAnsi="Cambria"/>
          <w:sz w:val="24"/>
        </w:rPr>
        <w:t>bourne</w:t>
      </w:r>
      <w:proofErr w:type="spellEnd"/>
      <w:r w:rsidR="00CB5A76">
        <w:rPr>
          <w:rFonts w:ascii="Cambria" w:hAnsi="Cambria"/>
          <w:sz w:val="24"/>
        </w:rPr>
        <w:t xml:space="preserve"> diseases. In villages where irrigation was provided women also reported less time carrying water. NGOs tended to report this as reduced workload. However, women told the team that their overall workload was not reduced – time spent collecting water was now used to work in the fields.</w:t>
      </w:r>
    </w:p>
    <w:p w:rsidR="00CB5A76" w:rsidRDefault="00CB5A76" w:rsidP="00E71C0A">
      <w:pPr>
        <w:pStyle w:val="Bodytxt"/>
        <w:spacing w:after="0"/>
        <w:ind w:left="0" w:right="-480"/>
        <w:rPr>
          <w:rFonts w:ascii="Cambria" w:hAnsi="Cambria"/>
          <w:sz w:val="24"/>
        </w:rPr>
      </w:pPr>
    </w:p>
    <w:p w:rsidR="00CB5A76" w:rsidRDefault="00CB5A76" w:rsidP="009E1188">
      <w:pPr>
        <w:pStyle w:val="Bodytxt"/>
        <w:spacing w:after="0"/>
        <w:ind w:left="0" w:right="-480"/>
        <w:rPr>
          <w:rFonts w:ascii="Cambria" w:hAnsi="Cambria"/>
          <w:sz w:val="24"/>
        </w:rPr>
      </w:pPr>
      <w:r>
        <w:rPr>
          <w:rFonts w:ascii="Cambria" w:hAnsi="Cambria"/>
          <w:sz w:val="24"/>
        </w:rPr>
        <w:t>Most women were very positive about clearance activities as having potential to grow more rice and/or generate more income by making land available for agricultural use. One woman stated that cleared land benefited the entire family and the extra labour was therefore not a problem. However, for female-headed households with little or no capacity to increase labour there was little benefit as they were unable to make use of additional land.</w:t>
      </w:r>
    </w:p>
    <w:p w:rsidR="00CB5A76" w:rsidRDefault="00CB5A76" w:rsidP="009E1188">
      <w:pPr>
        <w:pStyle w:val="Bodytxt"/>
        <w:spacing w:after="0"/>
        <w:ind w:left="0" w:right="-480"/>
        <w:rPr>
          <w:rFonts w:ascii="Cambria" w:hAnsi="Cambria"/>
          <w:sz w:val="24"/>
        </w:rPr>
      </w:pPr>
    </w:p>
    <w:p w:rsidR="00CB5A76" w:rsidRPr="004B6C6C" w:rsidRDefault="00CB5A76" w:rsidP="004B6C6C">
      <w:pPr>
        <w:pBdr>
          <w:top w:val="single" w:sz="4" w:space="1" w:color="auto"/>
          <w:left w:val="single" w:sz="4" w:space="0" w:color="auto"/>
          <w:bottom w:val="single" w:sz="4" w:space="17" w:color="auto"/>
          <w:right w:val="single" w:sz="4" w:space="9" w:color="auto"/>
        </w:pBdr>
        <w:shd w:val="clear" w:color="auto" w:fill="CCFFCC"/>
        <w:jc w:val="center"/>
        <w:rPr>
          <w:rFonts w:ascii="Cambria" w:hAnsi="Cambria"/>
        </w:rPr>
      </w:pPr>
      <w:proofErr w:type="spellStart"/>
      <w:r w:rsidRPr="004B6C6C">
        <w:rPr>
          <w:rFonts w:ascii="Cambria" w:hAnsi="Cambria"/>
        </w:rPr>
        <w:t>Dtui’s</w:t>
      </w:r>
      <w:proofErr w:type="spellEnd"/>
      <w:r w:rsidRPr="004B6C6C">
        <w:rPr>
          <w:rFonts w:ascii="Cambria" w:hAnsi="Cambria"/>
        </w:rPr>
        <w:t xml:space="preserve"> story</w:t>
      </w:r>
    </w:p>
    <w:p w:rsidR="00CB5A76" w:rsidRDefault="00CB5A76" w:rsidP="004B6C6C">
      <w:pPr>
        <w:pBdr>
          <w:top w:val="single" w:sz="4" w:space="1" w:color="auto"/>
          <w:left w:val="single" w:sz="4" w:space="0" w:color="auto"/>
          <w:bottom w:val="single" w:sz="4" w:space="17" w:color="auto"/>
          <w:right w:val="single" w:sz="4" w:space="9" w:color="auto"/>
        </w:pBdr>
        <w:shd w:val="clear" w:color="auto" w:fill="CCFFCC"/>
        <w:jc w:val="center"/>
        <w:rPr>
          <w:rFonts w:ascii="Cambria" w:hAnsi="Cambria"/>
          <w:i/>
        </w:rPr>
      </w:pPr>
      <w:proofErr w:type="spellStart"/>
      <w:r w:rsidRPr="006D5916">
        <w:rPr>
          <w:rFonts w:ascii="Cambria" w:hAnsi="Cambria"/>
          <w:i/>
        </w:rPr>
        <w:t>Dtui</w:t>
      </w:r>
      <w:proofErr w:type="spellEnd"/>
      <w:r w:rsidRPr="006D5916">
        <w:rPr>
          <w:rFonts w:ascii="Cambria" w:hAnsi="Cambria"/>
          <w:i/>
        </w:rPr>
        <w:t xml:space="preserve"> is a widow with 4 daughters, one of whom is married. She has chronic stomach pain and cannot work for long in her field. Her son-in-law and adult daughter can help in her one field in exchange for </w:t>
      </w:r>
      <w:proofErr w:type="spellStart"/>
      <w:r w:rsidRPr="006D5916">
        <w:rPr>
          <w:rFonts w:ascii="Cambria" w:hAnsi="Cambria"/>
          <w:i/>
        </w:rPr>
        <w:t>Dtui</w:t>
      </w:r>
      <w:proofErr w:type="spellEnd"/>
      <w:r w:rsidRPr="006D5916">
        <w:rPr>
          <w:rFonts w:ascii="Cambria" w:hAnsi="Cambria"/>
          <w:i/>
        </w:rPr>
        <w:t xml:space="preserve"> caring for their baby. </w:t>
      </w:r>
      <w:proofErr w:type="spellStart"/>
      <w:r w:rsidRPr="006D5916">
        <w:rPr>
          <w:rFonts w:ascii="Cambria" w:hAnsi="Cambria"/>
          <w:i/>
        </w:rPr>
        <w:t>Dtui</w:t>
      </w:r>
      <w:proofErr w:type="spellEnd"/>
      <w:r w:rsidRPr="006D5916">
        <w:rPr>
          <w:rFonts w:ascii="Cambria" w:hAnsi="Cambria"/>
          <w:i/>
        </w:rPr>
        <w:t xml:space="preserve"> could not benefit from land clearance as she cannot work the land and cannot pay anyone else to do so. Her main concerns were food security for family and her own health.</w:t>
      </w:r>
    </w:p>
    <w:p w:rsidR="00CB5A76" w:rsidRDefault="00CB5A76" w:rsidP="009E1188">
      <w:pPr>
        <w:pStyle w:val="Bodytxt"/>
        <w:spacing w:after="0"/>
        <w:ind w:left="0" w:right="-480"/>
        <w:rPr>
          <w:rFonts w:ascii="Cambria" w:hAnsi="Cambria"/>
          <w:sz w:val="24"/>
        </w:rPr>
      </w:pPr>
    </w:p>
    <w:p w:rsidR="00CB5A76" w:rsidRDefault="00CB5A76" w:rsidP="009E1188">
      <w:pPr>
        <w:pStyle w:val="Bodytxt"/>
        <w:spacing w:after="0"/>
        <w:ind w:left="0" w:right="-480"/>
        <w:rPr>
          <w:rFonts w:ascii="Cambria" w:hAnsi="Cambria"/>
          <w:sz w:val="24"/>
        </w:rPr>
      </w:pPr>
      <w:r>
        <w:rPr>
          <w:rFonts w:ascii="Cambria" w:hAnsi="Cambria"/>
          <w:sz w:val="24"/>
        </w:rPr>
        <w:t xml:space="preserve">All women were very positive about the </w:t>
      </w:r>
      <w:r w:rsidRPr="00071DD9">
        <w:rPr>
          <w:rFonts w:ascii="Cambria" w:hAnsi="Cambria"/>
          <w:sz w:val="24"/>
          <w:u w:val="single"/>
        </w:rPr>
        <w:t>potential</w:t>
      </w:r>
      <w:r>
        <w:rPr>
          <w:rFonts w:ascii="Cambria" w:hAnsi="Cambria"/>
          <w:sz w:val="24"/>
        </w:rPr>
        <w:t xml:space="preserve"> benefits of income generation activities such as production of Job’s Tears (CARE), coffee (Oxfam), bananas and rattan (WV). However, all women recognised that they needed an accessible market to sell their produce and were looking to the projects to develop this on their behalf. When asked about who would benefit from the additional income women told the review team that they controlled family income (usually to prevent the men from spending too much on alcohol). Some women were travelling to markets some distance away to sell small amounts of produce once a week or once a month depending on time and amount of produce. However, if selling produce required a collaborative village effort, for example, to sell coffee, the control over income from sale would not necessarily remain with women. NGOs will need to take this into consideration when developing marketing strategies with communities.</w:t>
      </w:r>
    </w:p>
    <w:p w:rsidR="00CB5A76" w:rsidRDefault="00CB5A76" w:rsidP="00EB4833">
      <w:pPr>
        <w:pStyle w:val="Bodytxt"/>
        <w:spacing w:after="0"/>
        <w:ind w:left="0" w:right="-480"/>
        <w:rPr>
          <w:rFonts w:ascii="Cambria" w:hAnsi="Cambria" w:cs="Times New Roman"/>
          <w:b/>
          <w:color w:val="548DD4"/>
          <w:sz w:val="24"/>
        </w:rPr>
      </w:pPr>
    </w:p>
    <w:p w:rsidR="00CB5A76" w:rsidRDefault="00CB5A76" w:rsidP="00EB4833">
      <w:pPr>
        <w:pStyle w:val="Bodytxt"/>
        <w:spacing w:after="0"/>
        <w:ind w:left="0" w:right="-480"/>
        <w:rPr>
          <w:rFonts w:ascii="Cambria" w:hAnsi="Cambria"/>
          <w:sz w:val="24"/>
        </w:rPr>
      </w:pPr>
      <w:r w:rsidRPr="003D4809">
        <w:rPr>
          <w:rFonts w:ascii="Cambria" w:hAnsi="Cambria"/>
          <w:sz w:val="24"/>
        </w:rPr>
        <w:t>G</w:t>
      </w:r>
      <w:r>
        <w:rPr>
          <w:rFonts w:ascii="Cambria" w:hAnsi="Cambria"/>
          <w:sz w:val="24"/>
        </w:rPr>
        <w:t xml:space="preserve">iven the time required to change norms and the roles and status of women in remote communities it is too early to make any definitive statements about the success of the gender strategies in leading to this type of change. However, there are several examples of activities that have the potential to lead to permanent changes in perceptions of women’s roles. </w:t>
      </w:r>
    </w:p>
    <w:p w:rsidR="00CB5A76" w:rsidRDefault="00CB5A76" w:rsidP="0090296D">
      <w:pPr>
        <w:pStyle w:val="Bodytxt"/>
        <w:spacing w:after="0"/>
        <w:ind w:left="0" w:right="-480"/>
        <w:rPr>
          <w:rFonts w:ascii="Cambria" w:hAnsi="Cambria"/>
          <w:sz w:val="24"/>
        </w:rPr>
      </w:pPr>
    </w:p>
    <w:p w:rsidR="00CB5A76" w:rsidRPr="00F6349E" w:rsidRDefault="00CB5A76" w:rsidP="0090296D">
      <w:pPr>
        <w:pStyle w:val="Bodytxt"/>
        <w:spacing w:after="0"/>
        <w:ind w:left="0" w:right="-480"/>
        <w:rPr>
          <w:rFonts w:ascii="Cambria" w:hAnsi="Cambria"/>
          <w:sz w:val="24"/>
        </w:rPr>
      </w:pPr>
      <w:r w:rsidRPr="00F6349E">
        <w:rPr>
          <w:rFonts w:ascii="Cambria" w:hAnsi="Cambria"/>
          <w:sz w:val="24"/>
        </w:rPr>
        <w:t xml:space="preserve">Oxfam’s training of midwives and provision of equipment has demonstrably benefited the health of mothers and babies in those target villages and had the additional benefit of increasing the </w:t>
      </w:r>
      <w:r>
        <w:rPr>
          <w:rFonts w:ascii="Cambria" w:hAnsi="Cambria"/>
          <w:sz w:val="24"/>
        </w:rPr>
        <w:t xml:space="preserve">self-confidence of the midwives. </w:t>
      </w:r>
      <w:r w:rsidRPr="001920FF">
        <w:rPr>
          <w:rFonts w:ascii="Cambria" w:hAnsi="Cambria"/>
          <w:sz w:val="24"/>
        </w:rPr>
        <w:t>Oxfam staff reported that women were now receiving at least 2 ante-natal visits and the births of all women were attended by a trained midwife, where previously traditionally they birthed in the forest without any assistance. The Oxfam director also noted that “</w:t>
      </w:r>
      <w:r w:rsidRPr="001920FF">
        <w:rPr>
          <w:rFonts w:ascii="Cambria" w:hAnsi="Cambria"/>
          <w:i/>
          <w:sz w:val="24"/>
        </w:rPr>
        <w:t>two of the youngest girls selected for training as midwives have blossomed in terms of their confidence and have told me that they now feel they have a respected position in their village which they did not have before training”.</w:t>
      </w:r>
    </w:p>
    <w:p w:rsidR="00CB5A76" w:rsidRDefault="00CB5A76" w:rsidP="003D4809">
      <w:pPr>
        <w:pStyle w:val="Bodytxt"/>
        <w:spacing w:after="0"/>
        <w:ind w:left="0" w:right="-480"/>
        <w:rPr>
          <w:rFonts w:ascii="Cambria" w:hAnsi="Cambria"/>
          <w:sz w:val="24"/>
        </w:rPr>
      </w:pPr>
    </w:p>
    <w:p w:rsidR="00CB5A76" w:rsidRDefault="00CB5A76" w:rsidP="003D4809">
      <w:pPr>
        <w:pStyle w:val="Bodytxt"/>
        <w:spacing w:after="0"/>
        <w:ind w:left="0" w:right="-480"/>
      </w:pPr>
      <w:r>
        <w:rPr>
          <w:rFonts w:ascii="Cambria" w:hAnsi="Cambria"/>
          <w:sz w:val="24"/>
        </w:rPr>
        <w:t>T</w:t>
      </w:r>
      <w:r w:rsidRPr="00F6349E">
        <w:rPr>
          <w:rFonts w:ascii="Cambria" w:hAnsi="Cambria"/>
          <w:sz w:val="24"/>
        </w:rPr>
        <w:t>here was evidence of increased confidence and self-assurance among girls</w:t>
      </w:r>
      <w:r>
        <w:rPr>
          <w:rFonts w:ascii="Cambria" w:hAnsi="Cambria"/>
          <w:sz w:val="24"/>
        </w:rPr>
        <w:t xml:space="preserve"> in </w:t>
      </w:r>
      <w:r w:rsidRPr="00F6349E">
        <w:rPr>
          <w:rFonts w:ascii="Cambria" w:hAnsi="Cambria"/>
          <w:sz w:val="24"/>
        </w:rPr>
        <w:t>SCA’s children’s groups in which both girls and boys were active participants in disaster preparedness</w:t>
      </w:r>
      <w:r>
        <w:rPr>
          <w:rFonts w:ascii="Cambria" w:hAnsi="Cambria"/>
          <w:sz w:val="24"/>
        </w:rPr>
        <w:t xml:space="preserve">. </w:t>
      </w:r>
      <w:r w:rsidRPr="001920FF">
        <w:rPr>
          <w:rFonts w:ascii="Cambria" w:hAnsi="Cambria"/>
          <w:sz w:val="24"/>
        </w:rPr>
        <w:t>One of the teachers noted that “</w:t>
      </w:r>
      <w:r w:rsidRPr="001920FF">
        <w:rPr>
          <w:rFonts w:ascii="Cambria" w:hAnsi="Cambria"/>
          <w:i/>
          <w:sz w:val="24"/>
        </w:rPr>
        <w:t>the girls are more confident to ask questions and</w:t>
      </w:r>
      <w:r>
        <w:rPr>
          <w:rFonts w:ascii="Cambria" w:hAnsi="Cambria"/>
          <w:i/>
          <w:sz w:val="24"/>
        </w:rPr>
        <w:t xml:space="preserve"> get information from teachers</w:t>
      </w:r>
      <w:r w:rsidRPr="001920FF">
        <w:rPr>
          <w:rFonts w:ascii="Cambria" w:hAnsi="Cambria"/>
          <w:i/>
          <w:sz w:val="24"/>
        </w:rPr>
        <w:t>.....those parents who did not give permission for their children to attend (the children’s groups) changed their minds when they saw the children had more confidence in school”.</w:t>
      </w:r>
      <w:r>
        <w:t xml:space="preserve"> </w:t>
      </w:r>
    </w:p>
    <w:p w:rsidR="00CB5A76" w:rsidRDefault="00CB5A76" w:rsidP="003D4809">
      <w:pPr>
        <w:pStyle w:val="Bodytxt"/>
        <w:spacing w:after="0"/>
        <w:ind w:left="0" w:right="-480"/>
      </w:pPr>
    </w:p>
    <w:p w:rsidR="00CB5A76" w:rsidRDefault="00CB5A76" w:rsidP="003D4809">
      <w:pPr>
        <w:pStyle w:val="Bodytxt"/>
        <w:spacing w:after="0"/>
        <w:ind w:left="0" w:right="-480"/>
        <w:rPr>
          <w:rFonts w:ascii="Cambria" w:hAnsi="Cambria"/>
          <w:sz w:val="24"/>
        </w:rPr>
      </w:pPr>
      <w:r>
        <w:rPr>
          <w:rFonts w:ascii="Cambria" w:hAnsi="Cambria"/>
          <w:sz w:val="24"/>
        </w:rPr>
        <w:t>Moreover, the volunteers assisting with these groups were young women who had been participants in SCA’s previous projects as children. The young women volunteers were confident, articulate and willing to take a lead role in the community in disaster mitigation activities.</w:t>
      </w:r>
    </w:p>
    <w:p w:rsidR="00CB5A76" w:rsidRPr="00F6349E" w:rsidRDefault="00CB5A76" w:rsidP="003D4809">
      <w:pPr>
        <w:pStyle w:val="Bodytxt"/>
        <w:spacing w:after="0"/>
        <w:ind w:left="0" w:right="-480"/>
        <w:rPr>
          <w:rFonts w:ascii="Cambria" w:hAnsi="Cambria"/>
          <w:sz w:val="24"/>
        </w:rPr>
      </w:pPr>
    </w:p>
    <w:p w:rsidR="00CB5A76" w:rsidRDefault="00CB5A76" w:rsidP="003D4809">
      <w:pPr>
        <w:pStyle w:val="Bodytxt"/>
        <w:spacing w:after="0"/>
        <w:ind w:left="0" w:right="-480"/>
        <w:rPr>
          <w:rFonts w:ascii="Cambria" w:hAnsi="Cambria"/>
          <w:sz w:val="24"/>
        </w:rPr>
      </w:pPr>
      <w:r w:rsidRPr="00F6349E">
        <w:rPr>
          <w:rFonts w:ascii="Cambria" w:hAnsi="Cambria"/>
          <w:sz w:val="24"/>
        </w:rPr>
        <w:t>World Vision</w:t>
      </w:r>
      <w:r>
        <w:rPr>
          <w:rFonts w:ascii="Cambria" w:hAnsi="Cambria"/>
          <w:sz w:val="24"/>
        </w:rPr>
        <w:t xml:space="preserve"> (WV) was using </w:t>
      </w:r>
      <w:r w:rsidRPr="00F6349E">
        <w:rPr>
          <w:rFonts w:ascii="Cambria" w:hAnsi="Cambria"/>
          <w:sz w:val="24"/>
        </w:rPr>
        <w:t xml:space="preserve">MAG’s UXO </w:t>
      </w:r>
      <w:r>
        <w:rPr>
          <w:rFonts w:ascii="Cambria" w:hAnsi="Cambria"/>
          <w:sz w:val="24"/>
        </w:rPr>
        <w:t>all-</w:t>
      </w:r>
      <w:r w:rsidRPr="00F6349E">
        <w:rPr>
          <w:rFonts w:ascii="Cambria" w:hAnsi="Cambria"/>
          <w:sz w:val="24"/>
        </w:rPr>
        <w:t>female clearance team</w:t>
      </w:r>
      <w:r>
        <w:rPr>
          <w:rFonts w:ascii="Cambria" w:hAnsi="Cambria"/>
          <w:sz w:val="24"/>
        </w:rPr>
        <w:t xml:space="preserve"> in its UXO project. Discussions with women in the villages indicated that these young women were very good role models for girls in the local community. MAG employs local women and provides training to them and will be continuing to undertake clearance work in the project sites. This i</w:t>
      </w:r>
      <w:r w:rsidRPr="00F6349E">
        <w:rPr>
          <w:rFonts w:ascii="Cambria" w:hAnsi="Cambria"/>
          <w:sz w:val="24"/>
        </w:rPr>
        <w:t xml:space="preserve">s an opportunity that </w:t>
      </w:r>
      <w:r>
        <w:rPr>
          <w:rFonts w:ascii="Cambria" w:hAnsi="Cambria"/>
          <w:sz w:val="24"/>
        </w:rPr>
        <w:t>could potentially be</w:t>
      </w:r>
      <w:r w:rsidRPr="00F6349E">
        <w:rPr>
          <w:rFonts w:ascii="Cambria" w:hAnsi="Cambria"/>
          <w:sz w:val="24"/>
        </w:rPr>
        <w:t xml:space="preserve"> exploited </w:t>
      </w:r>
      <w:r>
        <w:rPr>
          <w:rFonts w:ascii="Cambria" w:hAnsi="Cambria"/>
          <w:sz w:val="24"/>
        </w:rPr>
        <w:t xml:space="preserve">by WV project staff </w:t>
      </w:r>
      <w:r w:rsidRPr="00F6349E">
        <w:rPr>
          <w:rFonts w:ascii="Cambria" w:hAnsi="Cambria"/>
          <w:sz w:val="24"/>
        </w:rPr>
        <w:t>as a positive role model for changes in women’s roles and tasks.</w:t>
      </w:r>
    </w:p>
    <w:p w:rsidR="00CB5A76" w:rsidRPr="001920FF" w:rsidRDefault="00CB5A76" w:rsidP="001920FF">
      <w:pPr>
        <w:pStyle w:val="Bodytxt"/>
        <w:spacing w:after="0"/>
        <w:ind w:left="0" w:right="-480"/>
        <w:rPr>
          <w:rFonts w:ascii="Cambria" w:hAnsi="Cambria"/>
          <w:sz w:val="24"/>
        </w:rPr>
      </w:pPr>
    </w:p>
    <w:p w:rsidR="00CB5A76" w:rsidRPr="001920FF" w:rsidRDefault="00CB5A76" w:rsidP="001920FF">
      <w:pPr>
        <w:pStyle w:val="Bodytxt"/>
        <w:spacing w:after="0"/>
        <w:ind w:left="0" w:right="-480"/>
        <w:rPr>
          <w:rFonts w:ascii="Cambria" w:hAnsi="Cambria"/>
          <w:sz w:val="24"/>
        </w:rPr>
      </w:pPr>
      <w:r w:rsidRPr="001920FF">
        <w:rPr>
          <w:rFonts w:ascii="Cambria" w:hAnsi="Cambria"/>
          <w:sz w:val="24"/>
        </w:rPr>
        <w:t xml:space="preserve">Women in one of the villages which had recently been cleared by the MAG women’s team told the review team that they would like their daughters to have such as job as </w:t>
      </w:r>
      <w:r w:rsidRPr="001920FF">
        <w:rPr>
          <w:rFonts w:ascii="Cambria" w:hAnsi="Cambria"/>
          <w:i/>
          <w:sz w:val="24"/>
        </w:rPr>
        <w:t xml:space="preserve">“they </w:t>
      </w:r>
      <w:r>
        <w:rPr>
          <w:rFonts w:ascii="Cambria" w:hAnsi="Cambria"/>
          <w:i/>
          <w:sz w:val="24"/>
        </w:rPr>
        <w:t>are</w:t>
      </w:r>
      <w:r w:rsidRPr="001920FF">
        <w:rPr>
          <w:rFonts w:ascii="Cambria" w:hAnsi="Cambria"/>
          <w:i/>
          <w:sz w:val="24"/>
        </w:rPr>
        <w:t xml:space="preserve"> respected; they ha</w:t>
      </w:r>
      <w:r>
        <w:rPr>
          <w:rFonts w:ascii="Cambria" w:hAnsi="Cambria"/>
          <w:i/>
          <w:sz w:val="24"/>
        </w:rPr>
        <w:t>ve</w:t>
      </w:r>
      <w:r w:rsidRPr="001920FF">
        <w:rPr>
          <w:rFonts w:ascii="Cambria" w:hAnsi="Cambria"/>
          <w:i/>
          <w:sz w:val="24"/>
        </w:rPr>
        <w:t xml:space="preserve"> skills &amp; a uniform and they br</w:t>
      </w:r>
      <w:r>
        <w:rPr>
          <w:rFonts w:ascii="Cambria" w:hAnsi="Cambria"/>
          <w:i/>
          <w:sz w:val="24"/>
        </w:rPr>
        <w:t>ing</w:t>
      </w:r>
      <w:r w:rsidRPr="001920FF">
        <w:rPr>
          <w:rFonts w:ascii="Cambria" w:hAnsi="Cambria"/>
          <w:i/>
          <w:sz w:val="24"/>
        </w:rPr>
        <w:t xml:space="preserve"> extra income to their families”. </w:t>
      </w:r>
      <w:r w:rsidRPr="001920FF">
        <w:rPr>
          <w:rFonts w:ascii="Cambria" w:hAnsi="Cambria"/>
          <w:sz w:val="24"/>
        </w:rPr>
        <w:t>This then led into a discussion of future planning for families in the village that would benefit women. The WV staff person present at this discussion noted that this discussi</w:t>
      </w:r>
      <w:r>
        <w:rPr>
          <w:rFonts w:ascii="Cambria" w:hAnsi="Cambria"/>
          <w:sz w:val="24"/>
        </w:rPr>
        <w:t xml:space="preserve">on had been more fruitful than usual </w:t>
      </w:r>
      <w:r w:rsidRPr="001920FF">
        <w:rPr>
          <w:rFonts w:ascii="Cambria" w:hAnsi="Cambria"/>
          <w:sz w:val="24"/>
        </w:rPr>
        <w:t xml:space="preserve">and he </w:t>
      </w:r>
      <w:r w:rsidRPr="001920FF">
        <w:rPr>
          <w:rFonts w:ascii="Cambria" w:hAnsi="Cambria"/>
          <w:i/>
          <w:sz w:val="24"/>
        </w:rPr>
        <w:t>“would try having a women’s focus group like this again”.</w:t>
      </w:r>
    </w:p>
    <w:p w:rsidR="00CB5A76" w:rsidRDefault="00CB5A76" w:rsidP="000E66C5">
      <w:pPr>
        <w:pStyle w:val="Bodytxt"/>
        <w:spacing w:after="0"/>
        <w:ind w:left="0" w:right="-480"/>
        <w:rPr>
          <w:rFonts w:ascii="Cambria" w:hAnsi="Cambria"/>
          <w:sz w:val="24"/>
        </w:rPr>
      </w:pPr>
    </w:p>
    <w:p w:rsidR="00CB5A76" w:rsidRDefault="00F77070" w:rsidP="000E66C5">
      <w:pPr>
        <w:pStyle w:val="Bodytxt"/>
        <w:ind w:left="0" w:right="-480"/>
        <w:rPr>
          <w:rFonts w:ascii="Cambria" w:hAnsi="Cambria"/>
          <w:sz w:val="24"/>
        </w:rPr>
      </w:pPr>
      <w:r>
        <w:rPr>
          <w:noProof/>
          <w:lang w:eastAsia="en-AU"/>
        </w:rPr>
        <mc:AlternateContent>
          <mc:Choice Requires="wps">
            <w:drawing>
              <wp:anchor distT="0" distB="0" distL="114300" distR="114300" simplePos="0" relativeHeight="251655680" behindDoc="0" locked="0" layoutInCell="1" allowOverlap="1" wp14:anchorId="59E25FDC" wp14:editId="5C847355">
                <wp:simplePos x="0" y="0"/>
                <wp:positionH relativeFrom="column">
                  <wp:posOffset>152400</wp:posOffset>
                </wp:positionH>
                <wp:positionV relativeFrom="paragraph">
                  <wp:posOffset>1591310</wp:posOffset>
                </wp:positionV>
                <wp:extent cx="5410200" cy="1729105"/>
                <wp:effectExtent l="0" t="635" r="0" b="3810"/>
                <wp:wrapTight wrapText="bothSides">
                  <wp:wrapPolygon edited="0">
                    <wp:start x="0" y="0"/>
                    <wp:lineTo x="21600" y="0"/>
                    <wp:lineTo x="21600" y="21600"/>
                    <wp:lineTo x="0" y="21600"/>
                    <wp:lineTo x="0" y="0"/>
                  </wp:wrapPolygon>
                </wp:wrapTight>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72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76"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r>
                              <w:rPr>
                                <w:rFonts w:ascii="Cambria" w:hAnsi="Cambria"/>
                              </w:rPr>
                              <w:t>Recommendation:</w:t>
                            </w: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ind w:left="567" w:hanging="567"/>
                              <w:rPr>
                                <w:rFonts w:ascii="Cambria" w:hAnsi="Cambria"/>
                              </w:rPr>
                            </w:pPr>
                            <w:r w:rsidRPr="00406FFA">
                              <w:rPr>
                                <w:rFonts w:ascii="Cambria" w:hAnsi="Cambria"/>
                              </w:rPr>
                              <w:t>5.       NGOs adopt a strengths-based approach that focuses on existing and potential capacities as opposed to a problem-based approach, particula</w:t>
                            </w:r>
                            <w:r>
                              <w:rPr>
                                <w:rFonts w:ascii="Cambria" w:hAnsi="Cambria"/>
                              </w:rPr>
                              <w:t>rly for disability and ethnic in</w:t>
                            </w:r>
                            <w:r w:rsidRPr="00406FFA">
                              <w:rPr>
                                <w:rFonts w:ascii="Cambria" w:hAnsi="Cambria"/>
                              </w:rPr>
                              <w:t xml:space="preserve">clusion. Use of positive role models to stimulate discussion and changes in attitudes towards the role of women could be of benefit. </w:t>
                            </w: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p>
                          <w:p w:rsidR="00CB5A76" w:rsidRDefault="00CB5A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2pt;margin-top:125.3pt;width:426pt;height:13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DXsgIAAMEFAAAOAAAAZHJzL2Uyb0RvYy54bWysVMlu2zAQvRfoPxC8K1pKLxIiB4llFQXS&#10;BUj6AbREWUQlUiVpS2nQf++Qsh0lQYGiLQ8El+Gb5T3O5dXQNujAlOZSpDi8CDBiopAlF7sUf73P&#10;vSVG2lBR0kYKluIHpvHV6u2by75LWCRr2ZRMIQAROum7FNfGdInv66JmLdUXsmMCLiupWmpgq3Z+&#10;qWgP6G3jR0Ew93upyk7JgmkNp9l4iVcOv6pYYT5XlWYGNSmG2IyblZu3dvZXlzTZKdrVvDiGQf8i&#10;ipZyAU7PUBk1FO0VfwXV8kJJLStzUcjWl1XFC+ZygGzC4EU2dzXtmMsFiqO7c5n0/4MtPh2+KMTL&#10;FANRgrZA0T0bDLqRA5rb6vSdTsDorgMzM8AxsOwy1d2tLL5pJOS6pmLHrpWSfc1oCdGF9qU/eTri&#10;aAuy7T/KEtzQvZEOaKhUa0sHxUCADiw9nJmxoRRwOCNhAHRjVMBduIjiMJg5HzQ5Pe+UNu+ZbJFd&#10;pFgB9Q6eHm61seHQ5GRivQmZ86Zx9Dfi2QEYjifgHJ7aOxuGY/MxDuLNcrMkHonmG48EWeZd52vi&#10;zfNwMcveZet1Fv60fkOS1LwsmbBuTsoKyZ8xd9T4qImztrRseGnhbEha7bbrRqEDBWXnbhwLMjHz&#10;n4fhigC5vEgpjEhwE8VePl8uPJKTmRcvgqUXhPFNPA9ITLL8eUq3XLB/Twn1KY5n0WxU029zC9x4&#10;nRtNWm6gdzS8BfGejWhiNbgRpaPWUN6M60kpbPhPpQC6T0Q7xVqRjnI1w3ZwX4NY71bNW1k+gISV&#10;BIGBGKHvwaKW6gdGPfSQFOvve6oYRs0HAd8gDgmxTWe6UdPNdrqhogCoFBuMxuXajI1q3ym+q8HT&#10;+PGEvIavU3En6qeojh8O+oTL7djTbCOa7p3VU+dd/QIAAP//AwBQSwMEFAAGAAgAAAAhAEVcTije&#10;AAAACgEAAA8AAABkcnMvZG93bnJldi54bWxMj81OwzAQhO9IvIO1SNyo04j8EOJUqIgHoCBxdWI3&#10;jmqvo9j5oU/PcoLTandGs9/Uh81ZtugpDB4F7HcJMI2dVwP2Aj4/3h5KYCFKVNJ61AK+dYBDc3tT&#10;y0r5Fd/1coo9oxAMlRRgYhwrzkNntJNh50eNpJ395GSkdeq5muRK4c7yNEly7uSA9MHIUR+N7i6n&#10;2QnorvNreRzaZb0WX0W7GZud0Qpxf7e9PAOLeot/ZvjFJ3RoiKn1M6rArID0kapEmlmSAyNDWeR0&#10;aQVkafoEvKn5/wrNDwAAAP//AwBQSwECLQAUAAYACAAAACEAtoM4kv4AAADhAQAAEwAAAAAAAAAA&#10;AAAAAAAAAAAAW0NvbnRlbnRfVHlwZXNdLnhtbFBLAQItABQABgAIAAAAIQA4/SH/1gAAAJQBAAAL&#10;AAAAAAAAAAAAAAAAAC8BAABfcmVscy8ucmVsc1BLAQItABQABgAIAAAAIQAmapDXsgIAAMEFAAAO&#10;AAAAAAAAAAAAAAAAAC4CAABkcnMvZTJvRG9jLnhtbFBLAQItABQABgAIAAAAIQBFXE4o3gAAAAoB&#10;AAAPAAAAAAAAAAAAAAAAAAwFAABkcnMvZG93bnJldi54bWxQSwUGAAAAAAQABADzAAAAFwYAAAAA&#10;" filled="f" stroked="f">
                <v:textbox inset=",7.2pt,,7.2pt">
                  <w:txbxContent>
                    <w:p w:rsidR="00CB5A76"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r>
                        <w:rPr>
                          <w:rFonts w:ascii="Cambria" w:hAnsi="Cambria"/>
                        </w:rPr>
                        <w:t>Recommendation:</w:t>
                      </w: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ind w:left="567" w:hanging="567"/>
                        <w:rPr>
                          <w:rFonts w:ascii="Cambria" w:hAnsi="Cambria"/>
                        </w:rPr>
                      </w:pPr>
                      <w:r w:rsidRPr="00406FFA">
                        <w:rPr>
                          <w:rFonts w:ascii="Cambria" w:hAnsi="Cambria"/>
                        </w:rPr>
                        <w:t>5.       NGOs adopt a strengths-based approach that focuses on existing and potential capacities as opposed to a problem-based approach, particula</w:t>
                      </w:r>
                      <w:r>
                        <w:rPr>
                          <w:rFonts w:ascii="Cambria" w:hAnsi="Cambria"/>
                        </w:rPr>
                        <w:t>rly for disability and ethnic in</w:t>
                      </w:r>
                      <w:r w:rsidRPr="00406FFA">
                        <w:rPr>
                          <w:rFonts w:ascii="Cambria" w:hAnsi="Cambria"/>
                        </w:rPr>
                        <w:t xml:space="preserve">clusion. Use of positive role models to stimulate discussion and changes in attitudes towards the role of women could be of benefit. </w:t>
                      </w: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p>
                    <w:p w:rsidR="00CB5A76" w:rsidRDefault="00CB5A76"/>
                  </w:txbxContent>
                </v:textbox>
                <w10:wrap type="tight"/>
              </v:shape>
            </w:pict>
          </mc:Fallback>
        </mc:AlternateContent>
      </w:r>
      <w:r w:rsidR="00CB5A76">
        <w:rPr>
          <w:rFonts w:ascii="Cambria" w:hAnsi="Cambria"/>
          <w:sz w:val="24"/>
        </w:rPr>
        <w:t>The review team concluded that LANGOCA would benefit from developing</w:t>
      </w:r>
      <w:r w:rsidR="00CB5A76" w:rsidRPr="00F6349E">
        <w:rPr>
          <w:rFonts w:ascii="Cambria" w:hAnsi="Cambria"/>
          <w:sz w:val="24"/>
        </w:rPr>
        <w:t xml:space="preserve"> approaches that enable strengthening and mentoring of existing resource persons in target communities</w:t>
      </w:r>
      <w:r w:rsidR="00CB5A76">
        <w:rPr>
          <w:rFonts w:ascii="Cambria" w:hAnsi="Cambria"/>
          <w:sz w:val="24"/>
        </w:rPr>
        <w:t>. This includes</w:t>
      </w:r>
      <w:r w:rsidR="00CB5A76" w:rsidRPr="00F6349E">
        <w:rPr>
          <w:rFonts w:ascii="Cambria" w:hAnsi="Cambria"/>
          <w:sz w:val="24"/>
        </w:rPr>
        <w:t xml:space="preserve"> </w:t>
      </w:r>
      <w:r w:rsidR="00CB5A76">
        <w:rPr>
          <w:rFonts w:ascii="Cambria" w:hAnsi="Cambria"/>
          <w:sz w:val="24"/>
        </w:rPr>
        <w:t xml:space="preserve">those </w:t>
      </w:r>
      <w:r w:rsidR="00CB5A76" w:rsidRPr="00F6349E">
        <w:rPr>
          <w:rFonts w:ascii="Cambria" w:hAnsi="Cambria"/>
          <w:sz w:val="24"/>
        </w:rPr>
        <w:t xml:space="preserve">LWU counterparts who were members of smaller ethnic communities and/or spoke those languages; strong and vocal women in communities who may not be literate but have the confidence to speak out on behalf of other women; identifying the </w:t>
      </w:r>
      <w:r w:rsidR="00CB5A76" w:rsidRPr="00762D5B">
        <w:rPr>
          <w:rFonts w:ascii="Cambria" w:hAnsi="Cambria"/>
          <w:i/>
          <w:sz w:val="24"/>
        </w:rPr>
        <w:t>abilities</w:t>
      </w:r>
      <w:r w:rsidR="00CB5A76" w:rsidRPr="00F6349E">
        <w:rPr>
          <w:rFonts w:ascii="Cambria" w:hAnsi="Cambria"/>
          <w:sz w:val="24"/>
        </w:rPr>
        <w:t xml:space="preserve"> of people with impairments and building on these; </w:t>
      </w:r>
      <w:r w:rsidR="00CB5A76">
        <w:rPr>
          <w:rFonts w:ascii="Cambria" w:hAnsi="Cambria"/>
          <w:sz w:val="24"/>
        </w:rPr>
        <w:t xml:space="preserve">and </w:t>
      </w:r>
      <w:r w:rsidR="00CB5A76" w:rsidRPr="00F6349E">
        <w:rPr>
          <w:rFonts w:ascii="Cambria" w:hAnsi="Cambria"/>
          <w:sz w:val="24"/>
        </w:rPr>
        <w:t>explicitly using women such as MAG clearance team members and trained midwives as role models to build capacity of other women.</w:t>
      </w:r>
    </w:p>
    <w:p w:rsidR="00CB5A76" w:rsidRDefault="00CB5A76" w:rsidP="00363B3E">
      <w:pPr>
        <w:pStyle w:val="Heading30"/>
        <w:numPr>
          <w:ilvl w:val="1"/>
          <w:numId w:val="8"/>
        </w:numPr>
        <w:ind w:right="-480"/>
        <w:rPr>
          <w:lang w:val="en-AU"/>
        </w:rPr>
      </w:pPr>
      <w:r>
        <w:rPr>
          <w:lang w:val="en-AU"/>
        </w:rPr>
        <w:t>Staff understanding and capacity to implement gender and inclusion strategies</w:t>
      </w:r>
    </w:p>
    <w:p w:rsidR="00CB5A76" w:rsidRDefault="00CB5A76" w:rsidP="00D57D89">
      <w:pPr>
        <w:pStyle w:val="Bodytxt"/>
        <w:spacing w:after="0"/>
        <w:ind w:left="0" w:right="-480"/>
        <w:rPr>
          <w:rFonts w:ascii="Cambria" w:hAnsi="Cambria"/>
          <w:sz w:val="24"/>
        </w:rPr>
      </w:pPr>
      <w:r w:rsidRPr="005566D3">
        <w:rPr>
          <w:rFonts w:ascii="Cambria" w:hAnsi="Cambria"/>
          <w:sz w:val="24"/>
        </w:rPr>
        <w:t xml:space="preserve">Whilst NGO managers and senior staff were able to </w:t>
      </w:r>
      <w:r>
        <w:rPr>
          <w:rFonts w:ascii="Cambria" w:hAnsi="Cambria"/>
          <w:sz w:val="24"/>
        </w:rPr>
        <w:t xml:space="preserve">explain </w:t>
      </w:r>
      <w:r w:rsidRPr="005566D3">
        <w:rPr>
          <w:rFonts w:ascii="Cambria" w:hAnsi="Cambria"/>
          <w:sz w:val="24"/>
        </w:rPr>
        <w:t xml:space="preserve">the gender policy and </w:t>
      </w:r>
      <w:r>
        <w:rPr>
          <w:rFonts w:ascii="Cambria" w:hAnsi="Cambria"/>
          <w:sz w:val="24"/>
        </w:rPr>
        <w:t xml:space="preserve">how </w:t>
      </w:r>
      <w:r w:rsidRPr="005566D3">
        <w:rPr>
          <w:rFonts w:ascii="Cambria" w:hAnsi="Cambria"/>
          <w:sz w:val="24"/>
        </w:rPr>
        <w:t xml:space="preserve">strategies </w:t>
      </w:r>
      <w:r>
        <w:rPr>
          <w:rFonts w:ascii="Cambria" w:hAnsi="Cambria"/>
          <w:sz w:val="24"/>
        </w:rPr>
        <w:t>would be implemented,</w:t>
      </w:r>
      <w:r w:rsidRPr="005566D3">
        <w:rPr>
          <w:rFonts w:ascii="Cambria" w:hAnsi="Cambria"/>
          <w:sz w:val="24"/>
        </w:rPr>
        <w:t xml:space="preserve"> the review team felt that the project staff </w:t>
      </w:r>
      <w:r>
        <w:rPr>
          <w:rFonts w:ascii="Cambria" w:hAnsi="Cambria"/>
          <w:sz w:val="24"/>
        </w:rPr>
        <w:t xml:space="preserve">at district level </w:t>
      </w:r>
      <w:r w:rsidRPr="005566D3">
        <w:rPr>
          <w:rFonts w:ascii="Cambria" w:hAnsi="Cambria"/>
          <w:sz w:val="24"/>
        </w:rPr>
        <w:t xml:space="preserve">sometimes had a very limited understanding of gender equity. They usually referred to the quota system for village governance committees, the number of female beneficiaries in income generation or other relevant activities and the fact that women’s workload was reduced. </w:t>
      </w:r>
      <w:r>
        <w:rPr>
          <w:rFonts w:ascii="Cambria" w:hAnsi="Cambria"/>
          <w:sz w:val="24"/>
        </w:rPr>
        <w:t>On one occasion it was evident that the quota for women in the VDC had not been achieved despite a progress report to the contrary. The project staff told the team that the village chief had said the quota was achieved but this had not been checked. Interviews with project staff indicated that they were less able to articulate how to reduce</w:t>
      </w:r>
      <w:r w:rsidRPr="005566D3">
        <w:rPr>
          <w:rFonts w:ascii="Cambria" w:hAnsi="Cambria"/>
          <w:sz w:val="24"/>
        </w:rPr>
        <w:t xml:space="preserve"> barriers to </w:t>
      </w:r>
      <w:r>
        <w:rPr>
          <w:rFonts w:ascii="Cambria" w:hAnsi="Cambria"/>
          <w:sz w:val="24"/>
        </w:rPr>
        <w:t xml:space="preserve">women’s </w:t>
      </w:r>
      <w:r w:rsidRPr="005566D3">
        <w:rPr>
          <w:rFonts w:ascii="Cambria" w:hAnsi="Cambria"/>
          <w:sz w:val="24"/>
        </w:rPr>
        <w:t>participation in decision-making within committees</w:t>
      </w:r>
      <w:r>
        <w:rPr>
          <w:rFonts w:ascii="Cambria" w:hAnsi="Cambria"/>
          <w:sz w:val="24"/>
        </w:rPr>
        <w:t xml:space="preserve"> or to empower women in practical ways.</w:t>
      </w:r>
    </w:p>
    <w:p w:rsidR="00CB5A76" w:rsidRDefault="00CB5A76" w:rsidP="00D57D89">
      <w:pPr>
        <w:pStyle w:val="Bodytxt"/>
        <w:spacing w:after="0"/>
        <w:ind w:left="0" w:right="-480"/>
        <w:rPr>
          <w:rFonts w:ascii="Cambria" w:hAnsi="Cambria"/>
          <w:sz w:val="24"/>
        </w:rPr>
      </w:pPr>
    </w:p>
    <w:p w:rsidR="00CB5A76" w:rsidRDefault="00CB5A76" w:rsidP="00D57D89">
      <w:pPr>
        <w:pStyle w:val="Bodytxt"/>
        <w:spacing w:after="0"/>
        <w:ind w:left="0" w:right="-480"/>
        <w:rPr>
          <w:rFonts w:ascii="Cambria" w:hAnsi="Cambria"/>
          <w:sz w:val="24"/>
        </w:rPr>
      </w:pPr>
      <w:r>
        <w:rPr>
          <w:rFonts w:ascii="Cambria" w:hAnsi="Cambria"/>
          <w:sz w:val="24"/>
        </w:rPr>
        <w:t xml:space="preserve">All NGO and partner government staff had had some training or attended workshops in gender equity. All staff interviewed stated that they believed they needed further training to help them develop practical strategies for implementation. The designated gender focal point in the WV project had very limited understanding of her role and had yet to have any substantial capacity development in implementing gender strategies. The team noted that </w:t>
      </w:r>
      <w:r w:rsidRPr="00F6349E">
        <w:rPr>
          <w:rFonts w:ascii="Cambria" w:hAnsi="Cambria"/>
          <w:sz w:val="24"/>
        </w:rPr>
        <w:t xml:space="preserve">CARE’s internal practice of monthly gender and disability inclusion mainstreaming staff discussions to increase staff capacity appeared to be far more effective than occasional </w:t>
      </w:r>
      <w:r>
        <w:rPr>
          <w:rFonts w:ascii="Cambria" w:hAnsi="Cambria"/>
          <w:sz w:val="24"/>
        </w:rPr>
        <w:t>“one-off”</w:t>
      </w:r>
      <w:r w:rsidRPr="00F6349E">
        <w:rPr>
          <w:rFonts w:ascii="Cambria" w:hAnsi="Cambria"/>
          <w:sz w:val="24"/>
        </w:rPr>
        <w:t xml:space="preserve"> trainings or workshops. </w:t>
      </w:r>
      <w:r>
        <w:rPr>
          <w:rFonts w:ascii="Cambria" w:hAnsi="Cambria"/>
          <w:sz w:val="24"/>
        </w:rPr>
        <w:t>CARE’s own independent midterm review conducted in 2009 concluded that training in how to empower women and ensure their active participation in decision-making was lacking in LANGOCA projects and the review team agreed with this assessment.</w:t>
      </w:r>
    </w:p>
    <w:p w:rsidR="00CB5A76" w:rsidRDefault="00CB5A76" w:rsidP="00D57D89">
      <w:pPr>
        <w:pStyle w:val="Bodytxt"/>
        <w:spacing w:after="0"/>
        <w:ind w:left="0" w:right="-480"/>
        <w:rPr>
          <w:rFonts w:ascii="Cambria" w:hAnsi="Cambria"/>
          <w:sz w:val="24"/>
        </w:rPr>
      </w:pPr>
    </w:p>
    <w:p w:rsidR="00CB5A76" w:rsidRDefault="00CB5A76" w:rsidP="00B24E86">
      <w:pPr>
        <w:pStyle w:val="Bodytxt"/>
        <w:spacing w:after="0"/>
        <w:ind w:left="0" w:right="-480"/>
        <w:rPr>
          <w:rFonts w:ascii="Cambria" w:hAnsi="Cambria"/>
          <w:sz w:val="24"/>
        </w:rPr>
      </w:pPr>
      <w:r>
        <w:rPr>
          <w:rFonts w:ascii="Cambria" w:hAnsi="Cambria"/>
          <w:sz w:val="24"/>
        </w:rPr>
        <w:t>Partner government staff expressed strong support for gender equity in principle and claimed that they “</w:t>
      </w:r>
      <w:r w:rsidRPr="00CF2431">
        <w:rPr>
          <w:rFonts w:ascii="Cambria" w:hAnsi="Cambria"/>
          <w:i/>
          <w:sz w:val="24"/>
        </w:rPr>
        <w:t>knew about gender</w:t>
      </w:r>
      <w:r>
        <w:rPr>
          <w:rFonts w:ascii="Cambria" w:hAnsi="Cambria"/>
          <w:sz w:val="24"/>
        </w:rPr>
        <w:t xml:space="preserve">”. However, they were also unable to articulate practical strategies about how gender equality could be implemented. Training was offered by the LWU but this appeared to be limited to awareness-raising about women’s rights and needs. WV staff had had training conducted by the Gender Development Group (GDG), a local association, but expressed some dissatisfaction </w:t>
      </w:r>
      <w:r>
        <w:t xml:space="preserve">as </w:t>
      </w:r>
      <w:r w:rsidRPr="001920FF">
        <w:rPr>
          <w:rFonts w:ascii="Cambria" w:hAnsi="Cambria"/>
          <w:sz w:val="24"/>
        </w:rPr>
        <w:t>it was more about increasing knowledge of women’s rights in Lao society and less about providing practical ideas about how to implement gender strategies.</w:t>
      </w:r>
      <w:r>
        <w:t xml:space="preserve"> </w:t>
      </w:r>
      <w:r>
        <w:rPr>
          <w:rFonts w:ascii="Cambria" w:hAnsi="Cambria"/>
          <w:sz w:val="24"/>
        </w:rPr>
        <w:t xml:space="preserve">SCA had contracted GDG to undertake gender training with </w:t>
      </w:r>
      <w:proofErr w:type="spellStart"/>
      <w:r>
        <w:rPr>
          <w:rFonts w:ascii="Cambria" w:hAnsi="Cambria"/>
          <w:sz w:val="24"/>
        </w:rPr>
        <w:t>GoL</w:t>
      </w:r>
      <w:proofErr w:type="spellEnd"/>
      <w:r>
        <w:rPr>
          <w:rFonts w:ascii="Cambria" w:hAnsi="Cambria"/>
          <w:sz w:val="24"/>
        </w:rPr>
        <w:t xml:space="preserve"> partners (all men) and their wives to see if involvement of the men’s wives improved the understanding and capacity of the men.</w:t>
      </w:r>
    </w:p>
    <w:p w:rsidR="00CB5A76" w:rsidRDefault="00CB5A76" w:rsidP="00B24E86">
      <w:pPr>
        <w:pStyle w:val="Bodytxt"/>
        <w:spacing w:after="0"/>
        <w:ind w:left="0" w:right="-480"/>
        <w:rPr>
          <w:rFonts w:ascii="Cambria" w:hAnsi="Cambria"/>
          <w:sz w:val="24"/>
        </w:rPr>
      </w:pPr>
    </w:p>
    <w:p w:rsidR="00CB5A76" w:rsidRPr="006D5916" w:rsidRDefault="00F77070" w:rsidP="006D5916">
      <w:pPr>
        <w:pStyle w:val="Bodytxt"/>
        <w:spacing w:after="0"/>
        <w:ind w:left="0" w:right="-480"/>
        <w:rPr>
          <w:rFonts w:ascii="Cambria" w:hAnsi="Cambria"/>
          <w:sz w:val="24"/>
        </w:rPr>
      </w:pPr>
      <w:r>
        <w:rPr>
          <w:noProof/>
          <w:lang w:eastAsia="en-AU"/>
        </w:rPr>
        <mc:AlternateContent>
          <mc:Choice Requires="wps">
            <w:drawing>
              <wp:anchor distT="0" distB="0" distL="114300" distR="114300" simplePos="0" relativeHeight="251660800" behindDoc="0" locked="0" layoutInCell="1" allowOverlap="1" wp14:anchorId="604959BF" wp14:editId="7904D45E">
                <wp:simplePos x="0" y="0"/>
                <wp:positionH relativeFrom="column">
                  <wp:posOffset>152400</wp:posOffset>
                </wp:positionH>
                <wp:positionV relativeFrom="paragraph">
                  <wp:posOffset>788670</wp:posOffset>
                </wp:positionV>
                <wp:extent cx="5334000" cy="1485900"/>
                <wp:effectExtent l="0" t="0" r="0" b="1905"/>
                <wp:wrapTight wrapText="bothSides">
                  <wp:wrapPolygon edited="0">
                    <wp:start x="0" y="0"/>
                    <wp:lineTo x="21600" y="0"/>
                    <wp:lineTo x="21600" y="21600"/>
                    <wp:lineTo x="0" y="2160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76" w:rsidRPr="00406FFA" w:rsidRDefault="00CB5A76" w:rsidP="00AE4365">
                            <w:pPr>
                              <w:pBdr>
                                <w:top w:val="single" w:sz="4" w:space="1" w:color="auto"/>
                                <w:left w:val="single" w:sz="4" w:space="4" w:color="auto"/>
                                <w:bottom w:val="single" w:sz="4" w:space="12" w:color="auto"/>
                                <w:right w:val="single" w:sz="4" w:space="4" w:color="auto"/>
                              </w:pBdr>
                              <w:shd w:val="clear" w:color="auto" w:fill="B6DDE8"/>
                              <w:rPr>
                                <w:rFonts w:ascii="Cambria" w:hAnsi="Cambria"/>
                              </w:rPr>
                            </w:pPr>
                            <w:r>
                              <w:rPr>
                                <w:rFonts w:ascii="Cambria" w:hAnsi="Cambria"/>
                              </w:rPr>
                              <w:t>Recommendation</w:t>
                            </w:r>
                          </w:p>
                          <w:p w:rsidR="00CB5A76" w:rsidRDefault="00CB5A76" w:rsidP="00AE4365">
                            <w:pPr>
                              <w:pBdr>
                                <w:top w:val="single" w:sz="4" w:space="1" w:color="auto"/>
                                <w:left w:val="single" w:sz="4" w:space="4" w:color="auto"/>
                                <w:bottom w:val="single" w:sz="4" w:space="12" w:color="auto"/>
                                <w:right w:val="single" w:sz="4" w:space="4" w:color="auto"/>
                              </w:pBdr>
                              <w:shd w:val="clear" w:color="auto" w:fill="B6DDE8"/>
                              <w:ind w:left="426" w:hanging="426"/>
                            </w:pPr>
                            <w:r w:rsidRPr="00406FFA">
                              <w:rPr>
                                <w:rFonts w:ascii="Cambria" w:hAnsi="Cambria"/>
                              </w:rPr>
                              <w:t xml:space="preserve">6.    NGOs provide sufficient support and mentoring to field staff and to </w:t>
                            </w:r>
                            <w:proofErr w:type="spellStart"/>
                            <w:r w:rsidRPr="00406FFA">
                              <w:rPr>
                                <w:rFonts w:ascii="Cambria" w:hAnsi="Cambria"/>
                              </w:rPr>
                              <w:t>LoG</w:t>
                            </w:r>
                            <w:proofErr w:type="spellEnd"/>
                            <w:r w:rsidRPr="00406FFA">
                              <w:rPr>
                                <w:rFonts w:ascii="Cambria" w:hAnsi="Cambria"/>
                              </w:rPr>
                              <w:t xml:space="preserve"> counterparts involved in implementation on a regular basis to develop practical strategies for gender equality and disability and ethnic inclusion. This may require use of external specialists </w:t>
                            </w:r>
                            <w:r>
                              <w:rPr>
                                <w:rFonts w:ascii="Cambria" w:hAnsi="Cambria"/>
                              </w:rPr>
                              <w:t xml:space="preserve">to </w:t>
                            </w:r>
                            <w:proofErr w:type="gramStart"/>
                            <w:r>
                              <w:rPr>
                                <w:rFonts w:ascii="Cambria" w:hAnsi="Cambria"/>
                              </w:rPr>
                              <w:t>advise</w:t>
                            </w:r>
                            <w:proofErr w:type="gramEnd"/>
                            <w:r>
                              <w:rPr>
                                <w:rFonts w:ascii="Cambria" w:hAnsi="Cambria"/>
                              </w:rPr>
                              <w:t xml:space="preserve">, train and mentor project and </w:t>
                            </w:r>
                            <w:proofErr w:type="spellStart"/>
                            <w:r>
                              <w:rPr>
                                <w:rFonts w:ascii="Cambria" w:hAnsi="Cambria"/>
                              </w:rPr>
                              <w:t>LoG</w:t>
                            </w:r>
                            <w:proofErr w:type="spellEnd"/>
                            <w:r>
                              <w:rPr>
                                <w:rFonts w:ascii="Cambria" w:hAnsi="Cambria"/>
                              </w:rPr>
                              <w:t xml:space="preserve"> staff </w:t>
                            </w:r>
                            <w:r w:rsidRPr="00406FFA">
                              <w:rPr>
                                <w:rFonts w:ascii="Cambria" w:hAnsi="Cambria"/>
                              </w:rPr>
                              <w:t>to ensure effectiveness.</w:t>
                            </w:r>
                          </w:p>
                          <w:p w:rsidR="00CB5A76" w:rsidRDefault="00CB5A76" w:rsidP="00AE436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2pt;margin-top:62.1pt;width:420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pltgIAAMEFAAAOAAAAZHJzL2Uyb0RvYy54bWysVF1vmzAUfZ+0/2D5nQKpSQCVVG0I06Tu&#10;Q2r3AxwwwRrYzHZCumr/fdcmSWmnSdM2HpCvfX3uxzm+V9eHrkV7pjSXIsPhRYARE6WsuNhm+MtD&#10;4cUYaUNFRVspWIYfmcbXy7dvroY+ZTPZyLZiCgGI0OnQZ7gxpk99X5cN66i+kD0TcFhL1VEDptr6&#10;laIDoHetPwuCuT9IVfVKlkxr2M3HQ7x0+HXNSvOprjUzqM0w5GbcX7n/xv795RVNt4r2DS+PadC/&#10;yKKjXEDQM1RODUU7xX+B6nippJa1uShl58u65iVzNUA1YfCqmvuG9szVAs3R/blN+v/Blh/3nxXi&#10;VYYXGAnaAUUP7GDQrTyghe3O0OsUnO57cDMH2AaWXaW6v5PlV42EXDVUbNmNUnJoGK0gu9De9CdX&#10;RxxtQTbDB1lBGLoz0gEdatXZ1kEzEKADS49nZmwqJWxGl5ckCOCohLOQxFECho1B09P1XmnzjskO&#10;2UWGFVDv4On+TpvR9eRiowlZ8LaFfZq24sUGYI47EByu2jObhmPzKQmSdbyOiUdm87VHgjz3booV&#10;8eZFuIjyy3y1ysMfNm5I0oZXFRM2zElZIfkz5o4aHzVx1paWLa8snE1Jq+1m1Sq0p6Dswn3Hhkzc&#10;/JdpuH5BLa9KCmckuJ0lXjGPFx4pSOQliyD2gjC5TeYBSUhevCzpjgv27yWhIcNJNItGNf22NqDd&#10;Mj8yOKmNph03MDta3mU4PjvR1GpwLSpHraG8HdeTVtj0n1sBdJ+Idoq1Ih3lag6bg3sakY1u1byR&#10;1SNIWEkQGIgR5h4sGqm+YzTADMmw/rajimHUvhfwDJKQEDt0poaaGpupQUUJUBk2GI3LlRkH1a5X&#10;fNtApPHhCXkDT6fmTtTPWR0fHMwJV9txptlBNLWd1/PkXf4EAAD//wMAUEsDBBQABgAIAAAAIQCt&#10;xUQZ3QAAAAoBAAAPAAAAZHJzL2Rvd25yZXYueG1sTI/NTsMwEITvSLyDtUjcqIPpT5TGqVARD0BB&#10;4urEbhzVXkex80Ofnu0Jjjs7mvmmPCzesckMsQso4XmVATPYBN1hK+Hr8/0pBxaTQq1cQCPhx0Q4&#10;VPd3pSp0mPHDTKfUMgrBWCgJNqW+4Dw21ngVV6E3SL9zGLxKdA4t14OaKdw7LrJsy73qkBqs6s3R&#10;muZyGr2E5jq+5ceunubr7ntXL9ZtzuikfHxYXvfAklnSnxlu+IQOFTHVYUQdmZMg1jQlkS7WAhgZ&#10;8u1NqSW8bHIBvCr5/wnVLwAAAP//AwBQSwECLQAUAAYACAAAACEAtoM4kv4AAADhAQAAEwAAAAAA&#10;AAAAAAAAAAAAAAAAW0NvbnRlbnRfVHlwZXNdLnhtbFBLAQItABQABgAIAAAAIQA4/SH/1gAAAJQB&#10;AAALAAAAAAAAAAAAAAAAAC8BAABfcmVscy8ucmVsc1BLAQItABQABgAIAAAAIQAy9xpltgIAAMEF&#10;AAAOAAAAAAAAAAAAAAAAAC4CAABkcnMvZTJvRG9jLnhtbFBLAQItABQABgAIAAAAIQCtxUQZ3QAA&#10;AAoBAAAPAAAAAAAAAAAAAAAAABAFAABkcnMvZG93bnJldi54bWxQSwUGAAAAAAQABADzAAAAGgYA&#10;AAAA&#10;" filled="f" stroked="f">
                <v:textbox inset=",7.2pt,,7.2pt">
                  <w:txbxContent>
                    <w:p w:rsidR="00CB5A76" w:rsidRPr="00406FFA" w:rsidRDefault="00CB5A76" w:rsidP="00AE4365">
                      <w:pPr>
                        <w:pBdr>
                          <w:top w:val="single" w:sz="4" w:space="1" w:color="auto"/>
                          <w:left w:val="single" w:sz="4" w:space="4" w:color="auto"/>
                          <w:bottom w:val="single" w:sz="4" w:space="12" w:color="auto"/>
                          <w:right w:val="single" w:sz="4" w:space="4" w:color="auto"/>
                        </w:pBdr>
                        <w:shd w:val="clear" w:color="auto" w:fill="B6DDE8"/>
                        <w:rPr>
                          <w:rFonts w:ascii="Cambria" w:hAnsi="Cambria"/>
                        </w:rPr>
                      </w:pPr>
                      <w:r>
                        <w:rPr>
                          <w:rFonts w:ascii="Cambria" w:hAnsi="Cambria"/>
                        </w:rPr>
                        <w:t>Recommendation</w:t>
                      </w:r>
                    </w:p>
                    <w:p w:rsidR="00CB5A76" w:rsidRDefault="00CB5A76" w:rsidP="00AE4365">
                      <w:pPr>
                        <w:pBdr>
                          <w:top w:val="single" w:sz="4" w:space="1" w:color="auto"/>
                          <w:left w:val="single" w:sz="4" w:space="4" w:color="auto"/>
                          <w:bottom w:val="single" w:sz="4" w:space="12" w:color="auto"/>
                          <w:right w:val="single" w:sz="4" w:space="4" w:color="auto"/>
                        </w:pBdr>
                        <w:shd w:val="clear" w:color="auto" w:fill="B6DDE8"/>
                        <w:ind w:left="426" w:hanging="426"/>
                      </w:pPr>
                      <w:r w:rsidRPr="00406FFA">
                        <w:rPr>
                          <w:rFonts w:ascii="Cambria" w:hAnsi="Cambria"/>
                        </w:rPr>
                        <w:t xml:space="preserve">6.    NGOs provide sufficient support and mentoring to field staff and to LoG counterparts involved in implementation on a regular basis to develop practical strategies for gender equality and disability and ethnic inclusion. This may require use of external specialists </w:t>
                      </w:r>
                      <w:r>
                        <w:rPr>
                          <w:rFonts w:ascii="Cambria" w:hAnsi="Cambria"/>
                        </w:rPr>
                        <w:t xml:space="preserve">to advise, train and mentor project and LoG staff </w:t>
                      </w:r>
                      <w:r w:rsidRPr="00406FFA">
                        <w:rPr>
                          <w:rFonts w:ascii="Cambria" w:hAnsi="Cambria"/>
                        </w:rPr>
                        <w:t>to ensure effectiveness.</w:t>
                      </w:r>
                    </w:p>
                    <w:p w:rsidR="00CB5A76" w:rsidRDefault="00CB5A76" w:rsidP="00AE4365"/>
                  </w:txbxContent>
                </v:textbox>
                <w10:wrap type="tight"/>
              </v:shape>
            </w:pict>
          </mc:Fallback>
        </mc:AlternateContent>
      </w:r>
      <w:r w:rsidR="00CB5A76">
        <w:rPr>
          <w:rFonts w:ascii="Cambria" w:hAnsi="Cambria"/>
          <w:sz w:val="24"/>
        </w:rPr>
        <w:t>All four NGOs had technical specialists not funded by LANGOCA in Vientiane and/or Australia and training offered by these specialists was generally seen as more useful by project implementation staff. None of the NGOs had disability specialists or focal points.</w:t>
      </w:r>
    </w:p>
    <w:p w:rsidR="00CB5A76" w:rsidRDefault="00CB5A76" w:rsidP="005566D3">
      <w:pPr>
        <w:pStyle w:val="Heading30"/>
        <w:numPr>
          <w:ilvl w:val="1"/>
          <w:numId w:val="8"/>
        </w:numPr>
        <w:ind w:right="-480"/>
        <w:rPr>
          <w:lang w:val="en-AU"/>
        </w:rPr>
      </w:pPr>
      <w:r>
        <w:rPr>
          <w:lang w:val="en-AU"/>
        </w:rPr>
        <w:t>Budget and resources for implementation of gender and inclusion strategies</w:t>
      </w:r>
    </w:p>
    <w:p w:rsidR="00CB5A76" w:rsidRDefault="00CB5A76" w:rsidP="009E24A3">
      <w:pPr>
        <w:pStyle w:val="Bodytxt"/>
        <w:ind w:left="0" w:right="-480"/>
        <w:rPr>
          <w:rFonts w:ascii="Cambria" w:hAnsi="Cambria"/>
          <w:sz w:val="24"/>
        </w:rPr>
      </w:pPr>
      <w:r>
        <w:rPr>
          <w:rFonts w:ascii="Cambria" w:hAnsi="Cambria"/>
          <w:sz w:val="24"/>
        </w:rPr>
        <w:t>The review team was unable to comment on budget for inclusion strategies except for the STA for disability inclusion implemented by CARE. However, there were indications of targeted budget and resources for gender training and activities specific to the needs of women such as provision of wheelbarrows to women for collecting firewood (CARE), training of midwives (Oxfam) and income generation activities for women (all NGOs).</w:t>
      </w:r>
    </w:p>
    <w:p w:rsidR="00CB5A76" w:rsidRDefault="00CB5A76" w:rsidP="002F3430">
      <w:pPr>
        <w:pStyle w:val="Bodytxt"/>
      </w:pPr>
    </w:p>
    <w:p w:rsidR="00CB5A76" w:rsidRPr="009E1188" w:rsidRDefault="00CB5A76" w:rsidP="00EB4833">
      <w:pPr>
        <w:pStyle w:val="Heading30"/>
        <w:numPr>
          <w:ilvl w:val="1"/>
          <w:numId w:val="8"/>
        </w:numPr>
        <w:ind w:right="-480"/>
        <w:jc w:val="both"/>
        <w:rPr>
          <w:lang w:val="en-AU"/>
        </w:rPr>
      </w:pPr>
      <w:r>
        <w:rPr>
          <w:lang w:val="en-AU"/>
        </w:rPr>
        <w:t xml:space="preserve">Adequacy of monitoring and evaluation of progress towards gender equity and inclusion of people from small ethnic groups and people with </w:t>
      </w:r>
      <w:r w:rsidRPr="009E1188">
        <w:rPr>
          <w:lang w:val="en-AU"/>
        </w:rPr>
        <w:t>disabilities</w:t>
      </w:r>
    </w:p>
    <w:p w:rsidR="00CB5A76" w:rsidRPr="000E66C5" w:rsidRDefault="00CB5A76" w:rsidP="000E66C5">
      <w:pPr>
        <w:pStyle w:val="Bodytxt"/>
        <w:ind w:left="0" w:right="-480"/>
        <w:rPr>
          <w:rFonts w:ascii="Cambria" w:hAnsi="Cambria"/>
          <w:sz w:val="24"/>
        </w:rPr>
      </w:pPr>
      <w:r w:rsidRPr="009E1188">
        <w:rPr>
          <w:rFonts w:ascii="Cambria" w:hAnsi="Cambria"/>
          <w:sz w:val="24"/>
        </w:rPr>
        <w:t xml:space="preserve">All </w:t>
      </w:r>
      <w:r>
        <w:rPr>
          <w:rFonts w:ascii="Cambria" w:hAnsi="Cambria"/>
          <w:sz w:val="24"/>
        </w:rPr>
        <w:t xml:space="preserve">NGOs had disaggregated data by gender for their activities and were reporting on numbers of women and men in all activities. </w:t>
      </w:r>
      <w:r>
        <w:rPr>
          <w:rFonts w:ascii="Cambria" w:hAnsi="Cambria" w:cs="Times New Roman"/>
          <w:spacing w:val="-5"/>
          <w:sz w:val="24"/>
          <w:szCs w:val="20"/>
          <w:lang w:val="en-GB"/>
        </w:rPr>
        <w:t xml:space="preserve">‘Head-counting’ may indicate the number of women involved in the program but does not say anything about impact or quality. The team was aware that women would be asked to formally present to the team when we arrived in a village but in a small focus group would tell a different story about their involvement. Women who were members of VDCs and VDMCs told the review team that they were often too “shy” to speak out and there were only one or two women in a group of up to 20 people so they did not feel that there was much opportunity to participate. </w:t>
      </w:r>
      <w:r>
        <w:rPr>
          <w:rFonts w:ascii="Cambria" w:hAnsi="Cambria"/>
          <w:sz w:val="24"/>
        </w:rPr>
        <w:t xml:space="preserve">A qualitative approach to evaluation </w:t>
      </w:r>
      <w:r w:rsidRPr="00F6349E">
        <w:rPr>
          <w:rFonts w:ascii="Cambria" w:hAnsi="Cambria"/>
          <w:sz w:val="24"/>
        </w:rPr>
        <w:t>such as that developed for the Annual Effectiveness Workshops could better capture both intended and unintended impact.</w:t>
      </w:r>
    </w:p>
    <w:p w:rsidR="00CB5A76" w:rsidRDefault="00F77070" w:rsidP="000E66C5">
      <w:pPr>
        <w:pStyle w:val="Bodytxt"/>
        <w:ind w:left="0" w:right="-480"/>
        <w:rPr>
          <w:rFonts w:ascii="Cambria" w:hAnsi="Cambria"/>
          <w:sz w:val="24"/>
        </w:rPr>
      </w:pPr>
      <w:r>
        <w:rPr>
          <w:noProof/>
          <w:lang w:eastAsia="en-AU"/>
        </w:rPr>
        <mc:AlternateContent>
          <mc:Choice Requires="wps">
            <w:drawing>
              <wp:anchor distT="0" distB="0" distL="114300" distR="114300" simplePos="0" relativeHeight="251656704" behindDoc="0" locked="0" layoutInCell="1" allowOverlap="1" wp14:anchorId="49540E23" wp14:editId="38AF3573">
                <wp:simplePos x="0" y="0"/>
                <wp:positionH relativeFrom="column">
                  <wp:posOffset>152400</wp:posOffset>
                </wp:positionH>
                <wp:positionV relativeFrom="paragraph">
                  <wp:posOffset>1646555</wp:posOffset>
                </wp:positionV>
                <wp:extent cx="5181600" cy="1371600"/>
                <wp:effectExtent l="0" t="0" r="0" b="1270"/>
                <wp:wrapTight wrapText="bothSides">
                  <wp:wrapPolygon edited="0">
                    <wp:start x="0" y="0"/>
                    <wp:lineTo x="21600" y="0"/>
                    <wp:lineTo x="21600" y="21600"/>
                    <wp:lineTo x="0" y="21600"/>
                    <wp:lineTo x="0"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r w:rsidRPr="00406FFA">
                              <w:rPr>
                                <w:rFonts w:ascii="Cambria" w:hAnsi="Cambria"/>
                              </w:rPr>
                              <w:t>Recommendation</w:t>
                            </w: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ind w:left="567" w:hanging="567"/>
                              <w:rPr>
                                <w:rFonts w:ascii="Cambria" w:hAnsi="Cambria"/>
                              </w:rPr>
                            </w:pPr>
                            <w:r w:rsidRPr="00406FFA">
                              <w:rPr>
                                <w:rFonts w:ascii="Cambria" w:hAnsi="Cambria"/>
                              </w:rPr>
                              <w:t>7.       NGOs use the monitoring and evaluation system developed for the Annual Evaluation process and baseline data to evaluate the impact of gender equality and disability and ethnic inclusion strategies.</w:t>
                            </w: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ind w:left="567" w:hanging="567"/>
                              <w:rPr>
                                <w:rFonts w:ascii="Cambria" w:hAnsi="Cambri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2pt;margin-top:129.65pt;width:408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VFsQIAAMEFAAAOAAAAZHJzL2Uyb0RvYy54bWysVFtvmzAUfp+0/2D5nQIZIYBKqjaEaVJ3&#10;kdr9AAdMsAa2ZzuBbtp/37HJre3LtI0H5HPxd26fz/XN2HdoT5Vmguc4vAoworwSNePbHH99LL0E&#10;I20Ir0knOM3xE9X4Zvn2zfUgMzoTrehqqhCAcJ0NMsetMTLzfV21tCf6SkjKwdgI1RMDotr6tSID&#10;oPedPwuC2B+EqqUSFdUatMVkxEuH3zS0Mp+bRlODuhxDbsb9lftv7N9fXpNsq4hsWXVIg/xFFj1h&#10;HIKeoApiCNop9gqqZ5USWjTmqhK9L5qGVdTVANWEwYtqHloiqasFmqPlqU36/8FWn/ZfFGJ1jmOM&#10;OOlhRI90NOhOjCix3RmkzsDpQYKbGUENU3aVankvqm8acbFqCd/SW6XE0FJSQ3ahvelfXJ1wtAXZ&#10;DB9FDWHIzggHNDaqt62DZiBAhyk9nSZjU6lAOQ+TMA7AVIEtfLdwgo1BsuN1qbR5T0WP7CHHCkbv&#10;4Mn+XpvJ9ehio3FRsq4DPck6/kwBmJMGgsNVa7NpuGn+TIN0nayTyItm8dqLgqLwbstV5MVluJgX&#10;74rVqgh/2bhhlLWsrim3YY7MCqM/m9yB4xMnTtzSomO1hbMpabXdrDqF9gSYXbrPNR0sZzf/eRqu&#10;X1DLi5LCWRTczVKvjJOFF5XR3EsXQeIFYXqXxkGURkX5vKR7xum/l4SGHKfz2Xxi0znpF7UF7ntd&#10;G8l6ZmB3dKzPcXJyIpnl4JrXbrSGsG46X7TCpn9uBYz7OGjHWEvSia5m3IyHpwFgls0bUT8BhZUA&#10;ggEZYe/BoRXqB0YD7JAc6+87oihG3QcOzyANo8gunUtBXQqbS4HwCqBybDCajiszLaqdVGzbQqTp&#10;4XFxC0+nYY7U56wODw72hKvtsNPsIrqUndd58y5/AwAA//8DAFBLAwQUAAYACAAAACEAErGeL94A&#10;AAAKAQAADwAAAGRycy9kb3ducmV2LnhtbEyPzU7DMBCE70i8g7VI3KjTNiEhxKlQEQ9AQeLqxG4c&#10;1V5HsfNDn57lBKfV7oxmv6kOq7Ns1mPoPQrYbhJgGluveuwEfH68PRTAQpSopPWoBXzrAIf69qaS&#10;pfILvuv5FDtGIRhKKcDEOJSch9ZoJ8PGDxpJO/vRyUjr2HE1yoXCneW7JHnkTvZIH4wc9NHo9nKa&#10;nID2Or0Wx76Zl2v+lTersdkZrRD3d+vLM7Co1/hnhl98QoeamBo/oQrMCtilVCXSzJ72wMhQpAld&#10;GgFpnu2B1xX/X6H+AQAA//8DAFBLAQItABQABgAIAAAAIQC2gziS/gAAAOEBAAATAAAAAAAAAAAA&#10;AAAAAAAAAABbQ29udGVudF9UeXBlc10ueG1sUEsBAi0AFAAGAAgAAAAhADj9If/WAAAAlAEAAAsA&#10;AAAAAAAAAAAAAAAALwEAAF9yZWxzLy5yZWxzUEsBAi0AFAAGAAgAAAAhAGGftUWxAgAAwQUAAA4A&#10;AAAAAAAAAAAAAAAALgIAAGRycy9lMm9Eb2MueG1sUEsBAi0AFAAGAAgAAAAhABKxni/eAAAACgEA&#10;AA8AAAAAAAAAAAAAAAAACwUAAGRycy9kb3ducmV2LnhtbFBLBQYAAAAABAAEAPMAAAAWBgAAAAA=&#10;" filled="f" stroked="f">
                <v:textbox inset=",7.2pt,,7.2pt">
                  <w:txbxContent>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r w:rsidRPr="00406FFA">
                        <w:rPr>
                          <w:rFonts w:ascii="Cambria" w:hAnsi="Cambria"/>
                        </w:rPr>
                        <w:t>Recommendation</w:t>
                      </w: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rPr>
                          <w:rFonts w:ascii="Cambria" w:hAnsi="Cambria"/>
                        </w:rPr>
                      </w:pP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ind w:left="567" w:hanging="567"/>
                        <w:rPr>
                          <w:rFonts w:ascii="Cambria" w:hAnsi="Cambria"/>
                        </w:rPr>
                      </w:pPr>
                      <w:r w:rsidRPr="00406FFA">
                        <w:rPr>
                          <w:rFonts w:ascii="Cambria" w:hAnsi="Cambria"/>
                        </w:rPr>
                        <w:t>7.       NGOs use the monitoring and evaluation system developed for the Annual Evaluation process and baseline data to evaluate the impact of gender equality and disability and ethnic inclusion strategies.</w:t>
                      </w:r>
                    </w:p>
                    <w:p w:rsidR="00CB5A76" w:rsidRPr="00406FFA" w:rsidRDefault="00CB5A76" w:rsidP="00406FFA">
                      <w:pPr>
                        <w:pBdr>
                          <w:top w:val="single" w:sz="4" w:space="1" w:color="auto"/>
                          <w:left w:val="single" w:sz="4" w:space="4" w:color="auto"/>
                          <w:bottom w:val="single" w:sz="4" w:space="1" w:color="auto"/>
                          <w:right w:val="single" w:sz="4" w:space="4" w:color="auto"/>
                        </w:pBdr>
                        <w:shd w:val="clear" w:color="auto" w:fill="B6DDE8"/>
                        <w:ind w:left="567" w:hanging="567"/>
                        <w:rPr>
                          <w:rFonts w:ascii="Cambria" w:hAnsi="Cambria"/>
                        </w:rPr>
                      </w:pPr>
                    </w:p>
                  </w:txbxContent>
                </v:textbox>
                <w10:wrap type="tight"/>
              </v:shape>
            </w:pict>
          </mc:Fallback>
        </mc:AlternateContent>
      </w:r>
      <w:r w:rsidR="00CB5A76">
        <w:rPr>
          <w:rFonts w:ascii="Cambria" w:hAnsi="Cambria"/>
          <w:sz w:val="24"/>
        </w:rPr>
        <w:t>None of the NGOs had disaggregated data on people with disabilities and had not reported on how they were ensuring inclusion of people with disabilities in their activities nor whether there were any direct or indirect benefits for families with a family member with a disability. Planning with people with disabilities needs to occur before the implementation of income generation or food security activities to ensure their inclusion and that the activities are accessible and manageable for them. Specific issues that concern community members with disabilities need to be incorporated into disaster risk management and preparedness. With such planning it will be much easier to evaluate the impact of activities on people with disabilities in the projects.</w:t>
      </w:r>
    </w:p>
    <w:p w:rsidR="00CB5A76" w:rsidRPr="009E24A3" w:rsidRDefault="00CB5A76" w:rsidP="009E24A3">
      <w:pPr>
        <w:rPr>
          <w:rFonts w:ascii="Cambria" w:hAnsi="Cambria" w:cs="Arial"/>
          <w:lang w:val="en-GB"/>
        </w:rPr>
      </w:pPr>
      <w:r>
        <w:rPr>
          <w:rFonts w:ascii="Cambria" w:hAnsi="Cambria"/>
          <w:lang w:val="en-GB"/>
        </w:rPr>
        <w:br w:type="page"/>
      </w:r>
    </w:p>
    <w:p w:rsidR="00CB5A76" w:rsidRDefault="00CB5A76" w:rsidP="001A3DC5">
      <w:pPr>
        <w:pStyle w:val="Heading2"/>
        <w:numPr>
          <w:ilvl w:val="0"/>
          <w:numId w:val="1"/>
        </w:numPr>
        <w:ind w:right="-480"/>
        <w:rPr>
          <w:lang w:val="en-GB"/>
        </w:rPr>
      </w:pPr>
      <w:r>
        <w:rPr>
          <w:lang w:val="en-GB"/>
        </w:rPr>
        <w:t>CONCLUSION</w:t>
      </w:r>
    </w:p>
    <w:p w:rsidR="00CB5A76" w:rsidRDefault="00CB5A76" w:rsidP="006D5916">
      <w:pPr>
        <w:pStyle w:val="Bodytxt"/>
        <w:ind w:left="0" w:right="-480"/>
        <w:rPr>
          <w:rFonts w:ascii="Cambria" w:hAnsi="Cambria"/>
          <w:sz w:val="24"/>
          <w:lang w:val="en-GB"/>
        </w:rPr>
      </w:pPr>
      <w:r>
        <w:rPr>
          <w:rFonts w:ascii="Cambria" w:hAnsi="Cambria"/>
          <w:sz w:val="24"/>
          <w:lang w:val="en-GB"/>
        </w:rPr>
        <w:t xml:space="preserve">All the NGOs in LANGOCA are making concerted efforts to model gender equality in staffing, training, and policy. However, whilst there has been some very positive progress the program still has some way to go to ensure that gender equity and inclusion goes beyond ensuring participation of women, small ethnic group members and people with disabilities in activities. Ultimately the program needs to demonstrate that there has been an in-depth analysis of gender and vulnerable/at risk members of communities that is integrated with other analyses related to rural development, poverty, governance, cultural and economic contexts etc. </w:t>
      </w:r>
    </w:p>
    <w:p w:rsidR="00CB5A76" w:rsidRPr="00547ABA" w:rsidRDefault="00CB5A76" w:rsidP="00547ABA">
      <w:pPr>
        <w:pStyle w:val="Bodytxt"/>
        <w:ind w:left="0" w:right="-480"/>
        <w:rPr>
          <w:rFonts w:ascii="Cambria" w:hAnsi="Cambria"/>
          <w:sz w:val="24"/>
          <w:lang w:val="en-GB"/>
        </w:rPr>
      </w:pPr>
      <w:r>
        <w:rPr>
          <w:rFonts w:ascii="Cambria" w:hAnsi="Cambria"/>
          <w:sz w:val="24"/>
          <w:lang w:val="en-GB"/>
        </w:rPr>
        <w:t>Activities need to go beyond meeting the immediate and practical needs of women and girls to increasing access to resources; strengthening women’s decision-making power and men’s support for changes in women’s role and status; protecting women’s rights and the rights of people who may experience discrimination or stigma such as people with disabilities. Risk management strategies need to include consideration of whether activities may have unintended consequences that could exacerbate gender inequality, for example in larger scale income generation which could impact on women’s control of family income. Monitoring and evaluation should include indicators that speak to the impact of activities for women and men, girls and boys and people with disabilities.</w:t>
      </w:r>
    </w:p>
    <w:p w:rsidR="00CB5A76" w:rsidRDefault="00CB5A76" w:rsidP="00BF5F30">
      <w:pPr>
        <w:pStyle w:val="Bodytxt"/>
        <w:ind w:left="0" w:right="-480"/>
        <w:rPr>
          <w:rFonts w:ascii="Cambria" w:hAnsi="Cambria"/>
          <w:sz w:val="24"/>
        </w:rPr>
      </w:pPr>
      <w:r>
        <w:rPr>
          <w:rFonts w:ascii="Cambria" w:hAnsi="Cambria"/>
          <w:sz w:val="24"/>
        </w:rPr>
        <w:t xml:space="preserve">Overall </w:t>
      </w:r>
      <w:r w:rsidRPr="00F6349E">
        <w:rPr>
          <w:rFonts w:ascii="Cambria" w:hAnsi="Cambria"/>
          <w:sz w:val="24"/>
        </w:rPr>
        <w:t xml:space="preserve">LANGOCA was assessed </w:t>
      </w:r>
      <w:r>
        <w:rPr>
          <w:rFonts w:ascii="Cambria" w:hAnsi="Cambria"/>
          <w:sz w:val="24"/>
        </w:rPr>
        <w:t xml:space="preserve">as ‘less than adequate quality’ for gender equality and disability inclusion </w:t>
      </w:r>
      <w:r w:rsidRPr="00F6349E">
        <w:rPr>
          <w:rFonts w:ascii="Cambria" w:hAnsi="Cambria"/>
          <w:sz w:val="24"/>
        </w:rPr>
        <w:t>(3/6).</w:t>
      </w:r>
    </w:p>
    <w:p w:rsidR="00CB5A76" w:rsidRPr="00F6349E" w:rsidRDefault="00CB5A76" w:rsidP="00BF5F30">
      <w:pPr>
        <w:pStyle w:val="Bodytxt"/>
        <w:ind w:left="0" w:right="-480"/>
        <w:rPr>
          <w:rFonts w:ascii="Cambria" w:hAnsi="Cambria"/>
          <w:sz w:val="24"/>
        </w:rPr>
      </w:pP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rPr>
          <w:b/>
          <w:szCs w:val="18"/>
        </w:rPr>
      </w:pPr>
      <w:r w:rsidRPr="006D5916">
        <w:rPr>
          <w:b/>
          <w:szCs w:val="18"/>
        </w:rPr>
        <w:t>Relative strengths:</w:t>
      </w: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r w:rsidRPr="006D5916">
        <w:rPr>
          <w:szCs w:val="22"/>
        </w:rPr>
        <w:sym w:font="Wingdings" w:char="F0FE"/>
      </w:r>
      <w:r w:rsidRPr="006D5916">
        <w:rPr>
          <w:szCs w:val="18"/>
        </w:rPr>
        <w:t xml:space="preserve"> Program design explicitly focussed on gender equality in and encouraged use of participatory approaches for gathering of baseline data and design of activities to address women’s specific needs.</w:t>
      </w:r>
    </w:p>
    <w:p w:rsidR="00CB5A76" w:rsidRPr="006D5916" w:rsidRDefault="00CB5A76" w:rsidP="009E24A3">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r w:rsidRPr="006D5916">
        <w:rPr>
          <w:szCs w:val="22"/>
        </w:rPr>
        <w:sym w:font="Wingdings" w:char="F0FE"/>
      </w:r>
      <w:r w:rsidRPr="006D5916">
        <w:rPr>
          <w:szCs w:val="18"/>
        </w:rPr>
        <w:t xml:space="preserve"> </w:t>
      </w:r>
      <w:proofErr w:type="spellStart"/>
      <w:r w:rsidRPr="006D5916">
        <w:rPr>
          <w:szCs w:val="18"/>
        </w:rPr>
        <w:t>So</w:t>
      </w:r>
      <w:r w:rsidRPr="009E24A3">
        <w:rPr>
          <w:szCs w:val="18"/>
        </w:rPr>
        <w:t xml:space="preserve"> </w:t>
      </w:r>
      <w:r w:rsidRPr="006D5916">
        <w:rPr>
          <w:szCs w:val="18"/>
        </w:rPr>
        <w:t>me</w:t>
      </w:r>
      <w:proofErr w:type="spellEnd"/>
      <w:r w:rsidRPr="006D5916">
        <w:rPr>
          <w:szCs w:val="18"/>
        </w:rPr>
        <w:t xml:space="preserve"> examples of effective approaches for mainstreaming gender equality and use of positive role models for gender including employment of female staff and in one case, staff with a disability.</w:t>
      </w:r>
    </w:p>
    <w:p w:rsidR="00CB5A76" w:rsidRPr="006D5916" w:rsidRDefault="00CB5A76" w:rsidP="009E24A3">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r w:rsidRPr="006D5916">
        <w:rPr>
          <w:szCs w:val="22"/>
        </w:rPr>
        <w:sym w:font="Wingdings" w:char="F0FE"/>
      </w:r>
      <w:r w:rsidRPr="006D5916">
        <w:rPr>
          <w:szCs w:val="18"/>
        </w:rPr>
        <w:t xml:space="preserve"> Use of positive role models for gender including use of MAG female UXO clearance team, gender work with children, and strong policy for employment of female staff and in one case, staff with a disability Increased membership of women in village governance (VDCs, VDMCs WASH committees </w:t>
      </w:r>
      <w:proofErr w:type="spellStart"/>
      <w:r w:rsidRPr="006D5916">
        <w:rPr>
          <w:szCs w:val="18"/>
        </w:rPr>
        <w:t>etc</w:t>
      </w:r>
      <w:proofErr w:type="spellEnd"/>
      <w:r w:rsidRPr="006D5916">
        <w:rPr>
          <w:szCs w:val="18"/>
        </w:rPr>
        <w:t>).</w:t>
      </w:r>
    </w:p>
    <w:p w:rsidR="00CB5A76" w:rsidRPr="006D5916" w:rsidRDefault="00CB5A76" w:rsidP="009E24A3">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r w:rsidRPr="006D5916">
        <w:rPr>
          <w:szCs w:val="22"/>
        </w:rPr>
        <w:sym w:font="Wingdings" w:char="F0FE"/>
      </w:r>
      <w:r w:rsidRPr="006D5916">
        <w:rPr>
          <w:szCs w:val="18"/>
        </w:rPr>
        <w:t>Engagement of the Lao Women’s Union (LWU) representatives who in some cases could speak the language of smaller ethnic communities.</w:t>
      </w:r>
    </w:p>
    <w:p w:rsidR="00CB5A76" w:rsidRPr="006D5916" w:rsidRDefault="00CB5A76" w:rsidP="009E24A3">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rPr>
          <w:szCs w:val="18"/>
        </w:rPr>
      </w:pPr>
      <w:r w:rsidRPr="006D5916">
        <w:rPr>
          <w:szCs w:val="22"/>
        </w:rPr>
        <w:sym w:font="Wingdings" w:char="F0FE"/>
      </w:r>
      <w:r w:rsidRPr="006D5916">
        <w:rPr>
          <w:szCs w:val="18"/>
        </w:rPr>
        <w:t xml:space="preserve"> Women beneficiaries reported a positive impact from activities such as </w:t>
      </w:r>
      <w:r>
        <w:rPr>
          <w:szCs w:val="18"/>
        </w:rPr>
        <w:t xml:space="preserve">clearance of UXO freeing up land, </w:t>
      </w:r>
      <w:r w:rsidRPr="006D5916">
        <w:rPr>
          <w:szCs w:val="18"/>
        </w:rPr>
        <w:t>provision of clean water supply systems, wheelbarrows, various trainings and the establishment of village midwifery services.</w:t>
      </w:r>
    </w:p>
    <w:p w:rsidR="00CB5A76" w:rsidRPr="006D5916" w:rsidRDefault="00CB5A76" w:rsidP="009E24A3">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rPr>
          <w:b/>
          <w:szCs w:val="18"/>
        </w:rPr>
      </w:pPr>
      <w:r w:rsidRPr="006D5916">
        <w:rPr>
          <w:b/>
          <w:szCs w:val="18"/>
        </w:rPr>
        <w:t>Relative weaknesses:</w:t>
      </w: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r w:rsidRPr="006D5916">
        <w:rPr>
          <w:szCs w:val="22"/>
        </w:rPr>
        <w:sym w:font="Wingdings" w:char="F0FD"/>
      </w:r>
      <w:r w:rsidRPr="006D5916">
        <w:rPr>
          <w:szCs w:val="18"/>
        </w:rPr>
        <w:t xml:space="preserve"> </w:t>
      </w:r>
      <w:proofErr w:type="spellStart"/>
      <w:r w:rsidRPr="006D5916">
        <w:rPr>
          <w:szCs w:val="18"/>
        </w:rPr>
        <w:t>AusAID’s</w:t>
      </w:r>
      <w:proofErr w:type="spellEnd"/>
      <w:r w:rsidRPr="006D5916">
        <w:rPr>
          <w:szCs w:val="18"/>
        </w:rPr>
        <w:t xml:space="preserve"> prioritisation of disability inclusion post-dates the LANGOCA design process, and there is low awareness among NGO staff &amp; </w:t>
      </w:r>
      <w:proofErr w:type="spellStart"/>
      <w:r w:rsidRPr="006D5916">
        <w:rPr>
          <w:szCs w:val="18"/>
        </w:rPr>
        <w:t>GoL</w:t>
      </w:r>
      <w:proofErr w:type="spellEnd"/>
      <w:r w:rsidRPr="006D5916">
        <w:rPr>
          <w:szCs w:val="18"/>
        </w:rPr>
        <w:t xml:space="preserve"> counterparts about how disability inclusion activities could be implemented.</w:t>
      </w: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r w:rsidRPr="006D5916">
        <w:rPr>
          <w:szCs w:val="22"/>
        </w:rPr>
        <w:sym w:font="Wingdings" w:char="F0FD"/>
      </w:r>
      <w:r>
        <w:rPr>
          <w:szCs w:val="22"/>
        </w:rPr>
        <w:t xml:space="preserve"> </w:t>
      </w:r>
      <w:r w:rsidRPr="006D5916">
        <w:rPr>
          <w:szCs w:val="18"/>
        </w:rPr>
        <w:t xml:space="preserve">Low awareness among NGO staff and </w:t>
      </w:r>
      <w:proofErr w:type="spellStart"/>
      <w:r w:rsidRPr="006D5916">
        <w:rPr>
          <w:szCs w:val="18"/>
        </w:rPr>
        <w:t>GoL</w:t>
      </w:r>
      <w:proofErr w:type="spellEnd"/>
      <w:r w:rsidRPr="006D5916">
        <w:rPr>
          <w:szCs w:val="18"/>
        </w:rPr>
        <w:t xml:space="preserve"> counterparts about how to implement practical strategies to meaningfully increase women’s participation and decision-making in village governance fora in addition to setting quotas.</w:t>
      </w: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r w:rsidRPr="006D5916">
        <w:rPr>
          <w:szCs w:val="22"/>
        </w:rPr>
        <w:sym w:font="Wingdings" w:char="F0FD"/>
      </w:r>
      <w:r w:rsidRPr="006D5916">
        <w:rPr>
          <w:szCs w:val="18"/>
        </w:rPr>
        <w:t xml:space="preserve"> Generally low female representation among NGO field staff and counterpart </w:t>
      </w:r>
      <w:proofErr w:type="spellStart"/>
      <w:r w:rsidRPr="006D5916">
        <w:rPr>
          <w:szCs w:val="18"/>
        </w:rPr>
        <w:t>GoL</w:t>
      </w:r>
      <w:proofErr w:type="spellEnd"/>
      <w:r w:rsidRPr="006D5916">
        <w:rPr>
          <w:szCs w:val="18"/>
        </w:rPr>
        <w:t xml:space="preserve"> staff, particularly who spoke ethnic languages which led to constraints to inclusive development for small ethnic groups.</w:t>
      </w: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b/>
          <w:szCs w:val="18"/>
        </w:rPr>
      </w:pPr>
      <w:r w:rsidRPr="006D5916">
        <w:rPr>
          <w:szCs w:val="22"/>
        </w:rPr>
        <w:sym w:font="Wingdings" w:char="F0FD"/>
      </w:r>
      <w:r w:rsidRPr="006D5916">
        <w:rPr>
          <w:szCs w:val="18"/>
        </w:rPr>
        <w:t xml:space="preserve"> Interventions and activities to support gender equality were generally very broad rather than nuanced practical strategies.</w:t>
      </w: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spacing w:after="0"/>
        <w:rPr>
          <w:szCs w:val="18"/>
        </w:rPr>
      </w:pPr>
      <w:r w:rsidRPr="006D5916">
        <w:rPr>
          <w:szCs w:val="22"/>
        </w:rPr>
        <w:sym w:font="Wingdings" w:char="F0FD"/>
      </w:r>
      <w:r w:rsidRPr="006D5916">
        <w:rPr>
          <w:szCs w:val="18"/>
        </w:rPr>
        <w:t xml:space="preserve"> Inadequate evaluation of impact of gender awareness and other gender strategies, inclusion of small ethnic group members, and impact of HIV and mine risk education (MRE) beyond disaggregation of data.</w:t>
      </w:r>
    </w:p>
    <w:p w:rsidR="00CB5A76" w:rsidRPr="006D5916" w:rsidRDefault="00CB5A76" w:rsidP="006D5916">
      <w:pPr>
        <w:pStyle w:val="Bodytxt"/>
        <w:pBdr>
          <w:top w:val="single" w:sz="4" w:space="1" w:color="auto" w:shadow="1"/>
          <w:left w:val="single" w:sz="4" w:space="4" w:color="auto" w:shadow="1"/>
          <w:bottom w:val="single" w:sz="4" w:space="16" w:color="auto" w:shadow="1"/>
          <w:right w:val="single" w:sz="4" w:space="4" w:color="auto" w:shadow="1"/>
        </w:pBdr>
        <w:shd w:val="clear" w:color="auto" w:fill="C6D9F1"/>
        <w:rPr>
          <w:szCs w:val="18"/>
        </w:rPr>
      </w:pPr>
      <w:r w:rsidRPr="006D5916">
        <w:rPr>
          <w:szCs w:val="22"/>
        </w:rPr>
        <w:sym w:font="Wingdings" w:char="F0FD"/>
      </w:r>
      <w:r w:rsidRPr="006D5916">
        <w:rPr>
          <w:szCs w:val="18"/>
        </w:rPr>
        <w:t xml:space="preserve"> The use of a problem-based approach in most instances rather than a strengths-based approach led to development of more limited gender equality and disability and ethnicity inclusion interventions.</w:t>
      </w:r>
    </w:p>
    <w:p w:rsidR="00CB5A76" w:rsidRDefault="00CB5A76" w:rsidP="00E01DBD">
      <w:pPr>
        <w:pStyle w:val="Heading2"/>
        <w:numPr>
          <w:ilvl w:val="0"/>
          <w:numId w:val="0"/>
        </w:numPr>
        <w:ind w:right="-480"/>
        <w:rPr>
          <w:bCs/>
          <w:lang w:val="en-PH"/>
        </w:rPr>
      </w:pPr>
    </w:p>
    <w:p w:rsidR="00CB5A76" w:rsidRPr="003A30C4" w:rsidRDefault="00F77070" w:rsidP="004F6EC3">
      <w:pPr>
        <w:pStyle w:val="Heading2"/>
        <w:numPr>
          <w:ilvl w:val="0"/>
          <w:numId w:val="0"/>
        </w:numPr>
        <w:ind w:right="-480"/>
        <w:jc w:val="center"/>
        <w:rPr>
          <w:lang w:val="en-PH"/>
        </w:rPr>
      </w:pPr>
      <w:r>
        <w:rPr>
          <w:noProof/>
          <w:lang w:eastAsia="en-AU"/>
        </w:rPr>
        <w:drawing>
          <wp:inline distT="0" distB="0" distL="0" distR="0" wp14:anchorId="34A2435C" wp14:editId="4FFEFE4E">
            <wp:extent cx="2927350" cy="3657600"/>
            <wp:effectExtent l="0" t="0" r="6350" b="0"/>
            <wp:docPr id="5" name="Picture 1" descr="File0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35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7350" cy="3657600"/>
                    </a:xfrm>
                    <a:prstGeom prst="rect">
                      <a:avLst/>
                    </a:prstGeom>
                    <a:noFill/>
                    <a:ln>
                      <a:noFill/>
                    </a:ln>
                  </pic:spPr>
                </pic:pic>
              </a:graphicData>
            </a:graphic>
          </wp:inline>
        </w:drawing>
      </w:r>
      <w:r w:rsidR="00CB5A76">
        <w:rPr>
          <w:bCs/>
          <w:lang w:val="en-PH"/>
        </w:rPr>
        <w:br w:type="page"/>
      </w:r>
      <w:bookmarkStart w:id="21" w:name="_Toc168812988"/>
      <w:r w:rsidR="00CB5A76" w:rsidRPr="003A30C4">
        <w:rPr>
          <w:lang w:val="en-PH"/>
        </w:rPr>
        <w:t xml:space="preserve">Appendix </w:t>
      </w:r>
      <w:r w:rsidR="00CB5A76">
        <w:rPr>
          <w:lang w:val="en-PH"/>
        </w:rPr>
        <w:t>A</w:t>
      </w:r>
      <w:r w:rsidR="00CB5A76" w:rsidRPr="003A30C4">
        <w:rPr>
          <w:lang w:val="en-PH"/>
        </w:rPr>
        <w:t xml:space="preserve">: </w:t>
      </w:r>
      <w:r w:rsidR="00CB5A76">
        <w:rPr>
          <w:lang w:val="en-PH"/>
        </w:rPr>
        <w:t>REVIEWED DOCUMENTS</w:t>
      </w:r>
      <w:bookmarkEnd w:id="21"/>
    </w:p>
    <w:p w:rsidR="00CB5A76" w:rsidRPr="00E46EE0" w:rsidRDefault="00CB5A76" w:rsidP="00A61D21">
      <w:pPr>
        <w:pStyle w:val="Bodytxt"/>
        <w:ind w:left="0" w:right="-763"/>
        <w:jc w:val="left"/>
        <w:rPr>
          <w:rFonts w:ascii="Cambria" w:hAnsi="Cambria"/>
          <w:sz w:val="24"/>
        </w:rPr>
      </w:pPr>
      <w:proofErr w:type="spellStart"/>
      <w:r w:rsidRPr="00E46EE0">
        <w:rPr>
          <w:rFonts w:ascii="Cambria" w:hAnsi="Cambria"/>
          <w:sz w:val="24"/>
        </w:rPr>
        <w:t>Albone</w:t>
      </w:r>
      <w:proofErr w:type="spellEnd"/>
      <w:r w:rsidRPr="00E46EE0">
        <w:rPr>
          <w:rFonts w:ascii="Cambria" w:hAnsi="Cambria"/>
          <w:sz w:val="24"/>
        </w:rPr>
        <w:t xml:space="preserve">, Suzie, Aug 2010, </w:t>
      </w:r>
      <w:r w:rsidRPr="00E46EE0">
        <w:rPr>
          <w:rFonts w:ascii="Cambria" w:hAnsi="Cambria"/>
          <w:i/>
          <w:sz w:val="24"/>
        </w:rPr>
        <w:t>Training Report: Technical Support to Implementation of LANGOCA MEF</w:t>
      </w:r>
    </w:p>
    <w:p w:rsidR="00CB5A76" w:rsidRPr="00E46EE0" w:rsidRDefault="00CB5A76" w:rsidP="00A61D21">
      <w:pPr>
        <w:pStyle w:val="Bodytxt"/>
        <w:ind w:left="0" w:right="-763"/>
        <w:jc w:val="left"/>
        <w:rPr>
          <w:rFonts w:ascii="Cambria" w:hAnsi="Cambria"/>
          <w:i/>
          <w:sz w:val="24"/>
        </w:rPr>
      </w:pPr>
      <w:r w:rsidRPr="00E46EE0">
        <w:rPr>
          <w:rFonts w:ascii="Cambria" w:hAnsi="Cambria"/>
          <w:sz w:val="24"/>
        </w:rPr>
        <w:t xml:space="preserve">Asian Development Bank (ADB), 2009, </w:t>
      </w:r>
      <w:r w:rsidRPr="00E46EE0">
        <w:rPr>
          <w:rFonts w:ascii="Cambria" w:hAnsi="Cambria"/>
          <w:i/>
          <w:sz w:val="24"/>
        </w:rPr>
        <w:t>Social Analysis of Greater Mekong Region Communicable Diseases Prevention Program</w:t>
      </w:r>
    </w:p>
    <w:p w:rsidR="00CB5A76" w:rsidRPr="00E46EE0" w:rsidRDefault="00CB5A76" w:rsidP="00A61D21">
      <w:pPr>
        <w:pStyle w:val="Bodytxt"/>
        <w:ind w:left="0" w:right="-763"/>
        <w:jc w:val="left"/>
        <w:rPr>
          <w:rFonts w:ascii="Cambria" w:hAnsi="Cambria"/>
          <w:i/>
          <w:sz w:val="24"/>
        </w:rPr>
      </w:pPr>
      <w:r w:rsidRPr="00E46EE0">
        <w:rPr>
          <w:rFonts w:ascii="Cambria" w:hAnsi="Cambria"/>
          <w:sz w:val="24"/>
        </w:rPr>
        <w:t xml:space="preserve">CARE </w:t>
      </w:r>
      <w:r w:rsidRPr="00E46EE0">
        <w:rPr>
          <w:rFonts w:ascii="Cambria" w:hAnsi="Cambria"/>
          <w:i/>
          <w:sz w:val="24"/>
        </w:rPr>
        <w:t xml:space="preserve">Reducing UXO Risk and Improving Livelihoods of Ethnic Communities in </w:t>
      </w:r>
      <w:proofErr w:type="spellStart"/>
      <w:r w:rsidRPr="00E46EE0">
        <w:rPr>
          <w:rFonts w:ascii="Cambria" w:hAnsi="Cambria"/>
          <w:i/>
          <w:sz w:val="24"/>
        </w:rPr>
        <w:t>Sekong</w:t>
      </w:r>
      <w:proofErr w:type="spellEnd"/>
      <w:r w:rsidRPr="00E46EE0">
        <w:rPr>
          <w:rFonts w:ascii="Cambria" w:hAnsi="Cambria"/>
          <w:i/>
          <w:sz w:val="24"/>
        </w:rPr>
        <w:t xml:space="preserve"> Province Program Design Document, Progress Report from Jan-Jun 2010, Annual Report from Jan – Dec 2010</w:t>
      </w:r>
    </w:p>
    <w:p w:rsidR="00CB5A76" w:rsidRPr="00E46EE0" w:rsidRDefault="00CB5A76" w:rsidP="00A61D21">
      <w:pPr>
        <w:pStyle w:val="Bodytxt"/>
        <w:ind w:left="0" w:right="-763"/>
        <w:jc w:val="left"/>
        <w:rPr>
          <w:rFonts w:ascii="Cambria" w:hAnsi="Cambria"/>
          <w:sz w:val="24"/>
        </w:rPr>
      </w:pPr>
      <w:r w:rsidRPr="00E46EE0">
        <w:rPr>
          <w:rFonts w:ascii="Cambria" w:hAnsi="Cambria"/>
          <w:sz w:val="24"/>
        </w:rPr>
        <w:t xml:space="preserve">CARE, </w:t>
      </w:r>
      <w:r w:rsidRPr="00E46EE0">
        <w:rPr>
          <w:rFonts w:ascii="Cambria" w:hAnsi="Cambria"/>
          <w:i/>
          <w:sz w:val="24"/>
        </w:rPr>
        <w:t>CARE International in Lao PDR Gender Strategy 2011-2015</w:t>
      </w:r>
    </w:p>
    <w:p w:rsidR="00CB5A76" w:rsidRPr="00E46EE0" w:rsidRDefault="00CB5A76" w:rsidP="00A61D21">
      <w:pPr>
        <w:pStyle w:val="Bodytxt"/>
        <w:ind w:left="0" w:right="-763"/>
        <w:jc w:val="left"/>
        <w:rPr>
          <w:rFonts w:ascii="Cambria" w:hAnsi="Cambria"/>
          <w:bCs/>
          <w:sz w:val="24"/>
          <w:lang w:val="en-PH"/>
        </w:rPr>
      </w:pPr>
      <w:r w:rsidRPr="00E46EE0">
        <w:rPr>
          <w:rFonts w:ascii="Cambria" w:hAnsi="Cambria"/>
          <w:bCs/>
          <w:sz w:val="24"/>
          <w:lang w:val="en-PH"/>
        </w:rPr>
        <w:t xml:space="preserve">Farrow, David, Jan 2011, </w:t>
      </w:r>
      <w:r w:rsidRPr="00E46EE0">
        <w:rPr>
          <w:rFonts w:ascii="Cambria" w:hAnsi="Cambria"/>
          <w:bCs/>
          <w:i/>
          <w:sz w:val="24"/>
          <w:lang w:val="en-PH"/>
        </w:rPr>
        <w:t>Review of the 2010 LANGOCA Annual Evaluation Process</w:t>
      </w:r>
    </w:p>
    <w:p w:rsidR="00CB5A76" w:rsidRPr="00E46EE0" w:rsidRDefault="00CB5A76" w:rsidP="00A61D21">
      <w:pPr>
        <w:pStyle w:val="Bodytxt"/>
        <w:ind w:left="0" w:right="-763"/>
        <w:jc w:val="left"/>
        <w:rPr>
          <w:rFonts w:ascii="Cambria" w:hAnsi="Cambria"/>
          <w:bCs/>
          <w:i/>
          <w:sz w:val="24"/>
          <w:lang w:val="en-PH"/>
        </w:rPr>
      </w:pPr>
      <w:r w:rsidRPr="00E46EE0">
        <w:rPr>
          <w:rFonts w:ascii="Cambria" w:hAnsi="Cambria"/>
          <w:bCs/>
          <w:sz w:val="24"/>
          <w:lang w:val="en-PH"/>
        </w:rPr>
        <w:t xml:space="preserve">Farrow, David &amp; </w:t>
      </w:r>
      <w:proofErr w:type="spellStart"/>
      <w:r w:rsidRPr="00E46EE0">
        <w:rPr>
          <w:rFonts w:ascii="Cambria" w:hAnsi="Cambria"/>
          <w:bCs/>
          <w:sz w:val="24"/>
          <w:lang w:val="en-PH"/>
        </w:rPr>
        <w:t>Albone</w:t>
      </w:r>
      <w:proofErr w:type="spellEnd"/>
      <w:r w:rsidRPr="00E46EE0">
        <w:rPr>
          <w:rFonts w:ascii="Cambria" w:hAnsi="Cambria"/>
          <w:bCs/>
          <w:sz w:val="24"/>
          <w:lang w:val="en-PH"/>
        </w:rPr>
        <w:t xml:space="preserve">, Suzie, Feb 2010, </w:t>
      </w:r>
      <w:r w:rsidRPr="00E46EE0">
        <w:rPr>
          <w:rFonts w:ascii="Cambria" w:hAnsi="Cambria"/>
          <w:bCs/>
          <w:i/>
          <w:sz w:val="24"/>
          <w:lang w:val="en-PH"/>
        </w:rPr>
        <w:t>LANGOCA MEF Implementation Review</w:t>
      </w:r>
    </w:p>
    <w:p w:rsidR="00CB5A76" w:rsidRPr="00E46EE0" w:rsidRDefault="00CB5A76" w:rsidP="00206191">
      <w:pPr>
        <w:pStyle w:val="Bodytxt"/>
        <w:ind w:left="0" w:right="-763"/>
        <w:jc w:val="left"/>
        <w:rPr>
          <w:rFonts w:ascii="Cambria" w:hAnsi="Cambria"/>
          <w:bCs/>
          <w:sz w:val="24"/>
          <w:lang w:val="en-PH"/>
        </w:rPr>
      </w:pPr>
      <w:r w:rsidRPr="00E46EE0">
        <w:rPr>
          <w:rFonts w:ascii="Cambria" w:hAnsi="Cambria"/>
          <w:sz w:val="24"/>
        </w:rPr>
        <w:t xml:space="preserve">Gender Information and Resource Development Centre (GRID) and World Bank, Nov 2005, </w:t>
      </w:r>
      <w:r w:rsidRPr="00E46EE0">
        <w:rPr>
          <w:rFonts w:ascii="Cambria" w:hAnsi="Cambria"/>
          <w:i/>
          <w:sz w:val="24"/>
        </w:rPr>
        <w:t>Lao PDR Gender Profile</w:t>
      </w:r>
    </w:p>
    <w:p w:rsidR="00CB5A76" w:rsidRDefault="00CB5A76" w:rsidP="00A61D21">
      <w:pPr>
        <w:pStyle w:val="Bodytxt"/>
        <w:ind w:left="0" w:right="-763"/>
        <w:jc w:val="left"/>
        <w:rPr>
          <w:rFonts w:ascii="Cambria" w:hAnsi="Cambria"/>
          <w:i/>
          <w:sz w:val="24"/>
        </w:rPr>
      </w:pPr>
      <w:r w:rsidRPr="00E46EE0">
        <w:rPr>
          <w:rFonts w:ascii="Cambria" w:hAnsi="Cambria"/>
          <w:bCs/>
          <w:sz w:val="24"/>
          <w:lang w:val="en-PH"/>
        </w:rPr>
        <w:t xml:space="preserve">Hackman, Richard, Feb 2011, </w:t>
      </w:r>
      <w:r w:rsidRPr="00E46EE0">
        <w:rPr>
          <w:rFonts w:ascii="Cambria" w:hAnsi="Cambria"/>
          <w:bCs/>
          <w:i/>
          <w:sz w:val="24"/>
          <w:lang w:val="en-PH"/>
        </w:rPr>
        <w:t>CARE Laos Mid-Term Review</w:t>
      </w:r>
      <w:r>
        <w:rPr>
          <w:rFonts w:ascii="Cambria" w:hAnsi="Cambria"/>
          <w:bCs/>
          <w:i/>
          <w:sz w:val="24"/>
          <w:lang w:val="en-PH"/>
        </w:rPr>
        <w:t xml:space="preserve"> </w:t>
      </w:r>
      <w:r w:rsidRPr="00E46EE0">
        <w:rPr>
          <w:rFonts w:ascii="Cambria" w:hAnsi="Cambria"/>
          <w:i/>
          <w:sz w:val="24"/>
        </w:rPr>
        <w:t xml:space="preserve">Reducing UXO Risk and Improving Livelihoods of Ethnic Communities in </w:t>
      </w:r>
      <w:proofErr w:type="spellStart"/>
      <w:r w:rsidRPr="00E46EE0">
        <w:rPr>
          <w:rFonts w:ascii="Cambria" w:hAnsi="Cambria"/>
          <w:i/>
          <w:sz w:val="24"/>
        </w:rPr>
        <w:t>Sekong</w:t>
      </w:r>
      <w:proofErr w:type="spellEnd"/>
      <w:r w:rsidRPr="00E46EE0">
        <w:rPr>
          <w:rFonts w:ascii="Cambria" w:hAnsi="Cambria"/>
          <w:i/>
          <w:sz w:val="24"/>
        </w:rPr>
        <w:t xml:space="preserve"> Province</w:t>
      </w:r>
    </w:p>
    <w:p w:rsidR="00CB5A76" w:rsidRPr="00896F0E" w:rsidRDefault="00CB5A76" w:rsidP="00A61D21">
      <w:pPr>
        <w:pStyle w:val="Bodytxt"/>
        <w:ind w:left="0" w:right="-763"/>
        <w:jc w:val="left"/>
        <w:rPr>
          <w:rFonts w:ascii="Cambria" w:hAnsi="Cambria"/>
          <w:bCs/>
          <w:sz w:val="24"/>
          <w:lang w:val="en-PH"/>
        </w:rPr>
      </w:pPr>
      <w:r w:rsidRPr="00896F0E">
        <w:rPr>
          <w:rFonts w:ascii="Cambria" w:hAnsi="Cambria"/>
          <w:color w:val="000000"/>
          <w:sz w:val="24"/>
          <w:szCs w:val="18"/>
          <w:lang w:val="en-US" w:eastAsia="en-AU"/>
        </w:rPr>
        <w:t xml:space="preserve">Handicap International for Ministry of </w:t>
      </w:r>
      <w:proofErr w:type="spellStart"/>
      <w:r w:rsidRPr="00896F0E">
        <w:rPr>
          <w:rFonts w:ascii="Cambria" w:hAnsi="Cambria"/>
          <w:color w:val="000000"/>
          <w:sz w:val="24"/>
          <w:szCs w:val="18"/>
          <w:lang w:val="en-US" w:eastAsia="en-AU"/>
        </w:rPr>
        <w:t>Labour</w:t>
      </w:r>
      <w:proofErr w:type="spellEnd"/>
      <w:r w:rsidRPr="00896F0E">
        <w:rPr>
          <w:rFonts w:ascii="Cambria" w:hAnsi="Cambria"/>
          <w:color w:val="000000"/>
          <w:sz w:val="24"/>
          <w:szCs w:val="18"/>
          <w:lang w:val="en-US" w:eastAsia="en-AU"/>
        </w:rPr>
        <w:t xml:space="preserve"> </w:t>
      </w:r>
      <w:r>
        <w:rPr>
          <w:rFonts w:ascii="Cambria" w:hAnsi="Cambria"/>
          <w:color w:val="000000"/>
          <w:sz w:val="24"/>
          <w:szCs w:val="18"/>
          <w:lang w:val="en-US" w:eastAsia="en-AU"/>
        </w:rPr>
        <w:t>and Social Welfare and UXO Lao, 1997,</w:t>
      </w:r>
      <w:r w:rsidRPr="00896F0E">
        <w:rPr>
          <w:rFonts w:ascii="Cambria" w:hAnsi="Cambria"/>
          <w:color w:val="000000"/>
          <w:sz w:val="24"/>
          <w:szCs w:val="18"/>
          <w:lang w:val="en-US" w:eastAsia="en-AU"/>
        </w:rPr>
        <w:t xml:space="preserve"> </w:t>
      </w:r>
      <w:r w:rsidRPr="00896F0E">
        <w:rPr>
          <w:rFonts w:ascii="Cambria" w:hAnsi="Cambria"/>
          <w:i/>
          <w:iCs/>
          <w:color w:val="000000"/>
          <w:sz w:val="24"/>
          <w:szCs w:val="18"/>
          <w:lang w:val="en-US" w:eastAsia="en-AU"/>
        </w:rPr>
        <w:t>Living with UXO: National Survey on the Socio-Economic Impact of UXO in Lao PDR</w:t>
      </w:r>
      <w:r w:rsidRPr="00896F0E">
        <w:rPr>
          <w:rFonts w:ascii="Cambria" w:hAnsi="Cambria"/>
          <w:color w:val="000000"/>
          <w:sz w:val="24"/>
          <w:szCs w:val="18"/>
          <w:lang w:val="en-US" w:eastAsia="en-AU"/>
        </w:rPr>
        <w:t>, Vientiane, Lao PDR.</w:t>
      </w:r>
    </w:p>
    <w:p w:rsidR="00CB5A76" w:rsidRPr="00E46EE0" w:rsidRDefault="00CB5A76" w:rsidP="00A61D21">
      <w:pPr>
        <w:pStyle w:val="Bodytxt"/>
        <w:ind w:left="0" w:right="-763"/>
        <w:jc w:val="left"/>
        <w:rPr>
          <w:rFonts w:ascii="Cambria" w:hAnsi="Cambria"/>
          <w:bCs/>
          <w:sz w:val="24"/>
          <w:lang w:val="en-PH"/>
        </w:rPr>
      </w:pPr>
      <w:r w:rsidRPr="00E46EE0">
        <w:rPr>
          <w:rFonts w:ascii="Cambria" w:hAnsi="Cambria"/>
          <w:bCs/>
          <w:i/>
          <w:sz w:val="24"/>
          <w:lang w:val="en-PH"/>
        </w:rPr>
        <w:t>LANGOCA M&amp;E Framework and Implementation Guide,</w:t>
      </w:r>
      <w:r w:rsidRPr="00E46EE0">
        <w:rPr>
          <w:rFonts w:ascii="Cambria" w:hAnsi="Cambria"/>
          <w:bCs/>
          <w:sz w:val="24"/>
          <w:lang w:val="en-PH"/>
        </w:rPr>
        <w:t xml:space="preserve"> October 2010</w:t>
      </w:r>
    </w:p>
    <w:p w:rsidR="00CB5A76" w:rsidRPr="00E46EE0" w:rsidRDefault="00CB5A76" w:rsidP="00A61D21">
      <w:pPr>
        <w:pStyle w:val="Bodytxt"/>
        <w:ind w:left="0" w:right="-763"/>
        <w:jc w:val="left"/>
        <w:rPr>
          <w:rFonts w:ascii="Cambria" w:hAnsi="Cambria"/>
          <w:bCs/>
          <w:sz w:val="24"/>
          <w:lang w:val="en-PH"/>
        </w:rPr>
      </w:pPr>
      <w:r w:rsidRPr="00E46EE0">
        <w:rPr>
          <w:rFonts w:ascii="Cambria" w:hAnsi="Cambria"/>
          <w:bCs/>
          <w:sz w:val="24"/>
          <w:lang w:val="en-PH"/>
        </w:rPr>
        <w:t>Lao PDR Map of 72 Poor Districts</w:t>
      </w:r>
    </w:p>
    <w:p w:rsidR="00CB5A76" w:rsidRDefault="00CB5A76" w:rsidP="00A61D21">
      <w:pPr>
        <w:pStyle w:val="Bodytxt"/>
        <w:ind w:left="0" w:right="-763"/>
        <w:jc w:val="left"/>
        <w:rPr>
          <w:rFonts w:ascii="Cambria" w:hAnsi="Cambria"/>
          <w:bCs/>
          <w:i/>
          <w:sz w:val="24"/>
          <w:lang w:val="en-PH"/>
        </w:rPr>
      </w:pPr>
      <w:r w:rsidRPr="00E46EE0">
        <w:rPr>
          <w:rFonts w:ascii="Cambria" w:hAnsi="Cambria"/>
          <w:bCs/>
          <w:sz w:val="24"/>
          <w:lang w:val="en-PH"/>
        </w:rPr>
        <w:t xml:space="preserve">Mine Action Group (MAG), March 2008, </w:t>
      </w:r>
      <w:r w:rsidRPr="00E46EE0">
        <w:rPr>
          <w:rFonts w:ascii="Cambria" w:hAnsi="Cambria"/>
          <w:bCs/>
          <w:i/>
          <w:sz w:val="24"/>
          <w:lang w:val="en-PH"/>
        </w:rPr>
        <w:t>Assessment of Gender Perspectives in UXO Action in Lao PDR</w:t>
      </w:r>
    </w:p>
    <w:p w:rsidR="00CB5A76" w:rsidRPr="00896F0E" w:rsidRDefault="00CB5A76" w:rsidP="00A61D21">
      <w:pPr>
        <w:pStyle w:val="Bodytxt"/>
        <w:ind w:left="0" w:right="-763"/>
        <w:jc w:val="left"/>
        <w:rPr>
          <w:rFonts w:ascii="Cambria" w:hAnsi="Cambria"/>
          <w:bCs/>
          <w:i/>
          <w:sz w:val="24"/>
          <w:lang w:val="en-PH"/>
        </w:rPr>
      </w:pPr>
      <w:r>
        <w:rPr>
          <w:rFonts w:ascii="Cambria" w:hAnsi="Cambria"/>
          <w:color w:val="000000"/>
          <w:sz w:val="24"/>
          <w:szCs w:val="18"/>
          <w:lang w:val="en-US" w:eastAsia="en-AU"/>
        </w:rPr>
        <w:t xml:space="preserve">Narayan, D. et al., </w:t>
      </w:r>
      <w:r w:rsidRPr="00896F0E">
        <w:rPr>
          <w:rFonts w:ascii="Cambria" w:hAnsi="Cambria"/>
          <w:color w:val="000000"/>
          <w:sz w:val="24"/>
          <w:szCs w:val="18"/>
          <w:lang w:val="en-US" w:eastAsia="en-AU"/>
        </w:rPr>
        <w:t>2000</w:t>
      </w:r>
      <w:r>
        <w:rPr>
          <w:rFonts w:ascii="Cambria" w:hAnsi="Cambria"/>
          <w:color w:val="000000"/>
          <w:sz w:val="24"/>
          <w:szCs w:val="18"/>
          <w:lang w:val="en-US" w:eastAsia="en-AU"/>
        </w:rPr>
        <w:t xml:space="preserve">, </w:t>
      </w:r>
      <w:r w:rsidRPr="00896F0E">
        <w:rPr>
          <w:rFonts w:ascii="Cambria" w:hAnsi="Cambria"/>
          <w:i/>
          <w:iCs/>
          <w:color w:val="000000"/>
          <w:sz w:val="24"/>
          <w:szCs w:val="18"/>
          <w:lang w:val="en-US" w:eastAsia="en-AU"/>
        </w:rPr>
        <w:t xml:space="preserve">Changing Gender Relations in the Household </w:t>
      </w:r>
      <w:r w:rsidRPr="00896F0E">
        <w:rPr>
          <w:rFonts w:ascii="Cambria" w:hAnsi="Cambria"/>
          <w:color w:val="000000"/>
          <w:sz w:val="24"/>
          <w:szCs w:val="18"/>
          <w:lang w:val="en-US" w:eastAsia="en-AU"/>
        </w:rPr>
        <w:t xml:space="preserve">Chapter 5, pp 175-206 in </w:t>
      </w:r>
      <w:r w:rsidRPr="00896F0E">
        <w:rPr>
          <w:rFonts w:ascii="Cambria" w:hAnsi="Cambria"/>
          <w:i/>
          <w:iCs/>
          <w:color w:val="000000"/>
          <w:sz w:val="24"/>
          <w:szCs w:val="18"/>
          <w:lang w:val="en-US" w:eastAsia="en-AU"/>
        </w:rPr>
        <w:t>Voices of the Poor, Can Anyone Hear Us</w:t>
      </w:r>
      <w:r w:rsidRPr="00896F0E">
        <w:rPr>
          <w:rFonts w:ascii="Cambria" w:hAnsi="Cambria"/>
          <w:color w:val="000000"/>
          <w:sz w:val="24"/>
          <w:szCs w:val="18"/>
          <w:lang w:val="en-US" w:eastAsia="en-AU"/>
        </w:rPr>
        <w:t>? Oxford University Press for the World Bank.</w:t>
      </w:r>
    </w:p>
    <w:p w:rsidR="00CB5A76" w:rsidRPr="00E46EE0" w:rsidRDefault="00CB5A76" w:rsidP="00A61D21">
      <w:pPr>
        <w:pStyle w:val="Bodytxt"/>
        <w:ind w:left="0" w:right="-763"/>
        <w:jc w:val="left"/>
        <w:rPr>
          <w:rFonts w:ascii="Cambria" w:hAnsi="Cambria"/>
          <w:i/>
          <w:sz w:val="24"/>
        </w:rPr>
      </w:pPr>
      <w:r w:rsidRPr="00E46EE0">
        <w:rPr>
          <w:rFonts w:ascii="Cambria" w:hAnsi="Cambria"/>
          <w:bCs/>
          <w:sz w:val="24"/>
          <w:lang w:val="en-PH"/>
        </w:rPr>
        <w:t xml:space="preserve">Oxfam, </w:t>
      </w:r>
      <w:proofErr w:type="spellStart"/>
      <w:r>
        <w:rPr>
          <w:rFonts w:ascii="Cambria" w:hAnsi="Cambria"/>
          <w:bCs/>
          <w:i/>
          <w:sz w:val="24"/>
          <w:lang w:val="en-PH"/>
        </w:rPr>
        <w:t>Commuity</w:t>
      </w:r>
      <w:proofErr w:type="spellEnd"/>
      <w:r>
        <w:rPr>
          <w:rFonts w:ascii="Cambria" w:hAnsi="Cambria"/>
          <w:bCs/>
          <w:i/>
          <w:sz w:val="24"/>
          <w:lang w:val="en-PH"/>
        </w:rPr>
        <w:t>-based Disaster Risk Management in Upland Communities</w:t>
      </w:r>
      <w:r w:rsidRPr="00E46EE0">
        <w:rPr>
          <w:rFonts w:ascii="Cambria" w:hAnsi="Cambria"/>
          <w:i/>
          <w:sz w:val="24"/>
        </w:rPr>
        <w:t>, Progress Report from Jan-Jun 2010, Annual Report from Jan – Dec 2010</w:t>
      </w:r>
    </w:p>
    <w:p w:rsidR="00CB5A76" w:rsidRPr="00E46EE0" w:rsidRDefault="00CB5A76" w:rsidP="00A61D21">
      <w:pPr>
        <w:pStyle w:val="Bodytxt"/>
        <w:ind w:left="0" w:right="-763"/>
        <w:jc w:val="left"/>
        <w:rPr>
          <w:rFonts w:ascii="Cambria" w:hAnsi="Cambria"/>
          <w:i/>
          <w:sz w:val="24"/>
        </w:rPr>
      </w:pPr>
      <w:r w:rsidRPr="00E46EE0">
        <w:rPr>
          <w:rFonts w:ascii="Cambria" w:hAnsi="Cambria"/>
          <w:sz w:val="24"/>
        </w:rPr>
        <w:t xml:space="preserve">Save the Children Australia (SCA) </w:t>
      </w:r>
      <w:proofErr w:type="spellStart"/>
      <w:r>
        <w:rPr>
          <w:rFonts w:ascii="Cambria" w:hAnsi="Cambria"/>
          <w:i/>
          <w:sz w:val="24"/>
        </w:rPr>
        <w:t>Sayaboury</w:t>
      </w:r>
      <w:proofErr w:type="spellEnd"/>
      <w:r>
        <w:rPr>
          <w:rFonts w:ascii="Cambria" w:hAnsi="Cambria"/>
          <w:i/>
          <w:sz w:val="24"/>
        </w:rPr>
        <w:t xml:space="preserve"> Integrated Hazard Mitigation Project in </w:t>
      </w:r>
      <w:proofErr w:type="spellStart"/>
      <w:r>
        <w:rPr>
          <w:rFonts w:ascii="Cambria" w:hAnsi="Cambria"/>
          <w:i/>
          <w:sz w:val="24"/>
        </w:rPr>
        <w:t>Sayaboury</w:t>
      </w:r>
      <w:proofErr w:type="spellEnd"/>
      <w:r>
        <w:rPr>
          <w:rFonts w:ascii="Cambria" w:hAnsi="Cambria"/>
          <w:i/>
          <w:sz w:val="24"/>
        </w:rPr>
        <w:t xml:space="preserve"> and </w:t>
      </w:r>
      <w:proofErr w:type="spellStart"/>
      <w:r>
        <w:rPr>
          <w:rFonts w:ascii="Cambria" w:hAnsi="Cambria"/>
          <w:i/>
          <w:sz w:val="24"/>
        </w:rPr>
        <w:t>Xieng</w:t>
      </w:r>
      <w:proofErr w:type="spellEnd"/>
      <w:r>
        <w:rPr>
          <w:rFonts w:ascii="Cambria" w:hAnsi="Cambria"/>
          <w:i/>
          <w:sz w:val="24"/>
        </w:rPr>
        <w:t>-Hone Districts</w:t>
      </w:r>
      <w:r w:rsidRPr="00E46EE0">
        <w:rPr>
          <w:rFonts w:ascii="Cambria" w:hAnsi="Cambria"/>
          <w:i/>
          <w:sz w:val="24"/>
        </w:rPr>
        <w:t>, Progress Report from Jan-Jun 2010, Annual Report from Jan – Dec 2010</w:t>
      </w:r>
    </w:p>
    <w:p w:rsidR="00CB5A76" w:rsidRPr="003A30C4" w:rsidRDefault="00CB5A76" w:rsidP="005D1F20">
      <w:pPr>
        <w:pStyle w:val="Bodytxt"/>
        <w:ind w:left="0" w:right="-763"/>
        <w:jc w:val="left"/>
        <w:rPr>
          <w:bCs/>
          <w:lang w:val="en-PH"/>
        </w:rPr>
      </w:pPr>
      <w:r w:rsidRPr="00E46EE0">
        <w:rPr>
          <w:rFonts w:ascii="Cambria" w:hAnsi="Cambria"/>
          <w:sz w:val="24"/>
        </w:rPr>
        <w:t xml:space="preserve">World Vision, </w:t>
      </w:r>
      <w:r>
        <w:rPr>
          <w:rFonts w:ascii="Cambria" w:hAnsi="Cambria"/>
          <w:i/>
          <w:sz w:val="24"/>
        </w:rPr>
        <w:t>Integrated Mine Action Project</w:t>
      </w:r>
      <w:r w:rsidRPr="00E46EE0">
        <w:rPr>
          <w:rFonts w:ascii="Cambria" w:hAnsi="Cambria"/>
          <w:i/>
          <w:sz w:val="24"/>
        </w:rPr>
        <w:t>, Progress Report from Jan-Jun 2010, Annual Report from Jan – Dec 2010</w:t>
      </w:r>
    </w:p>
    <w:p w:rsidR="00CB5A76" w:rsidRPr="003A30C4" w:rsidRDefault="00CB5A76" w:rsidP="00E01DBD">
      <w:pPr>
        <w:pStyle w:val="Bodytxt"/>
        <w:rPr>
          <w:bCs/>
          <w:lang w:val="en-PH"/>
        </w:rPr>
      </w:pPr>
    </w:p>
    <w:p w:rsidR="00CB5A76" w:rsidRPr="003A30C4" w:rsidRDefault="00CB5A76">
      <w:pPr>
        <w:rPr>
          <w:rFonts w:ascii="Arial" w:hAnsi="Arial" w:cs="Arial"/>
          <w:lang w:val="en-PH"/>
        </w:rPr>
      </w:pPr>
    </w:p>
    <w:p w:rsidR="00CB5A76" w:rsidRPr="003A30C4" w:rsidRDefault="00CB5A76" w:rsidP="004D01C3">
      <w:pPr>
        <w:pStyle w:val="Heading2"/>
        <w:numPr>
          <w:ilvl w:val="0"/>
          <w:numId w:val="0"/>
        </w:numPr>
        <w:jc w:val="right"/>
        <w:rPr>
          <w:lang w:val="en-PH"/>
        </w:rPr>
      </w:pPr>
    </w:p>
    <w:sectPr w:rsidR="00CB5A76" w:rsidRPr="003A30C4" w:rsidSect="008666B9">
      <w:pgSz w:w="11909" w:h="16834" w:code="9"/>
      <w:pgMar w:top="1440" w:right="1800" w:bottom="1440" w:left="1800" w:header="720" w:footer="72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76" w:rsidRDefault="00CB5A76">
      <w:r>
        <w:separator/>
      </w:r>
    </w:p>
  </w:endnote>
  <w:endnote w:type="continuationSeparator" w:id="0">
    <w:p w:rsidR="00CB5A76" w:rsidRDefault="00CB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76" w:rsidRDefault="00CB5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A76" w:rsidRDefault="00CB5A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76" w:rsidRDefault="00CB5A76">
    <w:pPr>
      <w:pStyle w:val="Footer"/>
      <w:framePr w:wrap="around" w:vAnchor="text" w:hAnchor="margin" w:xAlign="right" w:y="1"/>
      <w:rPr>
        <w:rStyle w:val="PageNumber"/>
      </w:rPr>
    </w:pPr>
    <w:r>
      <w:rPr>
        <w:rStyle w:val="PageNumber"/>
        <w:rFonts w:ascii="Arial Black" w:hAnsi="Arial Black"/>
        <w:sz w:val="16"/>
      </w:rPr>
      <w:fldChar w:fldCharType="begin"/>
    </w:r>
    <w:r>
      <w:rPr>
        <w:rStyle w:val="PageNumber"/>
        <w:rFonts w:ascii="Arial Black" w:hAnsi="Arial Black"/>
        <w:sz w:val="16"/>
      </w:rPr>
      <w:instrText xml:space="preserve">PAGE  </w:instrText>
    </w:r>
    <w:r>
      <w:rPr>
        <w:rStyle w:val="PageNumber"/>
        <w:rFonts w:ascii="Arial Black" w:hAnsi="Arial Black"/>
        <w:sz w:val="16"/>
      </w:rPr>
      <w:fldChar w:fldCharType="separate"/>
    </w:r>
    <w:r>
      <w:rPr>
        <w:rStyle w:val="PageNumber"/>
        <w:rFonts w:ascii="Arial Black" w:hAnsi="Arial Black"/>
        <w:noProof/>
        <w:sz w:val="16"/>
      </w:rPr>
      <w:t>ii</w:t>
    </w:r>
    <w:r>
      <w:rPr>
        <w:rStyle w:val="PageNumber"/>
        <w:rFonts w:ascii="Arial Black" w:hAnsi="Arial Black"/>
        <w:sz w:val="16"/>
      </w:rPr>
      <w:fldChar w:fldCharType="end"/>
    </w:r>
  </w:p>
  <w:p w:rsidR="00CB5A76" w:rsidRDefault="00CB5A76" w:rsidP="00E01D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F5" w:rsidRDefault="00F724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76" w:rsidRDefault="00CB5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A76" w:rsidRDefault="00CB5A7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76" w:rsidRPr="003A62B8" w:rsidRDefault="00CB5A76">
    <w:pPr>
      <w:pStyle w:val="Footer"/>
      <w:framePr w:wrap="around" w:vAnchor="text" w:hAnchor="margin" w:xAlign="right" w:y="1"/>
      <w:rPr>
        <w:rStyle w:val="PageNumber"/>
      </w:rPr>
    </w:pPr>
    <w:r w:rsidRPr="003A62B8">
      <w:rPr>
        <w:rStyle w:val="PageNumber"/>
        <w:sz w:val="20"/>
      </w:rPr>
      <w:fldChar w:fldCharType="begin"/>
    </w:r>
    <w:r w:rsidRPr="003A62B8">
      <w:rPr>
        <w:rStyle w:val="PageNumber"/>
        <w:sz w:val="20"/>
      </w:rPr>
      <w:instrText xml:space="preserve">PAGE  </w:instrText>
    </w:r>
    <w:r w:rsidRPr="003A62B8">
      <w:rPr>
        <w:rStyle w:val="PageNumber"/>
        <w:sz w:val="20"/>
      </w:rPr>
      <w:fldChar w:fldCharType="separate"/>
    </w:r>
    <w:r w:rsidR="00F724F5">
      <w:rPr>
        <w:rStyle w:val="PageNumber"/>
        <w:noProof/>
        <w:sz w:val="20"/>
      </w:rPr>
      <w:t>ii</w:t>
    </w:r>
    <w:r w:rsidRPr="003A62B8">
      <w:rPr>
        <w:rStyle w:val="PageNumber"/>
        <w:sz w:val="20"/>
      </w:rPr>
      <w:fldChar w:fldCharType="end"/>
    </w:r>
  </w:p>
  <w:p w:rsidR="00CB5A76" w:rsidRPr="008C4053" w:rsidRDefault="00CB5A76">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76" w:rsidRDefault="00CB5A76">
      <w:r>
        <w:separator/>
      </w:r>
    </w:p>
  </w:footnote>
  <w:footnote w:type="continuationSeparator" w:id="0">
    <w:p w:rsidR="00CB5A76" w:rsidRDefault="00CB5A76">
      <w:r>
        <w:continuationSeparator/>
      </w:r>
    </w:p>
  </w:footnote>
  <w:footnote w:id="1">
    <w:p w:rsidR="00CB5A76" w:rsidRDefault="00CB5A76" w:rsidP="000B2F0D">
      <w:pPr>
        <w:pStyle w:val="FootnoteText"/>
      </w:pPr>
      <w:r w:rsidRPr="002802DA">
        <w:rPr>
          <w:rStyle w:val="FootnoteReference"/>
        </w:rPr>
        <w:footnoteRef/>
      </w:r>
      <w:r w:rsidRPr="002802DA">
        <w:t xml:space="preserve"> Gender Information and Resource Development Centre (GRID) and World Bank, Nov 2005, </w:t>
      </w:r>
      <w:r w:rsidRPr="002802DA">
        <w:rPr>
          <w:i/>
        </w:rPr>
        <w:t>Lao PDR Gender Profile</w:t>
      </w:r>
    </w:p>
  </w:footnote>
  <w:footnote w:id="2">
    <w:p w:rsidR="00CB5A76" w:rsidRDefault="00CB5A76" w:rsidP="000B2F0D">
      <w:pPr>
        <w:pStyle w:val="FootnoteText"/>
      </w:pPr>
      <w:r w:rsidRPr="002802DA">
        <w:rPr>
          <w:rStyle w:val="FootnoteReference"/>
        </w:rPr>
        <w:footnoteRef/>
      </w:r>
      <w:r w:rsidRPr="002802DA">
        <w:t xml:space="preserve"> Ibid p.13</w:t>
      </w:r>
    </w:p>
  </w:footnote>
  <w:footnote w:id="3">
    <w:p w:rsidR="00CB5A76" w:rsidRDefault="00CB5A76" w:rsidP="000B2F0D">
      <w:pPr>
        <w:pStyle w:val="Bodytxt"/>
        <w:spacing w:after="0"/>
        <w:ind w:left="0" w:right="-763"/>
        <w:jc w:val="left"/>
      </w:pPr>
      <w:r w:rsidRPr="002802DA">
        <w:rPr>
          <w:rStyle w:val="FootnoteReference"/>
          <w:rFonts w:cs="Arial"/>
          <w:sz w:val="16"/>
        </w:rPr>
        <w:footnoteRef/>
      </w:r>
      <w:r w:rsidRPr="002802DA">
        <w:rPr>
          <w:sz w:val="16"/>
        </w:rPr>
        <w:t xml:space="preserve"> Asian Development Bank (ADB), 2009, </w:t>
      </w:r>
      <w:r w:rsidRPr="002802DA">
        <w:rPr>
          <w:i/>
          <w:sz w:val="16"/>
        </w:rPr>
        <w:t>Social Analysis of Greater Mekong Region Communica</w:t>
      </w:r>
      <w:r>
        <w:rPr>
          <w:i/>
          <w:sz w:val="16"/>
        </w:rPr>
        <w:t>ble Diseases Prevention Program</w:t>
      </w:r>
    </w:p>
  </w:footnote>
  <w:footnote w:id="4">
    <w:p w:rsidR="00CB5A76" w:rsidRDefault="00CB5A76" w:rsidP="000B2F0D">
      <w:pPr>
        <w:pStyle w:val="FootnoteText"/>
      </w:pPr>
      <w:r w:rsidRPr="002802DA">
        <w:rPr>
          <w:rStyle w:val="FootnoteReference"/>
        </w:rPr>
        <w:footnoteRef/>
      </w:r>
      <w:r>
        <w:t xml:space="preserve"> </w:t>
      </w:r>
      <w:r w:rsidRPr="002802DA">
        <w:t>GRID</w:t>
      </w:r>
      <w:r>
        <w:t xml:space="preserve"> </w:t>
      </w:r>
      <w:r w:rsidRPr="002802DA">
        <w:t>Nov 2005</w:t>
      </w:r>
    </w:p>
  </w:footnote>
  <w:footnote w:id="5">
    <w:p w:rsidR="00CB5A76" w:rsidRDefault="00CB5A76">
      <w:pPr>
        <w:pStyle w:val="FootnoteText"/>
      </w:pPr>
      <w:r>
        <w:rPr>
          <w:rStyle w:val="FootnoteReference"/>
        </w:rPr>
        <w:footnoteRef/>
      </w:r>
      <w:r>
        <w:t xml:space="preserve"> </w:t>
      </w:r>
      <w:r w:rsidRPr="006A6921">
        <w:rPr>
          <w:color w:val="000000"/>
          <w:szCs w:val="18"/>
          <w:lang w:val="en-US" w:eastAsia="en-AU"/>
        </w:rPr>
        <w:t xml:space="preserve">Handicap International for Ministry of </w:t>
      </w:r>
      <w:proofErr w:type="spellStart"/>
      <w:r w:rsidRPr="006A6921">
        <w:rPr>
          <w:color w:val="000000"/>
          <w:szCs w:val="18"/>
          <w:lang w:val="en-US" w:eastAsia="en-AU"/>
        </w:rPr>
        <w:t>Labour</w:t>
      </w:r>
      <w:proofErr w:type="spellEnd"/>
      <w:r w:rsidRPr="006A6921">
        <w:rPr>
          <w:color w:val="000000"/>
          <w:szCs w:val="18"/>
          <w:lang w:val="en-US" w:eastAsia="en-AU"/>
        </w:rPr>
        <w:t xml:space="preserve"> and Social Welfare and UXO Lao, 1997, </w:t>
      </w:r>
      <w:r w:rsidRPr="006A6921">
        <w:rPr>
          <w:i/>
          <w:iCs/>
          <w:color w:val="000000"/>
          <w:szCs w:val="18"/>
          <w:lang w:val="en-US" w:eastAsia="en-AU"/>
        </w:rPr>
        <w:t>Living with UXO: National Survey on the Socio-Economic Impact of UXO in Lao PDR</w:t>
      </w:r>
    </w:p>
  </w:footnote>
  <w:footnote w:id="6">
    <w:p w:rsidR="00CB5A76" w:rsidRDefault="00CB5A76" w:rsidP="006A6921">
      <w:pPr>
        <w:pStyle w:val="FootnoteText"/>
        <w:ind w:right="-480"/>
      </w:pPr>
      <w:r>
        <w:rPr>
          <w:rStyle w:val="FootnoteReference"/>
        </w:rPr>
        <w:footnoteRef/>
      </w:r>
      <w:r>
        <w:t xml:space="preserve"> </w:t>
      </w:r>
      <w:r w:rsidRPr="006A6921">
        <w:rPr>
          <w:rFonts w:ascii="Cambria" w:hAnsi="Cambria"/>
          <w:color w:val="000000"/>
          <w:szCs w:val="18"/>
          <w:lang w:val="en-US" w:eastAsia="en-AU"/>
        </w:rPr>
        <w:t xml:space="preserve">Narayan, D. et al., 2000, </w:t>
      </w:r>
      <w:r w:rsidRPr="006A6921">
        <w:rPr>
          <w:rFonts w:ascii="Cambria" w:hAnsi="Cambria"/>
          <w:i/>
          <w:iCs/>
          <w:color w:val="000000"/>
          <w:szCs w:val="18"/>
          <w:lang w:val="en-US" w:eastAsia="en-AU"/>
        </w:rPr>
        <w:t xml:space="preserve">Changing Gender Relations in the Household </w:t>
      </w:r>
      <w:r w:rsidRPr="006A6921">
        <w:rPr>
          <w:rFonts w:ascii="Cambria" w:hAnsi="Cambria"/>
          <w:color w:val="000000"/>
          <w:szCs w:val="18"/>
          <w:lang w:val="en-US" w:eastAsia="en-AU"/>
        </w:rPr>
        <w:t xml:space="preserve">in </w:t>
      </w:r>
      <w:r w:rsidRPr="006A6921">
        <w:rPr>
          <w:rFonts w:ascii="Cambria" w:hAnsi="Cambria"/>
          <w:i/>
          <w:iCs/>
          <w:color w:val="000000"/>
          <w:szCs w:val="18"/>
          <w:lang w:val="en-US" w:eastAsia="en-AU"/>
        </w:rPr>
        <w:t>Voices of the Poor, Can Anyone Hear Us</w:t>
      </w:r>
      <w:r w:rsidRPr="006A6921">
        <w:rPr>
          <w:rFonts w:ascii="Cambria" w:hAnsi="Cambria"/>
          <w:color w:val="000000"/>
          <w:szCs w:val="18"/>
          <w:lang w:val="en-US" w:eastAsia="en-AU"/>
        </w:rPr>
        <w:t>?</w:t>
      </w:r>
    </w:p>
  </w:footnote>
  <w:footnote w:id="7">
    <w:p w:rsidR="00CB5A76" w:rsidRDefault="00CB5A76">
      <w:pPr>
        <w:pStyle w:val="FootnoteText"/>
      </w:pPr>
      <w:r>
        <w:rPr>
          <w:rStyle w:val="FootnoteReference"/>
        </w:rPr>
        <w:footnoteRef/>
      </w:r>
      <w:r>
        <w:t xml:space="preserve"> All documents reviewed for the gender evaluation are listed in Appendix A</w:t>
      </w:r>
    </w:p>
  </w:footnote>
  <w:footnote w:id="8">
    <w:p w:rsidR="00CB5A76" w:rsidRPr="00333DD3" w:rsidRDefault="00CB5A76" w:rsidP="00333DD3">
      <w:pPr>
        <w:pStyle w:val="Bodytxt"/>
        <w:ind w:left="0" w:right="-763"/>
        <w:jc w:val="left"/>
        <w:rPr>
          <w:bCs/>
          <w:i/>
          <w:sz w:val="16"/>
          <w:lang w:val="en-PH"/>
        </w:rPr>
      </w:pPr>
      <w:r w:rsidRPr="00333DD3">
        <w:rPr>
          <w:rStyle w:val="FootnoteReference"/>
          <w:rFonts w:cs="Arial"/>
          <w:sz w:val="16"/>
        </w:rPr>
        <w:footnoteRef/>
      </w:r>
      <w:r w:rsidRPr="00333DD3">
        <w:rPr>
          <w:sz w:val="16"/>
        </w:rPr>
        <w:t xml:space="preserve"> </w:t>
      </w:r>
      <w:r w:rsidRPr="00333DD3">
        <w:rPr>
          <w:bCs/>
          <w:sz w:val="16"/>
          <w:lang w:val="en-PH"/>
        </w:rPr>
        <w:t xml:space="preserve">Mine Action Group (MAG), March 2008, </w:t>
      </w:r>
      <w:r w:rsidRPr="00333DD3">
        <w:rPr>
          <w:bCs/>
          <w:i/>
          <w:sz w:val="16"/>
          <w:lang w:val="en-PH"/>
        </w:rPr>
        <w:t>Assessment of Gender Perspectives in UXO Action in Lao PDR</w:t>
      </w:r>
    </w:p>
    <w:p w:rsidR="00CB5A76" w:rsidRDefault="00CB5A76" w:rsidP="00333DD3">
      <w:pPr>
        <w:pStyle w:val="Bodytxt"/>
        <w:ind w:left="0" w:right="-763"/>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F5" w:rsidRDefault="00F72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F5" w:rsidRDefault="00F724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F5" w:rsidRDefault="00F724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76" w:rsidRPr="003A62B8" w:rsidRDefault="00F77070">
    <w:pPr>
      <w:pStyle w:val="Footer"/>
      <w:ind w:right="360"/>
      <w:rPr>
        <w:sz w:val="16"/>
      </w:rPr>
    </w:pPr>
    <w:fldSimple w:instr=" STYLEREF  &quot;Project Name&quot;  \* MERGEFORMAT ">
      <w:r w:rsidR="00F724F5" w:rsidRPr="00F724F5">
        <w:rPr>
          <w:bCs/>
          <w:noProof/>
          <w:sz w:val="16"/>
          <w:lang w:val="en-US"/>
        </w:rPr>
        <w:t>LANGOCA</w:t>
      </w:r>
    </w:fldSimple>
    <w:r w:rsidR="00CB5A76">
      <w:rPr>
        <w:sz w:val="16"/>
      </w:rPr>
      <w:t xml:space="preserve"> GENDER EVALUATION</w:t>
    </w:r>
    <w:r w:rsidR="00CB5A76" w:rsidRPr="003A62B8">
      <w:rPr>
        <w:sz w:val="16"/>
      </w:rPr>
      <w:tab/>
    </w:r>
    <w:r w:rsidR="00CB5A76">
      <w:rPr>
        <w:sz w:val="16"/>
      </w:rPr>
      <w:tab/>
    </w:r>
    <w:fldSimple w:instr=" STYLEREF  Heading2  \* MERGEFORMAT ">
      <w:r w:rsidR="00F724F5">
        <w:rPr>
          <w:noProof/>
        </w:rPr>
        <w:t>Aid Activity Summary</w:t>
      </w:r>
    </w:fldSimple>
  </w:p>
  <w:p w:rsidR="00CB5A76" w:rsidRDefault="00CB5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481"/>
    <w:multiLevelType w:val="hybridMultilevel"/>
    <w:tmpl w:val="D1622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97697"/>
    <w:multiLevelType w:val="hybridMultilevel"/>
    <w:tmpl w:val="47423080"/>
    <w:lvl w:ilvl="0" w:tplc="106099A4">
      <w:start w:val="1"/>
      <w:numFmt w:val="bullet"/>
      <w:pStyle w:val="Bullets"/>
      <w:lvlText w:val=""/>
      <w:lvlJc w:val="left"/>
      <w:pPr>
        <w:tabs>
          <w:tab w:val="num" w:pos="1814"/>
        </w:tabs>
        <w:ind w:left="1814" w:hanging="3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94C08"/>
    <w:multiLevelType w:val="hybridMultilevel"/>
    <w:tmpl w:val="4C56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F27C5"/>
    <w:multiLevelType w:val="hybridMultilevel"/>
    <w:tmpl w:val="DA72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507A4"/>
    <w:multiLevelType w:val="hybridMultilevel"/>
    <w:tmpl w:val="8306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E7960"/>
    <w:multiLevelType w:val="hybridMultilevel"/>
    <w:tmpl w:val="2C62F686"/>
    <w:lvl w:ilvl="0" w:tplc="2D8E2AF6">
      <w:start w:val="1"/>
      <w:numFmt w:val="decimal"/>
      <w:pStyle w:val="Recommendation"/>
      <w:lvlText w:val="%1."/>
      <w:lvlJc w:val="left"/>
      <w:pPr>
        <w:tabs>
          <w:tab w:val="num" w:pos="2163"/>
        </w:tabs>
        <w:ind w:left="2163" w:hanging="795"/>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6">
    <w:nsid w:val="2C7120ED"/>
    <w:multiLevelType w:val="hybridMultilevel"/>
    <w:tmpl w:val="E946E9CE"/>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2011F8F"/>
    <w:multiLevelType w:val="hybridMultilevel"/>
    <w:tmpl w:val="E2C4FB96"/>
    <w:lvl w:ilvl="0" w:tplc="CBB4388A">
      <w:start w:val="1"/>
      <w:numFmt w:val="decimal"/>
      <w:pStyle w:val="Heading2"/>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3CD0990"/>
    <w:multiLevelType w:val="hybridMultilevel"/>
    <w:tmpl w:val="7DEC22BC"/>
    <w:lvl w:ilvl="0" w:tplc="FC06F4B2">
      <w:start w:val="1"/>
      <w:numFmt w:val="decimal"/>
      <w:lvlText w:val="%1."/>
      <w:lvlJc w:val="left"/>
      <w:pPr>
        <w:tabs>
          <w:tab w:val="num" w:pos="720"/>
        </w:tabs>
        <w:ind w:left="720" w:hanging="720"/>
      </w:pPr>
      <w:rPr>
        <w:rFonts w:cs="Times New Roman" w:hint="default"/>
      </w:rPr>
    </w:lvl>
    <w:lvl w:ilvl="1" w:tplc="E2CC511E">
      <w:start w:val="1"/>
      <w:numFmt w:val="none"/>
      <w:pStyle w:val="stndnum"/>
      <w:lvlText w:val="1.1"/>
      <w:lvlJc w:val="left"/>
      <w:pPr>
        <w:tabs>
          <w:tab w:val="num" w:pos="0"/>
        </w:tabs>
      </w:pPr>
      <w:rPr>
        <w:rFonts w:cs="Times New Roman" w:hint="default"/>
      </w:rPr>
    </w:lvl>
    <w:lvl w:ilvl="2" w:tplc="691E04A8">
      <w:numFmt w:val="none"/>
      <w:lvlText w:val=""/>
      <w:lvlJc w:val="left"/>
      <w:pPr>
        <w:tabs>
          <w:tab w:val="num" w:pos="360"/>
        </w:tabs>
      </w:pPr>
      <w:rPr>
        <w:rFonts w:cs="Times New Roman"/>
      </w:rPr>
    </w:lvl>
    <w:lvl w:ilvl="3" w:tplc="F39E7A18">
      <w:numFmt w:val="none"/>
      <w:lvlText w:val=""/>
      <w:lvlJc w:val="left"/>
      <w:pPr>
        <w:tabs>
          <w:tab w:val="num" w:pos="360"/>
        </w:tabs>
      </w:pPr>
      <w:rPr>
        <w:rFonts w:cs="Times New Roman"/>
      </w:rPr>
    </w:lvl>
    <w:lvl w:ilvl="4" w:tplc="91760364">
      <w:numFmt w:val="none"/>
      <w:lvlText w:val=""/>
      <w:lvlJc w:val="left"/>
      <w:pPr>
        <w:tabs>
          <w:tab w:val="num" w:pos="360"/>
        </w:tabs>
      </w:pPr>
      <w:rPr>
        <w:rFonts w:cs="Times New Roman"/>
      </w:rPr>
    </w:lvl>
    <w:lvl w:ilvl="5" w:tplc="7C2061EA">
      <w:numFmt w:val="none"/>
      <w:lvlText w:val=""/>
      <w:lvlJc w:val="left"/>
      <w:pPr>
        <w:tabs>
          <w:tab w:val="num" w:pos="360"/>
        </w:tabs>
      </w:pPr>
      <w:rPr>
        <w:rFonts w:cs="Times New Roman"/>
      </w:rPr>
    </w:lvl>
    <w:lvl w:ilvl="6" w:tplc="A958113A">
      <w:numFmt w:val="none"/>
      <w:lvlText w:val=""/>
      <w:lvlJc w:val="left"/>
      <w:pPr>
        <w:tabs>
          <w:tab w:val="num" w:pos="360"/>
        </w:tabs>
      </w:pPr>
      <w:rPr>
        <w:rFonts w:cs="Times New Roman"/>
      </w:rPr>
    </w:lvl>
    <w:lvl w:ilvl="7" w:tplc="65F257EC">
      <w:numFmt w:val="none"/>
      <w:lvlText w:val=""/>
      <w:lvlJc w:val="left"/>
      <w:pPr>
        <w:tabs>
          <w:tab w:val="num" w:pos="360"/>
        </w:tabs>
      </w:pPr>
      <w:rPr>
        <w:rFonts w:cs="Times New Roman"/>
      </w:rPr>
    </w:lvl>
    <w:lvl w:ilvl="8" w:tplc="54048D80">
      <w:numFmt w:val="none"/>
      <w:lvlText w:val=""/>
      <w:lvlJc w:val="left"/>
      <w:pPr>
        <w:tabs>
          <w:tab w:val="num" w:pos="360"/>
        </w:tabs>
      </w:pPr>
      <w:rPr>
        <w:rFonts w:cs="Times New Roman"/>
      </w:rPr>
    </w:lvl>
  </w:abstractNum>
  <w:abstractNum w:abstractNumId="9">
    <w:nsid w:val="392B732E"/>
    <w:multiLevelType w:val="multilevel"/>
    <w:tmpl w:val="A1AA84EE"/>
    <w:lvl w:ilvl="0">
      <w:start w:val="3"/>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DBE627C"/>
    <w:multiLevelType w:val="hybridMultilevel"/>
    <w:tmpl w:val="F9E0905A"/>
    <w:lvl w:ilvl="0" w:tplc="04090001">
      <w:start w:val="1"/>
      <w:numFmt w:val="bullet"/>
      <w:lvlText w:val=""/>
      <w:lvlJc w:val="left"/>
      <w:pPr>
        <w:ind w:left="2189" w:hanging="360"/>
      </w:pPr>
      <w:rPr>
        <w:rFonts w:ascii="Symbol" w:hAnsi="Symbol" w:hint="default"/>
      </w:rPr>
    </w:lvl>
    <w:lvl w:ilvl="1" w:tplc="04090003" w:tentative="1">
      <w:start w:val="1"/>
      <w:numFmt w:val="bullet"/>
      <w:lvlText w:val="o"/>
      <w:lvlJc w:val="left"/>
      <w:pPr>
        <w:ind w:left="2909" w:hanging="360"/>
      </w:pPr>
      <w:rPr>
        <w:rFonts w:ascii="Courier New" w:hAnsi="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11">
    <w:nsid w:val="45DB1FA1"/>
    <w:multiLevelType w:val="hybridMultilevel"/>
    <w:tmpl w:val="33F6E230"/>
    <w:lvl w:ilvl="0" w:tplc="5BFEBAC4">
      <w:start w:val="1"/>
      <w:numFmt w:val="decimal"/>
      <w:pStyle w:val="Heading1"/>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2D50621"/>
    <w:multiLevelType w:val="hybridMultilevel"/>
    <w:tmpl w:val="5D143D00"/>
    <w:lvl w:ilvl="0" w:tplc="7A3488BE">
      <w:start w:val="1"/>
      <w:numFmt w:val="decimal"/>
      <w:lvlText w:val="%1."/>
      <w:lvlJc w:val="left"/>
      <w:pPr>
        <w:ind w:left="644" w:hanging="360"/>
      </w:pPr>
      <w:rPr>
        <w:rFonts w:cs="Times New Roman" w:hint="default"/>
        <w:i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3">
    <w:nsid w:val="54795B6F"/>
    <w:multiLevelType w:val="hybridMultilevel"/>
    <w:tmpl w:val="1422AD9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4">
    <w:nsid w:val="64611FDB"/>
    <w:multiLevelType w:val="hybridMultilevel"/>
    <w:tmpl w:val="5DF2AB5E"/>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8B07763"/>
    <w:multiLevelType w:val="hybridMultilevel"/>
    <w:tmpl w:val="B74E98FA"/>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F89198A"/>
    <w:multiLevelType w:val="hybridMultilevel"/>
    <w:tmpl w:val="F46A0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56E3C2E"/>
    <w:multiLevelType w:val="hybridMultilevel"/>
    <w:tmpl w:val="8028208A"/>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9520AA6"/>
    <w:multiLevelType w:val="hybridMultilevel"/>
    <w:tmpl w:val="858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D8342D"/>
    <w:multiLevelType w:val="multilevel"/>
    <w:tmpl w:val="ABBA9978"/>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DAF7798"/>
    <w:multiLevelType w:val="multilevel"/>
    <w:tmpl w:val="A1AA84EE"/>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7"/>
  </w:num>
  <w:num w:numId="3">
    <w:abstractNumId w:val="11"/>
  </w:num>
  <w:num w:numId="4">
    <w:abstractNumId w:val="1"/>
  </w:num>
  <w:num w:numId="5">
    <w:abstractNumId w:val="5"/>
  </w:num>
  <w:num w:numId="6">
    <w:abstractNumId w:val="19"/>
  </w:num>
  <w:num w:numId="7">
    <w:abstractNumId w:val="20"/>
  </w:num>
  <w:num w:numId="8">
    <w:abstractNumId w:val="9"/>
  </w:num>
  <w:num w:numId="9">
    <w:abstractNumId w:val="13"/>
  </w:num>
  <w:num w:numId="10">
    <w:abstractNumId w:val="2"/>
  </w:num>
  <w:num w:numId="11">
    <w:abstractNumId w:val="4"/>
  </w:num>
  <w:num w:numId="12">
    <w:abstractNumId w:val="16"/>
  </w:num>
  <w:num w:numId="13">
    <w:abstractNumId w:val="0"/>
  </w:num>
  <w:num w:numId="14">
    <w:abstractNumId w:val="10"/>
  </w:num>
  <w:num w:numId="15">
    <w:abstractNumId w:val="5"/>
    <w:lvlOverride w:ilvl="0">
      <w:startOverride w:val="8"/>
    </w:lvlOverride>
  </w:num>
  <w:num w:numId="16">
    <w:abstractNumId w:val="8"/>
    <w:lvlOverride w:ilvl="0">
      <w:startOverride w:val="2"/>
    </w:lvlOverride>
  </w:num>
  <w:num w:numId="17">
    <w:abstractNumId w:val="6"/>
  </w:num>
  <w:num w:numId="18">
    <w:abstractNumId w:val="14"/>
  </w:num>
  <w:num w:numId="19">
    <w:abstractNumId w:val="12"/>
  </w:num>
  <w:num w:numId="20">
    <w:abstractNumId w:val="17"/>
  </w:num>
  <w:num w:numId="21">
    <w:abstractNumId w:val="15"/>
  </w:num>
  <w:num w:numId="22">
    <w:abstractNumId w:val="18"/>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Doc_Font_List_Name" w:val="Arial"/>
    <w:docVar w:name="EN_Lib_Name_List_Name" w:val="10Thesis.enl"/>
    <w:docVar w:name="EN_Main_Body_Style_Name" w:val="Author-Date"/>
  </w:docVars>
  <w:rsids>
    <w:rsidRoot w:val="007271E0"/>
    <w:rsid w:val="00011CFA"/>
    <w:rsid w:val="00011DAA"/>
    <w:rsid w:val="000168D1"/>
    <w:rsid w:val="00026A19"/>
    <w:rsid w:val="00026BD4"/>
    <w:rsid w:val="0004717F"/>
    <w:rsid w:val="00065176"/>
    <w:rsid w:val="00071DD9"/>
    <w:rsid w:val="000915CF"/>
    <w:rsid w:val="000A041A"/>
    <w:rsid w:val="000A0B02"/>
    <w:rsid w:val="000B2F0D"/>
    <w:rsid w:val="000B3A71"/>
    <w:rsid w:val="000C2CBC"/>
    <w:rsid w:val="000D07F3"/>
    <w:rsid w:val="000E60A8"/>
    <w:rsid w:val="000E66C5"/>
    <w:rsid w:val="000E7725"/>
    <w:rsid w:val="000F3D58"/>
    <w:rsid w:val="00110E24"/>
    <w:rsid w:val="00116839"/>
    <w:rsid w:val="001418B2"/>
    <w:rsid w:val="001474E0"/>
    <w:rsid w:val="00147B28"/>
    <w:rsid w:val="00153E55"/>
    <w:rsid w:val="001577D2"/>
    <w:rsid w:val="00184B5C"/>
    <w:rsid w:val="00186692"/>
    <w:rsid w:val="001920FF"/>
    <w:rsid w:val="001A3DC5"/>
    <w:rsid w:val="001A50F8"/>
    <w:rsid w:val="001C02E1"/>
    <w:rsid w:val="001C7F67"/>
    <w:rsid w:val="001D1BB5"/>
    <w:rsid w:val="001E4BA1"/>
    <w:rsid w:val="00206191"/>
    <w:rsid w:val="00206F7A"/>
    <w:rsid w:val="0021701D"/>
    <w:rsid w:val="00231EB0"/>
    <w:rsid w:val="00241597"/>
    <w:rsid w:val="00262E20"/>
    <w:rsid w:val="0026476C"/>
    <w:rsid w:val="00270D64"/>
    <w:rsid w:val="00277C32"/>
    <w:rsid w:val="002802DA"/>
    <w:rsid w:val="00283D03"/>
    <w:rsid w:val="00290490"/>
    <w:rsid w:val="002A297A"/>
    <w:rsid w:val="002F3430"/>
    <w:rsid w:val="002F4D65"/>
    <w:rsid w:val="00333DD3"/>
    <w:rsid w:val="003345CA"/>
    <w:rsid w:val="00363B3E"/>
    <w:rsid w:val="0037046D"/>
    <w:rsid w:val="00382EF3"/>
    <w:rsid w:val="003A30C4"/>
    <w:rsid w:val="003A62B8"/>
    <w:rsid w:val="003C2A31"/>
    <w:rsid w:val="003C4674"/>
    <w:rsid w:val="003D4809"/>
    <w:rsid w:val="003E402A"/>
    <w:rsid w:val="004054FE"/>
    <w:rsid w:val="0040609F"/>
    <w:rsid w:val="00406FFA"/>
    <w:rsid w:val="00481E20"/>
    <w:rsid w:val="004B6C6C"/>
    <w:rsid w:val="004D01C3"/>
    <w:rsid w:val="004F2955"/>
    <w:rsid w:val="004F6EC3"/>
    <w:rsid w:val="005111E0"/>
    <w:rsid w:val="00511401"/>
    <w:rsid w:val="00514BF1"/>
    <w:rsid w:val="00523D7C"/>
    <w:rsid w:val="00524E1E"/>
    <w:rsid w:val="0054264E"/>
    <w:rsid w:val="00547ABA"/>
    <w:rsid w:val="005566D3"/>
    <w:rsid w:val="005675D9"/>
    <w:rsid w:val="00593E5E"/>
    <w:rsid w:val="005D1F20"/>
    <w:rsid w:val="005D2749"/>
    <w:rsid w:val="005F2F58"/>
    <w:rsid w:val="00611459"/>
    <w:rsid w:val="0063181A"/>
    <w:rsid w:val="006404C6"/>
    <w:rsid w:val="00647D69"/>
    <w:rsid w:val="0065530C"/>
    <w:rsid w:val="00675037"/>
    <w:rsid w:val="006823A4"/>
    <w:rsid w:val="0068628E"/>
    <w:rsid w:val="006874B3"/>
    <w:rsid w:val="006917BA"/>
    <w:rsid w:val="00696A5E"/>
    <w:rsid w:val="006A6921"/>
    <w:rsid w:val="006B7A9C"/>
    <w:rsid w:val="006D5916"/>
    <w:rsid w:val="006E4D97"/>
    <w:rsid w:val="0070459F"/>
    <w:rsid w:val="007271E0"/>
    <w:rsid w:val="00731412"/>
    <w:rsid w:val="00731FC3"/>
    <w:rsid w:val="00732548"/>
    <w:rsid w:val="0073566B"/>
    <w:rsid w:val="007366EF"/>
    <w:rsid w:val="00741677"/>
    <w:rsid w:val="0074490C"/>
    <w:rsid w:val="007453CF"/>
    <w:rsid w:val="0075526F"/>
    <w:rsid w:val="007552F8"/>
    <w:rsid w:val="00762D5B"/>
    <w:rsid w:val="00763791"/>
    <w:rsid w:val="00777D2E"/>
    <w:rsid w:val="00796D83"/>
    <w:rsid w:val="007A162F"/>
    <w:rsid w:val="007A5097"/>
    <w:rsid w:val="007F2716"/>
    <w:rsid w:val="00800CB6"/>
    <w:rsid w:val="00830A0B"/>
    <w:rsid w:val="0083769E"/>
    <w:rsid w:val="008666B9"/>
    <w:rsid w:val="00870C87"/>
    <w:rsid w:val="00883AA1"/>
    <w:rsid w:val="00883F83"/>
    <w:rsid w:val="00896F0E"/>
    <w:rsid w:val="008C4053"/>
    <w:rsid w:val="008C76A7"/>
    <w:rsid w:val="008E2F41"/>
    <w:rsid w:val="008F5FA3"/>
    <w:rsid w:val="0090296D"/>
    <w:rsid w:val="00915CF7"/>
    <w:rsid w:val="00947474"/>
    <w:rsid w:val="0099360A"/>
    <w:rsid w:val="009977E8"/>
    <w:rsid w:val="009A0EBA"/>
    <w:rsid w:val="009A3657"/>
    <w:rsid w:val="009A6B2C"/>
    <w:rsid w:val="009A7AC7"/>
    <w:rsid w:val="009B281D"/>
    <w:rsid w:val="009E1188"/>
    <w:rsid w:val="009E24A3"/>
    <w:rsid w:val="009F08DF"/>
    <w:rsid w:val="009F52E3"/>
    <w:rsid w:val="00A04D1A"/>
    <w:rsid w:val="00A24DA4"/>
    <w:rsid w:val="00A26D61"/>
    <w:rsid w:val="00A27DA4"/>
    <w:rsid w:val="00A36911"/>
    <w:rsid w:val="00A41557"/>
    <w:rsid w:val="00A53D8A"/>
    <w:rsid w:val="00A61D21"/>
    <w:rsid w:val="00A74ADF"/>
    <w:rsid w:val="00A8629B"/>
    <w:rsid w:val="00A91465"/>
    <w:rsid w:val="00A9456E"/>
    <w:rsid w:val="00AA6A51"/>
    <w:rsid w:val="00AD1E81"/>
    <w:rsid w:val="00AE4365"/>
    <w:rsid w:val="00AE5F4F"/>
    <w:rsid w:val="00B15BB9"/>
    <w:rsid w:val="00B24E86"/>
    <w:rsid w:val="00B40CDB"/>
    <w:rsid w:val="00B6565C"/>
    <w:rsid w:val="00B71D12"/>
    <w:rsid w:val="00B732E0"/>
    <w:rsid w:val="00B826EC"/>
    <w:rsid w:val="00BA10E9"/>
    <w:rsid w:val="00BF5F30"/>
    <w:rsid w:val="00C2249A"/>
    <w:rsid w:val="00C362C5"/>
    <w:rsid w:val="00C36688"/>
    <w:rsid w:val="00C429CE"/>
    <w:rsid w:val="00C456A2"/>
    <w:rsid w:val="00C51547"/>
    <w:rsid w:val="00C53FB8"/>
    <w:rsid w:val="00C660C0"/>
    <w:rsid w:val="00C70293"/>
    <w:rsid w:val="00C818C8"/>
    <w:rsid w:val="00C94A75"/>
    <w:rsid w:val="00CB5A76"/>
    <w:rsid w:val="00CC7FFA"/>
    <w:rsid w:val="00CD2B51"/>
    <w:rsid w:val="00CD3ACC"/>
    <w:rsid w:val="00CF2431"/>
    <w:rsid w:val="00CF248A"/>
    <w:rsid w:val="00D17A18"/>
    <w:rsid w:val="00D33351"/>
    <w:rsid w:val="00D37D0B"/>
    <w:rsid w:val="00D4456C"/>
    <w:rsid w:val="00D517E5"/>
    <w:rsid w:val="00D57D89"/>
    <w:rsid w:val="00D81000"/>
    <w:rsid w:val="00DA66EA"/>
    <w:rsid w:val="00DC6235"/>
    <w:rsid w:val="00DD1CF6"/>
    <w:rsid w:val="00E01DBD"/>
    <w:rsid w:val="00E12DEC"/>
    <w:rsid w:val="00E46EE0"/>
    <w:rsid w:val="00E7043A"/>
    <w:rsid w:val="00E71C0A"/>
    <w:rsid w:val="00E73E9A"/>
    <w:rsid w:val="00EA73A4"/>
    <w:rsid w:val="00EB4833"/>
    <w:rsid w:val="00EE36AB"/>
    <w:rsid w:val="00F1155E"/>
    <w:rsid w:val="00F17501"/>
    <w:rsid w:val="00F6349E"/>
    <w:rsid w:val="00F67B13"/>
    <w:rsid w:val="00F724F5"/>
    <w:rsid w:val="00F77070"/>
    <w:rsid w:val="00F926B2"/>
    <w:rsid w:val="00FB7751"/>
    <w:rsid w:val="00FC5C13"/>
    <w:rsid w:val="00FE5DB2"/>
    <w:rsid w:val="00FE620E"/>
    <w:rsid w:val="00FF2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A4"/>
    <w:rPr>
      <w:sz w:val="24"/>
      <w:szCs w:val="24"/>
      <w:lang w:eastAsia="en-US"/>
    </w:rPr>
  </w:style>
  <w:style w:type="paragraph" w:styleId="Heading10">
    <w:name w:val="heading 1"/>
    <w:basedOn w:val="Normal"/>
    <w:next w:val="Normal"/>
    <w:link w:val="Heading1Char"/>
    <w:uiPriority w:val="99"/>
    <w:qFormat/>
    <w:rsid w:val="00EA73A4"/>
    <w:pPr>
      <w:keepNext/>
      <w:spacing w:before="240" w:after="60"/>
      <w:outlineLvl w:val="0"/>
    </w:pPr>
    <w:rPr>
      <w:rFonts w:ascii="Arial" w:hAnsi="Arial" w:cs="Arial"/>
      <w:b/>
      <w:bCs/>
      <w:kern w:val="32"/>
      <w:sz w:val="32"/>
      <w:szCs w:val="32"/>
    </w:rPr>
  </w:style>
  <w:style w:type="paragraph" w:styleId="Heading20">
    <w:name w:val="heading 2"/>
    <w:basedOn w:val="Normal"/>
    <w:next w:val="BodyText"/>
    <w:link w:val="Heading2Char"/>
    <w:uiPriority w:val="99"/>
    <w:qFormat/>
    <w:rsid w:val="00EA73A4"/>
    <w:pPr>
      <w:keepNext/>
      <w:keepLines/>
      <w:spacing w:after="240" w:line="240" w:lineRule="atLeast"/>
      <w:outlineLvl w:val="1"/>
    </w:pPr>
    <w:rPr>
      <w:rFonts w:ascii="Arial Black" w:hAnsi="Arial Black"/>
      <w:spacing w:val="-15"/>
      <w:kern w:val="28"/>
      <w:sz w:val="22"/>
      <w:szCs w:val="20"/>
      <w:lang w:val="en-US"/>
    </w:rPr>
  </w:style>
  <w:style w:type="paragraph" w:styleId="Heading3">
    <w:name w:val="heading 3"/>
    <w:basedOn w:val="Normal"/>
    <w:next w:val="Normal"/>
    <w:link w:val="Heading3Char"/>
    <w:uiPriority w:val="99"/>
    <w:qFormat/>
    <w:rsid w:val="00EE36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EE36AB"/>
    <w:rPr>
      <w:rFonts w:ascii="Arial" w:hAnsi="Arial" w:cs="Arial"/>
      <w:b/>
      <w:bCs/>
      <w:kern w:val="32"/>
      <w:sz w:val="32"/>
      <w:szCs w:val="32"/>
      <w:lang w:val="en-AU" w:eastAsia="en-US"/>
    </w:rPr>
  </w:style>
  <w:style w:type="character" w:customStyle="1" w:styleId="Heading2Char">
    <w:name w:val="Heading 2 Char"/>
    <w:basedOn w:val="DefaultParagraphFont"/>
    <w:link w:val="Heading20"/>
    <w:uiPriority w:val="99"/>
    <w:semiHidden/>
    <w:locked/>
    <w:rsid w:val="00696A5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6A5E"/>
    <w:rPr>
      <w:rFonts w:ascii="Cambria" w:hAnsi="Cambria" w:cs="Times New Roman"/>
      <w:b/>
      <w:bCs/>
      <w:sz w:val="26"/>
      <w:szCs w:val="26"/>
      <w:lang w:eastAsia="en-US"/>
    </w:rPr>
  </w:style>
  <w:style w:type="paragraph" w:styleId="BodyText">
    <w:name w:val="Body Text"/>
    <w:basedOn w:val="Normal"/>
    <w:link w:val="BodyTextChar"/>
    <w:uiPriority w:val="99"/>
    <w:rsid w:val="00EA73A4"/>
    <w:pPr>
      <w:spacing w:after="240" w:line="240" w:lineRule="atLeast"/>
      <w:ind w:left="1080"/>
      <w:jc w:val="both"/>
    </w:pPr>
    <w:rPr>
      <w:rFonts w:ascii="Arial" w:hAnsi="Arial"/>
      <w:spacing w:val="-5"/>
      <w:sz w:val="20"/>
      <w:szCs w:val="20"/>
      <w:lang w:val="en-US"/>
    </w:rPr>
  </w:style>
  <w:style w:type="character" w:customStyle="1" w:styleId="BodyTextChar">
    <w:name w:val="Body Text Char"/>
    <w:basedOn w:val="DefaultParagraphFont"/>
    <w:link w:val="BodyText"/>
    <w:uiPriority w:val="99"/>
    <w:semiHidden/>
    <w:locked/>
    <w:rsid w:val="00696A5E"/>
    <w:rPr>
      <w:rFonts w:cs="Times New Roman"/>
      <w:sz w:val="24"/>
      <w:szCs w:val="24"/>
      <w:lang w:eastAsia="en-US"/>
    </w:rPr>
  </w:style>
  <w:style w:type="paragraph" w:customStyle="1" w:styleId="Heading1">
    <w:name w:val="Heading1"/>
    <w:basedOn w:val="Normal"/>
    <w:uiPriority w:val="99"/>
    <w:rsid w:val="00EA73A4"/>
    <w:pPr>
      <w:numPr>
        <w:numId w:val="3"/>
      </w:numPr>
      <w:spacing w:after="120"/>
    </w:pPr>
    <w:rPr>
      <w:rFonts w:ascii="Arial Black" w:hAnsi="Arial Black"/>
      <w:sz w:val="20"/>
    </w:rPr>
  </w:style>
  <w:style w:type="paragraph" w:customStyle="1" w:styleId="Bodytxt">
    <w:name w:val="Bodytxt"/>
    <w:basedOn w:val="Normal"/>
    <w:link w:val="BodytxtChar"/>
    <w:uiPriority w:val="99"/>
    <w:rsid w:val="00EE36AB"/>
    <w:pPr>
      <w:spacing w:after="120"/>
      <w:ind w:left="720"/>
      <w:jc w:val="both"/>
    </w:pPr>
    <w:rPr>
      <w:rFonts w:ascii="Calibri" w:hAnsi="Calibri" w:cs="Arial"/>
      <w:sz w:val="22"/>
    </w:rPr>
  </w:style>
  <w:style w:type="paragraph" w:customStyle="1" w:styleId="Heading2">
    <w:name w:val="Heading2"/>
    <w:basedOn w:val="Heading1"/>
    <w:uiPriority w:val="99"/>
    <w:rsid w:val="00EE36AB"/>
    <w:pPr>
      <w:numPr>
        <w:numId w:val="2"/>
      </w:numPr>
      <w:pBdr>
        <w:bottom w:val="single" w:sz="8" w:space="1" w:color="17365D"/>
      </w:pBdr>
    </w:pPr>
    <w:rPr>
      <w:rFonts w:ascii="Cambria" w:hAnsi="Cambria"/>
      <w:b/>
      <w:caps/>
      <w:color w:val="17365D"/>
      <w:sz w:val="32"/>
    </w:rPr>
  </w:style>
  <w:style w:type="paragraph" w:styleId="Footer">
    <w:name w:val="footer"/>
    <w:basedOn w:val="Normal"/>
    <w:link w:val="FooterChar"/>
    <w:uiPriority w:val="99"/>
    <w:rsid w:val="00EE36AB"/>
    <w:pPr>
      <w:tabs>
        <w:tab w:val="center" w:pos="4320"/>
        <w:tab w:val="right" w:pos="8640"/>
      </w:tabs>
    </w:pPr>
    <w:rPr>
      <w:rFonts w:ascii="Cambria" w:hAnsi="Cambria"/>
    </w:rPr>
  </w:style>
  <w:style w:type="character" w:customStyle="1" w:styleId="FooterChar">
    <w:name w:val="Footer Char"/>
    <w:basedOn w:val="DefaultParagraphFont"/>
    <w:link w:val="Footer"/>
    <w:uiPriority w:val="99"/>
    <w:semiHidden/>
    <w:locked/>
    <w:rsid w:val="00696A5E"/>
    <w:rPr>
      <w:rFonts w:cs="Times New Roman"/>
      <w:sz w:val="24"/>
      <w:szCs w:val="24"/>
      <w:lang w:eastAsia="en-US"/>
    </w:rPr>
  </w:style>
  <w:style w:type="character" w:styleId="PageNumber">
    <w:name w:val="page number"/>
    <w:basedOn w:val="DefaultParagraphFont"/>
    <w:uiPriority w:val="99"/>
    <w:rsid w:val="00EE36AB"/>
    <w:rPr>
      <w:rFonts w:ascii="Cambria" w:hAnsi="Cambria" w:cs="Times New Roman"/>
    </w:rPr>
  </w:style>
  <w:style w:type="paragraph" w:styleId="Header">
    <w:name w:val="header"/>
    <w:basedOn w:val="Normal"/>
    <w:link w:val="HeaderChar"/>
    <w:uiPriority w:val="99"/>
    <w:rsid w:val="00EA73A4"/>
    <w:pPr>
      <w:tabs>
        <w:tab w:val="center" w:pos="4320"/>
        <w:tab w:val="right" w:pos="8640"/>
      </w:tabs>
    </w:pPr>
  </w:style>
  <w:style w:type="character" w:customStyle="1" w:styleId="HeaderChar">
    <w:name w:val="Header Char"/>
    <w:basedOn w:val="DefaultParagraphFont"/>
    <w:link w:val="Header"/>
    <w:uiPriority w:val="99"/>
    <w:semiHidden/>
    <w:locked/>
    <w:rsid w:val="00696A5E"/>
    <w:rPr>
      <w:rFonts w:cs="Times New Roman"/>
      <w:sz w:val="24"/>
      <w:szCs w:val="24"/>
      <w:lang w:eastAsia="en-US"/>
    </w:rPr>
  </w:style>
  <w:style w:type="paragraph" w:customStyle="1" w:styleId="Tabletxt">
    <w:name w:val="Tabletxt"/>
    <w:basedOn w:val="Bodytxt"/>
    <w:uiPriority w:val="99"/>
    <w:rsid w:val="00EA73A4"/>
    <w:pPr>
      <w:tabs>
        <w:tab w:val="left" w:pos="4428"/>
        <w:tab w:val="left" w:pos="8856"/>
      </w:tabs>
    </w:pPr>
  </w:style>
  <w:style w:type="paragraph" w:styleId="EndnoteText">
    <w:name w:val="endnote text"/>
    <w:basedOn w:val="Normal"/>
    <w:link w:val="EndnoteTextChar"/>
    <w:uiPriority w:val="99"/>
    <w:semiHidden/>
    <w:rsid w:val="00EA73A4"/>
    <w:rPr>
      <w:rFonts w:ascii="Arial" w:hAnsi="Arial"/>
      <w:sz w:val="20"/>
      <w:szCs w:val="20"/>
    </w:rPr>
  </w:style>
  <w:style w:type="character" w:customStyle="1" w:styleId="EndnoteTextChar">
    <w:name w:val="Endnote Text Char"/>
    <w:basedOn w:val="DefaultParagraphFont"/>
    <w:link w:val="EndnoteText"/>
    <w:uiPriority w:val="99"/>
    <w:semiHidden/>
    <w:locked/>
    <w:rsid w:val="00696A5E"/>
    <w:rPr>
      <w:rFonts w:cs="Times New Roman"/>
      <w:sz w:val="20"/>
      <w:szCs w:val="20"/>
      <w:lang w:eastAsia="en-US"/>
    </w:rPr>
  </w:style>
  <w:style w:type="character" w:styleId="EndnoteReference">
    <w:name w:val="endnote reference"/>
    <w:basedOn w:val="DefaultParagraphFont"/>
    <w:uiPriority w:val="99"/>
    <w:semiHidden/>
    <w:rsid w:val="00EA73A4"/>
    <w:rPr>
      <w:rFonts w:cs="Times New Roman"/>
      <w:vertAlign w:val="superscript"/>
    </w:rPr>
  </w:style>
  <w:style w:type="character" w:styleId="Hyperlink">
    <w:name w:val="Hyperlink"/>
    <w:basedOn w:val="DefaultParagraphFont"/>
    <w:uiPriority w:val="99"/>
    <w:rsid w:val="00EE36AB"/>
    <w:rPr>
      <w:rFonts w:ascii="Calibri" w:hAnsi="Calibri" w:cs="Times New Roman"/>
      <w:color w:val="0000FF"/>
      <w:sz w:val="22"/>
      <w:u w:val="single"/>
    </w:rPr>
  </w:style>
  <w:style w:type="paragraph" w:styleId="TOC1">
    <w:name w:val="toc 1"/>
    <w:basedOn w:val="Normal"/>
    <w:next w:val="Normal"/>
    <w:autoRedefine/>
    <w:uiPriority w:val="99"/>
    <w:rsid w:val="00EE36AB"/>
    <w:rPr>
      <w:rFonts w:ascii="Arial" w:hAnsi="Arial"/>
    </w:rPr>
  </w:style>
  <w:style w:type="paragraph" w:styleId="TOC2">
    <w:name w:val="toc 2"/>
    <w:basedOn w:val="Normal"/>
    <w:next w:val="Normal"/>
    <w:autoRedefine/>
    <w:uiPriority w:val="99"/>
    <w:semiHidden/>
    <w:rsid w:val="00EE36AB"/>
    <w:pPr>
      <w:tabs>
        <w:tab w:val="left" w:pos="960"/>
        <w:tab w:val="right" w:leader="dot" w:pos="8299"/>
      </w:tabs>
      <w:ind w:left="240"/>
    </w:pPr>
    <w:rPr>
      <w:rFonts w:ascii="Arial Unicode MS" w:eastAsia="Arial Unicode MS"/>
      <w:noProof/>
    </w:rPr>
  </w:style>
  <w:style w:type="paragraph" w:styleId="FootnoteText">
    <w:name w:val="footnote text"/>
    <w:basedOn w:val="Normal"/>
    <w:link w:val="FootnoteTextChar"/>
    <w:uiPriority w:val="99"/>
    <w:rsid w:val="00EE36AB"/>
    <w:rPr>
      <w:rFonts w:ascii="Calibri" w:hAnsi="Calibri"/>
      <w:sz w:val="16"/>
      <w:szCs w:val="20"/>
    </w:rPr>
  </w:style>
  <w:style w:type="character" w:customStyle="1" w:styleId="FootnoteTextChar">
    <w:name w:val="Footnote Text Char"/>
    <w:basedOn w:val="DefaultParagraphFont"/>
    <w:link w:val="FootnoteText"/>
    <w:uiPriority w:val="99"/>
    <w:locked/>
    <w:rsid w:val="00EE36AB"/>
    <w:rPr>
      <w:rFonts w:ascii="Calibri" w:hAnsi="Calibri" w:cs="Times New Roman"/>
      <w:sz w:val="16"/>
      <w:lang w:val="en-AU" w:eastAsia="en-US"/>
    </w:rPr>
  </w:style>
  <w:style w:type="character" w:styleId="FootnoteReference">
    <w:name w:val="footnote reference"/>
    <w:basedOn w:val="DefaultParagraphFont"/>
    <w:uiPriority w:val="99"/>
    <w:rsid w:val="00EA73A4"/>
    <w:rPr>
      <w:rFonts w:cs="Times New Roman"/>
      <w:vertAlign w:val="superscript"/>
    </w:rPr>
  </w:style>
  <w:style w:type="paragraph" w:styleId="PlainText">
    <w:name w:val="Plain Text"/>
    <w:basedOn w:val="Normal"/>
    <w:link w:val="PlainTextChar"/>
    <w:uiPriority w:val="99"/>
    <w:rsid w:val="00EA73A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96A5E"/>
    <w:rPr>
      <w:rFonts w:ascii="Courier New" w:hAnsi="Courier New" w:cs="Courier New"/>
      <w:sz w:val="20"/>
      <w:szCs w:val="20"/>
      <w:lang w:eastAsia="en-US"/>
    </w:rPr>
  </w:style>
  <w:style w:type="paragraph" w:styleId="TOC3">
    <w:name w:val="toc 3"/>
    <w:basedOn w:val="Normal"/>
    <w:next w:val="Normal"/>
    <w:autoRedefine/>
    <w:uiPriority w:val="99"/>
    <w:rsid w:val="00363B3E"/>
    <w:pPr>
      <w:tabs>
        <w:tab w:val="left" w:pos="1035"/>
        <w:tab w:val="right" w:leader="dot" w:pos="8299"/>
      </w:tabs>
    </w:pPr>
    <w:rPr>
      <w:rFonts w:ascii="Arial" w:hAnsi="Arial"/>
      <w:noProof/>
    </w:rPr>
  </w:style>
  <w:style w:type="paragraph" w:styleId="TOC4">
    <w:name w:val="toc 4"/>
    <w:basedOn w:val="Normal"/>
    <w:next w:val="Normal"/>
    <w:autoRedefine/>
    <w:uiPriority w:val="99"/>
    <w:semiHidden/>
    <w:rsid w:val="00EA73A4"/>
    <w:pPr>
      <w:ind w:left="720"/>
    </w:pPr>
  </w:style>
  <w:style w:type="paragraph" w:styleId="TOC5">
    <w:name w:val="toc 5"/>
    <w:basedOn w:val="Normal"/>
    <w:next w:val="Normal"/>
    <w:autoRedefine/>
    <w:uiPriority w:val="99"/>
    <w:semiHidden/>
    <w:rsid w:val="00EA73A4"/>
    <w:pPr>
      <w:ind w:left="960"/>
    </w:pPr>
  </w:style>
  <w:style w:type="paragraph" w:styleId="TOC6">
    <w:name w:val="toc 6"/>
    <w:basedOn w:val="Normal"/>
    <w:next w:val="Normal"/>
    <w:autoRedefine/>
    <w:uiPriority w:val="99"/>
    <w:semiHidden/>
    <w:rsid w:val="00EA73A4"/>
    <w:pPr>
      <w:ind w:left="1200"/>
    </w:pPr>
  </w:style>
  <w:style w:type="paragraph" w:styleId="TOC7">
    <w:name w:val="toc 7"/>
    <w:basedOn w:val="Normal"/>
    <w:next w:val="Normal"/>
    <w:autoRedefine/>
    <w:uiPriority w:val="99"/>
    <w:semiHidden/>
    <w:rsid w:val="00EA73A4"/>
    <w:pPr>
      <w:ind w:left="1440"/>
    </w:pPr>
  </w:style>
  <w:style w:type="paragraph" w:styleId="TOC8">
    <w:name w:val="toc 8"/>
    <w:basedOn w:val="Normal"/>
    <w:next w:val="Normal"/>
    <w:autoRedefine/>
    <w:uiPriority w:val="99"/>
    <w:semiHidden/>
    <w:rsid w:val="00EA73A4"/>
    <w:pPr>
      <w:ind w:left="1680"/>
    </w:pPr>
  </w:style>
  <w:style w:type="paragraph" w:styleId="TOC9">
    <w:name w:val="toc 9"/>
    <w:basedOn w:val="Normal"/>
    <w:next w:val="Normal"/>
    <w:autoRedefine/>
    <w:uiPriority w:val="99"/>
    <w:semiHidden/>
    <w:rsid w:val="00EA73A4"/>
    <w:pPr>
      <w:ind w:left="1920"/>
    </w:pPr>
  </w:style>
  <w:style w:type="character" w:styleId="CommentReference">
    <w:name w:val="annotation reference"/>
    <w:basedOn w:val="DefaultParagraphFont"/>
    <w:uiPriority w:val="99"/>
    <w:semiHidden/>
    <w:rsid w:val="00EA73A4"/>
    <w:rPr>
      <w:rFonts w:cs="Times New Roman"/>
      <w:sz w:val="16"/>
      <w:szCs w:val="16"/>
    </w:rPr>
  </w:style>
  <w:style w:type="paragraph" w:customStyle="1" w:styleId="Bullets">
    <w:name w:val="Bullets"/>
    <w:basedOn w:val="Bodytxt"/>
    <w:uiPriority w:val="99"/>
    <w:rsid w:val="00EA73A4"/>
    <w:pPr>
      <w:numPr>
        <w:numId w:val="4"/>
      </w:numPr>
      <w:spacing w:after="60"/>
    </w:pPr>
    <w:rPr>
      <w:lang w:val="en-GB"/>
    </w:rPr>
  </w:style>
  <w:style w:type="paragraph" w:customStyle="1" w:styleId="Bullets-last">
    <w:name w:val="Bullets - last"/>
    <w:basedOn w:val="Bullets"/>
    <w:next w:val="Bodytxt"/>
    <w:uiPriority w:val="99"/>
    <w:rsid w:val="00EA73A4"/>
    <w:pPr>
      <w:spacing w:after="120"/>
    </w:pPr>
  </w:style>
  <w:style w:type="paragraph" w:styleId="Caption">
    <w:name w:val="caption"/>
    <w:basedOn w:val="Normal"/>
    <w:next w:val="Normal"/>
    <w:uiPriority w:val="99"/>
    <w:qFormat/>
    <w:rsid w:val="00EA73A4"/>
    <w:pPr>
      <w:spacing w:after="240"/>
      <w:jc w:val="center"/>
    </w:pPr>
    <w:rPr>
      <w:rFonts w:ascii="Arial" w:hAnsi="Arial"/>
      <w:b/>
      <w:bCs/>
      <w:sz w:val="16"/>
      <w:szCs w:val="20"/>
    </w:rPr>
  </w:style>
  <w:style w:type="character" w:styleId="Strong">
    <w:name w:val="Strong"/>
    <w:basedOn w:val="DefaultParagraphFont"/>
    <w:uiPriority w:val="99"/>
    <w:qFormat/>
    <w:rsid w:val="00EA73A4"/>
    <w:rPr>
      <w:rFonts w:cs="Times New Roman"/>
      <w:b/>
      <w:bCs/>
    </w:rPr>
  </w:style>
  <w:style w:type="paragraph" w:styleId="DocumentMap">
    <w:name w:val="Document Map"/>
    <w:basedOn w:val="Normal"/>
    <w:link w:val="DocumentMapChar"/>
    <w:uiPriority w:val="99"/>
    <w:semiHidden/>
    <w:rsid w:val="00EA73A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96A5E"/>
    <w:rPr>
      <w:rFonts w:cs="Times New Roman"/>
      <w:sz w:val="2"/>
      <w:lang w:eastAsia="en-US"/>
    </w:rPr>
  </w:style>
  <w:style w:type="paragraph" w:customStyle="1" w:styleId="TableText">
    <w:name w:val="Table Text"/>
    <w:basedOn w:val="Normal"/>
    <w:uiPriority w:val="99"/>
    <w:rsid w:val="00EA73A4"/>
    <w:pPr>
      <w:spacing w:before="60"/>
    </w:pPr>
    <w:rPr>
      <w:rFonts w:ascii="Arial" w:hAnsi="Arial"/>
      <w:spacing w:val="-5"/>
      <w:sz w:val="16"/>
      <w:szCs w:val="20"/>
    </w:rPr>
  </w:style>
  <w:style w:type="paragraph" w:styleId="TableofFigures">
    <w:name w:val="table of figures"/>
    <w:basedOn w:val="Normal"/>
    <w:next w:val="Normal"/>
    <w:uiPriority w:val="99"/>
    <w:semiHidden/>
    <w:rsid w:val="00EA73A4"/>
    <w:pPr>
      <w:ind w:left="480" w:hanging="480"/>
    </w:pPr>
  </w:style>
  <w:style w:type="paragraph" w:customStyle="1" w:styleId="BlockQuotation">
    <w:name w:val="Block Quotation"/>
    <w:basedOn w:val="Normal"/>
    <w:uiPriority w:val="99"/>
    <w:rsid w:val="00EE36AB"/>
    <w:pPr>
      <w:pBdr>
        <w:top w:val="single" w:sz="12" w:space="12" w:color="FFFFFF"/>
        <w:left w:val="single" w:sz="6" w:space="12" w:color="FFFFFF"/>
        <w:bottom w:val="single" w:sz="6" w:space="12" w:color="FFFFFF"/>
        <w:right w:val="single" w:sz="6" w:space="12" w:color="FFFFFF"/>
      </w:pBdr>
      <w:shd w:val="clear" w:color="548DD4" w:fill="C6D9F1"/>
      <w:spacing w:after="240" w:line="220" w:lineRule="atLeast"/>
      <w:ind w:left="1368" w:right="240"/>
      <w:jc w:val="both"/>
    </w:pPr>
    <w:rPr>
      <w:rFonts w:ascii="Calibri" w:hAnsi="Calibri"/>
      <w:spacing w:val="-5"/>
      <w:sz w:val="20"/>
      <w:szCs w:val="20"/>
    </w:rPr>
  </w:style>
  <w:style w:type="character" w:styleId="FollowedHyperlink">
    <w:name w:val="FollowedHyperlink"/>
    <w:basedOn w:val="DefaultParagraphFont"/>
    <w:uiPriority w:val="99"/>
    <w:rsid w:val="00EA73A4"/>
    <w:rPr>
      <w:rFonts w:cs="Times New Roman"/>
      <w:color w:val="800080"/>
      <w:u w:val="single"/>
    </w:rPr>
  </w:style>
  <w:style w:type="paragraph" w:styleId="Title">
    <w:name w:val="Title"/>
    <w:basedOn w:val="Normal"/>
    <w:link w:val="TitleChar"/>
    <w:uiPriority w:val="99"/>
    <w:qFormat/>
    <w:rsid w:val="00EA73A4"/>
    <w:pPr>
      <w:jc w:val="center"/>
    </w:pPr>
    <w:rPr>
      <w:rFonts w:ascii="Arial Black" w:hAnsi="Arial Black" w:cs="Arial"/>
      <w:sz w:val="32"/>
    </w:rPr>
  </w:style>
  <w:style w:type="character" w:customStyle="1" w:styleId="TitleChar">
    <w:name w:val="Title Char"/>
    <w:basedOn w:val="DefaultParagraphFont"/>
    <w:link w:val="Title"/>
    <w:uiPriority w:val="99"/>
    <w:locked/>
    <w:rsid w:val="00696A5E"/>
    <w:rPr>
      <w:rFonts w:ascii="Cambria" w:hAnsi="Cambria" w:cs="Times New Roman"/>
      <w:b/>
      <w:bCs/>
      <w:kern w:val="28"/>
      <w:sz w:val="32"/>
      <w:szCs w:val="32"/>
      <w:lang w:eastAsia="en-US"/>
    </w:rPr>
  </w:style>
  <w:style w:type="paragraph" w:styleId="Subtitle">
    <w:name w:val="Subtitle"/>
    <w:basedOn w:val="Normal"/>
    <w:link w:val="SubtitleChar"/>
    <w:uiPriority w:val="99"/>
    <w:qFormat/>
    <w:rsid w:val="00EA73A4"/>
    <w:rPr>
      <w:rFonts w:ascii="Arial" w:hAnsi="Arial" w:cs="Arial"/>
      <w:b/>
      <w:bCs/>
    </w:rPr>
  </w:style>
  <w:style w:type="character" w:customStyle="1" w:styleId="SubtitleChar">
    <w:name w:val="Subtitle Char"/>
    <w:basedOn w:val="DefaultParagraphFont"/>
    <w:link w:val="Subtitle"/>
    <w:uiPriority w:val="99"/>
    <w:locked/>
    <w:rsid w:val="00696A5E"/>
    <w:rPr>
      <w:rFonts w:ascii="Cambria" w:hAnsi="Cambria" w:cs="Times New Roman"/>
      <w:sz w:val="24"/>
      <w:szCs w:val="24"/>
      <w:lang w:eastAsia="en-US"/>
    </w:rPr>
  </w:style>
  <w:style w:type="paragraph" w:styleId="BalloonText">
    <w:name w:val="Balloon Text"/>
    <w:basedOn w:val="Normal"/>
    <w:link w:val="BalloonTextChar"/>
    <w:uiPriority w:val="99"/>
    <w:semiHidden/>
    <w:rsid w:val="00EE36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6A5E"/>
    <w:rPr>
      <w:rFonts w:cs="Times New Roman"/>
      <w:sz w:val="2"/>
      <w:lang w:eastAsia="en-US"/>
    </w:rPr>
  </w:style>
  <w:style w:type="paragraph" w:customStyle="1" w:styleId="TableTxt0">
    <w:name w:val="TableTxt"/>
    <w:basedOn w:val="Normal"/>
    <w:uiPriority w:val="99"/>
    <w:rsid w:val="00EE36AB"/>
    <w:rPr>
      <w:rFonts w:ascii="Calibri" w:hAnsi="Calibri"/>
      <w:sz w:val="20"/>
    </w:rPr>
  </w:style>
  <w:style w:type="table" w:styleId="TableGrid">
    <w:name w:val="Table Grid"/>
    <w:basedOn w:val="TableNormal"/>
    <w:uiPriority w:val="99"/>
    <w:rsid w:val="00EE36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0">
    <w:name w:val="TOC2"/>
    <w:basedOn w:val="TOC2"/>
    <w:uiPriority w:val="99"/>
    <w:rsid w:val="00EE36AB"/>
  </w:style>
  <w:style w:type="character" w:customStyle="1" w:styleId="BodytxtChar">
    <w:name w:val="Bodytxt Char"/>
    <w:basedOn w:val="DefaultParagraphFont"/>
    <w:link w:val="Bodytxt"/>
    <w:uiPriority w:val="99"/>
    <w:locked/>
    <w:rsid w:val="00EE36AB"/>
    <w:rPr>
      <w:rFonts w:ascii="Calibri" w:hAnsi="Calibri" w:cs="Arial"/>
      <w:sz w:val="24"/>
      <w:szCs w:val="24"/>
      <w:lang w:val="en-AU" w:eastAsia="en-US"/>
    </w:rPr>
  </w:style>
  <w:style w:type="paragraph" w:customStyle="1" w:styleId="Recommendation">
    <w:name w:val="Recommendation"/>
    <w:basedOn w:val="BlockQuotation"/>
    <w:uiPriority w:val="99"/>
    <w:rsid w:val="00EE36AB"/>
    <w:pPr>
      <w:numPr>
        <w:numId w:val="5"/>
      </w:numPr>
    </w:pPr>
    <w:rPr>
      <w:lang w:val="en-GB"/>
    </w:rPr>
  </w:style>
  <w:style w:type="paragraph" w:customStyle="1" w:styleId="DocumentName">
    <w:name w:val="Document Name"/>
    <w:basedOn w:val="Heading10"/>
    <w:uiPriority w:val="99"/>
    <w:rsid w:val="00EE36AB"/>
    <w:pPr>
      <w:spacing w:before="0" w:after="0"/>
      <w:jc w:val="center"/>
    </w:pPr>
    <w:rPr>
      <w:rFonts w:ascii="Cambria" w:hAnsi="Cambria"/>
      <w:bCs w:val="0"/>
      <w:color w:val="17365D"/>
      <w:sz w:val="56"/>
      <w:lang w:val="en-GB"/>
    </w:rPr>
  </w:style>
  <w:style w:type="paragraph" w:customStyle="1" w:styleId="ProjectName">
    <w:name w:val="Project Name"/>
    <w:basedOn w:val="Normal"/>
    <w:uiPriority w:val="99"/>
    <w:rsid w:val="00EE36AB"/>
    <w:pPr>
      <w:spacing w:before="120" w:after="120"/>
      <w:jc w:val="center"/>
    </w:pPr>
    <w:rPr>
      <w:rFonts w:ascii="Arial" w:hAnsi="Arial" w:cs="Arial"/>
    </w:rPr>
  </w:style>
  <w:style w:type="paragraph" w:customStyle="1" w:styleId="Version">
    <w:name w:val="Version#"/>
    <w:basedOn w:val="Normal"/>
    <w:link w:val="VersionChar"/>
    <w:uiPriority w:val="99"/>
    <w:rsid w:val="00EE36AB"/>
    <w:pPr>
      <w:spacing w:before="120" w:after="120"/>
      <w:jc w:val="center"/>
    </w:pPr>
    <w:rPr>
      <w:rFonts w:ascii="Arial" w:hAnsi="Arial" w:cs="Arial"/>
    </w:rPr>
  </w:style>
  <w:style w:type="character" w:customStyle="1" w:styleId="VersionChar">
    <w:name w:val="Version# Char"/>
    <w:basedOn w:val="DefaultParagraphFont"/>
    <w:link w:val="Version"/>
    <w:uiPriority w:val="99"/>
    <w:locked/>
    <w:rsid w:val="00EE36AB"/>
    <w:rPr>
      <w:rFonts w:ascii="Arial" w:hAnsi="Arial" w:cs="Arial"/>
      <w:sz w:val="24"/>
      <w:szCs w:val="24"/>
      <w:lang w:val="en-AU" w:eastAsia="en-US" w:bidi="ar-SA"/>
    </w:rPr>
  </w:style>
  <w:style w:type="paragraph" w:customStyle="1" w:styleId="Clientname">
    <w:name w:val="Client name"/>
    <w:basedOn w:val="Normal"/>
    <w:uiPriority w:val="99"/>
    <w:rsid w:val="00EE36AB"/>
    <w:pPr>
      <w:spacing w:before="120" w:after="120"/>
      <w:jc w:val="center"/>
    </w:pPr>
    <w:rPr>
      <w:rFonts w:ascii="Arial" w:hAnsi="Arial" w:cs="Arial"/>
    </w:rPr>
  </w:style>
  <w:style w:type="paragraph" w:customStyle="1" w:styleId="stndnum">
    <w:name w:val="stnd num"/>
    <w:basedOn w:val="Normal"/>
    <w:uiPriority w:val="99"/>
    <w:rsid w:val="00EE36AB"/>
    <w:pPr>
      <w:numPr>
        <w:ilvl w:val="1"/>
        <w:numId w:val="1"/>
      </w:numPr>
    </w:pPr>
  </w:style>
  <w:style w:type="paragraph" w:customStyle="1" w:styleId="Heading30">
    <w:name w:val="Heading3"/>
    <w:basedOn w:val="stndnum"/>
    <w:next w:val="Bodytxt"/>
    <w:uiPriority w:val="99"/>
    <w:rsid w:val="00EE36AB"/>
    <w:pPr>
      <w:spacing w:after="120"/>
    </w:pPr>
    <w:rPr>
      <w:rFonts w:ascii="Cambria" w:hAnsi="Cambria"/>
      <w:b/>
      <w:color w:val="548DD4"/>
      <w:lang w:val="en-GB"/>
    </w:rPr>
  </w:style>
  <w:style w:type="paragraph" w:styleId="ListParagraph">
    <w:name w:val="List Paragraph"/>
    <w:basedOn w:val="Normal"/>
    <w:uiPriority w:val="99"/>
    <w:qFormat/>
    <w:rsid w:val="00EE36AB"/>
    <w:pPr>
      <w:spacing w:after="200"/>
      <w:ind w:left="720"/>
      <w:contextualSpacing/>
    </w:pPr>
    <w:rPr>
      <w:rFonts w:ascii="Cambria" w:hAnsi="Cambria"/>
      <w:lang w:val="en-US"/>
    </w:rPr>
  </w:style>
  <w:style w:type="paragraph" w:styleId="CommentText">
    <w:name w:val="annotation text"/>
    <w:basedOn w:val="Normal"/>
    <w:link w:val="CommentTextChar"/>
    <w:uiPriority w:val="99"/>
    <w:rsid w:val="00830A0B"/>
    <w:rPr>
      <w:sz w:val="20"/>
      <w:szCs w:val="20"/>
    </w:rPr>
  </w:style>
  <w:style w:type="character" w:customStyle="1" w:styleId="CommentTextChar">
    <w:name w:val="Comment Text Char"/>
    <w:basedOn w:val="DefaultParagraphFont"/>
    <w:link w:val="CommentText"/>
    <w:uiPriority w:val="99"/>
    <w:locked/>
    <w:rsid w:val="00830A0B"/>
    <w:rPr>
      <w:rFonts w:cs="Times New Roman"/>
      <w:sz w:val="20"/>
      <w:szCs w:val="20"/>
      <w:lang w:val="en-AU"/>
    </w:rPr>
  </w:style>
  <w:style w:type="paragraph" w:styleId="CommentSubject">
    <w:name w:val="annotation subject"/>
    <w:basedOn w:val="CommentText"/>
    <w:next w:val="CommentText"/>
    <w:link w:val="CommentSubjectChar"/>
    <w:uiPriority w:val="99"/>
    <w:rsid w:val="00830A0B"/>
    <w:rPr>
      <w:b/>
      <w:bCs/>
    </w:rPr>
  </w:style>
  <w:style w:type="character" w:customStyle="1" w:styleId="CommentSubjectChar">
    <w:name w:val="Comment Subject Char"/>
    <w:basedOn w:val="CommentTextChar"/>
    <w:link w:val="CommentSubject"/>
    <w:uiPriority w:val="99"/>
    <w:locked/>
    <w:rsid w:val="00830A0B"/>
    <w:rPr>
      <w:rFonts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A4"/>
    <w:rPr>
      <w:sz w:val="24"/>
      <w:szCs w:val="24"/>
      <w:lang w:eastAsia="en-US"/>
    </w:rPr>
  </w:style>
  <w:style w:type="paragraph" w:styleId="Heading10">
    <w:name w:val="heading 1"/>
    <w:basedOn w:val="Normal"/>
    <w:next w:val="Normal"/>
    <w:link w:val="Heading1Char"/>
    <w:uiPriority w:val="99"/>
    <w:qFormat/>
    <w:rsid w:val="00EA73A4"/>
    <w:pPr>
      <w:keepNext/>
      <w:spacing w:before="240" w:after="60"/>
      <w:outlineLvl w:val="0"/>
    </w:pPr>
    <w:rPr>
      <w:rFonts w:ascii="Arial" w:hAnsi="Arial" w:cs="Arial"/>
      <w:b/>
      <w:bCs/>
      <w:kern w:val="32"/>
      <w:sz w:val="32"/>
      <w:szCs w:val="32"/>
    </w:rPr>
  </w:style>
  <w:style w:type="paragraph" w:styleId="Heading20">
    <w:name w:val="heading 2"/>
    <w:basedOn w:val="Normal"/>
    <w:next w:val="BodyText"/>
    <w:link w:val="Heading2Char"/>
    <w:uiPriority w:val="99"/>
    <w:qFormat/>
    <w:rsid w:val="00EA73A4"/>
    <w:pPr>
      <w:keepNext/>
      <w:keepLines/>
      <w:spacing w:after="240" w:line="240" w:lineRule="atLeast"/>
      <w:outlineLvl w:val="1"/>
    </w:pPr>
    <w:rPr>
      <w:rFonts w:ascii="Arial Black" w:hAnsi="Arial Black"/>
      <w:spacing w:val="-15"/>
      <w:kern w:val="28"/>
      <w:sz w:val="22"/>
      <w:szCs w:val="20"/>
      <w:lang w:val="en-US"/>
    </w:rPr>
  </w:style>
  <w:style w:type="paragraph" w:styleId="Heading3">
    <w:name w:val="heading 3"/>
    <w:basedOn w:val="Normal"/>
    <w:next w:val="Normal"/>
    <w:link w:val="Heading3Char"/>
    <w:uiPriority w:val="99"/>
    <w:qFormat/>
    <w:rsid w:val="00EE36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EE36AB"/>
    <w:rPr>
      <w:rFonts w:ascii="Arial" w:hAnsi="Arial" w:cs="Arial"/>
      <w:b/>
      <w:bCs/>
      <w:kern w:val="32"/>
      <w:sz w:val="32"/>
      <w:szCs w:val="32"/>
      <w:lang w:val="en-AU" w:eastAsia="en-US"/>
    </w:rPr>
  </w:style>
  <w:style w:type="character" w:customStyle="1" w:styleId="Heading2Char">
    <w:name w:val="Heading 2 Char"/>
    <w:basedOn w:val="DefaultParagraphFont"/>
    <w:link w:val="Heading20"/>
    <w:uiPriority w:val="99"/>
    <w:semiHidden/>
    <w:locked/>
    <w:rsid w:val="00696A5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6A5E"/>
    <w:rPr>
      <w:rFonts w:ascii="Cambria" w:hAnsi="Cambria" w:cs="Times New Roman"/>
      <w:b/>
      <w:bCs/>
      <w:sz w:val="26"/>
      <w:szCs w:val="26"/>
      <w:lang w:eastAsia="en-US"/>
    </w:rPr>
  </w:style>
  <w:style w:type="paragraph" w:styleId="BodyText">
    <w:name w:val="Body Text"/>
    <w:basedOn w:val="Normal"/>
    <w:link w:val="BodyTextChar"/>
    <w:uiPriority w:val="99"/>
    <w:rsid w:val="00EA73A4"/>
    <w:pPr>
      <w:spacing w:after="240" w:line="240" w:lineRule="atLeast"/>
      <w:ind w:left="1080"/>
      <w:jc w:val="both"/>
    </w:pPr>
    <w:rPr>
      <w:rFonts w:ascii="Arial" w:hAnsi="Arial"/>
      <w:spacing w:val="-5"/>
      <w:sz w:val="20"/>
      <w:szCs w:val="20"/>
      <w:lang w:val="en-US"/>
    </w:rPr>
  </w:style>
  <w:style w:type="character" w:customStyle="1" w:styleId="BodyTextChar">
    <w:name w:val="Body Text Char"/>
    <w:basedOn w:val="DefaultParagraphFont"/>
    <w:link w:val="BodyText"/>
    <w:uiPriority w:val="99"/>
    <w:semiHidden/>
    <w:locked/>
    <w:rsid w:val="00696A5E"/>
    <w:rPr>
      <w:rFonts w:cs="Times New Roman"/>
      <w:sz w:val="24"/>
      <w:szCs w:val="24"/>
      <w:lang w:eastAsia="en-US"/>
    </w:rPr>
  </w:style>
  <w:style w:type="paragraph" w:customStyle="1" w:styleId="Heading1">
    <w:name w:val="Heading1"/>
    <w:basedOn w:val="Normal"/>
    <w:uiPriority w:val="99"/>
    <w:rsid w:val="00EA73A4"/>
    <w:pPr>
      <w:numPr>
        <w:numId w:val="3"/>
      </w:numPr>
      <w:spacing w:after="120"/>
    </w:pPr>
    <w:rPr>
      <w:rFonts w:ascii="Arial Black" w:hAnsi="Arial Black"/>
      <w:sz w:val="20"/>
    </w:rPr>
  </w:style>
  <w:style w:type="paragraph" w:customStyle="1" w:styleId="Bodytxt">
    <w:name w:val="Bodytxt"/>
    <w:basedOn w:val="Normal"/>
    <w:link w:val="BodytxtChar"/>
    <w:uiPriority w:val="99"/>
    <w:rsid w:val="00EE36AB"/>
    <w:pPr>
      <w:spacing w:after="120"/>
      <w:ind w:left="720"/>
      <w:jc w:val="both"/>
    </w:pPr>
    <w:rPr>
      <w:rFonts w:ascii="Calibri" w:hAnsi="Calibri" w:cs="Arial"/>
      <w:sz w:val="22"/>
    </w:rPr>
  </w:style>
  <w:style w:type="paragraph" w:customStyle="1" w:styleId="Heading2">
    <w:name w:val="Heading2"/>
    <w:basedOn w:val="Heading1"/>
    <w:uiPriority w:val="99"/>
    <w:rsid w:val="00EE36AB"/>
    <w:pPr>
      <w:numPr>
        <w:numId w:val="2"/>
      </w:numPr>
      <w:pBdr>
        <w:bottom w:val="single" w:sz="8" w:space="1" w:color="17365D"/>
      </w:pBdr>
    </w:pPr>
    <w:rPr>
      <w:rFonts w:ascii="Cambria" w:hAnsi="Cambria"/>
      <w:b/>
      <w:caps/>
      <w:color w:val="17365D"/>
      <w:sz w:val="32"/>
    </w:rPr>
  </w:style>
  <w:style w:type="paragraph" w:styleId="Footer">
    <w:name w:val="footer"/>
    <w:basedOn w:val="Normal"/>
    <w:link w:val="FooterChar"/>
    <w:uiPriority w:val="99"/>
    <w:rsid w:val="00EE36AB"/>
    <w:pPr>
      <w:tabs>
        <w:tab w:val="center" w:pos="4320"/>
        <w:tab w:val="right" w:pos="8640"/>
      </w:tabs>
    </w:pPr>
    <w:rPr>
      <w:rFonts w:ascii="Cambria" w:hAnsi="Cambria"/>
    </w:rPr>
  </w:style>
  <w:style w:type="character" w:customStyle="1" w:styleId="FooterChar">
    <w:name w:val="Footer Char"/>
    <w:basedOn w:val="DefaultParagraphFont"/>
    <w:link w:val="Footer"/>
    <w:uiPriority w:val="99"/>
    <w:semiHidden/>
    <w:locked/>
    <w:rsid w:val="00696A5E"/>
    <w:rPr>
      <w:rFonts w:cs="Times New Roman"/>
      <w:sz w:val="24"/>
      <w:szCs w:val="24"/>
      <w:lang w:eastAsia="en-US"/>
    </w:rPr>
  </w:style>
  <w:style w:type="character" w:styleId="PageNumber">
    <w:name w:val="page number"/>
    <w:basedOn w:val="DefaultParagraphFont"/>
    <w:uiPriority w:val="99"/>
    <w:rsid w:val="00EE36AB"/>
    <w:rPr>
      <w:rFonts w:ascii="Cambria" w:hAnsi="Cambria" w:cs="Times New Roman"/>
    </w:rPr>
  </w:style>
  <w:style w:type="paragraph" w:styleId="Header">
    <w:name w:val="header"/>
    <w:basedOn w:val="Normal"/>
    <w:link w:val="HeaderChar"/>
    <w:uiPriority w:val="99"/>
    <w:rsid w:val="00EA73A4"/>
    <w:pPr>
      <w:tabs>
        <w:tab w:val="center" w:pos="4320"/>
        <w:tab w:val="right" w:pos="8640"/>
      </w:tabs>
    </w:pPr>
  </w:style>
  <w:style w:type="character" w:customStyle="1" w:styleId="HeaderChar">
    <w:name w:val="Header Char"/>
    <w:basedOn w:val="DefaultParagraphFont"/>
    <w:link w:val="Header"/>
    <w:uiPriority w:val="99"/>
    <w:semiHidden/>
    <w:locked/>
    <w:rsid w:val="00696A5E"/>
    <w:rPr>
      <w:rFonts w:cs="Times New Roman"/>
      <w:sz w:val="24"/>
      <w:szCs w:val="24"/>
      <w:lang w:eastAsia="en-US"/>
    </w:rPr>
  </w:style>
  <w:style w:type="paragraph" w:customStyle="1" w:styleId="Tabletxt">
    <w:name w:val="Tabletxt"/>
    <w:basedOn w:val="Bodytxt"/>
    <w:uiPriority w:val="99"/>
    <w:rsid w:val="00EA73A4"/>
    <w:pPr>
      <w:tabs>
        <w:tab w:val="left" w:pos="4428"/>
        <w:tab w:val="left" w:pos="8856"/>
      </w:tabs>
    </w:pPr>
  </w:style>
  <w:style w:type="paragraph" w:styleId="EndnoteText">
    <w:name w:val="endnote text"/>
    <w:basedOn w:val="Normal"/>
    <w:link w:val="EndnoteTextChar"/>
    <w:uiPriority w:val="99"/>
    <w:semiHidden/>
    <w:rsid w:val="00EA73A4"/>
    <w:rPr>
      <w:rFonts w:ascii="Arial" w:hAnsi="Arial"/>
      <w:sz w:val="20"/>
      <w:szCs w:val="20"/>
    </w:rPr>
  </w:style>
  <w:style w:type="character" w:customStyle="1" w:styleId="EndnoteTextChar">
    <w:name w:val="Endnote Text Char"/>
    <w:basedOn w:val="DefaultParagraphFont"/>
    <w:link w:val="EndnoteText"/>
    <w:uiPriority w:val="99"/>
    <w:semiHidden/>
    <w:locked/>
    <w:rsid w:val="00696A5E"/>
    <w:rPr>
      <w:rFonts w:cs="Times New Roman"/>
      <w:sz w:val="20"/>
      <w:szCs w:val="20"/>
      <w:lang w:eastAsia="en-US"/>
    </w:rPr>
  </w:style>
  <w:style w:type="character" w:styleId="EndnoteReference">
    <w:name w:val="endnote reference"/>
    <w:basedOn w:val="DefaultParagraphFont"/>
    <w:uiPriority w:val="99"/>
    <w:semiHidden/>
    <w:rsid w:val="00EA73A4"/>
    <w:rPr>
      <w:rFonts w:cs="Times New Roman"/>
      <w:vertAlign w:val="superscript"/>
    </w:rPr>
  </w:style>
  <w:style w:type="character" w:styleId="Hyperlink">
    <w:name w:val="Hyperlink"/>
    <w:basedOn w:val="DefaultParagraphFont"/>
    <w:uiPriority w:val="99"/>
    <w:rsid w:val="00EE36AB"/>
    <w:rPr>
      <w:rFonts w:ascii="Calibri" w:hAnsi="Calibri" w:cs="Times New Roman"/>
      <w:color w:val="0000FF"/>
      <w:sz w:val="22"/>
      <w:u w:val="single"/>
    </w:rPr>
  </w:style>
  <w:style w:type="paragraph" w:styleId="TOC1">
    <w:name w:val="toc 1"/>
    <w:basedOn w:val="Normal"/>
    <w:next w:val="Normal"/>
    <w:autoRedefine/>
    <w:uiPriority w:val="99"/>
    <w:rsid w:val="00EE36AB"/>
    <w:rPr>
      <w:rFonts w:ascii="Arial" w:hAnsi="Arial"/>
    </w:rPr>
  </w:style>
  <w:style w:type="paragraph" w:styleId="TOC2">
    <w:name w:val="toc 2"/>
    <w:basedOn w:val="Normal"/>
    <w:next w:val="Normal"/>
    <w:autoRedefine/>
    <w:uiPriority w:val="99"/>
    <w:semiHidden/>
    <w:rsid w:val="00EE36AB"/>
    <w:pPr>
      <w:tabs>
        <w:tab w:val="left" w:pos="960"/>
        <w:tab w:val="right" w:leader="dot" w:pos="8299"/>
      </w:tabs>
      <w:ind w:left="240"/>
    </w:pPr>
    <w:rPr>
      <w:rFonts w:ascii="Arial Unicode MS" w:eastAsia="Arial Unicode MS"/>
      <w:noProof/>
    </w:rPr>
  </w:style>
  <w:style w:type="paragraph" w:styleId="FootnoteText">
    <w:name w:val="footnote text"/>
    <w:basedOn w:val="Normal"/>
    <w:link w:val="FootnoteTextChar"/>
    <w:uiPriority w:val="99"/>
    <w:rsid w:val="00EE36AB"/>
    <w:rPr>
      <w:rFonts w:ascii="Calibri" w:hAnsi="Calibri"/>
      <w:sz w:val="16"/>
      <w:szCs w:val="20"/>
    </w:rPr>
  </w:style>
  <w:style w:type="character" w:customStyle="1" w:styleId="FootnoteTextChar">
    <w:name w:val="Footnote Text Char"/>
    <w:basedOn w:val="DefaultParagraphFont"/>
    <w:link w:val="FootnoteText"/>
    <w:uiPriority w:val="99"/>
    <w:locked/>
    <w:rsid w:val="00EE36AB"/>
    <w:rPr>
      <w:rFonts w:ascii="Calibri" w:hAnsi="Calibri" w:cs="Times New Roman"/>
      <w:sz w:val="16"/>
      <w:lang w:val="en-AU" w:eastAsia="en-US"/>
    </w:rPr>
  </w:style>
  <w:style w:type="character" w:styleId="FootnoteReference">
    <w:name w:val="footnote reference"/>
    <w:basedOn w:val="DefaultParagraphFont"/>
    <w:uiPriority w:val="99"/>
    <w:rsid w:val="00EA73A4"/>
    <w:rPr>
      <w:rFonts w:cs="Times New Roman"/>
      <w:vertAlign w:val="superscript"/>
    </w:rPr>
  </w:style>
  <w:style w:type="paragraph" w:styleId="PlainText">
    <w:name w:val="Plain Text"/>
    <w:basedOn w:val="Normal"/>
    <w:link w:val="PlainTextChar"/>
    <w:uiPriority w:val="99"/>
    <w:rsid w:val="00EA73A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96A5E"/>
    <w:rPr>
      <w:rFonts w:ascii="Courier New" w:hAnsi="Courier New" w:cs="Courier New"/>
      <w:sz w:val="20"/>
      <w:szCs w:val="20"/>
      <w:lang w:eastAsia="en-US"/>
    </w:rPr>
  </w:style>
  <w:style w:type="paragraph" w:styleId="TOC3">
    <w:name w:val="toc 3"/>
    <w:basedOn w:val="Normal"/>
    <w:next w:val="Normal"/>
    <w:autoRedefine/>
    <w:uiPriority w:val="99"/>
    <w:rsid w:val="00363B3E"/>
    <w:pPr>
      <w:tabs>
        <w:tab w:val="left" w:pos="1035"/>
        <w:tab w:val="right" w:leader="dot" w:pos="8299"/>
      </w:tabs>
    </w:pPr>
    <w:rPr>
      <w:rFonts w:ascii="Arial" w:hAnsi="Arial"/>
      <w:noProof/>
    </w:rPr>
  </w:style>
  <w:style w:type="paragraph" w:styleId="TOC4">
    <w:name w:val="toc 4"/>
    <w:basedOn w:val="Normal"/>
    <w:next w:val="Normal"/>
    <w:autoRedefine/>
    <w:uiPriority w:val="99"/>
    <w:semiHidden/>
    <w:rsid w:val="00EA73A4"/>
    <w:pPr>
      <w:ind w:left="720"/>
    </w:pPr>
  </w:style>
  <w:style w:type="paragraph" w:styleId="TOC5">
    <w:name w:val="toc 5"/>
    <w:basedOn w:val="Normal"/>
    <w:next w:val="Normal"/>
    <w:autoRedefine/>
    <w:uiPriority w:val="99"/>
    <w:semiHidden/>
    <w:rsid w:val="00EA73A4"/>
    <w:pPr>
      <w:ind w:left="960"/>
    </w:pPr>
  </w:style>
  <w:style w:type="paragraph" w:styleId="TOC6">
    <w:name w:val="toc 6"/>
    <w:basedOn w:val="Normal"/>
    <w:next w:val="Normal"/>
    <w:autoRedefine/>
    <w:uiPriority w:val="99"/>
    <w:semiHidden/>
    <w:rsid w:val="00EA73A4"/>
    <w:pPr>
      <w:ind w:left="1200"/>
    </w:pPr>
  </w:style>
  <w:style w:type="paragraph" w:styleId="TOC7">
    <w:name w:val="toc 7"/>
    <w:basedOn w:val="Normal"/>
    <w:next w:val="Normal"/>
    <w:autoRedefine/>
    <w:uiPriority w:val="99"/>
    <w:semiHidden/>
    <w:rsid w:val="00EA73A4"/>
    <w:pPr>
      <w:ind w:left="1440"/>
    </w:pPr>
  </w:style>
  <w:style w:type="paragraph" w:styleId="TOC8">
    <w:name w:val="toc 8"/>
    <w:basedOn w:val="Normal"/>
    <w:next w:val="Normal"/>
    <w:autoRedefine/>
    <w:uiPriority w:val="99"/>
    <w:semiHidden/>
    <w:rsid w:val="00EA73A4"/>
    <w:pPr>
      <w:ind w:left="1680"/>
    </w:pPr>
  </w:style>
  <w:style w:type="paragraph" w:styleId="TOC9">
    <w:name w:val="toc 9"/>
    <w:basedOn w:val="Normal"/>
    <w:next w:val="Normal"/>
    <w:autoRedefine/>
    <w:uiPriority w:val="99"/>
    <w:semiHidden/>
    <w:rsid w:val="00EA73A4"/>
    <w:pPr>
      <w:ind w:left="1920"/>
    </w:pPr>
  </w:style>
  <w:style w:type="character" w:styleId="CommentReference">
    <w:name w:val="annotation reference"/>
    <w:basedOn w:val="DefaultParagraphFont"/>
    <w:uiPriority w:val="99"/>
    <w:semiHidden/>
    <w:rsid w:val="00EA73A4"/>
    <w:rPr>
      <w:rFonts w:cs="Times New Roman"/>
      <w:sz w:val="16"/>
      <w:szCs w:val="16"/>
    </w:rPr>
  </w:style>
  <w:style w:type="paragraph" w:customStyle="1" w:styleId="Bullets">
    <w:name w:val="Bullets"/>
    <w:basedOn w:val="Bodytxt"/>
    <w:uiPriority w:val="99"/>
    <w:rsid w:val="00EA73A4"/>
    <w:pPr>
      <w:numPr>
        <w:numId w:val="4"/>
      </w:numPr>
      <w:spacing w:after="60"/>
    </w:pPr>
    <w:rPr>
      <w:lang w:val="en-GB"/>
    </w:rPr>
  </w:style>
  <w:style w:type="paragraph" w:customStyle="1" w:styleId="Bullets-last">
    <w:name w:val="Bullets - last"/>
    <w:basedOn w:val="Bullets"/>
    <w:next w:val="Bodytxt"/>
    <w:uiPriority w:val="99"/>
    <w:rsid w:val="00EA73A4"/>
    <w:pPr>
      <w:spacing w:after="120"/>
    </w:pPr>
  </w:style>
  <w:style w:type="paragraph" w:styleId="Caption">
    <w:name w:val="caption"/>
    <w:basedOn w:val="Normal"/>
    <w:next w:val="Normal"/>
    <w:uiPriority w:val="99"/>
    <w:qFormat/>
    <w:rsid w:val="00EA73A4"/>
    <w:pPr>
      <w:spacing w:after="240"/>
      <w:jc w:val="center"/>
    </w:pPr>
    <w:rPr>
      <w:rFonts w:ascii="Arial" w:hAnsi="Arial"/>
      <w:b/>
      <w:bCs/>
      <w:sz w:val="16"/>
      <w:szCs w:val="20"/>
    </w:rPr>
  </w:style>
  <w:style w:type="character" w:styleId="Strong">
    <w:name w:val="Strong"/>
    <w:basedOn w:val="DefaultParagraphFont"/>
    <w:uiPriority w:val="99"/>
    <w:qFormat/>
    <w:rsid w:val="00EA73A4"/>
    <w:rPr>
      <w:rFonts w:cs="Times New Roman"/>
      <w:b/>
      <w:bCs/>
    </w:rPr>
  </w:style>
  <w:style w:type="paragraph" w:styleId="DocumentMap">
    <w:name w:val="Document Map"/>
    <w:basedOn w:val="Normal"/>
    <w:link w:val="DocumentMapChar"/>
    <w:uiPriority w:val="99"/>
    <w:semiHidden/>
    <w:rsid w:val="00EA73A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96A5E"/>
    <w:rPr>
      <w:rFonts w:cs="Times New Roman"/>
      <w:sz w:val="2"/>
      <w:lang w:eastAsia="en-US"/>
    </w:rPr>
  </w:style>
  <w:style w:type="paragraph" w:customStyle="1" w:styleId="TableText">
    <w:name w:val="Table Text"/>
    <w:basedOn w:val="Normal"/>
    <w:uiPriority w:val="99"/>
    <w:rsid w:val="00EA73A4"/>
    <w:pPr>
      <w:spacing w:before="60"/>
    </w:pPr>
    <w:rPr>
      <w:rFonts w:ascii="Arial" w:hAnsi="Arial"/>
      <w:spacing w:val="-5"/>
      <w:sz w:val="16"/>
      <w:szCs w:val="20"/>
    </w:rPr>
  </w:style>
  <w:style w:type="paragraph" w:styleId="TableofFigures">
    <w:name w:val="table of figures"/>
    <w:basedOn w:val="Normal"/>
    <w:next w:val="Normal"/>
    <w:uiPriority w:val="99"/>
    <w:semiHidden/>
    <w:rsid w:val="00EA73A4"/>
    <w:pPr>
      <w:ind w:left="480" w:hanging="480"/>
    </w:pPr>
  </w:style>
  <w:style w:type="paragraph" w:customStyle="1" w:styleId="BlockQuotation">
    <w:name w:val="Block Quotation"/>
    <w:basedOn w:val="Normal"/>
    <w:uiPriority w:val="99"/>
    <w:rsid w:val="00EE36AB"/>
    <w:pPr>
      <w:pBdr>
        <w:top w:val="single" w:sz="12" w:space="12" w:color="FFFFFF"/>
        <w:left w:val="single" w:sz="6" w:space="12" w:color="FFFFFF"/>
        <w:bottom w:val="single" w:sz="6" w:space="12" w:color="FFFFFF"/>
        <w:right w:val="single" w:sz="6" w:space="12" w:color="FFFFFF"/>
      </w:pBdr>
      <w:shd w:val="clear" w:color="548DD4" w:fill="C6D9F1"/>
      <w:spacing w:after="240" w:line="220" w:lineRule="atLeast"/>
      <w:ind w:left="1368" w:right="240"/>
      <w:jc w:val="both"/>
    </w:pPr>
    <w:rPr>
      <w:rFonts w:ascii="Calibri" w:hAnsi="Calibri"/>
      <w:spacing w:val="-5"/>
      <w:sz w:val="20"/>
      <w:szCs w:val="20"/>
    </w:rPr>
  </w:style>
  <w:style w:type="character" w:styleId="FollowedHyperlink">
    <w:name w:val="FollowedHyperlink"/>
    <w:basedOn w:val="DefaultParagraphFont"/>
    <w:uiPriority w:val="99"/>
    <w:rsid w:val="00EA73A4"/>
    <w:rPr>
      <w:rFonts w:cs="Times New Roman"/>
      <w:color w:val="800080"/>
      <w:u w:val="single"/>
    </w:rPr>
  </w:style>
  <w:style w:type="paragraph" w:styleId="Title">
    <w:name w:val="Title"/>
    <w:basedOn w:val="Normal"/>
    <w:link w:val="TitleChar"/>
    <w:uiPriority w:val="99"/>
    <w:qFormat/>
    <w:rsid w:val="00EA73A4"/>
    <w:pPr>
      <w:jc w:val="center"/>
    </w:pPr>
    <w:rPr>
      <w:rFonts w:ascii="Arial Black" w:hAnsi="Arial Black" w:cs="Arial"/>
      <w:sz w:val="32"/>
    </w:rPr>
  </w:style>
  <w:style w:type="character" w:customStyle="1" w:styleId="TitleChar">
    <w:name w:val="Title Char"/>
    <w:basedOn w:val="DefaultParagraphFont"/>
    <w:link w:val="Title"/>
    <w:uiPriority w:val="99"/>
    <w:locked/>
    <w:rsid w:val="00696A5E"/>
    <w:rPr>
      <w:rFonts w:ascii="Cambria" w:hAnsi="Cambria" w:cs="Times New Roman"/>
      <w:b/>
      <w:bCs/>
      <w:kern w:val="28"/>
      <w:sz w:val="32"/>
      <w:szCs w:val="32"/>
      <w:lang w:eastAsia="en-US"/>
    </w:rPr>
  </w:style>
  <w:style w:type="paragraph" w:styleId="Subtitle">
    <w:name w:val="Subtitle"/>
    <w:basedOn w:val="Normal"/>
    <w:link w:val="SubtitleChar"/>
    <w:uiPriority w:val="99"/>
    <w:qFormat/>
    <w:rsid w:val="00EA73A4"/>
    <w:rPr>
      <w:rFonts w:ascii="Arial" w:hAnsi="Arial" w:cs="Arial"/>
      <w:b/>
      <w:bCs/>
    </w:rPr>
  </w:style>
  <w:style w:type="character" w:customStyle="1" w:styleId="SubtitleChar">
    <w:name w:val="Subtitle Char"/>
    <w:basedOn w:val="DefaultParagraphFont"/>
    <w:link w:val="Subtitle"/>
    <w:uiPriority w:val="99"/>
    <w:locked/>
    <w:rsid w:val="00696A5E"/>
    <w:rPr>
      <w:rFonts w:ascii="Cambria" w:hAnsi="Cambria" w:cs="Times New Roman"/>
      <w:sz w:val="24"/>
      <w:szCs w:val="24"/>
      <w:lang w:eastAsia="en-US"/>
    </w:rPr>
  </w:style>
  <w:style w:type="paragraph" w:styleId="BalloonText">
    <w:name w:val="Balloon Text"/>
    <w:basedOn w:val="Normal"/>
    <w:link w:val="BalloonTextChar"/>
    <w:uiPriority w:val="99"/>
    <w:semiHidden/>
    <w:rsid w:val="00EE36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6A5E"/>
    <w:rPr>
      <w:rFonts w:cs="Times New Roman"/>
      <w:sz w:val="2"/>
      <w:lang w:eastAsia="en-US"/>
    </w:rPr>
  </w:style>
  <w:style w:type="paragraph" w:customStyle="1" w:styleId="TableTxt0">
    <w:name w:val="TableTxt"/>
    <w:basedOn w:val="Normal"/>
    <w:uiPriority w:val="99"/>
    <w:rsid w:val="00EE36AB"/>
    <w:rPr>
      <w:rFonts w:ascii="Calibri" w:hAnsi="Calibri"/>
      <w:sz w:val="20"/>
    </w:rPr>
  </w:style>
  <w:style w:type="table" w:styleId="TableGrid">
    <w:name w:val="Table Grid"/>
    <w:basedOn w:val="TableNormal"/>
    <w:uiPriority w:val="99"/>
    <w:rsid w:val="00EE36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0">
    <w:name w:val="TOC2"/>
    <w:basedOn w:val="TOC2"/>
    <w:uiPriority w:val="99"/>
    <w:rsid w:val="00EE36AB"/>
  </w:style>
  <w:style w:type="character" w:customStyle="1" w:styleId="BodytxtChar">
    <w:name w:val="Bodytxt Char"/>
    <w:basedOn w:val="DefaultParagraphFont"/>
    <w:link w:val="Bodytxt"/>
    <w:uiPriority w:val="99"/>
    <w:locked/>
    <w:rsid w:val="00EE36AB"/>
    <w:rPr>
      <w:rFonts w:ascii="Calibri" w:hAnsi="Calibri" w:cs="Arial"/>
      <w:sz w:val="24"/>
      <w:szCs w:val="24"/>
      <w:lang w:val="en-AU" w:eastAsia="en-US"/>
    </w:rPr>
  </w:style>
  <w:style w:type="paragraph" w:customStyle="1" w:styleId="Recommendation">
    <w:name w:val="Recommendation"/>
    <w:basedOn w:val="BlockQuotation"/>
    <w:uiPriority w:val="99"/>
    <w:rsid w:val="00EE36AB"/>
    <w:pPr>
      <w:numPr>
        <w:numId w:val="5"/>
      </w:numPr>
    </w:pPr>
    <w:rPr>
      <w:lang w:val="en-GB"/>
    </w:rPr>
  </w:style>
  <w:style w:type="paragraph" w:customStyle="1" w:styleId="DocumentName">
    <w:name w:val="Document Name"/>
    <w:basedOn w:val="Heading10"/>
    <w:uiPriority w:val="99"/>
    <w:rsid w:val="00EE36AB"/>
    <w:pPr>
      <w:spacing w:before="0" w:after="0"/>
      <w:jc w:val="center"/>
    </w:pPr>
    <w:rPr>
      <w:rFonts w:ascii="Cambria" w:hAnsi="Cambria"/>
      <w:bCs w:val="0"/>
      <w:color w:val="17365D"/>
      <w:sz w:val="56"/>
      <w:lang w:val="en-GB"/>
    </w:rPr>
  </w:style>
  <w:style w:type="paragraph" w:customStyle="1" w:styleId="ProjectName">
    <w:name w:val="Project Name"/>
    <w:basedOn w:val="Normal"/>
    <w:uiPriority w:val="99"/>
    <w:rsid w:val="00EE36AB"/>
    <w:pPr>
      <w:spacing w:before="120" w:after="120"/>
      <w:jc w:val="center"/>
    </w:pPr>
    <w:rPr>
      <w:rFonts w:ascii="Arial" w:hAnsi="Arial" w:cs="Arial"/>
    </w:rPr>
  </w:style>
  <w:style w:type="paragraph" w:customStyle="1" w:styleId="Version">
    <w:name w:val="Version#"/>
    <w:basedOn w:val="Normal"/>
    <w:link w:val="VersionChar"/>
    <w:uiPriority w:val="99"/>
    <w:rsid w:val="00EE36AB"/>
    <w:pPr>
      <w:spacing w:before="120" w:after="120"/>
      <w:jc w:val="center"/>
    </w:pPr>
    <w:rPr>
      <w:rFonts w:ascii="Arial" w:hAnsi="Arial" w:cs="Arial"/>
    </w:rPr>
  </w:style>
  <w:style w:type="character" w:customStyle="1" w:styleId="VersionChar">
    <w:name w:val="Version# Char"/>
    <w:basedOn w:val="DefaultParagraphFont"/>
    <w:link w:val="Version"/>
    <w:uiPriority w:val="99"/>
    <w:locked/>
    <w:rsid w:val="00EE36AB"/>
    <w:rPr>
      <w:rFonts w:ascii="Arial" w:hAnsi="Arial" w:cs="Arial"/>
      <w:sz w:val="24"/>
      <w:szCs w:val="24"/>
      <w:lang w:val="en-AU" w:eastAsia="en-US" w:bidi="ar-SA"/>
    </w:rPr>
  </w:style>
  <w:style w:type="paragraph" w:customStyle="1" w:styleId="Clientname">
    <w:name w:val="Client name"/>
    <w:basedOn w:val="Normal"/>
    <w:uiPriority w:val="99"/>
    <w:rsid w:val="00EE36AB"/>
    <w:pPr>
      <w:spacing w:before="120" w:after="120"/>
      <w:jc w:val="center"/>
    </w:pPr>
    <w:rPr>
      <w:rFonts w:ascii="Arial" w:hAnsi="Arial" w:cs="Arial"/>
    </w:rPr>
  </w:style>
  <w:style w:type="paragraph" w:customStyle="1" w:styleId="stndnum">
    <w:name w:val="stnd num"/>
    <w:basedOn w:val="Normal"/>
    <w:uiPriority w:val="99"/>
    <w:rsid w:val="00EE36AB"/>
    <w:pPr>
      <w:numPr>
        <w:ilvl w:val="1"/>
        <w:numId w:val="1"/>
      </w:numPr>
    </w:pPr>
  </w:style>
  <w:style w:type="paragraph" w:customStyle="1" w:styleId="Heading30">
    <w:name w:val="Heading3"/>
    <w:basedOn w:val="stndnum"/>
    <w:next w:val="Bodytxt"/>
    <w:uiPriority w:val="99"/>
    <w:rsid w:val="00EE36AB"/>
    <w:pPr>
      <w:spacing w:after="120"/>
    </w:pPr>
    <w:rPr>
      <w:rFonts w:ascii="Cambria" w:hAnsi="Cambria"/>
      <w:b/>
      <w:color w:val="548DD4"/>
      <w:lang w:val="en-GB"/>
    </w:rPr>
  </w:style>
  <w:style w:type="paragraph" w:styleId="ListParagraph">
    <w:name w:val="List Paragraph"/>
    <w:basedOn w:val="Normal"/>
    <w:uiPriority w:val="99"/>
    <w:qFormat/>
    <w:rsid w:val="00EE36AB"/>
    <w:pPr>
      <w:spacing w:after="200"/>
      <w:ind w:left="720"/>
      <w:contextualSpacing/>
    </w:pPr>
    <w:rPr>
      <w:rFonts w:ascii="Cambria" w:hAnsi="Cambria"/>
      <w:lang w:val="en-US"/>
    </w:rPr>
  </w:style>
  <w:style w:type="paragraph" w:styleId="CommentText">
    <w:name w:val="annotation text"/>
    <w:basedOn w:val="Normal"/>
    <w:link w:val="CommentTextChar"/>
    <w:uiPriority w:val="99"/>
    <w:rsid w:val="00830A0B"/>
    <w:rPr>
      <w:sz w:val="20"/>
      <w:szCs w:val="20"/>
    </w:rPr>
  </w:style>
  <w:style w:type="character" w:customStyle="1" w:styleId="CommentTextChar">
    <w:name w:val="Comment Text Char"/>
    <w:basedOn w:val="DefaultParagraphFont"/>
    <w:link w:val="CommentText"/>
    <w:uiPriority w:val="99"/>
    <w:locked/>
    <w:rsid w:val="00830A0B"/>
    <w:rPr>
      <w:rFonts w:cs="Times New Roman"/>
      <w:sz w:val="20"/>
      <w:szCs w:val="20"/>
      <w:lang w:val="en-AU"/>
    </w:rPr>
  </w:style>
  <w:style w:type="paragraph" w:styleId="CommentSubject">
    <w:name w:val="annotation subject"/>
    <w:basedOn w:val="CommentText"/>
    <w:next w:val="CommentText"/>
    <w:link w:val="CommentSubjectChar"/>
    <w:uiPriority w:val="99"/>
    <w:rsid w:val="00830A0B"/>
    <w:rPr>
      <w:b/>
      <w:bCs/>
    </w:rPr>
  </w:style>
  <w:style w:type="character" w:customStyle="1" w:styleId="CommentSubjectChar">
    <w:name w:val="Comment Subject Char"/>
    <w:basedOn w:val="CommentTextChar"/>
    <w:link w:val="CommentSubject"/>
    <w:uiPriority w:val="99"/>
    <w:locked/>
    <w:rsid w:val="00830A0B"/>
    <w:rPr>
      <w:rFonts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omsisouk@hotmail.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lindamericourt@gmail.com" TargetMode="External"/><Relationship Id="rId23" Type="http://schemas.openxmlformats.org/officeDocument/2006/relationships/image" Target="media/image5.jpeg"/><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5D22D-E798-463D-B8D8-9F769C9BBC99}"/>
</file>

<file path=customXml/itemProps2.xml><?xml version="1.0" encoding="utf-8"?>
<ds:datastoreItem xmlns:ds="http://schemas.openxmlformats.org/officeDocument/2006/customXml" ds:itemID="{50546922-92F1-4E5E-A5AE-F68E7EC7DF3D}"/>
</file>

<file path=customXml/itemProps3.xml><?xml version="1.0" encoding="utf-8"?>
<ds:datastoreItem xmlns:ds="http://schemas.openxmlformats.org/officeDocument/2006/customXml" ds:itemID="{A9938435-F9B4-4809-AE0B-7074D6DF1FCC}"/>
</file>

<file path=docProps/app.xml><?xml version="1.0" encoding="utf-8"?>
<Properties xmlns="http://schemas.openxmlformats.org/officeDocument/2006/extended-properties" xmlns:vt="http://schemas.openxmlformats.org/officeDocument/2006/docPropsVTypes">
  <Template>17AF6617</Template>
  <TotalTime>0</TotalTime>
  <Pages>24</Pages>
  <Words>7711</Words>
  <Characters>44139</Characters>
  <Application>Microsoft Office Word</Application>
  <DocSecurity>0</DocSecurity>
  <Lines>367</Lines>
  <Paragraphs>103</Paragraphs>
  <ScaleCrop>false</ScaleCrop>
  <Company/>
  <LinksUpToDate>false</LinksUpToDate>
  <CharactersWithSpaces>51747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2015-01-22T23:23:00Z</dcterms:created>
  <dcterms:modified xsi:type="dcterms:W3CDTF">2015-01-22T23:23:00Z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923900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