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4C35F1C7" wp14:editId="4C8941D3">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48AF1005" wp14:editId="7F067DE2">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580A64">
        <w:rPr>
          <w:spacing w:val="-20"/>
          <w:sz w:val="60"/>
        </w:rPr>
        <w:t>7</w:t>
      </w:r>
      <w:r>
        <w:rPr>
          <w:spacing w:val="-20"/>
          <w:sz w:val="60"/>
        </w:rPr>
        <w:t>-1</w:t>
      </w:r>
      <w:r w:rsidR="00580A64">
        <w:rPr>
          <w:spacing w:val="-20"/>
          <w:sz w:val="60"/>
        </w:rPr>
        <w:t>8</w:t>
      </w:r>
    </w:p>
    <w:p w:rsidR="0059146A" w:rsidRDefault="00B245FD"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Lao</w:t>
      </w:r>
      <w:r w:rsidR="00FC59A4">
        <w:rPr>
          <w:sz w:val="40"/>
        </w:rPr>
        <w:t>s</w:t>
      </w:r>
      <w:r w:rsidR="0059146A">
        <w:rPr>
          <w:sz w:val="40"/>
        </w:rPr>
        <w:br/>
      </w:r>
      <w:r w:rsidR="0059146A" w:rsidRPr="0059146A">
        <w:rPr>
          <w:sz w:val="24"/>
        </w:rPr>
        <w:t>September 201</w:t>
      </w:r>
      <w:r w:rsidR="00580A64">
        <w:rPr>
          <w:sz w:val="24"/>
        </w:rPr>
        <w:t>8</w:t>
      </w:r>
    </w:p>
    <w:p w:rsidR="005B5769" w:rsidRPr="00B438D3" w:rsidRDefault="00B245FD" w:rsidP="00B438D3">
      <w:pPr>
        <w:pStyle w:val="Title"/>
      </w:pPr>
      <w:r>
        <w:lastRenderedPageBreak/>
        <w:t xml:space="preserve">LAOS </w:t>
      </w:r>
      <w:r w:rsidR="005B5769" w:rsidRPr="00B438D3">
        <w:t>Aid Program Performance Information 201</w:t>
      </w:r>
      <w:r w:rsidR="00580A64">
        <w:t>7</w:t>
      </w:r>
      <w:r w:rsidR="005B5769" w:rsidRPr="00B438D3">
        <w:t>-1</w:t>
      </w:r>
      <w:r w:rsidR="00580A64">
        <w:t>8</w:t>
      </w:r>
    </w:p>
    <w:p w:rsidR="005B5769" w:rsidRPr="00C4114C" w:rsidRDefault="005B5769" w:rsidP="00B438D3">
      <w:pPr>
        <w:pStyle w:val="Subtitle"/>
      </w:pPr>
      <w:r w:rsidRPr="00C4114C">
        <w:t>Summary</w:t>
      </w:r>
    </w:p>
    <w:p w:rsidR="00221115" w:rsidRPr="006017A4" w:rsidRDefault="00CD1652" w:rsidP="001F222C">
      <w:pPr>
        <w:spacing w:before="240" w:line="240" w:lineRule="auto"/>
        <w:rPr>
          <w:rFonts w:eastAsia="Times New Roman"/>
          <w:color w:val="000000" w:themeColor="text1"/>
        </w:rPr>
      </w:pPr>
      <w:r w:rsidRPr="006017A4">
        <w:rPr>
          <w:rFonts w:eastAsia="Times New Roman"/>
          <w:color w:val="000000" w:themeColor="text1"/>
        </w:rPr>
        <w:t>This report summarises the performance of Australia’s aid program in</w:t>
      </w:r>
      <w:r w:rsidR="00B245FD" w:rsidRPr="006017A4">
        <w:rPr>
          <w:rFonts w:eastAsia="Times New Roman"/>
          <w:color w:val="000000" w:themeColor="text1"/>
        </w:rPr>
        <w:t xml:space="preserve"> </w:t>
      </w:r>
      <w:r w:rsidR="000A0FAA" w:rsidRPr="006017A4">
        <w:rPr>
          <w:rFonts w:eastAsia="Times New Roman"/>
          <w:color w:val="000000" w:themeColor="text1"/>
        </w:rPr>
        <w:t xml:space="preserve">the </w:t>
      </w:r>
      <w:r w:rsidR="00B245FD" w:rsidRPr="006017A4">
        <w:rPr>
          <w:rFonts w:eastAsia="Times New Roman"/>
          <w:color w:val="000000" w:themeColor="text1"/>
        </w:rPr>
        <w:t>Lao</w:t>
      </w:r>
      <w:r w:rsidR="000A0FAA" w:rsidRPr="006017A4">
        <w:rPr>
          <w:rFonts w:eastAsia="Times New Roman"/>
          <w:color w:val="000000" w:themeColor="text1"/>
        </w:rPr>
        <w:t xml:space="preserve"> PDR</w:t>
      </w:r>
      <w:r w:rsidR="00B245FD" w:rsidRPr="006017A4">
        <w:rPr>
          <w:rFonts w:eastAsia="Times New Roman"/>
          <w:color w:val="000000" w:themeColor="text1"/>
        </w:rPr>
        <w:t xml:space="preserve"> </w:t>
      </w:r>
      <w:r w:rsidRPr="006017A4">
        <w:rPr>
          <w:rFonts w:eastAsia="Times New Roman"/>
          <w:color w:val="000000" w:themeColor="text1"/>
        </w:rPr>
        <w:t>from July 201</w:t>
      </w:r>
      <w:r w:rsidR="00580A64" w:rsidRPr="006017A4">
        <w:rPr>
          <w:rFonts w:eastAsia="Times New Roman"/>
          <w:color w:val="000000" w:themeColor="text1"/>
        </w:rPr>
        <w:t>7</w:t>
      </w:r>
      <w:r w:rsidRPr="006017A4">
        <w:rPr>
          <w:rFonts w:eastAsia="Times New Roman"/>
          <w:color w:val="000000" w:themeColor="text1"/>
        </w:rPr>
        <w:t xml:space="preserve"> to June 201</w:t>
      </w:r>
      <w:r w:rsidR="00580A64" w:rsidRPr="006017A4">
        <w:rPr>
          <w:rFonts w:eastAsia="Times New Roman"/>
          <w:color w:val="000000" w:themeColor="text1"/>
        </w:rPr>
        <w:t>8</w:t>
      </w:r>
      <w:r w:rsidRPr="006017A4">
        <w:rPr>
          <w:rFonts w:eastAsia="Times New Roman"/>
          <w:color w:val="000000" w:themeColor="text1"/>
        </w:rPr>
        <w:t xml:space="preserve"> against the</w:t>
      </w:r>
      <w:r w:rsidR="00B245FD" w:rsidRPr="006017A4">
        <w:rPr>
          <w:rFonts w:eastAsia="Times New Roman"/>
          <w:color w:val="000000" w:themeColor="text1"/>
        </w:rPr>
        <w:t xml:space="preserve"> </w:t>
      </w:r>
      <w:r w:rsidR="00B245FD" w:rsidRPr="006017A4">
        <w:rPr>
          <w:rFonts w:eastAsia="Times New Roman"/>
          <w:i/>
          <w:color w:val="000000" w:themeColor="text1"/>
        </w:rPr>
        <w:t>Laos</w:t>
      </w:r>
      <w:r w:rsidRPr="006017A4">
        <w:rPr>
          <w:rFonts w:eastAsia="Times New Roman"/>
          <w:i/>
          <w:color w:val="000000" w:themeColor="text1"/>
        </w:rPr>
        <w:t xml:space="preserve"> Aid Investment Plan</w:t>
      </w:r>
      <w:r w:rsidR="00A35B9E" w:rsidRPr="006017A4">
        <w:rPr>
          <w:rFonts w:eastAsia="Times New Roman"/>
          <w:i/>
          <w:color w:val="000000" w:themeColor="text1"/>
        </w:rPr>
        <w:t xml:space="preserve"> 2015-16 to 2019-20</w:t>
      </w:r>
      <w:r w:rsidR="00A665DC" w:rsidRPr="006017A4">
        <w:rPr>
          <w:rFonts w:eastAsia="Times New Roman"/>
          <w:color w:val="000000" w:themeColor="text1"/>
        </w:rPr>
        <w:t xml:space="preserve"> (AIP)</w:t>
      </w:r>
      <w:r w:rsidR="00A35B9E" w:rsidRPr="006017A4">
        <w:rPr>
          <w:rFonts w:eastAsia="Times New Roman"/>
          <w:color w:val="000000" w:themeColor="text1"/>
        </w:rPr>
        <w:t xml:space="preserve">. </w:t>
      </w:r>
    </w:p>
    <w:p w:rsidR="00434098" w:rsidRPr="006017A4" w:rsidRDefault="00E75871" w:rsidP="00434098">
      <w:pPr>
        <w:spacing w:before="240" w:line="240" w:lineRule="auto"/>
        <w:rPr>
          <w:color w:val="000000" w:themeColor="text1"/>
        </w:rPr>
      </w:pPr>
      <w:r w:rsidRPr="006017A4">
        <w:rPr>
          <w:rFonts w:eastAsia="Times New Roman"/>
          <w:color w:val="000000" w:themeColor="text1"/>
        </w:rPr>
        <w:t xml:space="preserve">Laos is uniquely positioned in the region – land-locked </w:t>
      </w:r>
      <w:r w:rsidR="00EF27B0" w:rsidRPr="006017A4">
        <w:rPr>
          <w:rFonts w:eastAsia="Times New Roman"/>
          <w:color w:val="000000" w:themeColor="text1"/>
        </w:rPr>
        <w:t xml:space="preserve">and </w:t>
      </w:r>
      <w:r w:rsidRPr="006017A4">
        <w:rPr>
          <w:rFonts w:eastAsia="Times New Roman"/>
          <w:color w:val="000000" w:themeColor="text1"/>
        </w:rPr>
        <w:t>surrounded by five neighbouring countries including Vietnam and China.</w:t>
      </w:r>
      <w:r w:rsidR="00EF27B0" w:rsidRPr="006017A4">
        <w:rPr>
          <w:rFonts w:eastAsia="Times New Roman"/>
          <w:color w:val="000000" w:themeColor="text1"/>
        </w:rPr>
        <w:t xml:space="preserve">  As a member of ASEAN, Laos hopes to benefit from the growth </w:t>
      </w:r>
      <w:r w:rsidR="001F222C" w:rsidRPr="006017A4">
        <w:rPr>
          <w:rFonts w:eastAsia="Times New Roman"/>
          <w:color w:val="000000" w:themeColor="text1"/>
        </w:rPr>
        <w:t>by its neighbours</w:t>
      </w:r>
      <w:r w:rsidR="0020434E" w:rsidRPr="006017A4">
        <w:rPr>
          <w:rFonts w:eastAsia="Times New Roman"/>
          <w:color w:val="000000" w:themeColor="text1"/>
        </w:rPr>
        <w:t xml:space="preserve"> </w:t>
      </w:r>
      <w:r w:rsidR="00EF27B0" w:rsidRPr="006017A4">
        <w:rPr>
          <w:rFonts w:eastAsia="Times New Roman"/>
          <w:color w:val="000000" w:themeColor="text1"/>
        </w:rPr>
        <w:t>however currently remains challenged by an unskilled workforce</w:t>
      </w:r>
      <w:r w:rsidR="001F222C" w:rsidRPr="006017A4">
        <w:rPr>
          <w:rFonts w:eastAsia="Times New Roman"/>
          <w:color w:val="000000" w:themeColor="text1"/>
        </w:rPr>
        <w:t>, little economic growth in rural areas (where the impacts of floods and droughts are the highest)</w:t>
      </w:r>
      <w:r w:rsidR="00EF27B0" w:rsidRPr="006017A4">
        <w:rPr>
          <w:rFonts w:eastAsia="Times New Roman"/>
          <w:color w:val="000000" w:themeColor="text1"/>
        </w:rPr>
        <w:t xml:space="preserve"> and poverty challenges </w:t>
      </w:r>
      <w:r w:rsidR="00F326E2" w:rsidRPr="006017A4">
        <w:rPr>
          <w:rFonts w:eastAsia="Times New Roman"/>
          <w:color w:val="000000" w:themeColor="text1"/>
        </w:rPr>
        <w:t>reflected in</w:t>
      </w:r>
      <w:r w:rsidR="00EF27B0" w:rsidRPr="006017A4">
        <w:rPr>
          <w:rFonts w:eastAsia="Times New Roman"/>
          <w:color w:val="000000" w:themeColor="text1"/>
        </w:rPr>
        <w:t xml:space="preserve"> </w:t>
      </w:r>
      <w:r w:rsidR="00F326E2" w:rsidRPr="006017A4">
        <w:rPr>
          <w:rFonts w:eastAsia="Times New Roman"/>
          <w:color w:val="000000" w:themeColor="text1"/>
        </w:rPr>
        <w:t xml:space="preserve">its </w:t>
      </w:r>
      <w:r w:rsidR="00EF27B0" w:rsidRPr="006017A4">
        <w:rPr>
          <w:rFonts w:eastAsia="Times New Roman"/>
          <w:color w:val="000000" w:themeColor="text1"/>
        </w:rPr>
        <w:t>Least Develo</w:t>
      </w:r>
      <w:r w:rsidR="001F222C" w:rsidRPr="006017A4">
        <w:rPr>
          <w:rFonts w:eastAsia="Times New Roman"/>
          <w:color w:val="000000" w:themeColor="text1"/>
        </w:rPr>
        <w:t xml:space="preserve">ped Country </w:t>
      </w:r>
      <w:r w:rsidR="00C6449E">
        <w:rPr>
          <w:rFonts w:eastAsia="Times New Roman"/>
          <w:color w:val="000000" w:themeColor="text1"/>
        </w:rPr>
        <w:t xml:space="preserve">(LDC) </w:t>
      </w:r>
      <w:r w:rsidR="001F222C" w:rsidRPr="006017A4">
        <w:rPr>
          <w:rFonts w:eastAsia="Times New Roman"/>
          <w:color w:val="000000" w:themeColor="text1"/>
        </w:rPr>
        <w:t>status.</w:t>
      </w:r>
      <w:r w:rsidR="006017A4">
        <w:rPr>
          <w:rFonts w:eastAsia="Times New Roman"/>
          <w:color w:val="000000" w:themeColor="text1"/>
        </w:rPr>
        <w:t xml:space="preserve"> </w:t>
      </w:r>
      <w:r w:rsidR="00434098">
        <w:rPr>
          <w:color w:val="000000" w:themeColor="text1"/>
        </w:rPr>
        <w:t>Human development remains challenging with 23 per cent of people living in poverty, 33 per cent of children under 5 are stunted, and women and girls lag behind in access to education and health and economic opportunities.</w:t>
      </w:r>
    </w:p>
    <w:p w:rsidR="001F222C" w:rsidRPr="006017A4" w:rsidRDefault="001F222C" w:rsidP="001F222C">
      <w:pPr>
        <w:spacing w:before="240" w:line="240" w:lineRule="auto"/>
        <w:rPr>
          <w:color w:val="000000" w:themeColor="text1"/>
        </w:rPr>
      </w:pPr>
      <w:r w:rsidRPr="006017A4">
        <w:rPr>
          <w:rFonts w:eastAsia="Times New Roman"/>
          <w:color w:val="000000" w:themeColor="text1"/>
        </w:rPr>
        <w:t>Overall, L</w:t>
      </w:r>
      <w:r w:rsidR="00EF27B0" w:rsidRPr="006017A4">
        <w:rPr>
          <w:color w:val="000000" w:themeColor="text1"/>
        </w:rPr>
        <w:t xml:space="preserve">ao PDR’s GDP growth slightly decelerated to 6.9 percent in 2017, but remained robust. </w:t>
      </w:r>
      <w:r w:rsidR="006017A4">
        <w:rPr>
          <w:color w:val="000000" w:themeColor="text1"/>
        </w:rPr>
        <w:t xml:space="preserve"> </w:t>
      </w:r>
      <w:r w:rsidRPr="006017A4">
        <w:rPr>
          <w:color w:val="000000" w:themeColor="text1"/>
        </w:rPr>
        <w:t>The Lao G</w:t>
      </w:r>
      <w:r w:rsidR="00EF27B0" w:rsidRPr="006017A4">
        <w:rPr>
          <w:color w:val="000000" w:themeColor="text1"/>
        </w:rPr>
        <w:t>overnment has taken some measures to improve its fiscal position including by reducing public spending</w:t>
      </w:r>
      <w:r w:rsidR="00F326E2" w:rsidRPr="006017A4">
        <w:rPr>
          <w:color w:val="000000" w:themeColor="text1"/>
        </w:rPr>
        <w:t>, but</w:t>
      </w:r>
      <w:r w:rsidR="00EF27B0" w:rsidRPr="006017A4">
        <w:rPr>
          <w:color w:val="000000" w:themeColor="text1"/>
        </w:rPr>
        <w:t xml:space="preserve"> revenue</w:t>
      </w:r>
      <w:r w:rsidR="00F326E2" w:rsidRPr="006017A4">
        <w:rPr>
          <w:color w:val="000000" w:themeColor="text1"/>
        </w:rPr>
        <w:t xml:space="preserve"> remains static</w:t>
      </w:r>
      <w:r w:rsidR="00EF27B0" w:rsidRPr="006017A4">
        <w:rPr>
          <w:color w:val="000000" w:themeColor="text1"/>
        </w:rPr>
        <w:t xml:space="preserve">. </w:t>
      </w:r>
      <w:r w:rsidR="006017A4">
        <w:rPr>
          <w:color w:val="000000" w:themeColor="text1"/>
        </w:rPr>
        <w:t xml:space="preserve"> </w:t>
      </w:r>
      <w:r w:rsidR="00EF27B0" w:rsidRPr="006017A4">
        <w:rPr>
          <w:color w:val="000000" w:themeColor="text1"/>
        </w:rPr>
        <w:t>Laos continues to be a difficult place to do business, with its ranking falling to 141 out of 190 on the World Bank’s 2018 Ease of Doing Business index (compared to 134 in 2016)</w:t>
      </w:r>
      <w:r w:rsidR="006017A4">
        <w:rPr>
          <w:color w:val="000000" w:themeColor="text1"/>
        </w:rPr>
        <w:t>, although the Government of Laos</w:t>
      </w:r>
      <w:r w:rsidR="00F326E2" w:rsidRPr="006017A4">
        <w:rPr>
          <w:color w:val="000000" w:themeColor="text1"/>
        </w:rPr>
        <w:t xml:space="preserve"> has identified this as a priority reform area.</w:t>
      </w:r>
      <w:r w:rsidR="00B46AA6" w:rsidRPr="00B46AA6">
        <w:rPr>
          <w:color w:val="000000" w:themeColor="text1"/>
        </w:rPr>
        <w:t xml:space="preserve"> </w:t>
      </w:r>
    </w:p>
    <w:p w:rsidR="006017A4" w:rsidRPr="006017A4" w:rsidRDefault="006017A4" w:rsidP="006017A4">
      <w:pPr>
        <w:spacing w:before="240" w:line="240" w:lineRule="auto"/>
        <w:rPr>
          <w:rFonts w:eastAsia="Times New Roman"/>
          <w:color w:val="000000" w:themeColor="text1"/>
        </w:rPr>
      </w:pPr>
      <w:r w:rsidRPr="006017A4">
        <w:rPr>
          <w:color w:val="000000" w:themeColor="text1"/>
        </w:rPr>
        <w:t xml:space="preserve">Australia’s development assistance </w:t>
      </w:r>
      <w:r w:rsidR="00434098">
        <w:rPr>
          <w:color w:val="000000" w:themeColor="text1"/>
        </w:rPr>
        <w:t xml:space="preserve">to the Lao PDR </w:t>
      </w:r>
      <w:r w:rsidRPr="006017A4">
        <w:rPr>
          <w:color w:val="000000" w:themeColor="text1"/>
        </w:rPr>
        <w:t xml:space="preserve">is well regarded and valued by the Government and people of Laos due to our long-standing commitment to support key development priorities of Laos and the ASEAN region.  Australia is </w:t>
      </w:r>
      <w:r w:rsidR="009F3C9A">
        <w:rPr>
          <w:color w:val="000000" w:themeColor="text1"/>
        </w:rPr>
        <w:t>well-recognised</w:t>
      </w:r>
      <w:r w:rsidR="00434098">
        <w:rPr>
          <w:color w:val="000000" w:themeColor="text1"/>
        </w:rPr>
        <w:t xml:space="preserve"> </w:t>
      </w:r>
      <w:r w:rsidRPr="006017A4">
        <w:rPr>
          <w:color w:val="000000" w:themeColor="text1"/>
        </w:rPr>
        <w:t>for the quality, flexibility, responsiveness and relevance of our development assistance.  It is in Australia’s national interest to support Laos to reduce poverty and be a stable and growing economy in the region</w:t>
      </w:r>
      <w:r>
        <w:rPr>
          <w:color w:val="000000" w:themeColor="text1"/>
        </w:rPr>
        <w:t>.  Through the aid program in Laos key bilateral, regional and global programs are managed</w:t>
      </w:r>
      <w:r w:rsidRPr="006017A4">
        <w:rPr>
          <w:color w:val="000000" w:themeColor="text1"/>
        </w:rPr>
        <w:t xml:space="preserve">.  Australia’s </w:t>
      </w:r>
      <w:r w:rsidR="00FF487B">
        <w:rPr>
          <w:color w:val="000000" w:themeColor="text1"/>
        </w:rPr>
        <w:t xml:space="preserve">66 years of </w:t>
      </w:r>
      <w:r w:rsidRPr="006017A4">
        <w:rPr>
          <w:color w:val="000000" w:themeColor="text1"/>
        </w:rPr>
        <w:t>unbroken diplomatic ties, alongside the legacy of a large Australia Awards program, provide a wide network of now mid-</w:t>
      </w:r>
      <w:r w:rsidR="00A2179E">
        <w:rPr>
          <w:color w:val="000000" w:themeColor="text1"/>
        </w:rPr>
        <w:t xml:space="preserve"> to </w:t>
      </w:r>
      <w:r w:rsidRPr="006017A4">
        <w:rPr>
          <w:color w:val="000000" w:themeColor="text1"/>
        </w:rPr>
        <w:t>high</w:t>
      </w:r>
      <w:r w:rsidR="00A2179E">
        <w:rPr>
          <w:color w:val="000000" w:themeColor="text1"/>
        </w:rPr>
        <w:t>-</w:t>
      </w:r>
      <w:r w:rsidRPr="006017A4">
        <w:rPr>
          <w:color w:val="000000" w:themeColor="text1"/>
        </w:rPr>
        <w:t xml:space="preserve">level Government officials </w:t>
      </w:r>
      <w:r>
        <w:rPr>
          <w:color w:val="000000" w:themeColor="text1"/>
        </w:rPr>
        <w:t>(including at the Ministerial level)</w:t>
      </w:r>
      <w:r w:rsidR="009F3C9A">
        <w:rPr>
          <w:color w:val="000000" w:themeColor="text1"/>
        </w:rPr>
        <w:t xml:space="preserve"> well-disposed to Australia.  W</w:t>
      </w:r>
      <w:r w:rsidRPr="006017A4">
        <w:rPr>
          <w:color w:val="000000" w:themeColor="text1"/>
        </w:rPr>
        <w:t xml:space="preserve">e enjoy a close and productive relationship between Australia and the Lao PDR. </w:t>
      </w:r>
      <w:r>
        <w:rPr>
          <w:color w:val="000000" w:themeColor="text1"/>
        </w:rPr>
        <w:t xml:space="preserve"> </w:t>
      </w:r>
      <w:r w:rsidRPr="006017A4">
        <w:rPr>
          <w:color w:val="000000" w:themeColor="text1"/>
        </w:rPr>
        <w:t xml:space="preserve">   </w:t>
      </w:r>
    </w:p>
    <w:p w:rsidR="006017A4" w:rsidRDefault="0020434E" w:rsidP="00DC320A">
      <w:pPr>
        <w:spacing w:before="240" w:line="240" w:lineRule="auto"/>
        <w:rPr>
          <w:rFonts w:eastAsia="Times New Roman"/>
          <w:color w:val="000000" w:themeColor="text1"/>
        </w:rPr>
      </w:pPr>
      <w:r w:rsidRPr="006017A4">
        <w:rPr>
          <w:rFonts w:eastAsia="Times New Roman"/>
          <w:color w:val="000000" w:themeColor="text1"/>
        </w:rPr>
        <w:t>Australian aid contributes to poverty reduction and more equitable economic growth in Laos</w:t>
      </w:r>
      <w:r w:rsidR="00F326E2" w:rsidRPr="006017A4">
        <w:rPr>
          <w:rFonts w:eastAsia="Times New Roman"/>
          <w:color w:val="000000" w:themeColor="text1"/>
        </w:rPr>
        <w:t xml:space="preserve">. </w:t>
      </w:r>
      <w:r w:rsidRPr="006017A4">
        <w:rPr>
          <w:rFonts w:eastAsia="Times New Roman"/>
          <w:color w:val="000000" w:themeColor="text1"/>
        </w:rPr>
        <w:t xml:space="preserve"> </w:t>
      </w:r>
      <w:r w:rsidR="00F326E2" w:rsidRPr="006017A4">
        <w:rPr>
          <w:rFonts w:eastAsia="Times New Roman"/>
          <w:color w:val="000000" w:themeColor="text1"/>
        </w:rPr>
        <w:t xml:space="preserve">Our main </w:t>
      </w:r>
      <w:r w:rsidRPr="006017A4">
        <w:rPr>
          <w:rFonts w:eastAsia="Times New Roman"/>
          <w:color w:val="000000" w:themeColor="text1"/>
        </w:rPr>
        <w:t xml:space="preserve">investments </w:t>
      </w:r>
      <w:r w:rsidR="00F326E2" w:rsidRPr="006017A4">
        <w:rPr>
          <w:rFonts w:eastAsia="Times New Roman"/>
          <w:color w:val="000000" w:themeColor="text1"/>
        </w:rPr>
        <w:t xml:space="preserve">are </w:t>
      </w:r>
      <w:r w:rsidRPr="006017A4">
        <w:rPr>
          <w:rFonts w:eastAsia="Times New Roman"/>
          <w:color w:val="000000" w:themeColor="text1"/>
        </w:rPr>
        <w:t xml:space="preserve">in basic education, human </w:t>
      </w:r>
      <w:r w:rsidR="008D62DB">
        <w:rPr>
          <w:rFonts w:eastAsia="Times New Roman"/>
          <w:color w:val="000000" w:themeColor="text1"/>
        </w:rPr>
        <w:t xml:space="preserve">resource </w:t>
      </w:r>
      <w:r w:rsidRPr="006017A4">
        <w:rPr>
          <w:rFonts w:eastAsia="Times New Roman"/>
          <w:color w:val="000000" w:themeColor="text1"/>
        </w:rPr>
        <w:t>development and support for regional trade integration.</w:t>
      </w:r>
      <w:r w:rsidR="008D62DB">
        <w:rPr>
          <w:rFonts w:eastAsia="Times New Roman"/>
          <w:color w:val="000000" w:themeColor="text1"/>
        </w:rPr>
        <w:t xml:space="preserve"> Gender equality is a cross-program objective.</w:t>
      </w:r>
      <w:r w:rsidRPr="006017A4">
        <w:rPr>
          <w:rFonts w:eastAsia="Times New Roman"/>
          <w:color w:val="000000" w:themeColor="text1"/>
        </w:rPr>
        <w:t xml:space="preserve">  </w:t>
      </w:r>
      <w:r w:rsidR="00082D1F" w:rsidRPr="006017A4">
        <w:rPr>
          <w:rFonts w:eastAsia="Times New Roman"/>
          <w:color w:val="000000" w:themeColor="text1"/>
        </w:rPr>
        <w:t>Our education program builds on over 20 years</w:t>
      </w:r>
      <w:r w:rsidR="00E82935" w:rsidRPr="006017A4">
        <w:rPr>
          <w:rFonts w:eastAsia="Times New Roman"/>
          <w:color w:val="000000" w:themeColor="text1"/>
        </w:rPr>
        <w:t>’</w:t>
      </w:r>
      <w:r w:rsidR="00082D1F" w:rsidRPr="006017A4">
        <w:rPr>
          <w:rFonts w:eastAsia="Times New Roman"/>
          <w:color w:val="000000" w:themeColor="text1"/>
        </w:rPr>
        <w:t xml:space="preserve"> engagement to help more </w:t>
      </w:r>
      <w:r w:rsidR="00BF4308" w:rsidRPr="006017A4">
        <w:rPr>
          <w:rFonts w:eastAsia="Times New Roman"/>
          <w:color w:val="000000" w:themeColor="text1"/>
        </w:rPr>
        <w:t xml:space="preserve">girls and </w:t>
      </w:r>
      <w:r w:rsidR="00082D1F" w:rsidRPr="006017A4">
        <w:rPr>
          <w:rFonts w:eastAsia="Times New Roman"/>
          <w:color w:val="000000" w:themeColor="text1"/>
        </w:rPr>
        <w:t xml:space="preserve">boys, particularly in disadvantaged areas, leave the primary school system able to benefit from and contribute to Laos’ economic development. </w:t>
      </w:r>
      <w:r w:rsidR="00497FDC" w:rsidRPr="006017A4">
        <w:rPr>
          <w:rFonts w:eastAsia="Times New Roman"/>
          <w:color w:val="000000" w:themeColor="text1"/>
        </w:rPr>
        <w:t>The</w:t>
      </w:r>
      <w:r w:rsidR="00082D1F" w:rsidRPr="006017A4">
        <w:rPr>
          <w:rFonts w:eastAsia="Times New Roman"/>
          <w:color w:val="000000" w:themeColor="text1"/>
        </w:rPr>
        <w:t xml:space="preserve"> human resource development program addresses a crucial impediment to the competit</w:t>
      </w:r>
      <w:r w:rsidR="00497FDC" w:rsidRPr="006017A4">
        <w:rPr>
          <w:rFonts w:eastAsia="Times New Roman"/>
          <w:color w:val="000000" w:themeColor="text1"/>
        </w:rPr>
        <w:t>i</w:t>
      </w:r>
      <w:r w:rsidR="00082D1F" w:rsidRPr="006017A4">
        <w:rPr>
          <w:rFonts w:eastAsia="Times New Roman"/>
          <w:color w:val="000000" w:themeColor="text1"/>
        </w:rPr>
        <w:t>veness of Lao business and effective government service delivery.</w:t>
      </w:r>
      <w:r w:rsidR="00A35B9E" w:rsidRPr="006017A4">
        <w:rPr>
          <w:rFonts w:eastAsia="Times New Roman"/>
          <w:color w:val="000000" w:themeColor="text1"/>
        </w:rPr>
        <w:t xml:space="preserve"> </w:t>
      </w:r>
      <w:r w:rsidR="006017A4">
        <w:rPr>
          <w:rFonts w:eastAsia="Times New Roman"/>
          <w:color w:val="000000" w:themeColor="text1"/>
        </w:rPr>
        <w:t xml:space="preserve"> </w:t>
      </w:r>
      <w:r w:rsidR="00497FDC" w:rsidRPr="006017A4">
        <w:rPr>
          <w:rFonts w:eastAsia="Times New Roman"/>
          <w:color w:val="000000" w:themeColor="text1"/>
        </w:rPr>
        <w:t>Aid-for-trade support helps Laos integrate into global and regional markets, so</w:t>
      </w:r>
      <w:r w:rsidR="001C3240" w:rsidRPr="006017A4">
        <w:rPr>
          <w:rFonts w:eastAsia="Times New Roman"/>
          <w:color w:val="000000" w:themeColor="text1"/>
        </w:rPr>
        <w:t xml:space="preserve"> it</w:t>
      </w:r>
      <w:r w:rsidR="00497FDC" w:rsidRPr="006017A4">
        <w:rPr>
          <w:rFonts w:eastAsia="Times New Roman"/>
          <w:color w:val="000000" w:themeColor="text1"/>
        </w:rPr>
        <w:t xml:space="preserve"> can attract better quality private investment and take advantage of economic growth opportunities presented by the ASEAN Economic Community</w:t>
      </w:r>
      <w:r w:rsidR="00F326E2" w:rsidRPr="006017A4">
        <w:rPr>
          <w:rFonts w:eastAsia="Times New Roman"/>
          <w:color w:val="000000" w:themeColor="text1"/>
        </w:rPr>
        <w:t>.</w:t>
      </w:r>
    </w:p>
    <w:p w:rsidR="00097F54" w:rsidRPr="006017A4" w:rsidRDefault="005D5636" w:rsidP="00DC320A">
      <w:pPr>
        <w:spacing w:before="240" w:line="240" w:lineRule="auto"/>
        <w:rPr>
          <w:rFonts w:eastAsia="Times New Roman"/>
          <w:color w:val="000000" w:themeColor="text1"/>
        </w:rPr>
      </w:pPr>
      <w:r w:rsidRPr="006017A4">
        <w:rPr>
          <w:rFonts w:eastAsia="Times New Roman"/>
          <w:color w:val="000000" w:themeColor="text1"/>
        </w:rPr>
        <w:t xml:space="preserve">The AIP is </w:t>
      </w:r>
      <w:r w:rsidR="008560AE" w:rsidRPr="006017A4">
        <w:rPr>
          <w:rFonts w:eastAsia="Times New Roman"/>
          <w:color w:val="000000" w:themeColor="text1"/>
        </w:rPr>
        <w:t>well-</w:t>
      </w:r>
      <w:r w:rsidR="004A6696" w:rsidRPr="006017A4">
        <w:rPr>
          <w:rFonts w:eastAsia="Times New Roman"/>
          <w:color w:val="000000" w:themeColor="text1"/>
        </w:rPr>
        <w:t>a</w:t>
      </w:r>
      <w:r w:rsidRPr="006017A4">
        <w:rPr>
          <w:rFonts w:eastAsia="Times New Roman"/>
          <w:color w:val="000000" w:themeColor="text1"/>
        </w:rPr>
        <w:t xml:space="preserve">ligned with Laos’ eighth </w:t>
      </w:r>
      <w:r w:rsidRPr="006017A4">
        <w:rPr>
          <w:rFonts w:eastAsia="Times New Roman"/>
          <w:i/>
          <w:color w:val="000000" w:themeColor="text1"/>
        </w:rPr>
        <w:t>National Socio-Economic Development Plan</w:t>
      </w:r>
      <w:r w:rsidR="00EA0708" w:rsidRPr="006017A4">
        <w:rPr>
          <w:rFonts w:eastAsia="Times New Roman"/>
          <w:i/>
          <w:color w:val="000000" w:themeColor="text1"/>
        </w:rPr>
        <w:t xml:space="preserve"> 2016-20</w:t>
      </w:r>
      <w:r w:rsidR="00143278" w:rsidRPr="006017A4">
        <w:rPr>
          <w:rFonts w:eastAsia="Times New Roman"/>
          <w:color w:val="000000" w:themeColor="text1"/>
        </w:rPr>
        <w:t xml:space="preserve"> and</w:t>
      </w:r>
      <w:r w:rsidRPr="006017A4">
        <w:rPr>
          <w:rFonts w:eastAsia="Times New Roman"/>
          <w:color w:val="000000" w:themeColor="text1"/>
        </w:rPr>
        <w:t xml:space="preserve"> support provided by other donor</w:t>
      </w:r>
      <w:r w:rsidR="004A6696" w:rsidRPr="006017A4">
        <w:rPr>
          <w:rFonts w:eastAsia="Times New Roman"/>
          <w:color w:val="000000" w:themeColor="text1"/>
        </w:rPr>
        <w:t>s</w:t>
      </w:r>
      <w:r w:rsidR="00143278" w:rsidRPr="006017A4">
        <w:rPr>
          <w:rFonts w:eastAsia="Times New Roman"/>
          <w:color w:val="000000" w:themeColor="text1"/>
        </w:rPr>
        <w:t>.</w:t>
      </w:r>
      <w:r w:rsidR="006017A4">
        <w:rPr>
          <w:rFonts w:eastAsia="Times New Roman"/>
          <w:color w:val="000000" w:themeColor="text1"/>
        </w:rPr>
        <w:t xml:space="preserve"> </w:t>
      </w:r>
      <w:r w:rsidR="00143278" w:rsidRPr="006017A4">
        <w:rPr>
          <w:rFonts w:eastAsia="Times New Roman"/>
          <w:color w:val="000000" w:themeColor="text1"/>
        </w:rPr>
        <w:t xml:space="preserve"> </w:t>
      </w:r>
      <w:r w:rsidR="00E75871" w:rsidRPr="006017A4">
        <w:rPr>
          <w:color w:val="000000" w:themeColor="text1"/>
          <w:lang w:val="en-AU"/>
        </w:rPr>
        <w:t xml:space="preserve">The priorities of the AIP for Laos remain </w:t>
      </w:r>
      <w:r w:rsidR="00434098">
        <w:rPr>
          <w:color w:val="000000" w:themeColor="text1"/>
          <w:lang w:val="en-AU"/>
        </w:rPr>
        <w:t>relevant</w:t>
      </w:r>
      <w:r w:rsidR="00E75871" w:rsidRPr="006017A4">
        <w:rPr>
          <w:color w:val="000000" w:themeColor="text1"/>
          <w:lang w:val="en-AU"/>
        </w:rPr>
        <w:t xml:space="preserve"> and provide a strong base for contributing to Australia’s interests in promoting a stable, prosperous and resilient Southeast Asia region. </w:t>
      </w:r>
      <w:r w:rsidR="001F222C" w:rsidRPr="006017A4">
        <w:rPr>
          <w:color w:val="000000" w:themeColor="text1"/>
          <w:lang w:val="en-AU"/>
        </w:rPr>
        <w:t xml:space="preserve"> </w:t>
      </w:r>
    </w:p>
    <w:p w:rsidR="00184F1E" w:rsidRPr="002A51CA" w:rsidRDefault="00184F1E" w:rsidP="004B02FA">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Expenditure</w:t>
      </w:r>
    </w:p>
    <w:p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9E7B7A">
        <w:rPr>
          <w:b/>
          <w:noProof/>
          <w:sz w:val="24"/>
        </w:rPr>
        <w:t>1</w:t>
      </w:r>
      <w:r w:rsidRPr="008C2F58">
        <w:rPr>
          <w:b/>
          <w:noProof/>
          <w:sz w:val="24"/>
        </w:rPr>
        <w:fldChar w:fldCharType="end"/>
      </w:r>
      <w:r w:rsidRPr="008C2F58">
        <w:rPr>
          <w:b/>
          <w:sz w:val="24"/>
        </w:rPr>
        <w:t xml:space="preserve"> Total ODA Expenditure in FY 201</w:t>
      </w:r>
      <w:r w:rsidR="00580A64">
        <w:rPr>
          <w:b/>
          <w:sz w:val="24"/>
        </w:rPr>
        <w:t>7</w:t>
      </w:r>
      <w:r w:rsidRPr="008C2F58">
        <w:rPr>
          <w:b/>
          <w:sz w:val="24"/>
        </w:rPr>
        <w:t>-1</w:t>
      </w:r>
      <w:r w:rsidR="00580A64">
        <w:rPr>
          <w:b/>
          <w:sz w:val="24"/>
        </w:rPr>
        <w:t>8</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Tr="00CD1652">
        <w:tc>
          <w:tcPr>
            <w:tcW w:w="6374" w:type="dxa"/>
          </w:tcPr>
          <w:p w:rsidR="00CD1652" w:rsidRDefault="00CD1652" w:rsidP="00CF4106">
            <w:pPr>
              <w:spacing w:before="60"/>
              <w:rPr>
                <w:b/>
                <w:sz w:val="24"/>
              </w:rPr>
            </w:pPr>
            <w:r w:rsidRPr="00BE6C6D">
              <w:rPr>
                <w:sz w:val="20"/>
              </w:rPr>
              <w:t>Objective</w:t>
            </w:r>
          </w:p>
        </w:tc>
        <w:tc>
          <w:tcPr>
            <w:tcW w:w="1423" w:type="dxa"/>
          </w:tcPr>
          <w:p w:rsidR="00CD1652" w:rsidRDefault="00CD1652" w:rsidP="00CF4106">
            <w:pPr>
              <w:spacing w:before="60"/>
              <w:jc w:val="center"/>
              <w:rPr>
                <w:b/>
                <w:sz w:val="24"/>
              </w:rPr>
            </w:pPr>
            <w:r w:rsidRPr="00BE6C6D">
              <w:rPr>
                <w:sz w:val="20"/>
              </w:rPr>
              <w:t>A$ million</w:t>
            </w:r>
          </w:p>
        </w:tc>
        <w:tc>
          <w:tcPr>
            <w:tcW w:w="1417" w:type="dxa"/>
          </w:tcPr>
          <w:p w:rsidR="00CD1652" w:rsidRDefault="00CD1652" w:rsidP="00CF4106">
            <w:pPr>
              <w:spacing w:before="60"/>
              <w:jc w:val="center"/>
              <w:rPr>
                <w:b/>
                <w:sz w:val="24"/>
              </w:rPr>
            </w:pPr>
            <w:r w:rsidRPr="00BE6C6D">
              <w:rPr>
                <w:sz w:val="20"/>
              </w:rPr>
              <w:t>% of total ODA</w:t>
            </w:r>
          </w:p>
        </w:tc>
      </w:tr>
      <w:tr w:rsidR="00CD1652" w:rsidRPr="00BF4308" w:rsidTr="00CD1652">
        <w:tc>
          <w:tcPr>
            <w:tcW w:w="6374" w:type="dxa"/>
          </w:tcPr>
          <w:p w:rsidR="00CD1652" w:rsidRDefault="00CD1652" w:rsidP="00CF4106">
            <w:pPr>
              <w:spacing w:before="60"/>
              <w:rPr>
                <w:b/>
                <w:sz w:val="24"/>
              </w:rPr>
            </w:pPr>
            <w:r w:rsidRPr="00BE6C6D">
              <w:rPr>
                <w:sz w:val="20"/>
              </w:rPr>
              <w:lastRenderedPageBreak/>
              <w:t>Objective 1</w:t>
            </w:r>
            <w:r w:rsidR="00BF4308">
              <w:rPr>
                <w:sz w:val="20"/>
              </w:rPr>
              <w:t>: More disadvantaged girls and boys complete a quality basic education.</w:t>
            </w:r>
          </w:p>
        </w:tc>
        <w:tc>
          <w:tcPr>
            <w:tcW w:w="1423" w:type="dxa"/>
          </w:tcPr>
          <w:p w:rsidR="00CD1652" w:rsidRPr="00BF4308" w:rsidRDefault="00BF4308" w:rsidP="00CF4106">
            <w:pPr>
              <w:spacing w:before="60"/>
              <w:jc w:val="center"/>
              <w:rPr>
                <w:sz w:val="20"/>
              </w:rPr>
            </w:pPr>
            <w:r w:rsidRPr="00BF4308">
              <w:rPr>
                <w:sz w:val="20"/>
              </w:rPr>
              <w:t>$8.8</w:t>
            </w:r>
            <w:r>
              <w:rPr>
                <w:sz w:val="20"/>
              </w:rPr>
              <w:t>m</w:t>
            </w:r>
          </w:p>
        </w:tc>
        <w:tc>
          <w:tcPr>
            <w:tcW w:w="1417" w:type="dxa"/>
          </w:tcPr>
          <w:p w:rsidR="00CD1652" w:rsidRPr="00BF4308" w:rsidRDefault="00BF4308" w:rsidP="00CF4106">
            <w:pPr>
              <w:spacing w:before="60"/>
              <w:jc w:val="center"/>
              <w:rPr>
                <w:sz w:val="20"/>
              </w:rPr>
            </w:pPr>
            <w:r>
              <w:rPr>
                <w:sz w:val="20"/>
              </w:rPr>
              <w:t>39%</w:t>
            </w:r>
          </w:p>
        </w:tc>
      </w:tr>
      <w:tr w:rsidR="00CD1652" w:rsidRPr="00BF4308" w:rsidTr="00CD1652">
        <w:tc>
          <w:tcPr>
            <w:tcW w:w="6374" w:type="dxa"/>
          </w:tcPr>
          <w:p w:rsidR="00CD1652" w:rsidRDefault="00CD1652" w:rsidP="00CF4106">
            <w:pPr>
              <w:spacing w:before="60"/>
              <w:rPr>
                <w:b/>
                <w:sz w:val="24"/>
              </w:rPr>
            </w:pPr>
            <w:r w:rsidRPr="00BE6C6D">
              <w:rPr>
                <w:sz w:val="20"/>
              </w:rPr>
              <w:t>Objective 2</w:t>
            </w:r>
            <w:r w:rsidR="00BF4308">
              <w:rPr>
                <w:sz w:val="20"/>
              </w:rPr>
              <w:t>: Improving Laos’ human resources through scholarships, training and organisational capacity building.</w:t>
            </w:r>
          </w:p>
        </w:tc>
        <w:tc>
          <w:tcPr>
            <w:tcW w:w="1423" w:type="dxa"/>
          </w:tcPr>
          <w:p w:rsidR="00CD1652" w:rsidRPr="00BF4308" w:rsidRDefault="00BF4308" w:rsidP="00CF4106">
            <w:pPr>
              <w:spacing w:before="60"/>
              <w:jc w:val="center"/>
              <w:rPr>
                <w:sz w:val="20"/>
              </w:rPr>
            </w:pPr>
            <w:r>
              <w:rPr>
                <w:sz w:val="20"/>
              </w:rPr>
              <w:t>$9.0m</w:t>
            </w:r>
          </w:p>
        </w:tc>
        <w:tc>
          <w:tcPr>
            <w:tcW w:w="1417" w:type="dxa"/>
          </w:tcPr>
          <w:p w:rsidR="00CD1652" w:rsidRPr="00BF4308" w:rsidRDefault="00BF4308" w:rsidP="00CF4106">
            <w:pPr>
              <w:spacing w:before="60"/>
              <w:jc w:val="center"/>
              <w:rPr>
                <w:sz w:val="20"/>
              </w:rPr>
            </w:pPr>
            <w:r>
              <w:rPr>
                <w:sz w:val="20"/>
              </w:rPr>
              <w:t>40%</w:t>
            </w:r>
          </w:p>
        </w:tc>
      </w:tr>
      <w:tr w:rsidR="00CD1652" w:rsidRPr="00BF4308" w:rsidTr="00CD1652">
        <w:tc>
          <w:tcPr>
            <w:tcW w:w="6374" w:type="dxa"/>
          </w:tcPr>
          <w:p w:rsidR="00CD1652" w:rsidRDefault="00CD1652" w:rsidP="00CF4106">
            <w:pPr>
              <w:spacing w:before="60"/>
              <w:rPr>
                <w:b/>
                <w:sz w:val="24"/>
              </w:rPr>
            </w:pPr>
            <w:r w:rsidRPr="00BE6C6D">
              <w:rPr>
                <w:sz w:val="20"/>
              </w:rPr>
              <w:t>Objective 3</w:t>
            </w:r>
            <w:r w:rsidR="00BF4308">
              <w:rPr>
                <w:sz w:val="20"/>
              </w:rPr>
              <w:t>: A stronger trade regime and more competitive private sector.</w:t>
            </w:r>
          </w:p>
        </w:tc>
        <w:tc>
          <w:tcPr>
            <w:tcW w:w="1423" w:type="dxa"/>
          </w:tcPr>
          <w:p w:rsidR="00CD1652" w:rsidRPr="00BF4308" w:rsidRDefault="00BF4308" w:rsidP="00CF4106">
            <w:pPr>
              <w:spacing w:before="60"/>
              <w:jc w:val="center"/>
              <w:rPr>
                <w:sz w:val="20"/>
              </w:rPr>
            </w:pPr>
            <w:r>
              <w:rPr>
                <w:sz w:val="20"/>
              </w:rPr>
              <w:t>$1.6m</w:t>
            </w:r>
          </w:p>
        </w:tc>
        <w:tc>
          <w:tcPr>
            <w:tcW w:w="1417" w:type="dxa"/>
          </w:tcPr>
          <w:p w:rsidR="00CD1652" w:rsidRPr="00BF4308" w:rsidRDefault="00BF4308" w:rsidP="00CF4106">
            <w:pPr>
              <w:spacing w:before="60"/>
              <w:jc w:val="center"/>
              <w:rPr>
                <w:sz w:val="20"/>
              </w:rPr>
            </w:pPr>
            <w:r>
              <w:rPr>
                <w:sz w:val="20"/>
              </w:rPr>
              <w:t>7%</w:t>
            </w:r>
          </w:p>
        </w:tc>
      </w:tr>
      <w:tr w:rsidR="00BF4308" w:rsidRPr="00BF4308" w:rsidTr="00BF4308">
        <w:tc>
          <w:tcPr>
            <w:tcW w:w="6374" w:type="dxa"/>
            <w:tcBorders>
              <w:bottom w:val="nil"/>
            </w:tcBorders>
          </w:tcPr>
          <w:p w:rsidR="00BF4308" w:rsidRPr="00BE6C6D" w:rsidRDefault="00BF4308" w:rsidP="00CF4106">
            <w:pPr>
              <w:spacing w:before="60"/>
              <w:rPr>
                <w:sz w:val="20"/>
              </w:rPr>
            </w:pPr>
            <w:r>
              <w:rPr>
                <w:sz w:val="20"/>
              </w:rPr>
              <w:t>Legacy rural development programs</w:t>
            </w:r>
          </w:p>
        </w:tc>
        <w:tc>
          <w:tcPr>
            <w:tcW w:w="1423" w:type="dxa"/>
            <w:tcBorders>
              <w:bottom w:val="nil"/>
            </w:tcBorders>
          </w:tcPr>
          <w:p w:rsidR="00BF4308" w:rsidRDefault="00BF4308" w:rsidP="00CF4106">
            <w:pPr>
              <w:spacing w:before="60"/>
              <w:jc w:val="center"/>
              <w:rPr>
                <w:sz w:val="20"/>
              </w:rPr>
            </w:pPr>
            <w:r>
              <w:rPr>
                <w:sz w:val="20"/>
              </w:rPr>
              <w:t>$0.5m</w:t>
            </w:r>
          </w:p>
        </w:tc>
        <w:tc>
          <w:tcPr>
            <w:tcW w:w="1417" w:type="dxa"/>
            <w:tcBorders>
              <w:bottom w:val="nil"/>
            </w:tcBorders>
          </w:tcPr>
          <w:p w:rsidR="00BF4308" w:rsidRDefault="00BF4308" w:rsidP="00CF4106">
            <w:pPr>
              <w:spacing w:before="60"/>
              <w:jc w:val="center"/>
              <w:rPr>
                <w:sz w:val="20"/>
              </w:rPr>
            </w:pPr>
            <w:r>
              <w:rPr>
                <w:sz w:val="20"/>
              </w:rPr>
              <w:t>3%</w:t>
            </w:r>
          </w:p>
        </w:tc>
      </w:tr>
      <w:tr w:rsidR="00BF4308" w:rsidRPr="00BF4308" w:rsidTr="00BF4308">
        <w:tc>
          <w:tcPr>
            <w:tcW w:w="6374" w:type="dxa"/>
            <w:tcBorders>
              <w:top w:val="nil"/>
              <w:bottom w:val="single" w:sz="4" w:space="0" w:color="auto"/>
            </w:tcBorders>
          </w:tcPr>
          <w:p w:rsidR="00BF4308" w:rsidRPr="00BE6C6D" w:rsidRDefault="00BF4308" w:rsidP="00CF4106">
            <w:pPr>
              <w:spacing w:before="60"/>
              <w:rPr>
                <w:sz w:val="20"/>
              </w:rPr>
            </w:pPr>
            <w:r>
              <w:rPr>
                <w:sz w:val="20"/>
              </w:rPr>
              <w:t>Cross-cutting programs</w:t>
            </w:r>
          </w:p>
        </w:tc>
        <w:tc>
          <w:tcPr>
            <w:tcW w:w="1423" w:type="dxa"/>
            <w:tcBorders>
              <w:top w:val="nil"/>
              <w:bottom w:val="single" w:sz="4" w:space="0" w:color="auto"/>
            </w:tcBorders>
          </w:tcPr>
          <w:p w:rsidR="00BF4308" w:rsidRDefault="00BF4308" w:rsidP="00CF4106">
            <w:pPr>
              <w:spacing w:before="60"/>
              <w:jc w:val="center"/>
              <w:rPr>
                <w:sz w:val="20"/>
              </w:rPr>
            </w:pPr>
            <w:r>
              <w:rPr>
                <w:sz w:val="20"/>
              </w:rPr>
              <w:t>$2.1m</w:t>
            </w:r>
          </w:p>
        </w:tc>
        <w:tc>
          <w:tcPr>
            <w:tcW w:w="1417" w:type="dxa"/>
            <w:tcBorders>
              <w:top w:val="nil"/>
              <w:bottom w:val="single" w:sz="4" w:space="0" w:color="auto"/>
            </w:tcBorders>
          </w:tcPr>
          <w:p w:rsidR="00BF4308" w:rsidRDefault="00BF4308" w:rsidP="00CF4106">
            <w:pPr>
              <w:spacing w:before="60"/>
              <w:jc w:val="center"/>
              <w:rPr>
                <w:sz w:val="20"/>
              </w:rPr>
            </w:pPr>
            <w:r>
              <w:rPr>
                <w:sz w:val="20"/>
              </w:rPr>
              <w:t>10%</w:t>
            </w:r>
          </w:p>
        </w:tc>
      </w:tr>
      <w:tr w:rsidR="00CD1652" w:rsidRPr="00BF4308" w:rsidTr="00BF4308">
        <w:tc>
          <w:tcPr>
            <w:tcW w:w="6374" w:type="dxa"/>
            <w:tcBorders>
              <w:top w:val="single" w:sz="4" w:space="0" w:color="auto"/>
            </w:tcBorders>
          </w:tcPr>
          <w:p w:rsidR="00CD1652" w:rsidRDefault="00CD1652" w:rsidP="00CF4106">
            <w:pPr>
              <w:spacing w:before="60"/>
              <w:rPr>
                <w:b/>
                <w:sz w:val="24"/>
              </w:rPr>
            </w:pPr>
            <w:r w:rsidRPr="00BE6C6D">
              <w:rPr>
                <w:sz w:val="20"/>
              </w:rPr>
              <w:t>Sub-Total Bilateral</w:t>
            </w:r>
          </w:p>
        </w:tc>
        <w:tc>
          <w:tcPr>
            <w:tcW w:w="1423" w:type="dxa"/>
            <w:tcBorders>
              <w:top w:val="single" w:sz="4" w:space="0" w:color="auto"/>
            </w:tcBorders>
          </w:tcPr>
          <w:p w:rsidR="00CD1652" w:rsidRPr="00BF4308" w:rsidRDefault="00BF4308" w:rsidP="00CF4106">
            <w:pPr>
              <w:spacing w:before="60"/>
              <w:jc w:val="center"/>
              <w:rPr>
                <w:sz w:val="20"/>
              </w:rPr>
            </w:pPr>
            <w:r>
              <w:rPr>
                <w:sz w:val="20"/>
              </w:rPr>
              <w:t>$22.2m</w:t>
            </w:r>
          </w:p>
        </w:tc>
        <w:tc>
          <w:tcPr>
            <w:tcW w:w="1417" w:type="dxa"/>
            <w:tcBorders>
              <w:top w:val="single" w:sz="4" w:space="0" w:color="auto"/>
            </w:tcBorders>
          </w:tcPr>
          <w:p w:rsidR="00CD1652" w:rsidRPr="00BF4308" w:rsidRDefault="00BF4308" w:rsidP="00CF4106">
            <w:pPr>
              <w:spacing w:before="60"/>
              <w:jc w:val="center"/>
              <w:rPr>
                <w:sz w:val="20"/>
              </w:rPr>
            </w:pPr>
            <w:r>
              <w:rPr>
                <w:sz w:val="20"/>
              </w:rPr>
              <w:t>52.2%</w:t>
            </w:r>
          </w:p>
        </w:tc>
      </w:tr>
      <w:tr w:rsidR="00CD1652" w:rsidRPr="00BF4308" w:rsidTr="00CD1652">
        <w:tc>
          <w:tcPr>
            <w:tcW w:w="6374" w:type="dxa"/>
          </w:tcPr>
          <w:p w:rsidR="00CD1652" w:rsidRDefault="00CD1652" w:rsidP="00CF4106">
            <w:pPr>
              <w:spacing w:before="60"/>
              <w:rPr>
                <w:b/>
                <w:sz w:val="24"/>
              </w:rPr>
            </w:pPr>
            <w:r w:rsidRPr="00BE6C6D">
              <w:rPr>
                <w:sz w:val="20"/>
              </w:rPr>
              <w:t>Regional and Global</w:t>
            </w:r>
          </w:p>
        </w:tc>
        <w:tc>
          <w:tcPr>
            <w:tcW w:w="1423" w:type="dxa"/>
          </w:tcPr>
          <w:p w:rsidR="00CD1652" w:rsidRPr="00BF4308" w:rsidRDefault="00BF4308" w:rsidP="00CF4106">
            <w:pPr>
              <w:spacing w:before="60"/>
              <w:jc w:val="center"/>
              <w:rPr>
                <w:sz w:val="20"/>
              </w:rPr>
            </w:pPr>
            <w:r>
              <w:rPr>
                <w:sz w:val="20"/>
              </w:rPr>
              <w:t>$16.3m</w:t>
            </w:r>
          </w:p>
        </w:tc>
        <w:tc>
          <w:tcPr>
            <w:tcW w:w="1417" w:type="dxa"/>
          </w:tcPr>
          <w:p w:rsidR="00CD1652" w:rsidRPr="00BF4308" w:rsidRDefault="00BF4308" w:rsidP="00CF4106">
            <w:pPr>
              <w:spacing w:before="60"/>
              <w:jc w:val="center"/>
              <w:rPr>
                <w:sz w:val="20"/>
              </w:rPr>
            </w:pPr>
            <w:r>
              <w:rPr>
                <w:sz w:val="20"/>
              </w:rPr>
              <w:t>38%</w:t>
            </w:r>
          </w:p>
        </w:tc>
      </w:tr>
      <w:tr w:rsidR="00CD1652" w:rsidRPr="00BF4308" w:rsidTr="00CD1652">
        <w:tc>
          <w:tcPr>
            <w:tcW w:w="6374" w:type="dxa"/>
          </w:tcPr>
          <w:p w:rsidR="00CD1652" w:rsidRDefault="00CD1652" w:rsidP="00CF4106">
            <w:pPr>
              <w:spacing w:before="60"/>
              <w:rPr>
                <w:b/>
                <w:sz w:val="24"/>
              </w:rPr>
            </w:pPr>
            <w:r w:rsidRPr="00BE6C6D">
              <w:rPr>
                <w:sz w:val="20"/>
              </w:rPr>
              <w:t>Other Government Departments</w:t>
            </w:r>
          </w:p>
        </w:tc>
        <w:tc>
          <w:tcPr>
            <w:tcW w:w="1423" w:type="dxa"/>
          </w:tcPr>
          <w:p w:rsidR="00CD1652" w:rsidRPr="00BF4308" w:rsidRDefault="00BF4308" w:rsidP="00CF4106">
            <w:pPr>
              <w:spacing w:before="60"/>
              <w:jc w:val="center"/>
              <w:rPr>
                <w:sz w:val="20"/>
              </w:rPr>
            </w:pPr>
            <w:r>
              <w:rPr>
                <w:sz w:val="20"/>
              </w:rPr>
              <w:t>$4.4m</w:t>
            </w:r>
          </w:p>
        </w:tc>
        <w:tc>
          <w:tcPr>
            <w:tcW w:w="1417" w:type="dxa"/>
          </w:tcPr>
          <w:p w:rsidR="00CD1652" w:rsidRPr="00BF4308" w:rsidRDefault="00BF4308" w:rsidP="00CF4106">
            <w:pPr>
              <w:spacing w:before="60"/>
              <w:jc w:val="center"/>
              <w:rPr>
                <w:sz w:val="20"/>
              </w:rPr>
            </w:pPr>
            <w:r>
              <w:rPr>
                <w:sz w:val="20"/>
              </w:rPr>
              <w:t>10%</w:t>
            </w:r>
          </w:p>
        </w:tc>
      </w:tr>
      <w:tr w:rsidR="00CD1652" w:rsidRPr="00BF4308" w:rsidTr="00CD1652">
        <w:tc>
          <w:tcPr>
            <w:tcW w:w="6374" w:type="dxa"/>
          </w:tcPr>
          <w:p w:rsidR="00CD1652" w:rsidRDefault="00CD1652" w:rsidP="00CF4106">
            <w:pPr>
              <w:spacing w:before="60"/>
              <w:rPr>
                <w:b/>
                <w:sz w:val="24"/>
              </w:rPr>
            </w:pPr>
            <w:r w:rsidRPr="00BE6C6D">
              <w:rPr>
                <w:sz w:val="20"/>
              </w:rPr>
              <w:t>Total ODA Expenditure</w:t>
            </w:r>
          </w:p>
        </w:tc>
        <w:tc>
          <w:tcPr>
            <w:tcW w:w="1423" w:type="dxa"/>
          </w:tcPr>
          <w:p w:rsidR="00CD1652" w:rsidRPr="00BF4308" w:rsidRDefault="00BF4308" w:rsidP="00CF4106">
            <w:pPr>
              <w:spacing w:before="60"/>
              <w:jc w:val="center"/>
              <w:rPr>
                <w:sz w:val="20"/>
              </w:rPr>
            </w:pPr>
            <w:r>
              <w:rPr>
                <w:sz w:val="20"/>
              </w:rPr>
              <w:t>$42.9m</w:t>
            </w:r>
          </w:p>
        </w:tc>
        <w:tc>
          <w:tcPr>
            <w:tcW w:w="1417" w:type="dxa"/>
          </w:tcPr>
          <w:p w:rsidR="00CD1652" w:rsidRPr="00BF4308" w:rsidRDefault="00BF4308" w:rsidP="00CF4106">
            <w:pPr>
              <w:spacing w:before="60"/>
              <w:jc w:val="center"/>
              <w:rPr>
                <w:sz w:val="20"/>
              </w:rPr>
            </w:pPr>
            <w:r>
              <w:rPr>
                <w:sz w:val="20"/>
              </w:rPr>
              <w:t>100%</w:t>
            </w:r>
          </w:p>
        </w:tc>
      </w:tr>
    </w:tbl>
    <w:p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4779" w:type="pct"/>
        <w:tblLook w:val="0000" w:firstRow="0" w:lastRow="0" w:firstColumn="0" w:lastColumn="0" w:noHBand="0" w:noVBand="0"/>
      </w:tblPr>
      <w:tblGrid>
        <w:gridCol w:w="6434"/>
        <w:gridCol w:w="1147"/>
        <w:gridCol w:w="414"/>
        <w:gridCol w:w="1217"/>
      </w:tblGrid>
      <w:tr w:rsidR="00420035" w:rsidRPr="00812509" w:rsidTr="00155105">
        <w:trPr>
          <w:cnfStyle w:val="000000010000" w:firstRow="0" w:lastRow="0" w:firstColumn="0" w:lastColumn="0" w:oddVBand="0" w:evenVBand="0" w:oddHBand="0" w:evenHBand="1" w:firstRowFirstColumn="0" w:firstRowLastColumn="0" w:lastRowFirstColumn="0" w:lastRowLastColumn="0"/>
          <w:trHeight w:val="651"/>
        </w:trPr>
        <w:tc>
          <w:tcPr>
            <w:tcW w:w="6392" w:type="dxa"/>
          </w:tcPr>
          <w:p w:rsidR="00420035" w:rsidRPr="00812509" w:rsidRDefault="00420035" w:rsidP="00420035">
            <w:pPr>
              <w:pStyle w:val="TableTextColumnHeading"/>
            </w:pPr>
            <w:r w:rsidRPr="00812509">
              <w:rPr>
                <w:noProof/>
              </w:rPr>
              <w:drawing>
                <wp:anchor distT="0" distB="0" distL="114300" distR="114300" simplePos="0" relativeHeight="251676672" behindDoc="0" locked="0" layoutInCell="1" allowOverlap="1" wp14:anchorId="371840C9" wp14:editId="387A384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119" w:type="dxa"/>
          </w:tcPr>
          <w:p w:rsidR="00420035" w:rsidRPr="00812509" w:rsidRDefault="00420035" w:rsidP="00420035">
            <w:pPr>
              <w:pStyle w:val="TableTextColumnHeading"/>
              <w:jc w:val="center"/>
            </w:pPr>
            <w:r w:rsidRPr="00812509">
              <w:t>Previous Rating</w:t>
            </w:r>
          </w:p>
        </w:tc>
        <w:tc>
          <w:tcPr>
            <w:tcW w:w="386" w:type="dxa"/>
          </w:tcPr>
          <w:p w:rsidR="00420035" w:rsidRPr="00812509" w:rsidRDefault="00420035" w:rsidP="00420035">
            <w:pPr>
              <w:pStyle w:val="TableTextColumnHeading"/>
              <w:jc w:val="center"/>
            </w:pPr>
          </w:p>
        </w:tc>
        <w:tc>
          <w:tcPr>
            <w:tcW w:w="1175" w:type="dxa"/>
          </w:tcPr>
          <w:p w:rsidR="00420035" w:rsidRPr="00812509" w:rsidRDefault="00420035" w:rsidP="00420035">
            <w:pPr>
              <w:pStyle w:val="TableTextColumnHeading"/>
              <w:jc w:val="center"/>
            </w:pPr>
            <w:r w:rsidRPr="00812509">
              <w:t>Current Rating</w:t>
            </w:r>
          </w:p>
        </w:tc>
      </w:tr>
      <w:tr w:rsidR="00420035" w:rsidRPr="00812509" w:rsidTr="00155105">
        <w:trPr>
          <w:cnfStyle w:val="000000010000" w:firstRow="0" w:lastRow="0" w:firstColumn="0" w:lastColumn="0" w:oddVBand="0" w:evenVBand="0" w:oddHBand="0" w:evenHBand="1" w:firstRowFirstColumn="0" w:firstRowLastColumn="0" w:lastRowFirstColumn="0" w:lastRowLastColumn="0"/>
        </w:trPr>
        <w:tc>
          <w:tcPr>
            <w:tcW w:w="6392" w:type="dxa"/>
          </w:tcPr>
          <w:p w:rsidR="00420035" w:rsidRPr="008A119D" w:rsidRDefault="00420035" w:rsidP="008A119D">
            <w:pPr>
              <w:spacing w:before="60"/>
              <w:rPr>
                <w:rFonts w:asciiTheme="minorHAnsi" w:hAnsiTheme="minorHAnsi"/>
                <w:szCs w:val="17"/>
              </w:rPr>
            </w:pPr>
            <w:r w:rsidRPr="008A119D">
              <w:rPr>
                <w:rFonts w:asciiTheme="minorHAnsi" w:hAnsiTheme="minorHAnsi"/>
                <w:szCs w:val="17"/>
              </w:rPr>
              <w:t>Objective 1: More disadvantaged girls and boys complete a quality basic education</w:t>
            </w:r>
          </w:p>
        </w:tc>
        <w:tc>
          <w:tcPr>
            <w:tcW w:w="1119" w:type="dxa"/>
            <w:shd w:val="clear" w:color="auto" w:fill="E36C0A"/>
            <w:noWrap/>
            <w:vAlign w:val="center"/>
          </w:tcPr>
          <w:p w:rsidR="00420035" w:rsidRPr="00812509" w:rsidRDefault="00420035" w:rsidP="00420035">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386" w:type="dxa"/>
            <w:vAlign w:val="center"/>
          </w:tcPr>
          <w:p w:rsidR="00420035" w:rsidRPr="00812509" w:rsidRDefault="00420035" w:rsidP="00420035">
            <w:pPr>
              <w:pStyle w:val="TableTextEntries"/>
              <w:jc w:val="center"/>
              <w:rPr>
                <w:rFonts w:asciiTheme="minorHAnsi" w:hAnsiTheme="minorHAnsi"/>
                <w:color w:val="FFFFFF" w:themeColor="background1"/>
              </w:rPr>
            </w:pPr>
          </w:p>
        </w:tc>
        <w:tc>
          <w:tcPr>
            <w:tcW w:w="1175" w:type="dxa"/>
            <w:shd w:val="clear" w:color="auto" w:fill="E36C0A"/>
            <w:noWrap/>
            <w:vAlign w:val="center"/>
          </w:tcPr>
          <w:p w:rsidR="00420035" w:rsidRPr="00812509" w:rsidRDefault="00420035" w:rsidP="00420035">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r>
      <w:tr w:rsidR="00420035" w:rsidRPr="00812509" w:rsidTr="00155105">
        <w:trPr>
          <w:cnfStyle w:val="000000010000" w:firstRow="0" w:lastRow="0" w:firstColumn="0" w:lastColumn="0" w:oddVBand="0" w:evenVBand="0" w:oddHBand="0" w:evenHBand="1" w:firstRowFirstColumn="0" w:firstRowLastColumn="0" w:lastRowFirstColumn="0" w:lastRowLastColumn="0"/>
        </w:trPr>
        <w:tc>
          <w:tcPr>
            <w:tcW w:w="6392" w:type="dxa"/>
          </w:tcPr>
          <w:p w:rsidR="00420035" w:rsidRPr="008A119D" w:rsidRDefault="00420035" w:rsidP="008A119D">
            <w:pPr>
              <w:spacing w:before="60"/>
              <w:rPr>
                <w:rFonts w:asciiTheme="minorHAnsi" w:hAnsiTheme="minorHAnsi"/>
                <w:szCs w:val="17"/>
              </w:rPr>
            </w:pPr>
            <w:r w:rsidRPr="008A119D">
              <w:rPr>
                <w:rFonts w:asciiTheme="minorHAnsi" w:hAnsiTheme="minorHAnsi"/>
                <w:szCs w:val="17"/>
              </w:rPr>
              <w:t>Objective 2: Improving Laos’ human resources through scholarships, training and organisational capacity building</w:t>
            </w:r>
          </w:p>
        </w:tc>
        <w:tc>
          <w:tcPr>
            <w:tcW w:w="1119" w:type="dxa"/>
            <w:shd w:val="clear" w:color="auto" w:fill="72AF2F"/>
            <w:noWrap/>
            <w:vAlign w:val="center"/>
          </w:tcPr>
          <w:p w:rsidR="00420035" w:rsidRPr="00812509" w:rsidRDefault="00420035" w:rsidP="00420035">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386" w:type="dxa"/>
            <w:vAlign w:val="center"/>
          </w:tcPr>
          <w:p w:rsidR="00420035" w:rsidRPr="00812509" w:rsidRDefault="00420035" w:rsidP="00420035">
            <w:pPr>
              <w:pStyle w:val="TableTextEntries"/>
              <w:jc w:val="center"/>
              <w:rPr>
                <w:rFonts w:asciiTheme="minorHAnsi" w:hAnsiTheme="minorHAnsi"/>
                <w:color w:val="FFFFFF" w:themeColor="background1"/>
              </w:rPr>
            </w:pPr>
          </w:p>
        </w:tc>
        <w:tc>
          <w:tcPr>
            <w:tcW w:w="1175" w:type="dxa"/>
            <w:shd w:val="clear" w:color="auto" w:fill="72AF2F"/>
            <w:noWrap/>
            <w:vAlign w:val="center"/>
          </w:tcPr>
          <w:p w:rsidR="00420035" w:rsidRPr="00812509" w:rsidRDefault="00420035" w:rsidP="00420035">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CB0544" w:rsidRPr="00812509" w:rsidTr="00B8158B">
        <w:trPr>
          <w:cnfStyle w:val="000000010000" w:firstRow="0" w:lastRow="0" w:firstColumn="0" w:lastColumn="0" w:oddVBand="0" w:evenVBand="0" w:oddHBand="0" w:evenHBand="1" w:firstRowFirstColumn="0" w:firstRowLastColumn="0" w:lastRowFirstColumn="0" w:lastRowLastColumn="0"/>
        </w:trPr>
        <w:tc>
          <w:tcPr>
            <w:tcW w:w="6392" w:type="dxa"/>
          </w:tcPr>
          <w:p w:rsidR="00CB0544" w:rsidRPr="008A119D" w:rsidRDefault="00CB0544" w:rsidP="00CB0544">
            <w:pPr>
              <w:spacing w:before="60"/>
              <w:rPr>
                <w:rFonts w:asciiTheme="minorHAnsi" w:hAnsiTheme="minorHAnsi"/>
                <w:szCs w:val="17"/>
              </w:rPr>
            </w:pPr>
            <w:r w:rsidRPr="008A119D">
              <w:rPr>
                <w:rFonts w:asciiTheme="minorHAnsi" w:hAnsiTheme="minorHAnsi"/>
                <w:szCs w:val="17"/>
              </w:rPr>
              <w:t>Objective 3:</w:t>
            </w:r>
            <w:r w:rsidRPr="008A119D">
              <w:rPr>
                <w:szCs w:val="17"/>
              </w:rPr>
              <w:t xml:space="preserve"> </w:t>
            </w:r>
            <w:r w:rsidRPr="008A119D">
              <w:rPr>
                <w:rFonts w:asciiTheme="minorHAnsi" w:hAnsiTheme="minorHAnsi"/>
                <w:szCs w:val="17"/>
              </w:rPr>
              <w:t xml:space="preserve">A stronger trade regime and more competitive private sector </w:t>
            </w:r>
          </w:p>
        </w:tc>
        <w:tc>
          <w:tcPr>
            <w:tcW w:w="1119" w:type="dxa"/>
            <w:shd w:val="clear" w:color="auto" w:fill="72AF2F"/>
            <w:noWrap/>
            <w:vAlign w:val="center"/>
          </w:tcPr>
          <w:p w:rsidR="00CB0544" w:rsidRPr="00812509" w:rsidRDefault="00CB0544" w:rsidP="00CB0544">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386" w:type="dxa"/>
            <w:vAlign w:val="center"/>
          </w:tcPr>
          <w:p w:rsidR="00CB0544" w:rsidRPr="00812509" w:rsidRDefault="00CB0544" w:rsidP="00CB0544">
            <w:pPr>
              <w:pStyle w:val="TableTextEntries"/>
              <w:jc w:val="center"/>
              <w:rPr>
                <w:rFonts w:asciiTheme="minorHAnsi" w:hAnsiTheme="minorHAnsi"/>
                <w:color w:val="FFFFFF" w:themeColor="background1"/>
              </w:rPr>
            </w:pPr>
          </w:p>
        </w:tc>
        <w:tc>
          <w:tcPr>
            <w:tcW w:w="1175" w:type="dxa"/>
            <w:shd w:val="clear" w:color="auto" w:fill="72AF2F"/>
            <w:noWrap/>
            <w:vAlign w:val="center"/>
          </w:tcPr>
          <w:p w:rsidR="00CB0544" w:rsidRPr="00812509" w:rsidRDefault="00CB0544" w:rsidP="00CB0544">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bl>
    <w:p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246033" w:rsidRPr="00246033" w:rsidRDefault="005B5769" w:rsidP="00246033">
      <w:pPr>
        <w:pStyle w:val="BodyText"/>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961906" w:rsidRDefault="00961906" w:rsidP="00246033">
      <w:pPr>
        <w:spacing w:before="240" w:after="240" w:line="240" w:lineRule="auto"/>
        <w:rPr>
          <w:rFonts w:asciiTheme="majorHAnsi" w:eastAsiaTheme="majorEastAsia" w:hAnsiTheme="majorHAnsi" w:cstheme="majorBidi"/>
          <w:caps/>
          <w:sz w:val="38"/>
          <w:szCs w:val="26"/>
        </w:rPr>
      </w:pPr>
    </w:p>
    <w:p w:rsidR="00961906" w:rsidRDefault="00961906" w:rsidP="00246033">
      <w:pPr>
        <w:spacing w:before="240" w:after="240" w:line="240" w:lineRule="auto"/>
        <w:rPr>
          <w:rFonts w:asciiTheme="majorHAnsi" w:eastAsiaTheme="majorEastAsia" w:hAnsiTheme="majorHAnsi" w:cstheme="majorBidi"/>
          <w:caps/>
          <w:sz w:val="38"/>
          <w:szCs w:val="26"/>
        </w:rPr>
      </w:pPr>
    </w:p>
    <w:p w:rsidR="00695730" w:rsidRDefault="00A03D02" w:rsidP="00246033">
      <w:pPr>
        <w:spacing w:before="240" w:after="240" w:line="240" w:lineRule="auto"/>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1: m</w:t>
      </w:r>
      <w:r w:rsidR="00FC59A4">
        <w:rPr>
          <w:rFonts w:asciiTheme="majorHAnsi" w:eastAsiaTheme="majorEastAsia" w:hAnsiTheme="majorHAnsi" w:cstheme="majorBidi"/>
          <w:caps/>
          <w:sz w:val="38"/>
          <w:szCs w:val="26"/>
        </w:rPr>
        <w:t xml:space="preserve">ore disadvantaged </w:t>
      </w:r>
      <w:r w:rsidR="008B0466">
        <w:rPr>
          <w:rFonts w:asciiTheme="majorHAnsi" w:eastAsiaTheme="majorEastAsia" w:hAnsiTheme="majorHAnsi" w:cstheme="majorBidi"/>
          <w:caps/>
          <w:sz w:val="38"/>
          <w:szCs w:val="26"/>
        </w:rPr>
        <w:t>girls and boys complete a quality basic education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695730" w:rsidRPr="00695730" w:rsidTr="00CD1652">
        <w:tc>
          <w:tcPr>
            <w:tcW w:w="2016" w:type="dxa"/>
          </w:tcPr>
          <w:p w:rsidR="00695730" w:rsidRPr="00695730" w:rsidRDefault="00695730"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3CD22A1" wp14:editId="2FB64E7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695730" w:rsidRPr="00695730" w:rsidRDefault="00695730"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FEDB645" wp14:editId="5D76835B">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906" w:type="dxa"/>
          </w:tcPr>
          <w:p w:rsidR="00695730" w:rsidRPr="00695730" w:rsidRDefault="00A2163D"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269A1180" wp14:editId="7F9E345D">
                  <wp:extent cx="612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695730" w:rsidRPr="00695730" w:rsidRDefault="00A2163D"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34BBDF5" wp14:editId="3BC348AE">
                  <wp:extent cx="611505" cy="6115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inline>
              </w:drawing>
            </w:r>
          </w:p>
        </w:tc>
        <w:tc>
          <w:tcPr>
            <w:tcW w:w="1906" w:type="dxa"/>
          </w:tcPr>
          <w:p w:rsidR="00695730" w:rsidRPr="00695730" w:rsidRDefault="00A2163D" w:rsidP="00695730">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DC80B9C" wp14:editId="0E7235B1">
                  <wp:extent cx="612000" cy="61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97592D" w:rsidRDefault="0097592D" w:rsidP="0097592D">
      <w:pPr>
        <w:spacing w:before="240" w:line="240" w:lineRule="auto"/>
        <w:rPr>
          <w:rFonts w:eastAsia="Times New Roman"/>
        </w:rPr>
      </w:pPr>
      <w:r>
        <w:rPr>
          <w:rFonts w:eastAsia="Times New Roman"/>
        </w:rPr>
        <w:t xml:space="preserve">Australia delivers this objective through the </w:t>
      </w:r>
      <w:r w:rsidRPr="009E7B7A">
        <w:rPr>
          <w:rFonts w:eastAsia="Times New Roman"/>
          <w:b/>
        </w:rPr>
        <w:t>Basic Education Quality and Access</w:t>
      </w:r>
      <w:r>
        <w:rPr>
          <w:rFonts w:eastAsia="Times New Roman"/>
        </w:rPr>
        <w:t xml:space="preserve"> in Laos (BEQUAL), which aims to improve access to quality education for </w:t>
      </w:r>
      <w:r w:rsidRPr="005705DC">
        <w:rPr>
          <w:rFonts w:eastAsia="Times New Roman"/>
        </w:rPr>
        <w:t>disadvantaged</w:t>
      </w:r>
      <w:r w:rsidR="00EA16DA" w:rsidRPr="00EA16DA">
        <w:rPr>
          <w:rFonts w:eastAsia="Times New Roman"/>
        </w:rPr>
        <w:t xml:space="preserve"> </w:t>
      </w:r>
      <w:r w:rsidR="00EA16DA" w:rsidRPr="005705DC">
        <w:rPr>
          <w:rFonts w:eastAsia="Times New Roman"/>
        </w:rPr>
        <w:t>girls and boys</w:t>
      </w:r>
      <w:r w:rsidR="00EA16DA">
        <w:rPr>
          <w:rFonts w:eastAsia="Times New Roman"/>
        </w:rPr>
        <w:t xml:space="preserve"> in Laos, particularly </w:t>
      </w:r>
      <w:r w:rsidR="00EA16DA" w:rsidRPr="005705DC">
        <w:rPr>
          <w:rFonts w:eastAsia="Times New Roman"/>
        </w:rPr>
        <w:t>children</w:t>
      </w:r>
      <w:r w:rsidR="00FF487B">
        <w:rPr>
          <w:rFonts w:eastAsia="Times New Roman"/>
        </w:rPr>
        <w:t xml:space="preserve"> from </w:t>
      </w:r>
      <w:r w:rsidR="00FF487B">
        <w:rPr>
          <w:rFonts w:eastAsia="Times New Roman"/>
        </w:rPr>
        <w:lastRenderedPageBreak/>
        <w:t>ethnic minorities</w:t>
      </w:r>
      <w:r w:rsidR="00EA16DA" w:rsidRPr="005705DC">
        <w:rPr>
          <w:rFonts w:eastAsia="Times New Roman"/>
        </w:rPr>
        <w:t>, girls and children with disability.</w:t>
      </w:r>
      <w:r w:rsidR="00EA16DA">
        <w:rPr>
          <w:rFonts w:eastAsia="Times New Roman"/>
        </w:rPr>
        <w:t xml:space="preserve">  </w:t>
      </w:r>
      <w:r>
        <w:rPr>
          <w:rFonts w:eastAsia="Times New Roman"/>
        </w:rPr>
        <w:t>BEQUAL focuses on</w:t>
      </w:r>
      <w:r w:rsidRPr="005705DC">
        <w:rPr>
          <w:rFonts w:eastAsia="Times New Roman"/>
        </w:rPr>
        <w:t xml:space="preserve"> </w:t>
      </w:r>
      <w:r w:rsidRPr="00FE4C30">
        <w:rPr>
          <w:rFonts w:eastAsia="Times New Roman"/>
        </w:rPr>
        <w:t>strengthen</w:t>
      </w:r>
      <w:r w:rsidR="00CA5CE3">
        <w:rPr>
          <w:rFonts w:eastAsia="Times New Roman"/>
        </w:rPr>
        <w:t>ing</w:t>
      </w:r>
      <w:r w:rsidRPr="00FE4C30">
        <w:rPr>
          <w:rFonts w:eastAsia="Times New Roman"/>
        </w:rPr>
        <w:t xml:space="preserve"> national systems</w:t>
      </w:r>
      <w:r w:rsidR="00CA5CE3">
        <w:rPr>
          <w:rFonts w:eastAsia="Times New Roman"/>
        </w:rPr>
        <w:t xml:space="preserve"> and</w:t>
      </w:r>
      <w:r w:rsidRPr="005705DC">
        <w:rPr>
          <w:rFonts w:eastAsia="Times New Roman"/>
        </w:rPr>
        <w:t xml:space="preserve"> providing</w:t>
      </w:r>
      <w:r w:rsidR="00CA5CE3">
        <w:rPr>
          <w:rFonts w:eastAsia="Times New Roman"/>
        </w:rPr>
        <w:t xml:space="preserve"> </w:t>
      </w:r>
      <w:r w:rsidRPr="005705DC">
        <w:rPr>
          <w:rFonts w:eastAsia="Times New Roman"/>
        </w:rPr>
        <w:t xml:space="preserve">targeted support for </w:t>
      </w:r>
      <w:r w:rsidR="00D40A41">
        <w:rPr>
          <w:rFonts w:eastAsia="Times New Roman"/>
        </w:rPr>
        <w:t>Laos’</w:t>
      </w:r>
      <w:r w:rsidRPr="005705DC">
        <w:rPr>
          <w:rFonts w:eastAsia="Times New Roman"/>
        </w:rPr>
        <w:t xml:space="preserve"> 66 most educationally disadvantaged districts</w:t>
      </w:r>
      <w:r w:rsidR="0007267F">
        <w:rPr>
          <w:rFonts w:eastAsia="Times New Roman"/>
        </w:rPr>
        <w:t>.</w:t>
      </w:r>
    </w:p>
    <w:p w:rsidR="00A21AB4" w:rsidRDefault="004905BD" w:rsidP="0097592D">
      <w:pPr>
        <w:spacing w:before="240" w:line="240" w:lineRule="auto"/>
        <w:rPr>
          <w:rFonts w:eastAsia="Times New Roman"/>
        </w:rPr>
      </w:pPr>
      <w:r>
        <w:rPr>
          <w:rFonts w:eastAsia="Times New Roman"/>
        </w:rPr>
        <w:t>This</w:t>
      </w:r>
      <w:r w:rsidR="00B93466">
        <w:rPr>
          <w:rFonts w:eastAsia="Times New Roman"/>
        </w:rPr>
        <w:t xml:space="preserve"> objective</w:t>
      </w:r>
      <w:r w:rsidR="006D430E">
        <w:rPr>
          <w:rFonts w:eastAsia="Times New Roman"/>
        </w:rPr>
        <w:t xml:space="preserve"> is rated amber</w:t>
      </w:r>
      <w:r>
        <w:rPr>
          <w:rFonts w:eastAsia="Times New Roman"/>
        </w:rPr>
        <w:t xml:space="preserve"> because it</w:t>
      </w:r>
      <w:r w:rsidR="00337DCF">
        <w:rPr>
          <w:rFonts w:eastAsia="Times New Roman"/>
        </w:rPr>
        <w:t xml:space="preserve"> a </w:t>
      </w:r>
      <w:r w:rsidR="0097592D">
        <w:rPr>
          <w:rFonts w:eastAsia="Times New Roman"/>
        </w:rPr>
        <w:t>Mid-Term Review (MTR)</w:t>
      </w:r>
      <w:r>
        <w:rPr>
          <w:rFonts w:eastAsia="Times New Roman"/>
        </w:rPr>
        <w:t xml:space="preserve"> of the program also </w:t>
      </w:r>
      <w:r w:rsidR="00A230C8">
        <w:rPr>
          <w:rFonts w:eastAsia="Times New Roman"/>
        </w:rPr>
        <w:t xml:space="preserve">found that the program had </w:t>
      </w:r>
      <w:r w:rsidR="00A230C8" w:rsidRPr="004F2357">
        <w:rPr>
          <w:rFonts w:eastAsia="Times New Roman"/>
        </w:rPr>
        <w:t>drifte</w:t>
      </w:r>
      <w:r w:rsidR="00A230C8">
        <w:rPr>
          <w:rFonts w:eastAsia="Times New Roman"/>
        </w:rPr>
        <w:t>d from its purpose,</w:t>
      </w:r>
      <w:r w:rsidR="00A230C8">
        <w:rPr>
          <w:rFonts w:eastAsia="Times New Roman" w:hint="cs"/>
          <w:cs/>
          <w:lang w:bidi="lo-LA"/>
        </w:rPr>
        <w:t xml:space="preserve"> </w:t>
      </w:r>
      <w:r w:rsidR="00A230C8">
        <w:rPr>
          <w:rFonts w:eastAsia="Times New Roman"/>
          <w:lang w:val="en-AU" w:bidi="lo-LA"/>
        </w:rPr>
        <w:t xml:space="preserve">and that </w:t>
      </w:r>
      <w:r w:rsidR="00A230C8">
        <w:rPr>
          <w:rFonts w:eastAsia="Times New Roman"/>
        </w:rPr>
        <w:t xml:space="preserve">improvements to </w:t>
      </w:r>
      <w:r w:rsidR="00CA5CE3">
        <w:rPr>
          <w:rFonts w:eastAsia="Times New Roman"/>
        </w:rPr>
        <w:t xml:space="preserve">program </w:t>
      </w:r>
      <w:r w:rsidR="00A230C8">
        <w:rPr>
          <w:rFonts w:eastAsia="Times New Roman"/>
        </w:rPr>
        <w:t xml:space="preserve">effectiveness and cohesion </w:t>
      </w:r>
      <w:r w:rsidR="00CA5CE3">
        <w:rPr>
          <w:rFonts w:eastAsia="Times New Roman"/>
        </w:rPr>
        <w:t>wer</w:t>
      </w:r>
      <w:r w:rsidR="00A230C8">
        <w:rPr>
          <w:rFonts w:eastAsia="Times New Roman"/>
        </w:rPr>
        <w:t>e required</w:t>
      </w:r>
      <w:r w:rsidR="00B93466">
        <w:rPr>
          <w:rFonts w:eastAsia="Times New Roman"/>
        </w:rPr>
        <w:t>.</w:t>
      </w:r>
      <w:r w:rsidR="00A230C8">
        <w:rPr>
          <w:rFonts w:eastAsia="Times New Roman"/>
        </w:rPr>
        <w:t xml:space="preserve">  </w:t>
      </w:r>
      <w:r w:rsidR="00A21AB4">
        <w:rPr>
          <w:rFonts w:eastAsia="Times New Roman"/>
        </w:rPr>
        <w:t>The MTR also identified some gaps in BEQUAL’s performance in gender equality, and integration with program-level monitoring and evaluation.</w:t>
      </w:r>
      <w:r w:rsidR="00B93466">
        <w:rPr>
          <w:rFonts w:eastAsia="Times New Roman"/>
        </w:rPr>
        <w:t xml:space="preserve"> The performance benchmark of 381 ethnic students commencing training was partially achieved with 364 enrolled</w:t>
      </w:r>
      <w:r w:rsidR="00827023">
        <w:rPr>
          <w:rFonts w:eastAsia="Times New Roman"/>
        </w:rPr>
        <w:t xml:space="preserve"> due to re-assessment of actual need. T</w:t>
      </w:r>
      <w:r w:rsidR="00B93466">
        <w:rPr>
          <w:rFonts w:eastAsia="Times New Roman"/>
        </w:rPr>
        <w:t xml:space="preserve">he performance benchmark of new grade 2 primary textbooks and teacher guides written and piloted was achieved. </w:t>
      </w:r>
      <w:r w:rsidR="006D430E">
        <w:rPr>
          <w:rFonts w:eastAsia="Times New Roman"/>
        </w:rPr>
        <w:t xml:space="preserve">  </w:t>
      </w:r>
    </w:p>
    <w:p w:rsidR="0097592D" w:rsidRDefault="000348F9" w:rsidP="0097592D">
      <w:pPr>
        <w:spacing w:before="240" w:line="240" w:lineRule="auto"/>
        <w:rPr>
          <w:rFonts w:eastAsia="Times New Roman"/>
        </w:rPr>
      </w:pPr>
      <w:r>
        <w:rPr>
          <w:rFonts w:eastAsia="Times New Roman"/>
        </w:rPr>
        <w:t xml:space="preserve">The </w:t>
      </w:r>
      <w:r w:rsidR="0097592D">
        <w:rPr>
          <w:rFonts w:eastAsia="Times New Roman"/>
        </w:rPr>
        <w:t xml:space="preserve">MTR covers </w:t>
      </w:r>
      <w:r w:rsidR="00CA5CE3">
        <w:rPr>
          <w:rFonts w:eastAsia="Times New Roman"/>
        </w:rPr>
        <w:t xml:space="preserve">BEQUAL’s implementation </w:t>
      </w:r>
      <w:r>
        <w:rPr>
          <w:rFonts w:eastAsia="Times New Roman"/>
        </w:rPr>
        <w:t>from</w:t>
      </w:r>
      <w:r w:rsidR="0097592D">
        <w:rPr>
          <w:rFonts w:eastAsia="Times New Roman"/>
        </w:rPr>
        <w:t xml:space="preserve"> 1 May 2015 </w:t>
      </w:r>
      <w:r>
        <w:rPr>
          <w:rFonts w:eastAsia="Times New Roman"/>
        </w:rPr>
        <w:t xml:space="preserve">to </w:t>
      </w:r>
      <w:r w:rsidR="004840CA">
        <w:rPr>
          <w:rFonts w:eastAsia="Times New Roman"/>
        </w:rPr>
        <w:t xml:space="preserve">14 </w:t>
      </w:r>
      <w:r w:rsidR="00EA16DA">
        <w:rPr>
          <w:rFonts w:eastAsia="Times New Roman"/>
        </w:rPr>
        <w:t>August 2017</w:t>
      </w:r>
      <w:r>
        <w:rPr>
          <w:rFonts w:eastAsia="Times New Roman"/>
        </w:rPr>
        <w:t xml:space="preserve"> and</w:t>
      </w:r>
      <w:r w:rsidR="0097592D">
        <w:rPr>
          <w:rFonts w:eastAsia="Times New Roman"/>
        </w:rPr>
        <w:t xml:space="preserve"> was conducted </w:t>
      </w:r>
      <w:r>
        <w:rPr>
          <w:rFonts w:eastAsia="Times New Roman"/>
        </w:rPr>
        <w:t xml:space="preserve">from </w:t>
      </w:r>
      <w:r w:rsidR="0097592D">
        <w:rPr>
          <w:rFonts w:eastAsia="Times New Roman"/>
        </w:rPr>
        <w:t>14 August</w:t>
      </w:r>
      <w:r>
        <w:rPr>
          <w:rFonts w:eastAsia="Times New Roman"/>
        </w:rPr>
        <w:t xml:space="preserve"> to </w:t>
      </w:r>
      <w:r w:rsidR="0097592D">
        <w:rPr>
          <w:rFonts w:eastAsia="Times New Roman"/>
        </w:rPr>
        <w:t>1 September 2017</w:t>
      </w:r>
      <w:r>
        <w:rPr>
          <w:rFonts w:eastAsia="Times New Roman"/>
        </w:rPr>
        <w:t>. T</w:t>
      </w:r>
      <w:r w:rsidR="00EA16DA">
        <w:rPr>
          <w:rFonts w:eastAsia="Times New Roman"/>
        </w:rPr>
        <w:t xml:space="preserve">he Lao and Australian </w:t>
      </w:r>
      <w:r w:rsidR="00A230C8">
        <w:rPr>
          <w:rFonts w:eastAsia="Times New Roman"/>
        </w:rPr>
        <w:t>Governments</w:t>
      </w:r>
      <w:r w:rsidR="00EA16DA">
        <w:rPr>
          <w:rFonts w:eastAsia="Times New Roman"/>
        </w:rPr>
        <w:t xml:space="preserve"> respond</w:t>
      </w:r>
      <w:r w:rsidR="00E57B1A">
        <w:rPr>
          <w:rFonts w:eastAsia="Times New Roman"/>
        </w:rPr>
        <w:t>ed</w:t>
      </w:r>
      <w:r w:rsidR="00EA16DA">
        <w:rPr>
          <w:rFonts w:eastAsia="Times New Roman"/>
        </w:rPr>
        <w:t xml:space="preserve"> to its recommendations</w:t>
      </w:r>
      <w:r>
        <w:rPr>
          <w:rFonts w:eastAsia="Times New Roman"/>
        </w:rPr>
        <w:t xml:space="preserve"> over the period February to July 2018, including through a management response, revising the program logic and agreeing a strategy to improve program cohesion and geographic targeting.</w:t>
      </w:r>
      <w:r w:rsidR="008D62DB">
        <w:rPr>
          <w:rFonts w:eastAsia="Times New Roman"/>
        </w:rPr>
        <w:t xml:space="preserve"> Gender and inclusion will be strengthened with the forthcoming appointment of a gender adviser.</w:t>
      </w:r>
    </w:p>
    <w:p w:rsidR="00337DCF" w:rsidRDefault="00337DCF" w:rsidP="0097592D">
      <w:pPr>
        <w:spacing w:before="240" w:line="240" w:lineRule="auto"/>
        <w:rPr>
          <w:rFonts w:eastAsia="Times New Roman"/>
        </w:rPr>
      </w:pPr>
      <w:r>
        <w:rPr>
          <w:rFonts w:eastAsia="Times New Roman"/>
        </w:rPr>
        <w:t xml:space="preserve">The program’s performance was also affected by a </w:t>
      </w:r>
      <w:r w:rsidRPr="008C7F7F">
        <w:rPr>
          <w:rFonts w:eastAsia="Times New Roman"/>
        </w:rPr>
        <w:t>significant restructure</w:t>
      </w:r>
      <w:r w:rsidRPr="002E7156">
        <w:rPr>
          <w:rFonts w:eastAsia="Times New Roman"/>
        </w:rPr>
        <w:t xml:space="preserve"> </w:t>
      </w:r>
      <w:r>
        <w:rPr>
          <w:rFonts w:eastAsia="Times New Roman"/>
        </w:rPr>
        <w:t>of t</w:t>
      </w:r>
      <w:r w:rsidRPr="009D1900">
        <w:rPr>
          <w:rFonts w:eastAsia="Times New Roman"/>
        </w:rPr>
        <w:t xml:space="preserve">he </w:t>
      </w:r>
      <w:r>
        <w:rPr>
          <w:rFonts w:eastAsia="Times New Roman"/>
        </w:rPr>
        <w:t xml:space="preserve">Lao </w:t>
      </w:r>
      <w:r w:rsidRPr="009D1900">
        <w:rPr>
          <w:rFonts w:eastAsia="Times New Roman"/>
        </w:rPr>
        <w:t xml:space="preserve">Ministry of Education and Sports (MOES) </w:t>
      </w:r>
      <w:r>
        <w:rPr>
          <w:rFonts w:eastAsia="Times New Roman"/>
        </w:rPr>
        <w:t>in</w:t>
      </w:r>
      <w:r w:rsidRPr="009D1900">
        <w:rPr>
          <w:rFonts w:eastAsia="Times New Roman"/>
        </w:rPr>
        <w:t xml:space="preserve"> 2017 slowed decision-making and policy development.</w:t>
      </w:r>
    </w:p>
    <w:p w:rsidR="000348F9" w:rsidRDefault="000348F9" w:rsidP="00072BE9">
      <w:pPr>
        <w:spacing w:before="240" w:line="240" w:lineRule="auto"/>
        <w:rPr>
          <w:rFonts w:eastAsia="Times New Roman"/>
        </w:rPr>
      </w:pPr>
      <w:r>
        <w:rPr>
          <w:rFonts w:eastAsia="Times New Roman"/>
        </w:rPr>
        <w:t>BEQUAL’s major investment in</w:t>
      </w:r>
      <w:r w:rsidR="0052204A">
        <w:rPr>
          <w:rFonts w:eastAsia="Times New Roman"/>
        </w:rPr>
        <w:t xml:space="preserve"> implementing</w:t>
      </w:r>
      <w:r>
        <w:rPr>
          <w:rFonts w:eastAsia="Times New Roman"/>
        </w:rPr>
        <w:t xml:space="preserve"> the new primary curriculum was delayed by one year</w:t>
      </w:r>
      <w:r w:rsidR="00005B46">
        <w:rPr>
          <w:rFonts w:eastAsia="Times New Roman"/>
        </w:rPr>
        <w:t xml:space="preserve"> to 2019</w:t>
      </w:r>
      <w:r w:rsidR="0052204A">
        <w:rPr>
          <w:rFonts w:eastAsia="Times New Roman"/>
        </w:rPr>
        <w:t xml:space="preserve"> following the MTR recommendation on slowing the timeline. The Lao Government agreed to revise the scope, pace and sequencing</w:t>
      </w:r>
      <w:r w:rsidR="00005B46">
        <w:rPr>
          <w:rFonts w:eastAsia="Times New Roman"/>
        </w:rPr>
        <w:t xml:space="preserve"> </w:t>
      </w:r>
      <w:r w:rsidR="0052204A">
        <w:rPr>
          <w:rFonts w:eastAsia="Times New Roman"/>
        </w:rPr>
        <w:t>of the curriculum to help improve the quality</w:t>
      </w:r>
      <w:r w:rsidR="00DD2CB0">
        <w:rPr>
          <w:rFonts w:eastAsia="Times New Roman"/>
        </w:rPr>
        <w:t xml:space="preserve"> and ensure effective implementation</w:t>
      </w:r>
      <w:r w:rsidR="0052204A">
        <w:rPr>
          <w:rFonts w:eastAsia="Times New Roman"/>
        </w:rPr>
        <w:t xml:space="preserve">. </w:t>
      </w:r>
    </w:p>
    <w:p w:rsidR="00FE4C30" w:rsidRDefault="00FE4C30" w:rsidP="00072BE9">
      <w:pPr>
        <w:spacing w:before="240" w:line="240" w:lineRule="auto"/>
        <w:rPr>
          <w:rFonts w:eastAsia="Times New Roman"/>
        </w:rPr>
      </w:pPr>
      <w:r>
        <w:rPr>
          <w:rFonts w:eastAsia="Times New Roman"/>
        </w:rPr>
        <w:t>Planned refurbishment of s</w:t>
      </w:r>
      <w:r w:rsidRPr="008276A4">
        <w:rPr>
          <w:rFonts w:eastAsia="Times New Roman"/>
        </w:rPr>
        <w:t xml:space="preserve">chool infrastructure </w:t>
      </w:r>
      <w:r>
        <w:rPr>
          <w:rFonts w:eastAsia="Times New Roman"/>
        </w:rPr>
        <w:t>was delayed as the needs were found to be greater than expected, requiring revision of cost estimates and plans</w:t>
      </w:r>
      <w:r w:rsidR="00E57B1A">
        <w:rPr>
          <w:rFonts w:eastAsia="Times New Roman"/>
        </w:rPr>
        <w:t>,</w:t>
      </w:r>
      <w:r>
        <w:rPr>
          <w:rFonts w:eastAsia="Times New Roman"/>
        </w:rPr>
        <w:t xml:space="preserve"> but </w:t>
      </w:r>
      <w:r w:rsidRPr="008276A4">
        <w:rPr>
          <w:rFonts w:eastAsia="Times New Roman"/>
        </w:rPr>
        <w:t>construction is now on-track.</w:t>
      </w:r>
    </w:p>
    <w:p w:rsidR="00072BE9" w:rsidRDefault="00072BE9" w:rsidP="00072BE9">
      <w:pPr>
        <w:spacing w:before="240" w:line="240" w:lineRule="auto"/>
        <w:rPr>
          <w:rFonts w:ascii="Cambria" w:hAnsi="Cambria" w:cs="Cambria"/>
          <w:color w:val="auto"/>
          <w:sz w:val="24"/>
          <w:szCs w:val="24"/>
          <w:lang w:val="en-AU" w:bidi="lo-LA"/>
        </w:rPr>
      </w:pPr>
      <w:r w:rsidRPr="0031425F">
        <w:rPr>
          <w:rFonts w:eastAsia="Times New Roman"/>
        </w:rPr>
        <w:t>During the reporting period</w:t>
      </w:r>
      <w:r>
        <w:rPr>
          <w:rFonts w:eastAsia="Times New Roman"/>
        </w:rPr>
        <w:t xml:space="preserve">, BEQUAL </w:t>
      </w:r>
      <w:r w:rsidR="00FE4C30">
        <w:rPr>
          <w:rFonts w:eastAsia="Times New Roman"/>
        </w:rPr>
        <w:t>supported:</w:t>
      </w:r>
    </w:p>
    <w:p w:rsidR="00FE4C30" w:rsidRDefault="00072BE9" w:rsidP="00072BE9">
      <w:pPr>
        <w:pStyle w:val="ListParagraph"/>
        <w:numPr>
          <w:ilvl w:val="0"/>
          <w:numId w:val="38"/>
        </w:numPr>
        <w:spacing w:before="240" w:line="240" w:lineRule="auto"/>
        <w:rPr>
          <w:rFonts w:eastAsia="Times New Roman"/>
        </w:rPr>
      </w:pPr>
      <w:r>
        <w:rPr>
          <w:rFonts w:eastAsia="Times New Roman"/>
        </w:rPr>
        <w:t>the r</w:t>
      </w:r>
      <w:r w:rsidRPr="008276A4">
        <w:rPr>
          <w:rFonts w:eastAsia="Times New Roman"/>
        </w:rPr>
        <w:t>ollout of a professional development program for lecturers in eight Teacher Training Colleges (TTCs)</w:t>
      </w:r>
      <w:r w:rsidR="002B78D1">
        <w:rPr>
          <w:rFonts w:eastAsia="Times New Roman"/>
        </w:rPr>
        <w:t xml:space="preserve"> as planned</w:t>
      </w:r>
      <w:r>
        <w:rPr>
          <w:rFonts w:eastAsia="Times New Roman"/>
        </w:rPr>
        <w:t>;</w:t>
      </w:r>
    </w:p>
    <w:p w:rsidR="00FE4C30" w:rsidRDefault="00FE4C30" w:rsidP="00072BE9">
      <w:pPr>
        <w:pStyle w:val="ListParagraph"/>
        <w:numPr>
          <w:ilvl w:val="0"/>
          <w:numId w:val="38"/>
        </w:numPr>
        <w:spacing w:before="240" w:line="240" w:lineRule="auto"/>
        <w:rPr>
          <w:rFonts w:eastAsia="Times New Roman"/>
        </w:rPr>
      </w:pPr>
      <w:r>
        <w:rPr>
          <w:rFonts w:eastAsia="Times New Roman"/>
        </w:rPr>
        <w:t>Lao</w:t>
      </w:r>
      <w:r w:rsidR="009F22F4">
        <w:rPr>
          <w:rFonts w:eastAsia="Times New Roman"/>
        </w:rPr>
        <w:t xml:space="preserve"> </w:t>
      </w:r>
      <w:r w:rsidR="00E57B1A">
        <w:rPr>
          <w:rFonts w:eastAsia="Times New Roman"/>
        </w:rPr>
        <w:t>G</w:t>
      </w:r>
      <w:r w:rsidR="00072BE9">
        <w:rPr>
          <w:rFonts w:eastAsia="Times New Roman"/>
        </w:rPr>
        <w:t>overnment endorsement of a revised pre-service</w:t>
      </w:r>
      <w:r w:rsidR="002B78D1">
        <w:rPr>
          <w:rFonts w:eastAsia="Times New Roman"/>
        </w:rPr>
        <w:t xml:space="preserve"> curriculum framework as planned </w:t>
      </w:r>
      <w:r w:rsidR="009F22F4">
        <w:rPr>
          <w:rFonts w:eastAsia="Times New Roman"/>
        </w:rPr>
        <w:t>;</w:t>
      </w:r>
    </w:p>
    <w:p w:rsidR="009F22F4" w:rsidRDefault="00072BE9" w:rsidP="00072BE9">
      <w:pPr>
        <w:pStyle w:val="ListParagraph"/>
        <w:numPr>
          <w:ilvl w:val="0"/>
          <w:numId w:val="38"/>
        </w:numPr>
        <w:spacing w:before="240" w:line="240" w:lineRule="auto"/>
        <w:rPr>
          <w:rFonts w:eastAsia="Times New Roman"/>
        </w:rPr>
      </w:pPr>
      <w:r>
        <w:rPr>
          <w:rFonts w:eastAsia="Times New Roman"/>
        </w:rPr>
        <w:t>post</w:t>
      </w:r>
      <w:r w:rsidRPr="008276A4">
        <w:rPr>
          <w:rFonts w:eastAsia="Times New Roman"/>
        </w:rPr>
        <w:t>-graduate training of 47 TTC staff (26 female)</w:t>
      </w:r>
      <w:r w:rsidR="00F647E4">
        <w:rPr>
          <w:rFonts w:eastAsia="Times New Roman"/>
        </w:rPr>
        <w:t xml:space="preserve"> commenced,</w:t>
      </w:r>
      <w:r w:rsidR="002B78D1">
        <w:rPr>
          <w:rFonts w:eastAsia="Times New Roman"/>
        </w:rPr>
        <w:t xml:space="preserve"> exceeding the target of 45 TTC staff</w:t>
      </w:r>
      <w:r w:rsidR="00E57B1A">
        <w:rPr>
          <w:rFonts w:eastAsia="Times New Roman"/>
        </w:rPr>
        <w:t>;</w:t>
      </w:r>
    </w:p>
    <w:p w:rsidR="009F22F4" w:rsidRDefault="009F22F4" w:rsidP="00072BE9">
      <w:pPr>
        <w:pStyle w:val="ListParagraph"/>
        <w:numPr>
          <w:ilvl w:val="0"/>
          <w:numId w:val="38"/>
        </w:numPr>
        <w:spacing w:before="240" w:line="240" w:lineRule="auto"/>
        <w:rPr>
          <w:rFonts w:eastAsia="Times New Roman"/>
        </w:rPr>
      </w:pPr>
      <w:r>
        <w:rPr>
          <w:rFonts w:eastAsia="Times New Roman"/>
        </w:rPr>
        <w:t>Lao to non-Lao training of</w:t>
      </w:r>
      <w:r w:rsidR="00072BE9">
        <w:rPr>
          <w:rFonts w:eastAsia="Times New Roman"/>
        </w:rPr>
        <w:t xml:space="preserve"> </w:t>
      </w:r>
      <w:r w:rsidR="00072BE9" w:rsidRPr="008276A4">
        <w:rPr>
          <w:rFonts w:eastAsia="Times New Roman"/>
        </w:rPr>
        <w:t xml:space="preserve">155 teachers (58 </w:t>
      </w:r>
      <w:r w:rsidR="00072BE9">
        <w:rPr>
          <w:rFonts w:eastAsia="Times New Roman"/>
        </w:rPr>
        <w:t>f</w:t>
      </w:r>
      <w:r w:rsidR="00072BE9" w:rsidRPr="008276A4">
        <w:rPr>
          <w:rFonts w:eastAsia="Times New Roman"/>
        </w:rPr>
        <w:t>emale)</w:t>
      </w:r>
      <w:r w:rsidR="00F647E4">
        <w:rPr>
          <w:rFonts w:eastAsia="Times New Roman"/>
        </w:rPr>
        <w:t xml:space="preserve"> as planned</w:t>
      </w:r>
      <w:r w:rsidR="00DA4E3A">
        <w:rPr>
          <w:rFonts w:eastAsia="Times New Roman"/>
        </w:rPr>
        <w:t>;</w:t>
      </w:r>
      <w:r w:rsidR="00072BE9" w:rsidRPr="008276A4">
        <w:rPr>
          <w:rFonts w:eastAsia="Times New Roman"/>
        </w:rPr>
        <w:t xml:space="preserve"> </w:t>
      </w:r>
    </w:p>
    <w:p w:rsidR="00FE4C30" w:rsidRDefault="009F22F4" w:rsidP="00072BE9">
      <w:pPr>
        <w:pStyle w:val="ListParagraph"/>
        <w:numPr>
          <w:ilvl w:val="0"/>
          <w:numId w:val="38"/>
        </w:numPr>
        <w:spacing w:before="240" w:line="240" w:lineRule="auto"/>
        <w:rPr>
          <w:rFonts w:eastAsia="Times New Roman"/>
        </w:rPr>
      </w:pPr>
      <w:r>
        <w:rPr>
          <w:rFonts w:eastAsia="Times New Roman"/>
        </w:rPr>
        <w:t xml:space="preserve">4-week Lao to non-Lao teaching of </w:t>
      </w:r>
      <w:r w:rsidR="00072BE9" w:rsidRPr="008276A4">
        <w:rPr>
          <w:rFonts w:eastAsia="Times New Roman"/>
        </w:rPr>
        <w:t>2,961 (1,401 female) grade 1 children in 150 schools</w:t>
      </w:r>
      <w:r w:rsidR="00F647E4">
        <w:rPr>
          <w:rFonts w:eastAsia="Times New Roman"/>
        </w:rPr>
        <w:t xml:space="preserve"> as planned</w:t>
      </w:r>
      <w:r w:rsidR="00DA4E3A">
        <w:rPr>
          <w:rFonts w:eastAsia="Times New Roman"/>
        </w:rPr>
        <w:t>; and</w:t>
      </w:r>
    </w:p>
    <w:p w:rsidR="00FE4C30" w:rsidRPr="00FE4C30" w:rsidRDefault="00072BE9" w:rsidP="00FE4C30">
      <w:pPr>
        <w:pStyle w:val="ListParagraph"/>
        <w:numPr>
          <w:ilvl w:val="0"/>
          <w:numId w:val="38"/>
        </w:numPr>
        <w:spacing w:before="240" w:line="240" w:lineRule="auto"/>
        <w:rPr>
          <w:rFonts w:eastAsia="Times New Roman"/>
        </w:rPr>
      </w:pPr>
      <w:r w:rsidRPr="008276A4">
        <w:rPr>
          <w:rFonts w:eastAsia="Times New Roman"/>
        </w:rPr>
        <w:t>communit</w:t>
      </w:r>
      <w:r>
        <w:rPr>
          <w:rFonts w:eastAsia="Times New Roman"/>
        </w:rPr>
        <w:t>y-</w:t>
      </w:r>
      <w:r w:rsidRPr="008276A4">
        <w:rPr>
          <w:rFonts w:eastAsia="Times New Roman"/>
        </w:rPr>
        <w:t>based reading activities</w:t>
      </w:r>
      <w:r>
        <w:rPr>
          <w:rFonts w:eastAsia="Times New Roman"/>
        </w:rPr>
        <w:t xml:space="preserve"> </w:t>
      </w:r>
      <w:r w:rsidRPr="008276A4">
        <w:rPr>
          <w:rFonts w:eastAsia="Times New Roman"/>
        </w:rPr>
        <w:t>in 171 villages</w:t>
      </w:r>
      <w:r w:rsidR="00F647E4">
        <w:rPr>
          <w:rFonts w:eastAsia="Times New Roman"/>
        </w:rPr>
        <w:t xml:space="preserve"> as planned</w:t>
      </w:r>
      <w:r>
        <w:rPr>
          <w:rFonts w:eastAsia="Times New Roman"/>
        </w:rPr>
        <w:t>.</w:t>
      </w:r>
      <w:r w:rsidRPr="008276A4">
        <w:rPr>
          <w:rFonts w:eastAsia="Times New Roman"/>
        </w:rPr>
        <w:t xml:space="preserve"> </w:t>
      </w:r>
    </w:p>
    <w:p w:rsidR="00072BE9" w:rsidRDefault="00072BE9" w:rsidP="00072BE9">
      <w:pPr>
        <w:spacing w:before="240" w:line="240" w:lineRule="auto"/>
        <w:rPr>
          <w:rFonts w:eastAsia="Times New Roman"/>
          <w:lang w:bidi="lo-LA"/>
        </w:rPr>
      </w:pPr>
      <w:r>
        <w:rPr>
          <w:rFonts w:eastAsia="Times New Roman"/>
        </w:rPr>
        <w:t xml:space="preserve">Over the reporting period, the program reported the </w:t>
      </w:r>
      <w:r w:rsidRPr="00050907">
        <w:rPr>
          <w:rFonts w:eastAsia="Times New Roman"/>
        </w:rPr>
        <w:t>mainstreaming</w:t>
      </w:r>
      <w:r>
        <w:rPr>
          <w:rFonts w:eastAsia="Times New Roman"/>
        </w:rPr>
        <w:t xml:space="preserve"> of institutional</w:t>
      </w:r>
      <w:r w:rsidRPr="00050907">
        <w:rPr>
          <w:rFonts w:eastAsia="Times New Roman"/>
        </w:rPr>
        <w:t xml:space="preserve"> gender equality approaches </w:t>
      </w:r>
      <w:r>
        <w:rPr>
          <w:rFonts w:eastAsia="Times New Roman"/>
        </w:rPr>
        <w:t>and i</w:t>
      </w:r>
      <w:r w:rsidRPr="00050907">
        <w:rPr>
          <w:rFonts w:eastAsia="Times New Roman"/>
        </w:rPr>
        <w:t xml:space="preserve">mproved inclusive education planning </w:t>
      </w:r>
      <w:r>
        <w:rPr>
          <w:rFonts w:eastAsia="Times New Roman"/>
        </w:rPr>
        <w:t xml:space="preserve">practices aimed at </w:t>
      </w:r>
      <w:r w:rsidRPr="00050907">
        <w:rPr>
          <w:rFonts w:eastAsia="Times New Roman"/>
        </w:rPr>
        <w:t>increas</w:t>
      </w:r>
      <w:r>
        <w:rPr>
          <w:rFonts w:eastAsia="Times New Roman"/>
        </w:rPr>
        <w:t>ing</w:t>
      </w:r>
      <w:r w:rsidRPr="00050907">
        <w:rPr>
          <w:rFonts w:eastAsia="Times New Roman"/>
        </w:rPr>
        <w:t xml:space="preserve"> attendance of girls and children with a disability. </w:t>
      </w:r>
      <w:r>
        <w:rPr>
          <w:rFonts w:eastAsia="Times New Roman"/>
        </w:rPr>
        <w:t xml:space="preserve">Through the primary curriculum revision process, the RIES curriculum development team received training on gender and social inclusion leading to improved gender equality representation in </w:t>
      </w:r>
      <w:r w:rsidRPr="00F30318">
        <w:rPr>
          <w:rFonts w:eastAsia="Times New Roman"/>
        </w:rPr>
        <w:t>the textbooks</w:t>
      </w:r>
      <w:r>
        <w:rPr>
          <w:rFonts w:eastAsia="Times New Roman"/>
        </w:rPr>
        <w:t>, e.g.</w:t>
      </w:r>
      <w:r w:rsidRPr="00F30318">
        <w:rPr>
          <w:rFonts w:eastAsia="Times New Roman"/>
        </w:rPr>
        <w:t xml:space="preserve"> </w:t>
      </w:r>
      <w:r>
        <w:rPr>
          <w:rFonts w:eastAsia="Times New Roman"/>
        </w:rPr>
        <w:t xml:space="preserve">inclusion of </w:t>
      </w:r>
      <w:r w:rsidRPr="00F30318">
        <w:rPr>
          <w:rFonts w:eastAsia="Times New Roman"/>
        </w:rPr>
        <w:t xml:space="preserve">pictures and stories of girls going to school or </w:t>
      </w:r>
      <w:r>
        <w:rPr>
          <w:rFonts w:eastAsia="Times New Roman"/>
        </w:rPr>
        <w:t xml:space="preserve">women </w:t>
      </w:r>
      <w:r w:rsidRPr="00F30318">
        <w:rPr>
          <w:rFonts w:eastAsia="Times New Roman"/>
        </w:rPr>
        <w:t>working as teachers.</w:t>
      </w:r>
      <w:r>
        <w:rPr>
          <w:rFonts w:eastAsia="Times New Roman"/>
        </w:rPr>
        <w:t xml:space="preserve"> </w:t>
      </w:r>
    </w:p>
    <w:p w:rsidR="00072BE9" w:rsidRDefault="00072BE9" w:rsidP="00072BE9">
      <w:pPr>
        <w:rPr>
          <w:rFonts w:eastAsia="Times New Roman"/>
        </w:rPr>
      </w:pPr>
      <w:r>
        <w:rPr>
          <w:rFonts w:eastAsia="Times New Roman"/>
        </w:rPr>
        <w:t xml:space="preserve">Laos also benefits from Australian funds pledged to the </w:t>
      </w:r>
      <w:r w:rsidRPr="007A0BAF">
        <w:rPr>
          <w:rFonts w:eastAsia="Times New Roman"/>
        </w:rPr>
        <w:t>Global Partnership for Education (GPE)</w:t>
      </w:r>
      <w:r>
        <w:rPr>
          <w:rFonts w:eastAsia="Times New Roman"/>
        </w:rPr>
        <w:t>. GPE strengthens Laos’ basic education system by promoting quality fully-costed education sector plans, increasing domestic resource mobilisation and focusing on results</w:t>
      </w:r>
      <w:r w:rsidRPr="007A0BAF">
        <w:rPr>
          <w:rFonts w:eastAsia="Times New Roman"/>
        </w:rPr>
        <w:t>.</w:t>
      </w:r>
      <w:r>
        <w:rPr>
          <w:rFonts w:eastAsia="Times New Roman"/>
        </w:rPr>
        <w:t xml:space="preserve"> Given </w:t>
      </w:r>
      <w:r w:rsidR="00CC6748">
        <w:rPr>
          <w:rFonts w:eastAsia="Times New Roman"/>
        </w:rPr>
        <w:t xml:space="preserve">our </w:t>
      </w:r>
      <w:r>
        <w:rPr>
          <w:rFonts w:eastAsia="Times New Roman"/>
        </w:rPr>
        <w:t>prominen</w:t>
      </w:r>
      <w:r w:rsidR="00CC6748">
        <w:rPr>
          <w:rFonts w:eastAsia="Times New Roman"/>
        </w:rPr>
        <w:t>ce</w:t>
      </w:r>
      <w:r>
        <w:rPr>
          <w:rFonts w:eastAsia="Times New Roman"/>
        </w:rPr>
        <w:t xml:space="preserve"> in the sector,</w:t>
      </w:r>
      <w:r w:rsidRPr="007A0BAF">
        <w:rPr>
          <w:rFonts w:eastAsia="Times New Roman"/>
        </w:rPr>
        <w:t xml:space="preserve"> Australia is </w:t>
      </w:r>
      <w:r>
        <w:rPr>
          <w:rFonts w:eastAsia="Times New Roman"/>
        </w:rPr>
        <w:t xml:space="preserve">the </w:t>
      </w:r>
      <w:r w:rsidRPr="007A0BAF">
        <w:rPr>
          <w:rFonts w:eastAsia="Times New Roman"/>
        </w:rPr>
        <w:t xml:space="preserve">Coordinating Agency of </w:t>
      </w:r>
      <w:r>
        <w:rPr>
          <w:rFonts w:eastAsia="Times New Roman"/>
        </w:rPr>
        <w:t>GPE</w:t>
      </w:r>
      <w:r w:rsidRPr="007A0BAF">
        <w:rPr>
          <w:rFonts w:eastAsia="Times New Roman"/>
        </w:rPr>
        <w:t xml:space="preserve"> </w:t>
      </w:r>
      <w:r>
        <w:rPr>
          <w:rFonts w:eastAsia="Times New Roman"/>
        </w:rPr>
        <w:t xml:space="preserve">in Laos </w:t>
      </w:r>
      <w:r w:rsidRPr="007A0BAF">
        <w:rPr>
          <w:rFonts w:eastAsia="Times New Roman"/>
        </w:rPr>
        <w:t>and helped to coalesce development partners in support of MOES’ proposed restructure of its GPE program.</w:t>
      </w:r>
      <w:r>
        <w:rPr>
          <w:rFonts w:eastAsia="Times New Roman"/>
        </w:rPr>
        <w:t xml:space="preserve"> </w:t>
      </w:r>
    </w:p>
    <w:p w:rsidR="00961906" w:rsidRDefault="00072BE9" w:rsidP="00932493">
      <w:pPr>
        <w:spacing w:before="240" w:after="240" w:line="240" w:lineRule="auto"/>
        <w:rPr>
          <w:rFonts w:asciiTheme="majorHAnsi" w:eastAsiaTheme="majorEastAsia" w:hAnsiTheme="majorHAnsi" w:cstheme="majorBidi"/>
          <w:caps/>
          <w:sz w:val="38"/>
          <w:szCs w:val="26"/>
        </w:rPr>
      </w:pPr>
      <w:r>
        <w:rPr>
          <w:rFonts w:eastAsia="Times New Roman"/>
        </w:rPr>
        <w:lastRenderedPageBreak/>
        <w:t>Fuelled by these efforts and investments, Australia has continued to lead broad education policy dialogue between the Lao Government and development partners.  As co-chair of the Education Sector Working Group and Informal Education Development Partner Working Group, we supported</w:t>
      </w:r>
      <w:r w:rsidR="00B743BE">
        <w:rPr>
          <w:rFonts w:eastAsia="Times New Roman"/>
        </w:rPr>
        <w:t xml:space="preserve"> the MOES</w:t>
      </w:r>
      <w:r>
        <w:rPr>
          <w:rFonts w:eastAsia="Times New Roman"/>
        </w:rPr>
        <w:t xml:space="preserve"> to provide quality input to the Roundtable Meeting</w:t>
      </w:r>
      <w:r w:rsidR="000348F9">
        <w:rPr>
          <w:rFonts w:eastAsia="Times New Roman"/>
        </w:rPr>
        <w:t xml:space="preserve"> between the Lao Government and donors</w:t>
      </w:r>
      <w:r>
        <w:rPr>
          <w:rFonts w:eastAsia="Times New Roman"/>
        </w:rPr>
        <w:t xml:space="preserve"> and bring forward education sector progress and challenges to a wide audience. MOES has shared its education sector report with the ESWG for the first time. We are supporting the review of the Education Sector Development Plan in 2018.</w:t>
      </w:r>
    </w:p>
    <w:p w:rsidR="00145CB8" w:rsidRDefault="00145CB8" w:rsidP="00932493">
      <w:pPr>
        <w:spacing w:before="240" w:after="240" w:line="240" w:lineRule="auto"/>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2: IMPROVING LAOS’ HUMAN RESOURCES THROUGH SCHOLARSHIPS, TRAINING AND ORGANISATIONAL CAPACITY BUILDING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145CB8" w:rsidRPr="00695730" w:rsidTr="008231CA">
        <w:tc>
          <w:tcPr>
            <w:tcW w:w="2016" w:type="dxa"/>
          </w:tcPr>
          <w:p w:rsidR="00145CB8" w:rsidRPr="00695730" w:rsidRDefault="00145CB8" w:rsidP="008231CA">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E828EDB" wp14:editId="01AF534F">
                  <wp:extent cx="1137600" cy="720000"/>
                  <wp:effectExtent l="0" t="0" r="5715"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145CB8" w:rsidRPr="00695730" w:rsidRDefault="00145CB8" w:rsidP="008231CA">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Franklin Gothic Book" w:eastAsia="Times New Roman" w:hAnsi="Franklin Gothic Book" w:cs="Times New Roman"/>
                <w:noProof/>
                <w:color w:val="auto"/>
                <w:sz w:val="21"/>
                <w:szCs w:val="24"/>
                <w:lang w:val="en-AU" w:eastAsia="en-AU"/>
              </w:rPr>
              <w:drawing>
                <wp:inline distT="0" distB="0" distL="0" distR="0" wp14:anchorId="3E1BB8D1" wp14:editId="488E0FD5">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145CB8" w:rsidRPr="00695730" w:rsidRDefault="00145CB8" w:rsidP="008231C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0D022A0F" wp14:editId="27144676">
                  <wp:extent cx="611505" cy="6115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inline>
              </w:drawing>
            </w:r>
          </w:p>
        </w:tc>
        <w:tc>
          <w:tcPr>
            <w:tcW w:w="1906" w:type="dxa"/>
          </w:tcPr>
          <w:p w:rsidR="00145CB8" w:rsidRPr="00695730" w:rsidRDefault="00145CB8" w:rsidP="008231C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FDFDB82" wp14:editId="59F4DE5F">
                  <wp:extent cx="609600" cy="609600"/>
                  <wp:effectExtent l="0" t="0" r="0" b="0"/>
                  <wp:docPr id="53" name="Picture 5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rsidR="00145CB8" w:rsidRPr="00695730" w:rsidRDefault="00145CB8" w:rsidP="008231C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2203BBAE" wp14:editId="0443BB89">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A230C8" w:rsidRPr="00145CB8" w:rsidRDefault="00A230C8" w:rsidP="00A230C8">
      <w:pPr>
        <w:spacing w:before="240" w:line="240" w:lineRule="auto"/>
        <w:rPr>
          <w:rFonts w:eastAsia="Times New Roman"/>
        </w:rPr>
      </w:pPr>
      <w:r w:rsidRPr="00145CB8">
        <w:rPr>
          <w:rFonts w:eastAsia="Times New Roman"/>
        </w:rPr>
        <w:t>Austra</w:t>
      </w:r>
      <w:r>
        <w:rPr>
          <w:rFonts w:eastAsia="Times New Roman"/>
        </w:rPr>
        <w:t>lia delivers this objective</w:t>
      </w:r>
      <w:r w:rsidRPr="00145CB8">
        <w:rPr>
          <w:rFonts w:eastAsia="Times New Roman"/>
        </w:rPr>
        <w:t xml:space="preserve"> through the </w:t>
      </w:r>
      <w:r w:rsidRPr="00B8158B">
        <w:rPr>
          <w:rFonts w:eastAsia="Times New Roman"/>
          <w:b/>
        </w:rPr>
        <w:t>Laos Australia Institute</w:t>
      </w:r>
      <w:r w:rsidRPr="00145CB8">
        <w:rPr>
          <w:rFonts w:eastAsia="Times New Roman"/>
        </w:rPr>
        <w:t xml:space="preserve"> (LAI) Phase II</w:t>
      </w:r>
      <w:r>
        <w:rPr>
          <w:rFonts w:eastAsia="Times New Roman"/>
        </w:rPr>
        <w:t>,</w:t>
      </w:r>
      <w:r w:rsidRPr="00145CB8">
        <w:rPr>
          <w:rFonts w:eastAsia="Times New Roman"/>
        </w:rPr>
        <w:t xml:space="preserve"> a four-year program that delivers scholarships, training, organisational capacity building and policy dialogue.</w:t>
      </w:r>
      <w:r>
        <w:rPr>
          <w:rFonts w:eastAsia="Times New Roman"/>
        </w:rPr>
        <w:t xml:space="preserve">  The Australian Volunteers Program and our other scholarships programs including </w:t>
      </w:r>
      <w:r w:rsidR="00E57B1A">
        <w:rPr>
          <w:rFonts w:eastAsia="Times New Roman"/>
        </w:rPr>
        <w:t>in d</w:t>
      </w:r>
      <w:r>
        <w:rPr>
          <w:rFonts w:eastAsia="Times New Roman"/>
        </w:rPr>
        <w:t xml:space="preserve">efence and </w:t>
      </w:r>
      <w:r w:rsidR="00E57B1A">
        <w:rPr>
          <w:rFonts w:eastAsia="Times New Roman"/>
        </w:rPr>
        <w:t>agricultural research</w:t>
      </w:r>
      <w:r>
        <w:rPr>
          <w:rFonts w:eastAsia="Times New Roman"/>
        </w:rPr>
        <w:t xml:space="preserve"> also contribute to Laos’ human resource development</w:t>
      </w:r>
      <w:r w:rsidR="00F605E3">
        <w:rPr>
          <w:rFonts w:eastAsia="Times New Roman"/>
        </w:rPr>
        <w:t xml:space="preserve"> (HRD)</w:t>
      </w:r>
      <w:r>
        <w:rPr>
          <w:rFonts w:eastAsia="Times New Roman"/>
        </w:rPr>
        <w:t xml:space="preserve"> goals. </w:t>
      </w:r>
    </w:p>
    <w:p w:rsidR="00145CB8" w:rsidRDefault="00145CB8" w:rsidP="00145CB8">
      <w:pPr>
        <w:spacing w:before="240" w:line="240" w:lineRule="auto"/>
        <w:rPr>
          <w:rFonts w:eastAsia="Times New Roman"/>
        </w:rPr>
      </w:pPr>
      <w:r>
        <w:rPr>
          <w:rFonts w:eastAsia="Times New Roman"/>
        </w:rPr>
        <w:t>This objective is rated green because the performanc</w:t>
      </w:r>
      <w:r w:rsidR="00492E19">
        <w:rPr>
          <w:rFonts w:eastAsia="Times New Roman"/>
        </w:rPr>
        <w:t>e benchmarks have been exceeded</w:t>
      </w:r>
      <w:r w:rsidR="00F605E3">
        <w:rPr>
          <w:rFonts w:eastAsia="Times New Roman"/>
        </w:rPr>
        <w:t>,</w:t>
      </w:r>
      <w:r w:rsidR="00492E19">
        <w:rPr>
          <w:rFonts w:eastAsia="Times New Roman"/>
        </w:rPr>
        <w:t xml:space="preserve"> and scholarships continue to be a valued and pivotal element of Australia’s relationship with Laos.</w:t>
      </w:r>
      <w:r w:rsidR="00DD2CB0">
        <w:rPr>
          <w:rFonts w:eastAsia="Times New Roman"/>
        </w:rPr>
        <w:t xml:space="preserve"> </w:t>
      </w:r>
    </w:p>
    <w:p w:rsidR="00B001B5" w:rsidRPr="00145CB8" w:rsidRDefault="00B001B5" w:rsidP="00145CB8">
      <w:pPr>
        <w:spacing w:before="240" w:line="240" w:lineRule="auto"/>
        <w:rPr>
          <w:rFonts w:eastAsia="Times New Roman"/>
        </w:rPr>
      </w:pPr>
      <w:r w:rsidRPr="00145CB8">
        <w:rPr>
          <w:rFonts w:eastAsia="Times New Roman"/>
        </w:rPr>
        <w:t xml:space="preserve">Skilled workers </w:t>
      </w:r>
      <w:r w:rsidR="00145CB8">
        <w:rPr>
          <w:rFonts w:eastAsia="Times New Roman"/>
        </w:rPr>
        <w:t>are</w:t>
      </w:r>
      <w:r w:rsidRPr="00145CB8">
        <w:rPr>
          <w:rFonts w:eastAsia="Times New Roman"/>
        </w:rPr>
        <w:t xml:space="preserve"> scarce in key sectors of Laos’ economy, presenting a</w:t>
      </w:r>
      <w:r w:rsidR="00A03D02">
        <w:rPr>
          <w:rFonts w:eastAsia="Times New Roman"/>
        </w:rPr>
        <w:t>n</w:t>
      </w:r>
      <w:r w:rsidRPr="00145CB8">
        <w:rPr>
          <w:rFonts w:eastAsia="Times New Roman"/>
        </w:rPr>
        <w:t xml:space="preserve"> obstacle to economic growth and diversification.</w:t>
      </w:r>
      <w:r w:rsidRPr="00145CB8">
        <w:rPr>
          <w:rFonts w:eastAsia="Times New Roman"/>
          <w:vertAlign w:val="superscript"/>
        </w:rPr>
        <w:footnoteReference w:id="1"/>
      </w:r>
      <w:r w:rsidRPr="00145CB8">
        <w:rPr>
          <w:rFonts w:eastAsia="Times New Roman"/>
        </w:rPr>
        <w:t xml:space="preserve"> The informal economy remains the dominant source of employmen</w:t>
      </w:r>
      <w:r w:rsidR="00145CB8">
        <w:rPr>
          <w:rFonts w:eastAsia="Times New Roman"/>
        </w:rPr>
        <w:t>t</w:t>
      </w:r>
      <w:r w:rsidR="00A03D02">
        <w:rPr>
          <w:rFonts w:eastAsia="Times New Roman"/>
        </w:rPr>
        <w:t>. W</w:t>
      </w:r>
      <w:r w:rsidRPr="00145CB8">
        <w:rPr>
          <w:rFonts w:eastAsia="Times New Roman"/>
        </w:rPr>
        <w:t xml:space="preserve">omen, people living with disability and ethnic minorities face barriers to their full and equitable participation. </w:t>
      </w:r>
      <w:r w:rsidR="00A03D02">
        <w:rPr>
          <w:rFonts w:eastAsia="Times New Roman"/>
        </w:rPr>
        <w:t>Laos</w:t>
      </w:r>
      <w:r w:rsidRPr="00145CB8">
        <w:rPr>
          <w:rFonts w:eastAsia="Times New Roman"/>
        </w:rPr>
        <w:t xml:space="preserve"> is seeking to improve the development and management of its human capital, particularly in the civil service, to meet the country’s needs. </w:t>
      </w:r>
    </w:p>
    <w:p w:rsidR="00B001B5" w:rsidRPr="00145CB8" w:rsidRDefault="009F22F4" w:rsidP="00145CB8">
      <w:pPr>
        <w:spacing w:before="240" w:line="240" w:lineRule="auto"/>
        <w:rPr>
          <w:rFonts w:eastAsia="Times New Roman"/>
        </w:rPr>
      </w:pPr>
      <w:r w:rsidRPr="00145CB8">
        <w:rPr>
          <w:rFonts w:eastAsia="Times New Roman"/>
        </w:rPr>
        <w:t>During the reporting period</w:t>
      </w:r>
      <w:r>
        <w:rPr>
          <w:rFonts w:eastAsia="Times New Roman"/>
        </w:rPr>
        <w:t xml:space="preserve">, </w:t>
      </w:r>
      <w:r w:rsidR="00B001B5" w:rsidRPr="00145CB8">
        <w:rPr>
          <w:rFonts w:eastAsia="Times New Roman"/>
        </w:rPr>
        <w:t>LAI successfully managed the Australia Awards 2018 intake selection processes</w:t>
      </w:r>
      <w:r w:rsidR="004840CA">
        <w:rPr>
          <w:rFonts w:eastAsia="Times New Roman"/>
        </w:rPr>
        <w:t xml:space="preserve">, </w:t>
      </w:r>
      <w:r w:rsidR="00885176">
        <w:rPr>
          <w:rFonts w:eastAsia="Times New Roman"/>
        </w:rPr>
        <w:t>four</w:t>
      </w:r>
      <w:r w:rsidR="00B001B5" w:rsidRPr="00145CB8">
        <w:rPr>
          <w:rFonts w:eastAsia="Times New Roman"/>
        </w:rPr>
        <w:t xml:space="preserve"> students successfully completed their studies</w:t>
      </w:r>
      <w:r w:rsidR="00DD2CB0">
        <w:rPr>
          <w:rFonts w:eastAsia="Times New Roman"/>
        </w:rPr>
        <w:t>. Ninety-eight</w:t>
      </w:r>
      <w:r w:rsidR="00B001B5" w:rsidRPr="00145CB8">
        <w:rPr>
          <w:rFonts w:eastAsia="Times New Roman"/>
        </w:rPr>
        <w:t xml:space="preserve"> </w:t>
      </w:r>
      <w:r w:rsidR="00885176">
        <w:rPr>
          <w:rFonts w:eastAsia="Times New Roman"/>
        </w:rPr>
        <w:t>per cent</w:t>
      </w:r>
      <w:r w:rsidR="00B001B5" w:rsidRPr="00145CB8">
        <w:rPr>
          <w:rFonts w:eastAsia="Times New Roman"/>
        </w:rPr>
        <w:t xml:space="preserve"> of </w:t>
      </w:r>
      <w:r w:rsidR="00885176">
        <w:rPr>
          <w:rFonts w:eastAsia="Times New Roman"/>
        </w:rPr>
        <w:t>a</w:t>
      </w:r>
      <w:r w:rsidR="00B001B5" w:rsidRPr="00145CB8">
        <w:rPr>
          <w:rFonts w:eastAsia="Times New Roman"/>
        </w:rPr>
        <w:t>lumni were found to be using their new skills to contribute to Laos’ development</w:t>
      </w:r>
      <w:r w:rsidR="00DD2CB0">
        <w:rPr>
          <w:rFonts w:eastAsia="Times New Roman"/>
        </w:rPr>
        <w:t xml:space="preserve"> achieving the benchmark of 90 per cent</w:t>
      </w:r>
      <w:r w:rsidR="00B001B5" w:rsidRPr="00145CB8">
        <w:rPr>
          <w:rFonts w:eastAsia="Times New Roman"/>
        </w:rPr>
        <w:t xml:space="preserve">. </w:t>
      </w:r>
      <w:r>
        <w:rPr>
          <w:rFonts w:eastAsia="Times New Roman"/>
        </w:rPr>
        <w:t xml:space="preserve"> </w:t>
      </w:r>
      <w:r w:rsidR="00240F56">
        <w:rPr>
          <w:rFonts w:eastAsia="Times New Roman"/>
        </w:rPr>
        <w:t>From surveys, 95</w:t>
      </w:r>
      <w:r w:rsidR="00254F4B">
        <w:rPr>
          <w:rFonts w:eastAsia="Times New Roman"/>
        </w:rPr>
        <w:t xml:space="preserve"> per cent of Australia Awards </w:t>
      </w:r>
      <w:r w:rsidR="00240F56">
        <w:rPr>
          <w:rFonts w:eastAsia="Times New Roman"/>
        </w:rPr>
        <w:t xml:space="preserve">alumni </w:t>
      </w:r>
      <w:r w:rsidR="00254F4B">
        <w:rPr>
          <w:rFonts w:eastAsia="Times New Roman"/>
        </w:rPr>
        <w:t xml:space="preserve">were contributing to targeted areas of </w:t>
      </w:r>
      <w:r w:rsidR="00240F56">
        <w:rPr>
          <w:rFonts w:eastAsia="Times New Roman"/>
        </w:rPr>
        <w:t xml:space="preserve">Lao-Australia </w:t>
      </w:r>
      <w:r w:rsidR="00254F4B">
        <w:rPr>
          <w:rFonts w:eastAsia="Times New Roman"/>
        </w:rPr>
        <w:t>cooperation surpassing the</w:t>
      </w:r>
      <w:r w:rsidR="00240F56">
        <w:rPr>
          <w:rFonts w:eastAsia="Times New Roman"/>
        </w:rPr>
        <w:t xml:space="preserve"> benchmark of 10 per cent, due to the broad definition of cooperation.</w:t>
      </w:r>
      <w:r w:rsidR="00254F4B">
        <w:rPr>
          <w:rFonts w:eastAsia="Times New Roman"/>
        </w:rPr>
        <w:t xml:space="preserve">  </w:t>
      </w:r>
      <w:r w:rsidR="00240F56">
        <w:rPr>
          <w:rFonts w:eastAsia="Times New Roman"/>
        </w:rPr>
        <w:t>T</w:t>
      </w:r>
      <w:r w:rsidR="00B001B5" w:rsidRPr="00145CB8">
        <w:rPr>
          <w:rFonts w:eastAsia="Times New Roman"/>
        </w:rPr>
        <w:t>here were a handful of scholarship variations due to poor</w:t>
      </w:r>
      <w:r w:rsidR="00F605E3">
        <w:rPr>
          <w:rFonts w:eastAsia="Times New Roman"/>
        </w:rPr>
        <w:t xml:space="preserve"> student</w:t>
      </w:r>
      <w:r w:rsidR="00B001B5" w:rsidRPr="00145CB8">
        <w:rPr>
          <w:rFonts w:eastAsia="Times New Roman"/>
        </w:rPr>
        <w:t xml:space="preserve"> performance in 2017-18. As a result</w:t>
      </w:r>
      <w:r w:rsidR="00885176">
        <w:rPr>
          <w:rFonts w:eastAsia="Times New Roman"/>
        </w:rPr>
        <w:t>,</w:t>
      </w:r>
      <w:r w:rsidR="00B001B5" w:rsidRPr="00145CB8">
        <w:rPr>
          <w:rFonts w:eastAsia="Times New Roman"/>
        </w:rPr>
        <w:t xml:space="preserve"> LAI </w:t>
      </w:r>
      <w:r w:rsidR="00173C51">
        <w:rPr>
          <w:rFonts w:eastAsia="Times New Roman"/>
        </w:rPr>
        <w:t>revised</w:t>
      </w:r>
      <w:r w:rsidR="00B001B5" w:rsidRPr="00145CB8">
        <w:rPr>
          <w:rFonts w:eastAsia="Times New Roman"/>
        </w:rPr>
        <w:t xml:space="preserve"> the academic risk assessment of candidates for the 2019 intake. LAI also began improvements to the Laos Australia National Scholarships (LANS), initiating a redesign of the scholarship’s Academic Support Program</w:t>
      </w:r>
      <w:r w:rsidR="00F605E3">
        <w:rPr>
          <w:rFonts w:eastAsia="Times New Roman"/>
        </w:rPr>
        <w:t>,</w:t>
      </w:r>
      <w:r w:rsidR="00B001B5" w:rsidRPr="00145CB8">
        <w:rPr>
          <w:rFonts w:eastAsia="Times New Roman"/>
        </w:rPr>
        <w:t xml:space="preserve"> and implementing stricter governance and financial management mechanisms. The 2017 LANS intake exceeded program targets with awardees being 57</w:t>
      </w:r>
      <w:r w:rsidR="00885176">
        <w:rPr>
          <w:rFonts w:eastAsia="Times New Roman"/>
        </w:rPr>
        <w:t xml:space="preserve"> per cent</w:t>
      </w:r>
      <w:r w:rsidR="00B001B5" w:rsidRPr="00145CB8">
        <w:rPr>
          <w:rFonts w:eastAsia="Times New Roman"/>
        </w:rPr>
        <w:t xml:space="preserve"> women, 11</w:t>
      </w:r>
      <w:r w:rsidR="00885176">
        <w:rPr>
          <w:rFonts w:eastAsia="Times New Roman"/>
        </w:rPr>
        <w:t xml:space="preserve"> per</w:t>
      </w:r>
      <w:r w:rsidR="00637FAF">
        <w:rPr>
          <w:rFonts w:eastAsia="Times New Roman"/>
        </w:rPr>
        <w:t xml:space="preserve"> </w:t>
      </w:r>
      <w:r w:rsidR="00885176">
        <w:rPr>
          <w:rFonts w:eastAsia="Times New Roman"/>
        </w:rPr>
        <w:t xml:space="preserve">cent </w:t>
      </w:r>
      <w:r w:rsidR="00B001B5" w:rsidRPr="00145CB8">
        <w:rPr>
          <w:rFonts w:eastAsia="Times New Roman"/>
        </w:rPr>
        <w:t xml:space="preserve">living with </w:t>
      </w:r>
      <w:r w:rsidR="00885176">
        <w:rPr>
          <w:rFonts w:eastAsia="Times New Roman"/>
        </w:rPr>
        <w:t>d</w:t>
      </w:r>
      <w:r w:rsidR="00B001B5" w:rsidRPr="00145CB8">
        <w:rPr>
          <w:rFonts w:eastAsia="Times New Roman"/>
        </w:rPr>
        <w:t>isability and 72</w:t>
      </w:r>
      <w:r w:rsidR="00885176">
        <w:rPr>
          <w:rFonts w:eastAsia="Times New Roman"/>
        </w:rPr>
        <w:t xml:space="preserve"> per cent </w:t>
      </w:r>
      <w:r w:rsidR="00B001B5" w:rsidRPr="00145CB8">
        <w:rPr>
          <w:rFonts w:eastAsia="Times New Roman"/>
        </w:rPr>
        <w:t xml:space="preserve">from ethnic minorities. </w:t>
      </w:r>
    </w:p>
    <w:p w:rsidR="00B001B5" w:rsidRPr="00145CB8" w:rsidRDefault="00885176" w:rsidP="00145CB8">
      <w:pPr>
        <w:spacing w:before="240" w:line="240" w:lineRule="auto"/>
        <w:rPr>
          <w:rFonts w:eastAsia="Times New Roman"/>
        </w:rPr>
      </w:pPr>
      <w:r>
        <w:rPr>
          <w:rFonts w:eastAsia="Times New Roman"/>
        </w:rPr>
        <w:t>S</w:t>
      </w:r>
      <w:r w:rsidR="00B001B5" w:rsidRPr="00145CB8">
        <w:rPr>
          <w:rFonts w:eastAsia="Times New Roman"/>
        </w:rPr>
        <w:t xml:space="preserve">upport to HRD policy and outcomes </w:t>
      </w:r>
      <w:r>
        <w:rPr>
          <w:rFonts w:eastAsia="Times New Roman"/>
        </w:rPr>
        <w:t xml:space="preserve">also </w:t>
      </w:r>
      <w:r w:rsidR="00B001B5" w:rsidRPr="00145CB8">
        <w:rPr>
          <w:rFonts w:eastAsia="Times New Roman"/>
        </w:rPr>
        <w:t xml:space="preserve">continued satisfactorily. LAI contributed to a key national policy dialogue on HRD in November 2017, which resulted in </w:t>
      </w:r>
      <w:r w:rsidR="00173C51">
        <w:rPr>
          <w:rFonts w:eastAsia="Times New Roman"/>
        </w:rPr>
        <w:t>MOES</w:t>
      </w:r>
      <w:r w:rsidR="00B001B5" w:rsidRPr="00145CB8">
        <w:rPr>
          <w:rFonts w:eastAsia="Times New Roman"/>
        </w:rPr>
        <w:t xml:space="preserve"> lead</w:t>
      </w:r>
      <w:r w:rsidR="00F605E3">
        <w:rPr>
          <w:rFonts w:eastAsia="Times New Roman"/>
        </w:rPr>
        <w:t>ing</w:t>
      </w:r>
      <w:r w:rsidR="00B001B5" w:rsidRPr="00145CB8">
        <w:rPr>
          <w:rFonts w:eastAsia="Times New Roman"/>
        </w:rPr>
        <w:t xml:space="preserve"> implement</w:t>
      </w:r>
      <w:r w:rsidR="00F605E3">
        <w:rPr>
          <w:rFonts w:eastAsia="Times New Roman"/>
        </w:rPr>
        <w:t>ation of</w:t>
      </w:r>
      <w:r w:rsidR="00B001B5" w:rsidRPr="00145CB8">
        <w:rPr>
          <w:rFonts w:eastAsia="Times New Roman"/>
        </w:rPr>
        <w:t xml:space="preserve"> a list of practical recommendations</w:t>
      </w:r>
      <w:r w:rsidR="00F605E3">
        <w:rPr>
          <w:rFonts w:eastAsia="Times New Roman"/>
        </w:rPr>
        <w:t>,</w:t>
      </w:r>
      <w:r w:rsidR="004426EA">
        <w:rPr>
          <w:rFonts w:eastAsia="Times New Roman"/>
        </w:rPr>
        <w:t xml:space="preserve"> including</w:t>
      </w:r>
      <w:r w:rsidR="00680113">
        <w:rPr>
          <w:rFonts w:eastAsia="Times New Roman"/>
        </w:rPr>
        <w:t xml:space="preserve"> </w:t>
      </w:r>
      <w:r w:rsidR="00774AC2">
        <w:rPr>
          <w:rFonts w:eastAsia="Times New Roman"/>
        </w:rPr>
        <w:t xml:space="preserve">establishing a Labour Market Information System and forming a technical </w:t>
      </w:r>
      <w:r w:rsidR="00774AC2">
        <w:rPr>
          <w:rFonts w:eastAsia="Times New Roman"/>
        </w:rPr>
        <w:lastRenderedPageBreak/>
        <w:t xml:space="preserve">working </w:t>
      </w:r>
      <w:r w:rsidR="00B743BE" w:rsidRPr="00DD2CB0">
        <w:rPr>
          <w:rFonts w:eastAsia="Times New Roman"/>
        </w:rPr>
        <w:t>group</w:t>
      </w:r>
      <w:r w:rsidR="00B743BE">
        <w:rPr>
          <w:rFonts w:eastAsia="Times New Roman"/>
        </w:rPr>
        <w:t xml:space="preserve"> </w:t>
      </w:r>
      <w:r w:rsidR="00774AC2">
        <w:rPr>
          <w:rFonts w:eastAsia="Times New Roman"/>
        </w:rPr>
        <w:t>for coordination of English Language training</w:t>
      </w:r>
      <w:r w:rsidR="00B001B5" w:rsidRPr="00145CB8">
        <w:rPr>
          <w:rFonts w:eastAsia="Times New Roman"/>
        </w:rPr>
        <w:t xml:space="preserve">. However, </w:t>
      </w:r>
      <w:r w:rsidR="00DD2CB0">
        <w:rPr>
          <w:rFonts w:eastAsia="Times New Roman"/>
        </w:rPr>
        <w:t xml:space="preserve">priorities </w:t>
      </w:r>
      <w:r w:rsidR="00B001B5" w:rsidRPr="00145CB8">
        <w:rPr>
          <w:rFonts w:eastAsia="Times New Roman"/>
        </w:rPr>
        <w:t>in other program components necessitated a pause in technical assistance to the Ministry of Home Affairs</w:t>
      </w:r>
      <w:r w:rsidR="00173C51">
        <w:rPr>
          <w:rFonts w:eastAsia="Times New Roman"/>
        </w:rPr>
        <w:t xml:space="preserve"> (MOHA)</w:t>
      </w:r>
      <w:r w:rsidR="00B001B5" w:rsidRPr="00145CB8">
        <w:rPr>
          <w:rFonts w:eastAsia="Times New Roman"/>
        </w:rPr>
        <w:t>. LAI</w:t>
      </w:r>
      <w:r w:rsidR="00F605E3">
        <w:rPr>
          <w:rFonts w:eastAsia="Times New Roman"/>
        </w:rPr>
        <w:t xml:space="preserve"> delivered</w:t>
      </w:r>
      <w:r w:rsidR="00B001B5" w:rsidRPr="00145CB8">
        <w:rPr>
          <w:rFonts w:eastAsia="Times New Roman"/>
        </w:rPr>
        <w:t xml:space="preserve"> Competency Based Training</w:t>
      </w:r>
      <w:r w:rsidR="00DD2CB0">
        <w:rPr>
          <w:rFonts w:eastAsia="Times New Roman"/>
        </w:rPr>
        <w:t xml:space="preserve"> </w:t>
      </w:r>
      <w:r w:rsidR="00B001B5" w:rsidRPr="00145CB8">
        <w:rPr>
          <w:rFonts w:eastAsia="Times New Roman"/>
        </w:rPr>
        <w:t>in May 2018,</w:t>
      </w:r>
      <w:r>
        <w:rPr>
          <w:rFonts w:eastAsia="Times New Roman"/>
        </w:rPr>
        <w:t xml:space="preserve"> with</w:t>
      </w:r>
      <w:r w:rsidR="00B001B5" w:rsidRPr="00145CB8">
        <w:rPr>
          <w:rFonts w:eastAsia="Times New Roman"/>
        </w:rPr>
        <w:t xml:space="preserve"> 27 officials from </w:t>
      </w:r>
      <w:r w:rsidR="00173C51">
        <w:rPr>
          <w:rFonts w:eastAsia="Times New Roman"/>
        </w:rPr>
        <w:t>MOES and MOHA</w:t>
      </w:r>
      <w:r w:rsidR="00B001B5" w:rsidRPr="00145CB8">
        <w:rPr>
          <w:rFonts w:eastAsia="Times New Roman"/>
        </w:rPr>
        <w:t xml:space="preserve"> attaining a Certificate IV in Human Resource Management or Training and Assessment. All 18 participants of the Disability Inclusive Development Engli</w:t>
      </w:r>
      <w:r>
        <w:rPr>
          <w:rFonts w:eastAsia="Times New Roman"/>
        </w:rPr>
        <w:t>s</w:t>
      </w:r>
      <w:r w:rsidR="00B001B5" w:rsidRPr="00145CB8">
        <w:rPr>
          <w:rFonts w:eastAsia="Times New Roman"/>
        </w:rPr>
        <w:t xml:space="preserve">h Language Training successfully completed their program, while </w:t>
      </w:r>
      <w:r w:rsidR="00DD2CB0">
        <w:rPr>
          <w:rFonts w:eastAsia="Times New Roman"/>
        </w:rPr>
        <w:t xml:space="preserve">83 Australian alumni are participating in the </w:t>
      </w:r>
      <w:r w:rsidR="00B001B5" w:rsidRPr="00145CB8">
        <w:rPr>
          <w:rFonts w:eastAsia="Times New Roman"/>
        </w:rPr>
        <w:t>Women’s Leadership Program</w:t>
      </w:r>
      <w:r w:rsidR="00DD2CB0">
        <w:rPr>
          <w:rFonts w:eastAsia="Times New Roman"/>
        </w:rPr>
        <w:t xml:space="preserve"> to strengthen their leadership and networking skills</w:t>
      </w:r>
      <w:r w:rsidR="00B001B5" w:rsidRPr="00145CB8">
        <w:rPr>
          <w:rFonts w:eastAsia="Times New Roman"/>
        </w:rPr>
        <w:t>.</w:t>
      </w:r>
    </w:p>
    <w:p w:rsidR="00B001B5" w:rsidRDefault="00885176" w:rsidP="00145CB8">
      <w:pPr>
        <w:spacing w:before="240" w:line="240" w:lineRule="auto"/>
        <w:rPr>
          <w:rFonts w:eastAsia="Times New Roman"/>
        </w:rPr>
      </w:pPr>
      <w:r>
        <w:rPr>
          <w:rFonts w:eastAsia="Times New Roman"/>
        </w:rPr>
        <w:t>O</w:t>
      </w:r>
      <w:r w:rsidR="00B001B5" w:rsidRPr="00145CB8">
        <w:rPr>
          <w:rFonts w:eastAsia="Times New Roman"/>
        </w:rPr>
        <w:t xml:space="preserve">utcomes reporting for </w:t>
      </w:r>
      <w:r w:rsidR="001F3FDD">
        <w:rPr>
          <w:rFonts w:eastAsia="Times New Roman"/>
        </w:rPr>
        <w:t>HRD</w:t>
      </w:r>
      <w:r w:rsidR="00B001B5" w:rsidRPr="00145CB8">
        <w:rPr>
          <w:rFonts w:eastAsia="Times New Roman"/>
        </w:rPr>
        <w:t xml:space="preserve"> activities remained a challenge for LAI for most of 2017-18.  Implementation of </w:t>
      </w:r>
      <w:r>
        <w:rPr>
          <w:rFonts w:eastAsia="Times New Roman"/>
        </w:rPr>
        <w:t>a</w:t>
      </w:r>
      <w:r w:rsidR="00B001B5" w:rsidRPr="00145CB8">
        <w:rPr>
          <w:rFonts w:eastAsia="Times New Roman"/>
        </w:rPr>
        <w:t xml:space="preserve"> new M&amp;E framework was delayed by resourcing challenges</w:t>
      </w:r>
      <w:r w:rsidR="00460837">
        <w:rPr>
          <w:rFonts w:eastAsia="Times New Roman"/>
        </w:rPr>
        <w:t>. H</w:t>
      </w:r>
      <w:r w:rsidR="007D5C36">
        <w:rPr>
          <w:rFonts w:eastAsia="Times New Roman"/>
        </w:rPr>
        <w:t>owever</w:t>
      </w:r>
      <w:r w:rsidR="00B001B5" w:rsidRPr="00145CB8">
        <w:rPr>
          <w:rFonts w:eastAsia="Times New Roman"/>
        </w:rPr>
        <w:t xml:space="preserve">, the first round of impact surveys were completed by </w:t>
      </w:r>
      <w:r w:rsidR="00460837">
        <w:rPr>
          <w:rFonts w:eastAsia="Times New Roman"/>
        </w:rPr>
        <w:t>June 2018</w:t>
      </w:r>
      <w:r w:rsidR="00B001B5" w:rsidRPr="00145CB8">
        <w:rPr>
          <w:rFonts w:eastAsia="Times New Roman"/>
        </w:rPr>
        <w:t xml:space="preserve">, allowing LAI to assess </w:t>
      </w:r>
      <w:r w:rsidR="007D5C36">
        <w:rPr>
          <w:rFonts w:eastAsia="Times New Roman"/>
        </w:rPr>
        <w:t>progress towards p</w:t>
      </w:r>
      <w:r w:rsidR="00B001B5" w:rsidRPr="00145CB8">
        <w:rPr>
          <w:rFonts w:eastAsia="Times New Roman"/>
        </w:rPr>
        <w:t xml:space="preserve">erformance </w:t>
      </w:r>
      <w:r w:rsidR="007D5C36">
        <w:rPr>
          <w:rFonts w:eastAsia="Times New Roman"/>
        </w:rPr>
        <w:t>b</w:t>
      </w:r>
      <w:r w:rsidR="00B001B5" w:rsidRPr="00145CB8">
        <w:rPr>
          <w:rFonts w:eastAsia="Times New Roman"/>
        </w:rPr>
        <w:t>enchmarks.</w:t>
      </w:r>
    </w:p>
    <w:p w:rsidR="00356F79" w:rsidRDefault="00356F79" w:rsidP="004B02FA">
      <w:pPr>
        <w:spacing w:before="400"/>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3: A STRONGER TRADE REGIME AND COMPETITIVE PRIVATE SECTOR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4"/>
        <w:gridCol w:w="1906"/>
        <w:gridCol w:w="1906"/>
        <w:gridCol w:w="1906"/>
      </w:tblGrid>
      <w:tr w:rsidR="00356F79" w:rsidRPr="00695730" w:rsidTr="008231CA">
        <w:tc>
          <w:tcPr>
            <w:tcW w:w="2016" w:type="dxa"/>
          </w:tcPr>
          <w:p w:rsidR="00356F79" w:rsidRPr="00695730" w:rsidRDefault="00356F79" w:rsidP="008231CA">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57E2886" wp14:editId="43E56788">
                  <wp:extent cx="1137600" cy="720000"/>
                  <wp:effectExtent l="0" t="0" r="5715" b="444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4" w:type="dxa"/>
          </w:tcPr>
          <w:p w:rsidR="00356F79" w:rsidRPr="00695730" w:rsidRDefault="00356F79" w:rsidP="008231C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52C1B7DA" wp14:editId="6CB7122A">
                  <wp:extent cx="611505" cy="6115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inline>
              </w:drawing>
            </w:r>
          </w:p>
        </w:tc>
        <w:tc>
          <w:tcPr>
            <w:tcW w:w="1906" w:type="dxa"/>
          </w:tcPr>
          <w:p w:rsidR="00356F79" w:rsidRPr="00695730" w:rsidRDefault="00356F79" w:rsidP="008231C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4640CBA5" wp14:editId="3ED1527B">
                  <wp:extent cx="609600" cy="609600"/>
                  <wp:effectExtent l="0" t="0" r="0" b="0"/>
                  <wp:docPr id="57" name="Picture 5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06" w:type="dxa"/>
          </w:tcPr>
          <w:p w:rsidR="00356F79" w:rsidRPr="00695730" w:rsidRDefault="009F0F11" w:rsidP="008231CA">
            <w:pPr>
              <w:suppressAutoHyphens w:val="0"/>
              <w:spacing w:before="160" w:after="80" w:line="240" w:lineRule="auto"/>
              <w:jc w:val="center"/>
              <w:rPr>
                <w:rFonts w:asciiTheme="majorHAnsi" w:eastAsiaTheme="majorEastAsia" w:hAnsiTheme="majorHAnsi" w:cstheme="majorBidi"/>
                <w:caps/>
                <w:sz w:val="38"/>
                <w:szCs w:val="26"/>
              </w:rPr>
            </w:pPr>
            <w:r>
              <w:rPr>
                <w:noProof/>
                <w:lang w:val="en-AU" w:eastAsia="en-AU"/>
              </w:rPr>
              <w:drawing>
                <wp:inline distT="0" distB="0" distL="0" distR="0" wp14:anchorId="7F5614D8" wp14:editId="246A8C58">
                  <wp:extent cx="612000" cy="61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06" w:type="dxa"/>
          </w:tcPr>
          <w:p w:rsidR="00356F79" w:rsidRPr="00695730" w:rsidRDefault="00356F79" w:rsidP="008231CA">
            <w:pPr>
              <w:suppressAutoHyphens w:val="0"/>
              <w:spacing w:before="160" w:after="80" w:line="240" w:lineRule="auto"/>
              <w:jc w:val="center"/>
              <w:rPr>
                <w:rFonts w:asciiTheme="majorHAnsi" w:eastAsiaTheme="majorEastAsia" w:hAnsiTheme="majorHAnsi" w:cstheme="majorBidi"/>
                <w:caps/>
                <w:sz w:val="38"/>
                <w:szCs w:val="26"/>
              </w:rPr>
            </w:pPr>
          </w:p>
        </w:tc>
      </w:tr>
    </w:tbl>
    <w:p w:rsidR="00B743BE" w:rsidRPr="00DC320A" w:rsidRDefault="00B743BE" w:rsidP="00B743BE">
      <w:pPr>
        <w:spacing w:before="240" w:line="240" w:lineRule="auto"/>
        <w:rPr>
          <w:rFonts w:eastAsia="Times New Roman"/>
        </w:rPr>
      </w:pPr>
      <w:r w:rsidRPr="00DC320A">
        <w:rPr>
          <w:rFonts w:eastAsia="Times New Roman"/>
        </w:rPr>
        <w:t xml:space="preserve">Australia </w:t>
      </w:r>
      <w:r>
        <w:rPr>
          <w:rFonts w:eastAsia="Times New Roman"/>
        </w:rPr>
        <w:t>delivers this objective through the</w:t>
      </w:r>
      <w:r w:rsidRPr="00DC320A">
        <w:rPr>
          <w:rFonts w:eastAsia="Times New Roman"/>
        </w:rPr>
        <w:t xml:space="preserve"> World Bank</w:t>
      </w:r>
      <w:r>
        <w:rPr>
          <w:rFonts w:eastAsia="Times New Roman"/>
        </w:rPr>
        <w:t>-</w:t>
      </w:r>
      <w:r w:rsidRPr="00DC320A">
        <w:rPr>
          <w:rFonts w:eastAsia="Times New Roman"/>
        </w:rPr>
        <w:t xml:space="preserve">managed multi-donor </w:t>
      </w:r>
      <w:r w:rsidRPr="009E7B7A">
        <w:rPr>
          <w:rFonts w:eastAsia="Times New Roman"/>
          <w:b/>
        </w:rPr>
        <w:t>Trade Development Facility Phase 2</w:t>
      </w:r>
      <w:r w:rsidRPr="00DC320A">
        <w:rPr>
          <w:rFonts w:eastAsia="Times New Roman"/>
        </w:rPr>
        <w:t xml:space="preserve"> (TDF2) and two financial inclusion investments: </w:t>
      </w:r>
      <w:r w:rsidRPr="009E7B7A">
        <w:rPr>
          <w:rFonts w:eastAsia="Times New Roman"/>
          <w:b/>
        </w:rPr>
        <w:t>Access to Finance for the Poor</w:t>
      </w:r>
      <w:r w:rsidRPr="00DC320A">
        <w:rPr>
          <w:rFonts w:eastAsia="Times New Roman"/>
        </w:rPr>
        <w:t xml:space="preserve"> (AFP) and </w:t>
      </w:r>
      <w:r w:rsidRPr="009E7B7A">
        <w:rPr>
          <w:rFonts w:eastAsia="Times New Roman"/>
          <w:b/>
        </w:rPr>
        <w:t>Making Access to Finance Inclusive for Poor People</w:t>
      </w:r>
      <w:r w:rsidRPr="00DC320A">
        <w:rPr>
          <w:rFonts w:eastAsia="Times New Roman"/>
        </w:rPr>
        <w:t xml:space="preserve"> (MAFIPP). </w:t>
      </w:r>
      <w:r w:rsidR="008C5A7D">
        <w:rPr>
          <w:rFonts w:eastAsia="Times New Roman"/>
        </w:rPr>
        <w:t>Under this pillar, Australia aims to support more inclusive economic growth through a strengthened trade regime and more competitive private sector.</w:t>
      </w:r>
    </w:p>
    <w:p w:rsidR="00B743BE" w:rsidRPr="00DC320A" w:rsidRDefault="00B743BE" w:rsidP="00B743BE">
      <w:pPr>
        <w:spacing w:before="240" w:line="240" w:lineRule="auto"/>
        <w:rPr>
          <w:rFonts w:eastAsia="Times New Roman"/>
        </w:rPr>
      </w:pPr>
      <w:r w:rsidRPr="00B8158B">
        <w:rPr>
          <w:rFonts w:eastAsia="Times New Roman"/>
          <w:b/>
        </w:rPr>
        <w:t>TDF2</w:t>
      </w:r>
      <w:r w:rsidRPr="00DC320A">
        <w:rPr>
          <w:rFonts w:eastAsia="Times New Roman"/>
        </w:rPr>
        <w:t xml:space="preserve"> helps Laos address impediments to trade and investment in sectors with a high potential to contribute to inclusive growth, in line with World Trade Organisation (WTO) and regional trade agreements. </w:t>
      </w:r>
      <w:r>
        <w:rPr>
          <w:rFonts w:eastAsia="Times New Roman"/>
        </w:rPr>
        <w:t xml:space="preserve">It currently focuses </w:t>
      </w:r>
      <w:r w:rsidR="000D2E54">
        <w:rPr>
          <w:rFonts w:eastAsia="Times New Roman"/>
        </w:rPr>
        <w:t>on</w:t>
      </w:r>
      <w:r w:rsidR="000D2E54" w:rsidRPr="00DC320A">
        <w:rPr>
          <w:rFonts w:eastAsia="Times New Roman"/>
        </w:rPr>
        <w:t xml:space="preserve"> supporting</w:t>
      </w:r>
      <w:r w:rsidRPr="00DC320A">
        <w:rPr>
          <w:rFonts w:eastAsia="Times New Roman"/>
        </w:rPr>
        <w:t xml:space="preserve"> business competitiveness and reforming </w:t>
      </w:r>
      <w:r>
        <w:rPr>
          <w:rFonts w:eastAsia="Times New Roman"/>
        </w:rPr>
        <w:t>Laos</w:t>
      </w:r>
      <w:r w:rsidR="008F2679">
        <w:rPr>
          <w:rFonts w:eastAsia="Times New Roman"/>
        </w:rPr>
        <w:t>’</w:t>
      </w:r>
      <w:r>
        <w:rPr>
          <w:rFonts w:eastAsia="Times New Roman"/>
        </w:rPr>
        <w:t xml:space="preserve"> </w:t>
      </w:r>
      <w:r w:rsidRPr="00DC320A">
        <w:rPr>
          <w:rFonts w:eastAsia="Times New Roman"/>
        </w:rPr>
        <w:t>restrictive business climate</w:t>
      </w:r>
      <w:r>
        <w:rPr>
          <w:rFonts w:eastAsia="Times New Roman"/>
        </w:rPr>
        <w:t>.</w:t>
      </w:r>
    </w:p>
    <w:p w:rsidR="00570794" w:rsidRDefault="009F0F11" w:rsidP="009F0F11">
      <w:pPr>
        <w:spacing w:before="240" w:line="240" w:lineRule="auto"/>
        <w:rPr>
          <w:rFonts w:eastAsia="Times New Roman"/>
        </w:rPr>
      </w:pPr>
      <w:r w:rsidRPr="00DC320A">
        <w:rPr>
          <w:rFonts w:eastAsia="Times New Roman"/>
        </w:rPr>
        <w:t xml:space="preserve">This objective is rated as </w:t>
      </w:r>
      <w:r w:rsidR="008075DD">
        <w:rPr>
          <w:rFonts w:eastAsia="Times New Roman"/>
        </w:rPr>
        <w:t>green as all investments have delivered substantial</w:t>
      </w:r>
      <w:r w:rsidR="004C46FE">
        <w:rPr>
          <w:rFonts w:eastAsia="Times New Roman"/>
        </w:rPr>
        <w:t xml:space="preserve"> outcomes</w:t>
      </w:r>
      <w:r w:rsidR="008075DD">
        <w:rPr>
          <w:rFonts w:eastAsia="Times New Roman"/>
        </w:rPr>
        <w:t xml:space="preserve"> and are viewed positively </w:t>
      </w:r>
      <w:r w:rsidR="004C46FE">
        <w:rPr>
          <w:rFonts w:eastAsia="Times New Roman"/>
        </w:rPr>
        <w:t>by the Lao G</w:t>
      </w:r>
      <w:r w:rsidR="008075DD">
        <w:rPr>
          <w:rFonts w:eastAsia="Times New Roman"/>
        </w:rPr>
        <w:t>overnment and development partners</w:t>
      </w:r>
      <w:r w:rsidR="00693662">
        <w:rPr>
          <w:rFonts w:eastAsia="Times New Roman"/>
        </w:rPr>
        <w:t xml:space="preserve">. </w:t>
      </w:r>
    </w:p>
    <w:p w:rsidR="00C932E4" w:rsidRPr="00DC320A" w:rsidRDefault="009F0F11" w:rsidP="009F0F11">
      <w:pPr>
        <w:spacing w:before="240" w:line="240" w:lineRule="auto"/>
        <w:rPr>
          <w:rFonts w:eastAsia="Times New Roman"/>
        </w:rPr>
      </w:pPr>
      <w:r w:rsidRPr="00DC320A">
        <w:rPr>
          <w:rFonts w:eastAsia="Times New Roman"/>
        </w:rPr>
        <w:t>Laos enjoyed high GDP growth in 2017 at 6.9 per cent, driven by expansion in manufacturing, agriculture and power generation. However, growth is not equitable nor</w:t>
      </w:r>
      <w:r w:rsidR="00C932E4" w:rsidRPr="00DC320A">
        <w:rPr>
          <w:rFonts w:eastAsia="Times New Roman"/>
        </w:rPr>
        <w:t xml:space="preserve"> does it</w:t>
      </w:r>
      <w:r w:rsidRPr="00DC320A">
        <w:rPr>
          <w:rFonts w:eastAsia="Times New Roman"/>
        </w:rPr>
        <w:t xml:space="preserve"> substantially contribute to poverty alleviation. </w:t>
      </w:r>
      <w:r w:rsidR="00C932E4" w:rsidRPr="00DC320A">
        <w:rPr>
          <w:rFonts w:eastAsia="Times New Roman"/>
        </w:rPr>
        <w:t>Over half of the population remain vulnerable to economic shocks.</w:t>
      </w:r>
      <w:r w:rsidR="00C932E4" w:rsidRPr="00A03D02">
        <w:rPr>
          <w:vertAlign w:val="superscript"/>
        </w:rPr>
        <w:footnoteReference w:id="2"/>
      </w:r>
      <w:r w:rsidR="00A92439" w:rsidRPr="00DC320A">
        <w:rPr>
          <w:rFonts w:eastAsia="Times New Roman"/>
        </w:rPr>
        <w:t xml:space="preserve"> </w:t>
      </w:r>
      <w:r w:rsidR="005E1B49">
        <w:rPr>
          <w:rFonts w:eastAsia="Times New Roman"/>
        </w:rPr>
        <w:t>Laos is not an easy place to do business, so r</w:t>
      </w:r>
      <w:r w:rsidRPr="00DC320A">
        <w:rPr>
          <w:rFonts w:eastAsia="Times New Roman"/>
        </w:rPr>
        <w:t>eform of the regulatory frameworks governing the commercial sector and private investment are priorities of the Lao Governmen</w:t>
      </w:r>
      <w:r w:rsidR="00C932E4" w:rsidRPr="00DC320A">
        <w:rPr>
          <w:rFonts w:eastAsia="Times New Roman"/>
        </w:rPr>
        <w:t>t.  F</w:t>
      </w:r>
      <w:r w:rsidRPr="00DC320A">
        <w:rPr>
          <w:rFonts w:eastAsia="Times New Roman"/>
        </w:rPr>
        <w:t>urther work is required to ensure Laos remains competitive outside the resource</w:t>
      </w:r>
      <w:r w:rsidR="00C932E4" w:rsidRPr="00DC320A">
        <w:rPr>
          <w:rFonts w:eastAsia="Times New Roman"/>
        </w:rPr>
        <w:t>s</w:t>
      </w:r>
      <w:r w:rsidRPr="00DC320A">
        <w:rPr>
          <w:rFonts w:eastAsia="Times New Roman"/>
        </w:rPr>
        <w:t xml:space="preserve"> sector within a dynamic and economically active region. </w:t>
      </w:r>
    </w:p>
    <w:p w:rsidR="00EB581B" w:rsidRPr="00DC320A" w:rsidRDefault="009F0F11" w:rsidP="00E63393">
      <w:pPr>
        <w:spacing w:before="240" w:line="240" w:lineRule="auto"/>
        <w:rPr>
          <w:rFonts w:eastAsia="Times New Roman"/>
        </w:rPr>
      </w:pPr>
      <w:r w:rsidRPr="00DC320A">
        <w:rPr>
          <w:rFonts w:eastAsia="Times New Roman"/>
        </w:rPr>
        <w:t>Implementation of TDF2 during the reporting period progressed well</w:t>
      </w:r>
      <w:r w:rsidR="00EB581B" w:rsidRPr="00DC320A">
        <w:rPr>
          <w:rFonts w:eastAsia="Times New Roman"/>
        </w:rPr>
        <w:t>:</w:t>
      </w:r>
      <w:r w:rsidR="0084027B">
        <w:rPr>
          <w:rStyle w:val="FootnoteReference"/>
          <w:rFonts w:eastAsia="Times New Roman"/>
        </w:rPr>
        <w:footnoteReference w:id="3"/>
      </w:r>
    </w:p>
    <w:p w:rsidR="00E63393" w:rsidRPr="00DC320A" w:rsidRDefault="009F0F11" w:rsidP="00DC320A">
      <w:pPr>
        <w:pStyle w:val="ListParagraph"/>
        <w:numPr>
          <w:ilvl w:val="0"/>
          <w:numId w:val="40"/>
        </w:numPr>
      </w:pPr>
      <w:r w:rsidRPr="00DC320A">
        <w:t>The Minister for Industry and Commerce approved the Trade Facilitation Roadmap (2017-22) and</w:t>
      </w:r>
      <w:r w:rsidR="00EB581B" w:rsidRPr="00DC320A">
        <w:t xml:space="preserve"> TDF2 </w:t>
      </w:r>
      <w:r w:rsidRPr="00DC320A">
        <w:t xml:space="preserve">is </w:t>
      </w:r>
      <w:r w:rsidR="00EB581B" w:rsidRPr="00DC320A">
        <w:t xml:space="preserve">now </w:t>
      </w:r>
      <w:r w:rsidRPr="00DC320A">
        <w:t xml:space="preserve">working </w:t>
      </w:r>
      <w:r w:rsidR="00EB581B" w:rsidRPr="00DC320A">
        <w:t>with</w:t>
      </w:r>
      <w:r w:rsidRPr="00DC320A">
        <w:t xml:space="preserve"> </w:t>
      </w:r>
      <w:r w:rsidR="008C3C5D">
        <w:t>line departments to</w:t>
      </w:r>
      <w:r w:rsidRPr="00DC320A">
        <w:t xml:space="preserve"> develop</w:t>
      </w:r>
      <w:r w:rsidR="00EB581B" w:rsidRPr="00DC320A">
        <w:t xml:space="preserve"> and implement </w:t>
      </w:r>
      <w:r w:rsidRPr="00DC320A">
        <w:t>action plans</w:t>
      </w:r>
      <w:r w:rsidR="00EB581B" w:rsidRPr="00DC320A">
        <w:t xml:space="preserve">.  </w:t>
      </w:r>
    </w:p>
    <w:p w:rsidR="00E63393" w:rsidRPr="00DC320A" w:rsidRDefault="009F0F11" w:rsidP="00DC320A">
      <w:pPr>
        <w:pStyle w:val="ListParagraph"/>
        <w:numPr>
          <w:ilvl w:val="0"/>
          <w:numId w:val="40"/>
        </w:numPr>
      </w:pPr>
      <w:r w:rsidRPr="00DC320A">
        <w:t>Non-Tariff Measure (NTM) review meetings were conducted at central and provincial levels resulting in reforms</w:t>
      </w:r>
      <w:r w:rsidR="007E1290">
        <w:t xml:space="preserve"> to</w:t>
      </w:r>
      <w:r w:rsidRPr="00DC320A">
        <w:t xml:space="preserve"> the approval process for </w:t>
      </w:r>
      <w:r w:rsidR="00EB581B" w:rsidRPr="00DC320A">
        <w:t xml:space="preserve">the </w:t>
      </w:r>
      <w:r w:rsidRPr="00DC320A">
        <w:t>export of minerals, the process of applying for some import licenses and remov</w:t>
      </w:r>
      <w:r w:rsidR="00EB581B" w:rsidRPr="00DC320A">
        <w:t>al of</w:t>
      </w:r>
      <w:r w:rsidRPr="00DC320A">
        <w:t xml:space="preserve"> the requirement for import certification for goods funded </w:t>
      </w:r>
      <w:r w:rsidR="007E1290">
        <w:t>by</w:t>
      </w:r>
      <w:r w:rsidRPr="00DC320A">
        <w:t xml:space="preserve"> ODA. </w:t>
      </w:r>
    </w:p>
    <w:p w:rsidR="00E63393" w:rsidRPr="00DC320A" w:rsidRDefault="00E63393" w:rsidP="00DC320A">
      <w:pPr>
        <w:pStyle w:val="ListParagraph"/>
        <w:numPr>
          <w:ilvl w:val="0"/>
          <w:numId w:val="40"/>
        </w:numPr>
      </w:pPr>
      <w:r w:rsidRPr="00DC320A">
        <w:lastRenderedPageBreak/>
        <w:t xml:space="preserve">Public-private dialogue is improving, culminating in the 11th Lao Business Forum (LBF) held </w:t>
      </w:r>
      <w:r w:rsidR="00DF18DC" w:rsidRPr="00DC320A">
        <w:t xml:space="preserve">on 5 </w:t>
      </w:r>
      <w:r w:rsidRPr="00DC320A">
        <w:t>July 2018. At the LBF, which was attended by the Prime Minister, private sector representatives had the opportunity to raise issues such as taxation, trade facilitation and barriers to tourism development.</w:t>
      </w:r>
    </w:p>
    <w:p w:rsidR="00E63393" w:rsidRPr="00DC320A" w:rsidRDefault="00E63393" w:rsidP="00DC320A">
      <w:pPr>
        <w:pStyle w:val="ListParagraph"/>
        <w:numPr>
          <w:ilvl w:val="0"/>
          <w:numId w:val="40"/>
        </w:numPr>
      </w:pPr>
      <w:r w:rsidRPr="00DC320A">
        <w:t xml:space="preserve">Australia’s work to mainstream gender and inclusiveness across TDF2 resulted in increased opportunities for women-led enterprises and enterprises from outside Vientiane to participate in the LBF process as well as the development of a LBF Inclusiveness Strategy. </w:t>
      </w:r>
      <w:r w:rsidR="008C5A7D">
        <w:t xml:space="preserve">These gains were driven by Australia and continued efforts will be required to ensure that women are able to participate in trade and private sector activities on an equal basis going forward.   </w:t>
      </w:r>
    </w:p>
    <w:p w:rsidR="00E63393" w:rsidRDefault="008C3C5D" w:rsidP="00B019F3">
      <w:pPr>
        <w:spacing w:before="240"/>
      </w:pPr>
      <w:r>
        <w:t>T</w:t>
      </w:r>
      <w:r w:rsidR="009F0F11" w:rsidRPr="00DC320A">
        <w:t xml:space="preserve">here </w:t>
      </w:r>
      <w:r w:rsidR="008F2679">
        <w:t>was</w:t>
      </w:r>
      <w:r w:rsidR="009F0F11" w:rsidRPr="00DC320A">
        <w:t xml:space="preserve"> </w:t>
      </w:r>
      <w:r w:rsidR="0084027B">
        <w:t>insufficient</w:t>
      </w:r>
      <w:r w:rsidR="009F0F11" w:rsidRPr="00DC320A">
        <w:t xml:space="preserve"> progress on other matters such as the elimination of automatic import licenses</w:t>
      </w:r>
      <w:r w:rsidR="00A12372">
        <w:t xml:space="preserve"> due to internal challenges within the Ministry of Industry and Commerce</w:t>
      </w:r>
      <w:r w:rsidR="008F2679">
        <w:t>.</w:t>
      </w:r>
      <w:r>
        <w:t xml:space="preserve"> </w:t>
      </w:r>
    </w:p>
    <w:p w:rsidR="004F6DAE" w:rsidRDefault="004F6DAE" w:rsidP="004F6DAE">
      <w:pPr>
        <w:spacing w:before="240"/>
        <w:rPr>
          <w:color w:val="auto"/>
          <w:lang w:val="en-AU"/>
        </w:rPr>
      </w:pPr>
      <w:r>
        <w:rPr>
          <w:b/>
          <w:bCs/>
        </w:rPr>
        <w:t>AFP</w:t>
      </w:r>
      <w:r>
        <w:t xml:space="preserve"> progressed well against its work plan in 2017-18 and achieved strong impact assisting the poor to access financial services.</w:t>
      </w:r>
      <w:r w:rsidR="008C5A7D">
        <w:t xml:space="preserve"> </w:t>
      </w:r>
      <w:r>
        <w:t xml:space="preserve">In 2017-18, 25 village banks were established providing financial services to 15,546 people (53% women) (annual target 6,000, 40% women); 37 per cent of village bank committee members were women (target 33%). </w:t>
      </w:r>
      <w:r w:rsidR="008C5A7D">
        <w:t xml:space="preserve">Improved financial inclusion </w:t>
      </w:r>
      <w:r w:rsidR="00040EA7">
        <w:t>is essential to ensuring that the gap between rural and urban populations does not continue to widen and that all people are able to benefit from economic growth.</w:t>
      </w:r>
    </w:p>
    <w:p w:rsidR="009F0F11" w:rsidRDefault="009F0F11" w:rsidP="00B019F3">
      <w:pPr>
        <w:spacing w:before="240"/>
      </w:pPr>
      <w:r w:rsidRPr="00B8158B">
        <w:rPr>
          <w:b/>
        </w:rPr>
        <w:t>MAFIPP</w:t>
      </w:r>
      <w:r w:rsidRPr="00DC320A">
        <w:t xml:space="preserve"> also achieved</w:t>
      </w:r>
      <w:r w:rsidR="00C97D6B">
        <w:t xml:space="preserve"> good results</w:t>
      </w:r>
      <w:r w:rsidRPr="00DC320A">
        <w:t xml:space="preserve">. </w:t>
      </w:r>
      <w:r w:rsidR="00570794">
        <w:t>O</w:t>
      </w:r>
      <w:r w:rsidRPr="00DC320A">
        <w:t xml:space="preserve">ur support to the major local retail bank BCEL </w:t>
      </w:r>
      <w:r w:rsidR="00C97D6B">
        <w:t>enabled</w:t>
      </w:r>
      <w:r w:rsidRPr="00DC320A">
        <w:t xml:space="preserve"> continued expansion of its Digital Financial Service platform. The platform </w:t>
      </w:r>
      <w:r w:rsidR="008F2679">
        <w:t>was</w:t>
      </w:r>
      <w:r w:rsidRPr="00DC320A">
        <w:t xml:space="preserve"> used by the Ministry of Finance to collect road tax, leading to a </w:t>
      </w:r>
      <w:r w:rsidR="00F605E3">
        <w:t>four</w:t>
      </w:r>
      <w:r w:rsidRPr="00DC320A">
        <w:t xml:space="preserve">-fold increase in revenue collection during the first quarter of 2018. </w:t>
      </w:r>
      <w:r w:rsidR="000D3C36">
        <w:t xml:space="preserve">As of March 2018, MAFIPP had achieved a total of 164,495 additional users of financial services (18,726 from digital financial services and 145,769 for traditional financial services). Of </w:t>
      </w:r>
      <w:r w:rsidR="007479B2" w:rsidRPr="007479B2">
        <w:t>MAFIPP's additional financial service</w:t>
      </w:r>
      <w:r w:rsidR="00C97D6B">
        <w:t>s</w:t>
      </w:r>
      <w:r w:rsidR="007479B2" w:rsidRPr="007479B2">
        <w:t xml:space="preserve"> users, 88</w:t>
      </w:r>
      <w:r w:rsidR="007479B2">
        <w:t xml:space="preserve"> per cent</w:t>
      </w:r>
      <w:r w:rsidR="007479B2" w:rsidRPr="007479B2">
        <w:t xml:space="preserve"> were women (target 60%).</w:t>
      </w:r>
      <w:r w:rsidR="008075DD">
        <w:t xml:space="preserve"> </w:t>
      </w:r>
    </w:p>
    <w:p w:rsidR="00C25935" w:rsidRDefault="00C25935" w:rsidP="00C25935">
      <w:pPr>
        <w:spacing w:before="240"/>
      </w:pPr>
      <w:r>
        <w:t xml:space="preserve">Laos benefitted from </w:t>
      </w:r>
      <w:r w:rsidRPr="00A84FF9">
        <w:t>ASEAN and Mekong regional programs</w:t>
      </w:r>
      <w:r>
        <w:t xml:space="preserve"> that enhance </w:t>
      </w:r>
      <w:r w:rsidRPr="00A84FF9">
        <w:rPr>
          <w:b/>
        </w:rPr>
        <w:t>regional economic integration</w:t>
      </w:r>
      <w:r>
        <w:t xml:space="preserve"> and connectivity, support the implementation of FTA commitments, </w:t>
      </w:r>
      <w:r w:rsidR="000D2E54">
        <w:t>improve</w:t>
      </w:r>
      <w:r>
        <w:t xml:space="preserve"> access to financial services for low income women and men in ASEAN and support entrepreneurship,</w:t>
      </w:r>
      <w:r w:rsidR="000D2E54">
        <w:t xml:space="preserve"> </w:t>
      </w:r>
      <w:r>
        <w:t>innovation and economic policy making.</w:t>
      </w:r>
      <w:r w:rsidR="00570BAA">
        <w:rPr>
          <w:rStyle w:val="FootnoteReference"/>
        </w:rPr>
        <w:footnoteReference w:id="4"/>
      </w:r>
      <w:r w:rsidR="00851436">
        <w:t xml:space="preserve"> </w:t>
      </w:r>
    </w:p>
    <w:p w:rsidR="00112645" w:rsidRDefault="00FC47E7"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cross-cutting</w:t>
      </w:r>
      <w:r w:rsidR="0052633D">
        <w:rPr>
          <w:rFonts w:asciiTheme="majorHAnsi" w:eastAsiaTheme="majorEastAsia" w:hAnsiTheme="majorHAnsi" w:cstheme="majorBidi"/>
          <w:caps/>
          <w:color w:val="495965" w:themeColor="text2"/>
          <w:sz w:val="38"/>
          <w:szCs w:val="26"/>
          <w:lang w:val="en-GB" w:eastAsia="en-US"/>
        </w:rPr>
        <w:t>,</w:t>
      </w:r>
      <w:r w:rsidR="00112645">
        <w:rPr>
          <w:rFonts w:asciiTheme="majorHAnsi" w:eastAsiaTheme="majorEastAsia" w:hAnsiTheme="majorHAnsi" w:cstheme="majorBidi"/>
          <w:caps/>
          <w:color w:val="495965" w:themeColor="text2"/>
          <w:sz w:val="38"/>
          <w:szCs w:val="26"/>
          <w:lang w:val="en-GB" w:eastAsia="en-US"/>
        </w:rPr>
        <w:t xml:space="preserve"> legacy </w:t>
      </w:r>
      <w:r w:rsidR="0052633D">
        <w:rPr>
          <w:rFonts w:asciiTheme="majorHAnsi" w:eastAsiaTheme="majorEastAsia" w:hAnsiTheme="majorHAnsi" w:cstheme="majorBidi"/>
          <w:caps/>
          <w:color w:val="495965" w:themeColor="text2"/>
          <w:sz w:val="38"/>
          <w:szCs w:val="26"/>
          <w:lang w:val="en-GB" w:eastAsia="en-US"/>
        </w:rPr>
        <w:t xml:space="preserve">and regional </w:t>
      </w:r>
      <w:r w:rsidR="00112645">
        <w:rPr>
          <w:rFonts w:asciiTheme="majorHAnsi" w:eastAsiaTheme="majorEastAsia" w:hAnsiTheme="majorHAnsi" w:cstheme="majorBidi"/>
          <w:caps/>
          <w:color w:val="495965" w:themeColor="text2"/>
          <w:sz w:val="38"/>
          <w:szCs w:val="26"/>
          <w:lang w:val="en-GB" w:eastAsia="en-US"/>
        </w:rPr>
        <w:t>programs</w:t>
      </w:r>
    </w:p>
    <w:p w:rsidR="00452C85" w:rsidRDefault="00452C85" w:rsidP="00570794">
      <w:r w:rsidRPr="00452C85">
        <w:t xml:space="preserve">Australia’s aid program in Laos </w:t>
      </w:r>
      <w:r>
        <w:t xml:space="preserve">also encompasses a range of bilateral cross-cutting, regional and global programs that are highly valued by the Lao Government and beneficiaries and contribute to broader aid and foreign policy objectives. They do not, however, </w:t>
      </w:r>
      <w:r w:rsidR="002B1825">
        <w:t xml:space="preserve">always </w:t>
      </w:r>
      <w:r>
        <w:t xml:space="preserve">sit neatly under the three Laos </w:t>
      </w:r>
      <w:r w:rsidR="00C93849">
        <w:t>AIP</w:t>
      </w:r>
      <w:r>
        <w:t xml:space="preserve"> objectives. </w:t>
      </w:r>
    </w:p>
    <w:p w:rsidR="00113639" w:rsidRDefault="00952BA0" w:rsidP="00570794">
      <w:r>
        <w:t xml:space="preserve">The </w:t>
      </w:r>
      <w:r w:rsidRPr="000341D6">
        <w:rPr>
          <w:b/>
        </w:rPr>
        <w:t>Lao Australia Development Learning Facility</w:t>
      </w:r>
      <w:r>
        <w:t xml:space="preserve"> (LADLF) </w:t>
      </w:r>
      <w:r w:rsidR="00CC24D0">
        <w:t xml:space="preserve">provides </w:t>
      </w:r>
      <w:r>
        <w:t>support</w:t>
      </w:r>
      <w:r w:rsidR="00CC24D0">
        <w:t xml:space="preserve"> for decision-making related to the implementation of the AIP through quality assurance, performance assessment products and contextual analysis. During 2017-18, work included: support for the BEQUAL MTR; M&amp;E systems development for LAI and the Human Rights Technical Cooperation Program; support for new designs for LANS and the next phase of the Trade Development Facility (TDF3); and an evaluation of rural development pilots.</w:t>
      </w:r>
      <w:r w:rsidR="00CC24D0" w:rsidRPr="00CC24D0">
        <w:rPr>
          <w:rStyle w:val="FootnoteReference"/>
        </w:rPr>
        <w:t xml:space="preserve"> </w:t>
      </w:r>
      <w:r w:rsidR="001E09DA">
        <w:t xml:space="preserve">LADLF publishes reviews, analyses and stories of impact on its website: </w:t>
      </w:r>
      <w:hyperlink r:id="rId24" w:history="1">
        <w:r w:rsidR="001E09DA" w:rsidRPr="0085390E">
          <w:rPr>
            <w:rStyle w:val="Hyperlink"/>
            <w:rFonts w:cstheme="minorBidi"/>
          </w:rPr>
          <w:t>https://www.ladlf.org/</w:t>
        </w:r>
      </w:hyperlink>
      <w:r w:rsidR="001E09DA">
        <w:t xml:space="preserve">. </w:t>
      </w:r>
    </w:p>
    <w:p w:rsidR="00CF4535" w:rsidRDefault="00CF4535" w:rsidP="00CF4535">
      <w:r>
        <w:t xml:space="preserve">The </w:t>
      </w:r>
      <w:r w:rsidRPr="00C52B09">
        <w:rPr>
          <w:b/>
        </w:rPr>
        <w:t>Laos</w:t>
      </w:r>
      <w:r w:rsidR="001D2E21" w:rsidRPr="00C52B09">
        <w:rPr>
          <w:b/>
        </w:rPr>
        <w:t>-</w:t>
      </w:r>
      <w:r w:rsidRPr="00C52B09">
        <w:rPr>
          <w:b/>
        </w:rPr>
        <w:t>Australia Human Rights Technical Cooperation Program Phase II</w:t>
      </w:r>
      <w:r>
        <w:t xml:space="preserve"> (HRTCP II) provides practical support for Laos to meet its implementation and reporting obligations to international human rights treaty bodies. </w:t>
      </w:r>
      <w:r w:rsidR="008F2679">
        <w:t xml:space="preserve"> </w:t>
      </w:r>
      <w:r>
        <w:t>During 2017-18, Australia helped to strengthen the Lao Government’s reporting process for the International Covenant on Economic, Social and Cultural Rights; and the capacity and understanding of the National University of Laos School of Law students in human rights.</w:t>
      </w:r>
    </w:p>
    <w:p w:rsidR="00ED155B" w:rsidRDefault="00AF307C" w:rsidP="000D2E54">
      <w:r>
        <w:t xml:space="preserve">Australia’s support under the now discontinued </w:t>
      </w:r>
      <w:r w:rsidR="001D2E21" w:rsidRPr="009E7B7A">
        <w:rPr>
          <w:b/>
        </w:rPr>
        <w:t>R</w:t>
      </w:r>
      <w:r w:rsidRPr="009E7B7A">
        <w:rPr>
          <w:b/>
        </w:rPr>
        <w:t xml:space="preserve">ural </w:t>
      </w:r>
      <w:r w:rsidR="001D2E21" w:rsidRPr="009E7B7A">
        <w:rPr>
          <w:b/>
        </w:rPr>
        <w:t>D</w:t>
      </w:r>
      <w:r w:rsidRPr="009E7B7A">
        <w:rPr>
          <w:b/>
        </w:rPr>
        <w:t xml:space="preserve">evelopment </w:t>
      </w:r>
      <w:r w:rsidR="001D2E21" w:rsidRPr="009E7B7A">
        <w:rPr>
          <w:b/>
        </w:rPr>
        <w:t>P</w:t>
      </w:r>
      <w:r w:rsidRPr="009E7B7A">
        <w:rPr>
          <w:b/>
        </w:rPr>
        <w:t>rogram</w:t>
      </w:r>
      <w:r>
        <w:t xml:space="preserve"> (2012-19)</w:t>
      </w:r>
      <w:r w:rsidR="00F605E3">
        <w:t>,</w:t>
      </w:r>
      <w:r>
        <w:t xml:space="preserve"> which included Unexploded Ordnance (UXO) clearance and Social Protection and Sustainable Livelihoods (SPSL)</w:t>
      </w:r>
      <w:r w:rsidR="00F605E3">
        <w:t>,</w:t>
      </w:r>
      <w:r>
        <w:t xml:space="preserve"> continued </w:t>
      </w:r>
      <w:r>
        <w:lastRenderedPageBreak/>
        <w:t xml:space="preserve">to achieve results over the reporting period. </w:t>
      </w:r>
      <w:r w:rsidR="008F2679">
        <w:t>O</w:t>
      </w:r>
      <w:r>
        <w:t xml:space="preserve">ur </w:t>
      </w:r>
      <w:r w:rsidR="008F2679">
        <w:t xml:space="preserve">UXO </w:t>
      </w:r>
      <w:r>
        <w:t>support helped clear</w:t>
      </w:r>
      <w:r w:rsidR="00570794" w:rsidRPr="00570794">
        <w:t xml:space="preserve"> 166 hectares of UXO</w:t>
      </w:r>
      <w:r>
        <w:t>-</w:t>
      </w:r>
      <w:r w:rsidR="00570794" w:rsidRPr="00570794">
        <w:t>contaminated land (</w:t>
      </w:r>
      <w:r w:rsidR="004337B1">
        <w:t>not achieving the target of</w:t>
      </w:r>
      <w:r w:rsidR="00570794" w:rsidRPr="00570794">
        <w:t xml:space="preserve"> 190 ha</w:t>
      </w:r>
      <w:r w:rsidR="004337B1">
        <w:t xml:space="preserve"> due to demands to clear time-consuming small lots of land across many villages compared to initial plans of larger areas</w:t>
      </w:r>
      <w:r w:rsidR="00CD717B">
        <w:t>)</w:t>
      </w:r>
      <w:r w:rsidR="00570794" w:rsidRPr="00570794">
        <w:t xml:space="preserve"> benefiting over 15,317 people</w:t>
      </w:r>
      <w:r w:rsidR="002D22A1">
        <w:t xml:space="preserve"> (49% women) in 2017</w:t>
      </w:r>
      <w:r w:rsidR="00570794" w:rsidRPr="00570794">
        <w:t>.</w:t>
      </w:r>
      <w:r w:rsidR="00AE3562">
        <w:t xml:space="preserve"> </w:t>
      </w:r>
      <w:r>
        <w:t xml:space="preserve"> </w:t>
      </w:r>
      <w:r w:rsidR="00ED155B">
        <w:t xml:space="preserve">SPSL advocated for </w:t>
      </w:r>
      <w:r w:rsidR="00B25246">
        <w:t xml:space="preserve">Lao Government </w:t>
      </w:r>
      <w:r w:rsidR="00ED155B">
        <w:t xml:space="preserve">acceptance of social protection activities, including cash transfers. </w:t>
      </w:r>
    </w:p>
    <w:p w:rsidR="00CF4535" w:rsidRDefault="00CF4535" w:rsidP="00CF4535">
      <w:r w:rsidRPr="00C93849">
        <w:rPr>
          <w:b/>
        </w:rPr>
        <w:t>Standing Up and Speaking Out</w:t>
      </w:r>
      <w:r>
        <w:t xml:space="preserve"> aims to reduce violence against women in Laos through prevention and increased access to community-based response mechanisms. In 2017-18, </w:t>
      </w:r>
      <w:r w:rsidR="008F2679">
        <w:t>it focused</w:t>
      </w:r>
      <w:r>
        <w:t xml:space="preserve"> on building relationships and signing key agreements with key government and local partners, including the Lao Women’s Union, and mobilising staff and resources to commence implementation.</w:t>
      </w:r>
    </w:p>
    <w:p w:rsidR="0052633D" w:rsidRDefault="00556A3F" w:rsidP="0052633D">
      <w:r>
        <w:t xml:space="preserve">Laos benefitted from </w:t>
      </w:r>
      <w:r w:rsidR="0052633D" w:rsidRPr="00452C85">
        <w:rPr>
          <w:b/>
        </w:rPr>
        <w:t>ASEAN and Mekong regional programs</w:t>
      </w:r>
      <w:r w:rsidR="0052633D">
        <w:t xml:space="preserve"> </w:t>
      </w:r>
      <w:r w:rsidR="00570BAA">
        <w:t>focusing on co</w:t>
      </w:r>
      <w:r w:rsidR="00570BAA" w:rsidRPr="00570BAA">
        <w:t>unter-trafficking and safe migration</w:t>
      </w:r>
      <w:r w:rsidR="00570BAA">
        <w:t xml:space="preserve">. Investments </w:t>
      </w:r>
      <w:r w:rsidR="00570BAA" w:rsidRPr="00570BAA">
        <w:t xml:space="preserve">support effective regional responses to human </w:t>
      </w:r>
      <w:r w:rsidR="002B1825">
        <w:t>security</w:t>
      </w:r>
      <w:r w:rsidR="002B1825" w:rsidRPr="00570BAA">
        <w:t xml:space="preserve"> </w:t>
      </w:r>
      <w:r w:rsidR="00570BAA" w:rsidRPr="00570BAA">
        <w:t>issues, cross-border governance challenges, and stable and inclusive growth</w:t>
      </w:r>
      <w:r w:rsidR="00570BAA">
        <w:t>.</w:t>
      </w:r>
      <w:r w:rsidR="0052633D">
        <w:rPr>
          <w:rStyle w:val="FootnoteReference"/>
        </w:rPr>
        <w:footnoteReference w:id="5"/>
      </w:r>
      <w:r w:rsidR="00FA0671">
        <w:t xml:space="preserve"> </w:t>
      </w:r>
    </w:p>
    <w:p w:rsidR="009260F7" w:rsidRPr="009260F7" w:rsidRDefault="009260F7" w:rsidP="00FA0671">
      <w:pPr>
        <w:rPr>
          <w:bCs/>
        </w:rPr>
      </w:pPr>
      <w:r>
        <w:rPr>
          <w:bCs/>
        </w:rPr>
        <w:t xml:space="preserve">The </w:t>
      </w:r>
      <w:r w:rsidRPr="009260F7">
        <w:rPr>
          <w:b/>
          <w:bCs/>
        </w:rPr>
        <w:t>Greater Mekong Water Resources Program</w:t>
      </w:r>
      <w:r>
        <w:rPr>
          <w:bCs/>
        </w:rPr>
        <w:t xml:space="preserve"> (</w:t>
      </w:r>
      <w:r w:rsidRPr="009260F7">
        <w:rPr>
          <w:bCs/>
        </w:rPr>
        <w:t>GMWRP</w:t>
      </w:r>
      <w:r>
        <w:rPr>
          <w:bCs/>
        </w:rPr>
        <w:t>)</w:t>
      </w:r>
      <w:r w:rsidRPr="009260F7">
        <w:rPr>
          <w:bCs/>
        </w:rPr>
        <w:t xml:space="preserve"> plays a significant role in </w:t>
      </w:r>
      <w:r w:rsidR="009D50A3">
        <w:rPr>
          <w:bCs/>
        </w:rPr>
        <w:t xml:space="preserve">supporting the sustainable and equitable management of water resources in Laos, while also </w:t>
      </w:r>
      <w:r w:rsidRPr="009260F7">
        <w:rPr>
          <w:bCs/>
        </w:rPr>
        <w:t>promoting transboundary and rule</w:t>
      </w:r>
      <w:r w:rsidR="008F5DF7">
        <w:rPr>
          <w:bCs/>
        </w:rPr>
        <w:t>s</w:t>
      </w:r>
      <w:r w:rsidRPr="009260F7">
        <w:rPr>
          <w:bCs/>
        </w:rPr>
        <w:t>-based cooperation.</w:t>
      </w:r>
      <w:r w:rsidR="00AB0F1D">
        <w:rPr>
          <w:rStyle w:val="FootnoteReference"/>
          <w:bCs/>
        </w:rPr>
        <w:footnoteReference w:id="6"/>
      </w:r>
      <w:r w:rsidR="00851436">
        <w:rPr>
          <w:bCs/>
        </w:rPr>
        <w:t xml:space="preserve"> </w:t>
      </w:r>
      <w:r w:rsidR="009D50A3">
        <w:rPr>
          <w:bCs/>
        </w:rPr>
        <w:t>Through the GMWRP, Australia supported the finalisation of a new Nationa</w:t>
      </w:r>
      <w:r w:rsidR="000A5898">
        <w:rPr>
          <w:bCs/>
        </w:rPr>
        <w:t xml:space="preserve">l Water Law. By co-chairing </w:t>
      </w:r>
      <w:r w:rsidR="00851436">
        <w:rPr>
          <w:bCs/>
        </w:rPr>
        <w:t>Laos’ Water Subsector Working Group with the Ministry of Natural Resources and Environment</w:t>
      </w:r>
      <w:r w:rsidR="000A5898">
        <w:rPr>
          <w:bCs/>
        </w:rPr>
        <w:t>, Australia also facilitated national consultations on the regulations required to implement and give life to the new Water Law</w:t>
      </w:r>
      <w:r w:rsidR="00851436">
        <w:rPr>
          <w:bCs/>
        </w:rPr>
        <w:t>.</w:t>
      </w:r>
    </w:p>
    <w:p w:rsidR="00452C85" w:rsidRDefault="00452C85" w:rsidP="00FA0671">
      <w:pPr>
        <w:rPr>
          <w:bCs/>
        </w:rPr>
      </w:pPr>
      <w:r w:rsidRPr="00452C85">
        <w:rPr>
          <w:bCs/>
        </w:rPr>
        <w:t xml:space="preserve">In 2017-18, 23 </w:t>
      </w:r>
      <w:r w:rsidRPr="00452C85">
        <w:rPr>
          <w:b/>
          <w:bCs/>
        </w:rPr>
        <w:t>Australian volunteers</w:t>
      </w:r>
      <w:r w:rsidRPr="00452C85">
        <w:rPr>
          <w:bCs/>
        </w:rPr>
        <w:t xml:space="preserve"> were in Laos. Currently, volunteers are working in sectors and entities that align with AIP objectives, including teacher and sectoral training colleges, government counterparts (including the Ministry of Energy), business and trade support associations, civil society organisations focussed on disability and social inclusion</w:t>
      </w:r>
      <w:r w:rsidR="00F605E3">
        <w:rPr>
          <w:bCs/>
        </w:rPr>
        <w:t>,</w:t>
      </w:r>
      <w:r w:rsidRPr="00452C85">
        <w:rPr>
          <w:bCs/>
        </w:rPr>
        <w:t xml:space="preserve"> and regional agricultural colleges.   </w:t>
      </w:r>
    </w:p>
    <w:p w:rsidR="000341D6" w:rsidRDefault="000341D6" w:rsidP="00FA0671">
      <w:pPr>
        <w:rPr>
          <w:bCs/>
        </w:rPr>
      </w:pPr>
      <w:r>
        <w:rPr>
          <w:bCs/>
        </w:rPr>
        <w:t xml:space="preserve">The </w:t>
      </w:r>
      <w:r w:rsidR="00C35780" w:rsidRPr="00304389">
        <w:rPr>
          <w:b/>
          <w:bCs/>
        </w:rPr>
        <w:t>Australian NGO Cooperation Program (ANCP)</w:t>
      </w:r>
      <w:r w:rsidR="00C35780">
        <w:rPr>
          <w:bCs/>
        </w:rPr>
        <w:t xml:space="preserve"> supported 25 projects in Laos in 2017-18, covering a range of sectors including rural development</w:t>
      </w:r>
      <w:r w:rsidR="008F5DF7">
        <w:rPr>
          <w:bCs/>
        </w:rPr>
        <w:t xml:space="preserve"> and </w:t>
      </w:r>
      <w:r w:rsidR="00C35780">
        <w:rPr>
          <w:bCs/>
        </w:rPr>
        <w:t xml:space="preserve">agriculture, health, human rights, child protection, gender </w:t>
      </w:r>
      <w:r w:rsidR="00AB0F1D">
        <w:rPr>
          <w:bCs/>
        </w:rPr>
        <w:t xml:space="preserve">equity </w:t>
      </w:r>
      <w:r w:rsidR="00C35780">
        <w:rPr>
          <w:bCs/>
        </w:rPr>
        <w:t>and food security. It is e</w:t>
      </w:r>
      <w:r w:rsidR="00DA6DF9">
        <w:rPr>
          <w:bCs/>
        </w:rPr>
        <w:t>stimated</w:t>
      </w:r>
      <w:r w:rsidR="00C35780">
        <w:rPr>
          <w:bCs/>
        </w:rPr>
        <w:t xml:space="preserve"> 191,514 women, men and children benefitted from ANCP projects in Laos</w:t>
      </w:r>
      <w:r w:rsidR="00032F7E">
        <w:rPr>
          <w:bCs/>
        </w:rPr>
        <w:t xml:space="preserve"> during the reporting period</w:t>
      </w:r>
      <w:r w:rsidR="00C35780">
        <w:rPr>
          <w:bCs/>
        </w:rPr>
        <w:t>.</w:t>
      </w:r>
      <w:r w:rsidR="007A1351">
        <w:rPr>
          <w:rStyle w:val="FootnoteReference"/>
          <w:bCs/>
        </w:rPr>
        <w:footnoteReference w:id="7"/>
      </w:r>
    </w:p>
    <w:p w:rsidR="000341D6" w:rsidRDefault="0018451D" w:rsidP="00FA0671">
      <w:pPr>
        <w:rPr>
          <w:bCs/>
        </w:rPr>
      </w:pPr>
      <w:r>
        <w:rPr>
          <w:bCs/>
        </w:rPr>
        <w:t xml:space="preserve">Australia has pledged significant support to </w:t>
      </w:r>
      <w:r w:rsidRPr="0018451D">
        <w:rPr>
          <w:b/>
          <w:bCs/>
        </w:rPr>
        <w:t xml:space="preserve">global </w:t>
      </w:r>
      <w:r w:rsidR="00AB0F1D">
        <w:rPr>
          <w:b/>
          <w:bCs/>
        </w:rPr>
        <w:t xml:space="preserve">health </w:t>
      </w:r>
      <w:r w:rsidRPr="0018451D">
        <w:rPr>
          <w:b/>
          <w:bCs/>
        </w:rPr>
        <w:t xml:space="preserve">funds </w:t>
      </w:r>
      <w:r>
        <w:rPr>
          <w:bCs/>
        </w:rPr>
        <w:t>that benefit Laos including the Global Fund for AIDS, T</w:t>
      </w:r>
      <w:r w:rsidR="007A0BAF">
        <w:rPr>
          <w:bCs/>
        </w:rPr>
        <w:t>uberculosis</w:t>
      </w:r>
      <w:r>
        <w:rPr>
          <w:bCs/>
        </w:rPr>
        <w:t xml:space="preserve"> and Malaria, Gavi </w:t>
      </w:r>
      <w:r w:rsidR="007A0BAF">
        <w:rPr>
          <w:bCs/>
        </w:rPr>
        <w:t>-</w:t>
      </w:r>
      <w:r>
        <w:rPr>
          <w:bCs/>
        </w:rPr>
        <w:t xml:space="preserve"> the Vaccine Alliance</w:t>
      </w:r>
      <w:r w:rsidR="007A0BAF">
        <w:rPr>
          <w:bCs/>
        </w:rPr>
        <w:t xml:space="preserve"> and</w:t>
      </w:r>
      <w:r>
        <w:rPr>
          <w:bCs/>
        </w:rPr>
        <w:t xml:space="preserve"> the Health Financing World Bank Trust Fund</w:t>
      </w:r>
      <w:r w:rsidR="007A0BAF">
        <w:rPr>
          <w:bCs/>
        </w:rPr>
        <w:t xml:space="preserve">. </w:t>
      </w:r>
      <w:r>
        <w:rPr>
          <w:bCs/>
        </w:rPr>
        <w:t xml:space="preserve"> </w:t>
      </w:r>
      <w:r w:rsidR="00B44D27">
        <w:rPr>
          <w:bCs/>
        </w:rPr>
        <w:t>In 2017-18, the funds</w:t>
      </w:r>
      <w:r>
        <w:rPr>
          <w:bCs/>
        </w:rPr>
        <w:t xml:space="preserve"> continued to implement programs focussing on tuberculosis and malaria (both considered high disease burdens in Laos)</w:t>
      </w:r>
      <w:r w:rsidR="00032F7E">
        <w:rPr>
          <w:bCs/>
        </w:rPr>
        <w:t xml:space="preserve"> and</w:t>
      </w:r>
      <w:r>
        <w:rPr>
          <w:bCs/>
        </w:rPr>
        <w:t xml:space="preserve"> integration of support for these diseases </w:t>
      </w:r>
      <w:r w:rsidR="00032F7E">
        <w:rPr>
          <w:bCs/>
        </w:rPr>
        <w:t>i</w:t>
      </w:r>
      <w:r>
        <w:rPr>
          <w:bCs/>
        </w:rPr>
        <w:t>nto national health and insurance systems</w:t>
      </w:r>
      <w:r w:rsidR="00032F7E">
        <w:rPr>
          <w:bCs/>
        </w:rPr>
        <w:t>; and strengthen</w:t>
      </w:r>
      <w:r w:rsidR="00AB0F1D">
        <w:rPr>
          <w:bCs/>
        </w:rPr>
        <w:t>ed</w:t>
      </w:r>
      <w:r w:rsidR="00032F7E">
        <w:rPr>
          <w:bCs/>
        </w:rPr>
        <w:t xml:space="preserve"> health system</w:t>
      </w:r>
      <w:r w:rsidR="008F5DF7">
        <w:rPr>
          <w:bCs/>
        </w:rPr>
        <w:t>s</w:t>
      </w:r>
      <w:r w:rsidR="00032F7E">
        <w:rPr>
          <w:bCs/>
        </w:rPr>
        <w:t xml:space="preserve"> to improve immunisation and introduce vaccines. </w:t>
      </w:r>
    </w:p>
    <w:p w:rsidR="00FA0671" w:rsidRDefault="00303111" w:rsidP="00303111">
      <w:r>
        <w:rPr>
          <w:bCs/>
        </w:rPr>
        <w:t>Over the reporting period, t</w:t>
      </w:r>
      <w:r w:rsidR="001B2A8C" w:rsidRPr="001B2A8C">
        <w:rPr>
          <w:bCs/>
        </w:rPr>
        <w:t xml:space="preserve">he </w:t>
      </w:r>
      <w:r w:rsidR="00FA0671" w:rsidRPr="00452C85">
        <w:rPr>
          <w:b/>
          <w:bCs/>
        </w:rPr>
        <w:t>Australian Centre for International Agricultural Research (ACIAR)</w:t>
      </w:r>
      <w:r w:rsidR="001B2A8C">
        <w:rPr>
          <w:b/>
          <w:bCs/>
        </w:rPr>
        <w:t xml:space="preserve"> </w:t>
      </w:r>
      <w:r>
        <w:t xml:space="preserve">supported </w:t>
      </w:r>
      <w:r w:rsidR="00FA0671">
        <w:t xml:space="preserve">the construction of </w:t>
      </w:r>
      <w:r w:rsidR="000E164E">
        <w:t>Laos’</w:t>
      </w:r>
      <w:r w:rsidR="00FA0671">
        <w:t xml:space="preserve"> first wood processing centre where forestry students from the National University of Laos and industry partners will be able to develop capacities to produce enhanced engineered wood products; farmers reporting improved growth rates of cattle given interventions on forage adoption and provision of molasses-based supplementation blocks; and the rehabilitation of Pak Peung wetland from low fish productivity (60 kg/hectare/year) to high</w:t>
      </w:r>
      <w:r w:rsidR="000E164E">
        <w:t xml:space="preserve"> productivity</w:t>
      </w:r>
      <w:r w:rsidR="00FA0671">
        <w:t xml:space="preserve"> (100 kg/hectare/year</w:t>
      </w:r>
      <w:r w:rsidR="000E164E">
        <w:t>)</w:t>
      </w:r>
      <w:r w:rsidR="00FA0671">
        <w:t xml:space="preserve">. </w:t>
      </w:r>
    </w:p>
    <w:p w:rsidR="005B5769" w:rsidRPr="00015316" w:rsidRDefault="005B5769" w:rsidP="004B02FA">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Mutual Obligations</w:t>
      </w:r>
    </w:p>
    <w:p w:rsidR="006B1D6E" w:rsidRDefault="00DC320A" w:rsidP="00E65105">
      <w:r w:rsidRPr="00DC320A">
        <w:t xml:space="preserve">Australia and Laos have a strong bilateral relationship built on Australia's development assistance, the contribution of Australian businesses and </w:t>
      </w:r>
      <w:r w:rsidR="008F6959">
        <w:t>strong</w:t>
      </w:r>
      <w:r w:rsidR="008F6959" w:rsidRPr="00DC320A">
        <w:t xml:space="preserve"> </w:t>
      </w:r>
      <w:r w:rsidRPr="00DC320A">
        <w:t>people-to-people links.</w:t>
      </w:r>
      <w:r>
        <w:t xml:space="preserve"> </w:t>
      </w:r>
      <w:r w:rsidR="006B1D6E">
        <w:t xml:space="preserve">The Laos AIP represents jointly agreed priorities of the Australian and Laos Governments, most recently reconfirmed in 2017. </w:t>
      </w:r>
    </w:p>
    <w:p w:rsidR="006B1D6E" w:rsidRDefault="00D76CC8" w:rsidP="00D76CC8">
      <w:r>
        <w:lastRenderedPageBreak/>
        <w:t>Laos</w:t>
      </w:r>
      <w:r w:rsidR="006B1D6E">
        <w:t xml:space="preserve"> </w:t>
      </w:r>
      <w:r w:rsidR="00F605E3">
        <w:t xml:space="preserve">has </w:t>
      </w:r>
      <w:r w:rsidR="006B1D6E">
        <w:t>committed to increase the share of the total government budget spent on education (subject to external considerations) and the proportion spent on non-wage recurrent costs.</w:t>
      </w:r>
      <w:r w:rsidR="008156D6">
        <w:t xml:space="preserve"> </w:t>
      </w:r>
      <w:r>
        <w:t>However, b</w:t>
      </w:r>
      <w:r w:rsidR="006B1D6E">
        <w:t xml:space="preserve">udget allocation to the education sector </w:t>
      </w:r>
      <w:r w:rsidR="00957425">
        <w:t xml:space="preserve">is </w:t>
      </w:r>
      <w:r>
        <w:t>less than</w:t>
      </w:r>
      <w:r w:rsidR="006B1D6E">
        <w:t xml:space="preserve"> the</w:t>
      </w:r>
      <w:r w:rsidR="003C20BB">
        <w:t xml:space="preserve"> Education Law’s </w:t>
      </w:r>
      <w:r w:rsidR="006B1D6E">
        <w:t>target of 1</w:t>
      </w:r>
      <w:r w:rsidR="00111E04">
        <w:t>8</w:t>
      </w:r>
      <w:r w:rsidR="006B1D6E">
        <w:t xml:space="preserve"> per cent (actual share 13.29% in 2017,</w:t>
      </w:r>
      <w:r w:rsidR="006B1D6E" w:rsidRPr="006B1D6E">
        <w:t xml:space="preserve"> with 90% allocated to </w:t>
      </w:r>
      <w:r w:rsidR="006B1D6E">
        <w:t>salaries</w:t>
      </w:r>
      <w:r w:rsidR="008156D6">
        <w:t>)</w:t>
      </w:r>
      <w:r>
        <w:t xml:space="preserve"> and budget projections to 2020 </w:t>
      </w:r>
      <w:r w:rsidR="00957425">
        <w:t>remain</w:t>
      </w:r>
      <w:r>
        <w:t xml:space="preserve"> lower than originally proposed.</w:t>
      </w:r>
    </w:p>
    <w:p w:rsidR="0077246A" w:rsidRDefault="00D76CC8" w:rsidP="00D76CC8">
      <w:r w:rsidRPr="00D76CC8">
        <w:t xml:space="preserve">Australia has invested heavily in policy dialogue/donor coordination to ensure our investment in the education sector is consolidated. As </w:t>
      </w:r>
      <w:r w:rsidR="00957425">
        <w:t>C</w:t>
      </w:r>
      <w:r w:rsidRPr="00D76CC8">
        <w:t>o-</w:t>
      </w:r>
      <w:r w:rsidR="00957425">
        <w:t>C</w:t>
      </w:r>
      <w:r w:rsidRPr="00D76CC8">
        <w:t>hair of the Education Sector Working Group and Informal Education Development Partner Working Group, we supported MOES to share its education sector progress report with a wider audience, a commendably frank assessment of challenges, which demonstrated trust and more open dialogue.  We have committed to support</w:t>
      </w:r>
      <w:r w:rsidR="00FE163A">
        <w:t xml:space="preserve"> a</w:t>
      </w:r>
      <w:r w:rsidRPr="00D76CC8">
        <w:t xml:space="preserve"> review of the Education Sector Development Plan in 2018.  </w:t>
      </w:r>
    </w:p>
    <w:p w:rsidR="00CC2AB6" w:rsidRDefault="00AF47A2" w:rsidP="00CC2AB6">
      <w:pPr>
        <w:rPr>
          <w:rFonts w:eastAsia="Times New Roman"/>
          <w:color w:val="auto"/>
        </w:rPr>
      </w:pPr>
      <w:r>
        <w:t xml:space="preserve">Australia </w:t>
      </w:r>
      <w:r w:rsidR="008F6959">
        <w:t>has taken</w:t>
      </w:r>
      <w:r>
        <w:t xml:space="preserve"> a leadership role in policy dialogue in the </w:t>
      </w:r>
      <w:r w:rsidR="00F605E3">
        <w:t>t</w:t>
      </w:r>
      <w:r>
        <w:t xml:space="preserve">rade </w:t>
      </w:r>
      <w:r w:rsidR="00F605E3">
        <w:t>s</w:t>
      </w:r>
      <w:r>
        <w:t xml:space="preserve">ector through our joint chairmanship with the EU on the Trade and Private Sector Working Group. </w:t>
      </w:r>
      <w:r w:rsidR="00CC2AB6" w:rsidRPr="00762C75">
        <w:t xml:space="preserve">There continues to be good progress on policy and institutional improvements in the trade sector. With the establishment of a regular meeting of the </w:t>
      </w:r>
      <w:r w:rsidR="004833FA" w:rsidRPr="00DC320A">
        <w:t xml:space="preserve">Non-Tariff Measure </w:t>
      </w:r>
      <w:r w:rsidR="00CC2AB6" w:rsidRPr="00762C75">
        <w:t xml:space="preserve">Working Group in late 2016, there has been progress in reducing import/export barriers for traders. The Minister of Industry and Commerce adopted the Trade Facilitation Road Map (2017-22) in September 2017. The plan seeks to address gap areas like inadequate coordination with line departments, weak </w:t>
      </w:r>
      <w:r w:rsidR="00CC2AB6" w:rsidRPr="00A12372">
        <w:t>communication with provincial offices, poor coordination with the private sector, and reduction of</w:t>
      </w:r>
      <w:r w:rsidR="00A12372" w:rsidRPr="00A12372">
        <w:t xml:space="preserve"> non-tariff measures</w:t>
      </w:r>
      <w:r w:rsidR="00CC2AB6" w:rsidRPr="00A12372">
        <w:t xml:space="preserve"> </w:t>
      </w:r>
      <w:r w:rsidR="00A12372" w:rsidRPr="00A12372">
        <w:t>(</w:t>
      </w:r>
      <w:r w:rsidR="00CC2AB6" w:rsidRPr="00BD2C51">
        <w:t>NTMs</w:t>
      </w:r>
      <w:r w:rsidR="00A12372" w:rsidRPr="00BD2C51">
        <w:t>)</w:t>
      </w:r>
      <w:r w:rsidR="00CC2AB6" w:rsidRPr="00BD2C51">
        <w:t>.</w:t>
      </w:r>
      <w:r w:rsidR="00CC2AB6" w:rsidRPr="00A12372">
        <w:t xml:space="preserve"> This work takes place in the context of other drivers of change, including under AANZFTA (through which Australia</w:t>
      </w:r>
      <w:r w:rsidR="00CC2AB6" w:rsidRPr="00762C75">
        <w:t xml:space="preserve"> provides technical capacity support) and Laos’ commitments under the ASEAN Economic Community (AEC). The Financial Inclusion Road Map has been elevated to the level of a National Strategy and consultation is currently taking place across relevant line ministries. This change has delayed adoption of the Road Map</w:t>
      </w:r>
      <w:r w:rsidR="00F605E3">
        <w:t>,</w:t>
      </w:r>
      <w:r w:rsidR="00CC2AB6" w:rsidRPr="00762C75">
        <w:t xml:space="preserve"> but should result in a more coordinated whole-of-government approach to financial inclusion.</w:t>
      </w:r>
    </w:p>
    <w:p w:rsidR="005B5769" w:rsidRPr="00015316" w:rsidRDefault="005B5769" w:rsidP="00DF1387">
      <w:pPr>
        <w:pStyle w:val="ListBullet"/>
        <w:tabs>
          <w:tab w:val="clear" w:pos="284"/>
        </w:tabs>
        <w:spacing w:before="48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rsidR="00986B50" w:rsidRDefault="009B579F" w:rsidP="00053235">
      <w:r>
        <w:t xml:space="preserve">The Laos program performed </w:t>
      </w:r>
      <w:r w:rsidR="004B0D1A">
        <w:t>effectively</w:t>
      </w:r>
      <w:r>
        <w:t xml:space="preserve"> in 2017-18, meeting </w:t>
      </w:r>
      <w:r w:rsidR="00443B5E">
        <w:t xml:space="preserve">almost </w:t>
      </w:r>
      <w:r>
        <w:t xml:space="preserve">all performance benchmarks. </w:t>
      </w:r>
      <w:r w:rsidR="00986B50">
        <w:t xml:space="preserve"> </w:t>
      </w:r>
      <w:r>
        <w:t>All investments were considered effective and relevant</w:t>
      </w:r>
      <w:r w:rsidR="004B0D1A">
        <w:t xml:space="preserve">, </w:t>
      </w:r>
      <w:r w:rsidR="00337DCF">
        <w:t xml:space="preserve">although </w:t>
      </w:r>
      <w:r w:rsidR="004B0D1A">
        <w:t>o</w:t>
      </w:r>
      <w:r w:rsidR="00443B5E">
        <w:t xml:space="preserve">ne objective was rated </w:t>
      </w:r>
      <w:r w:rsidR="00986B50">
        <w:t>amber and</w:t>
      </w:r>
      <w:r>
        <w:t xml:space="preserve"> three out of five investments</w:t>
      </w:r>
      <w:r w:rsidR="00443B5E">
        <w:t xml:space="preserve"> were</w:t>
      </w:r>
      <w:r>
        <w:t xml:space="preserve"> found </w:t>
      </w:r>
      <w:r w:rsidR="00986B50">
        <w:t>to be requiring further</w:t>
      </w:r>
      <w:r w:rsidR="00E177E4">
        <w:t xml:space="preserve"> work</w:t>
      </w:r>
      <w:r w:rsidR="00DA4E3A">
        <w:t>.</w:t>
      </w:r>
      <w:r w:rsidR="00AF47A2">
        <w:t xml:space="preserve"> These scores demonstrate a high level of </w:t>
      </w:r>
      <w:r w:rsidR="00986B50">
        <w:t>independent assessment</w:t>
      </w:r>
      <w:r w:rsidR="00DA4E3A">
        <w:t xml:space="preserve"> and contestability.</w:t>
      </w:r>
    </w:p>
    <w:p w:rsidR="00986B50" w:rsidRDefault="00E177E4" w:rsidP="00053235">
      <w:r>
        <w:t xml:space="preserve">Two out of </w:t>
      </w:r>
      <w:r w:rsidR="008B02B0">
        <w:t>five</w:t>
      </w:r>
      <w:r w:rsidR="0029020C">
        <w:t xml:space="preserve"> ongoing</w:t>
      </w:r>
      <w:r>
        <w:t xml:space="preserve"> investments require further work in gender equality. </w:t>
      </w:r>
      <w:r w:rsidR="00DA4E3A">
        <w:t xml:space="preserve"> </w:t>
      </w:r>
      <w:r w:rsidR="00240F56">
        <w:t xml:space="preserve">DFAT </w:t>
      </w:r>
      <w:r>
        <w:t xml:space="preserve">is responding to the findings of the 2017 </w:t>
      </w:r>
      <w:r w:rsidR="00240F56">
        <w:t xml:space="preserve">BEQUAL </w:t>
      </w:r>
      <w:r w:rsidR="00A82CF9">
        <w:t>MTR</w:t>
      </w:r>
      <w:r w:rsidR="00240F56">
        <w:t xml:space="preserve"> by bolstering gender expertise within the program</w:t>
      </w:r>
      <w:r w:rsidR="00A82CF9">
        <w:t xml:space="preserve">. </w:t>
      </w:r>
      <w:r w:rsidR="00266580">
        <w:t>T</w:t>
      </w:r>
      <w:r w:rsidR="00EA0708">
        <w:t>he L</w:t>
      </w:r>
      <w:r w:rsidR="00443B5E">
        <w:t>ADLF</w:t>
      </w:r>
      <w:r w:rsidR="00EA0708">
        <w:t xml:space="preserve">, which supports AIP implementation, </w:t>
      </w:r>
      <w:r w:rsidR="00266580">
        <w:t xml:space="preserve">prepared a </w:t>
      </w:r>
      <w:r w:rsidR="00871715">
        <w:t>Gender Equality and Disability Inclusion (</w:t>
      </w:r>
      <w:r w:rsidR="00AC2B62">
        <w:t>GEDI</w:t>
      </w:r>
      <w:r w:rsidR="00871715">
        <w:t>)</w:t>
      </w:r>
      <w:r w:rsidR="00AC2B62">
        <w:t xml:space="preserve"> </w:t>
      </w:r>
      <w:r w:rsidR="00266580">
        <w:t>synthesis to assess the Laos program’s performance</w:t>
      </w:r>
      <w:r w:rsidR="00E9119D">
        <w:t xml:space="preserve"> in gender and disability. T</w:t>
      </w:r>
      <w:r w:rsidR="00AC2B62">
        <w:t xml:space="preserve">he synthesis found </w:t>
      </w:r>
      <w:r w:rsidR="00A445F4">
        <w:t xml:space="preserve">89 per cent of </w:t>
      </w:r>
      <w:r w:rsidR="00AC2B62">
        <w:t>Australian aid investments</w:t>
      </w:r>
      <w:r w:rsidR="00A445F4">
        <w:t xml:space="preserve"> have a significant or principle commitment to gender equality and third to disability inclusion; 67 per cent of investments have a responsive or sensitive approach to GEDI.</w:t>
      </w:r>
      <w:r w:rsidR="00A445F4" w:rsidRPr="00443B5E">
        <w:rPr>
          <w:vertAlign w:val="superscript"/>
        </w:rPr>
        <w:footnoteReference w:id="8"/>
      </w:r>
      <w:r w:rsidR="00A445F4">
        <w:t xml:space="preserve"> However, data and evidence to support GEDI results are limited: the Laos program would benefit from</w:t>
      </w:r>
      <w:r w:rsidR="00F605E3">
        <w:t xml:space="preserve"> the</w:t>
      </w:r>
      <w:r w:rsidR="00A445F4">
        <w:t xml:space="preserve"> development of GEDI strategies for all investments.</w:t>
      </w:r>
      <w:r w:rsidR="00240F56">
        <w:t xml:space="preserve"> LADLF has employed a full-time GEDI adviser to support the implementation of the recommendations.</w:t>
      </w:r>
    </w:p>
    <w:p w:rsidR="00443B5E" w:rsidRDefault="00D23871" w:rsidP="00053235">
      <w:r>
        <w:t>A</w:t>
      </w:r>
      <w:r w:rsidR="004833FA">
        <w:t>n independent</w:t>
      </w:r>
      <w:r w:rsidR="00443B5E">
        <w:t xml:space="preserve"> ‘health check’ of the AIP </w:t>
      </w:r>
      <w:r>
        <w:t>was undertaken i</w:t>
      </w:r>
      <w:r w:rsidR="00443B5E">
        <w:t>n mid-2018</w:t>
      </w:r>
      <w:r w:rsidR="004833FA">
        <w:t>, suggesting t</w:t>
      </w:r>
      <w:r>
        <w:t xml:space="preserve">he Laos program would benefit from i) a country strategy that articulates Australia’s core national interests in Laos and key challenges to achieving these, and ii) a revision of the AIP </w:t>
      </w:r>
      <w:r w:rsidR="00443B5E">
        <w:t xml:space="preserve">to better reflect </w:t>
      </w:r>
      <w:r w:rsidR="001A66A4">
        <w:t xml:space="preserve">all </w:t>
      </w:r>
      <w:r>
        <w:t xml:space="preserve">Australian </w:t>
      </w:r>
      <w:r w:rsidR="00443B5E">
        <w:t>ODA investment in Laos</w:t>
      </w:r>
      <w:r>
        <w:t>. Currently, several regional and bilateral programs that promote Australian foreign policy objectives and which are valued by the Laos Government sit outside the three AIP objectives.</w:t>
      </w:r>
      <w:r w:rsidR="00443B5E">
        <w:t xml:space="preserve"> </w:t>
      </w:r>
    </w:p>
    <w:p w:rsidR="00140A47" w:rsidRDefault="00140A47" w:rsidP="00140A47">
      <w:r>
        <w:lastRenderedPageBreak/>
        <w:t>The P</w:t>
      </w:r>
      <w:r w:rsidR="00AF47A2">
        <w:t xml:space="preserve">erformance </w:t>
      </w:r>
      <w:r>
        <w:t>A</w:t>
      </w:r>
      <w:r w:rsidR="00AF47A2">
        <w:t xml:space="preserve">ssessment </w:t>
      </w:r>
      <w:r>
        <w:t>F</w:t>
      </w:r>
      <w:r w:rsidR="00AF47A2">
        <w:t>ramework</w:t>
      </w:r>
      <w:r w:rsidR="00F605E3">
        <w:t xml:space="preserve"> (PAF)</w:t>
      </w:r>
      <w:r>
        <w:t xml:space="preserve"> is currently in draft and needs to be </w:t>
      </w:r>
      <w:r w:rsidRPr="00443B5E">
        <w:t>updated to reflect decisions following the BEQUAL mid-term review</w:t>
      </w:r>
      <w:r>
        <w:t>,</w:t>
      </w:r>
      <w:r w:rsidRPr="00443B5E">
        <w:t xml:space="preserve"> intended realignment of the proportion of bilateral investment in trade and private sector activities</w:t>
      </w:r>
      <w:r w:rsidR="00F605E3">
        <w:t>,</w:t>
      </w:r>
      <w:r>
        <w:t xml:space="preserve"> and any revisions to the AIP</w:t>
      </w:r>
      <w:r w:rsidRPr="00443B5E">
        <w:t>.</w:t>
      </w:r>
    </w:p>
    <w:p w:rsidR="0060582E" w:rsidRPr="00015316" w:rsidRDefault="00266580" w:rsidP="00053235">
      <w:r>
        <w:t>A departmental aid p</w:t>
      </w:r>
      <w:r w:rsidR="0060582E">
        <w:t>rogram audit conducted in 2018 found mostly positive results and demonstrated strong and active management of the Laos bilateral program.</w:t>
      </w:r>
    </w:p>
    <w:p w:rsidR="005B5769" w:rsidRPr="00015316" w:rsidRDefault="005B5769" w:rsidP="004B02FA">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rsidR="00434098" w:rsidRDefault="00434098" w:rsidP="00434098">
      <w:pPr>
        <w:rPr>
          <w:rFonts w:ascii="Calibri Light" w:hAnsi="Calibri Light"/>
          <w:color w:val="495965"/>
        </w:rPr>
      </w:pPr>
      <w:r>
        <w:rPr>
          <w:rFonts w:ascii="Calibri Light" w:hAnsi="Calibri Light"/>
          <w:color w:val="495965"/>
        </w:rPr>
        <w:t>The following management actions should be actioned during the next reporting period:</w:t>
      </w:r>
    </w:p>
    <w:p w:rsidR="00434098" w:rsidRDefault="00434098" w:rsidP="00434098">
      <w:pPr>
        <w:contextualSpacing/>
        <w:rPr>
          <w:rFonts w:ascii="Calibri Light" w:eastAsia="Times New Roman" w:hAnsi="Calibri Light"/>
          <w:color w:val="495965"/>
        </w:rPr>
      </w:pPr>
      <w:r>
        <w:rPr>
          <w:rFonts w:ascii="Calibri Light" w:eastAsia="Times New Roman" w:hAnsi="Calibri Light"/>
          <w:color w:val="495965"/>
        </w:rPr>
        <w:t xml:space="preserve">The Laos Program will develop key strategy documents during 2018-19 which will better integrate the aid program across Australia’s whole-of-government interests in the Lao PDR. This will be guided by the Post Management Team, led by Post First Secretary and supported by Desk. This process will include the Program Operations and Performance Section at Post working with the Laos-Australia Development Learning Facility to finalise before the end of 2018-19 the recently drafted Gender and Disability Inclusiveness Strategy for the Lao Program and the Performance Assessment Framework for the Laos Program.  </w:t>
      </w:r>
    </w:p>
    <w:p w:rsidR="00434098" w:rsidRDefault="00434098" w:rsidP="00434098">
      <w:pPr>
        <w:contextualSpacing/>
        <w:rPr>
          <w:rFonts w:ascii="Calibri Light" w:eastAsia="Times New Roman" w:hAnsi="Calibri Light"/>
          <w:color w:val="495965"/>
        </w:rPr>
      </w:pPr>
    </w:p>
    <w:p w:rsidR="00434098" w:rsidRDefault="00434098" w:rsidP="00434098">
      <w:pPr>
        <w:contextualSpacing/>
        <w:rPr>
          <w:rFonts w:ascii="Calibri Light" w:eastAsia="Times New Roman" w:hAnsi="Calibri Light"/>
          <w:color w:val="495965"/>
        </w:rPr>
      </w:pPr>
      <w:r>
        <w:rPr>
          <w:rFonts w:ascii="Calibri Light" w:eastAsia="Times New Roman" w:hAnsi="Calibri Light"/>
          <w:color w:val="495965"/>
        </w:rPr>
        <w:t xml:space="preserve">Gender, disability and inclusiveness will continue to be an important focus for the Laos Program in 2018-19. A new Gender and Disability Specialist will be recruited for the Laos-Australia Development Learning Facility before September 2018 to help support the all Embassy teams to implement the outcomes of the Gender and Disability Inclusiveness Strategy for the Lao Program. </w:t>
      </w:r>
    </w:p>
    <w:p w:rsidR="00434098" w:rsidRDefault="00434098" w:rsidP="00434098">
      <w:pPr>
        <w:contextualSpacing/>
        <w:rPr>
          <w:rFonts w:ascii="Calibri Light" w:eastAsia="Times New Roman" w:hAnsi="Calibri Light"/>
          <w:color w:val="495965"/>
        </w:rPr>
      </w:pPr>
    </w:p>
    <w:p w:rsidR="00434098" w:rsidRDefault="00434098" w:rsidP="00434098">
      <w:pPr>
        <w:contextualSpacing/>
        <w:rPr>
          <w:rFonts w:ascii="Calibri Light" w:eastAsia="Times New Roman" w:hAnsi="Calibri Light"/>
          <w:color w:val="495965"/>
        </w:rPr>
      </w:pPr>
      <w:r>
        <w:rPr>
          <w:rFonts w:ascii="Calibri Light" w:eastAsia="Times New Roman" w:hAnsi="Calibri Light"/>
          <w:color w:val="495965"/>
        </w:rPr>
        <w:t>In the Education sector, Post will complete outstanding actions in the management response to the BEQUAL MTR including directing the program to recruit a gender adviser and completing a new M&amp;E framework. DFAT’s full response to the recommendations of the MTR can be found on the DFAT website (</w:t>
      </w:r>
      <w:hyperlink r:id="rId25" w:history="1">
        <w:r>
          <w:rPr>
            <w:rStyle w:val="Hyperlink"/>
            <w:rFonts w:ascii="Calibri Light" w:eastAsia="Times New Roman" w:hAnsi="Calibri Light"/>
            <w:color w:val="495965"/>
          </w:rPr>
          <w:t>www.dfat.gov.au</w:t>
        </w:r>
      </w:hyperlink>
      <w:r>
        <w:rPr>
          <w:rFonts w:ascii="Calibri Light" w:eastAsia="Times New Roman" w:hAnsi="Calibri Light"/>
          <w:color w:val="495965"/>
        </w:rPr>
        <w:t>).</w:t>
      </w:r>
    </w:p>
    <w:p w:rsidR="00434098" w:rsidRDefault="00434098" w:rsidP="00434098">
      <w:pPr>
        <w:contextualSpacing/>
        <w:rPr>
          <w:rFonts w:ascii="Calibri Light" w:eastAsia="Times New Roman" w:hAnsi="Calibri Light"/>
          <w:color w:val="495965"/>
        </w:rPr>
      </w:pPr>
    </w:p>
    <w:p w:rsidR="00434098" w:rsidRDefault="00434098" w:rsidP="00434098">
      <w:pPr>
        <w:contextualSpacing/>
        <w:rPr>
          <w:rFonts w:ascii="Calibri Light" w:eastAsia="Times New Roman" w:hAnsi="Calibri Light"/>
          <w:color w:val="495965"/>
        </w:rPr>
      </w:pPr>
      <w:r>
        <w:rPr>
          <w:rFonts w:ascii="Calibri Light" w:eastAsia="Times New Roman" w:hAnsi="Calibri Light"/>
          <w:color w:val="495965"/>
        </w:rPr>
        <w:t xml:space="preserve">In Australia’s support to Human Resource Development, Post will ensure increased effectiveness on monitoring and evaluation – including improvement on outcomes reporting during next year’s reporting cycle. By December 2019 a post-specific Alumni engagement strategy will be development to ensure we are levering off the opportunities that this significant investment presents.   </w:t>
      </w:r>
    </w:p>
    <w:p w:rsidR="00434098" w:rsidRDefault="00434098" w:rsidP="00434098">
      <w:pPr>
        <w:contextualSpacing/>
        <w:rPr>
          <w:rFonts w:ascii="Calibri Light" w:eastAsia="Times New Roman" w:hAnsi="Calibri Light"/>
          <w:color w:val="495965"/>
        </w:rPr>
      </w:pPr>
    </w:p>
    <w:p w:rsidR="00434098" w:rsidRDefault="00434098" w:rsidP="00434098">
      <w:pPr>
        <w:contextualSpacing/>
        <w:rPr>
          <w:rFonts w:ascii="Calibri Light" w:eastAsia="Times New Roman" w:hAnsi="Calibri Light"/>
          <w:color w:val="495965"/>
        </w:rPr>
      </w:pPr>
      <w:r>
        <w:rPr>
          <w:rFonts w:ascii="Calibri Light" w:eastAsia="Times New Roman" w:hAnsi="Calibri Light"/>
          <w:color w:val="495965"/>
        </w:rPr>
        <w:t>Post’s trade and private sector team will finalise investment decisions for Objective 3 and submit to relevant delegates for approval – this could include concept (August 2018) and/or design approvals (including the follow-on from the Trade Development Facility by March 2019) that will be reflected in the LA1 program fund pipeline.</w:t>
      </w:r>
    </w:p>
    <w:p w:rsidR="00434098" w:rsidRDefault="00434098" w:rsidP="00434098">
      <w:pPr>
        <w:contextualSpacing/>
        <w:rPr>
          <w:rFonts w:ascii="Calibri Light" w:eastAsia="Times New Roman" w:hAnsi="Calibri Light"/>
          <w:color w:val="495965"/>
        </w:rPr>
      </w:pPr>
    </w:p>
    <w:p w:rsidR="00434098" w:rsidRDefault="00434098" w:rsidP="00434098">
      <w:pPr>
        <w:contextualSpacing/>
        <w:rPr>
          <w:rFonts w:ascii="Calibri Light" w:eastAsia="Times New Roman" w:hAnsi="Calibri Light"/>
          <w:color w:val="495965"/>
        </w:rPr>
      </w:pPr>
      <w:r>
        <w:rPr>
          <w:rFonts w:ascii="Calibri Light" w:eastAsia="Times New Roman" w:hAnsi="Calibri Light"/>
          <w:color w:val="495965"/>
        </w:rPr>
        <w:t xml:space="preserve">Program teams to publish all outstanding designs, evaluations and reviews on </w:t>
      </w:r>
      <w:hyperlink r:id="rId26" w:history="1">
        <w:r>
          <w:rPr>
            <w:rStyle w:val="Hyperlink"/>
            <w:rFonts w:ascii="Calibri Light" w:eastAsia="Times New Roman" w:hAnsi="Calibri Light"/>
          </w:rPr>
          <w:t>www.dfat.gov.au</w:t>
        </w:r>
      </w:hyperlink>
      <w:r>
        <w:rPr>
          <w:rFonts w:ascii="Calibri Light" w:eastAsia="Times New Roman" w:hAnsi="Calibri Light"/>
          <w:color w:val="495965"/>
        </w:rPr>
        <w:t xml:space="preserve"> by December 2018.</w:t>
      </w:r>
    </w:p>
    <w:p w:rsidR="00434098" w:rsidRDefault="00434098" w:rsidP="00434098">
      <w:pPr>
        <w:contextualSpacing/>
        <w:rPr>
          <w:rFonts w:ascii="Calibri Light" w:eastAsia="Times New Roman" w:hAnsi="Calibri Light"/>
          <w:color w:val="495965"/>
        </w:rPr>
      </w:pPr>
    </w:p>
    <w:p w:rsidR="00932D33" w:rsidRDefault="00932D33" w:rsidP="005B5769">
      <w:pPr>
        <w:pStyle w:val="ListBullet"/>
        <w:tabs>
          <w:tab w:val="clear" w:pos="284"/>
        </w:tabs>
        <w:sectPr w:rsidR="00932D33" w:rsidSect="00D2653F">
          <w:headerReference w:type="default" r:id="rId27"/>
          <w:footerReference w:type="default" r:id="rId28"/>
          <w:pgSz w:w="11906" w:h="16838" w:code="9"/>
          <w:pgMar w:top="1811" w:right="1134" w:bottom="851" w:left="1134" w:header="1565" w:footer="342" w:gutter="0"/>
          <w:cols w:space="397"/>
          <w:docGrid w:linePitch="360"/>
        </w:sectPr>
      </w:pPr>
    </w:p>
    <w:p w:rsidR="00AF1B85" w:rsidRPr="00A8197B" w:rsidRDefault="00AF1B85" w:rsidP="005E606B">
      <w:pPr>
        <w:pStyle w:val="Subtitle"/>
      </w:pPr>
      <w:r w:rsidRPr="00A8197B">
        <w:lastRenderedPageBreak/>
        <w:t>Annex A</w:t>
      </w:r>
      <w:r w:rsidR="00407EA5">
        <w:t xml:space="preserve"> </w:t>
      </w:r>
      <w:r w:rsidR="00D123CA">
        <w:t>–</w:t>
      </w:r>
      <w:r w:rsidRPr="00A8197B">
        <w:t xml:space="preserve"> Progress</w:t>
      </w:r>
      <w:r w:rsidR="00D123CA">
        <w:t xml:space="preserve"> </w:t>
      </w:r>
      <w:r w:rsidRPr="00A8197B">
        <w:t>in Addressing Management Responses</w:t>
      </w:r>
    </w:p>
    <w:p w:rsidR="00AF1B85" w:rsidRPr="00C61187" w:rsidRDefault="00AF1B85" w:rsidP="00A8197B">
      <w:r w:rsidRPr="00C61187">
        <w:t>Describe progress made against management responses in 201</w:t>
      </w:r>
      <w:r w:rsidR="00580A64">
        <w:t>6</w:t>
      </w:r>
      <w:r w:rsidRPr="00C61187">
        <w:t>-1</w:t>
      </w:r>
      <w:r w:rsidR="00580A64">
        <w:t>7</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rsidTr="00B001B5">
        <w:trPr>
          <w:cnfStyle w:val="000000010000" w:firstRow="0" w:lastRow="0" w:firstColumn="0" w:lastColumn="0" w:oddVBand="0" w:evenVBand="0" w:oddHBand="0" w:evenHBand="1" w:firstRowFirstColumn="0" w:firstRowLastColumn="0" w:lastRowFirstColumn="0" w:lastRowLastColumn="0"/>
        </w:trPr>
        <w:tc>
          <w:tcPr>
            <w:tcW w:w="6284" w:type="dxa"/>
          </w:tcPr>
          <w:p w:rsidR="00AF1B85" w:rsidRPr="00812509" w:rsidRDefault="00AF1B85" w:rsidP="00580A64">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580A64">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580A64">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Pr>
          <w:p w:rsidR="00AF1B85" w:rsidRPr="00812509" w:rsidRDefault="00AF1B85" w:rsidP="00580A64">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580A64">
              <w:rPr>
                <w:rFonts w:asciiTheme="minorHAnsi" w:eastAsia="Times New Roman" w:hAnsiTheme="minorHAnsi"/>
                <w:b/>
                <w:iCs/>
                <w:szCs w:val="17"/>
                <w:lang w:eastAsia="en-US"/>
              </w:rPr>
              <w:t>7</w:t>
            </w:r>
            <w:r w:rsidRPr="00812509">
              <w:rPr>
                <w:rFonts w:asciiTheme="minorHAnsi" w:eastAsia="Times New Roman" w:hAnsiTheme="minorHAnsi"/>
                <w:b/>
                <w:iCs/>
                <w:szCs w:val="17"/>
                <w:lang w:eastAsia="en-US"/>
              </w:rPr>
              <w:t>-1</w:t>
            </w:r>
            <w:r w:rsidR="00580A64">
              <w:rPr>
                <w:rFonts w:asciiTheme="minorHAnsi" w:eastAsia="Times New Roman" w:hAnsiTheme="minorHAnsi"/>
                <w:b/>
                <w:iCs/>
                <w:szCs w:val="17"/>
                <w:lang w:eastAsia="en-US"/>
              </w:rPr>
              <w:t>8</w:t>
            </w:r>
          </w:p>
        </w:tc>
      </w:tr>
      <w:tr w:rsidR="00AF1B85" w:rsidRPr="00812509" w:rsidTr="000301AE">
        <w:trPr>
          <w:cnfStyle w:val="000000010000" w:firstRow="0" w:lastRow="0" w:firstColumn="0" w:lastColumn="0" w:oddVBand="0" w:evenVBand="0" w:oddHBand="0" w:evenHBand="1" w:firstRowFirstColumn="0" w:firstRowLastColumn="0" w:lastRowFirstColumn="0" w:lastRowLastColumn="0"/>
        </w:trPr>
        <w:tc>
          <w:tcPr>
            <w:tcW w:w="6284" w:type="dxa"/>
          </w:tcPr>
          <w:p w:rsidR="00AF1B85" w:rsidRPr="00812509" w:rsidRDefault="00A7305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Ensure the BEQUAL MTR provides guidance on the assumptions, sequencing and timing of activities</w:t>
            </w:r>
          </w:p>
        </w:tc>
        <w:tc>
          <w:tcPr>
            <w:tcW w:w="1151" w:type="dxa"/>
            <w:shd w:val="clear" w:color="auto" w:fill="72AF2F"/>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rsidR="00AF1B85" w:rsidRPr="00222A26" w:rsidRDefault="0025145A" w:rsidP="0025145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Following submission of the MTR, DFAT, MOES and BEQUAL analysed the recommendations and jointly determined the sequencing and timing of activities (eg. curriculum development and rollout is delayed by 1 year)</w:t>
            </w:r>
          </w:p>
        </w:tc>
      </w:tr>
      <w:tr w:rsidR="00222A26" w:rsidRPr="00812509" w:rsidTr="00AB3214">
        <w:trPr>
          <w:cnfStyle w:val="000000010000" w:firstRow="0" w:lastRow="0" w:firstColumn="0" w:lastColumn="0" w:oddVBand="0" w:evenVBand="0" w:oddHBand="0" w:evenHBand="1" w:firstRowFirstColumn="0" w:firstRowLastColumn="0" w:lastRowFirstColumn="0" w:lastRowLastColumn="0"/>
        </w:trPr>
        <w:tc>
          <w:tcPr>
            <w:tcW w:w="6284" w:type="dxa"/>
          </w:tcPr>
          <w:p w:rsidR="00222A26" w:rsidRPr="00222A26" w:rsidRDefault="00222A26" w:rsidP="00BE0EA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Participate in the World Bank design mission </w:t>
            </w:r>
            <w:r w:rsidR="00BE0EA8">
              <w:rPr>
                <w:rFonts w:asciiTheme="minorHAnsi" w:eastAsia="Times New Roman" w:hAnsiTheme="minorHAnsi"/>
                <w:iCs/>
                <w:szCs w:val="17"/>
                <w:lang w:eastAsia="en-US"/>
              </w:rPr>
              <w:t>for the next phase of cooperation and explore options to continue targeted support for financial inclusion.</w:t>
            </w:r>
          </w:p>
        </w:tc>
        <w:tc>
          <w:tcPr>
            <w:tcW w:w="1151" w:type="dxa"/>
            <w:shd w:val="clear" w:color="auto" w:fill="72AF2F"/>
          </w:tcPr>
          <w:p w:rsidR="00222A26" w:rsidRPr="00BE0EA8" w:rsidRDefault="00BE0EA8"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BE0EA8">
              <w:rPr>
                <w:rFonts w:asciiTheme="minorHAnsi" w:eastAsia="Times New Roman" w:hAnsiTheme="minorHAnsi"/>
                <w:iCs/>
                <w:color w:val="FFFFFF" w:themeColor="background1"/>
                <w:szCs w:val="17"/>
                <w:lang w:eastAsia="en-US"/>
              </w:rPr>
              <w:t>Achieved</w:t>
            </w:r>
          </w:p>
        </w:tc>
        <w:tc>
          <w:tcPr>
            <w:tcW w:w="6696" w:type="dxa"/>
          </w:tcPr>
          <w:p w:rsidR="00222A26" w:rsidRPr="00BE0EA8" w:rsidRDefault="00BE0EA8" w:rsidP="00BE0EA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 officers participated in the TDF2 d</w:t>
            </w:r>
            <w:r w:rsidRPr="00BE0EA8">
              <w:rPr>
                <w:rFonts w:asciiTheme="minorHAnsi" w:eastAsia="Times New Roman" w:hAnsiTheme="minorHAnsi"/>
                <w:iCs/>
                <w:szCs w:val="17"/>
                <w:lang w:eastAsia="en-US"/>
              </w:rPr>
              <w:t>esign mission in October 2018; Post worked with GIZ to develop options for future support for financial inclusion.</w:t>
            </w:r>
          </w:p>
        </w:tc>
      </w:tr>
      <w:tr w:rsidR="00785DCA" w:rsidRPr="00812509" w:rsidTr="000301AE">
        <w:trPr>
          <w:cnfStyle w:val="000000010000" w:firstRow="0" w:lastRow="0" w:firstColumn="0" w:lastColumn="0" w:oddVBand="0" w:evenVBand="0" w:oddHBand="0" w:evenHBand="1" w:firstRowFirstColumn="0" w:firstRowLastColumn="0" w:lastRowFirstColumn="0" w:lastRowLastColumn="0"/>
        </w:trPr>
        <w:tc>
          <w:tcPr>
            <w:tcW w:w="6284" w:type="dxa"/>
          </w:tcPr>
          <w:p w:rsidR="00785DCA" w:rsidRPr="00BE0EA8" w:rsidRDefault="00785DCA" w:rsidP="00BE0EA8">
            <w:pPr>
              <w:keepLines/>
              <w:spacing w:before="40" w:after="40" w:line="200" w:lineRule="atLeast"/>
              <w:rPr>
                <w:rFonts w:eastAsia="Times New Roman"/>
                <w:iCs/>
                <w:szCs w:val="17"/>
                <w:highlight w:val="yellow"/>
              </w:rPr>
            </w:pPr>
            <w:r w:rsidRPr="00785DCA">
              <w:rPr>
                <w:rFonts w:asciiTheme="minorHAnsi" w:eastAsia="Times New Roman" w:hAnsiTheme="minorHAnsi"/>
                <w:iCs/>
                <w:szCs w:val="17"/>
                <w:lang w:eastAsia="en-US"/>
              </w:rPr>
              <w:t>Undertake a review of gender and equality performance in the Laos program</w:t>
            </w:r>
          </w:p>
        </w:tc>
        <w:tc>
          <w:tcPr>
            <w:tcW w:w="1151" w:type="dxa"/>
            <w:shd w:val="clear" w:color="auto" w:fill="72AF2F"/>
          </w:tcPr>
          <w:p w:rsidR="00785DCA" w:rsidRPr="00812509" w:rsidRDefault="00785DCA" w:rsidP="00D15A00">
            <w:pPr>
              <w:keepLines/>
              <w:spacing w:before="40" w:after="40" w:line="200" w:lineRule="atLeast"/>
              <w:jc w:val="center"/>
              <w:rPr>
                <w:rFonts w:eastAsia="Times New Roman"/>
                <w:iCs/>
                <w:color w:val="FFFFFF" w:themeColor="background1"/>
                <w:szCs w:val="17"/>
              </w:rPr>
            </w:pPr>
            <w:r w:rsidRPr="00785DCA">
              <w:rPr>
                <w:rFonts w:asciiTheme="minorHAnsi" w:eastAsia="Times New Roman" w:hAnsiTheme="minorHAnsi"/>
                <w:iCs/>
                <w:color w:val="FFFFFF" w:themeColor="background1"/>
                <w:szCs w:val="17"/>
                <w:lang w:eastAsia="en-US"/>
              </w:rPr>
              <w:t>Achieved</w:t>
            </w:r>
          </w:p>
        </w:tc>
        <w:tc>
          <w:tcPr>
            <w:tcW w:w="6696" w:type="dxa"/>
          </w:tcPr>
          <w:p w:rsidR="00785DCA" w:rsidRDefault="00785DCA" w:rsidP="00D15A00">
            <w:pPr>
              <w:keepLines/>
              <w:spacing w:before="40" w:after="40" w:line="200" w:lineRule="atLeast"/>
              <w:rPr>
                <w:rFonts w:eastAsia="Times New Roman"/>
                <w:iCs/>
                <w:szCs w:val="17"/>
              </w:rPr>
            </w:pPr>
            <w:r>
              <w:rPr>
                <w:rFonts w:asciiTheme="minorHAnsi" w:eastAsia="Times New Roman" w:hAnsiTheme="minorHAnsi"/>
                <w:iCs/>
                <w:szCs w:val="17"/>
                <w:lang w:eastAsia="en-US"/>
              </w:rPr>
              <w:t xml:space="preserve">‘A Synthesis of Australian Aid Investment in Gender Equality and Disability Inclusion in Lao PDR’ </w:t>
            </w:r>
            <w:r w:rsidRPr="00785DCA">
              <w:rPr>
                <w:rFonts w:asciiTheme="minorHAnsi" w:eastAsia="Times New Roman" w:hAnsiTheme="minorHAnsi"/>
                <w:iCs/>
                <w:szCs w:val="17"/>
                <w:lang w:eastAsia="en-US"/>
              </w:rPr>
              <w:t>Submitted by the LADLF to Post in March 2018</w:t>
            </w:r>
          </w:p>
        </w:tc>
      </w:tr>
      <w:tr w:rsidR="00AB3214" w:rsidRPr="00812509" w:rsidTr="000301AE">
        <w:trPr>
          <w:cnfStyle w:val="000000010000" w:firstRow="0" w:lastRow="0" w:firstColumn="0" w:lastColumn="0" w:oddVBand="0" w:evenVBand="0" w:oddHBand="0" w:evenHBand="1" w:firstRowFirstColumn="0" w:firstRowLastColumn="0" w:lastRowFirstColumn="0" w:lastRowLastColumn="0"/>
        </w:trPr>
        <w:tc>
          <w:tcPr>
            <w:tcW w:w="6284" w:type="dxa"/>
          </w:tcPr>
          <w:p w:rsidR="00AB3214" w:rsidRPr="00785DCA" w:rsidRDefault="00AB3214" w:rsidP="00BE0EA8">
            <w:pPr>
              <w:keepLines/>
              <w:spacing w:before="40" w:after="40" w:line="200" w:lineRule="atLeast"/>
              <w:rPr>
                <w:rFonts w:eastAsia="Times New Roman"/>
                <w:iCs/>
                <w:szCs w:val="17"/>
              </w:rPr>
            </w:pPr>
            <w:r w:rsidRPr="0082021A">
              <w:rPr>
                <w:rFonts w:asciiTheme="minorHAnsi" w:eastAsia="Times New Roman" w:hAnsiTheme="minorHAnsi"/>
                <w:iCs/>
                <w:szCs w:val="17"/>
                <w:lang w:eastAsia="en-US"/>
              </w:rPr>
              <w:t>Conduct a MTR of the bilateral aid program</w:t>
            </w:r>
          </w:p>
        </w:tc>
        <w:tc>
          <w:tcPr>
            <w:tcW w:w="1151" w:type="dxa"/>
            <w:shd w:val="clear" w:color="auto" w:fill="72AF2F"/>
          </w:tcPr>
          <w:p w:rsidR="00AB3214" w:rsidRPr="00785DCA" w:rsidRDefault="00AB3214" w:rsidP="00D15A00">
            <w:pPr>
              <w:keepLines/>
              <w:spacing w:before="40" w:after="40" w:line="200" w:lineRule="atLeast"/>
              <w:jc w:val="center"/>
              <w:rPr>
                <w:rFonts w:eastAsia="Times New Roman"/>
                <w:iCs/>
                <w:color w:val="FFFFFF" w:themeColor="background1"/>
                <w:szCs w:val="17"/>
              </w:rPr>
            </w:pPr>
            <w:r w:rsidRPr="00AB3214">
              <w:rPr>
                <w:rFonts w:asciiTheme="minorHAnsi" w:eastAsia="Times New Roman" w:hAnsiTheme="minorHAnsi"/>
                <w:iCs/>
                <w:color w:val="FFFFFF" w:themeColor="background1"/>
                <w:szCs w:val="17"/>
                <w:lang w:eastAsia="en-US"/>
              </w:rPr>
              <w:t>Achieved</w:t>
            </w:r>
          </w:p>
        </w:tc>
        <w:tc>
          <w:tcPr>
            <w:tcW w:w="6696" w:type="dxa"/>
          </w:tcPr>
          <w:p w:rsidR="00AB3214" w:rsidRDefault="00AB3214" w:rsidP="00AB3214">
            <w:pPr>
              <w:keepLines/>
              <w:spacing w:before="40" w:after="40" w:line="200" w:lineRule="atLeast"/>
              <w:rPr>
                <w:rFonts w:eastAsia="Times New Roman"/>
                <w:iCs/>
                <w:szCs w:val="17"/>
              </w:rPr>
            </w:pPr>
            <w:r w:rsidRPr="00AB3214">
              <w:rPr>
                <w:rFonts w:asciiTheme="minorHAnsi" w:eastAsia="Times New Roman" w:hAnsiTheme="minorHAnsi"/>
                <w:iCs/>
                <w:szCs w:val="17"/>
                <w:lang w:eastAsia="en-US"/>
              </w:rPr>
              <w:t>AIP Health check was undertaken by LADLF during the reporting period (submitted to post for comment in July 2018)</w:t>
            </w:r>
          </w:p>
        </w:tc>
      </w:tr>
      <w:tr w:rsidR="005C2BAD" w:rsidRPr="00812509" w:rsidTr="000301AE">
        <w:trPr>
          <w:cnfStyle w:val="000000010000" w:firstRow="0" w:lastRow="0" w:firstColumn="0" w:lastColumn="0" w:oddVBand="0" w:evenVBand="0" w:oddHBand="0" w:evenHBand="1" w:firstRowFirstColumn="0" w:firstRowLastColumn="0" w:lastRowFirstColumn="0" w:lastRowLastColumn="0"/>
        </w:trPr>
        <w:tc>
          <w:tcPr>
            <w:tcW w:w="6284" w:type="dxa"/>
          </w:tcPr>
          <w:p w:rsidR="005C2BAD" w:rsidRPr="00222A26" w:rsidRDefault="005C2BAD" w:rsidP="00BE0EA8">
            <w:pPr>
              <w:keepLines/>
              <w:spacing w:before="40" w:after="40" w:line="200" w:lineRule="atLeast"/>
              <w:rPr>
                <w:rFonts w:eastAsia="Times New Roman"/>
                <w:iCs/>
                <w:szCs w:val="17"/>
              </w:rPr>
            </w:pPr>
            <w:r w:rsidRPr="009C2D97">
              <w:rPr>
                <w:rFonts w:asciiTheme="minorHAnsi" w:eastAsia="Times New Roman" w:hAnsiTheme="minorHAnsi"/>
                <w:iCs/>
                <w:szCs w:val="17"/>
                <w:lang w:eastAsia="en-US"/>
              </w:rPr>
              <w:t>Disseminate lessons learned at the conclusion of the Social Protection and Sustainable Livelihoods program</w:t>
            </w:r>
          </w:p>
        </w:tc>
        <w:tc>
          <w:tcPr>
            <w:tcW w:w="1151" w:type="dxa"/>
            <w:shd w:val="clear" w:color="auto" w:fill="72AF2F"/>
          </w:tcPr>
          <w:p w:rsidR="005C2BAD" w:rsidRPr="005C2BAD" w:rsidRDefault="005C2BAD"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5C2BAD">
              <w:rPr>
                <w:rFonts w:asciiTheme="minorHAnsi" w:eastAsia="Times New Roman" w:hAnsiTheme="minorHAnsi"/>
                <w:iCs/>
                <w:color w:val="FFFFFF" w:themeColor="background1"/>
                <w:szCs w:val="17"/>
                <w:lang w:eastAsia="en-US"/>
              </w:rPr>
              <w:t>Achieved</w:t>
            </w:r>
          </w:p>
        </w:tc>
        <w:tc>
          <w:tcPr>
            <w:tcW w:w="6696" w:type="dxa"/>
          </w:tcPr>
          <w:p w:rsidR="005C2BAD" w:rsidRPr="00BE0EA8" w:rsidRDefault="005C2BAD" w:rsidP="00AB3214">
            <w:pPr>
              <w:keepLines/>
              <w:spacing w:before="40" w:after="40" w:line="200" w:lineRule="atLeast"/>
              <w:rPr>
                <w:rFonts w:eastAsia="Times New Roman"/>
                <w:iCs/>
                <w:szCs w:val="17"/>
              </w:rPr>
            </w:pPr>
            <w:r w:rsidRPr="009C2D97">
              <w:rPr>
                <w:rFonts w:asciiTheme="minorHAnsi" w:eastAsia="Times New Roman" w:hAnsiTheme="minorHAnsi"/>
                <w:iCs/>
                <w:szCs w:val="17"/>
                <w:lang w:eastAsia="en-US"/>
              </w:rPr>
              <w:t>The evaluation the SPSL pilot activities was completed in 2017. The report is still to b</w:t>
            </w:r>
            <w:r>
              <w:rPr>
                <w:rFonts w:asciiTheme="minorHAnsi" w:eastAsia="Times New Roman" w:hAnsiTheme="minorHAnsi"/>
                <w:iCs/>
                <w:szCs w:val="17"/>
                <w:lang w:eastAsia="en-US"/>
              </w:rPr>
              <w:t>e published on the DFAT website but has been published on the LADLF website.</w:t>
            </w:r>
          </w:p>
        </w:tc>
      </w:tr>
      <w:tr w:rsidR="00AB3214" w:rsidRPr="00812509" w:rsidTr="000301AE">
        <w:trPr>
          <w:cnfStyle w:val="000000010000" w:firstRow="0" w:lastRow="0" w:firstColumn="0" w:lastColumn="0" w:oddVBand="0" w:evenVBand="0" w:oddHBand="0" w:evenHBand="1" w:firstRowFirstColumn="0" w:firstRowLastColumn="0" w:lastRowFirstColumn="0" w:lastRowLastColumn="0"/>
        </w:trPr>
        <w:tc>
          <w:tcPr>
            <w:tcW w:w="6284" w:type="dxa"/>
          </w:tcPr>
          <w:p w:rsidR="00AB3214" w:rsidRPr="0082021A" w:rsidRDefault="00AB3214" w:rsidP="00BE0EA8">
            <w:pPr>
              <w:keepLines/>
              <w:spacing w:before="40" w:after="40" w:line="200" w:lineRule="atLeast"/>
              <w:rPr>
                <w:rFonts w:eastAsia="Times New Roman"/>
                <w:iCs/>
                <w:szCs w:val="17"/>
              </w:rPr>
            </w:pPr>
            <w:r w:rsidRPr="00222A26">
              <w:rPr>
                <w:rFonts w:asciiTheme="minorHAnsi" w:eastAsia="Times New Roman" w:hAnsiTheme="minorHAnsi"/>
                <w:iCs/>
                <w:szCs w:val="17"/>
                <w:lang w:eastAsia="en-US"/>
              </w:rPr>
              <w:t>Undertake a situation analysis on trade and private sector investment and develop a ‘sector investment plan’</w:t>
            </w:r>
          </w:p>
        </w:tc>
        <w:tc>
          <w:tcPr>
            <w:tcW w:w="1151" w:type="dxa"/>
            <w:shd w:val="clear" w:color="auto" w:fill="72AF2F"/>
          </w:tcPr>
          <w:p w:rsidR="00AB3214" w:rsidRPr="00AB3214" w:rsidRDefault="00AB3214" w:rsidP="00D15A00">
            <w:pPr>
              <w:keepLines/>
              <w:spacing w:before="40" w:after="40" w:line="200" w:lineRule="atLeast"/>
              <w:jc w:val="center"/>
              <w:rPr>
                <w:rFonts w:eastAsia="Times New Roman"/>
                <w:iCs/>
                <w:color w:val="FFFFFF" w:themeColor="background1"/>
                <w:szCs w:val="17"/>
              </w:rPr>
            </w:pPr>
            <w:r w:rsidRPr="00AB3214">
              <w:rPr>
                <w:rFonts w:asciiTheme="minorHAnsi" w:eastAsia="Times New Roman" w:hAnsiTheme="minorHAnsi"/>
                <w:iCs/>
                <w:color w:val="FFFFFF" w:themeColor="background1"/>
                <w:szCs w:val="17"/>
                <w:lang w:eastAsia="en-US"/>
              </w:rPr>
              <w:t>Achieved</w:t>
            </w:r>
          </w:p>
        </w:tc>
        <w:tc>
          <w:tcPr>
            <w:tcW w:w="6696" w:type="dxa"/>
          </w:tcPr>
          <w:p w:rsidR="00AB3214" w:rsidRPr="00785DCA" w:rsidRDefault="00AB3214" w:rsidP="00AB3214">
            <w:pPr>
              <w:keepLines/>
              <w:spacing w:before="40" w:after="40" w:line="200" w:lineRule="atLeast"/>
              <w:rPr>
                <w:rFonts w:eastAsia="Times New Roman"/>
                <w:iCs/>
                <w:szCs w:val="17"/>
              </w:rPr>
            </w:pPr>
            <w:r w:rsidRPr="00BE0EA8">
              <w:rPr>
                <w:rFonts w:asciiTheme="minorHAnsi" w:eastAsia="Times New Roman" w:hAnsiTheme="minorHAnsi"/>
                <w:iCs/>
                <w:szCs w:val="17"/>
                <w:lang w:eastAsia="en-US"/>
              </w:rPr>
              <w:t>Options paper on future Australian aid investments in Trade and Private Sector Development in Laos was submitted by the LADLF</w:t>
            </w:r>
            <w:r>
              <w:rPr>
                <w:rFonts w:asciiTheme="minorHAnsi" w:eastAsia="Times New Roman" w:hAnsiTheme="minorHAnsi"/>
                <w:iCs/>
                <w:szCs w:val="17"/>
                <w:lang w:eastAsia="en-US"/>
              </w:rPr>
              <w:t xml:space="preserve"> to Post</w:t>
            </w:r>
            <w:r w:rsidRPr="00BE0EA8">
              <w:rPr>
                <w:rFonts w:asciiTheme="minorHAnsi" w:eastAsia="Times New Roman" w:hAnsiTheme="minorHAnsi"/>
                <w:iCs/>
                <w:szCs w:val="17"/>
                <w:lang w:eastAsia="en-US"/>
              </w:rPr>
              <w:t xml:space="preserve"> in February 2018.  Minute seeking approval on the proposed scope of future investment in the sector submitted in June 2018 (approved in August 2018).</w:t>
            </w:r>
          </w:p>
        </w:tc>
      </w:tr>
      <w:tr w:rsidR="00191C7F" w:rsidRPr="00812509" w:rsidTr="000301AE">
        <w:trPr>
          <w:cnfStyle w:val="000000010000" w:firstRow="0" w:lastRow="0" w:firstColumn="0" w:lastColumn="0" w:oddVBand="0" w:evenVBand="0" w:oddHBand="0" w:evenHBand="1" w:firstRowFirstColumn="0" w:firstRowLastColumn="0" w:lastRowFirstColumn="0" w:lastRowLastColumn="0"/>
        </w:trPr>
        <w:tc>
          <w:tcPr>
            <w:tcW w:w="6284" w:type="dxa"/>
          </w:tcPr>
          <w:p w:rsidR="00191C7F" w:rsidRPr="00222A26" w:rsidRDefault="00191C7F" w:rsidP="00B001B5">
            <w:pPr>
              <w:keepLines/>
              <w:spacing w:before="40" w:after="40" w:line="200" w:lineRule="atLeast"/>
              <w:rPr>
                <w:rFonts w:asciiTheme="minorHAnsi" w:eastAsia="Times New Roman" w:hAnsiTheme="minorHAnsi"/>
                <w:iCs/>
                <w:szCs w:val="17"/>
                <w:lang w:eastAsia="en-US"/>
              </w:rPr>
            </w:pPr>
            <w:r w:rsidRPr="00191C7F">
              <w:rPr>
                <w:rFonts w:asciiTheme="minorHAnsi" w:eastAsia="Times New Roman" w:hAnsiTheme="minorHAnsi"/>
                <w:iCs/>
                <w:szCs w:val="17"/>
                <w:lang w:eastAsia="en-US"/>
              </w:rPr>
              <w:t>Continue to advocate for higher public investment in education, predictable disbursement and stronger public financial management</w:t>
            </w:r>
          </w:p>
        </w:tc>
        <w:tc>
          <w:tcPr>
            <w:tcW w:w="1151" w:type="dxa"/>
            <w:shd w:val="clear" w:color="auto" w:fill="E36C0A"/>
          </w:tcPr>
          <w:p w:rsidR="00191C7F" w:rsidRPr="00812509" w:rsidRDefault="00191C7F" w:rsidP="00B001B5">
            <w:pPr>
              <w:keepLines/>
              <w:spacing w:before="40" w:after="40" w:line="200" w:lineRule="atLeast"/>
              <w:jc w:val="center"/>
              <w:rPr>
                <w:rFonts w:eastAsia="Times New Roman"/>
                <w:iCs/>
                <w:color w:val="FFFFFF" w:themeColor="background1"/>
                <w:szCs w:val="17"/>
              </w:rPr>
            </w:pPr>
            <w:r w:rsidRPr="00191C7F">
              <w:rPr>
                <w:rFonts w:asciiTheme="minorHAnsi" w:eastAsia="Times New Roman" w:hAnsiTheme="minorHAnsi"/>
                <w:iCs/>
                <w:color w:val="FFFFFF" w:themeColor="background1"/>
                <w:szCs w:val="17"/>
                <w:lang w:eastAsia="en-US"/>
              </w:rPr>
              <w:t>Partly achieved</w:t>
            </w:r>
          </w:p>
        </w:tc>
        <w:tc>
          <w:tcPr>
            <w:tcW w:w="6696" w:type="dxa"/>
          </w:tcPr>
          <w:p w:rsidR="00191C7F" w:rsidRPr="00AE4BD7" w:rsidRDefault="00191C7F" w:rsidP="00AB3214">
            <w:pPr>
              <w:keepLines/>
              <w:spacing w:before="40" w:after="40" w:line="200" w:lineRule="atLeast"/>
              <w:rPr>
                <w:rFonts w:eastAsia="Times New Roman"/>
                <w:iCs/>
                <w:szCs w:val="17"/>
              </w:rPr>
            </w:pPr>
            <w:r>
              <w:rPr>
                <w:rFonts w:asciiTheme="minorHAnsi" w:eastAsia="Times New Roman" w:hAnsiTheme="minorHAnsi"/>
                <w:iCs/>
                <w:szCs w:val="17"/>
                <w:lang w:eastAsia="en-US"/>
              </w:rPr>
              <w:t xml:space="preserve">Ongoing advocacy on investment has not produced intended results to date, however, nominal education sector investment </w:t>
            </w:r>
            <w:r w:rsidR="00BB11C2">
              <w:rPr>
                <w:rFonts w:asciiTheme="minorHAnsi" w:eastAsia="Times New Roman" w:hAnsiTheme="minorHAnsi"/>
                <w:iCs/>
                <w:szCs w:val="17"/>
                <w:lang w:eastAsia="en-US"/>
              </w:rPr>
              <w:t xml:space="preserve">levels </w:t>
            </w:r>
            <w:r>
              <w:rPr>
                <w:rFonts w:asciiTheme="minorHAnsi" w:eastAsia="Times New Roman" w:hAnsiTheme="minorHAnsi"/>
                <w:iCs/>
                <w:szCs w:val="17"/>
                <w:lang w:eastAsia="en-US"/>
              </w:rPr>
              <w:t>ha</w:t>
            </w:r>
            <w:r w:rsidR="00BB11C2">
              <w:rPr>
                <w:rFonts w:asciiTheme="minorHAnsi" w:eastAsia="Times New Roman" w:hAnsiTheme="minorHAnsi"/>
                <w:iCs/>
                <w:szCs w:val="17"/>
                <w:lang w:eastAsia="en-US"/>
              </w:rPr>
              <w:t>ve</w:t>
            </w:r>
            <w:r>
              <w:rPr>
                <w:rFonts w:asciiTheme="minorHAnsi" w:eastAsia="Times New Roman" w:hAnsiTheme="minorHAnsi"/>
                <w:iCs/>
                <w:szCs w:val="17"/>
                <w:lang w:eastAsia="en-US"/>
              </w:rPr>
              <w:t xml:space="preserve"> </w:t>
            </w:r>
            <w:r w:rsidR="00222A26">
              <w:rPr>
                <w:rFonts w:asciiTheme="minorHAnsi" w:eastAsia="Times New Roman" w:hAnsiTheme="minorHAnsi"/>
                <w:iCs/>
                <w:szCs w:val="17"/>
                <w:lang w:eastAsia="en-US"/>
              </w:rPr>
              <w:t>been maintained</w:t>
            </w:r>
            <w:r>
              <w:rPr>
                <w:rFonts w:asciiTheme="minorHAnsi" w:eastAsia="Times New Roman" w:hAnsiTheme="minorHAnsi"/>
                <w:iCs/>
                <w:szCs w:val="17"/>
                <w:lang w:eastAsia="en-US"/>
              </w:rPr>
              <w:t>.</w:t>
            </w:r>
            <w:r w:rsidR="00D123CA">
              <w:rPr>
                <w:rFonts w:asciiTheme="minorHAnsi" w:eastAsia="Times New Roman" w:hAnsiTheme="minorHAnsi"/>
                <w:iCs/>
                <w:szCs w:val="17"/>
                <w:lang w:eastAsia="en-US"/>
              </w:rPr>
              <w:t xml:space="preserve"> Sector financing</w:t>
            </w:r>
            <w:r w:rsidR="00BB11C2">
              <w:rPr>
                <w:rFonts w:asciiTheme="minorHAnsi" w:eastAsia="Times New Roman" w:hAnsiTheme="minorHAnsi"/>
                <w:iCs/>
                <w:szCs w:val="17"/>
                <w:lang w:eastAsia="en-US"/>
              </w:rPr>
              <w:t xml:space="preserve"> and public financial management (PFM) </w:t>
            </w:r>
            <w:r w:rsidR="00D123CA">
              <w:rPr>
                <w:rFonts w:asciiTheme="minorHAnsi" w:eastAsia="Times New Roman" w:hAnsiTheme="minorHAnsi"/>
                <w:iCs/>
                <w:szCs w:val="17"/>
                <w:lang w:eastAsia="en-US"/>
              </w:rPr>
              <w:t>is a complex issue and Post continue</w:t>
            </w:r>
            <w:r w:rsidR="00AB3214">
              <w:rPr>
                <w:rFonts w:asciiTheme="minorHAnsi" w:eastAsia="Times New Roman" w:hAnsiTheme="minorHAnsi"/>
                <w:iCs/>
                <w:szCs w:val="17"/>
                <w:lang w:eastAsia="en-US"/>
              </w:rPr>
              <w:t>s</w:t>
            </w:r>
            <w:r w:rsidR="00D123CA">
              <w:rPr>
                <w:rFonts w:asciiTheme="minorHAnsi" w:eastAsia="Times New Roman" w:hAnsiTheme="minorHAnsi"/>
                <w:iCs/>
                <w:szCs w:val="17"/>
                <w:lang w:eastAsia="en-US"/>
              </w:rPr>
              <w:t xml:space="preserve"> to engage and advocate sensitivel</w:t>
            </w:r>
            <w:r w:rsidR="00BB11C2">
              <w:rPr>
                <w:rFonts w:asciiTheme="minorHAnsi" w:eastAsia="Times New Roman" w:hAnsiTheme="minorHAnsi"/>
                <w:iCs/>
                <w:szCs w:val="17"/>
                <w:lang w:eastAsia="en-US"/>
              </w:rPr>
              <w:t xml:space="preserve">y, in consultation with other donors and </w:t>
            </w:r>
            <w:r w:rsidR="00BB11C2" w:rsidRPr="00BB11C2">
              <w:rPr>
                <w:rFonts w:asciiTheme="minorHAnsi" w:eastAsia="Times New Roman" w:hAnsiTheme="minorHAnsi"/>
                <w:iCs/>
                <w:szCs w:val="17"/>
                <w:lang w:eastAsia="en-US"/>
              </w:rPr>
              <w:t xml:space="preserve">politically-informed </w:t>
            </w:r>
            <w:r w:rsidR="00BB11C2">
              <w:rPr>
                <w:rFonts w:asciiTheme="minorHAnsi" w:eastAsia="Times New Roman" w:hAnsiTheme="minorHAnsi"/>
                <w:iCs/>
                <w:szCs w:val="17"/>
                <w:lang w:eastAsia="en-US"/>
              </w:rPr>
              <w:t>PFM</w:t>
            </w:r>
            <w:r w:rsidR="00BB11C2" w:rsidRPr="00BB11C2">
              <w:rPr>
                <w:rFonts w:asciiTheme="minorHAnsi" w:eastAsia="Times New Roman" w:hAnsiTheme="minorHAnsi"/>
                <w:iCs/>
                <w:szCs w:val="17"/>
                <w:lang w:eastAsia="en-US"/>
              </w:rPr>
              <w:t xml:space="preserve"> and budget experts</w:t>
            </w:r>
          </w:p>
        </w:tc>
      </w:tr>
      <w:tr w:rsidR="00B001B5" w:rsidRPr="00812509" w:rsidTr="000301AE">
        <w:trPr>
          <w:cnfStyle w:val="000000010000" w:firstRow="0" w:lastRow="0" w:firstColumn="0" w:lastColumn="0" w:oddVBand="0" w:evenVBand="0" w:oddHBand="0" w:evenHBand="1" w:firstRowFirstColumn="0" w:firstRowLastColumn="0" w:lastRowFirstColumn="0" w:lastRowLastColumn="0"/>
        </w:trPr>
        <w:tc>
          <w:tcPr>
            <w:tcW w:w="6284" w:type="dxa"/>
          </w:tcPr>
          <w:p w:rsidR="00B001B5" w:rsidRPr="00812509" w:rsidRDefault="00B001B5" w:rsidP="00B001B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Manage the development of the new </w:t>
            </w:r>
            <w:r w:rsidR="00AB3214">
              <w:rPr>
                <w:rFonts w:asciiTheme="minorHAnsi" w:eastAsia="Times New Roman" w:hAnsiTheme="minorHAnsi"/>
                <w:iCs/>
                <w:szCs w:val="17"/>
                <w:lang w:eastAsia="en-US"/>
              </w:rPr>
              <w:t xml:space="preserve">HRD </w:t>
            </w:r>
            <w:r>
              <w:rPr>
                <w:rFonts w:asciiTheme="minorHAnsi" w:eastAsia="Times New Roman" w:hAnsiTheme="minorHAnsi"/>
                <w:iCs/>
                <w:szCs w:val="17"/>
                <w:lang w:eastAsia="en-US"/>
              </w:rPr>
              <w:t>M&amp;E Framework by the end of 2017 to address known weaknesses, and monitor the progress of the LANS redesign to ensure it is completed by the 2018 intake</w:t>
            </w:r>
          </w:p>
        </w:tc>
        <w:tc>
          <w:tcPr>
            <w:tcW w:w="1151" w:type="dxa"/>
            <w:shd w:val="clear" w:color="auto" w:fill="E36C0A"/>
          </w:tcPr>
          <w:p w:rsidR="00B001B5" w:rsidRPr="00812509" w:rsidRDefault="00B001B5" w:rsidP="00B001B5">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6" w:type="dxa"/>
          </w:tcPr>
          <w:p w:rsidR="00B001B5" w:rsidRPr="00812509" w:rsidRDefault="00B001B5" w:rsidP="00785DCA">
            <w:pPr>
              <w:keepLines/>
              <w:spacing w:before="40" w:after="40" w:line="200" w:lineRule="atLeast"/>
              <w:rPr>
                <w:rFonts w:asciiTheme="minorHAnsi" w:eastAsia="Times New Roman" w:hAnsiTheme="minorHAnsi"/>
                <w:iCs/>
                <w:color w:val="409F68" w:themeColor="accent6"/>
                <w:szCs w:val="17"/>
                <w:lang w:eastAsia="en-US"/>
              </w:rPr>
            </w:pPr>
            <w:r w:rsidRPr="00AE4BD7">
              <w:rPr>
                <w:rFonts w:asciiTheme="minorHAnsi" w:eastAsia="Times New Roman" w:hAnsiTheme="minorHAnsi"/>
                <w:iCs/>
                <w:szCs w:val="17"/>
                <w:lang w:eastAsia="en-US"/>
              </w:rPr>
              <w:t>The new M&amp;E Framework was largely completed by the end of 2017, bu</w:t>
            </w:r>
            <w:r>
              <w:rPr>
                <w:rFonts w:asciiTheme="minorHAnsi" w:eastAsia="Times New Roman" w:hAnsiTheme="minorHAnsi"/>
                <w:iCs/>
                <w:szCs w:val="17"/>
                <w:lang w:eastAsia="en-US"/>
              </w:rPr>
              <w:t>t its approval and implementation were delayed until May 2018 due to LAI staff changeover and recruitment challenges.</w:t>
            </w:r>
            <w:r w:rsidRPr="009C52C3">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The redesign of the LANS Academic Support Program will be complete for the 2018 National University intake, </w:t>
            </w:r>
            <w:r w:rsidR="00785DCA">
              <w:rPr>
                <w:rFonts w:asciiTheme="minorHAnsi" w:eastAsia="Times New Roman" w:hAnsiTheme="minorHAnsi"/>
                <w:iCs/>
                <w:szCs w:val="17"/>
                <w:lang w:eastAsia="en-US"/>
              </w:rPr>
              <w:t>noting</w:t>
            </w:r>
            <w:r>
              <w:rPr>
                <w:rFonts w:asciiTheme="minorHAnsi" w:eastAsia="Times New Roman" w:hAnsiTheme="minorHAnsi"/>
                <w:iCs/>
                <w:szCs w:val="17"/>
                <w:lang w:eastAsia="en-US"/>
              </w:rPr>
              <w:t xml:space="preserve"> additional teacher training will be required for Souphanouvong University before it can be implemented</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headerReference w:type="first" r:id="rId29"/>
          <w:pgSz w:w="16838" w:h="11906" w:orient="landscape" w:code="9"/>
          <w:pgMar w:top="1134" w:right="1952" w:bottom="1134" w:left="851" w:header="1107" w:footer="567" w:gutter="0"/>
          <w:cols w:space="397"/>
          <w:titlePg/>
          <w:docGrid w:linePitch="360"/>
        </w:sectPr>
      </w:pPr>
    </w:p>
    <w:p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580A64">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580A64">
        <w:rPr>
          <w:rFonts w:ascii="Franklin Gothic Book" w:eastAsia="Times New Roman" w:hAnsi="Franklin Gothic Book"/>
          <w:b/>
          <w:sz w:val="24"/>
          <w:szCs w:val="24"/>
        </w:rPr>
        <w:t>8</w:t>
      </w:r>
    </w:p>
    <w:tbl>
      <w:tblPr>
        <w:tblStyle w:val="DFATTable"/>
        <w:tblW w:w="5000" w:type="pct"/>
        <w:tblLook w:val="04A0" w:firstRow="1" w:lastRow="0" w:firstColumn="1" w:lastColumn="0" w:noHBand="0" w:noVBand="1"/>
      </w:tblPr>
      <w:tblGrid>
        <w:gridCol w:w="2189"/>
        <w:gridCol w:w="5182"/>
        <w:gridCol w:w="1277"/>
        <w:gridCol w:w="5387"/>
      </w:tblGrid>
      <w:tr w:rsidR="00184F1E" w:rsidRPr="00C61187" w:rsidTr="005D2BDD">
        <w:trPr>
          <w:tblHeader/>
        </w:trPr>
        <w:tc>
          <w:tcPr>
            <w:tcW w:w="780" w:type="pct"/>
            <w:tcMar>
              <w:top w:w="57" w:type="dxa"/>
              <w:bottom w:w="57" w:type="dxa"/>
            </w:tcMar>
          </w:tcPr>
          <w:p w:rsidR="00184F1E" w:rsidRPr="00880004" w:rsidRDefault="00184F1E" w:rsidP="00C677AF">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1846" w:type="pct"/>
          </w:tcPr>
          <w:p w:rsidR="00184F1E" w:rsidRPr="00880004" w:rsidRDefault="00184F1E" w:rsidP="00C677AF">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55" w:type="pct"/>
          </w:tcPr>
          <w:p w:rsidR="00184F1E" w:rsidRPr="00880004" w:rsidRDefault="00184F1E" w:rsidP="00C677AF">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1919" w:type="pct"/>
          </w:tcPr>
          <w:p w:rsidR="00184F1E" w:rsidRPr="00880004" w:rsidRDefault="00184F1E" w:rsidP="00580A64">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580A64">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580A64">
              <w:rPr>
                <w:rFonts w:asciiTheme="minorHAnsi" w:eastAsia="Times New Roman" w:hAnsiTheme="minorHAnsi"/>
                <w:b/>
                <w:iCs/>
                <w:szCs w:val="17"/>
                <w:lang w:eastAsia="en-US"/>
              </w:rPr>
              <w:t>8</w:t>
            </w:r>
          </w:p>
        </w:tc>
      </w:tr>
      <w:tr w:rsidR="00062907" w:rsidRPr="00C61187" w:rsidTr="005D2BDD">
        <w:tc>
          <w:tcPr>
            <w:tcW w:w="780" w:type="pct"/>
            <w:tcMar>
              <w:top w:w="57" w:type="dxa"/>
              <w:bottom w:w="57" w:type="dxa"/>
            </w:tcMar>
          </w:tcPr>
          <w:p w:rsidR="00062907" w:rsidRPr="00062907" w:rsidRDefault="00062907" w:rsidP="00C677AF">
            <w:pPr>
              <w:keepLines/>
              <w:spacing w:before="80" w:after="80" w:line="200" w:lineRule="atLeast"/>
              <w:rPr>
                <w:rFonts w:eastAsia="Times New Roman"/>
                <w:b/>
                <w:iCs/>
                <w:szCs w:val="17"/>
              </w:rPr>
            </w:pPr>
            <w:r w:rsidRPr="00062907">
              <w:rPr>
                <w:rFonts w:asciiTheme="minorHAnsi" w:eastAsia="Times New Roman" w:hAnsiTheme="minorHAnsi"/>
                <w:b/>
                <w:iCs/>
                <w:szCs w:val="17"/>
                <w:lang w:eastAsia="en-US"/>
              </w:rPr>
              <w:t>Objective 1</w:t>
            </w:r>
          </w:p>
        </w:tc>
        <w:tc>
          <w:tcPr>
            <w:tcW w:w="1846" w:type="pct"/>
          </w:tcPr>
          <w:p w:rsidR="00062907" w:rsidRDefault="00062907" w:rsidP="00C677AF">
            <w:pPr>
              <w:keepLines/>
              <w:spacing w:before="80" w:after="80" w:line="200" w:lineRule="atLeast"/>
              <w:rPr>
                <w:rFonts w:eastAsia="Times New Roman"/>
                <w:b/>
                <w:iCs/>
                <w:szCs w:val="17"/>
              </w:rPr>
            </w:pPr>
          </w:p>
        </w:tc>
        <w:tc>
          <w:tcPr>
            <w:tcW w:w="455" w:type="pct"/>
          </w:tcPr>
          <w:p w:rsidR="00062907" w:rsidRPr="00880004" w:rsidRDefault="00062907" w:rsidP="00C677AF">
            <w:pPr>
              <w:keepLines/>
              <w:spacing w:before="80" w:after="80" w:line="200" w:lineRule="atLeast"/>
              <w:jc w:val="center"/>
              <w:rPr>
                <w:rFonts w:eastAsia="Times New Roman"/>
                <w:b/>
                <w:iCs/>
                <w:szCs w:val="17"/>
              </w:rPr>
            </w:pPr>
          </w:p>
        </w:tc>
        <w:tc>
          <w:tcPr>
            <w:tcW w:w="1919" w:type="pct"/>
          </w:tcPr>
          <w:p w:rsidR="00062907" w:rsidRPr="00880004" w:rsidRDefault="00062907" w:rsidP="00580A64">
            <w:pPr>
              <w:keepLines/>
              <w:spacing w:before="80" w:after="80" w:line="200" w:lineRule="atLeast"/>
              <w:jc w:val="center"/>
              <w:rPr>
                <w:rFonts w:eastAsia="Times New Roman"/>
                <w:b/>
                <w:iCs/>
                <w:szCs w:val="17"/>
              </w:rPr>
            </w:pPr>
          </w:p>
        </w:tc>
      </w:tr>
      <w:tr w:rsidR="007F4A36" w:rsidRPr="00C61187" w:rsidTr="00C13EC6">
        <w:trPr>
          <w:trHeight w:val="687"/>
        </w:trPr>
        <w:tc>
          <w:tcPr>
            <w:tcW w:w="780" w:type="pct"/>
            <w:tcMar>
              <w:top w:w="57" w:type="dxa"/>
              <w:bottom w:w="57" w:type="dxa"/>
            </w:tcMar>
          </w:tcPr>
          <w:p w:rsidR="007F4A36" w:rsidRPr="00062907" w:rsidRDefault="007F4A36" w:rsidP="007F4A36">
            <w:pPr>
              <w:keepLines/>
              <w:spacing w:before="40" w:after="40" w:line="200" w:lineRule="atLeast"/>
              <w:rPr>
                <w:rFonts w:eastAsia="Times New Roman"/>
                <w:b/>
                <w:iCs/>
                <w:szCs w:val="17"/>
              </w:rPr>
            </w:pPr>
            <w:r w:rsidRPr="003729B5">
              <w:rPr>
                <w:rFonts w:asciiTheme="minorHAnsi" w:eastAsia="Times New Roman" w:hAnsiTheme="minorHAnsi"/>
                <w:iCs/>
                <w:szCs w:val="17"/>
                <w:lang w:eastAsia="en-US"/>
              </w:rPr>
              <w:t>More disadvantaged girls and boys complete a quality basic educat</w:t>
            </w:r>
            <w:r>
              <w:rPr>
                <w:rFonts w:asciiTheme="minorHAnsi" w:eastAsia="Times New Roman" w:hAnsiTheme="minorHAnsi"/>
                <w:iCs/>
                <w:szCs w:val="17"/>
                <w:lang w:eastAsia="en-US"/>
              </w:rPr>
              <w:t>i</w:t>
            </w:r>
            <w:r w:rsidRPr="003729B5">
              <w:rPr>
                <w:rFonts w:asciiTheme="minorHAnsi" w:eastAsia="Times New Roman" w:hAnsiTheme="minorHAnsi"/>
                <w:iCs/>
                <w:szCs w:val="17"/>
                <w:lang w:eastAsia="en-US"/>
              </w:rPr>
              <w:t>on</w:t>
            </w:r>
          </w:p>
        </w:tc>
        <w:tc>
          <w:tcPr>
            <w:tcW w:w="1846" w:type="pct"/>
          </w:tcPr>
          <w:p w:rsidR="007F4A36" w:rsidRDefault="007F4A36" w:rsidP="007F4A36">
            <w:pPr>
              <w:keepLines/>
              <w:spacing w:before="40" w:after="40" w:line="200" w:lineRule="atLeast"/>
              <w:rPr>
                <w:rFonts w:eastAsia="Times New Roman"/>
                <w:b/>
                <w:iCs/>
                <w:szCs w:val="17"/>
              </w:rPr>
            </w:pPr>
            <w:r>
              <w:rPr>
                <w:rFonts w:asciiTheme="minorHAnsi" w:eastAsia="Times New Roman" w:hAnsiTheme="minorHAnsi"/>
                <w:iCs/>
                <w:szCs w:val="17"/>
                <w:lang w:eastAsia="en-US"/>
              </w:rPr>
              <w:t>381</w:t>
            </w:r>
            <w:r w:rsidRPr="007F3076">
              <w:rPr>
                <w:rFonts w:asciiTheme="minorHAnsi" w:eastAsia="Times New Roman" w:hAnsiTheme="minorHAnsi"/>
                <w:iCs/>
                <w:szCs w:val="17"/>
                <w:lang w:eastAsia="en-US"/>
              </w:rPr>
              <w:t xml:space="preserve"> new ethnic students commence training at teacher college</w:t>
            </w:r>
          </w:p>
        </w:tc>
        <w:tc>
          <w:tcPr>
            <w:tcW w:w="455" w:type="pct"/>
            <w:shd w:val="clear" w:color="auto" w:fill="F7AA32"/>
          </w:tcPr>
          <w:p w:rsidR="007F4A36" w:rsidRPr="00880004" w:rsidRDefault="007F4A36" w:rsidP="007F4A36">
            <w:pPr>
              <w:keepLines/>
              <w:spacing w:before="80" w:after="80" w:line="200" w:lineRule="atLeast"/>
              <w:jc w:val="center"/>
              <w:rPr>
                <w:rFonts w:eastAsia="Times New Roman"/>
                <w:b/>
                <w:iCs/>
                <w:szCs w:val="17"/>
              </w:rPr>
            </w:pPr>
            <w:r w:rsidRPr="00880004">
              <w:rPr>
                <w:rFonts w:asciiTheme="minorHAnsi" w:eastAsia="Times New Roman" w:hAnsiTheme="minorHAnsi"/>
                <w:iCs/>
                <w:color w:val="FFFFFF" w:themeColor="background1"/>
                <w:szCs w:val="17"/>
                <w:lang w:eastAsia="en-US"/>
              </w:rPr>
              <w:t>Partly achieved</w:t>
            </w:r>
          </w:p>
        </w:tc>
        <w:tc>
          <w:tcPr>
            <w:tcW w:w="1919" w:type="pct"/>
          </w:tcPr>
          <w:p w:rsidR="007F4A36" w:rsidRPr="00880004" w:rsidRDefault="007F4A36" w:rsidP="007F4A36">
            <w:pPr>
              <w:keepLines/>
              <w:spacing w:before="40" w:after="40" w:line="200" w:lineRule="atLeast"/>
              <w:rPr>
                <w:rFonts w:eastAsia="Times New Roman"/>
                <w:b/>
                <w:iCs/>
                <w:szCs w:val="17"/>
              </w:rPr>
            </w:pPr>
            <w:r w:rsidRPr="007F4A36">
              <w:rPr>
                <w:rFonts w:asciiTheme="minorHAnsi" w:eastAsia="Times New Roman" w:hAnsiTheme="minorHAnsi"/>
                <w:iCs/>
                <w:szCs w:val="17"/>
                <w:lang w:eastAsia="en-US"/>
              </w:rPr>
              <w:t>364 ethnic students were supported to commence teacher training (96% towards the benchmark)</w:t>
            </w:r>
          </w:p>
        </w:tc>
      </w:tr>
      <w:tr w:rsidR="00074A43" w:rsidRPr="00C61187" w:rsidTr="00570794">
        <w:tc>
          <w:tcPr>
            <w:tcW w:w="780" w:type="pct"/>
            <w:tcMar>
              <w:top w:w="57" w:type="dxa"/>
              <w:bottom w:w="57" w:type="dxa"/>
            </w:tcMar>
          </w:tcPr>
          <w:p w:rsidR="00074A43" w:rsidRPr="00062907" w:rsidRDefault="00074A43" w:rsidP="00074A43">
            <w:pPr>
              <w:keepLines/>
              <w:spacing w:before="80" w:after="80" w:line="200" w:lineRule="atLeast"/>
              <w:rPr>
                <w:rFonts w:eastAsia="Times New Roman"/>
                <w:b/>
                <w:iCs/>
                <w:szCs w:val="17"/>
              </w:rPr>
            </w:pPr>
          </w:p>
        </w:tc>
        <w:tc>
          <w:tcPr>
            <w:tcW w:w="1846" w:type="pct"/>
          </w:tcPr>
          <w:p w:rsidR="00074A43" w:rsidRDefault="00074A43" w:rsidP="00D8692D">
            <w:pPr>
              <w:keepLines/>
              <w:spacing w:before="40" w:after="40" w:line="200" w:lineRule="atLeast"/>
              <w:rPr>
                <w:rFonts w:eastAsia="Times New Roman"/>
                <w:b/>
                <w:iCs/>
                <w:szCs w:val="17"/>
              </w:rPr>
            </w:pPr>
            <w:r w:rsidRPr="007F3076">
              <w:rPr>
                <w:rFonts w:asciiTheme="minorHAnsi" w:eastAsia="Times New Roman" w:hAnsiTheme="minorHAnsi"/>
                <w:iCs/>
                <w:szCs w:val="17"/>
                <w:lang w:eastAsia="en-US"/>
              </w:rPr>
              <w:t>New Grade</w:t>
            </w:r>
            <w:r>
              <w:rPr>
                <w:rFonts w:asciiTheme="minorHAnsi" w:eastAsia="Times New Roman" w:hAnsiTheme="minorHAnsi"/>
                <w:iCs/>
                <w:szCs w:val="17"/>
                <w:lang w:eastAsia="en-US"/>
              </w:rPr>
              <w:t xml:space="preserve"> </w:t>
            </w:r>
            <w:r w:rsidR="00D8692D">
              <w:rPr>
                <w:rFonts w:asciiTheme="minorHAnsi" w:eastAsia="Times New Roman" w:hAnsiTheme="minorHAnsi"/>
                <w:iCs/>
                <w:szCs w:val="17"/>
                <w:lang w:eastAsia="en-US"/>
              </w:rPr>
              <w:t>2</w:t>
            </w:r>
            <w:r>
              <w:rPr>
                <w:rFonts w:asciiTheme="minorHAnsi" w:eastAsia="Times New Roman" w:hAnsiTheme="minorHAnsi"/>
                <w:iCs/>
                <w:szCs w:val="17"/>
                <w:lang w:eastAsia="en-US"/>
              </w:rPr>
              <w:t xml:space="preserve"> primary textbooks and teachers guides written and piloted</w:t>
            </w:r>
          </w:p>
        </w:tc>
        <w:tc>
          <w:tcPr>
            <w:tcW w:w="455" w:type="pct"/>
            <w:shd w:val="clear" w:color="auto" w:fill="92D050"/>
          </w:tcPr>
          <w:p w:rsidR="00074A43" w:rsidRPr="00880004" w:rsidRDefault="00074A43" w:rsidP="00074A43">
            <w:pPr>
              <w:keepLines/>
              <w:spacing w:before="80" w:after="80" w:line="200" w:lineRule="atLeast"/>
              <w:jc w:val="center"/>
              <w:rPr>
                <w:rFonts w:eastAsia="Times New Roman"/>
                <w:b/>
                <w:iCs/>
                <w:szCs w:val="17"/>
              </w:rPr>
            </w:pPr>
            <w:r w:rsidRPr="00880004">
              <w:rPr>
                <w:rFonts w:asciiTheme="minorHAnsi" w:eastAsia="Times New Roman" w:hAnsiTheme="minorHAnsi"/>
                <w:iCs/>
                <w:color w:val="FFFFFF" w:themeColor="background1"/>
                <w:szCs w:val="17"/>
                <w:lang w:eastAsia="en-US"/>
              </w:rPr>
              <w:t>Achieved</w:t>
            </w:r>
          </w:p>
        </w:tc>
        <w:tc>
          <w:tcPr>
            <w:tcW w:w="1919" w:type="pct"/>
          </w:tcPr>
          <w:p w:rsidR="00D8692D" w:rsidRPr="00D8692D" w:rsidRDefault="00D8692D" w:rsidP="00D8692D">
            <w:pPr>
              <w:keepLines/>
              <w:spacing w:before="40" w:after="40" w:line="200" w:lineRule="atLeast"/>
              <w:rPr>
                <w:rFonts w:asciiTheme="minorHAnsi" w:eastAsia="Times New Roman" w:hAnsiTheme="minorHAnsi"/>
                <w:iCs/>
                <w:szCs w:val="17"/>
                <w:lang w:eastAsia="en-US"/>
              </w:rPr>
            </w:pPr>
            <w:r w:rsidRPr="00D8692D">
              <w:rPr>
                <w:rFonts w:asciiTheme="minorHAnsi" w:eastAsia="Times New Roman" w:hAnsiTheme="minorHAnsi"/>
                <w:iCs/>
                <w:szCs w:val="17"/>
                <w:lang w:eastAsia="en-US"/>
              </w:rPr>
              <w:t xml:space="preserve">The new Grade 2 textbooks and teacher guides were developed by </w:t>
            </w:r>
            <w:r>
              <w:rPr>
                <w:rFonts w:asciiTheme="minorHAnsi" w:eastAsia="Times New Roman" w:hAnsiTheme="minorHAnsi"/>
                <w:iCs/>
                <w:szCs w:val="17"/>
                <w:lang w:eastAsia="en-US"/>
              </w:rPr>
              <w:t>RIES</w:t>
            </w:r>
            <w:r w:rsidRPr="00D8692D">
              <w:rPr>
                <w:rFonts w:asciiTheme="minorHAnsi" w:eastAsia="Times New Roman" w:hAnsiTheme="minorHAnsi"/>
                <w:iCs/>
                <w:szCs w:val="17"/>
                <w:lang w:eastAsia="en-US"/>
              </w:rPr>
              <w:t xml:space="preserve"> and piloted in a representative sample of 25 primary schools across Laos.  </w:t>
            </w:r>
          </w:p>
          <w:p w:rsidR="00074A43" w:rsidRPr="00880004" w:rsidRDefault="00074A43" w:rsidP="00074A43">
            <w:pPr>
              <w:keepLines/>
              <w:spacing w:before="40" w:after="40" w:line="200" w:lineRule="atLeast"/>
              <w:rPr>
                <w:rFonts w:eastAsia="Times New Roman"/>
                <w:b/>
                <w:iCs/>
                <w:szCs w:val="17"/>
              </w:rPr>
            </w:pPr>
          </w:p>
        </w:tc>
      </w:tr>
      <w:tr w:rsidR="007F4A36" w:rsidRPr="00C61187" w:rsidTr="005D2BDD">
        <w:tc>
          <w:tcPr>
            <w:tcW w:w="780" w:type="pct"/>
            <w:tcMar>
              <w:top w:w="57" w:type="dxa"/>
              <w:bottom w:w="57" w:type="dxa"/>
            </w:tcMar>
          </w:tcPr>
          <w:p w:rsidR="007F4A36" w:rsidRPr="00880004" w:rsidRDefault="007F4A36" w:rsidP="007F4A36">
            <w:pPr>
              <w:keepLines/>
              <w:spacing w:before="80" w:after="80" w:line="200" w:lineRule="atLeast"/>
              <w:rPr>
                <w:rFonts w:eastAsia="Times New Roman"/>
                <w:b/>
                <w:iCs/>
                <w:szCs w:val="17"/>
              </w:rPr>
            </w:pPr>
            <w:r w:rsidRPr="00062907">
              <w:rPr>
                <w:rFonts w:asciiTheme="minorHAnsi" w:eastAsia="Times New Roman" w:hAnsiTheme="minorHAnsi"/>
                <w:b/>
                <w:iCs/>
                <w:szCs w:val="17"/>
                <w:lang w:eastAsia="en-US"/>
              </w:rPr>
              <w:t>Objective 2</w:t>
            </w:r>
          </w:p>
        </w:tc>
        <w:tc>
          <w:tcPr>
            <w:tcW w:w="1846" w:type="pct"/>
          </w:tcPr>
          <w:p w:rsidR="007F4A36" w:rsidRDefault="007F4A36" w:rsidP="007F4A36">
            <w:pPr>
              <w:keepLines/>
              <w:spacing w:before="80" w:after="80" w:line="200" w:lineRule="atLeast"/>
              <w:rPr>
                <w:rFonts w:eastAsia="Times New Roman"/>
                <w:b/>
                <w:iCs/>
                <w:szCs w:val="17"/>
              </w:rPr>
            </w:pPr>
          </w:p>
        </w:tc>
        <w:tc>
          <w:tcPr>
            <w:tcW w:w="455" w:type="pct"/>
          </w:tcPr>
          <w:p w:rsidR="007F4A36" w:rsidRPr="00880004" w:rsidRDefault="007F4A36" w:rsidP="007F4A36">
            <w:pPr>
              <w:keepLines/>
              <w:spacing w:before="80" w:after="80" w:line="200" w:lineRule="atLeast"/>
              <w:jc w:val="center"/>
              <w:rPr>
                <w:rFonts w:eastAsia="Times New Roman"/>
                <w:b/>
                <w:iCs/>
                <w:szCs w:val="17"/>
              </w:rPr>
            </w:pPr>
          </w:p>
        </w:tc>
        <w:tc>
          <w:tcPr>
            <w:tcW w:w="1919" w:type="pct"/>
          </w:tcPr>
          <w:p w:rsidR="007F4A36" w:rsidRPr="00880004" w:rsidRDefault="007F4A36" w:rsidP="007F4A36">
            <w:pPr>
              <w:keepLines/>
              <w:spacing w:before="80" w:after="80" w:line="200" w:lineRule="atLeast"/>
              <w:jc w:val="center"/>
              <w:rPr>
                <w:rFonts w:eastAsia="Times New Roman"/>
                <w:b/>
                <w:iCs/>
                <w:szCs w:val="17"/>
              </w:rPr>
            </w:pPr>
          </w:p>
        </w:tc>
      </w:tr>
      <w:tr w:rsidR="007F4A36" w:rsidRPr="00C61187" w:rsidTr="005D2BDD">
        <w:tc>
          <w:tcPr>
            <w:tcW w:w="780" w:type="pct"/>
            <w:tcMar>
              <w:top w:w="57" w:type="dxa"/>
              <w:bottom w:w="57" w:type="dxa"/>
            </w:tcMar>
          </w:tcPr>
          <w:p w:rsidR="007F4A36" w:rsidRPr="00880004" w:rsidRDefault="007F4A36" w:rsidP="007F4A3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Improving Laos’ human resources</w:t>
            </w:r>
          </w:p>
        </w:tc>
        <w:tc>
          <w:tcPr>
            <w:tcW w:w="1846" w:type="pct"/>
          </w:tcPr>
          <w:p w:rsidR="007F4A36" w:rsidRPr="00880004" w:rsidRDefault="007F4A36" w:rsidP="007F4A3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90% of Australia Awards alumni are using their new skills to contribute to development in Laos</w:t>
            </w:r>
          </w:p>
        </w:tc>
        <w:tc>
          <w:tcPr>
            <w:tcW w:w="455" w:type="pct"/>
            <w:shd w:val="clear" w:color="auto" w:fill="92D050"/>
          </w:tcPr>
          <w:p w:rsidR="007F4A36" w:rsidRPr="00880004" w:rsidRDefault="007F4A36" w:rsidP="007F4A36">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1919" w:type="pct"/>
          </w:tcPr>
          <w:p w:rsidR="007F4A36" w:rsidRPr="00880004" w:rsidRDefault="007F4A36" w:rsidP="007F4A3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98% of surveyed Australia Awards alumni who returned to Australia since 2015 </w:t>
            </w:r>
            <w:r w:rsidRPr="009C52C3">
              <w:rPr>
                <w:rFonts w:asciiTheme="minorHAnsi" w:eastAsia="Times New Roman" w:hAnsiTheme="minorHAnsi"/>
                <w:iCs/>
                <w:szCs w:val="17"/>
                <w:lang w:eastAsia="en-US"/>
              </w:rPr>
              <w:t>are using their new skills to contribute to development in Laos</w:t>
            </w:r>
          </w:p>
        </w:tc>
      </w:tr>
      <w:tr w:rsidR="007F4A36" w:rsidRPr="00C61187" w:rsidTr="005D2BDD">
        <w:tc>
          <w:tcPr>
            <w:tcW w:w="780" w:type="pct"/>
            <w:tcMar>
              <w:top w:w="57" w:type="dxa"/>
              <w:bottom w:w="57" w:type="dxa"/>
            </w:tcMar>
          </w:tcPr>
          <w:p w:rsidR="007F4A36" w:rsidRPr="00880004" w:rsidRDefault="007F4A36" w:rsidP="007F4A36">
            <w:pPr>
              <w:keepLines/>
              <w:spacing w:before="40" w:after="40" w:line="200" w:lineRule="atLeast"/>
              <w:rPr>
                <w:rFonts w:eastAsia="Times New Roman"/>
                <w:iCs/>
                <w:szCs w:val="17"/>
              </w:rPr>
            </w:pPr>
          </w:p>
        </w:tc>
        <w:tc>
          <w:tcPr>
            <w:tcW w:w="1846" w:type="pct"/>
          </w:tcPr>
          <w:p w:rsidR="007F4A36" w:rsidRPr="00880004" w:rsidRDefault="007F4A36" w:rsidP="007F4A36">
            <w:pPr>
              <w:keepLines/>
              <w:spacing w:before="40" w:after="40" w:line="200" w:lineRule="atLeast"/>
              <w:rPr>
                <w:rFonts w:eastAsia="Times New Roman"/>
                <w:iCs/>
                <w:szCs w:val="17"/>
              </w:rPr>
            </w:pPr>
            <w:r>
              <w:rPr>
                <w:rFonts w:asciiTheme="minorHAnsi" w:eastAsia="Times New Roman" w:hAnsiTheme="minorHAnsi"/>
                <w:iCs/>
                <w:szCs w:val="17"/>
                <w:lang w:eastAsia="en-US"/>
              </w:rPr>
              <w:t>10% of Australia Awards alumni are contributing to targeted areas of cooperation between Australia and Laos</w:t>
            </w:r>
          </w:p>
        </w:tc>
        <w:tc>
          <w:tcPr>
            <w:tcW w:w="455" w:type="pct"/>
            <w:shd w:val="clear" w:color="auto" w:fill="92D050"/>
          </w:tcPr>
          <w:p w:rsidR="007F4A36" w:rsidRPr="00880004" w:rsidRDefault="007F4A36" w:rsidP="007F4A36">
            <w:pPr>
              <w:keepLines/>
              <w:spacing w:before="40" w:after="40" w:line="200" w:lineRule="atLeast"/>
              <w:jc w:val="center"/>
              <w:rPr>
                <w:rFonts w:eastAsia="Times New Roman"/>
                <w:iCs/>
                <w:color w:val="FFFFFF" w:themeColor="background1"/>
                <w:szCs w:val="17"/>
              </w:rPr>
            </w:pPr>
            <w:r w:rsidRPr="00B001B5">
              <w:rPr>
                <w:rFonts w:asciiTheme="minorHAnsi" w:eastAsia="Times New Roman" w:hAnsiTheme="minorHAnsi"/>
                <w:iCs/>
                <w:color w:val="FFFFFF" w:themeColor="background1"/>
                <w:szCs w:val="17"/>
                <w:lang w:eastAsia="en-US"/>
              </w:rPr>
              <w:t>Achieved</w:t>
            </w:r>
          </w:p>
        </w:tc>
        <w:tc>
          <w:tcPr>
            <w:tcW w:w="1919" w:type="pct"/>
          </w:tcPr>
          <w:p w:rsidR="007F4A36" w:rsidRPr="00880004" w:rsidRDefault="007F4A36" w:rsidP="007F4A36">
            <w:pPr>
              <w:keepLines/>
              <w:spacing w:before="40" w:after="40" w:line="200" w:lineRule="atLeast"/>
              <w:rPr>
                <w:rFonts w:eastAsia="Times New Roman"/>
                <w:iCs/>
                <w:szCs w:val="17"/>
              </w:rPr>
            </w:pPr>
            <w:r>
              <w:rPr>
                <w:rFonts w:asciiTheme="minorHAnsi" w:eastAsia="Times New Roman" w:hAnsiTheme="minorHAnsi"/>
                <w:iCs/>
                <w:szCs w:val="17"/>
                <w:lang w:eastAsia="en-US"/>
              </w:rPr>
              <w:t xml:space="preserve">95% of surveyed Australia Awards alumni who returned to Australia since 2015 </w:t>
            </w:r>
            <w:r w:rsidRPr="009C52C3">
              <w:rPr>
                <w:rFonts w:asciiTheme="minorHAnsi" w:eastAsia="Times New Roman" w:hAnsiTheme="minorHAnsi"/>
                <w:iCs/>
                <w:szCs w:val="17"/>
                <w:lang w:eastAsia="en-US"/>
              </w:rPr>
              <w:t>are</w:t>
            </w:r>
            <w:r>
              <w:t xml:space="preserve"> </w:t>
            </w:r>
            <w:r w:rsidRPr="009C52C3">
              <w:rPr>
                <w:rFonts w:asciiTheme="minorHAnsi" w:eastAsia="Times New Roman" w:hAnsiTheme="minorHAnsi"/>
                <w:iCs/>
                <w:szCs w:val="17"/>
                <w:lang w:eastAsia="en-US"/>
              </w:rPr>
              <w:t>contributing to targeted areas of cooperation between Australia and Laos</w:t>
            </w:r>
          </w:p>
        </w:tc>
      </w:tr>
      <w:tr w:rsidR="007F4A36" w:rsidRPr="00C61187" w:rsidTr="005D2BDD">
        <w:tc>
          <w:tcPr>
            <w:tcW w:w="780" w:type="pct"/>
            <w:shd w:val="clear" w:color="auto" w:fill="auto"/>
            <w:tcMar>
              <w:top w:w="57" w:type="dxa"/>
              <w:bottom w:w="57" w:type="dxa"/>
            </w:tcMar>
          </w:tcPr>
          <w:p w:rsidR="007F4A36" w:rsidRDefault="007F4A36" w:rsidP="007F4A36">
            <w:pPr>
              <w:keepLines/>
              <w:spacing w:before="80" w:after="80" w:line="200" w:lineRule="atLeast"/>
              <w:rPr>
                <w:rFonts w:eastAsia="Times New Roman"/>
                <w:iCs/>
                <w:szCs w:val="17"/>
              </w:rPr>
            </w:pPr>
            <w:r w:rsidRPr="00062907">
              <w:rPr>
                <w:rFonts w:asciiTheme="minorHAnsi" w:eastAsia="Times New Roman" w:hAnsiTheme="minorHAnsi"/>
                <w:b/>
                <w:iCs/>
                <w:szCs w:val="17"/>
                <w:lang w:eastAsia="en-US"/>
              </w:rPr>
              <w:t>Objective 3</w:t>
            </w:r>
          </w:p>
        </w:tc>
        <w:tc>
          <w:tcPr>
            <w:tcW w:w="1846" w:type="pct"/>
            <w:shd w:val="clear" w:color="auto" w:fill="auto"/>
          </w:tcPr>
          <w:p w:rsidR="007F4A36" w:rsidRPr="00880004" w:rsidRDefault="007F4A36" w:rsidP="007F4A36">
            <w:pPr>
              <w:keepLines/>
              <w:spacing w:before="40" w:after="40" w:line="200" w:lineRule="atLeast"/>
              <w:rPr>
                <w:rFonts w:eastAsia="Times New Roman"/>
                <w:iCs/>
                <w:szCs w:val="17"/>
              </w:rPr>
            </w:pPr>
          </w:p>
        </w:tc>
        <w:tc>
          <w:tcPr>
            <w:tcW w:w="455" w:type="pct"/>
            <w:shd w:val="clear" w:color="auto" w:fill="auto"/>
          </w:tcPr>
          <w:p w:rsidR="007F4A36" w:rsidRPr="00880004" w:rsidRDefault="007F4A36" w:rsidP="007F4A36">
            <w:pPr>
              <w:keepLines/>
              <w:spacing w:before="40" w:after="40" w:line="200" w:lineRule="atLeast"/>
              <w:jc w:val="center"/>
              <w:rPr>
                <w:rFonts w:eastAsia="Times New Roman"/>
                <w:iCs/>
                <w:color w:val="FFFFFF" w:themeColor="background1"/>
                <w:szCs w:val="17"/>
              </w:rPr>
            </w:pPr>
          </w:p>
        </w:tc>
        <w:tc>
          <w:tcPr>
            <w:tcW w:w="1919" w:type="pct"/>
            <w:shd w:val="clear" w:color="auto" w:fill="auto"/>
          </w:tcPr>
          <w:p w:rsidR="007F4A36" w:rsidRPr="00880004" w:rsidRDefault="007F4A36" w:rsidP="007F4A36">
            <w:pPr>
              <w:keepLines/>
              <w:spacing w:before="40" w:after="40" w:line="200" w:lineRule="atLeast"/>
              <w:rPr>
                <w:rFonts w:eastAsia="Times New Roman"/>
                <w:iCs/>
                <w:szCs w:val="17"/>
              </w:rPr>
            </w:pPr>
          </w:p>
        </w:tc>
      </w:tr>
      <w:tr w:rsidR="007F4A36" w:rsidRPr="00C61187" w:rsidTr="005D2BDD">
        <w:tc>
          <w:tcPr>
            <w:tcW w:w="780" w:type="pct"/>
            <w:tcMar>
              <w:top w:w="57" w:type="dxa"/>
              <w:bottom w:w="57" w:type="dxa"/>
            </w:tcMar>
          </w:tcPr>
          <w:p w:rsidR="007F4A36" w:rsidRPr="00880004" w:rsidRDefault="007F4A36" w:rsidP="007F4A3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 stronger trade regime and more competitive private sector</w:t>
            </w:r>
          </w:p>
        </w:tc>
        <w:tc>
          <w:tcPr>
            <w:tcW w:w="1846" w:type="pct"/>
          </w:tcPr>
          <w:p w:rsidR="007F4A36" w:rsidRPr="00880004" w:rsidRDefault="007F4A36" w:rsidP="007F4A3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Lao hosts second Lao Business Forum, incorporate comments from prior consultation with SMEs and women-led businesses and the Provincial level</w:t>
            </w:r>
          </w:p>
        </w:tc>
        <w:tc>
          <w:tcPr>
            <w:tcW w:w="455" w:type="pct"/>
            <w:shd w:val="clear" w:color="auto" w:fill="92D050"/>
          </w:tcPr>
          <w:p w:rsidR="007F4A36" w:rsidRPr="00880004" w:rsidRDefault="007F4A36" w:rsidP="007F4A36">
            <w:pPr>
              <w:keepLines/>
              <w:spacing w:before="40" w:after="40" w:line="200" w:lineRule="atLeast"/>
              <w:jc w:val="center"/>
              <w:rPr>
                <w:rFonts w:asciiTheme="minorHAnsi" w:eastAsia="Times New Roman" w:hAnsiTheme="minorHAnsi"/>
                <w:iCs/>
                <w:szCs w:val="17"/>
                <w:lang w:eastAsia="en-US"/>
              </w:rPr>
            </w:pPr>
            <w:r w:rsidRPr="00B001B5">
              <w:rPr>
                <w:rFonts w:asciiTheme="minorHAnsi" w:eastAsia="Times New Roman" w:hAnsiTheme="minorHAnsi"/>
                <w:iCs/>
                <w:color w:val="FFFFFF" w:themeColor="background1"/>
                <w:szCs w:val="17"/>
                <w:lang w:eastAsia="en-US"/>
              </w:rPr>
              <w:t>Achieved</w:t>
            </w:r>
          </w:p>
        </w:tc>
        <w:tc>
          <w:tcPr>
            <w:tcW w:w="1919" w:type="pct"/>
          </w:tcPr>
          <w:p w:rsidR="007F4A36" w:rsidRPr="00880004" w:rsidRDefault="005D2BDD" w:rsidP="00B00FC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w:t>
            </w:r>
            <w:r w:rsidR="007F4A36" w:rsidRPr="007F4A36">
              <w:rPr>
                <w:rFonts w:asciiTheme="minorHAnsi" w:eastAsia="Times New Roman" w:hAnsiTheme="minorHAnsi"/>
                <w:iCs/>
                <w:szCs w:val="17"/>
                <w:lang w:eastAsia="en-US"/>
              </w:rPr>
              <w:t xml:space="preserve">he 11th Lao Business Forum (LBF) </w:t>
            </w:r>
            <w:r>
              <w:rPr>
                <w:rFonts w:asciiTheme="minorHAnsi" w:eastAsia="Times New Roman" w:hAnsiTheme="minorHAnsi"/>
                <w:iCs/>
                <w:szCs w:val="17"/>
                <w:lang w:eastAsia="en-US"/>
              </w:rPr>
              <w:t xml:space="preserve">was </w:t>
            </w:r>
            <w:r w:rsidR="007F4A36" w:rsidRPr="007F4A36">
              <w:rPr>
                <w:rFonts w:asciiTheme="minorHAnsi" w:eastAsia="Times New Roman" w:hAnsiTheme="minorHAnsi"/>
                <w:iCs/>
                <w:szCs w:val="17"/>
                <w:lang w:eastAsia="en-US"/>
              </w:rPr>
              <w:t>held on 5 July 2018</w:t>
            </w:r>
            <w:r w:rsidR="00B00FC1">
              <w:rPr>
                <w:rFonts w:asciiTheme="minorHAnsi" w:eastAsia="Times New Roman" w:hAnsiTheme="minorHAnsi"/>
                <w:iCs/>
                <w:szCs w:val="17"/>
                <w:lang w:eastAsia="en-US"/>
              </w:rPr>
              <w:t xml:space="preserve"> (the 2</w:t>
            </w:r>
            <w:r w:rsidR="00B00FC1" w:rsidRPr="00B00FC1">
              <w:rPr>
                <w:rFonts w:asciiTheme="minorHAnsi" w:eastAsia="Times New Roman" w:hAnsiTheme="minorHAnsi"/>
                <w:iCs/>
                <w:szCs w:val="17"/>
                <w:vertAlign w:val="superscript"/>
                <w:lang w:eastAsia="en-US"/>
              </w:rPr>
              <w:t>nd</w:t>
            </w:r>
            <w:r w:rsidR="00B00FC1">
              <w:rPr>
                <w:rFonts w:asciiTheme="minorHAnsi" w:eastAsia="Times New Roman" w:hAnsiTheme="minorHAnsi"/>
                <w:iCs/>
                <w:szCs w:val="17"/>
                <w:lang w:eastAsia="en-US"/>
              </w:rPr>
              <w:t xml:space="preserve"> one funded by TDF2, as referenced in the benchmark description)</w:t>
            </w:r>
          </w:p>
        </w:tc>
      </w:tr>
      <w:tr w:rsidR="005D2BDD" w:rsidRPr="00C61187" w:rsidTr="005D2BDD">
        <w:tc>
          <w:tcPr>
            <w:tcW w:w="780" w:type="pct"/>
            <w:tcMar>
              <w:top w:w="57" w:type="dxa"/>
              <w:bottom w:w="57" w:type="dxa"/>
            </w:tcMar>
          </w:tcPr>
          <w:p w:rsidR="005D2BDD" w:rsidRPr="00880004" w:rsidRDefault="005D2BDD" w:rsidP="005D2BDD">
            <w:pPr>
              <w:keepLines/>
              <w:spacing w:before="40" w:after="40" w:line="200" w:lineRule="atLeast"/>
              <w:rPr>
                <w:rFonts w:asciiTheme="minorHAnsi" w:eastAsia="Times New Roman" w:hAnsiTheme="minorHAnsi"/>
                <w:iCs/>
                <w:szCs w:val="17"/>
                <w:lang w:eastAsia="en-US"/>
              </w:rPr>
            </w:pPr>
          </w:p>
        </w:tc>
        <w:tc>
          <w:tcPr>
            <w:tcW w:w="1846" w:type="pct"/>
          </w:tcPr>
          <w:p w:rsidR="005D2BDD" w:rsidRPr="00880004" w:rsidRDefault="005D2BDD" w:rsidP="005D2BD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250,000 provided with financial services following the successful launch of a new digital financial services platform, and more than 40% of village bank committee members are women</w:t>
            </w:r>
          </w:p>
        </w:tc>
        <w:tc>
          <w:tcPr>
            <w:tcW w:w="455" w:type="pct"/>
            <w:shd w:val="clear" w:color="auto" w:fill="F7AA32"/>
          </w:tcPr>
          <w:p w:rsidR="005D2BDD" w:rsidRPr="00880004" w:rsidRDefault="005D2BDD" w:rsidP="005D2BDD">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Partly achieved</w:t>
            </w:r>
          </w:p>
        </w:tc>
        <w:tc>
          <w:tcPr>
            <w:tcW w:w="1919" w:type="pct"/>
          </w:tcPr>
          <w:p w:rsidR="005D2BDD" w:rsidRPr="00880004" w:rsidRDefault="00CD467B" w:rsidP="00CD467B">
            <w:pPr>
              <w:pStyle w:val="TableTextEntries"/>
              <w:keepNext/>
              <w:rPr>
                <w:rFonts w:asciiTheme="minorHAnsi" w:hAnsiTheme="minorHAnsi"/>
                <w:iCs w:val="0"/>
                <w:lang w:eastAsia="en-US"/>
              </w:rPr>
            </w:pPr>
            <w:r w:rsidRPr="00CD467B">
              <w:rPr>
                <w:rFonts w:asciiTheme="minorHAnsi" w:hAnsiTheme="minorHAnsi" w:cstheme="minorBidi"/>
                <w:color w:val="495965" w:themeColor="text2"/>
                <w:lang w:val="en-GB" w:eastAsia="en-US"/>
              </w:rPr>
              <w:t>214,400</w:t>
            </w:r>
            <w:r w:rsidR="005D2BDD">
              <w:rPr>
                <w:rFonts w:asciiTheme="minorHAnsi" w:hAnsiTheme="minorHAnsi" w:cstheme="minorBidi"/>
                <w:color w:val="495965" w:themeColor="text2"/>
                <w:lang w:val="en-GB" w:eastAsia="en-US"/>
              </w:rPr>
              <w:t xml:space="preserve"> were provided with financial services; </w:t>
            </w:r>
            <w:r>
              <w:rPr>
                <w:rFonts w:asciiTheme="minorHAnsi" w:hAnsiTheme="minorHAnsi" w:cstheme="minorBidi"/>
                <w:color w:val="495965" w:themeColor="text2"/>
                <w:lang w:val="en-GB" w:eastAsia="en-US"/>
              </w:rPr>
              <w:t>36</w:t>
            </w:r>
            <w:r w:rsidR="005D2BDD">
              <w:rPr>
                <w:rFonts w:asciiTheme="minorHAnsi" w:hAnsiTheme="minorHAnsi" w:cstheme="minorBidi"/>
                <w:color w:val="495965" w:themeColor="text2"/>
                <w:lang w:val="en-GB" w:eastAsia="en-US"/>
              </w:rPr>
              <w:t>% of village bank committee members are women.</w:t>
            </w:r>
          </w:p>
        </w:tc>
      </w:tr>
    </w:tbl>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BE1BEB" w:rsidRDefault="00BE1BEB" w:rsidP="00184F1E">
      <w:pPr>
        <w:rPr>
          <w:rFonts w:ascii="Franklin Gothic Book" w:eastAsia="Times New Roman" w:hAnsi="Franklin Gothic Book"/>
          <w:b/>
          <w:sz w:val="24"/>
          <w:szCs w:val="24"/>
        </w:rPr>
      </w:pPr>
    </w:p>
    <w:p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sidR="00580A64">
        <w:rPr>
          <w:rFonts w:ascii="Franklin Gothic Book" w:eastAsia="Times New Roman" w:hAnsi="Franklin Gothic Book"/>
          <w:b/>
          <w:sz w:val="24"/>
          <w:szCs w:val="24"/>
        </w:rPr>
        <w:t>lan or new Aid Investment Plan</w:t>
      </w:r>
    </w:p>
    <w:tbl>
      <w:tblPr>
        <w:tblStyle w:val="DFATTable"/>
        <w:tblW w:w="5000" w:type="pct"/>
        <w:tblLook w:val="04A0" w:firstRow="1" w:lastRow="0" w:firstColumn="1" w:lastColumn="0" w:noHBand="0" w:noVBand="1"/>
      </w:tblPr>
      <w:tblGrid>
        <w:gridCol w:w="2243"/>
        <w:gridCol w:w="3994"/>
        <w:gridCol w:w="4112"/>
        <w:gridCol w:w="3686"/>
      </w:tblGrid>
      <w:tr w:rsidR="005B027B" w:rsidTr="00CD467B">
        <w:trPr>
          <w:trHeight w:val="245"/>
        </w:trPr>
        <w:tc>
          <w:tcPr>
            <w:tcW w:w="799" w:type="pct"/>
            <w:tcBorders>
              <w:top w:val="single" w:sz="12" w:space="0" w:color="auto"/>
              <w:left w:val="nil"/>
              <w:bottom w:val="nil"/>
              <w:right w:val="nil"/>
            </w:tcBorders>
          </w:tcPr>
          <w:p w:rsidR="005B027B" w:rsidRPr="00BE6C6D" w:rsidRDefault="005B027B" w:rsidP="00C677AF">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423" w:type="pct"/>
            <w:tcBorders>
              <w:top w:val="single" w:sz="12" w:space="0" w:color="auto"/>
              <w:left w:val="nil"/>
              <w:bottom w:val="nil"/>
              <w:right w:val="nil"/>
            </w:tcBorders>
          </w:tcPr>
          <w:p w:rsidR="005B027B" w:rsidRPr="00BE6C6D" w:rsidRDefault="005B027B" w:rsidP="00C677AF">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465" w:type="pct"/>
            <w:tcBorders>
              <w:top w:val="single" w:sz="12" w:space="0" w:color="auto"/>
              <w:left w:val="nil"/>
              <w:bottom w:val="nil"/>
              <w:right w:val="nil"/>
            </w:tcBorders>
            <w:hideMark/>
          </w:tcPr>
          <w:p w:rsidR="005B027B" w:rsidRPr="00BE6C6D" w:rsidRDefault="005B027B" w:rsidP="00FA6550">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1313" w:type="pct"/>
            <w:tcBorders>
              <w:top w:val="single" w:sz="12" w:space="0" w:color="auto"/>
              <w:left w:val="nil"/>
              <w:bottom w:val="nil"/>
              <w:right w:val="nil"/>
            </w:tcBorders>
            <w:hideMark/>
          </w:tcPr>
          <w:p w:rsidR="005B027B" w:rsidRPr="00BE6C6D" w:rsidRDefault="005B027B" w:rsidP="00A41132">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9-20</w:t>
            </w:r>
          </w:p>
        </w:tc>
      </w:tr>
      <w:tr w:rsidR="005E13C4" w:rsidTr="00CD467B">
        <w:trPr>
          <w:trHeight w:val="315"/>
        </w:trPr>
        <w:tc>
          <w:tcPr>
            <w:tcW w:w="799" w:type="pct"/>
            <w:tcBorders>
              <w:top w:val="nil"/>
              <w:left w:val="nil"/>
              <w:bottom w:val="nil"/>
              <w:right w:val="nil"/>
            </w:tcBorders>
            <w:hideMark/>
          </w:tcPr>
          <w:p w:rsidR="005E13C4" w:rsidRDefault="005E13C4" w:rsidP="00C677AF">
            <w:pPr>
              <w:pStyle w:val="NormalIndented"/>
              <w:rPr>
                <w:rFonts w:asciiTheme="minorHAnsi" w:eastAsia="Times New Roman" w:hAnsiTheme="minorHAnsi"/>
                <w:iCs/>
                <w:szCs w:val="17"/>
                <w:lang w:eastAsia="en-US"/>
              </w:rPr>
            </w:pPr>
            <w:r w:rsidRPr="00062907">
              <w:rPr>
                <w:rFonts w:asciiTheme="minorHAnsi" w:eastAsia="Times New Roman" w:hAnsiTheme="minorHAnsi"/>
                <w:b/>
                <w:iCs/>
                <w:szCs w:val="17"/>
                <w:lang w:eastAsia="en-US"/>
              </w:rPr>
              <w:t>Objective 1</w:t>
            </w:r>
          </w:p>
          <w:p w:rsidR="005E13C4" w:rsidRPr="007F3076" w:rsidRDefault="005E13C4" w:rsidP="00C677AF">
            <w:pPr>
              <w:pStyle w:val="NormalIndented"/>
              <w:rPr>
                <w:rFonts w:asciiTheme="minorHAnsi" w:hAnsiTheme="minorHAnsi"/>
                <w:color w:val="808080" w:themeColor="background1" w:themeShade="80"/>
                <w:sz w:val="18"/>
              </w:rPr>
            </w:pPr>
            <w:r w:rsidRPr="007F3076">
              <w:rPr>
                <w:rFonts w:asciiTheme="minorHAnsi" w:eastAsia="Times New Roman" w:hAnsiTheme="minorHAnsi"/>
                <w:iCs/>
                <w:szCs w:val="17"/>
                <w:lang w:eastAsia="en-US"/>
              </w:rPr>
              <w:t>More disadvantaged girls and boys complete a quality basic education</w:t>
            </w:r>
          </w:p>
        </w:tc>
        <w:tc>
          <w:tcPr>
            <w:tcW w:w="1423" w:type="pct"/>
            <w:tcBorders>
              <w:top w:val="nil"/>
              <w:left w:val="nil"/>
              <w:bottom w:val="nil"/>
            </w:tcBorders>
            <w:hideMark/>
          </w:tcPr>
          <w:p w:rsidR="005E13C4" w:rsidRDefault="005E13C4" w:rsidP="00C677AF">
            <w:pPr>
              <w:pStyle w:val="NormalIndented"/>
              <w:rPr>
                <w:color w:val="808080" w:themeColor="background1" w:themeShade="80"/>
              </w:rPr>
            </w:pPr>
          </w:p>
          <w:p w:rsidR="005E13C4" w:rsidRPr="00DA7574" w:rsidRDefault="005E13C4" w:rsidP="005E13C4">
            <w:pPr>
              <w:pStyle w:val="NormalIndented"/>
              <w:rPr>
                <w:color w:val="808080" w:themeColor="background1" w:themeShade="80"/>
              </w:rPr>
            </w:pPr>
            <w:r w:rsidRPr="005E13C4">
              <w:rPr>
                <w:rFonts w:asciiTheme="minorHAnsi" w:eastAsia="Times New Roman" w:hAnsiTheme="minorHAnsi"/>
                <w:iCs/>
                <w:szCs w:val="17"/>
                <w:lang w:eastAsia="en-US"/>
              </w:rPr>
              <w:t>Number of ethnic teachers (including per cent female) trainee scholarship holders supported with impr</w:t>
            </w:r>
            <w:r>
              <w:rPr>
                <w:rFonts w:asciiTheme="minorHAnsi" w:eastAsia="Times New Roman" w:hAnsiTheme="minorHAnsi"/>
                <w:iCs/>
                <w:szCs w:val="17"/>
                <w:lang w:eastAsia="en-US"/>
              </w:rPr>
              <w:t>o</w:t>
            </w:r>
            <w:r w:rsidRPr="005E13C4">
              <w:rPr>
                <w:rFonts w:asciiTheme="minorHAnsi" w:eastAsia="Times New Roman" w:hAnsiTheme="minorHAnsi"/>
                <w:iCs/>
                <w:szCs w:val="17"/>
                <w:lang w:eastAsia="en-US"/>
              </w:rPr>
              <w:t>ved teaching capabilities</w:t>
            </w:r>
          </w:p>
        </w:tc>
        <w:tc>
          <w:tcPr>
            <w:tcW w:w="1465" w:type="pct"/>
            <w:tcBorders>
              <w:top w:val="nil"/>
              <w:left w:val="nil"/>
              <w:bottom w:val="nil"/>
            </w:tcBorders>
          </w:tcPr>
          <w:p w:rsidR="005E13C4" w:rsidRPr="005E13C4" w:rsidRDefault="005E13C4" w:rsidP="00FA6550">
            <w:pPr>
              <w:pStyle w:val="NormalIndented"/>
              <w:ind w:left="33"/>
              <w:jc w:val="center"/>
              <w:rPr>
                <w:rFonts w:asciiTheme="minorHAnsi" w:hAnsiTheme="minorHAnsi"/>
                <w:i/>
                <w:color w:val="808080" w:themeColor="background1" w:themeShade="80"/>
                <w:szCs w:val="20"/>
                <w:lang w:eastAsia="en-US"/>
              </w:rPr>
            </w:pPr>
          </w:p>
          <w:p w:rsidR="005E13C4" w:rsidRPr="005E13C4" w:rsidRDefault="005E13C4" w:rsidP="00FA6550">
            <w:pPr>
              <w:pStyle w:val="NormalIndented"/>
              <w:ind w:left="33"/>
              <w:jc w:val="center"/>
              <w:rPr>
                <w:rFonts w:asciiTheme="minorHAnsi" w:hAnsiTheme="minorHAnsi"/>
                <w:i/>
                <w:color w:val="808080" w:themeColor="background1" w:themeShade="80"/>
                <w:szCs w:val="20"/>
                <w:lang w:eastAsia="en-US"/>
              </w:rPr>
            </w:pPr>
            <w:r w:rsidRPr="005E13C4">
              <w:rPr>
                <w:rFonts w:asciiTheme="minorHAnsi" w:hAnsiTheme="minorHAnsi"/>
                <w:i/>
                <w:color w:val="808080" w:themeColor="background1" w:themeShade="80"/>
                <w:szCs w:val="20"/>
                <w:lang w:eastAsia="en-US"/>
              </w:rPr>
              <w:t>217 ethnic student trainees graduate</w:t>
            </w:r>
          </w:p>
        </w:tc>
        <w:tc>
          <w:tcPr>
            <w:tcW w:w="1313" w:type="pct"/>
            <w:tcBorders>
              <w:top w:val="nil"/>
              <w:left w:val="nil"/>
              <w:bottom w:val="nil"/>
            </w:tcBorders>
          </w:tcPr>
          <w:p w:rsidR="005E13C4" w:rsidRPr="005E13C4" w:rsidRDefault="005E13C4" w:rsidP="00A41132">
            <w:pPr>
              <w:pStyle w:val="NormalIndented"/>
              <w:ind w:left="33"/>
              <w:jc w:val="center"/>
              <w:rPr>
                <w:rFonts w:asciiTheme="minorHAnsi" w:hAnsiTheme="minorHAnsi"/>
                <w:i/>
                <w:color w:val="808080" w:themeColor="background1" w:themeShade="80"/>
                <w:szCs w:val="20"/>
                <w:lang w:eastAsia="en-US"/>
              </w:rPr>
            </w:pPr>
          </w:p>
          <w:p w:rsidR="005E13C4" w:rsidRPr="005E13C4" w:rsidRDefault="005E13C4" w:rsidP="00A41132">
            <w:pPr>
              <w:pStyle w:val="NormalIndented"/>
              <w:ind w:left="33"/>
              <w:jc w:val="center"/>
              <w:rPr>
                <w:rFonts w:asciiTheme="minorHAnsi" w:hAnsiTheme="minorHAnsi"/>
                <w:i/>
                <w:color w:val="808080" w:themeColor="background1" w:themeShade="80"/>
                <w:szCs w:val="20"/>
                <w:lang w:eastAsia="en-US"/>
              </w:rPr>
            </w:pPr>
            <w:r w:rsidRPr="005E13C4">
              <w:rPr>
                <w:rFonts w:asciiTheme="minorHAnsi" w:hAnsiTheme="minorHAnsi"/>
                <w:i/>
                <w:color w:val="808080" w:themeColor="background1" w:themeShade="80"/>
                <w:szCs w:val="20"/>
                <w:lang w:eastAsia="en-US"/>
              </w:rPr>
              <w:t>150 ethnic student trainees graduate</w:t>
            </w:r>
          </w:p>
        </w:tc>
      </w:tr>
      <w:tr w:rsidR="005E13C4" w:rsidTr="00CD467B">
        <w:trPr>
          <w:trHeight w:val="315"/>
        </w:trPr>
        <w:tc>
          <w:tcPr>
            <w:tcW w:w="799" w:type="pct"/>
            <w:tcBorders>
              <w:top w:val="nil"/>
              <w:left w:val="nil"/>
              <w:bottom w:val="nil"/>
              <w:right w:val="nil"/>
            </w:tcBorders>
          </w:tcPr>
          <w:p w:rsidR="005E13C4" w:rsidRPr="00062907" w:rsidRDefault="005E13C4" w:rsidP="00C677AF">
            <w:pPr>
              <w:pStyle w:val="NormalIndented"/>
              <w:rPr>
                <w:rFonts w:eastAsia="Times New Roman"/>
                <w:b/>
                <w:iCs/>
                <w:szCs w:val="17"/>
              </w:rPr>
            </w:pPr>
          </w:p>
        </w:tc>
        <w:tc>
          <w:tcPr>
            <w:tcW w:w="1423" w:type="pct"/>
            <w:tcBorders>
              <w:top w:val="nil"/>
              <w:left w:val="nil"/>
              <w:bottom w:val="nil"/>
            </w:tcBorders>
          </w:tcPr>
          <w:p w:rsidR="005E13C4" w:rsidRDefault="005E13C4" w:rsidP="00C677AF">
            <w:pPr>
              <w:pStyle w:val="NormalIndented"/>
              <w:rPr>
                <w:color w:val="808080" w:themeColor="background1" w:themeShade="80"/>
              </w:rPr>
            </w:pPr>
            <w:r w:rsidRPr="005E13C4">
              <w:rPr>
                <w:rFonts w:asciiTheme="minorHAnsi" w:eastAsia="Times New Roman" w:hAnsiTheme="minorHAnsi"/>
                <w:iCs/>
                <w:szCs w:val="17"/>
                <w:lang w:eastAsia="en-US"/>
              </w:rPr>
              <w:t>New primary curriculum piloted and associated textbooks distributed to students</w:t>
            </w:r>
          </w:p>
        </w:tc>
        <w:tc>
          <w:tcPr>
            <w:tcW w:w="1465" w:type="pct"/>
            <w:tcBorders>
              <w:top w:val="nil"/>
              <w:left w:val="nil"/>
              <w:bottom w:val="nil"/>
            </w:tcBorders>
          </w:tcPr>
          <w:p w:rsidR="005E13C4" w:rsidRPr="005E13C4" w:rsidRDefault="005E13C4" w:rsidP="005E13C4">
            <w:pPr>
              <w:pStyle w:val="NormalIndented"/>
              <w:ind w:left="33"/>
              <w:jc w:val="center"/>
              <w:rPr>
                <w:rFonts w:asciiTheme="minorHAnsi" w:hAnsiTheme="minorHAnsi"/>
                <w:i/>
                <w:color w:val="808080" w:themeColor="background1" w:themeShade="80"/>
                <w:szCs w:val="20"/>
                <w:lang w:eastAsia="en-US"/>
              </w:rPr>
            </w:pPr>
            <w:r w:rsidRPr="005E13C4">
              <w:rPr>
                <w:rFonts w:asciiTheme="minorHAnsi" w:hAnsiTheme="minorHAnsi"/>
                <w:i/>
                <w:color w:val="808080" w:themeColor="background1" w:themeShade="80"/>
                <w:szCs w:val="20"/>
                <w:lang w:eastAsia="en-US"/>
              </w:rPr>
              <w:t>New Grade 1 textbooks provided to every school in Laos</w:t>
            </w:r>
          </w:p>
        </w:tc>
        <w:tc>
          <w:tcPr>
            <w:tcW w:w="1313" w:type="pct"/>
            <w:tcBorders>
              <w:top w:val="nil"/>
              <w:left w:val="nil"/>
              <w:bottom w:val="nil"/>
            </w:tcBorders>
          </w:tcPr>
          <w:p w:rsidR="005E13C4" w:rsidRPr="005E13C4" w:rsidRDefault="005E13C4" w:rsidP="00A41132">
            <w:pPr>
              <w:pStyle w:val="NormalIndented"/>
              <w:ind w:left="33"/>
              <w:jc w:val="center"/>
              <w:rPr>
                <w:rFonts w:asciiTheme="minorHAnsi" w:hAnsiTheme="minorHAnsi"/>
                <w:i/>
                <w:color w:val="808080" w:themeColor="background1" w:themeShade="80"/>
                <w:szCs w:val="20"/>
                <w:lang w:eastAsia="en-US"/>
              </w:rPr>
            </w:pPr>
            <w:r w:rsidRPr="005E13C4">
              <w:rPr>
                <w:rFonts w:asciiTheme="minorHAnsi" w:hAnsiTheme="minorHAnsi"/>
                <w:i/>
                <w:color w:val="808080" w:themeColor="background1" w:themeShade="80"/>
                <w:szCs w:val="20"/>
                <w:lang w:eastAsia="en-US"/>
              </w:rPr>
              <w:t>New Grade 2 textbooks provided to every school in Laos</w:t>
            </w:r>
          </w:p>
        </w:tc>
      </w:tr>
      <w:tr w:rsidR="005B027B" w:rsidTr="00CD467B">
        <w:trPr>
          <w:trHeight w:val="730"/>
        </w:trPr>
        <w:tc>
          <w:tcPr>
            <w:tcW w:w="799" w:type="pct"/>
            <w:tcBorders>
              <w:top w:val="nil"/>
              <w:left w:val="nil"/>
              <w:bottom w:val="nil"/>
              <w:right w:val="nil"/>
            </w:tcBorders>
          </w:tcPr>
          <w:p w:rsidR="007F3076" w:rsidRDefault="007F3076" w:rsidP="00C677AF">
            <w:pPr>
              <w:pStyle w:val="NormalIndented"/>
              <w:rPr>
                <w:rFonts w:asciiTheme="minorHAnsi" w:eastAsia="Times New Roman" w:hAnsiTheme="minorHAnsi"/>
                <w:iCs/>
                <w:szCs w:val="17"/>
                <w:lang w:eastAsia="en-US"/>
              </w:rPr>
            </w:pPr>
            <w:r w:rsidRPr="00062907">
              <w:rPr>
                <w:rFonts w:asciiTheme="minorHAnsi" w:eastAsia="Times New Roman" w:hAnsiTheme="minorHAnsi"/>
                <w:b/>
                <w:iCs/>
                <w:szCs w:val="17"/>
                <w:lang w:eastAsia="en-US"/>
              </w:rPr>
              <w:t>Objective 2</w:t>
            </w:r>
          </w:p>
          <w:p w:rsidR="005B027B" w:rsidRPr="00BE6C6D" w:rsidRDefault="00B001B5" w:rsidP="00C677AF">
            <w:pPr>
              <w:pStyle w:val="NormalIndented"/>
              <w:rPr>
                <w:rFonts w:asciiTheme="minorHAnsi" w:hAnsiTheme="minorHAnsi"/>
                <w:i/>
                <w:color w:val="808080" w:themeColor="background1" w:themeShade="80"/>
                <w:sz w:val="18"/>
              </w:rPr>
            </w:pPr>
            <w:r>
              <w:rPr>
                <w:rFonts w:asciiTheme="minorHAnsi" w:eastAsia="Times New Roman" w:hAnsiTheme="minorHAnsi"/>
                <w:iCs/>
                <w:szCs w:val="17"/>
                <w:lang w:eastAsia="en-US"/>
              </w:rPr>
              <w:t>Improving Laos’ human resources</w:t>
            </w:r>
          </w:p>
        </w:tc>
        <w:tc>
          <w:tcPr>
            <w:tcW w:w="1423" w:type="pct"/>
            <w:tcBorders>
              <w:top w:val="nil"/>
              <w:left w:val="nil"/>
              <w:bottom w:val="nil"/>
              <w:right w:val="nil"/>
            </w:tcBorders>
          </w:tcPr>
          <w:p w:rsidR="007F3076" w:rsidRDefault="007F3076" w:rsidP="00C677AF">
            <w:pPr>
              <w:pStyle w:val="NormalIndented"/>
              <w:rPr>
                <w:rFonts w:asciiTheme="minorHAnsi" w:eastAsia="Times New Roman" w:hAnsiTheme="minorHAnsi"/>
                <w:iCs/>
                <w:szCs w:val="17"/>
                <w:lang w:eastAsia="en-US"/>
              </w:rPr>
            </w:pPr>
          </w:p>
          <w:p w:rsidR="005B027B" w:rsidRPr="00BE6C6D" w:rsidRDefault="00B001B5" w:rsidP="00C677AF">
            <w:pPr>
              <w:pStyle w:val="NormalIndented"/>
              <w:rPr>
                <w:rFonts w:asciiTheme="minorHAnsi" w:hAnsiTheme="minorHAnsi"/>
                <w:i/>
                <w:color w:val="808080" w:themeColor="background1" w:themeShade="80"/>
                <w:szCs w:val="20"/>
                <w:lang w:eastAsia="en-US"/>
              </w:rPr>
            </w:pPr>
            <w:r>
              <w:rPr>
                <w:rFonts w:asciiTheme="minorHAnsi" w:eastAsia="Times New Roman" w:hAnsiTheme="minorHAnsi"/>
                <w:iCs/>
                <w:szCs w:val="17"/>
                <w:lang w:eastAsia="en-US"/>
              </w:rPr>
              <w:t>Percentage of Australia Awards alumni using their new skills to contribute to development in Laos</w:t>
            </w:r>
          </w:p>
        </w:tc>
        <w:tc>
          <w:tcPr>
            <w:tcW w:w="1465" w:type="pct"/>
            <w:tcBorders>
              <w:top w:val="nil"/>
              <w:left w:val="nil"/>
              <w:bottom w:val="nil"/>
              <w:right w:val="nil"/>
            </w:tcBorders>
            <w:hideMark/>
          </w:tcPr>
          <w:p w:rsidR="007F3076" w:rsidRDefault="007F3076" w:rsidP="00B001B5">
            <w:pPr>
              <w:pStyle w:val="NormalIndented"/>
              <w:ind w:left="33"/>
              <w:jc w:val="center"/>
              <w:rPr>
                <w:rFonts w:asciiTheme="minorHAnsi" w:hAnsiTheme="minorHAnsi"/>
                <w:i/>
                <w:color w:val="808080" w:themeColor="background1" w:themeShade="80"/>
                <w:szCs w:val="20"/>
                <w:lang w:eastAsia="en-US"/>
              </w:rPr>
            </w:pPr>
          </w:p>
          <w:p w:rsidR="005B027B" w:rsidRPr="00BE6C6D" w:rsidRDefault="00B001B5" w:rsidP="00B001B5">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90%</w:t>
            </w:r>
          </w:p>
        </w:tc>
        <w:tc>
          <w:tcPr>
            <w:tcW w:w="1313" w:type="pct"/>
            <w:tcBorders>
              <w:top w:val="nil"/>
              <w:left w:val="nil"/>
              <w:bottom w:val="nil"/>
              <w:right w:val="nil"/>
            </w:tcBorders>
            <w:hideMark/>
          </w:tcPr>
          <w:p w:rsidR="007F3076" w:rsidRDefault="007F3076" w:rsidP="00A41132">
            <w:pPr>
              <w:pStyle w:val="NormalIndented"/>
              <w:ind w:left="34"/>
              <w:jc w:val="center"/>
              <w:rPr>
                <w:rFonts w:asciiTheme="minorHAnsi" w:hAnsiTheme="minorHAnsi"/>
                <w:i/>
                <w:color w:val="808080" w:themeColor="background1" w:themeShade="80"/>
                <w:szCs w:val="20"/>
                <w:lang w:eastAsia="en-US"/>
              </w:rPr>
            </w:pPr>
          </w:p>
          <w:p w:rsidR="005B027B" w:rsidRPr="00BE6C6D" w:rsidRDefault="00B001B5" w:rsidP="00A41132">
            <w:pPr>
              <w:pStyle w:val="NormalIndented"/>
              <w:ind w:left="34"/>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90%</w:t>
            </w:r>
          </w:p>
        </w:tc>
      </w:tr>
      <w:tr w:rsidR="005B027B" w:rsidTr="00CD467B">
        <w:trPr>
          <w:trHeight w:val="455"/>
        </w:trPr>
        <w:tc>
          <w:tcPr>
            <w:tcW w:w="799" w:type="pct"/>
            <w:tcBorders>
              <w:top w:val="nil"/>
              <w:left w:val="nil"/>
              <w:bottom w:val="nil"/>
              <w:right w:val="nil"/>
            </w:tcBorders>
          </w:tcPr>
          <w:p w:rsidR="005B027B" w:rsidRPr="007F3076" w:rsidRDefault="005B027B" w:rsidP="00C677AF">
            <w:pPr>
              <w:pStyle w:val="NormalIndented"/>
              <w:rPr>
                <w:rFonts w:asciiTheme="minorHAnsi" w:hAnsiTheme="minorHAnsi"/>
                <w:color w:val="808080" w:themeColor="background1" w:themeShade="80"/>
                <w:sz w:val="18"/>
              </w:rPr>
            </w:pPr>
          </w:p>
        </w:tc>
        <w:tc>
          <w:tcPr>
            <w:tcW w:w="1423" w:type="pct"/>
            <w:tcBorders>
              <w:top w:val="nil"/>
              <w:left w:val="nil"/>
              <w:bottom w:val="nil"/>
              <w:right w:val="nil"/>
            </w:tcBorders>
          </w:tcPr>
          <w:p w:rsidR="005B027B" w:rsidRPr="00BE6C6D" w:rsidRDefault="00B001B5" w:rsidP="00C677AF">
            <w:pPr>
              <w:pStyle w:val="NormalIndented"/>
              <w:rPr>
                <w:rFonts w:asciiTheme="minorHAnsi" w:hAnsiTheme="minorHAnsi"/>
                <w:i/>
                <w:color w:val="808080" w:themeColor="background1" w:themeShade="80"/>
                <w:szCs w:val="20"/>
                <w:lang w:eastAsia="en-US"/>
              </w:rPr>
            </w:pPr>
            <w:r w:rsidRPr="00B001B5">
              <w:rPr>
                <w:rFonts w:asciiTheme="minorHAnsi" w:eastAsia="Times New Roman" w:hAnsiTheme="minorHAnsi"/>
                <w:iCs/>
                <w:szCs w:val="17"/>
                <w:lang w:eastAsia="en-US"/>
              </w:rPr>
              <w:t>Percentage of Australia Awards alumni contributing to targeted areas of cooperation between Australia and Laos</w:t>
            </w:r>
          </w:p>
        </w:tc>
        <w:tc>
          <w:tcPr>
            <w:tcW w:w="1465" w:type="pct"/>
            <w:tcBorders>
              <w:top w:val="nil"/>
              <w:left w:val="nil"/>
              <w:bottom w:val="nil"/>
              <w:right w:val="nil"/>
            </w:tcBorders>
          </w:tcPr>
          <w:p w:rsidR="005B027B" w:rsidRPr="00BE6C6D" w:rsidRDefault="00B001B5" w:rsidP="00C677AF">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15%</w:t>
            </w:r>
          </w:p>
        </w:tc>
        <w:tc>
          <w:tcPr>
            <w:tcW w:w="1313" w:type="pct"/>
            <w:tcBorders>
              <w:top w:val="nil"/>
              <w:left w:val="nil"/>
              <w:bottom w:val="nil"/>
              <w:right w:val="nil"/>
            </w:tcBorders>
          </w:tcPr>
          <w:p w:rsidR="005B027B" w:rsidRPr="00BE6C6D" w:rsidRDefault="00B001B5" w:rsidP="00A41132">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20%</w:t>
            </w:r>
          </w:p>
        </w:tc>
      </w:tr>
      <w:tr w:rsidR="00B001B5" w:rsidTr="00CD467B">
        <w:trPr>
          <w:trHeight w:val="455"/>
        </w:trPr>
        <w:tc>
          <w:tcPr>
            <w:tcW w:w="799" w:type="pct"/>
          </w:tcPr>
          <w:p w:rsidR="005D4A6C" w:rsidRDefault="007F3076" w:rsidP="007F3076">
            <w:pPr>
              <w:pStyle w:val="NormalIndented"/>
              <w:rPr>
                <w:rFonts w:asciiTheme="minorHAnsi" w:eastAsia="Times New Roman" w:hAnsiTheme="minorHAnsi"/>
                <w:b/>
                <w:iCs/>
                <w:szCs w:val="17"/>
                <w:lang w:eastAsia="en-US"/>
              </w:rPr>
            </w:pPr>
            <w:r w:rsidRPr="007F3076">
              <w:rPr>
                <w:rFonts w:asciiTheme="minorHAnsi" w:eastAsia="Times New Roman" w:hAnsiTheme="minorHAnsi"/>
                <w:b/>
                <w:iCs/>
                <w:szCs w:val="17"/>
                <w:lang w:eastAsia="en-US"/>
              </w:rPr>
              <w:t>Objective 3</w:t>
            </w:r>
          </w:p>
          <w:p w:rsidR="00B001B5" w:rsidRPr="00BE6C6D" w:rsidRDefault="005D4A6C" w:rsidP="007F3076">
            <w:pPr>
              <w:pStyle w:val="NormalIndented"/>
              <w:rPr>
                <w:rFonts w:asciiTheme="minorHAnsi" w:hAnsiTheme="minorHAnsi"/>
                <w:i/>
                <w:color w:val="808080" w:themeColor="background1" w:themeShade="80"/>
                <w:sz w:val="18"/>
              </w:rPr>
            </w:pPr>
            <w:r>
              <w:rPr>
                <w:rFonts w:asciiTheme="minorHAnsi" w:eastAsia="Times New Roman" w:hAnsiTheme="minorHAnsi"/>
                <w:iCs/>
                <w:szCs w:val="17"/>
                <w:lang w:eastAsia="en-US"/>
              </w:rPr>
              <w:t>A stronger trade regime and more competitive private sector</w:t>
            </w:r>
          </w:p>
        </w:tc>
        <w:tc>
          <w:tcPr>
            <w:tcW w:w="1423" w:type="pct"/>
          </w:tcPr>
          <w:p w:rsidR="005D4A6C" w:rsidRDefault="005D4A6C" w:rsidP="00082D1F">
            <w:pPr>
              <w:pStyle w:val="NormalIndented"/>
              <w:rPr>
                <w:rFonts w:asciiTheme="minorHAnsi" w:eastAsia="Times New Roman" w:hAnsiTheme="minorHAnsi"/>
                <w:iCs/>
                <w:szCs w:val="17"/>
                <w:lang w:eastAsia="en-US"/>
              </w:rPr>
            </w:pPr>
          </w:p>
          <w:p w:rsidR="00B001B5" w:rsidRPr="00BE6C6D" w:rsidRDefault="00B001B5" w:rsidP="005D4A6C">
            <w:pPr>
              <w:pStyle w:val="NormalIndented"/>
              <w:rPr>
                <w:rFonts w:asciiTheme="minorHAnsi" w:hAnsiTheme="minorHAnsi"/>
                <w:i/>
                <w:color w:val="808080" w:themeColor="background1" w:themeShade="80"/>
                <w:szCs w:val="20"/>
                <w:lang w:eastAsia="en-US"/>
              </w:rPr>
            </w:pPr>
          </w:p>
        </w:tc>
        <w:tc>
          <w:tcPr>
            <w:tcW w:w="1465" w:type="pct"/>
          </w:tcPr>
          <w:p w:rsidR="008B592E" w:rsidRPr="00FC2E45" w:rsidRDefault="008B592E" w:rsidP="00082D1F">
            <w:pPr>
              <w:pStyle w:val="NormalIndented"/>
              <w:ind w:left="33"/>
              <w:jc w:val="center"/>
              <w:rPr>
                <w:rFonts w:asciiTheme="minorHAnsi" w:hAnsiTheme="minorHAnsi"/>
                <w:i/>
                <w:color w:val="808080" w:themeColor="background1" w:themeShade="80"/>
                <w:szCs w:val="20"/>
                <w:highlight w:val="yellow"/>
                <w:lang w:eastAsia="en-US"/>
              </w:rPr>
            </w:pPr>
          </w:p>
          <w:p w:rsidR="00B001B5" w:rsidRPr="00FC2E45" w:rsidRDefault="00CD467B" w:rsidP="00CD467B">
            <w:pPr>
              <w:pStyle w:val="NormalIndented"/>
              <w:ind w:left="33"/>
              <w:jc w:val="center"/>
              <w:rPr>
                <w:rFonts w:asciiTheme="minorHAnsi" w:hAnsiTheme="minorHAnsi"/>
                <w:i/>
                <w:color w:val="808080" w:themeColor="background1" w:themeShade="80"/>
                <w:szCs w:val="20"/>
                <w:highlight w:val="yellow"/>
                <w:lang w:eastAsia="en-US"/>
              </w:rPr>
            </w:pPr>
            <w:r w:rsidRPr="00CD467B">
              <w:rPr>
                <w:rFonts w:asciiTheme="minorHAnsi" w:hAnsiTheme="minorHAnsi"/>
                <w:i/>
                <w:color w:val="808080" w:themeColor="background1" w:themeShade="80"/>
                <w:szCs w:val="20"/>
                <w:lang w:eastAsia="en-US"/>
              </w:rPr>
              <w:t>Recommendations from 1st and 2nd Lao Business Forum supported by TDF2 are actioned, including recommendations from women-led businesses and SMEs</w:t>
            </w:r>
          </w:p>
        </w:tc>
        <w:tc>
          <w:tcPr>
            <w:tcW w:w="1313" w:type="pct"/>
          </w:tcPr>
          <w:p w:rsidR="008B592E" w:rsidRPr="00FC2E45" w:rsidRDefault="008B592E" w:rsidP="00A41132">
            <w:pPr>
              <w:pStyle w:val="NormalIndented"/>
              <w:ind w:left="33"/>
              <w:jc w:val="center"/>
              <w:rPr>
                <w:rFonts w:asciiTheme="minorHAnsi" w:hAnsiTheme="minorHAnsi"/>
                <w:i/>
                <w:color w:val="808080" w:themeColor="background1" w:themeShade="80"/>
                <w:szCs w:val="20"/>
                <w:highlight w:val="yellow"/>
                <w:lang w:eastAsia="en-US"/>
              </w:rPr>
            </w:pPr>
          </w:p>
          <w:p w:rsidR="00B001B5" w:rsidRPr="00FC2E45" w:rsidRDefault="008B592E" w:rsidP="00A41132">
            <w:pPr>
              <w:pStyle w:val="NormalIndented"/>
              <w:ind w:left="33"/>
              <w:jc w:val="center"/>
              <w:rPr>
                <w:rFonts w:asciiTheme="minorHAnsi" w:hAnsiTheme="minorHAnsi"/>
                <w:i/>
                <w:color w:val="808080" w:themeColor="background1" w:themeShade="80"/>
                <w:szCs w:val="20"/>
                <w:highlight w:val="yellow"/>
                <w:lang w:eastAsia="en-US"/>
              </w:rPr>
            </w:pPr>
            <w:r w:rsidRPr="00CD467B">
              <w:rPr>
                <w:rFonts w:asciiTheme="minorHAnsi" w:hAnsiTheme="minorHAnsi"/>
                <w:i/>
                <w:color w:val="808080" w:themeColor="background1" w:themeShade="80"/>
                <w:szCs w:val="20"/>
                <w:lang w:eastAsia="en-US"/>
              </w:rPr>
              <w:t>tba</w:t>
            </w:r>
          </w:p>
        </w:tc>
      </w:tr>
    </w:tbl>
    <w:p w:rsidR="00AF1B85" w:rsidRPr="00A8197B" w:rsidRDefault="00184F1E" w:rsidP="00BE1BEB">
      <w:pPr>
        <w:pStyle w:val="Subtitle"/>
        <w:numPr>
          <w:ilvl w:val="0"/>
          <w:numId w:val="0"/>
        </w:numPr>
      </w:pPr>
      <w:r>
        <w:br w:type="page"/>
      </w:r>
      <w:r w:rsidR="00AF1B85" w:rsidRPr="00A8197B">
        <w:lastRenderedPageBreak/>
        <w:t xml:space="preserve">Annex </w:t>
      </w:r>
      <w:r>
        <w:t>C</w:t>
      </w:r>
      <w:r w:rsidR="00AF1B85" w:rsidRPr="00A8197B">
        <w:t xml:space="preserve"> - Evaluation Planning</w:t>
      </w:r>
    </w:p>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p>
        </w:tc>
        <w:tc>
          <w:tcPr>
            <w:tcW w:w="36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AF1B85" w:rsidRPr="00812509" w:rsidRDefault="00AF1B85" w:rsidP="00F036E7">
            <w:pPr>
              <w:keepLines/>
              <w:spacing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AF1B85" w:rsidRPr="00812509" w:rsidRDefault="00AF1B85" w:rsidP="00061D1B">
            <w:pPr>
              <w:keepLines/>
              <w:spacing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514791"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INL332 Basic Education Quality &amp; Access in Laos (BEQUAL)</w:t>
            </w:r>
          </w:p>
        </w:tc>
        <w:tc>
          <w:tcPr>
            <w:tcW w:w="3665" w:type="dxa"/>
          </w:tcPr>
          <w:p w:rsidR="00AF1B85" w:rsidRPr="00812509" w:rsidRDefault="00514791" w:rsidP="0051479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Mid-term review</w:t>
            </w:r>
          </w:p>
        </w:tc>
        <w:tc>
          <w:tcPr>
            <w:tcW w:w="1397" w:type="dxa"/>
          </w:tcPr>
          <w:p w:rsidR="00AF1B85" w:rsidRPr="00812509" w:rsidRDefault="008D6F79" w:rsidP="00F036E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w:t>
            </w:r>
            <w:r w:rsidR="00F036E7">
              <w:rPr>
                <w:rFonts w:asciiTheme="minorHAnsi" w:eastAsia="Times New Roman" w:hAnsiTheme="minorHAnsi"/>
                <w:b w:val="0"/>
                <w:iCs/>
                <w:szCs w:val="17"/>
                <w:lang w:eastAsia="en-US"/>
              </w:rPr>
              <w:t xml:space="preserve"> 17</w:t>
            </w:r>
          </w:p>
        </w:tc>
        <w:tc>
          <w:tcPr>
            <w:tcW w:w="1953" w:type="dxa"/>
          </w:tcPr>
          <w:p w:rsidR="00AF1B85" w:rsidRPr="008932BE" w:rsidRDefault="00061D1B" w:rsidP="00061D1B">
            <w:pPr>
              <w:keepLines/>
              <w:spacing w:before="40" w:after="40" w:line="200" w:lineRule="atLeast"/>
              <w:jc w:val="center"/>
              <w:rPr>
                <w:rFonts w:asciiTheme="minorHAnsi" w:eastAsia="Times New Roman" w:hAnsiTheme="minorHAnsi"/>
                <w:b w:val="0"/>
                <w:iCs/>
                <w:szCs w:val="17"/>
                <w:lang w:eastAsia="en-US"/>
              </w:rPr>
            </w:pPr>
            <w:r w:rsidRPr="008932BE">
              <w:rPr>
                <w:rFonts w:asciiTheme="minorHAnsi" w:eastAsia="Times New Roman" w:hAnsiTheme="minorHAnsi"/>
                <w:b w:val="0"/>
                <w:iCs/>
                <w:szCs w:val="17"/>
                <w:lang w:eastAsia="en-US"/>
              </w:rPr>
              <w:t>Aug 18</w:t>
            </w:r>
          </w:p>
        </w:tc>
        <w:tc>
          <w:tcPr>
            <w:tcW w:w="1671" w:type="dxa"/>
          </w:tcPr>
          <w:p w:rsidR="00AF1B85" w:rsidRPr="008932BE" w:rsidRDefault="00061D1B" w:rsidP="00061D1B">
            <w:pPr>
              <w:keepLines/>
              <w:spacing w:before="40" w:after="40" w:line="200" w:lineRule="atLeast"/>
              <w:jc w:val="center"/>
              <w:rPr>
                <w:rFonts w:asciiTheme="minorHAnsi" w:eastAsia="Times New Roman" w:hAnsiTheme="minorHAnsi"/>
                <w:b w:val="0"/>
                <w:iCs/>
                <w:szCs w:val="17"/>
                <w:lang w:eastAsia="en-US"/>
              </w:rPr>
            </w:pPr>
            <w:r w:rsidRPr="008932BE">
              <w:rPr>
                <w:rFonts w:asciiTheme="minorHAnsi" w:eastAsia="Times New Roman" w:hAnsiTheme="minorHAnsi"/>
                <w:b w:val="0"/>
                <w:iCs/>
                <w:szCs w:val="17"/>
                <w:lang w:eastAsia="en-US"/>
              </w:rPr>
              <w:t>Aug 18</w:t>
            </w:r>
          </w:p>
        </w:tc>
        <w:tc>
          <w:tcPr>
            <w:tcW w:w="2365" w:type="dxa"/>
          </w:tcPr>
          <w:p w:rsidR="00AF1B85" w:rsidRPr="008932BE" w:rsidRDefault="00061D1B" w:rsidP="00061D1B">
            <w:pPr>
              <w:keepLines/>
              <w:spacing w:before="40" w:after="40" w:line="200" w:lineRule="atLeast"/>
              <w:jc w:val="center"/>
              <w:rPr>
                <w:rFonts w:asciiTheme="minorHAnsi" w:eastAsia="Times New Roman" w:hAnsiTheme="minorHAnsi"/>
                <w:b w:val="0"/>
                <w:iCs/>
                <w:szCs w:val="17"/>
                <w:lang w:eastAsia="en-US"/>
              </w:rPr>
            </w:pPr>
            <w:r w:rsidRPr="008932BE">
              <w:rPr>
                <w:rFonts w:asciiTheme="minorHAnsi" w:eastAsia="Times New Roman" w:hAnsiTheme="minorHAnsi"/>
                <w:b w:val="0"/>
                <w:iCs/>
                <w:szCs w:val="17"/>
                <w:lang w:eastAsia="en-US"/>
              </w:rPr>
              <w:t>est. Sept 18</w:t>
            </w:r>
          </w:p>
        </w:tc>
      </w:tr>
      <w:tr w:rsidR="008B02B0"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8B02B0" w:rsidRDefault="008B02B0" w:rsidP="008E37DB">
            <w:pPr>
              <w:keepLines/>
              <w:spacing w:before="40" w:after="40" w:line="200" w:lineRule="atLeast"/>
              <w:rPr>
                <w:rFonts w:eastAsia="Times New Roman"/>
                <w:b w:val="0"/>
                <w:iCs/>
                <w:szCs w:val="17"/>
              </w:rPr>
            </w:pPr>
            <w:r w:rsidRPr="008B02B0">
              <w:rPr>
                <w:rFonts w:asciiTheme="minorHAnsi" w:eastAsia="Times New Roman" w:hAnsiTheme="minorHAnsi"/>
                <w:b w:val="0"/>
                <w:iCs/>
                <w:szCs w:val="17"/>
                <w:lang w:eastAsia="en-US"/>
              </w:rPr>
              <w:t>INL846 Laos</w:t>
            </w:r>
            <w:r w:rsidR="008E37DB">
              <w:rPr>
                <w:rFonts w:asciiTheme="minorHAnsi" w:eastAsia="Times New Roman" w:hAnsiTheme="minorHAnsi"/>
                <w:b w:val="0"/>
                <w:iCs/>
                <w:szCs w:val="17"/>
                <w:lang w:eastAsia="en-US"/>
              </w:rPr>
              <w:t xml:space="preserve"> </w:t>
            </w:r>
            <w:r w:rsidRPr="008B02B0">
              <w:rPr>
                <w:rFonts w:asciiTheme="minorHAnsi" w:eastAsia="Times New Roman" w:hAnsiTheme="minorHAnsi"/>
                <w:b w:val="0"/>
                <w:iCs/>
                <w:szCs w:val="17"/>
                <w:lang w:eastAsia="en-US"/>
              </w:rPr>
              <w:t>Australia Learning Development Facility (LADLF)</w:t>
            </w:r>
          </w:p>
        </w:tc>
        <w:tc>
          <w:tcPr>
            <w:tcW w:w="3665" w:type="dxa"/>
          </w:tcPr>
          <w:p w:rsidR="008B02B0" w:rsidRPr="008B02B0" w:rsidRDefault="008B02B0" w:rsidP="00514791">
            <w:pPr>
              <w:keepLines/>
              <w:spacing w:before="40" w:after="40" w:line="200" w:lineRule="atLeast"/>
              <w:rPr>
                <w:rFonts w:asciiTheme="minorHAnsi" w:eastAsia="Times New Roman" w:hAnsiTheme="minorHAnsi"/>
                <w:b w:val="0"/>
                <w:iCs/>
                <w:szCs w:val="17"/>
                <w:lang w:eastAsia="en-US"/>
              </w:rPr>
            </w:pPr>
            <w:r w:rsidRPr="008B02B0">
              <w:rPr>
                <w:rFonts w:asciiTheme="minorHAnsi" w:eastAsia="Times New Roman" w:hAnsiTheme="minorHAnsi"/>
                <w:b w:val="0"/>
                <w:iCs/>
                <w:szCs w:val="17"/>
                <w:lang w:eastAsia="en-US"/>
              </w:rPr>
              <w:t>A Synthesis of Australian Aid Investment in Gender Equality and Disability Inclusion in Lao PDR</w:t>
            </w:r>
          </w:p>
        </w:tc>
        <w:tc>
          <w:tcPr>
            <w:tcW w:w="1397" w:type="dxa"/>
          </w:tcPr>
          <w:p w:rsidR="008B02B0" w:rsidRPr="00812509" w:rsidRDefault="008D6F79" w:rsidP="00F036E7">
            <w:pPr>
              <w:keepLines/>
              <w:spacing w:before="40" w:after="40" w:line="200" w:lineRule="atLeast"/>
              <w:jc w:val="center"/>
              <w:rPr>
                <w:rFonts w:eastAsia="Times New Roman"/>
                <w:b w:val="0"/>
                <w:iCs/>
                <w:szCs w:val="17"/>
              </w:rPr>
            </w:pPr>
            <w:r>
              <w:rPr>
                <w:rFonts w:asciiTheme="minorHAnsi" w:eastAsia="Times New Roman" w:hAnsiTheme="minorHAnsi"/>
                <w:b w:val="0"/>
                <w:iCs/>
                <w:szCs w:val="17"/>
                <w:lang w:eastAsia="en-US"/>
              </w:rPr>
              <w:t>Mar</w:t>
            </w:r>
            <w:r w:rsidR="008B02B0" w:rsidRPr="008B02B0">
              <w:rPr>
                <w:rFonts w:asciiTheme="minorHAnsi" w:eastAsia="Times New Roman" w:hAnsiTheme="minorHAnsi"/>
                <w:b w:val="0"/>
                <w:iCs/>
                <w:szCs w:val="17"/>
                <w:lang w:eastAsia="en-US"/>
              </w:rPr>
              <w:t xml:space="preserve"> 18</w:t>
            </w:r>
          </w:p>
        </w:tc>
        <w:tc>
          <w:tcPr>
            <w:tcW w:w="1953" w:type="dxa"/>
          </w:tcPr>
          <w:p w:rsidR="008B02B0" w:rsidRPr="008932BE" w:rsidRDefault="008932BE" w:rsidP="00061D1B">
            <w:pPr>
              <w:keepLines/>
              <w:spacing w:before="40" w:after="40" w:line="200" w:lineRule="atLeast"/>
              <w:jc w:val="center"/>
              <w:rPr>
                <w:rFonts w:asciiTheme="minorHAnsi" w:eastAsia="Times New Roman" w:hAnsiTheme="minorHAnsi"/>
                <w:b w:val="0"/>
                <w:iCs/>
                <w:szCs w:val="17"/>
              </w:rPr>
            </w:pPr>
            <w:r w:rsidRPr="008932BE">
              <w:rPr>
                <w:rFonts w:asciiTheme="minorHAnsi" w:eastAsia="Times New Roman" w:hAnsiTheme="minorHAnsi"/>
                <w:b w:val="0"/>
                <w:iCs/>
                <w:szCs w:val="17"/>
              </w:rPr>
              <w:t>n/a</w:t>
            </w:r>
          </w:p>
        </w:tc>
        <w:tc>
          <w:tcPr>
            <w:tcW w:w="1671" w:type="dxa"/>
          </w:tcPr>
          <w:p w:rsidR="008B02B0" w:rsidRPr="008932BE" w:rsidRDefault="008932BE" w:rsidP="00061D1B">
            <w:pPr>
              <w:keepLines/>
              <w:spacing w:before="40" w:after="40" w:line="200" w:lineRule="atLeast"/>
              <w:jc w:val="center"/>
              <w:rPr>
                <w:rFonts w:asciiTheme="minorHAnsi" w:eastAsia="Times New Roman" w:hAnsiTheme="minorHAnsi"/>
                <w:b w:val="0"/>
                <w:iCs/>
                <w:szCs w:val="17"/>
              </w:rPr>
            </w:pPr>
            <w:r w:rsidRPr="008932BE">
              <w:rPr>
                <w:rFonts w:asciiTheme="minorHAnsi" w:eastAsia="Times New Roman" w:hAnsiTheme="minorHAnsi"/>
                <w:b w:val="0"/>
                <w:iCs/>
                <w:szCs w:val="17"/>
              </w:rPr>
              <w:t>n/a</w:t>
            </w:r>
          </w:p>
        </w:tc>
        <w:tc>
          <w:tcPr>
            <w:tcW w:w="2365" w:type="dxa"/>
          </w:tcPr>
          <w:p w:rsidR="008B02B0" w:rsidRPr="008932BE" w:rsidRDefault="001E09DA" w:rsidP="00061D1B">
            <w:pPr>
              <w:keepLines/>
              <w:spacing w:before="40" w:after="40" w:line="200" w:lineRule="atLeast"/>
              <w:jc w:val="center"/>
              <w:rPr>
                <w:rFonts w:asciiTheme="minorHAnsi" w:eastAsia="Times New Roman" w:hAnsiTheme="minorHAnsi"/>
                <w:b w:val="0"/>
                <w:iCs/>
                <w:szCs w:val="17"/>
              </w:rPr>
            </w:pPr>
            <w:r>
              <w:rPr>
                <w:rFonts w:asciiTheme="minorHAnsi" w:eastAsia="Times New Roman" w:hAnsiTheme="minorHAnsi"/>
                <w:b w:val="0"/>
                <w:iCs/>
                <w:szCs w:val="17"/>
              </w:rPr>
              <w:t>Published on LADFL website</w:t>
            </w:r>
          </w:p>
        </w:tc>
      </w:tr>
      <w:tr w:rsidR="00B706D2"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B706D2" w:rsidRPr="00B706D2" w:rsidRDefault="00B706D2" w:rsidP="008E37DB">
            <w:pPr>
              <w:keepLines/>
              <w:spacing w:before="40" w:after="40" w:line="200" w:lineRule="atLeast"/>
              <w:rPr>
                <w:rFonts w:asciiTheme="minorHAnsi" w:eastAsia="Times New Roman" w:hAnsiTheme="minorHAnsi"/>
                <w:b w:val="0"/>
                <w:iCs/>
                <w:szCs w:val="17"/>
                <w:lang w:eastAsia="en-US"/>
              </w:rPr>
            </w:pPr>
            <w:r w:rsidRPr="00B706D2">
              <w:rPr>
                <w:rFonts w:asciiTheme="minorHAnsi" w:eastAsia="Times New Roman" w:hAnsiTheme="minorHAnsi"/>
                <w:b w:val="0"/>
                <w:iCs/>
                <w:szCs w:val="17"/>
                <w:lang w:eastAsia="en-US"/>
              </w:rPr>
              <w:t>INH726 Trade Development Facility</w:t>
            </w:r>
          </w:p>
        </w:tc>
        <w:tc>
          <w:tcPr>
            <w:tcW w:w="3665" w:type="dxa"/>
          </w:tcPr>
          <w:p w:rsidR="00B706D2" w:rsidRPr="00B706D2" w:rsidRDefault="00B706D2" w:rsidP="004C309C">
            <w:pPr>
              <w:keepLines/>
              <w:spacing w:before="40" w:after="40" w:line="200" w:lineRule="atLeast"/>
              <w:rPr>
                <w:rFonts w:asciiTheme="minorHAnsi" w:eastAsia="Times New Roman" w:hAnsiTheme="minorHAnsi"/>
                <w:b w:val="0"/>
                <w:iCs/>
                <w:szCs w:val="17"/>
                <w:lang w:eastAsia="en-US"/>
              </w:rPr>
            </w:pPr>
            <w:r w:rsidRPr="00B706D2">
              <w:rPr>
                <w:rFonts w:asciiTheme="minorHAnsi" w:eastAsia="Times New Roman" w:hAnsiTheme="minorHAnsi"/>
                <w:b w:val="0"/>
                <w:iCs/>
                <w:szCs w:val="17"/>
                <w:lang w:eastAsia="en-US"/>
              </w:rPr>
              <w:t xml:space="preserve">Report on the Lao Business </w:t>
            </w:r>
            <w:r w:rsidR="004C309C" w:rsidRPr="00B706D2">
              <w:rPr>
                <w:rFonts w:asciiTheme="minorHAnsi" w:eastAsia="Times New Roman" w:hAnsiTheme="minorHAnsi"/>
                <w:b w:val="0"/>
                <w:iCs/>
                <w:szCs w:val="17"/>
                <w:lang w:eastAsia="en-US"/>
              </w:rPr>
              <w:t>F</w:t>
            </w:r>
            <w:r w:rsidR="004C309C">
              <w:rPr>
                <w:rFonts w:asciiTheme="minorHAnsi" w:eastAsia="Times New Roman" w:hAnsiTheme="minorHAnsi"/>
                <w:b w:val="0"/>
                <w:iCs/>
                <w:szCs w:val="17"/>
                <w:lang w:eastAsia="en-US"/>
              </w:rPr>
              <w:t xml:space="preserve">orum </w:t>
            </w:r>
            <w:r>
              <w:rPr>
                <w:rFonts w:asciiTheme="minorHAnsi" w:eastAsia="Times New Roman" w:hAnsiTheme="minorHAnsi"/>
                <w:b w:val="0"/>
                <w:iCs/>
                <w:szCs w:val="17"/>
                <w:lang w:eastAsia="en-US"/>
              </w:rPr>
              <w:t>strategy and inclusiveness</w:t>
            </w:r>
          </w:p>
        </w:tc>
        <w:tc>
          <w:tcPr>
            <w:tcW w:w="1397" w:type="dxa"/>
          </w:tcPr>
          <w:p w:rsidR="00B706D2" w:rsidRPr="00B706D2" w:rsidRDefault="00B706D2" w:rsidP="00F036E7">
            <w:pPr>
              <w:keepLines/>
              <w:spacing w:before="40" w:after="40" w:line="200" w:lineRule="atLeast"/>
              <w:jc w:val="center"/>
              <w:rPr>
                <w:rFonts w:asciiTheme="minorHAnsi" w:eastAsia="Times New Roman" w:hAnsiTheme="minorHAnsi"/>
                <w:b w:val="0"/>
                <w:iCs/>
                <w:szCs w:val="17"/>
                <w:lang w:eastAsia="en-US"/>
              </w:rPr>
            </w:pPr>
            <w:r w:rsidRPr="00B706D2">
              <w:rPr>
                <w:rFonts w:asciiTheme="minorHAnsi" w:eastAsia="Times New Roman" w:hAnsiTheme="minorHAnsi"/>
                <w:b w:val="0"/>
                <w:iCs/>
                <w:szCs w:val="17"/>
                <w:lang w:eastAsia="en-US"/>
              </w:rPr>
              <w:t>Dec 17</w:t>
            </w:r>
          </w:p>
        </w:tc>
        <w:tc>
          <w:tcPr>
            <w:tcW w:w="1953" w:type="dxa"/>
          </w:tcPr>
          <w:p w:rsidR="00B706D2" w:rsidRPr="008932BE" w:rsidRDefault="00B706D2" w:rsidP="00061D1B">
            <w:pPr>
              <w:keepLines/>
              <w:spacing w:before="40" w:after="40" w:line="200" w:lineRule="atLeast"/>
              <w:jc w:val="center"/>
              <w:rPr>
                <w:rFonts w:asciiTheme="minorHAnsi" w:eastAsia="Times New Roman" w:hAnsiTheme="minorHAnsi"/>
                <w:b w:val="0"/>
                <w:iCs/>
                <w:szCs w:val="17"/>
                <w:lang w:eastAsia="en-US"/>
              </w:rPr>
            </w:pPr>
            <w:r w:rsidRPr="008932BE">
              <w:rPr>
                <w:rFonts w:asciiTheme="minorHAnsi" w:eastAsia="Times New Roman" w:hAnsiTheme="minorHAnsi"/>
                <w:b w:val="0"/>
                <w:iCs/>
                <w:szCs w:val="17"/>
                <w:lang w:eastAsia="en-US"/>
              </w:rPr>
              <w:t>Apr 18</w:t>
            </w:r>
          </w:p>
        </w:tc>
        <w:tc>
          <w:tcPr>
            <w:tcW w:w="1671" w:type="dxa"/>
          </w:tcPr>
          <w:p w:rsidR="00B706D2" w:rsidRPr="008932BE" w:rsidRDefault="008932BE" w:rsidP="00061D1B">
            <w:pPr>
              <w:keepLines/>
              <w:spacing w:before="40" w:after="40" w:line="200" w:lineRule="atLeast"/>
              <w:jc w:val="center"/>
              <w:rPr>
                <w:rFonts w:asciiTheme="minorHAnsi" w:eastAsia="Times New Roman" w:hAnsiTheme="minorHAnsi"/>
                <w:b w:val="0"/>
                <w:iCs/>
                <w:szCs w:val="17"/>
                <w:lang w:eastAsia="en-US"/>
              </w:rPr>
            </w:pPr>
            <w:r w:rsidRPr="008932BE">
              <w:rPr>
                <w:rFonts w:asciiTheme="minorHAnsi" w:eastAsia="Times New Roman" w:hAnsiTheme="minorHAnsi"/>
                <w:b w:val="0"/>
                <w:iCs/>
                <w:szCs w:val="17"/>
                <w:lang w:eastAsia="en-US"/>
              </w:rPr>
              <w:t>n/a</w:t>
            </w:r>
          </w:p>
        </w:tc>
        <w:tc>
          <w:tcPr>
            <w:tcW w:w="2365" w:type="dxa"/>
          </w:tcPr>
          <w:p w:rsidR="00B706D2" w:rsidRPr="008932BE" w:rsidRDefault="008932BE" w:rsidP="00061D1B">
            <w:pPr>
              <w:keepLines/>
              <w:spacing w:before="40" w:after="40" w:line="200" w:lineRule="atLeast"/>
              <w:jc w:val="center"/>
              <w:rPr>
                <w:rFonts w:asciiTheme="minorHAnsi" w:eastAsia="Times New Roman" w:hAnsiTheme="minorHAnsi"/>
                <w:b w:val="0"/>
                <w:iCs/>
                <w:szCs w:val="17"/>
                <w:lang w:eastAsia="en-US"/>
              </w:rPr>
            </w:pPr>
            <w:r w:rsidRPr="008932BE">
              <w:rPr>
                <w:rFonts w:asciiTheme="minorHAnsi" w:eastAsia="Times New Roman" w:hAnsiTheme="minorHAnsi"/>
                <w:b w:val="0"/>
                <w:iCs/>
                <w:szCs w:val="17"/>
                <w:lang w:eastAsia="en-US"/>
              </w:rPr>
              <w:t>n/a</w:t>
            </w:r>
          </w:p>
        </w:tc>
      </w:tr>
      <w:tr w:rsidR="00CD717B"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CD717B" w:rsidRPr="00CD717B" w:rsidRDefault="00CD717B" w:rsidP="00CD717B">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INK391 Laos Australia Rural Livelihoods Program</w:t>
            </w:r>
          </w:p>
        </w:tc>
        <w:tc>
          <w:tcPr>
            <w:tcW w:w="3665" w:type="dxa"/>
          </w:tcPr>
          <w:p w:rsidR="00CD717B" w:rsidRPr="00CD717B" w:rsidRDefault="00CD717B" w:rsidP="00514791">
            <w:pPr>
              <w:keepLines/>
              <w:spacing w:before="40" w:after="40" w:line="200" w:lineRule="atLeast"/>
              <w:rPr>
                <w:rFonts w:asciiTheme="minorHAnsi" w:eastAsia="Times New Roman" w:hAnsiTheme="minorHAnsi"/>
                <w:b w:val="0"/>
                <w:iCs/>
                <w:szCs w:val="17"/>
                <w:lang w:eastAsia="en-US"/>
              </w:rPr>
            </w:pPr>
            <w:r w:rsidRPr="00CD717B">
              <w:rPr>
                <w:rFonts w:asciiTheme="minorHAnsi" w:eastAsia="Times New Roman" w:hAnsiTheme="minorHAnsi"/>
                <w:b w:val="0"/>
                <w:iCs/>
                <w:szCs w:val="17"/>
                <w:lang w:eastAsia="en-US"/>
              </w:rPr>
              <w:t>Resilient Livelihoods for the Poor (RLP) Endline Survey</w:t>
            </w:r>
          </w:p>
        </w:tc>
        <w:tc>
          <w:tcPr>
            <w:tcW w:w="1397" w:type="dxa"/>
          </w:tcPr>
          <w:p w:rsidR="00CD717B" w:rsidRPr="00CD717B" w:rsidRDefault="00CD717B" w:rsidP="00F036E7">
            <w:pPr>
              <w:keepLines/>
              <w:spacing w:before="40" w:after="40" w:line="200" w:lineRule="atLeast"/>
              <w:jc w:val="center"/>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 17</w:t>
            </w:r>
          </w:p>
        </w:tc>
        <w:tc>
          <w:tcPr>
            <w:tcW w:w="1953" w:type="dxa"/>
          </w:tcPr>
          <w:p w:rsidR="00CD717B" w:rsidRPr="008932BE" w:rsidRDefault="00CD717B" w:rsidP="00061D1B">
            <w:pPr>
              <w:keepLines/>
              <w:spacing w:before="40" w:after="40" w:line="200" w:lineRule="atLeast"/>
              <w:jc w:val="center"/>
              <w:rPr>
                <w:rFonts w:asciiTheme="minorHAnsi" w:eastAsia="Times New Roman" w:hAnsiTheme="minorHAnsi"/>
                <w:b w:val="0"/>
                <w:iCs/>
                <w:szCs w:val="17"/>
                <w:lang w:eastAsia="en-US"/>
              </w:rPr>
            </w:pPr>
            <w:r w:rsidRPr="008932BE">
              <w:rPr>
                <w:rFonts w:asciiTheme="minorHAnsi" w:eastAsia="Times New Roman" w:hAnsiTheme="minorHAnsi"/>
                <w:b w:val="0"/>
                <w:iCs/>
                <w:szCs w:val="17"/>
                <w:lang w:eastAsia="en-US"/>
              </w:rPr>
              <w:t>Mar</w:t>
            </w:r>
            <w:r w:rsidR="00F036E7" w:rsidRPr="008932BE">
              <w:rPr>
                <w:rFonts w:asciiTheme="minorHAnsi" w:eastAsia="Times New Roman" w:hAnsiTheme="minorHAnsi"/>
                <w:b w:val="0"/>
                <w:iCs/>
                <w:szCs w:val="17"/>
                <w:lang w:eastAsia="en-US"/>
              </w:rPr>
              <w:t xml:space="preserve"> </w:t>
            </w:r>
            <w:r w:rsidRPr="008932BE">
              <w:rPr>
                <w:rFonts w:asciiTheme="minorHAnsi" w:eastAsia="Times New Roman" w:hAnsiTheme="minorHAnsi"/>
                <w:b w:val="0"/>
                <w:iCs/>
                <w:szCs w:val="17"/>
                <w:lang w:eastAsia="en-US"/>
              </w:rPr>
              <w:t>18</w:t>
            </w:r>
          </w:p>
        </w:tc>
        <w:tc>
          <w:tcPr>
            <w:tcW w:w="1671" w:type="dxa"/>
          </w:tcPr>
          <w:p w:rsidR="00CD717B" w:rsidRPr="008932BE" w:rsidRDefault="008932BE" w:rsidP="00061D1B">
            <w:pPr>
              <w:keepLines/>
              <w:spacing w:before="40" w:after="40" w:line="200" w:lineRule="atLeast"/>
              <w:jc w:val="center"/>
              <w:rPr>
                <w:rFonts w:asciiTheme="minorHAnsi" w:eastAsia="Times New Roman" w:hAnsiTheme="minorHAnsi"/>
                <w:b w:val="0"/>
                <w:iCs/>
                <w:szCs w:val="17"/>
                <w:lang w:eastAsia="en-US"/>
              </w:rPr>
            </w:pPr>
            <w:r w:rsidRPr="008932BE">
              <w:rPr>
                <w:rFonts w:asciiTheme="minorHAnsi" w:eastAsia="Times New Roman" w:hAnsiTheme="minorHAnsi"/>
                <w:b w:val="0"/>
                <w:iCs/>
                <w:szCs w:val="17"/>
                <w:lang w:eastAsia="en-US"/>
              </w:rPr>
              <w:t>n/a</w:t>
            </w:r>
          </w:p>
        </w:tc>
        <w:tc>
          <w:tcPr>
            <w:tcW w:w="2365" w:type="dxa"/>
          </w:tcPr>
          <w:p w:rsidR="00CD717B" w:rsidRPr="008932BE" w:rsidRDefault="001E09DA" w:rsidP="00061D1B">
            <w:pPr>
              <w:keepLines/>
              <w:spacing w:before="40" w:after="40" w:line="200" w:lineRule="atLeast"/>
              <w:jc w:val="center"/>
              <w:rPr>
                <w:rFonts w:asciiTheme="minorHAnsi" w:eastAsia="Times New Roman" w:hAnsiTheme="minorHAnsi"/>
                <w:b w:val="0"/>
                <w:iCs/>
                <w:szCs w:val="17"/>
                <w:lang w:eastAsia="en-US"/>
              </w:rPr>
            </w:pPr>
            <w:r w:rsidRPr="001E09DA">
              <w:rPr>
                <w:rFonts w:asciiTheme="minorHAnsi" w:eastAsia="Times New Roman" w:hAnsiTheme="minorHAnsi"/>
                <w:b w:val="0"/>
                <w:iCs/>
                <w:szCs w:val="17"/>
                <w:lang w:eastAsia="en-US"/>
              </w:rPr>
              <w:t>Published on LADFL website</w:t>
            </w:r>
          </w:p>
        </w:tc>
      </w:tr>
    </w:tbl>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rsidTr="005E606B">
        <w:tc>
          <w:tcPr>
            <w:tcW w:w="2444"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rsidTr="005E606B">
        <w:tc>
          <w:tcPr>
            <w:tcW w:w="2444" w:type="dxa"/>
          </w:tcPr>
          <w:p w:rsidR="00AF1B85" w:rsidRPr="00812509" w:rsidRDefault="00A92F66" w:rsidP="00A92F6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Impact assessment of HRD activities</w:t>
            </w:r>
            <w:r w:rsidR="00AF1B85" w:rsidRPr="00812509">
              <w:rPr>
                <w:rFonts w:asciiTheme="minorHAnsi" w:eastAsia="Times New Roman" w:hAnsiTheme="minorHAnsi"/>
                <w:iCs/>
                <w:szCs w:val="17"/>
                <w:lang w:eastAsia="en-US"/>
              </w:rPr>
              <w:t xml:space="preserve"> </w:t>
            </w:r>
          </w:p>
        </w:tc>
        <w:tc>
          <w:tcPr>
            <w:tcW w:w="2356" w:type="dxa"/>
          </w:tcPr>
          <w:p w:rsidR="00AF1B85" w:rsidRPr="00812509" w:rsidRDefault="00A92F66" w:rsidP="00A92F6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INK562 </w:t>
            </w:r>
            <w:r w:rsidRPr="00A92F66">
              <w:rPr>
                <w:rFonts w:asciiTheme="minorHAnsi" w:eastAsia="Times New Roman" w:hAnsiTheme="minorHAnsi"/>
                <w:iCs/>
                <w:szCs w:val="17"/>
                <w:lang w:eastAsia="en-US"/>
              </w:rPr>
              <w:t xml:space="preserve">Laos Australia Institute </w:t>
            </w:r>
          </w:p>
        </w:tc>
        <w:tc>
          <w:tcPr>
            <w:tcW w:w="2042" w:type="dxa"/>
          </w:tcPr>
          <w:p w:rsidR="00AF1B85" w:rsidRPr="00812509" w:rsidRDefault="0029020C" w:rsidP="0029020C">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2018</w:t>
            </w:r>
          </w:p>
        </w:tc>
        <w:tc>
          <w:tcPr>
            <w:tcW w:w="2208" w:type="dxa"/>
          </w:tcPr>
          <w:p w:rsidR="00AF1B85" w:rsidRPr="00812509" w:rsidRDefault="00A92F66" w:rsidP="00061D1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Sep</w:t>
            </w:r>
            <w:r w:rsidR="00061D1B">
              <w:rPr>
                <w:rFonts w:asciiTheme="minorHAnsi" w:eastAsia="Times New Roman" w:hAnsiTheme="minorHAnsi"/>
                <w:iCs/>
                <w:szCs w:val="17"/>
                <w:lang w:eastAsia="en-US"/>
              </w:rPr>
              <w:t>t</w:t>
            </w:r>
            <w:r>
              <w:rPr>
                <w:rFonts w:asciiTheme="minorHAnsi" w:eastAsia="Times New Roman" w:hAnsiTheme="minorHAnsi"/>
                <w:iCs/>
                <w:szCs w:val="17"/>
                <w:lang w:eastAsia="en-US"/>
              </w:rPr>
              <w:t xml:space="preserve"> 2018</w:t>
            </w:r>
          </w:p>
        </w:tc>
        <w:tc>
          <w:tcPr>
            <w:tcW w:w="2325" w:type="dxa"/>
          </w:tcPr>
          <w:p w:rsidR="00AF1B85" w:rsidRPr="00812509" w:rsidRDefault="0029020C" w:rsidP="0029020C">
            <w:pPr>
              <w:keepLines/>
              <w:spacing w:before="40" w:after="40" w:line="200" w:lineRule="atLeast"/>
              <w:rPr>
                <w:rFonts w:asciiTheme="minorHAnsi" w:eastAsia="Times New Roman" w:hAnsiTheme="minorHAnsi"/>
                <w:iCs/>
                <w:color w:val="000000" w:themeColor="text1" w:themeShade="BF"/>
                <w:szCs w:val="17"/>
                <w:lang w:eastAsia="en-US"/>
              </w:rPr>
            </w:pPr>
            <w:r>
              <w:rPr>
                <w:rFonts w:asciiTheme="minorHAnsi" w:eastAsia="Times New Roman" w:hAnsiTheme="minorHAnsi"/>
                <w:iCs/>
                <w:szCs w:val="17"/>
                <w:lang w:eastAsia="en-US"/>
              </w:rPr>
              <w:t>I</w:t>
            </w:r>
            <w:r w:rsidRPr="0029020C">
              <w:rPr>
                <w:rFonts w:asciiTheme="minorHAnsi" w:eastAsia="Times New Roman" w:hAnsiTheme="minorHAnsi"/>
                <w:iCs/>
                <w:szCs w:val="17"/>
                <w:lang w:eastAsia="en-US"/>
              </w:rPr>
              <w:t>nform the HRD 2018-19 work plan</w:t>
            </w:r>
            <w:r w:rsidR="00AF1B85" w:rsidRPr="00812509">
              <w:rPr>
                <w:rFonts w:asciiTheme="minorHAnsi" w:eastAsia="Times New Roman" w:hAnsiTheme="minorHAnsi"/>
                <w:iCs/>
                <w:szCs w:val="17"/>
                <w:lang w:eastAsia="en-US"/>
              </w:rPr>
              <w:t xml:space="preserve"> </w:t>
            </w:r>
          </w:p>
        </w:tc>
        <w:tc>
          <w:tcPr>
            <w:tcW w:w="2740" w:type="dxa"/>
          </w:tcPr>
          <w:p w:rsidR="00AF1B85" w:rsidRPr="00812509" w:rsidRDefault="0029020C"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Internal MC-led</w:t>
            </w:r>
            <w:r w:rsidR="00AF1B85" w:rsidRPr="00812509">
              <w:rPr>
                <w:rFonts w:asciiTheme="minorHAnsi" w:eastAsia="Times New Roman" w:hAnsiTheme="minorHAnsi"/>
                <w:iCs/>
                <w:szCs w:val="17"/>
                <w:lang w:eastAsia="en-US"/>
              </w:rPr>
              <w:t xml:space="preserve"> </w:t>
            </w:r>
          </w:p>
        </w:tc>
      </w:tr>
    </w:tbl>
    <w:p w:rsidR="0059146A" w:rsidRPr="0059146A" w:rsidRDefault="0059146A" w:rsidP="005B5769">
      <w:pPr>
        <w:pStyle w:val="ListBullet"/>
        <w:tabs>
          <w:tab w:val="clear" w:pos="284"/>
        </w:tabs>
      </w:pPr>
    </w:p>
    <w:p w:rsidR="0059146A" w:rsidRDefault="0059146A" w:rsidP="005B5769">
      <w:pPr>
        <w:pStyle w:val="ListBullet"/>
        <w:tabs>
          <w:tab w:val="clear" w:pos="284"/>
        </w:tabs>
      </w:pPr>
    </w:p>
    <w:p w:rsidR="005E606B" w:rsidRDefault="005E606B" w:rsidP="005B5769">
      <w:pPr>
        <w:pStyle w:val="ListBullet"/>
        <w:tabs>
          <w:tab w:val="clear" w:pos="284"/>
        </w:tabs>
        <w:sectPr w:rsidR="005E606B" w:rsidSect="00D2653F">
          <w:headerReference w:type="default" r:id="rId30"/>
          <w:headerReference w:type="first" r:id="rId31"/>
          <w:pgSz w:w="16838" w:h="11906" w:orient="landscape" w:code="9"/>
          <w:pgMar w:top="1134" w:right="1952" w:bottom="1134" w:left="851" w:header="1107" w:footer="567" w:gutter="0"/>
          <w:cols w:space="397"/>
          <w:docGrid w:linePitch="360"/>
        </w:sectPr>
      </w:pPr>
    </w:p>
    <w:p w:rsidR="0059146A" w:rsidRDefault="0059146A" w:rsidP="005B5769">
      <w:pPr>
        <w:pStyle w:val="ListBullet"/>
        <w:tabs>
          <w:tab w:val="clear" w:pos="284"/>
        </w:tabs>
      </w:pPr>
    </w:p>
    <w:p w:rsidR="005E606B" w:rsidRPr="00A8197B" w:rsidRDefault="005E606B" w:rsidP="00A8197B">
      <w:pPr>
        <w:pStyle w:val="Subtitle"/>
      </w:pPr>
      <w:r w:rsidRPr="00A8197B">
        <w:t xml:space="preserve">Annex </w:t>
      </w:r>
      <w:r w:rsidR="00184F1E">
        <w:t>D</w:t>
      </w:r>
      <w:r w:rsidRPr="00A8197B">
        <w:t xml:space="preserve">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months and where available last</w:t>
      </w:r>
      <w:r>
        <w:t xml:space="preserve"> year’s AQC ratings</w:t>
      </w:r>
      <w:r w:rsidRPr="00C61187">
        <w:t>.</w:t>
      </w:r>
    </w:p>
    <w:tbl>
      <w:tblPr>
        <w:tblStyle w:val="APPR"/>
        <w:tblW w:w="4996" w:type="pct"/>
        <w:tblLook w:val="0000" w:firstRow="0" w:lastRow="0" w:firstColumn="0" w:lastColumn="0" w:noHBand="0" w:noVBand="0"/>
      </w:tblPr>
      <w:tblGrid>
        <w:gridCol w:w="1769"/>
        <w:gridCol w:w="1284"/>
        <w:gridCol w:w="820"/>
        <w:gridCol w:w="819"/>
        <w:gridCol w:w="826"/>
        <w:gridCol w:w="819"/>
        <w:gridCol w:w="819"/>
        <w:gridCol w:w="819"/>
        <w:gridCol w:w="828"/>
        <w:gridCol w:w="827"/>
      </w:tblGrid>
      <w:tr w:rsidR="004A0A58" w:rsidRPr="00C61187" w:rsidTr="004A0A58">
        <w:trPr>
          <w:cnfStyle w:val="000000010000" w:firstRow="0" w:lastRow="0" w:firstColumn="0" w:lastColumn="0" w:oddVBand="0" w:evenVBand="0" w:oddHBand="0" w:evenHBand="1" w:firstRowFirstColumn="0" w:firstRowLastColumn="0" w:lastRowFirstColumn="0" w:lastRowLastColumn="0"/>
          <w:trHeight w:val="1413"/>
        </w:trPr>
        <w:tc>
          <w:tcPr>
            <w:tcW w:w="897" w:type="pct"/>
          </w:tcPr>
          <w:p w:rsidR="004A0A58" w:rsidRPr="00812509" w:rsidRDefault="004A0A58" w:rsidP="004A0A58">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88960" behindDoc="0" locked="0" layoutInCell="1" allowOverlap="1" wp14:anchorId="2696D8C6" wp14:editId="0406DE61">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2" w:type="pct"/>
            <w:textDirection w:val="btLr"/>
          </w:tcPr>
          <w:p w:rsidR="004A0A58" w:rsidRPr="00812509" w:rsidRDefault="004A0A58" w:rsidP="004A0A5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1" w:type="pct"/>
            <w:textDirection w:val="btLr"/>
          </w:tcPr>
          <w:p w:rsidR="004A0A58" w:rsidRPr="00812509" w:rsidRDefault="004A0A58" w:rsidP="004A0A5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year on year</w:t>
            </w:r>
          </w:p>
        </w:tc>
        <w:tc>
          <w:tcPr>
            <w:tcW w:w="411" w:type="pct"/>
            <w:textDirection w:val="btLr"/>
          </w:tcPr>
          <w:p w:rsidR="004A0A58" w:rsidRPr="00812509" w:rsidRDefault="004A0A58" w:rsidP="004A0A5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4" w:type="pct"/>
            <w:textDirection w:val="btLr"/>
          </w:tcPr>
          <w:p w:rsidR="004A0A58" w:rsidRPr="00812509" w:rsidRDefault="004A0A58" w:rsidP="004A0A5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1" w:type="pct"/>
            <w:textDirection w:val="btLr"/>
          </w:tcPr>
          <w:p w:rsidR="004A0A58" w:rsidRPr="00812509" w:rsidRDefault="004A0A58" w:rsidP="004A0A58">
            <w:pPr>
              <w:keepLines/>
              <w:spacing w:before="80" w:after="80" w:line="200" w:lineRule="atLeast"/>
              <w:rPr>
                <w:rFonts w:eastAsia="Times New Roman"/>
                <w:b/>
                <w:iCs/>
                <w:szCs w:val="17"/>
              </w:rPr>
            </w:pPr>
            <w:r w:rsidRPr="00812509">
              <w:rPr>
                <w:rFonts w:asciiTheme="minorHAnsi" w:eastAsia="Times New Roman" w:hAnsiTheme="minorHAnsi"/>
                <w:b/>
                <w:iCs/>
                <w:szCs w:val="17"/>
                <w:lang w:eastAsia="en-US"/>
              </w:rPr>
              <w:t>Relevance</w:t>
            </w:r>
          </w:p>
        </w:tc>
        <w:tc>
          <w:tcPr>
            <w:tcW w:w="411" w:type="pct"/>
            <w:textDirection w:val="btLr"/>
          </w:tcPr>
          <w:p w:rsidR="004A0A58" w:rsidRPr="00812509" w:rsidRDefault="004A0A58" w:rsidP="004A0A58">
            <w:pPr>
              <w:keepLines/>
              <w:spacing w:before="80" w:after="80" w:line="200" w:lineRule="atLeast"/>
              <w:rPr>
                <w:rFonts w:eastAsia="Times New Roman"/>
                <w:b/>
                <w:iCs/>
                <w:szCs w:val="17"/>
              </w:rPr>
            </w:pPr>
            <w:r w:rsidRPr="00812509">
              <w:rPr>
                <w:rFonts w:asciiTheme="minorHAnsi" w:eastAsia="Times New Roman" w:hAnsiTheme="minorHAnsi"/>
                <w:b/>
                <w:iCs/>
                <w:szCs w:val="17"/>
                <w:lang w:eastAsia="en-US"/>
              </w:rPr>
              <w:t>Gender equality</w:t>
            </w:r>
          </w:p>
        </w:tc>
        <w:tc>
          <w:tcPr>
            <w:tcW w:w="411" w:type="pct"/>
            <w:textDirection w:val="btLr"/>
          </w:tcPr>
          <w:p w:rsidR="004A0A58" w:rsidRPr="00812509" w:rsidRDefault="004A0A58" w:rsidP="004A0A5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5" w:type="pct"/>
            <w:textDirection w:val="btLr"/>
          </w:tcPr>
          <w:p w:rsidR="004A0A58" w:rsidRPr="00812509" w:rsidRDefault="004A0A58" w:rsidP="004A0A5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08" w:type="pct"/>
            <w:textDirection w:val="btLr"/>
          </w:tcPr>
          <w:p w:rsidR="004A0A58" w:rsidRPr="00812509" w:rsidRDefault="004A0A58" w:rsidP="004A0A5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0A4225"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val="restart"/>
          </w:tcPr>
          <w:p w:rsidR="004A0A58" w:rsidRDefault="004A0A58" w:rsidP="004A0A5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Basic Education Quality &amp; Access in Laos (BEQUAL)</w:t>
            </w:r>
          </w:p>
          <w:p w:rsidR="00C3666D" w:rsidRPr="00812509" w:rsidRDefault="00C3666D" w:rsidP="004A0A5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INL332</w:t>
            </w:r>
          </w:p>
        </w:tc>
        <w:tc>
          <w:tcPr>
            <w:tcW w:w="652" w:type="pct"/>
            <w:vMerge w:val="restart"/>
          </w:tcPr>
          <w:p w:rsidR="004A0A58" w:rsidRPr="00C3666D" w:rsidRDefault="004A0A58" w:rsidP="004A0A58">
            <w:pPr>
              <w:autoSpaceDE w:val="0"/>
              <w:autoSpaceDN w:val="0"/>
              <w:adjustRightInd w:val="0"/>
              <w:rPr>
                <w:rFonts w:asciiTheme="minorHAnsi" w:hAnsiTheme="minorHAnsi" w:cs="Franklin Gothic Book"/>
                <w:szCs w:val="17"/>
              </w:rPr>
            </w:pPr>
            <w:r w:rsidRPr="00C3666D">
              <w:rPr>
                <w:rFonts w:asciiTheme="minorHAnsi" w:hAnsiTheme="minorHAnsi" w:cs="Franklin Gothic Book"/>
                <w:szCs w:val="17"/>
              </w:rPr>
              <w:t xml:space="preserve">$60.7m </w:t>
            </w:r>
          </w:p>
          <w:p w:rsidR="004A0A58" w:rsidRPr="00812509" w:rsidRDefault="004A0A58" w:rsidP="004A0A5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4</w:t>
            </w:r>
            <w:r w:rsidRPr="00812509">
              <w:rPr>
                <w:rFonts w:asciiTheme="minorHAnsi" w:eastAsia="Times New Roman" w:hAnsiTheme="minorHAnsi"/>
                <w:iCs/>
                <w:szCs w:val="17"/>
                <w:lang w:eastAsia="en-US"/>
              </w:rPr>
              <w:t>-</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p>
        </w:tc>
        <w:tc>
          <w:tcPr>
            <w:tcW w:w="411" w:type="pct"/>
          </w:tcPr>
          <w:p w:rsidR="004A0A58" w:rsidRPr="00812509" w:rsidRDefault="004A0A58" w:rsidP="004A0A5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411" w:type="pct"/>
            <w:shd w:val="clear" w:color="auto" w:fill="FFFF00"/>
            <w:noWrap/>
            <w:vAlign w:val="center"/>
          </w:tcPr>
          <w:p w:rsidR="004A0A58" w:rsidRPr="00812509" w:rsidRDefault="004A0A58" w:rsidP="0014705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shd w:val="clear" w:color="auto" w:fill="FFFF00"/>
            <w:noWrap/>
            <w:vAlign w:val="center"/>
          </w:tcPr>
          <w:p w:rsidR="004A0A58" w:rsidRPr="00812509" w:rsidRDefault="004A0A58" w:rsidP="0014705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shd w:val="clear" w:color="auto" w:fill="92D050"/>
            <w:vAlign w:val="center"/>
          </w:tcPr>
          <w:p w:rsidR="004A0A58" w:rsidRPr="00812509" w:rsidRDefault="004A0A58" w:rsidP="0014705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1" w:type="pct"/>
            <w:shd w:val="clear" w:color="auto" w:fill="FFC000"/>
            <w:vAlign w:val="center"/>
          </w:tcPr>
          <w:p w:rsidR="004A0A58" w:rsidRPr="00812509" w:rsidRDefault="004A0A58" w:rsidP="0014705A">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3</w:t>
            </w:r>
          </w:p>
        </w:tc>
        <w:tc>
          <w:tcPr>
            <w:tcW w:w="411" w:type="pct"/>
            <w:shd w:val="clear" w:color="auto" w:fill="FFFF00"/>
            <w:noWrap/>
            <w:vAlign w:val="center"/>
          </w:tcPr>
          <w:p w:rsidR="004A0A58" w:rsidRPr="00812509" w:rsidRDefault="004A0A58" w:rsidP="0014705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5" w:type="pct"/>
            <w:shd w:val="clear" w:color="auto" w:fill="FFC000"/>
            <w:noWrap/>
            <w:vAlign w:val="center"/>
          </w:tcPr>
          <w:p w:rsidR="004A0A58" w:rsidRPr="00812509" w:rsidRDefault="004A0A58" w:rsidP="0014705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408" w:type="pct"/>
            <w:shd w:val="clear" w:color="auto" w:fill="auto"/>
            <w:vAlign w:val="center"/>
          </w:tcPr>
          <w:p w:rsidR="004A0A58" w:rsidRPr="00812509" w:rsidRDefault="004A0A58" w:rsidP="0014705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r>
      <w:tr w:rsidR="000A4225"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tcBorders>
              <w:bottom w:val="single" w:sz="4" w:space="0" w:color="auto"/>
            </w:tcBorders>
          </w:tcPr>
          <w:p w:rsidR="0036502E" w:rsidRPr="00812509" w:rsidRDefault="0036502E" w:rsidP="0036502E">
            <w:pPr>
              <w:keepLines/>
              <w:spacing w:before="4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rsidR="0036502E" w:rsidRPr="00812509" w:rsidRDefault="0036502E" w:rsidP="0036502E">
            <w:pPr>
              <w:keepLines/>
              <w:spacing w:before="40" w:after="40" w:line="200" w:lineRule="atLeast"/>
              <w:rPr>
                <w:rFonts w:asciiTheme="minorHAnsi" w:eastAsia="Times New Roman" w:hAnsiTheme="minorHAnsi"/>
                <w:iCs/>
                <w:szCs w:val="17"/>
                <w:lang w:eastAsia="en-US"/>
              </w:rPr>
            </w:pPr>
          </w:p>
        </w:tc>
        <w:tc>
          <w:tcPr>
            <w:tcW w:w="411" w:type="pct"/>
            <w:tcBorders>
              <w:bottom w:val="single" w:sz="4" w:space="0" w:color="auto"/>
            </w:tcBorders>
          </w:tcPr>
          <w:p w:rsidR="0036502E" w:rsidRPr="00812509" w:rsidRDefault="0036502E" w:rsidP="0036502E">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1" w:type="pct"/>
            <w:tcBorders>
              <w:bottom w:val="single" w:sz="4" w:space="0" w:color="auto"/>
            </w:tcBorders>
            <w:shd w:val="clear" w:color="auto" w:fill="FFFF00"/>
            <w:noWrap/>
            <w:vAlign w:val="center"/>
          </w:tcPr>
          <w:p w:rsidR="0036502E" w:rsidRPr="00812509" w:rsidRDefault="0036502E" w:rsidP="0036502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tcBorders>
              <w:bottom w:val="single" w:sz="4" w:space="0" w:color="auto"/>
            </w:tcBorders>
            <w:shd w:val="clear" w:color="auto" w:fill="92D050"/>
            <w:noWrap/>
            <w:vAlign w:val="center"/>
          </w:tcPr>
          <w:p w:rsidR="0036502E" w:rsidRPr="00812509" w:rsidRDefault="0036502E" w:rsidP="0036502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92D050"/>
            <w:vAlign w:val="center"/>
          </w:tcPr>
          <w:p w:rsidR="0036502E" w:rsidRPr="00812509" w:rsidRDefault="0036502E" w:rsidP="0036502E">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FFFF00"/>
            <w:vAlign w:val="center"/>
          </w:tcPr>
          <w:p w:rsidR="0036502E" w:rsidRPr="00812509" w:rsidRDefault="0036502E" w:rsidP="0036502E">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1" w:type="pct"/>
            <w:tcBorders>
              <w:bottom w:val="single" w:sz="4" w:space="0" w:color="auto"/>
            </w:tcBorders>
            <w:shd w:val="clear" w:color="auto" w:fill="FFFF00"/>
            <w:noWrap/>
            <w:vAlign w:val="center"/>
          </w:tcPr>
          <w:p w:rsidR="0036502E" w:rsidRPr="00812509" w:rsidRDefault="0036502E" w:rsidP="0036502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vAlign w:val="center"/>
          </w:tcPr>
          <w:p w:rsidR="0036502E" w:rsidRPr="00812509" w:rsidRDefault="0036502E" w:rsidP="0036502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08" w:type="pct"/>
            <w:tcBorders>
              <w:bottom w:val="single" w:sz="4" w:space="0" w:color="auto"/>
            </w:tcBorders>
            <w:shd w:val="clear" w:color="auto" w:fill="auto"/>
            <w:vAlign w:val="center"/>
          </w:tcPr>
          <w:p w:rsidR="0036502E" w:rsidRPr="00812509" w:rsidRDefault="0036502E" w:rsidP="0036502E">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r>
      <w:tr w:rsidR="00C3666D"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val="restart"/>
          </w:tcPr>
          <w:p w:rsidR="00C3666D" w:rsidRDefault="00C3666D" w:rsidP="00C3666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Trade Development Facility</w:t>
            </w:r>
          </w:p>
          <w:p w:rsidR="00C3666D" w:rsidRPr="00812509" w:rsidRDefault="00C3666D" w:rsidP="00C3666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INH726</w:t>
            </w:r>
          </w:p>
        </w:tc>
        <w:tc>
          <w:tcPr>
            <w:tcW w:w="652" w:type="pct"/>
            <w:vMerge w:val="restart"/>
          </w:tcPr>
          <w:p w:rsidR="00C3666D" w:rsidRPr="00C3666D" w:rsidRDefault="00C3666D" w:rsidP="00C3666D">
            <w:pPr>
              <w:autoSpaceDE w:val="0"/>
              <w:autoSpaceDN w:val="0"/>
              <w:adjustRightInd w:val="0"/>
              <w:rPr>
                <w:rFonts w:asciiTheme="minorHAnsi" w:hAnsiTheme="minorHAnsi" w:cs="Franklin Gothic Book"/>
                <w:szCs w:val="17"/>
              </w:rPr>
            </w:pPr>
            <w:r w:rsidRPr="00C3666D">
              <w:rPr>
                <w:rFonts w:asciiTheme="minorHAnsi" w:hAnsiTheme="minorHAnsi" w:cs="Franklin Gothic Book"/>
                <w:szCs w:val="17"/>
              </w:rPr>
              <w:t>$1</w:t>
            </w:r>
            <w:r>
              <w:rPr>
                <w:rFonts w:asciiTheme="minorHAnsi" w:hAnsiTheme="minorHAnsi" w:cs="Franklin Gothic Book"/>
                <w:szCs w:val="17"/>
              </w:rPr>
              <w:t>2.2</w:t>
            </w:r>
            <w:r w:rsidRPr="00C3666D">
              <w:rPr>
                <w:rFonts w:asciiTheme="minorHAnsi" w:hAnsiTheme="minorHAnsi" w:cs="Franklin Gothic Book"/>
                <w:szCs w:val="17"/>
              </w:rPr>
              <w:t xml:space="preserve">m </w:t>
            </w:r>
          </w:p>
          <w:p w:rsidR="00C3666D" w:rsidRPr="00532421" w:rsidRDefault="00C3666D" w:rsidP="00C3666D">
            <w:pPr>
              <w:keepLines/>
              <w:spacing w:before="40" w:after="40" w:line="200" w:lineRule="atLeast"/>
              <w:rPr>
                <w:rFonts w:asciiTheme="minorHAnsi" w:hAnsiTheme="minorHAnsi" w:cs="Franklin Gothic Book"/>
                <w:szCs w:val="17"/>
              </w:rPr>
            </w:pPr>
            <w:r w:rsidRPr="00532421">
              <w:rPr>
                <w:rFonts w:asciiTheme="minorHAnsi" w:eastAsia="Times New Roman" w:hAnsiTheme="minorHAnsi"/>
                <w:iCs/>
                <w:szCs w:val="17"/>
                <w:lang w:eastAsia="en-US"/>
              </w:rPr>
              <w:t>2007-19</w:t>
            </w:r>
            <w:r w:rsidRPr="00532421">
              <w:rPr>
                <w:rFonts w:asciiTheme="minorHAnsi" w:hAnsiTheme="minorHAnsi" w:cs="Franklin Gothic Book"/>
                <w:szCs w:val="17"/>
              </w:rPr>
              <w:t xml:space="preserve"> </w:t>
            </w:r>
          </w:p>
        </w:tc>
        <w:tc>
          <w:tcPr>
            <w:tcW w:w="411" w:type="pct"/>
          </w:tcPr>
          <w:p w:rsidR="00C3666D" w:rsidRPr="00812509" w:rsidRDefault="00C3666D" w:rsidP="00C3666D">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411" w:type="pct"/>
            <w:shd w:val="clear" w:color="auto" w:fill="92D050"/>
            <w:noWrap/>
            <w:vAlign w:val="center"/>
          </w:tcPr>
          <w:p w:rsidR="00C3666D" w:rsidRPr="00812509" w:rsidRDefault="00C3666D" w:rsidP="00C3666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4" w:type="pct"/>
            <w:shd w:val="clear" w:color="auto" w:fill="FFFF00"/>
            <w:noWrap/>
            <w:vAlign w:val="center"/>
          </w:tcPr>
          <w:p w:rsidR="00C3666D" w:rsidRPr="00812509" w:rsidRDefault="00C3666D" w:rsidP="00C3666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shd w:val="clear" w:color="auto" w:fill="92D050"/>
            <w:vAlign w:val="center"/>
          </w:tcPr>
          <w:p w:rsidR="00C3666D" w:rsidRPr="00812509" w:rsidRDefault="00C3666D" w:rsidP="00C3666D">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1" w:type="pct"/>
            <w:shd w:val="clear" w:color="auto" w:fill="FFC000"/>
            <w:vAlign w:val="center"/>
          </w:tcPr>
          <w:p w:rsidR="00C3666D" w:rsidRPr="00812509" w:rsidRDefault="00C3666D" w:rsidP="00C3666D">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3</w:t>
            </w:r>
          </w:p>
        </w:tc>
        <w:tc>
          <w:tcPr>
            <w:tcW w:w="411" w:type="pct"/>
            <w:shd w:val="clear" w:color="auto" w:fill="FFFF00"/>
            <w:noWrap/>
            <w:vAlign w:val="center"/>
          </w:tcPr>
          <w:p w:rsidR="00C3666D" w:rsidRPr="00812509" w:rsidRDefault="00C3666D" w:rsidP="00C3666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5" w:type="pct"/>
            <w:shd w:val="clear" w:color="auto" w:fill="FFFF00"/>
            <w:noWrap/>
            <w:vAlign w:val="center"/>
          </w:tcPr>
          <w:p w:rsidR="00C3666D" w:rsidRPr="00812509" w:rsidRDefault="00C3666D" w:rsidP="00C3666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08" w:type="pct"/>
            <w:shd w:val="clear" w:color="auto" w:fill="auto"/>
            <w:vAlign w:val="center"/>
          </w:tcPr>
          <w:p w:rsidR="00C3666D" w:rsidRPr="00812509" w:rsidRDefault="00C3666D" w:rsidP="00C3666D">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r>
      <w:tr w:rsidR="000A4225"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tcBorders>
              <w:bottom w:val="single" w:sz="4" w:space="0" w:color="auto"/>
            </w:tcBorders>
          </w:tcPr>
          <w:p w:rsidR="00037F01" w:rsidRPr="00812509" w:rsidRDefault="00037F01" w:rsidP="00037F01">
            <w:pPr>
              <w:keepLines/>
              <w:spacing w:before="4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rsidR="00037F01" w:rsidRPr="00812509" w:rsidRDefault="00037F01" w:rsidP="00037F01">
            <w:pPr>
              <w:keepLines/>
              <w:spacing w:before="40" w:after="40" w:line="200" w:lineRule="atLeast"/>
              <w:rPr>
                <w:rFonts w:asciiTheme="minorHAnsi" w:eastAsia="Times New Roman" w:hAnsiTheme="minorHAnsi"/>
                <w:iCs/>
                <w:szCs w:val="17"/>
                <w:lang w:eastAsia="en-US"/>
              </w:rPr>
            </w:pPr>
          </w:p>
        </w:tc>
        <w:tc>
          <w:tcPr>
            <w:tcW w:w="411" w:type="pct"/>
            <w:tcBorders>
              <w:bottom w:val="single" w:sz="4" w:space="0" w:color="auto"/>
            </w:tcBorders>
          </w:tcPr>
          <w:p w:rsidR="00037F01" w:rsidRPr="00812509" w:rsidRDefault="00037F01" w:rsidP="00037F0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1" w:type="pct"/>
            <w:tcBorders>
              <w:bottom w:val="single" w:sz="4" w:space="0" w:color="auto"/>
            </w:tcBorders>
            <w:shd w:val="clear" w:color="auto" w:fill="FFFF00"/>
            <w:noWrap/>
            <w:vAlign w:val="center"/>
          </w:tcPr>
          <w:p w:rsidR="00037F01" w:rsidRPr="00812509" w:rsidRDefault="00037F01" w:rsidP="00037F01">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tcBorders>
              <w:bottom w:val="single" w:sz="4" w:space="0" w:color="auto"/>
            </w:tcBorders>
            <w:shd w:val="clear" w:color="auto" w:fill="FFFF00"/>
            <w:noWrap/>
            <w:vAlign w:val="center"/>
          </w:tcPr>
          <w:p w:rsidR="00037F01" w:rsidRPr="00812509" w:rsidRDefault="00037F01" w:rsidP="00037F01">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1" w:type="pct"/>
            <w:tcBorders>
              <w:bottom w:val="single" w:sz="4" w:space="0" w:color="auto"/>
            </w:tcBorders>
            <w:shd w:val="clear" w:color="auto" w:fill="92D050"/>
            <w:vAlign w:val="center"/>
          </w:tcPr>
          <w:p w:rsidR="00037F01" w:rsidRPr="00812509" w:rsidRDefault="00037F01" w:rsidP="00037F0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FFFF00"/>
            <w:vAlign w:val="center"/>
          </w:tcPr>
          <w:p w:rsidR="00037F01" w:rsidRPr="00812509" w:rsidRDefault="00037F01" w:rsidP="00037F0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1" w:type="pct"/>
            <w:tcBorders>
              <w:bottom w:val="single" w:sz="4" w:space="0" w:color="auto"/>
            </w:tcBorders>
            <w:shd w:val="clear" w:color="auto" w:fill="FFFF00"/>
            <w:noWrap/>
            <w:vAlign w:val="center"/>
          </w:tcPr>
          <w:p w:rsidR="00037F01" w:rsidRPr="00812509" w:rsidRDefault="00037F01" w:rsidP="00037F01">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vAlign w:val="center"/>
          </w:tcPr>
          <w:p w:rsidR="00037F01" w:rsidRPr="00812509" w:rsidRDefault="00037F01" w:rsidP="00037F01">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08" w:type="pct"/>
            <w:tcBorders>
              <w:bottom w:val="single" w:sz="4" w:space="0" w:color="auto"/>
            </w:tcBorders>
            <w:shd w:val="clear" w:color="auto" w:fill="auto"/>
            <w:vAlign w:val="center"/>
          </w:tcPr>
          <w:p w:rsidR="00037F01" w:rsidRPr="00812509" w:rsidRDefault="00037F01" w:rsidP="00037F01">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r>
      <w:tr w:rsidR="00532421"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val="restart"/>
            <w:tcBorders>
              <w:bottom w:val="single" w:sz="4" w:space="0" w:color="auto"/>
            </w:tcBorders>
          </w:tcPr>
          <w:p w:rsidR="00532421" w:rsidRDefault="00532421" w:rsidP="00532421">
            <w:pPr>
              <w:keepLines/>
              <w:spacing w:before="40" w:after="40" w:line="200" w:lineRule="atLeast"/>
              <w:rPr>
                <w:rFonts w:asciiTheme="minorHAnsi" w:eastAsia="Times New Roman" w:hAnsiTheme="minorHAnsi"/>
                <w:iCs/>
                <w:szCs w:val="17"/>
                <w:lang w:eastAsia="en-US"/>
              </w:rPr>
            </w:pPr>
            <w:r w:rsidRPr="00532421">
              <w:rPr>
                <w:rFonts w:asciiTheme="minorHAnsi" w:eastAsia="Times New Roman" w:hAnsiTheme="minorHAnsi"/>
                <w:iCs/>
                <w:szCs w:val="17"/>
                <w:lang w:eastAsia="en-US"/>
              </w:rPr>
              <w:t>Laos Australia Rural Livelihoods Program</w:t>
            </w:r>
          </w:p>
          <w:p w:rsidR="00532421" w:rsidRPr="00532421" w:rsidRDefault="00532421" w:rsidP="0053242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INK391</w:t>
            </w:r>
          </w:p>
        </w:tc>
        <w:tc>
          <w:tcPr>
            <w:tcW w:w="652" w:type="pct"/>
            <w:vMerge w:val="restart"/>
            <w:tcBorders>
              <w:bottom w:val="single" w:sz="4" w:space="0" w:color="auto"/>
            </w:tcBorders>
          </w:tcPr>
          <w:p w:rsidR="00532421" w:rsidRDefault="00532421" w:rsidP="00532421">
            <w:pPr>
              <w:autoSpaceDE w:val="0"/>
              <w:autoSpaceDN w:val="0"/>
              <w:adjustRightInd w:val="0"/>
              <w:rPr>
                <w:rFonts w:asciiTheme="minorHAnsi" w:hAnsiTheme="minorHAnsi" w:cs="Franklin Gothic Book"/>
                <w:szCs w:val="17"/>
              </w:rPr>
            </w:pPr>
            <w:r w:rsidRPr="00532421">
              <w:rPr>
                <w:rFonts w:asciiTheme="minorHAnsi" w:hAnsiTheme="minorHAnsi" w:cs="Franklin Gothic Book"/>
                <w:szCs w:val="17"/>
              </w:rPr>
              <w:t>$34.7m</w:t>
            </w:r>
          </w:p>
          <w:p w:rsidR="00532421" w:rsidRPr="00532421" w:rsidRDefault="00532421" w:rsidP="00532421">
            <w:pPr>
              <w:keepLines/>
              <w:spacing w:before="40" w:after="40" w:line="200" w:lineRule="atLeast"/>
              <w:rPr>
                <w:rFonts w:asciiTheme="minorHAnsi" w:hAnsiTheme="minorHAnsi" w:cs="Franklin Gothic Book"/>
                <w:szCs w:val="17"/>
              </w:rPr>
            </w:pPr>
            <w:r w:rsidRPr="00532421">
              <w:rPr>
                <w:rFonts w:asciiTheme="minorHAnsi" w:eastAsia="Times New Roman" w:hAnsiTheme="minorHAnsi"/>
                <w:iCs/>
                <w:szCs w:val="17"/>
                <w:lang w:eastAsia="en-US"/>
              </w:rPr>
              <w:t>2012-19</w:t>
            </w:r>
          </w:p>
        </w:tc>
        <w:tc>
          <w:tcPr>
            <w:tcW w:w="411" w:type="pct"/>
          </w:tcPr>
          <w:p w:rsidR="00532421" w:rsidRPr="00812509" w:rsidRDefault="00532421" w:rsidP="00532421">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411" w:type="pct"/>
            <w:shd w:val="clear" w:color="auto" w:fill="FFFF00"/>
            <w:noWrap/>
            <w:vAlign w:val="center"/>
          </w:tcPr>
          <w:p w:rsidR="00532421" w:rsidRPr="00532421" w:rsidRDefault="00532421" w:rsidP="00532421">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shd w:val="clear" w:color="auto" w:fill="FFFF00"/>
            <w:noWrap/>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1" w:type="pct"/>
            <w:shd w:val="clear" w:color="auto" w:fill="FFFF00"/>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1" w:type="pct"/>
            <w:shd w:val="clear" w:color="auto" w:fill="FFFF00"/>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1" w:type="pct"/>
            <w:shd w:val="clear" w:color="auto" w:fill="FFFF00"/>
            <w:noWrap/>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5" w:type="pct"/>
            <w:shd w:val="clear" w:color="auto" w:fill="FFFF00"/>
            <w:noWrap/>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08" w:type="pct"/>
            <w:shd w:val="clear" w:color="auto" w:fill="auto"/>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r>
      <w:tr w:rsidR="00532421"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tcBorders>
              <w:top w:val="single" w:sz="4" w:space="0" w:color="auto"/>
              <w:bottom w:val="single" w:sz="4" w:space="0" w:color="auto"/>
            </w:tcBorders>
          </w:tcPr>
          <w:p w:rsidR="00532421" w:rsidRPr="00812509" w:rsidRDefault="00532421" w:rsidP="00532421">
            <w:pPr>
              <w:keepLines/>
              <w:spacing w:before="40" w:after="40" w:line="200" w:lineRule="atLeast"/>
              <w:rPr>
                <w:rFonts w:eastAsia="Times New Roman"/>
                <w:iCs/>
                <w:szCs w:val="17"/>
              </w:rPr>
            </w:pPr>
          </w:p>
        </w:tc>
        <w:tc>
          <w:tcPr>
            <w:tcW w:w="652" w:type="pct"/>
            <w:vMerge/>
            <w:tcBorders>
              <w:top w:val="single" w:sz="4" w:space="0" w:color="auto"/>
              <w:bottom w:val="single" w:sz="4" w:space="0" w:color="auto"/>
            </w:tcBorders>
          </w:tcPr>
          <w:p w:rsidR="00532421" w:rsidRPr="00532421" w:rsidRDefault="00532421" w:rsidP="00532421">
            <w:pPr>
              <w:autoSpaceDE w:val="0"/>
              <w:autoSpaceDN w:val="0"/>
              <w:adjustRightInd w:val="0"/>
              <w:rPr>
                <w:rFonts w:asciiTheme="minorHAnsi" w:hAnsiTheme="minorHAnsi" w:cs="Franklin Gothic Book"/>
                <w:szCs w:val="17"/>
              </w:rPr>
            </w:pPr>
          </w:p>
        </w:tc>
        <w:tc>
          <w:tcPr>
            <w:tcW w:w="411" w:type="pct"/>
            <w:tcBorders>
              <w:bottom w:val="single" w:sz="4" w:space="0" w:color="auto"/>
            </w:tcBorders>
          </w:tcPr>
          <w:p w:rsidR="00532421" w:rsidRPr="00812509" w:rsidRDefault="00532421" w:rsidP="00532421">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1" w:type="pct"/>
            <w:tcBorders>
              <w:bottom w:val="single" w:sz="4" w:space="0" w:color="auto"/>
            </w:tcBorders>
            <w:shd w:val="clear" w:color="auto" w:fill="92D050"/>
            <w:noWrap/>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4" w:type="pct"/>
            <w:tcBorders>
              <w:bottom w:val="single" w:sz="4" w:space="0" w:color="auto"/>
            </w:tcBorders>
            <w:shd w:val="clear" w:color="auto" w:fill="FFFF00"/>
            <w:noWrap/>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1" w:type="pct"/>
            <w:tcBorders>
              <w:bottom w:val="single" w:sz="4" w:space="0" w:color="auto"/>
            </w:tcBorders>
            <w:shd w:val="clear" w:color="auto" w:fill="FFFF00"/>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1" w:type="pct"/>
            <w:tcBorders>
              <w:bottom w:val="single" w:sz="4" w:space="0" w:color="auto"/>
            </w:tcBorders>
            <w:shd w:val="clear" w:color="auto" w:fill="FFFF00"/>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1" w:type="pct"/>
            <w:tcBorders>
              <w:bottom w:val="single" w:sz="4" w:space="0" w:color="auto"/>
            </w:tcBorders>
            <w:shd w:val="clear" w:color="auto" w:fill="FFFF00"/>
            <w:noWrap/>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08" w:type="pct"/>
            <w:tcBorders>
              <w:bottom w:val="single" w:sz="4" w:space="0" w:color="auto"/>
            </w:tcBorders>
            <w:shd w:val="clear" w:color="auto" w:fill="auto"/>
            <w:vAlign w:val="center"/>
          </w:tcPr>
          <w:p w:rsidR="00532421" w:rsidRPr="00812509" w:rsidRDefault="00532421" w:rsidP="00532421">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r>
      <w:tr w:rsidR="00822B08" w:rsidRPr="00822B08" w:rsidTr="00656D77">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Height w:val="284"/>
        </w:trPr>
        <w:tc>
          <w:tcPr>
            <w:tcW w:w="897" w:type="pct"/>
            <w:vMerge w:val="restart"/>
            <w:tcBorders>
              <w:top w:val="nil"/>
              <w:bottom w:val="single" w:sz="4" w:space="0" w:color="auto"/>
            </w:tcBorders>
          </w:tcPr>
          <w:p w:rsidR="00822B08" w:rsidRPr="00822B08" w:rsidRDefault="00822B08" w:rsidP="00822B08">
            <w:pPr>
              <w:keepLines/>
              <w:spacing w:before="40" w:after="40" w:line="200" w:lineRule="atLeast"/>
              <w:rPr>
                <w:rFonts w:asciiTheme="minorHAnsi" w:eastAsia="Times New Roman" w:hAnsiTheme="minorHAnsi"/>
                <w:b w:val="0"/>
                <w:iCs/>
                <w:szCs w:val="17"/>
                <w:lang w:eastAsia="en-US"/>
              </w:rPr>
            </w:pPr>
            <w:r w:rsidRPr="00822B08">
              <w:rPr>
                <w:rFonts w:asciiTheme="minorHAnsi" w:eastAsia="Times New Roman" w:hAnsiTheme="minorHAnsi"/>
                <w:b w:val="0"/>
                <w:iCs/>
                <w:szCs w:val="17"/>
                <w:lang w:eastAsia="en-US"/>
              </w:rPr>
              <w:t>Laos Australia Institute</w:t>
            </w:r>
          </w:p>
          <w:p w:rsidR="00822B08" w:rsidRPr="00822B08" w:rsidRDefault="00822B08" w:rsidP="00822B08">
            <w:pPr>
              <w:keepLines/>
              <w:spacing w:before="40" w:after="40" w:line="200" w:lineRule="atLeast"/>
              <w:rPr>
                <w:rFonts w:asciiTheme="minorHAnsi" w:eastAsia="Times New Roman" w:hAnsiTheme="minorHAnsi"/>
                <w:b w:val="0"/>
                <w:iCs/>
                <w:szCs w:val="17"/>
                <w:lang w:eastAsia="en-US"/>
              </w:rPr>
            </w:pPr>
            <w:r w:rsidRPr="00822B08">
              <w:rPr>
                <w:rFonts w:asciiTheme="minorHAnsi" w:eastAsia="Times New Roman" w:hAnsiTheme="minorHAnsi"/>
                <w:b w:val="0"/>
                <w:iCs/>
                <w:szCs w:val="17"/>
                <w:lang w:eastAsia="en-US"/>
              </w:rPr>
              <w:t>INK562</w:t>
            </w:r>
          </w:p>
        </w:tc>
        <w:tc>
          <w:tcPr>
            <w:tcW w:w="652" w:type="pct"/>
            <w:vMerge w:val="restart"/>
            <w:tcBorders>
              <w:top w:val="nil"/>
              <w:bottom w:val="single" w:sz="4" w:space="0" w:color="auto"/>
            </w:tcBorders>
          </w:tcPr>
          <w:p w:rsidR="00822B08" w:rsidRPr="00822B08" w:rsidRDefault="00822B08" w:rsidP="00822B08">
            <w:pPr>
              <w:autoSpaceDE w:val="0"/>
              <w:autoSpaceDN w:val="0"/>
              <w:adjustRightInd w:val="0"/>
              <w:rPr>
                <w:rFonts w:asciiTheme="minorHAnsi" w:hAnsiTheme="minorHAnsi" w:cs="Franklin Gothic Book"/>
                <w:b w:val="0"/>
                <w:szCs w:val="17"/>
              </w:rPr>
            </w:pPr>
            <w:r w:rsidRPr="00822B08">
              <w:rPr>
                <w:rFonts w:asciiTheme="minorHAnsi" w:hAnsiTheme="minorHAnsi" w:cs="Franklin Gothic Book"/>
                <w:b w:val="0"/>
                <w:szCs w:val="17"/>
              </w:rPr>
              <w:t>$29.9m</w:t>
            </w:r>
          </w:p>
          <w:p w:rsidR="00822B08" w:rsidRPr="00822B08" w:rsidRDefault="00822B08" w:rsidP="00822B08">
            <w:pPr>
              <w:keepLines/>
              <w:spacing w:before="40" w:after="40" w:line="200" w:lineRule="atLeast"/>
              <w:rPr>
                <w:rFonts w:asciiTheme="minorHAnsi" w:hAnsiTheme="minorHAnsi" w:cs="Franklin Gothic Book"/>
                <w:b w:val="0"/>
                <w:szCs w:val="17"/>
              </w:rPr>
            </w:pPr>
            <w:r w:rsidRPr="00822B08">
              <w:rPr>
                <w:rFonts w:asciiTheme="minorHAnsi" w:eastAsia="Times New Roman" w:hAnsiTheme="minorHAnsi"/>
                <w:b w:val="0"/>
                <w:iCs/>
                <w:szCs w:val="17"/>
                <w:lang w:eastAsia="en-US"/>
              </w:rPr>
              <w:t>2012-21</w:t>
            </w:r>
          </w:p>
        </w:tc>
        <w:tc>
          <w:tcPr>
            <w:tcW w:w="411" w:type="pct"/>
          </w:tcPr>
          <w:p w:rsidR="00822B08" w:rsidRPr="00822B08" w:rsidRDefault="00822B08" w:rsidP="00822B08">
            <w:pPr>
              <w:keepLines/>
              <w:spacing w:before="40" w:after="40" w:line="200" w:lineRule="atLeast"/>
              <w:rPr>
                <w:rFonts w:eastAsia="Times New Roman"/>
                <w:b w:val="0"/>
                <w:iCs/>
                <w:szCs w:val="17"/>
              </w:rPr>
            </w:pPr>
            <w:r w:rsidRPr="00822B08">
              <w:rPr>
                <w:rFonts w:asciiTheme="minorHAnsi" w:eastAsia="Times New Roman" w:hAnsiTheme="minorHAnsi"/>
                <w:b w:val="0"/>
                <w:iCs/>
                <w:szCs w:val="17"/>
                <w:lang w:eastAsia="en-US"/>
              </w:rPr>
              <w:t>2018 AQC</w:t>
            </w:r>
          </w:p>
        </w:tc>
        <w:tc>
          <w:tcPr>
            <w:tcW w:w="411" w:type="pct"/>
            <w:shd w:val="clear" w:color="auto" w:fill="FFFF00"/>
            <w:noWrap/>
            <w:vAlign w:val="center"/>
          </w:tcPr>
          <w:p w:rsidR="00822B08" w:rsidRPr="00822B08" w:rsidRDefault="00822B08" w:rsidP="000A4225">
            <w:pPr>
              <w:keepLines/>
              <w:spacing w:before="40" w:after="40" w:line="200" w:lineRule="atLeast"/>
              <w:jc w:val="center"/>
              <w:rPr>
                <w:rFonts w:asciiTheme="minorHAnsi" w:eastAsia="Times New Roman" w:hAnsiTheme="minorHAnsi"/>
                <w:b w:val="0"/>
                <w:iCs/>
                <w:szCs w:val="17"/>
                <w:lang w:eastAsia="en-US"/>
              </w:rPr>
            </w:pPr>
            <w:r w:rsidRPr="00822B08">
              <w:rPr>
                <w:rFonts w:asciiTheme="minorHAnsi" w:eastAsia="Times New Roman" w:hAnsiTheme="minorHAnsi"/>
                <w:b w:val="0"/>
                <w:iCs/>
                <w:szCs w:val="17"/>
                <w:lang w:eastAsia="en-US"/>
              </w:rPr>
              <w:t>4</w:t>
            </w:r>
          </w:p>
        </w:tc>
        <w:tc>
          <w:tcPr>
            <w:tcW w:w="414" w:type="pct"/>
            <w:tcBorders>
              <w:top w:val="nil"/>
            </w:tcBorders>
            <w:shd w:val="clear" w:color="auto" w:fill="FFC000"/>
            <w:noWrap/>
            <w:vAlign w:val="center"/>
          </w:tcPr>
          <w:p w:rsidR="00822B08" w:rsidRPr="00822B08" w:rsidRDefault="00822B08" w:rsidP="000A4225">
            <w:pPr>
              <w:keepLines/>
              <w:spacing w:before="40" w:after="40" w:line="200" w:lineRule="atLeast"/>
              <w:jc w:val="center"/>
              <w:rPr>
                <w:rFonts w:eastAsia="Times New Roman"/>
                <w:b w:val="0"/>
                <w:iCs/>
                <w:szCs w:val="17"/>
              </w:rPr>
            </w:pPr>
            <w:r w:rsidRPr="00822B08">
              <w:rPr>
                <w:rFonts w:asciiTheme="minorHAnsi" w:eastAsia="Times New Roman" w:hAnsiTheme="minorHAnsi"/>
                <w:b w:val="0"/>
                <w:iCs/>
                <w:szCs w:val="17"/>
                <w:lang w:eastAsia="en-US"/>
              </w:rPr>
              <w:t>3</w:t>
            </w:r>
          </w:p>
        </w:tc>
        <w:tc>
          <w:tcPr>
            <w:tcW w:w="411" w:type="pct"/>
            <w:shd w:val="clear" w:color="auto" w:fill="92D050"/>
            <w:vAlign w:val="center"/>
          </w:tcPr>
          <w:p w:rsidR="00822B08" w:rsidRPr="00822B08" w:rsidRDefault="00822B08" w:rsidP="000A4225">
            <w:pPr>
              <w:keepLines/>
              <w:spacing w:before="40" w:after="40" w:line="200" w:lineRule="atLeast"/>
              <w:jc w:val="center"/>
              <w:rPr>
                <w:rFonts w:eastAsia="Times New Roman"/>
                <w:b w:val="0"/>
                <w:iCs/>
                <w:szCs w:val="17"/>
              </w:rPr>
            </w:pPr>
            <w:r w:rsidRPr="00822B08">
              <w:rPr>
                <w:rFonts w:asciiTheme="minorHAnsi" w:eastAsia="Times New Roman" w:hAnsiTheme="minorHAnsi"/>
                <w:b w:val="0"/>
                <w:iCs/>
                <w:szCs w:val="17"/>
                <w:lang w:eastAsia="en-US"/>
              </w:rPr>
              <w:t>5</w:t>
            </w:r>
          </w:p>
        </w:tc>
        <w:tc>
          <w:tcPr>
            <w:tcW w:w="411" w:type="pct"/>
            <w:shd w:val="clear" w:color="auto" w:fill="FFFF00"/>
            <w:vAlign w:val="center"/>
          </w:tcPr>
          <w:p w:rsidR="00822B08" w:rsidRPr="00822B08" w:rsidRDefault="00822B08" w:rsidP="000A4225">
            <w:pPr>
              <w:keepLines/>
              <w:spacing w:before="40" w:after="40" w:line="200" w:lineRule="atLeast"/>
              <w:jc w:val="center"/>
              <w:rPr>
                <w:rFonts w:eastAsia="Times New Roman"/>
                <w:b w:val="0"/>
                <w:iCs/>
                <w:szCs w:val="17"/>
              </w:rPr>
            </w:pPr>
            <w:r w:rsidRPr="00822B08">
              <w:rPr>
                <w:rFonts w:asciiTheme="minorHAnsi" w:eastAsia="Times New Roman" w:hAnsiTheme="minorHAnsi"/>
                <w:b w:val="0"/>
                <w:iCs/>
                <w:szCs w:val="17"/>
                <w:lang w:eastAsia="en-US"/>
              </w:rPr>
              <w:t>4</w:t>
            </w:r>
          </w:p>
        </w:tc>
        <w:tc>
          <w:tcPr>
            <w:tcW w:w="411" w:type="pct"/>
            <w:tcBorders>
              <w:top w:val="nil"/>
            </w:tcBorders>
            <w:shd w:val="clear" w:color="auto" w:fill="FFC000"/>
            <w:noWrap/>
            <w:vAlign w:val="center"/>
          </w:tcPr>
          <w:p w:rsidR="00822B08" w:rsidRPr="00822B08" w:rsidRDefault="00822B08" w:rsidP="000A4225">
            <w:pPr>
              <w:keepLines/>
              <w:spacing w:before="40" w:after="40" w:line="200" w:lineRule="atLeast"/>
              <w:jc w:val="center"/>
              <w:rPr>
                <w:rFonts w:eastAsia="Times New Roman"/>
                <w:b w:val="0"/>
                <w:iCs/>
                <w:szCs w:val="17"/>
              </w:rPr>
            </w:pPr>
            <w:r w:rsidRPr="00822B08">
              <w:rPr>
                <w:rFonts w:asciiTheme="minorHAnsi" w:eastAsia="Times New Roman" w:hAnsiTheme="minorHAnsi"/>
                <w:b w:val="0"/>
                <w:iCs/>
                <w:szCs w:val="17"/>
                <w:lang w:eastAsia="en-US"/>
              </w:rPr>
              <w:t>3</w:t>
            </w:r>
          </w:p>
        </w:tc>
        <w:tc>
          <w:tcPr>
            <w:tcW w:w="415" w:type="pct"/>
            <w:shd w:val="clear" w:color="auto" w:fill="FFFF00"/>
            <w:noWrap/>
            <w:vAlign w:val="center"/>
          </w:tcPr>
          <w:p w:rsidR="00822B08" w:rsidRPr="00822B08" w:rsidRDefault="00822B08" w:rsidP="000A4225">
            <w:pPr>
              <w:keepLines/>
              <w:spacing w:before="40" w:after="40" w:line="200" w:lineRule="atLeast"/>
              <w:jc w:val="center"/>
              <w:rPr>
                <w:rFonts w:eastAsia="Times New Roman"/>
                <w:b w:val="0"/>
                <w:iCs/>
                <w:szCs w:val="17"/>
              </w:rPr>
            </w:pPr>
            <w:r w:rsidRPr="00822B08">
              <w:rPr>
                <w:rFonts w:asciiTheme="minorHAnsi" w:eastAsia="Times New Roman" w:hAnsiTheme="minorHAnsi"/>
                <w:b w:val="0"/>
                <w:iCs/>
                <w:szCs w:val="17"/>
                <w:lang w:eastAsia="en-US"/>
              </w:rPr>
              <w:t>4</w:t>
            </w:r>
          </w:p>
        </w:tc>
        <w:tc>
          <w:tcPr>
            <w:tcW w:w="408" w:type="pct"/>
            <w:vAlign w:val="center"/>
          </w:tcPr>
          <w:p w:rsidR="00822B08" w:rsidRPr="00822B08" w:rsidRDefault="00822B08" w:rsidP="000A4225">
            <w:pPr>
              <w:keepLines/>
              <w:spacing w:before="40" w:after="40" w:line="200" w:lineRule="atLeast"/>
              <w:jc w:val="center"/>
              <w:rPr>
                <w:rFonts w:eastAsia="Times New Roman"/>
                <w:b w:val="0"/>
                <w:iCs/>
                <w:szCs w:val="17"/>
              </w:rPr>
            </w:pPr>
            <w:r w:rsidRPr="00822B08">
              <w:rPr>
                <w:rFonts w:asciiTheme="minorHAnsi" w:eastAsia="Times New Roman" w:hAnsiTheme="minorHAnsi"/>
                <w:b w:val="0"/>
                <w:iCs/>
                <w:szCs w:val="17"/>
                <w:lang w:eastAsia="en-US"/>
              </w:rPr>
              <w:t>n/a</w:t>
            </w:r>
          </w:p>
        </w:tc>
      </w:tr>
      <w:tr w:rsidR="00822B08"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tcBorders>
              <w:top w:val="single" w:sz="4" w:space="0" w:color="auto"/>
              <w:bottom w:val="single" w:sz="4" w:space="0" w:color="auto"/>
            </w:tcBorders>
          </w:tcPr>
          <w:p w:rsidR="00822B08" w:rsidRPr="00812509" w:rsidRDefault="00822B08" w:rsidP="00822B08">
            <w:pPr>
              <w:keepLines/>
              <w:spacing w:before="40" w:after="40" w:line="200" w:lineRule="atLeast"/>
              <w:rPr>
                <w:rFonts w:eastAsia="Times New Roman"/>
                <w:iCs/>
                <w:szCs w:val="17"/>
              </w:rPr>
            </w:pPr>
          </w:p>
        </w:tc>
        <w:tc>
          <w:tcPr>
            <w:tcW w:w="652" w:type="pct"/>
            <w:vMerge/>
            <w:tcBorders>
              <w:top w:val="single" w:sz="4" w:space="0" w:color="auto"/>
              <w:bottom w:val="single" w:sz="4" w:space="0" w:color="auto"/>
            </w:tcBorders>
          </w:tcPr>
          <w:p w:rsidR="00822B08" w:rsidRPr="00812509" w:rsidRDefault="00822B08" w:rsidP="00822B08">
            <w:pPr>
              <w:keepLines/>
              <w:spacing w:before="40" w:after="40" w:line="200" w:lineRule="atLeast"/>
              <w:rPr>
                <w:rFonts w:eastAsia="Times New Roman"/>
                <w:iCs/>
                <w:szCs w:val="17"/>
              </w:rPr>
            </w:pPr>
          </w:p>
        </w:tc>
        <w:tc>
          <w:tcPr>
            <w:tcW w:w="411" w:type="pct"/>
            <w:tcBorders>
              <w:bottom w:val="single" w:sz="4" w:space="0" w:color="auto"/>
            </w:tcBorders>
          </w:tcPr>
          <w:p w:rsidR="00822B08" w:rsidRPr="00812509" w:rsidRDefault="00822B08" w:rsidP="00822B08">
            <w:pPr>
              <w:keepLines/>
              <w:spacing w:before="40" w:after="40" w:line="200" w:lineRule="atLeast"/>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1" w:type="pct"/>
            <w:tcBorders>
              <w:bottom w:val="single" w:sz="4" w:space="0" w:color="auto"/>
            </w:tcBorders>
            <w:shd w:val="clear" w:color="auto" w:fill="92D050"/>
            <w:noWrap/>
            <w:vAlign w:val="center"/>
          </w:tcPr>
          <w:p w:rsidR="00822B08" w:rsidRPr="00812509" w:rsidRDefault="00822B08" w:rsidP="000A4225">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4" w:type="pct"/>
            <w:tcBorders>
              <w:bottom w:val="single" w:sz="4" w:space="0" w:color="auto"/>
            </w:tcBorders>
            <w:shd w:val="clear" w:color="auto" w:fill="92D050"/>
            <w:noWrap/>
            <w:vAlign w:val="center"/>
          </w:tcPr>
          <w:p w:rsidR="00822B08" w:rsidRPr="00812509" w:rsidRDefault="00822B08" w:rsidP="000A4225">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92D050"/>
            <w:vAlign w:val="center"/>
          </w:tcPr>
          <w:p w:rsidR="00822B08" w:rsidRPr="00812509" w:rsidRDefault="00822B08" w:rsidP="000A4225">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92D050"/>
            <w:vAlign w:val="center"/>
          </w:tcPr>
          <w:p w:rsidR="00822B08" w:rsidRPr="00812509" w:rsidRDefault="00822B08" w:rsidP="000A4225">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5</w:t>
            </w:r>
          </w:p>
        </w:tc>
        <w:tc>
          <w:tcPr>
            <w:tcW w:w="411" w:type="pct"/>
            <w:tcBorders>
              <w:bottom w:val="single" w:sz="4" w:space="0" w:color="auto"/>
            </w:tcBorders>
            <w:shd w:val="clear" w:color="auto" w:fill="FFFF00"/>
            <w:noWrap/>
            <w:vAlign w:val="center"/>
          </w:tcPr>
          <w:p w:rsidR="00822B08" w:rsidRPr="00812509" w:rsidRDefault="00822B08" w:rsidP="000A4225">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5" w:type="pct"/>
            <w:tcBorders>
              <w:bottom w:val="single" w:sz="4" w:space="0" w:color="auto"/>
            </w:tcBorders>
            <w:shd w:val="clear" w:color="auto" w:fill="FFFF00"/>
            <w:noWrap/>
            <w:vAlign w:val="center"/>
          </w:tcPr>
          <w:p w:rsidR="00822B08" w:rsidRPr="00812509" w:rsidRDefault="00822B08" w:rsidP="000A4225">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08" w:type="pct"/>
            <w:tcBorders>
              <w:bottom w:val="single" w:sz="4" w:space="0" w:color="auto"/>
            </w:tcBorders>
            <w:shd w:val="clear" w:color="auto" w:fill="auto"/>
            <w:vAlign w:val="center"/>
          </w:tcPr>
          <w:p w:rsidR="00822B08" w:rsidRPr="00812509" w:rsidRDefault="00822B08" w:rsidP="000A4225">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n/a</w:t>
            </w:r>
          </w:p>
        </w:tc>
      </w:tr>
      <w:tr w:rsidR="000A4225"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val="restart"/>
          </w:tcPr>
          <w:p w:rsidR="000A4225" w:rsidRDefault="000A4225" w:rsidP="000A422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Laos Australia Development Learning Facility</w:t>
            </w:r>
          </w:p>
          <w:p w:rsidR="000A4225" w:rsidRPr="00812509" w:rsidRDefault="000A4225" w:rsidP="000A422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INL846</w:t>
            </w:r>
          </w:p>
        </w:tc>
        <w:tc>
          <w:tcPr>
            <w:tcW w:w="652" w:type="pct"/>
            <w:vMerge w:val="restart"/>
          </w:tcPr>
          <w:p w:rsidR="000A4225" w:rsidRDefault="000A4225" w:rsidP="000A422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$7.3m</w:t>
            </w:r>
          </w:p>
          <w:p w:rsidR="000A4225" w:rsidRPr="00812509" w:rsidRDefault="000A4225" w:rsidP="000A422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2015-20</w:t>
            </w:r>
          </w:p>
        </w:tc>
        <w:tc>
          <w:tcPr>
            <w:tcW w:w="411" w:type="pct"/>
          </w:tcPr>
          <w:p w:rsidR="000A4225" w:rsidRPr="00812509" w:rsidRDefault="000A4225" w:rsidP="000A422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AQC</w:t>
            </w:r>
          </w:p>
        </w:tc>
        <w:tc>
          <w:tcPr>
            <w:tcW w:w="411" w:type="pct"/>
            <w:shd w:val="clear" w:color="auto" w:fill="FFFF00"/>
            <w:noWrap/>
            <w:vAlign w:val="center"/>
          </w:tcPr>
          <w:p w:rsidR="000A4225" w:rsidRPr="00812509" w:rsidRDefault="000A4225" w:rsidP="000A4225">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4</w:t>
            </w:r>
          </w:p>
        </w:tc>
        <w:tc>
          <w:tcPr>
            <w:tcW w:w="414" w:type="pct"/>
            <w:shd w:val="clear" w:color="auto" w:fill="FFFF00"/>
            <w:noWrap/>
            <w:vAlign w:val="center"/>
          </w:tcPr>
          <w:p w:rsidR="000A4225" w:rsidRPr="00812509" w:rsidRDefault="000A4225" w:rsidP="000A4225">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4</w:t>
            </w:r>
          </w:p>
        </w:tc>
        <w:tc>
          <w:tcPr>
            <w:tcW w:w="411" w:type="pct"/>
            <w:shd w:val="clear" w:color="auto" w:fill="92D050"/>
            <w:vAlign w:val="center"/>
          </w:tcPr>
          <w:p w:rsidR="000A4225" w:rsidRPr="00812509" w:rsidRDefault="000A4225" w:rsidP="000A4225">
            <w:pPr>
              <w:keepLines/>
              <w:spacing w:before="40" w:after="40" w:line="200" w:lineRule="atLeast"/>
              <w:jc w:val="center"/>
              <w:rPr>
                <w:rFonts w:eastAsia="Times New Roman"/>
                <w:iCs/>
                <w:szCs w:val="17"/>
              </w:rPr>
            </w:pPr>
            <w:r w:rsidRPr="00822B08">
              <w:rPr>
                <w:rFonts w:asciiTheme="minorHAnsi" w:eastAsia="Times New Roman" w:hAnsiTheme="minorHAnsi"/>
                <w:iCs/>
                <w:szCs w:val="17"/>
                <w:lang w:eastAsia="en-US"/>
              </w:rPr>
              <w:t>5</w:t>
            </w:r>
          </w:p>
        </w:tc>
        <w:tc>
          <w:tcPr>
            <w:tcW w:w="411" w:type="pct"/>
            <w:shd w:val="clear" w:color="auto" w:fill="FFFF00"/>
            <w:vAlign w:val="center"/>
          </w:tcPr>
          <w:p w:rsidR="000A4225" w:rsidRPr="00812509" w:rsidRDefault="000A4225" w:rsidP="000A4225">
            <w:pPr>
              <w:keepLines/>
              <w:spacing w:before="40" w:after="40" w:line="200" w:lineRule="atLeast"/>
              <w:jc w:val="center"/>
              <w:rPr>
                <w:rFonts w:eastAsia="Times New Roman"/>
                <w:iCs/>
                <w:szCs w:val="17"/>
              </w:rPr>
            </w:pPr>
            <w:r w:rsidRPr="00822B08">
              <w:rPr>
                <w:rFonts w:asciiTheme="minorHAnsi" w:eastAsia="Times New Roman" w:hAnsiTheme="minorHAnsi"/>
                <w:iCs/>
                <w:szCs w:val="17"/>
                <w:lang w:eastAsia="en-US"/>
              </w:rPr>
              <w:t>4</w:t>
            </w:r>
          </w:p>
        </w:tc>
        <w:tc>
          <w:tcPr>
            <w:tcW w:w="411" w:type="pct"/>
            <w:shd w:val="clear" w:color="auto" w:fill="FFFF00"/>
            <w:noWrap/>
            <w:vAlign w:val="center"/>
          </w:tcPr>
          <w:p w:rsidR="000A4225" w:rsidRPr="00812509" w:rsidRDefault="000A4225" w:rsidP="000A4225">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4</w:t>
            </w:r>
          </w:p>
        </w:tc>
        <w:tc>
          <w:tcPr>
            <w:tcW w:w="415" w:type="pct"/>
            <w:shd w:val="clear" w:color="auto" w:fill="FFFF00"/>
            <w:noWrap/>
            <w:vAlign w:val="center"/>
          </w:tcPr>
          <w:p w:rsidR="000A4225" w:rsidRPr="00812509" w:rsidRDefault="000A4225" w:rsidP="000A4225">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4</w:t>
            </w:r>
          </w:p>
        </w:tc>
        <w:tc>
          <w:tcPr>
            <w:tcW w:w="408" w:type="pct"/>
            <w:vAlign w:val="center"/>
          </w:tcPr>
          <w:p w:rsidR="000A4225" w:rsidRPr="00812509" w:rsidRDefault="000A4225" w:rsidP="000A4225">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n/a</w:t>
            </w:r>
          </w:p>
        </w:tc>
      </w:tr>
      <w:tr w:rsidR="00FE7D2A" w:rsidRPr="00C61187" w:rsidTr="00656D77">
        <w:trPr>
          <w:cnfStyle w:val="000000010000" w:firstRow="0" w:lastRow="0" w:firstColumn="0" w:lastColumn="0" w:oddVBand="0" w:evenVBand="0" w:oddHBand="0" w:evenHBand="1" w:firstRowFirstColumn="0" w:firstRowLastColumn="0" w:lastRowFirstColumn="0" w:lastRowLastColumn="0"/>
          <w:trHeight w:val="284"/>
        </w:trPr>
        <w:tc>
          <w:tcPr>
            <w:tcW w:w="897" w:type="pct"/>
            <w:vMerge/>
          </w:tcPr>
          <w:p w:rsidR="00FE7D2A" w:rsidRPr="00812509" w:rsidRDefault="00FE7D2A" w:rsidP="00FE7D2A">
            <w:pPr>
              <w:keepLines/>
              <w:spacing w:before="40" w:after="40" w:line="200" w:lineRule="atLeast"/>
              <w:rPr>
                <w:rFonts w:asciiTheme="minorHAnsi" w:eastAsia="Times New Roman" w:hAnsiTheme="minorHAnsi"/>
                <w:iCs/>
                <w:szCs w:val="17"/>
                <w:lang w:eastAsia="en-US"/>
              </w:rPr>
            </w:pPr>
          </w:p>
        </w:tc>
        <w:tc>
          <w:tcPr>
            <w:tcW w:w="652" w:type="pct"/>
            <w:vMerge/>
          </w:tcPr>
          <w:p w:rsidR="00FE7D2A" w:rsidRPr="00812509" w:rsidRDefault="00FE7D2A" w:rsidP="00FE7D2A">
            <w:pPr>
              <w:keepLines/>
              <w:spacing w:before="40" w:after="40" w:line="200" w:lineRule="atLeast"/>
              <w:rPr>
                <w:rFonts w:asciiTheme="minorHAnsi" w:eastAsia="Times New Roman" w:hAnsiTheme="minorHAnsi"/>
                <w:iCs/>
                <w:szCs w:val="17"/>
                <w:lang w:eastAsia="en-US"/>
              </w:rPr>
            </w:pPr>
          </w:p>
        </w:tc>
        <w:tc>
          <w:tcPr>
            <w:tcW w:w="411" w:type="pct"/>
          </w:tcPr>
          <w:p w:rsidR="00FE7D2A" w:rsidRPr="00812509" w:rsidRDefault="00FE7D2A" w:rsidP="00FE7D2A">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AQC</w:t>
            </w:r>
          </w:p>
        </w:tc>
        <w:tc>
          <w:tcPr>
            <w:tcW w:w="411" w:type="pct"/>
            <w:shd w:val="clear" w:color="auto" w:fill="92D050"/>
            <w:noWrap/>
            <w:vAlign w:val="center"/>
          </w:tcPr>
          <w:p w:rsidR="00FE7D2A" w:rsidRPr="00812509" w:rsidRDefault="00FE7D2A" w:rsidP="00FE7D2A">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4" w:type="pct"/>
            <w:shd w:val="clear" w:color="auto" w:fill="92D050"/>
            <w:noWrap/>
            <w:vAlign w:val="center"/>
          </w:tcPr>
          <w:p w:rsidR="00FE7D2A" w:rsidRPr="00812509" w:rsidRDefault="00FE7D2A" w:rsidP="00FE7D2A">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5</w:t>
            </w:r>
          </w:p>
        </w:tc>
        <w:tc>
          <w:tcPr>
            <w:tcW w:w="411" w:type="pct"/>
            <w:shd w:val="clear" w:color="auto" w:fill="92D050"/>
            <w:vAlign w:val="center"/>
          </w:tcPr>
          <w:p w:rsidR="00FE7D2A" w:rsidRPr="00812509" w:rsidRDefault="00FE7D2A" w:rsidP="00FE7D2A">
            <w:pPr>
              <w:keepLines/>
              <w:spacing w:before="40" w:after="40" w:line="200" w:lineRule="atLeast"/>
              <w:jc w:val="center"/>
              <w:rPr>
                <w:rFonts w:eastAsia="Times New Roman"/>
                <w:iCs/>
                <w:szCs w:val="17"/>
              </w:rPr>
            </w:pPr>
            <w:r w:rsidRPr="00822B08">
              <w:rPr>
                <w:rFonts w:asciiTheme="minorHAnsi" w:eastAsia="Times New Roman" w:hAnsiTheme="minorHAnsi"/>
                <w:iCs/>
                <w:szCs w:val="17"/>
                <w:lang w:eastAsia="en-US"/>
              </w:rPr>
              <w:t>5</w:t>
            </w:r>
          </w:p>
        </w:tc>
        <w:tc>
          <w:tcPr>
            <w:tcW w:w="411" w:type="pct"/>
            <w:shd w:val="clear" w:color="auto" w:fill="FFFF00"/>
            <w:vAlign w:val="center"/>
          </w:tcPr>
          <w:p w:rsidR="00FE7D2A" w:rsidRPr="00812509" w:rsidRDefault="00FE7D2A" w:rsidP="00FE7D2A">
            <w:pPr>
              <w:keepLines/>
              <w:spacing w:before="40" w:after="40" w:line="200" w:lineRule="atLeast"/>
              <w:jc w:val="center"/>
              <w:rPr>
                <w:rFonts w:eastAsia="Times New Roman"/>
                <w:iCs/>
                <w:szCs w:val="17"/>
              </w:rPr>
            </w:pPr>
            <w:r w:rsidRPr="00822B08">
              <w:rPr>
                <w:rFonts w:asciiTheme="minorHAnsi" w:eastAsia="Times New Roman" w:hAnsiTheme="minorHAnsi"/>
                <w:iCs/>
                <w:szCs w:val="17"/>
                <w:lang w:eastAsia="en-US"/>
              </w:rPr>
              <w:t>4</w:t>
            </w:r>
          </w:p>
        </w:tc>
        <w:tc>
          <w:tcPr>
            <w:tcW w:w="411" w:type="pct"/>
            <w:shd w:val="clear" w:color="auto" w:fill="FFFF00"/>
            <w:noWrap/>
            <w:vAlign w:val="center"/>
          </w:tcPr>
          <w:p w:rsidR="00FE7D2A" w:rsidRPr="00812509" w:rsidRDefault="00FE7D2A" w:rsidP="00FE7D2A">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4</w:t>
            </w:r>
          </w:p>
        </w:tc>
        <w:tc>
          <w:tcPr>
            <w:tcW w:w="415" w:type="pct"/>
            <w:shd w:val="clear" w:color="auto" w:fill="FFFF00"/>
            <w:noWrap/>
            <w:vAlign w:val="center"/>
          </w:tcPr>
          <w:p w:rsidR="00FE7D2A" w:rsidRPr="00812509" w:rsidRDefault="00FE7D2A" w:rsidP="00FE7D2A">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4</w:t>
            </w:r>
          </w:p>
        </w:tc>
        <w:tc>
          <w:tcPr>
            <w:tcW w:w="408" w:type="pct"/>
            <w:vAlign w:val="center"/>
          </w:tcPr>
          <w:p w:rsidR="00FE7D2A" w:rsidRPr="00812509" w:rsidRDefault="00FE7D2A" w:rsidP="00FE7D2A">
            <w:pPr>
              <w:keepLines/>
              <w:spacing w:before="40" w:after="40" w:line="200" w:lineRule="atLeast"/>
              <w:jc w:val="center"/>
              <w:rPr>
                <w:rFonts w:asciiTheme="minorHAnsi" w:eastAsia="Times New Roman" w:hAnsiTheme="minorHAnsi"/>
                <w:iCs/>
                <w:szCs w:val="17"/>
                <w:lang w:eastAsia="en-US"/>
              </w:rPr>
            </w:pPr>
            <w:r w:rsidRPr="00822B08">
              <w:rPr>
                <w:rFonts w:asciiTheme="minorHAnsi" w:eastAsia="Times New Roman" w:hAnsiTheme="minorHAnsi"/>
                <w:iCs/>
                <w:szCs w:val="17"/>
                <w:lang w:eastAsia="en-US"/>
              </w:rPr>
              <w:t>n/a</w:t>
            </w:r>
          </w:p>
        </w:tc>
      </w:tr>
    </w:tbl>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FAQC ratings </w:t>
      </w:r>
    </w:p>
    <w:p w:rsidR="00A8197B" w:rsidRPr="00C61187" w:rsidRDefault="00A8197B" w:rsidP="00A8197B">
      <w:r w:rsidRPr="00C61187">
        <w:t>Final AQCs assess performance over the lifetime of the investment.</w:t>
      </w:r>
    </w:p>
    <w:tbl>
      <w:tblPr>
        <w:tblStyle w:val="APPR"/>
        <w:tblW w:w="5004" w:type="pct"/>
        <w:tblLook w:val="0000" w:firstRow="0" w:lastRow="0" w:firstColumn="0" w:lastColumn="0" w:noHBand="0" w:noVBand="0"/>
      </w:tblPr>
      <w:tblGrid>
        <w:gridCol w:w="1765"/>
        <w:gridCol w:w="1276"/>
        <w:gridCol w:w="822"/>
        <w:gridCol w:w="827"/>
        <w:gridCol w:w="827"/>
        <w:gridCol w:w="827"/>
        <w:gridCol w:w="827"/>
        <w:gridCol w:w="827"/>
        <w:gridCol w:w="825"/>
        <w:gridCol w:w="823"/>
      </w:tblGrid>
      <w:tr w:rsidR="00866268" w:rsidRPr="00812509" w:rsidTr="00866268">
        <w:trPr>
          <w:cnfStyle w:val="000000010000" w:firstRow="0" w:lastRow="0" w:firstColumn="0" w:lastColumn="0" w:oddVBand="0" w:evenVBand="0" w:oddHBand="0" w:evenHBand="1" w:firstRowFirstColumn="0" w:firstRowLastColumn="0" w:lastRowFirstColumn="0" w:lastRowLastColumn="0"/>
          <w:trHeight w:val="1505"/>
        </w:trPr>
        <w:tc>
          <w:tcPr>
            <w:tcW w:w="893" w:type="pct"/>
          </w:tcPr>
          <w:p w:rsidR="00866268" w:rsidRPr="00812509" w:rsidRDefault="00866268" w:rsidP="00866268">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707392" behindDoc="0" locked="0" layoutInCell="1" allowOverlap="1" wp14:anchorId="168DD66E" wp14:editId="5A67ED5C">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48" w:type="pct"/>
            <w:textDirection w:val="btLr"/>
          </w:tcPr>
          <w:p w:rsidR="00866268" w:rsidRPr="00812509" w:rsidRDefault="00866268" w:rsidP="0086626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1" w:type="pct"/>
            <w:noWrap/>
            <w:textDirection w:val="btLr"/>
          </w:tcPr>
          <w:p w:rsidR="00866268" w:rsidRPr="00812509" w:rsidRDefault="00866268" w:rsidP="0086626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4" w:type="pct"/>
            <w:noWrap/>
            <w:textDirection w:val="btLr"/>
          </w:tcPr>
          <w:p w:rsidR="00866268" w:rsidRPr="00812509" w:rsidRDefault="00866268" w:rsidP="0086626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4" w:type="pct"/>
            <w:noWrap/>
            <w:textDirection w:val="btLr"/>
          </w:tcPr>
          <w:p w:rsidR="00866268" w:rsidRPr="00812509" w:rsidRDefault="00866268" w:rsidP="0086626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4" w:type="pct"/>
            <w:textDirection w:val="btLr"/>
          </w:tcPr>
          <w:p w:rsidR="00866268" w:rsidRPr="00812509" w:rsidRDefault="00866268" w:rsidP="00866268">
            <w:pPr>
              <w:keepLines/>
              <w:spacing w:before="80" w:after="80" w:line="200" w:lineRule="atLeast"/>
              <w:rPr>
                <w:rFonts w:eastAsia="Times New Roman"/>
                <w:b/>
                <w:iCs/>
                <w:szCs w:val="17"/>
              </w:rPr>
            </w:pPr>
            <w:r w:rsidRPr="00812509">
              <w:rPr>
                <w:rFonts w:asciiTheme="minorHAnsi" w:eastAsia="Times New Roman" w:hAnsiTheme="minorHAnsi"/>
                <w:b/>
                <w:iCs/>
                <w:szCs w:val="17"/>
                <w:lang w:eastAsia="en-US"/>
              </w:rPr>
              <w:t>Relevance</w:t>
            </w:r>
          </w:p>
        </w:tc>
        <w:tc>
          <w:tcPr>
            <w:tcW w:w="414" w:type="pct"/>
            <w:textDirection w:val="btLr"/>
          </w:tcPr>
          <w:p w:rsidR="00866268" w:rsidRPr="00812509" w:rsidRDefault="00866268" w:rsidP="0086626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14" w:type="pct"/>
            <w:textDirection w:val="btLr"/>
          </w:tcPr>
          <w:p w:rsidR="00866268" w:rsidRPr="00812509" w:rsidRDefault="00866268" w:rsidP="00866268">
            <w:pPr>
              <w:keepLines/>
              <w:spacing w:before="80" w:after="80" w:line="200" w:lineRule="atLeast"/>
              <w:rPr>
                <w:rFonts w:eastAsia="Times New Roman"/>
                <w:b/>
                <w:iCs/>
                <w:szCs w:val="17"/>
              </w:rPr>
            </w:pPr>
            <w:r w:rsidRPr="00812509">
              <w:rPr>
                <w:rFonts w:asciiTheme="minorHAnsi" w:eastAsia="Times New Roman" w:hAnsiTheme="minorHAnsi"/>
                <w:b/>
                <w:iCs/>
                <w:szCs w:val="17"/>
                <w:lang w:eastAsia="en-US"/>
              </w:rPr>
              <w:t>Monitoring and Evaluation</w:t>
            </w:r>
          </w:p>
        </w:tc>
        <w:tc>
          <w:tcPr>
            <w:tcW w:w="413" w:type="pct"/>
            <w:textDirection w:val="btLr"/>
          </w:tcPr>
          <w:p w:rsidR="00866268" w:rsidRPr="00812509" w:rsidRDefault="00866268" w:rsidP="00866268">
            <w:pPr>
              <w:keepLines/>
              <w:spacing w:before="80" w:after="80" w:line="200" w:lineRule="atLeast"/>
              <w:rPr>
                <w:rFonts w:eastAsia="Times New Roman"/>
                <w:b/>
                <w:iCs/>
                <w:szCs w:val="17"/>
              </w:rPr>
            </w:pPr>
            <w:r w:rsidRPr="00812509">
              <w:rPr>
                <w:rFonts w:asciiTheme="minorHAnsi" w:eastAsia="Times New Roman" w:hAnsiTheme="minorHAnsi"/>
                <w:b/>
                <w:iCs/>
                <w:szCs w:val="17"/>
                <w:lang w:eastAsia="en-US"/>
              </w:rPr>
              <w:t>Sustainability</w:t>
            </w:r>
          </w:p>
        </w:tc>
        <w:tc>
          <w:tcPr>
            <w:tcW w:w="405" w:type="pct"/>
            <w:textDirection w:val="btLr"/>
          </w:tcPr>
          <w:p w:rsidR="00866268" w:rsidRPr="00812509" w:rsidRDefault="00866268" w:rsidP="00866268">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866268" w:rsidRPr="00812509" w:rsidTr="008E28AF">
        <w:trPr>
          <w:cnfStyle w:val="000000010000" w:firstRow="0" w:lastRow="0" w:firstColumn="0" w:lastColumn="0" w:oddVBand="0" w:evenVBand="0" w:oddHBand="0" w:evenHBand="1" w:firstRowFirstColumn="0" w:firstRowLastColumn="0" w:lastRowFirstColumn="0" w:lastRowLastColumn="0"/>
          <w:trHeight w:val="284"/>
        </w:trPr>
        <w:tc>
          <w:tcPr>
            <w:tcW w:w="893" w:type="pct"/>
          </w:tcPr>
          <w:p w:rsidR="00866268" w:rsidRPr="00812509" w:rsidRDefault="00866268" w:rsidP="00866268">
            <w:pPr>
              <w:keepLines/>
              <w:spacing w:before="40" w:after="40" w:line="200" w:lineRule="atLeast"/>
              <w:rPr>
                <w:rFonts w:asciiTheme="minorHAnsi" w:eastAsia="Times New Roman" w:hAnsiTheme="minorHAnsi"/>
                <w:iCs/>
                <w:szCs w:val="17"/>
                <w:lang w:eastAsia="en-US"/>
              </w:rPr>
            </w:pPr>
            <w:r w:rsidRPr="00866268">
              <w:rPr>
                <w:rFonts w:asciiTheme="minorHAnsi" w:eastAsia="Times New Roman" w:hAnsiTheme="minorHAnsi"/>
                <w:iCs/>
                <w:szCs w:val="17"/>
                <w:lang w:eastAsia="en-US"/>
              </w:rPr>
              <w:t>Basic Education School Meals and WATSAN Program</w:t>
            </w:r>
          </w:p>
        </w:tc>
        <w:tc>
          <w:tcPr>
            <w:tcW w:w="648" w:type="pct"/>
          </w:tcPr>
          <w:p w:rsidR="00866268" w:rsidRPr="00656D77" w:rsidRDefault="00866268" w:rsidP="00866268">
            <w:pPr>
              <w:autoSpaceDE w:val="0"/>
              <w:autoSpaceDN w:val="0"/>
              <w:adjustRightInd w:val="0"/>
              <w:rPr>
                <w:rFonts w:asciiTheme="minorHAnsi" w:hAnsiTheme="minorHAnsi" w:cs="Franklin Gothic Book"/>
                <w:szCs w:val="17"/>
              </w:rPr>
            </w:pPr>
            <w:r w:rsidRPr="00656D77">
              <w:rPr>
                <w:rFonts w:asciiTheme="minorHAnsi" w:hAnsiTheme="minorHAnsi" w:cs="Franklin Gothic Book"/>
                <w:szCs w:val="17"/>
              </w:rPr>
              <w:t xml:space="preserve">$18.4m </w:t>
            </w:r>
          </w:p>
          <w:p w:rsidR="00866268" w:rsidRPr="00812509" w:rsidRDefault="00866268" w:rsidP="00866268">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2</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8</w:t>
            </w:r>
            <w:r w:rsidRPr="00812509">
              <w:rPr>
                <w:rFonts w:asciiTheme="minorHAnsi" w:eastAsia="Times New Roman" w:hAnsiTheme="minorHAnsi"/>
                <w:iCs/>
                <w:szCs w:val="17"/>
                <w:lang w:eastAsia="en-US"/>
              </w:rPr>
              <w:t xml:space="preserve"> </w:t>
            </w:r>
          </w:p>
        </w:tc>
        <w:tc>
          <w:tcPr>
            <w:tcW w:w="411" w:type="pct"/>
            <w:shd w:val="clear" w:color="auto" w:fill="FFFF00"/>
            <w:noWrap/>
            <w:vAlign w:val="center"/>
          </w:tcPr>
          <w:p w:rsidR="00866268" w:rsidRPr="00812509" w:rsidRDefault="00866268" w:rsidP="008E28A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shd w:val="clear" w:color="auto" w:fill="FFFF00"/>
            <w:noWrap/>
            <w:vAlign w:val="center"/>
          </w:tcPr>
          <w:p w:rsidR="00866268" w:rsidRPr="00812509" w:rsidRDefault="00866268" w:rsidP="008E28A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shd w:val="clear" w:color="auto" w:fill="FFFF00"/>
            <w:noWrap/>
            <w:vAlign w:val="center"/>
          </w:tcPr>
          <w:p w:rsidR="00866268" w:rsidRPr="00812509" w:rsidRDefault="00866268" w:rsidP="008E28A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4" w:type="pct"/>
            <w:shd w:val="clear" w:color="auto" w:fill="FFFF00"/>
            <w:vAlign w:val="center"/>
          </w:tcPr>
          <w:p w:rsidR="00866268" w:rsidRPr="00812509" w:rsidRDefault="00866268" w:rsidP="008E28AF">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4</w:t>
            </w:r>
          </w:p>
        </w:tc>
        <w:tc>
          <w:tcPr>
            <w:tcW w:w="414" w:type="pct"/>
            <w:shd w:val="clear" w:color="auto" w:fill="FFC000"/>
            <w:vAlign w:val="center"/>
          </w:tcPr>
          <w:p w:rsidR="00866268" w:rsidRPr="00812509" w:rsidRDefault="00866268" w:rsidP="008E28A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3</w:t>
            </w:r>
          </w:p>
        </w:tc>
        <w:tc>
          <w:tcPr>
            <w:tcW w:w="414" w:type="pct"/>
            <w:shd w:val="clear" w:color="auto" w:fill="FFC000"/>
            <w:vAlign w:val="center"/>
          </w:tcPr>
          <w:p w:rsidR="00866268" w:rsidRPr="00812509" w:rsidRDefault="00866268" w:rsidP="008E28AF">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3</w:t>
            </w:r>
          </w:p>
        </w:tc>
        <w:tc>
          <w:tcPr>
            <w:tcW w:w="413" w:type="pct"/>
            <w:shd w:val="clear" w:color="auto" w:fill="FFC000"/>
            <w:vAlign w:val="center"/>
          </w:tcPr>
          <w:p w:rsidR="00866268" w:rsidRPr="00812509" w:rsidRDefault="00866268" w:rsidP="008E28AF">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3</w:t>
            </w:r>
          </w:p>
        </w:tc>
        <w:tc>
          <w:tcPr>
            <w:tcW w:w="405" w:type="pct"/>
            <w:shd w:val="clear" w:color="auto" w:fill="auto"/>
            <w:vAlign w:val="center"/>
          </w:tcPr>
          <w:p w:rsidR="00866268" w:rsidRPr="00812509" w:rsidRDefault="00866268" w:rsidP="008E28AF">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w:t>
            </w: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A8197B" w:rsidRDefault="00A8197B" w:rsidP="00656D77">
      <w:pPr>
        <w:spacing w:before="20" w:after="20" w:line="180" w:lineRule="atLeast"/>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sectPr w:rsidR="00A8197B" w:rsidRPr="00A8197B" w:rsidSect="004839E3">
      <w:headerReference w:type="default" r:id="rId32"/>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7F" w:rsidRDefault="00894D7F" w:rsidP="00EF4574">
      <w:pPr>
        <w:spacing w:before="0" w:after="0" w:line="240" w:lineRule="auto"/>
      </w:pPr>
      <w:r>
        <w:separator/>
      </w:r>
    </w:p>
  </w:endnote>
  <w:endnote w:type="continuationSeparator" w:id="0">
    <w:p w:rsidR="00894D7F" w:rsidRDefault="00894D7F"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4" w:rsidRDefault="00BF1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Default="0054234E" w:rsidP="004839E3">
    <w:pPr>
      <w:pStyle w:val="Footer"/>
      <w:rPr>
        <w:lang w:val="en-AU"/>
      </w:rPr>
    </w:pPr>
  </w:p>
  <w:p w:rsidR="0054234E" w:rsidRDefault="0054234E" w:rsidP="004839E3">
    <w:pPr>
      <w:pStyle w:val="Footer"/>
    </w:pPr>
  </w:p>
  <w:p w:rsidR="0054234E" w:rsidRPr="00CD0E4B" w:rsidRDefault="0054234E" w:rsidP="004839E3">
    <w:pPr>
      <w:pStyle w:val="Footer"/>
    </w:pPr>
    <w:r w:rsidRPr="00CD0E4B">
      <w:rPr>
        <w:noProof/>
        <w:lang w:val="en-AU" w:eastAsia="en-AU"/>
      </w:rPr>
      <w:drawing>
        <wp:inline distT="0" distB="0" distL="0" distR="0" wp14:anchorId="4149F843" wp14:editId="4DC5FF7A">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54234E" w:rsidRPr="00CD0E4B" w:rsidRDefault="0054234E" w:rsidP="004839E3">
    <w:pPr>
      <w:pStyle w:val="Footer"/>
      <w:rPr>
        <w:color w:val="ACD08C" w:themeColor="accent3"/>
      </w:rPr>
    </w:pPr>
    <w:r w:rsidRPr="00CD0E4B">
      <w:rPr>
        <w:color w:val="ACD08C" w:themeColor="accent3"/>
      </w:rPr>
      <w:t>DFAT.GOV.AU</w:t>
    </w:r>
  </w:p>
  <w:p w:rsidR="0054234E" w:rsidRPr="004839E3" w:rsidRDefault="0054234E"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Pr="004839E3" w:rsidRDefault="0054234E"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1B16E16C" wp14:editId="57D2B67D">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rsidR="0054234E" w:rsidRDefault="0054234E"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Default="0054234E" w:rsidP="004839E3">
    <w:pPr>
      <w:pStyle w:val="Footer"/>
      <w:rPr>
        <w:lang w:val="en-AU"/>
      </w:rPr>
    </w:pPr>
  </w:p>
  <w:p w:rsidR="0054234E" w:rsidRDefault="0054234E" w:rsidP="004839E3">
    <w:pPr>
      <w:pStyle w:val="Footer"/>
    </w:pPr>
  </w:p>
  <w:p w:rsidR="0054234E" w:rsidRPr="00CD0E4B" w:rsidRDefault="0054234E" w:rsidP="004839E3">
    <w:pPr>
      <w:pStyle w:val="Footer"/>
    </w:pPr>
    <w:r w:rsidRPr="00CD0E4B">
      <w:rPr>
        <w:noProof/>
        <w:lang w:val="en-AU" w:eastAsia="en-AU"/>
      </w:rPr>
      <w:drawing>
        <wp:inline distT="0" distB="0" distL="0" distR="0" wp14:anchorId="2FB1C7CC" wp14:editId="524AAC75">
          <wp:extent cx="90000" cy="74520"/>
          <wp:effectExtent l="0" t="0" r="571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54234E" w:rsidRPr="00CD0E4B" w:rsidRDefault="0054234E" w:rsidP="004839E3">
    <w:pPr>
      <w:pStyle w:val="Footer"/>
      <w:rPr>
        <w:color w:val="ACD08C" w:themeColor="accent3"/>
      </w:rPr>
    </w:pPr>
    <w:r w:rsidRPr="00CD0E4B">
      <w:rPr>
        <w:color w:val="ACD08C" w:themeColor="accent3"/>
      </w:rPr>
      <w:t>DFAT.GOV.AU</w:t>
    </w:r>
  </w:p>
  <w:p w:rsidR="0054234E" w:rsidRPr="004839E3" w:rsidRDefault="0054234E"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7F" w:rsidRPr="008C5A0E" w:rsidRDefault="00894D7F" w:rsidP="001D663E">
      <w:pPr>
        <w:pStyle w:val="Footer"/>
        <w:pBdr>
          <w:top w:val="single" w:sz="4" w:space="1" w:color="495965" w:themeColor="text2"/>
        </w:pBdr>
      </w:pPr>
    </w:p>
  </w:footnote>
  <w:footnote w:type="continuationSeparator" w:id="0">
    <w:p w:rsidR="00894D7F" w:rsidRDefault="00894D7F" w:rsidP="00EF4574">
      <w:pPr>
        <w:spacing w:before="0" w:after="0" w:line="240" w:lineRule="auto"/>
      </w:pPr>
      <w:r>
        <w:continuationSeparator/>
      </w:r>
    </w:p>
  </w:footnote>
  <w:footnote w:id="1">
    <w:p w:rsidR="0054234E" w:rsidRPr="003C73EA" w:rsidRDefault="0054234E" w:rsidP="00B001B5">
      <w:pPr>
        <w:pStyle w:val="FootnoteText"/>
      </w:pPr>
      <w:r>
        <w:rPr>
          <w:rStyle w:val="FootnoteReference"/>
        </w:rPr>
        <w:footnoteRef/>
      </w:r>
      <w:r>
        <w:t xml:space="preserve"> </w:t>
      </w:r>
      <w:r w:rsidRPr="003C73EA">
        <w:t>World Bank. 2018. Doing business in Lao PDR: constraints to productiv</w:t>
      </w:r>
      <w:r>
        <w:t>ity (English). Washington, D.C.</w:t>
      </w:r>
      <w:r w:rsidRPr="003C73EA">
        <w:t>: World Bank Group.</w:t>
      </w:r>
    </w:p>
  </w:footnote>
  <w:footnote w:id="2">
    <w:p w:rsidR="0054234E" w:rsidRPr="00C932E4" w:rsidRDefault="0054234E">
      <w:pPr>
        <w:pStyle w:val="FootnoteText"/>
        <w:rPr>
          <w:lang w:val="en-AU"/>
        </w:rPr>
      </w:pPr>
      <w:r>
        <w:rPr>
          <w:rStyle w:val="FootnoteReference"/>
        </w:rPr>
        <w:footnoteRef/>
      </w:r>
      <w:r>
        <w:t xml:space="preserve"> </w:t>
      </w:r>
      <w:r>
        <w:rPr>
          <w:lang w:val="en-AU"/>
        </w:rPr>
        <w:t>Lao Australia Development Learning Facility (2018),</w:t>
      </w:r>
      <w:r w:rsidRPr="00C932E4">
        <w:t xml:space="preserve"> </w:t>
      </w:r>
      <w:r w:rsidRPr="008B2CAE">
        <w:rPr>
          <w:i/>
          <w:lang w:val="en-AU"/>
        </w:rPr>
        <w:t>Options for Future Australian Aid Investments in Trade and Private Sector Development in Laos</w:t>
      </w:r>
      <w:r>
        <w:rPr>
          <w:lang w:val="en-AU"/>
        </w:rPr>
        <w:t xml:space="preserve"> </w:t>
      </w:r>
    </w:p>
  </w:footnote>
  <w:footnote w:id="3">
    <w:p w:rsidR="0054234E" w:rsidRPr="0084027B" w:rsidRDefault="0054234E">
      <w:pPr>
        <w:pStyle w:val="FootnoteText"/>
        <w:rPr>
          <w:lang w:val="en-AU"/>
        </w:rPr>
      </w:pPr>
      <w:r>
        <w:rPr>
          <w:rStyle w:val="FootnoteReference"/>
        </w:rPr>
        <w:footnoteRef/>
      </w:r>
      <w:r>
        <w:t xml:space="preserve"> </w:t>
      </w:r>
      <w:r>
        <w:rPr>
          <w:lang w:val="en-AU"/>
        </w:rPr>
        <w:t>Australian support comprises 44% of total funding to TDF2.</w:t>
      </w:r>
    </w:p>
  </w:footnote>
  <w:footnote w:id="4">
    <w:p w:rsidR="0054234E" w:rsidRPr="00570BAA" w:rsidRDefault="0054234E">
      <w:pPr>
        <w:pStyle w:val="FootnoteText"/>
        <w:rPr>
          <w:lang w:val="en-AU"/>
        </w:rPr>
      </w:pPr>
      <w:r>
        <w:rPr>
          <w:rStyle w:val="FootnoteReference"/>
        </w:rPr>
        <w:footnoteRef/>
      </w:r>
      <w:r>
        <w:t xml:space="preserve"> </w:t>
      </w:r>
      <w:r>
        <w:rPr>
          <w:lang w:val="en-AU"/>
        </w:rPr>
        <w:t>Refer to the ASEAN and Mekong APPR 2017-18 for performance results.</w:t>
      </w:r>
    </w:p>
  </w:footnote>
  <w:footnote w:id="5">
    <w:p w:rsidR="0054234E" w:rsidRPr="0052633D" w:rsidRDefault="0054234E">
      <w:pPr>
        <w:pStyle w:val="FootnoteText"/>
        <w:rPr>
          <w:lang w:val="en-AU"/>
        </w:rPr>
      </w:pPr>
      <w:r>
        <w:rPr>
          <w:rStyle w:val="FootnoteReference"/>
        </w:rPr>
        <w:footnoteRef/>
      </w:r>
      <w:r>
        <w:t xml:space="preserve"> </w:t>
      </w:r>
      <w:r>
        <w:rPr>
          <w:lang w:val="en-AU"/>
        </w:rPr>
        <w:t>Refer to the ASEAN and Mekong APPR 2017-18 for performance information.</w:t>
      </w:r>
    </w:p>
  </w:footnote>
  <w:footnote w:id="6">
    <w:p w:rsidR="0054234E" w:rsidRPr="00AB0F1D" w:rsidRDefault="0054234E">
      <w:pPr>
        <w:pStyle w:val="FootnoteText"/>
        <w:rPr>
          <w:lang w:val="en-AU"/>
        </w:rPr>
      </w:pPr>
      <w:r>
        <w:rPr>
          <w:rStyle w:val="FootnoteReference"/>
        </w:rPr>
        <w:footnoteRef/>
      </w:r>
      <w:r>
        <w:t xml:space="preserve"> </w:t>
      </w:r>
      <w:r>
        <w:rPr>
          <w:lang w:val="en-AU"/>
        </w:rPr>
        <w:t xml:space="preserve">As above, refer to the </w:t>
      </w:r>
      <w:r w:rsidRPr="00AB0F1D">
        <w:rPr>
          <w:lang w:val="en-AU"/>
        </w:rPr>
        <w:t>ASEAN and Mekong APPR 2017-18 for performance information</w:t>
      </w:r>
      <w:r>
        <w:rPr>
          <w:lang w:val="en-AU"/>
        </w:rPr>
        <w:t>.</w:t>
      </w:r>
    </w:p>
  </w:footnote>
  <w:footnote w:id="7">
    <w:p w:rsidR="0054234E" w:rsidRPr="007A1351" w:rsidRDefault="0054234E">
      <w:pPr>
        <w:pStyle w:val="FootnoteText"/>
        <w:rPr>
          <w:lang w:val="en-AU"/>
        </w:rPr>
      </w:pPr>
      <w:r>
        <w:rPr>
          <w:rStyle w:val="FootnoteReference"/>
        </w:rPr>
        <w:footnoteRef/>
      </w:r>
      <w:r>
        <w:t xml:space="preserve"> </w:t>
      </w:r>
      <w:hyperlink r:id="rId1" w:history="1">
        <w:r w:rsidRPr="00BB213D">
          <w:rPr>
            <w:rStyle w:val="Hyperlink"/>
            <w:rFonts w:cstheme="minorBidi"/>
          </w:rPr>
          <w:t>https://dfat.gov.au/aid/who-we-work-with/ngos/ancp/Pages/projects.aspx</w:t>
        </w:r>
      </w:hyperlink>
      <w:r>
        <w:t xml:space="preserve">. Refer to the ANCP APPR 2017-18 for performance information. </w:t>
      </w:r>
    </w:p>
  </w:footnote>
  <w:footnote w:id="8">
    <w:p w:rsidR="0054234E" w:rsidRPr="00AC2B62" w:rsidRDefault="0054234E" w:rsidP="00A445F4">
      <w:pPr>
        <w:pStyle w:val="FootnoteText"/>
        <w:rPr>
          <w:lang w:val="en-AU"/>
        </w:rPr>
      </w:pPr>
      <w:r>
        <w:rPr>
          <w:rStyle w:val="FootnoteReference"/>
        </w:rPr>
        <w:footnoteRef/>
      </w:r>
      <w:r>
        <w:t xml:space="preserve"> </w:t>
      </w:r>
      <w:hyperlink r:id="rId2" w:history="1">
        <w:r w:rsidRPr="00F870B5">
          <w:rPr>
            <w:rStyle w:val="Hyperlink"/>
            <w:rFonts w:cstheme="minorBidi"/>
            <w:lang w:val="en-AU"/>
          </w:rPr>
          <w:t>www.ladlf.org/stories-of-impact</w:t>
        </w:r>
      </w:hyperlink>
      <w:r>
        <w:rPr>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1B4" w:rsidRDefault="00BF1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Pr="00333501" w:rsidRDefault="0054234E" w:rsidP="008F56A8">
    <w:pPr>
      <w:pStyle w:val="Header"/>
      <w:jc w:val="left"/>
    </w:pPr>
    <w:r>
      <w:rPr>
        <w:noProof/>
        <w:lang w:val="en-AU" w:eastAsia="en-AU"/>
      </w:rPr>
      <w:drawing>
        <wp:anchor distT="0" distB="0" distL="114300" distR="114300" simplePos="0" relativeHeight="251671552" behindDoc="1" locked="1" layoutInCell="1" allowOverlap="1" wp14:anchorId="438C6F3E" wp14:editId="7D946740">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Pr="003D352D" w:rsidRDefault="0054234E" w:rsidP="003D352D">
    <w:pPr>
      <w:pStyle w:val="Header"/>
      <w:jc w:val="left"/>
    </w:pPr>
    <w:r>
      <w:rPr>
        <w:noProof/>
        <w:lang w:val="en-AU" w:eastAsia="en-AU"/>
      </w:rPr>
      <w:drawing>
        <wp:anchor distT="0" distB="0" distL="114300" distR="114300" simplePos="0" relativeHeight="251669504" behindDoc="1" locked="1" layoutInCell="1" allowOverlap="1" wp14:anchorId="3FE6BCB1" wp14:editId="11E1B62F">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Pr="00333501" w:rsidRDefault="0054234E" w:rsidP="008F56A8">
    <w:pPr>
      <w:pStyle w:val="Header"/>
      <w:jc w:val="left"/>
    </w:pPr>
    <w:r>
      <w:rPr>
        <w:noProof/>
        <w:lang w:val="en-AU" w:eastAsia="en-AU"/>
      </w:rPr>
      <w:drawing>
        <wp:anchor distT="0" distB="0" distL="114300" distR="114300" simplePos="0" relativeHeight="251685888" behindDoc="1" locked="1" layoutInCell="1" allowOverlap="1" wp14:anchorId="49AFB379" wp14:editId="74850F88">
          <wp:simplePos x="0" y="0"/>
          <wp:positionH relativeFrom="margin">
            <wp:posOffset>-652145</wp:posOffset>
          </wp:positionH>
          <wp:positionV relativeFrom="page">
            <wp:posOffset>122555</wp:posOffset>
          </wp:positionV>
          <wp:extent cx="7409815" cy="10589895"/>
          <wp:effectExtent l="0" t="0" r="63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Pr="003D352D" w:rsidRDefault="0054234E" w:rsidP="003D352D">
    <w:pPr>
      <w:pStyle w:val="Header"/>
      <w:jc w:val="left"/>
    </w:pPr>
    <w:r>
      <w:rPr>
        <w:noProof/>
        <w:lang w:val="en-AU" w:eastAsia="en-AU"/>
      </w:rPr>
      <w:drawing>
        <wp:anchor distT="0" distB="0" distL="114300" distR="114300" simplePos="0" relativeHeight="251673600" behindDoc="1" locked="1" layoutInCell="1" allowOverlap="1" wp14:anchorId="15C6EC0F" wp14:editId="0B5AAFFA">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Pr="00333501" w:rsidRDefault="0054234E" w:rsidP="008F56A8">
    <w:pPr>
      <w:pStyle w:val="Header"/>
      <w:jc w:val="left"/>
    </w:pPr>
    <w:r>
      <w:rPr>
        <w:noProof/>
        <w:lang w:val="en-AU" w:eastAsia="en-AU"/>
      </w:rPr>
      <w:drawing>
        <wp:anchor distT="0" distB="0" distL="114300" distR="114300" simplePos="0" relativeHeight="251687936" behindDoc="1" locked="1" layoutInCell="1" allowOverlap="1" wp14:anchorId="311DC9F6" wp14:editId="5ED9A86C">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Pr="003D352D" w:rsidRDefault="0054234E" w:rsidP="003D352D">
    <w:pPr>
      <w:pStyle w:val="Header"/>
      <w:jc w:val="left"/>
    </w:pPr>
    <w:r>
      <w:rPr>
        <w:noProof/>
        <w:lang w:val="en-AU" w:eastAsia="en-AU"/>
      </w:rPr>
      <w:drawing>
        <wp:anchor distT="0" distB="0" distL="114300" distR="114300" simplePos="0" relativeHeight="251675648" behindDoc="1" locked="1" layoutInCell="1" allowOverlap="1" wp14:anchorId="5F1F3111" wp14:editId="4AAA405A">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34E" w:rsidRPr="00333501" w:rsidRDefault="0054234E" w:rsidP="008F56A8">
    <w:pPr>
      <w:pStyle w:val="Header"/>
      <w:jc w:val="left"/>
    </w:pPr>
    <w:r>
      <w:rPr>
        <w:noProof/>
        <w:lang w:val="en-AU" w:eastAsia="en-AU"/>
      </w:rPr>
      <w:drawing>
        <wp:anchor distT="0" distB="0" distL="114300" distR="114300" simplePos="0" relativeHeight="251683840" behindDoc="1" locked="1" layoutInCell="1" allowOverlap="1" wp14:anchorId="00739B1C" wp14:editId="6E122F8D">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87858"/>
    <w:multiLevelType w:val="hybridMultilevel"/>
    <w:tmpl w:val="7DC2E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1A3986"/>
    <w:multiLevelType w:val="hybridMultilevel"/>
    <w:tmpl w:val="6B9A90C2"/>
    <w:lvl w:ilvl="0" w:tplc="9634CA4C">
      <w:start w:val="1"/>
      <w:numFmt w:val="bullet"/>
      <w:lvlText w:val="-"/>
      <w:lvlJc w:val="left"/>
      <w:pPr>
        <w:ind w:left="720" w:hanging="360"/>
      </w:pPr>
      <w:rPr>
        <w:rFonts w:ascii="Calibri" w:eastAsia="Calibri" w:hAnsi="Calibri" w:cs="DokChamp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A6B6A8C"/>
    <w:multiLevelType w:val="hybridMultilevel"/>
    <w:tmpl w:val="A3EE86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EE90D59"/>
    <w:multiLevelType w:val="hybridMultilevel"/>
    <w:tmpl w:val="9DBCC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C739FF"/>
    <w:multiLevelType w:val="hybridMultilevel"/>
    <w:tmpl w:val="ED88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97663B"/>
    <w:multiLevelType w:val="hybridMultilevel"/>
    <w:tmpl w:val="5A502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A02A54"/>
    <w:multiLevelType w:val="hybridMultilevel"/>
    <w:tmpl w:val="15ACD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265E0A"/>
    <w:multiLevelType w:val="hybridMultilevel"/>
    <w:tmpl w:val="AA46A9EE"/>
    <w:lvl w:ilvl="0" w:tplc="278A5552">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573EC2"/>
    <w:multiLevelType w:val="hybridMultilevel"/>
    <w:tmpl w:val="7AE2973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CA53607"/>
    <w:multiLevelType w:val="hybridMultilevel"/>
    <w:tmpl w:val="BC549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7"/>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18"/>
  </w:num>
  <w:num w:numId="23">
    <w:abstractNumId w:val="18"/>
  </w:num>
  <w:num w:numId="24">
    <w:abstractNumId w:val="28"/>
  </w:num>
  <w:num w:numId="25">
    <w:abstractNumId w:val="28"/>
  </w:num>
  <w:num w:numId="26">
    <w:abstractNumId w:val="28"/>
  </w:num>
  <w:num w:numId="27">
    <w:abstractNumId w:val="27"/>
  </w:num>
  <w:num w:numId="28">
    <w:abstractNumId w:val="12"/>
  </w:num>
  <w:num w:numId="29">
    <w:abstractNumId w:val="12"/>
  </w:num>
  <w:num w:numId="30">
    <w:abstractNumId w:val="12"/>
  </w:num>
  <w:num w:numId="31">
    <w:abstractNumId w:val="19"/>
  </w:num>
  <w:num w:numId="32">
    <w:abstractNumId w:val="25"/>
  </w:num>
  <w:num w:numId="33">
    <w:abstractNumId w:val="32"/>
  </w:num>
  <w:num w:numId="34">
    <w:abstractNumId w:val="24"/>
  </w:num>
  <w:num w:numId="35">
    <w:abstractNumId w:val="15"/>
  </w:num>
  <w:num w:numId="36">
    <w:abstractNumId w:val="21"/>
  </w:num>
  <w:num w:numId="37">
    <w:abstractNumId w:val="23"/>
  </w:num>
  <w:num w:numId="38">
    <w:abstractNumId w:val="10"/>
  </w:num>
  <w:num w:numId="39">
    <w:abstractNumId w:val="20"/>
  </w:num>
  <w:num w:numId="40">
    <w:abstractNumId w:val="22"/>
  </w:num>
  <w:num w:numId="41">
    <w:abstractNumId w:val="16"/>
  </w:num>
  <w:num w:numId="42">
    <w:abstractNumId w:val="17"/>
  </w:num>
  <w:num w:numId="43">
    <w:abstractNumId w:val="13"/>
  </w:num>
  <w:num w:numId="44">
    <w:abstractNumId w:val="30"/>
  </w:num>
  <w:num w:numId="45">
    <w:abstractNumId w:val="26"/>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3C10"/>
    <w:rsid w:val="00005B46"/>
    <w:rsid w:val="00014DA8"/>
    <w:rsid w:val="00015316"/>
    <w:rsid w:val="0002080A"/>
    <w:rsid w:val="0002782F"/>
    <w:rsid w:val="000301AE"/>
    <w:rsid w:val="00031512"/>
    <w:rsid w:val="000322C7"/>
    <w:rsid w:val="00032F7E"/>
    <w:rsid w:val="0003352E"/>
    <w:rsid w:val="000341D6"/>
    <w:rsid w:val="000348F9"/>
    <w:rsid w:val="00037F01"/>
    <w:rsid w:val="00040EA7"/>
    <w:rsid w:val="00050907"/>
    <w:rsid w:val="00050F5C"/>
    <w:rsid w:val="00053235"/>
    <w:rsid w:val="000546D3"/>
    <w:rsid w:val="00054E4D"/>
    <w:rsid w:val="00056464"/>
    <w:rsid w:val="00057C66"/>
    <w:rsid w:val="00060073"/>
    <w:rsid w:val="00060268"/>
    <w:rsid w:val="00061D1B"/>
    <w:rsid w:val="00062907"/>
    <w:rsid w:val="00065F8E"/>
    <w:rsid w:val="0007267F"/>
    <w:rsid w:val="00072BE9"/>
    <w:rsid w:val="00074A43"/>
    <w:rsid w:val="00074CC4"/>
    <w:rsid w:val="00074FAC"/>
    <w:rsid w:val="00075CB7"/>
    <w:rsid w:val="00076806"/>
    <w:rsid w:val="00080DC5"/>
    <w:rsid w:val="00082D1F"/>
    <w:rsid w:val="00084483"/>
    <w:rsid w:val="000948D6"/>
    <w:rsid w:val="00097AB9"/>
    <w:rsid w:val="00097F54"/>
    <w:rsid w:val="000A0FAA"/>
    <w:rsid w:val="000A254E"/>
    <w:rsid w:val="000A4225"/>
    <w:rsid w:val="000A5898"/>
    <w:rsid w:val="000B20A3"/>
    <w:rsid w:val="000D2E54"/>
    <w:rsid w:val="000D3C36"/>
    <w:rsid w:val="000D66D6"/>
    <w:rsid w:val="000E164E"/>
    <w:rsid w:val="000E1E2C"/>
    <w:rsid w:val="000E1F5B"/>
    <w:rsid w:val="000E314A"/>
    <w:rsid w:val="00111E04"/>
    <w:rsid w:val="00112645"/>
    <w:rsid w:val="0011294E"/>
    <w:rsid w:val="00113639"/>
    <w:rsid w:val="001140E0"/>
    <w:rsid w:val="00120C23"/>
    <w:rsid w:val="00124BDE"/>
    <w:rsid w:val="00140A47"/>
    <w:rsid w:val="00141AA1"/>
    <w:rsid w:val="00143278"/>
    <w:rsid w:val="00145CB8"/>
    <w:rsid w:val="0014705A"/>
    <w:rsid w:val="001541EA"/>
    <w:rsid w:val="00155105"/>
    <w:rsid w:val="00162DE2"/>
    <w:rsid w:val="00166DDA"/>
    <w:rsid w:val="00173540"/>
    <w:rsid w:val="00173C51"/>
    <w:rsid w:val="00174559"/>
    <w:rsid w:val="0017657B"/>
    <w:rsid w:val="0018210E"/>
    <w:rsid w:val="001827E8"/>
    <w:rsid w:val="0018451D"/>
    <w:rsid w:val="00184F1E"/>
    <w:rsid w:val="001865B4"/>
    <w:rsid w:val="00191C7F"/>
    <w:rsid w:val="0019736A"/>
    <w:rsid w:val="001A66A4"/>
    <w:rsid w:val="001B0D7A"/>
    <w:rsid w:val="001B2A8C"/>
    <w:rsid w:val="001B7FDB"/>
    <w:rsid w:val="001C1BAF"/>
    <w:rsid w:val="001C3240"/>
    <w:rsid w:val="001D2E21"/>
    <w:rsid w:val="001D663E"/>
    <w:rsid w:val="001E09DA"/>
    <w:rsid w:val="001E1DC0"/>
    <w:rsid w:val="001E2FF6"/>
    <w:rsid w:val="001E621C"/>
    <w:rsid w:val="001F222C"/>
    <w:rsid w:val="001F3FDD"/>
    <w:rsid w:val="001F517A"/>
    <w:rsid w:val="0020011B"/>
    <w:rsid w:val="00204210"/>
    <w:rsid w:val="0020434E"/>
    <w:rsid w:val="00221115"/>
    <w:rsid w:val="00222A26"/>
    <w:rsid w:val="00230B39"/>
    <w:rsid w:val="00233ABC"/>
    <w:rsid w:val="00236A53"/>
    <w:rsid w:val="00240F56"/>
    <w:rsid w:val="00244282"/>
    <w:rsid w:val="00246033"/>
    <w:rsid w:val="0025145A"/>
    <w:rsid w:val="00251BBA"/>
    <w:rsid w:val="00254F4B"/>
    <w:rsid w:val="00260C64"/>
    <w:rsid w:val="00266580"/>
    <w:rsid w:val="00275DB7"/>
    <w:rsid w:val="00284957"/>
    <w:rsid w:val="0028602A"/>
    <w:rsid w:val="0029020C"/>
    <w:rsid w:val="00291443"/>
    <w:rsid w:val="00291AFC"/>
    <w:rsid w:val="00292DA7"/>
    <w:rsid w:val="002A1AF3"/>
    <w:rsid w:val="002A4A0E"/>
    <w:rsid w:val="002A51CA"/>
    <w:rsid w:val="002A62C8"/>
    <w:rsid w:val="002B1825"/>
    <w:rsid w:val="002B35C8"/>
    <w:rsid w:val="002B3E95"/>
    <w:rsid w:val="002B5E10"/>
    <w:rsid w:val="002B78D1"/>
    <w:rsid w:val="002D22A1"/>
    <w:rsid w:val="002F5056"/>
    <w:rsid w:val="003002C0"/>
    <w:rsid w:val="00301144"/>
    <w:rsid w:val="00303111"/>
    <w:rsid w:val="00304389"/>
    <w:rsid w:val="0031425F"/>
    <w:rsid w:val="003148B7"/>
    <w:rsid w:val="00314ED5"/>
    <w:rsid w:val="003158C3"/>
    <w:rsid w:val="003274CD"/>
    <w:rsid w:val="00333501"/>
    <w:rsid w:val="0033388E"/>
    <w:rsid w:val="0033586F"/>
    <w:rsid w:val="00335AC7"/>
    <w:rsid w:val="00337DCF"/>
    <w:rsid w:val="00343D85"/>
    <w:rsid w:val="003457C4"/>
    <w:rsid w:val="00345DD8"/>
    <w:rsid w:val="0035119D"/>
    <w:rsid w:val="00352A98"/>
    <w:rsid w:val="00353365"/>
    <w:rsid w:val="00355299"/>
    <w:rsid w:val="00356F79"/>
    <w:rsid w:val="00360633"/>
    <w:rsid w:val="0036502E"/>
    <w:rsid w:val="003729B5"/>
    <w:rsid w:val="00377B81"/>
    <w:rsid w:val="00380104"/>
    <w:rsid w:val="00380347"/>
    <w:rsid w:val="003A5167"/>
    <w:rsid w:val="003B3EBC"/>
    <w:rsid w:val="003B4F12"/>
    <w:rsid w:val="003B53DA"/>
    <w:rsid w:val="003C14B0"/>
    <w:rsid w:val="003C20BB"/>
    <w:rsid w:val="003C334E"/>
    <w:rsid w:val="003C6643"/>
    <w:rsid w:val="003D352D"/>
    <w:rsid w:val="003E305C"/>
    <w:rsid w:val="00400B0F"/>
    <w:rsid w:val="00402ACC"/>
    <w:rsid w:val="00407EA5"/>
    <w:rsid w:val="004120EC"/>
    <w:rsid w:val="00415387"/>
    <w:rsid w:val="00420035"/>
    <w:rsid w:val="00421523"/>
    <w:rsid w:val="00423F31"/>
    <w:rsid w:val="00426FBD"/>
    <w:rsid w:val="00431899"/>
    <w:rsid w:val="004337B1"/>
    <w:rsid w:val="00434098"/>
    <w:rsid w:val="004426EA"/>
    <w:rsid w:val="00443B5E"/>
    <w:rsid w:val="00452C85"/>
    <w:rsid w:val="00460837"/>
    <w:rsid w:val="00463130"/>
    <w:rsid w:val="00480422"/>
    <w:rsid w:val="004808A4"/>
    <w:rsid w:val="00480CF2"/>
    <w:rsid w:val="004833FA"/>
    <w:rsid w:val="004839E3"/>
    <w:rsid w:val="004840CA"/>
    <w:rsid w:val="00486804"/>
    <w:rsid w:val="004905BD"/>
    <w:rsid w:val="00492E19"/>
    <w:rsid w:val="004977A1"/>
    <w:rsid w:val="00497FDC"/>
    <w:rsid w:val="004A0A58"/>
    <w:rsid w:val="004A5961"/>
    <w:rsid w:val="004A6696"/>
    <w:rsid w:val="004B02FA"/>
    <w:rsid w:val="004B0D1A"/>
    <w:rsid w:val="004B168E"/>
    <w:rsid w:val="004B3775"/>
    <w:rsid w:val="004B3B35"/>
    <w:rsid w:val="004B5720"/>
    <w:rsid w:val="004B783D"/>
    <w:rsid w:val="004C309C"/>
    <w:rsid w:val="004C46FE"/>
    <w:rsid w:val="004D0BA0"/>
    <w:rsid w:val="004D2219"/>
    <w:rsid w:val="004D41B4"/>
    <w:rsid w:val="004E01F6"/>
    <w:rsid w:val="004E0264"/>
    <w:rsid w:val="004E058F"/>
    <w:rsid w:val="004E3B87"/>
    <w:rsid w:val="004F1436"/>
    <w:rsid w:val="004F2357"/>
    <w:rsid w:val="004F6DAE"/>
    <w:rsid w:val="00510921"/>
    <w:rsid w:val="00510AD3"/>
    <w:rsid w:val="00511BB8"/>
    <w:rsid w:val="00513348"/>
    <w:rsid w:val="00514791"/>
    <w:rsid w:val="0051785F"/>
    <w:rsid w:val="0052204A"/>
    <w:rsid w:val="0052633D"/>
    <w:rsid w:val="00532421"/>
    <w:rsid w:val="00533B5D"/>
    <w:rsid w:val="00534348"/>
    <w:rsid w:val="00535B5F"/>
    <w:rsid w:val="0054234E"/>
    <w:rsid w:val="005447CF"/>
    <w:rsid w:val="00550C20"/>
    <w:rsid w:val="005511BF"/>
    <w:rsid w:val="00552219"/>
    <w:rsid w:val="00556A3F"/>
    <w:rsid w:val="00556D45"/>
    <w:rsid w:val="005664CD"/>
    <w:rsid w:val="005705DC"/>
    <w:rsid w:val="00570794"/>
    <w:rsid w:val="00570BAA"/>
    <w:rsid w:val="00580A64"/>
    <w:rsid w:val="0059146A"/>
    <w:rsid w:val="005B027B"/>
    <w:rsid w:val="005B26B8"/>
    <w:rsid w:val="005B5769"/>
    <w:rsid w:val="005B6CF8"/>
    <w:rsid w:val="005C2AF8"/>
    <w:rsid w:val="005C2BAD"/>
    <w:rsid w:val="005C78DB"/>
    <w:rsid w:val="005D2BDD"/>
    <w:rsid w:val="005D3655"/>
    <w:rsid w:val="005D4A6C"/>
    <w:rsid w:val="005D5636"/>
    <w:rsid w:val="005E038B"/>
    <w:rsid w:val="005E13C4"/>
    <w:rsid w:val="005E1B49"/>
    <w:rsid w:val="005E391F"/>
    <w:rsid w:val="005E606B"/>
    <w:rsid w:val="006017A4"/>
    <w:rsid w:val="0060582E"/>
    <w:rsid w:val="006202D6"/>
    <w:rsid w:val="00623BA1"/>
    <w:rsid w:val="00630BC2"/>
    <w:rsid w:val="006311D2"/>
    <w:rsid w:val="006346BC"/>
    <w:rsid w:val="00637FAF"/>
    <w:rsid w:val="00645836"/>
    <w:rsid w:val="00656D77"/>
    <w:rsid w:val="00657C59"/>
    <w:rsid w:val="00660FE0"/>
    <w:rsid w:val="00664CCC"/>
    <w:rsid w:val="0066652A"/>
    <w:rsid w:val="006745BE"/>
    <w:rsid w:val="00680113"/>
    <w:rsid w:val="00680522"/>
    <w:rsid w:val="00681F08"/>
    <w:rsid w:val="00682167"/>
    <w:rsid w:val="00682E7D"/>
    <w:rsid w:val="00685CC1"/>
    <w:rsid w:val="00686824"/>
    <w:rsid w:val="00693662"/>
    <w:rsid w:val="00695730"/>
    <w:rsid w:val="006A6937"/>
    <w:rsid w:val="006B1D6E"/>
    <w:rsid w:val="006B2572"/>
    <w:rsid w:val="006B77B6"/>
    <w:rsid w:val="006C361F"/>
    <w:rsid w:val="006C42AF"/>
    <w:rsid w:val="006D430E"/>
    <w:rsid w:val="006E18A6"/>
    <w:rsid w:val="006E6308"/>
    <w:rsid w:val="006F27B1"/>
    <w:rsid w:val="006F54EE"/>
    <w:rsid w:val="00711D8E"/>
    <w:rsid w:val="00712672"/>
    <w:rsid w:val="007154E0"/>
    <w:rsid w:val="007215EA"/>
    <w:rsid w:val="00727815"/>
    <w:rsid w:val="00734E3F"/>
    <w:rsid w:val="00736985"/>
    <w:rsid w:val="00740F13"/>
    <w:rsid w:val="00745DF5"/>
    <w:rsid w:val="007479B2"/>
    <w:rsid w:val="00754E82"/>
    <w:rsid w:val="0076250F"/>
    <w:rsid w:val="00762C75"/>
    <w:rsid w:val="00762D05"/>
    <w:rsid w:val="00764F7D"/>
    <w:rsid w:val="007716C0"/>
    <w:rsid w:val="00771B53"/>
    <w:rsid w:val="0077246A"/>
    <w:rsid w:val="00774AC2"/>
    <w:rsid w:val="00780412"/>
    <w:rsid w:val="007829A4"/>
    <w:rsid w:val="00784031"/>
    <w:rsid w:val="00785DCA"/>
    <w:rsid w:val="007861C9"/>
    <w:rsid w:val="00792D2F"/>
    <w:rsid w:val="0079382A"/>
    <w:rsid w:val="007A0BAF"/>
    <w:rsid w:val="007A1351"/>
    <w:rsid w:val="007A3A1C"/>
    <w:rsid w:val="007A53C4"/>
    <w:rsid w:val="007A6119"/>
    <w:rsid w:val="007A61AD"/>
    <w:rsid w:val="007B4686"/>
    <w:rsid w:val="007B6200"/>
    <w:rsid w:val="007D5C36"/>
    <w:rsid w:val="007E1290"/>
    <w:rsid w:val="007F3076"/>
    <w:rsid w:val="007F3395"/>
    <w:rsid w:val="007F4A36"/>
    <w:rsid w:val="007F7FA1"/>
    <w:rsid w:val="00801B9F"/>
    <w:rsid w:val="008057FD"/>
    <w:rsid w:val="008075DD"/>
    <w:rsid w:val="00811B5D"/>
    <w:rsid w:val="00812509"/>
    <w:rsid w:val="008156D6"/>
    <w:rsid w:val="0082021A"/>
    <w:rsid w:val="0082286B"/>
    <w:rsid w:val="00822B08"/>
    <w:rsid w:val="008231CA"/>
    <w:rsid w:val="00827023"/>
    <w:rsid w:val="008276A4"/>
    <w:rsid w:val="00837DAD"/>
    <w:rsid w:val="0084027B"/>
    <w:rsid w:val="00843B15"/>
    <w:rsid w:val="008475F0"/>
    <w:rsid w:val="00851436"/>
    <w:rsid w:val="00855637"/>
    <w:rsid w:val="008560AE"/>
    <w:rsid w:val="00864210"/>
    <w:rsid w:val="008644DE"/>
    <w:rsid w:val="00866268"/>
    <w:rsid w:val="00871715"/>
    <w:rsid w:val="00885176"/>
    <w:rsid w:val="00892BDD"/>
    <w:rsid w:val="008932BE"/>
    <w:rsid w:val="00893E95"/>
    <w:rsid w:val="00894D7F"/>
    <w:rsid w:val="008A119D"/>
    <w:rsid w:val="008A5AFE"/>
    <w:rsid w:val="008B02B0"/>
    <w:rsid w:val="008B0466"/>
    <w:rsid w:val="008B0EBA"/>
    <w:rsid w:val="008B2CAE"/>
    <w:rsid w:val="008B592E"/>
    <w:rsid w:val="008B68D7"/>
    <w:rsid w:val="008B6EDD"/>
    <w:rsid w:val="008C2F58"/>
    <w:rsid w:val="008C3C5D"/>
    <w:rsid w:val="008C5933"/>
    <w:rsid w:val="008C5A0E"/>
    <w:rsid w:val="008C5A7D"/>
    <w:rsid w:val="008C73AC"/>
    <w:rsid w:val="008D0CD2"/>
    <w:rsid w:val="008D4779"/>
    <w:rsid w:val="008D62DB"/>
    <w:rsid w:val="008D6F79"/>
    <w:rsid w:val="008E28AF"/>
    <w:rsid w:val="008E37DB"/>
    <w:rsid w:val="008F0016"/>
    <w:rsid w:val="008F2679"/>
    <w:rsid w:val="008F56A8"/>
    <w:rsid w:val="008F5DF7"/>
    <w:rsid w:val="008F6959"/>
    <w:rsid w:val="00905B87"/>
    <w:rsid w:val="00913389"/>
    <w:rsid w:val="00916695"/>
    <w:rsid w:val="00916FB1"/>
    <w:rsid w:val="00917FC1"/>
    <w:rsid w:val="009260F7"/>
    <w:rsid w:val="00932493"/>
    <w:rsid w:val="00932D33"/>
    <w:rsid w:val="00934360"/>
    <w:rsid w:val="009370AE"/>
    <w:rsid w:val="0094527A"/>
    <w:rsid w:val="00946493"/>
    <w:rsid w:val="00952BA0"/>
    <w:rsid w:val="009540FA"/>
    <w:rsid w:val="00957425"/>
    <w:rsid w:val="00961906"/>
    <w:rsid w:val="00966FEB"/>
    <w:rsid w:val="009727C5"/>
    <w:rsid w:val="0097592D"/>
    <w:rsid w:val="00986B50"/>
    <w:rsid w:val="009903F3"/>
    <w:rsid w:val="00990546"/>
    <w:rsid w:val="00992C76"/>
    <w:rsid w:val="00994158"/>
    <w:rsid w:val="009A17E9"/>
    <w:rsid w:val="009A1D56"/>
    <w:rsid w:val="009B4D3B"/>
    <w:rsid w:val="009B579F"/>
    <w:rsid w:val="009C2D97"/>
    <w:rsid w:val="009C3168"/>
    <w:rsid w:val="009D3227"/>
    <w:rsid w:val="009D4178"/>
    <w:rsid w:val="009D50A3"/>
    <w:rsid w:val="009D7407"/>
    <w:rsid w:val="009E0866"/>
    <w:rsid w:val="009E1D50"/>
    <w:rsid w:val="009E4630"/>
    <w:rsid w:val="009E7B7A"/>
    <w:rsid w:val="009F0F11"/>
    <w:rsid w:val="009F1240"/>
    <w:rsid w:val="009F22F4"/>
    <w:rsid w:val="009F3C9A"/>
    <w:rsid w:val="009F4994"/>
    <w:rsid w:val="009F5488"/>
    <w:rsid w:val="009F6423"/>
    <w:rsid w:val="00A03D02"/>
    <w:rsid w:val="00A12372"/>
    <w:rsid w:val="00A173E8"/>
    <w:rsid w:val="00A17D16"/>
    <w:rsid w:val="00A2163D"/>
    <w:rsid w:val="00A2179E"/>
    <w:rsid w:val="00A21AB4"/>
    <w:rsid w:val="00A22AF3"/>
    <w:rsid w:val="00A22CBE"/>
    <w:rsid w:val="00A230C8"/>
    <w:rsid w:val="00A23BA7"/>
    <w:rsid w:val="00A24A62"/>
    <w:rsid w:val="00A31C9F"/>
    <w:rsid w:val="00A32DE3"/>
    <w:rsid w:val="00A34440"/>
    <w:rsid w:val="00A35B9E"/>
    <w:rsid w:val="00A3777B"/>
    <w:rsid w:val="00A41132"/>
    <w:rsid w:val="00A4144F"/>
    <w:rsid w:val="00A445F4"/>
    <w:rsid w:val="00A535AB"/>
    <w:rsid w:val="00A553C4"/>
    <w:rsid w:val="00A56F14"/>
    <w:rsid w:val="00A56FC0"/>
    <w:rsid w:val="00A60854"/>
    <w:rsid w:val="00A665DC"/>
    <w:rsid w:val="00A73051"/>
    <w:rsid w:val="00A76CD3"/>
    <w:rsid w:val="00A80F95"/>
    <w:rsid w:val="00A8197B"/>
    <w:rsid w:val="00A82CF9"/>
    <w:rsid w:val="00A84162"/>
    <w:rsid w:val="00A84FF9"/>
    <w:rsid w:val="00A92439"/>
    <w:rsid w:val="00A92CF2"/>
    <w:rsid w:val="00A92F66"/>
    <w:rsid w:val="00A938DA"/>
    <w:rsid w:val="00A94E8A"/>
    <w:rsid w:val="00AA7BE3"/>
    <w:rsid w:val="00AB0F1D"/>
    <w:rsid w:val="00AB3214"/>
    <w:rsid w:val="00AB5E7F"/>
    <w:rsid w:val="00AC0C79"/>
    <w:rsid w:val="00AC164A"/>
    <w:rsid w:val="00AC2B62"/>
    <w:rsid w:val="00AC7B64"/>
    <w:rsid w:val="00AE2B01"/>
    <w:rsid w:val="00AE3562"/>
    <w:rsid w:val="00AF0F3F"/>
    <w:rsid w:val="00AF1B85"/>
    <w:rsid w:val="00AF2050"/>
    <w:rsid w:val="00AF307C"/>
    <w:rsid w:val="00AF47A2"/>
    <w:rsid w:val="00AF4AA4"/>
    <w:rsid w:val="00B001B5"/>
    <w:rsid w:val="00B00FC1"/>
    <w:rsid w:val="00B019F3"/>
    <w:rsid w:val="00B03CA8"/>
    <w:rsid w:val="00B12980"/>
    <w:rsid w:val="00B23D74"/>
    <w:rsid w:val="00B245FD"/>
    <w:rsid w:val="00B24958"/>
    <w:rsid w:val="00B25246"/>
    <w:rsid w:val="00B331DC"/>
    <w:rsid w:val="00B34712"/>
    <w:rsid w:val="00B438D3"/>
    <w:rsid w:val="00B44D27"/>
    <w:rsid w:val="00B45A97"/>
    <w:rsid w:val="00B46AA6"/>
    <w:rsid w:val="00B55E19"/>
    <w:rsid w:val="00B67150"/>
    <w:rsid w:val="00B67D07"/>
    <w:rsid w:val="00B706D2"/>
    <w:rsid w:val="00B717A8"/>
    <w:rsid w:val="00B732F6"/>
    <w:rsid w:val="00B743BE"/>
    <w:rsid w:val="00B754C8"/>
    <w:rsid w:val="00B76927"/>
    <w:rsid w:val="00B806A3"/>
    <w:rsid w:val="00B8158B"/>
    <w:rsid w:val="00B8475C"/>
    <w:rsid w:val="00B867E5"/>
    <w:rsid w:val="00B900B2"/>
    <w:rsid w:val="00B907C7"/>
    <w:rsid w:val="00B93466"/>
    <w:rsid w:val="00BA4B6D"/>
    <w:rsid w:val="00BB11C2"/>
    <w:rsid w:val="00BB26C5"/>
    <w:rsid w:val="00BD2C51"/>
    <w:rsid w:val="00BD6304"/>
    <w:rsid w:val="00BE0EA8"/>
    <w:rsid w:val="00BE1BEB"/>
    <w:rsid w:val="00BF11B4"/>
    <w:rsid w:val="00BF3260"/>
    <w:rsid w:val="00BF4308"/>
    <w:rsid w:val="00BF4DE6"/>
    <w:rsid w:val="00BF7833"/>
    <w:rsid w:val="00C00A49"/>
    <w:rsid w:val="00C10B3D"/>
    <w:rsid w:val="00C13EC6"/>
    <w:rsid w:val="00C16648"/>
    <w:rsid w:val="00C21ABA"/>
    <w:rsid w:val="00C2266F"/>
    <w:rsid w:val="00C25935"/>
    <w:rsid w:val="00C3387B"/>
    <w:rsid w:val="00C35506"/>
    <w:rsid w:val="00C35780"/>
    <w:rsid w:val="00C3666D"/>
    <w:rsid w:val="00C42CDE"/>
    <w:rsid w:val="00C45416"/>
    <w:rsid w:val="00C4736E"/>
    <w:rsid w:val="00C5182A"/>
    <w:rsid w:val="00C523F9"/>
    <w:rsid w:val="00C52B09"/>
    <w:rsid w:val="00C63EE9"/>
    <w:rsid w:val="00C6449E"/>
    <w:rsid w:val="00C6626C"/>
    <w:rsid w:val="00C66439"/>
    <w:rsid w:val="00C677AF"/>
    <w:rsid w:val="00C7139B"/>
    <w:rsid w:val="00C73E9D"/>
    <w:rsid w:val="00C8159C"/>
    <w:rsid w:val="00C8312E"/>
    <w:rsid w:val="00C85F24"/>
    <w:rsid w:val="00C932E4"/>
    <w:rsid w:val="00C93849"/>
    <w:rsid w:val="00C97D6B"/>
    <w:rsid w:val="00CA37B1"/>
    <w:rsid w:val="00CA5CE3"/>
    <w:rsid w:val="00CB0544"/>
    <w:rsid w:val="00CB1959"/>
    <w:rsid w:val="00CC0B6F"/>
    <w:rsid w:val="00CC24D0"/>
    <w:rsid w:val="00CC2AB6"/>
    <w:rsid w:val="00CC4767"/>
    <w:rsid w:val="00CC6748"/>
    <w:rsid w:val="00CC7F42"/>
    <w:rsid w:val="00CD0E4B"/>
    <w:rsid w:val="00CD1652"/>
    <w:rsid w:val="00CD467B"/>
    <w:rsid w:val="00CD717B"/>
    <w:rsid w:val="00CE0155"/>
    <w:rsid w:val="00CF4106"/>
    <w:rsid w:val="00CF4535"/>
    <w:rsid w:val="00CF670F"/>
    <w:rsid w:val="00D00802"/>
    <w:rsid w:val="00D01DCC"/>
    <w:rsid w:val="00D0296C"/>
    <w:rsid w:val="00D04B6E"/>
    <w:rsid w:val="00D05999"/>
    <w:rsid w:val="00D0701F"/>
    <w:rsid w:val="00D123CA"/>
    <w:rsid w:val="00D146A2"/>
    <w:rsid w:val="00D15A00"/>
    <w:rsid w:val="00D23871"/>
    <w:rsid w:val="00D2653F"/>
    <w:rsid w:val="00D26F57"/>
    <w:rsid w:val="00D32E0B"/>
    <w:rsid w:val="00D40A41"/>
    <w:rsid w:val="00D474C2"/>
    <w:rsid w:val="00D64BD1"/>
    <w:rsid w:val="00D72760"/>
    <w:rsid w:val="00D76CC8"/>
    <w:rsid w:val="00D831DF"/>
    <w:rsid w:val="00D8692D"/>
    <w:rsid w:val="00D87124"/>
    <w:rsid w:val="00DA112C"/>
    <w:rsid w:val="00DA4E3A"/>
    <w:rsid w:val="00DA6DF9"/>
    <w:rsid w:val="00DA7574"/>
    <w:rsid w:val="00DB38D6"/>
    <w:rsid w:val="00DC069B"/>
    <w:rsid w:val="00DC320A"/>
    <w:rsid w:val="00DD1986"/>
    <w:rsid w:val="00DD1B29"/>
    <w:rsid w:val="00DD2CB0"/>
    <w:rsid w:val="00DD3EE9"/>
    <w:rsid w:val="00DD3FAF"/>
    <w:rsid w:val="00DD7B24"/>
    <w:rsid w:val="00DE084C"/>
    <w:rsid w:val="00DE57C6"/>
    <w:rsid w:val="00DF1387"/>
    <w:rsid w:val="00DF18DC"/>
    <w:rsid w:val="00DF55AA"/>
    <w:rsid w:val="00E0213A"/>
    <w:rsid w:val="00E071CC"/>
    <w:rsid w:val="00E177E4"/>
    <w:rsid w:val="00E23B22"/>
    <w:rsid w:val="00E24B7D"/>
    <w:rsid w:val="00E357B7"/>
    <w:rsid w:val="00E42562"/>
    <w:rsid w:val="00E53800"/>
    <w:rsid w:val="00E57B1A"/>
    <w:rsid w:val="00E6081F"/>
    <w:rsid w:val="00E63156"/>
    <w:rsid w:val="00E63393"/>
    <w:rsid w:val="00E65105"/>
    <w:rsid w:val="00E66A61"/>
    <w:rsid w:val="00E67256"/>
    <w:rsid w:val="00E75871"/>
    <w:rsid w:val="00E82935"/>
    <w:rsid w:val="00E9119D"/>
    <w:rsid w:val="00EA04B2"/>
    <w:rsid w:val="00EA0708"/>
    <w:rsid w:val="00EA16DA"/>
    <w:rsid w:val="00EA20F3"/>
    <w:rsid w:val="00EB581B"/>
    <w:rsid w:val="00EB5ABD"/>
    <w:rsid w:val="00EB625A"/>
    <w:rsid w:val="00ED11B7"/>
    <w:rsid w:val="00ED155B"/>
    <w:rsid w:val="00ED1CD6"/>
    <w:rsid w:val="00ED2831"/>
    <w:rsid w:val="00ED43D1"/>
    <w:rsid w:val="00EE4EE1"/>
    <w:rsid w:val="00EF27B0"/>
    <w:rsid w:val="00EF4574"/>
    <w:rsid w:val="00EF4AD9"/>
    <w:rsid w:val="00F00FED"/>
    <w:rsid w:val="00F01F82"/>
    <w:rsid w:val="00F03374"/>
    <w:rsid w:val="00F036E7"/>
    <w:rsid w:val="00F06182"/>
    <w:rsid w:val="00F17DA2"/>
    <w:rsid w:val="00F2684E"/>
    <w:rsid w:val="00F30E8B"/>
    <w:rsid w:val="00F31B83"/>
    <w:rsid w:val="00F326E2"/>
    <w:rsid w:val="00F4140A"/>
    <w:rsid w:val="00F42C2E"/>
    <w:rsid w:val="00F436A2"/>
    <w:rsid w:val="00F444F1"/>
    <w:rsid w:val="00F5404C"/>
    <w:rsid w:val="00F605E3"/>
    <w:rsid w:val="00F647E4"/>
    <w:rsid w:val="00F719C0"/>
    <w:rsid w:val="00F729EF"/>
    <w:rsid w:val="00F73902"/>
    <w:rsid w:val="00F77CAE"/>
    <w:rsid w:val="00F813BC"/>
    <w:rsid w:val="00F82271"/>
    <w:rsid w:val="00F83428"/>
    <w:rsid w:val="00F8679A"/>
    <w:rsid w:val="00F92E32"/>
    <w:rsid w:val="00F96BB9"/>
    <w:rsid w:val="00FA0671"/>
    <w:rsid w:val="00FA1DEA"/>
    <w:rsid w:val="00FA1F20"/>
    <w:rsid w:val="00FA6550"/>
    <w:rsid w:val="00FB39FB"/>
    <w:rsid w:val="00FB3A72"/>
    <w:rsid w:val="00FB4F75"/>
    <w:rsid w:val="00FC2E45"/>
    <w:rsid w:val="00FC47E7"/>
    <w:rsid w:val="00FC59A4"/>
    <w:rsid w:val="00FD4C4D"/>
    <w:rsid w:val="00FD674E"/>
    <w:rsid w:val="00FD7635"/>
    <w:rsid w:val="00FE163A"/>
    <w:rsid w:val="00FE4C30"/>
    <w:rsid w:val="00FE6D51"/>
    <w:rsid w:val="00FE7D2A"/>
    <w:rsid w:val="00FF09F3"/>
    <w:rsid w:val="00FF0C20"/>
    <w:rsid w:val="00FF487B"/>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Char Char,Char,ft,single space,footnote text,fn,Footnote Text Char Char Char Char,FOOTNOTES"/>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Char Char Char,Char Char1,ft Char,single space Char,footnote text Char,fn Char,Footnote Text Char Char Char Char Char,FOOTNOTES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420035"/>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0F13"/>
    <w:pPr>
      <w:ind w:left="720"/>
      <w:contextualSpacing/>
    </w:pPr>
  </w:style>
  <w:style w:type="character" w:styleId="CommentReference">
    <w:name w:val="annotation reference"/>
    <w:basedOn w:val="DefaultParagraphFont"/>
    <w:uiPriority w:val="99"/>
    <w:semiHidden/>
    <w:unhideWhenUsed/>
    <w:rsid w:val="009D4178"/>
    <w:rPr>
      <w:sz w:val="16"/>
      <w:szCs w:val="16"/>
    </w:rPr>
  </w:style>
  <w:style w:type="paragraph" w:styleId="CommentText">
    <w:name w:val="annotation text"/>
    <w:basedOn w:val="Normal"/>
    <w:link w:val="CommentTextChar"/>
    <w:uiPriority w:val="99"/>
    <w:semiHidden/>
    <w:unhideWhenUsed/>
    <w:rsid w:val="009D4178"/>
    <w:pPr>
      <w:spacing w:line="240" w:lineRule="auto"/>
    </w:pPr>
    <w:rPr>
      <w:sz w:val="20"/>
      <w:szCs w:val="20"/>
    </w:rPr>
  </w:style>
  <w:style w:type="character" w:customStyle="1" w:styleId="CommentTextChar">
    <w:name w:val="Comment Text Char"/>
    <w:basedOn w:val="DefaultParagraphFont"/>
    <w:link w:val="CommentText"/>
    <w:uiPriority w:val="99"/>
    <w:semiHidden/>
    <w:rsid w:val="009D4178"/>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9D4178"/>
    <w:rPr>
      <w:b/>
      <w:bCs/>
    </w:rPr>
  </w:style>
  <w:style w:type="character" w:customStyle="1" w:styleId="CommentSubjectChar">
    <w:name w:val="Comment Subject Char"/>
    <w:basedOn w:val="CommentTextChar"/>
    <w:link w:val="CommentSubject"/>
    <w:uiPriority w:val="99"/>
    <w:semiHidden/>
    <w:rsid w:val="009D4178"/>
    <w:rPr>
      <w:b/>
      <w:bCs/>
      <w:color w:val="495965" w:themeColor="text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409233229">
      <w:bodyDiv w:val="1"/>
      <w:marLeft w:val="0"/>
      <w:marRight w:val="0"/>
      <w:marTop w:val="0"/>
      <w:marBottom w:val="0"/>
      <w:divBdr>
        <w:top w:val="none" w:sz="0" w:space="0" w:color="auto"/>
        <w:left w:val="none" w:sz="0" w:space="0" w:color="auto"/>
        <w:bottom w:val="none" w:sz="0" w:space="0" w:color="auto"/>
        <w:right w:val="none" w:sz="0" w:space="0" w:color="auto"/>
      </w:divBdr>
    </w:div>
    <w:div w:id="606624739">
      <w:bodyDiv w:val="1"/>
      <w:marLeft w:val="0"/>
      <w:marRight w:val="0"/>
      <w:marTop w:val="0"/>
      <w:marBottom w:val="0"/>
      <w:divBdr>
        <w:top w:val="none" w:sz="0" w:space="0" w:color="auto"/>
        <w:left w:val="none" w:sz="0" w:space="0" w:color="auto"/>
        <w:bottom w:val="none" w:sz="0" w:space="0" w:color="auto"/>
        <w:right w:val="none" w:sz="0" w:space="0" w:color="auto"/>
      </w:divBdr>
    </w:div>
    <w:div w:id="800998631">
      <w:bodyDiv w:val="1"/>
      <w:marLeft w:val="0"/>
      <w:marRight w:val="0"/>
      <w:marTop w:val="0"/>
      <w:marBottom w:val="0"/>
      <w:divBdr>
        <w:top w:val="none" w:sz="0" w:space="0" w:color="auto"/>
        <w:left w:val="none" w:sz="0" w:space="0" w:color="auto"/>
        <w:bottom w:val="none" w:sz="0" w:space="0" w:color="auto"/>
        <w:right w:val="none" w:sz="0" w:space="0" w:color="auto"/>
      </w:divBdr>
    </w:div>
    <w:div w:id="1206407356">
      <w:bodyDiv w:val="1"/>
      <w:marLeft w:val="0"/>
      <w:marRight w:val="0"/>
      <w:marTop w:val="0"/>
      <w:marBottom w:val="0"/>
      <w:divBdr>
        <w:top w:val="none" w:sz="0" w:space="0" w:color="auto"/>
        <w:left w:val="none" w:sz="0" w:space="0" w:color="auto"/>
        <w:bottom w:val="none" w:sz="0" w:space="0" w:color="auto"/>
        <w:right w:val="none" w:sz="0" w:space="0" w:color="auto"/>
      </w:divBdr>
    </w:div>
    <w:div w:id="1281230133">
      <w:bodyDiv w:val="1"/>
      <w:marLeft w:val="0"/>
      <w:marRight w:val="0"/>
      <w:marTop w:val="0"/>
      <w:marBottom w:val="0"/>
      <w:divBdr>
        <w:top w:val="none" w:sz="0" w:space="0" w:color="auto"/>
        <w:left w:val="none" w:sz="0" w:space="0" w:color="auto"/>
        <w:bottom w:val="none" w:sz="0" w:space="0" w:color="auto"/>
        <w:right w:val="none" w:sz="0" w:space="0" w:color="auto"/>
      </w:divBdr>
    </w:div>
    <w:div w:id="1661882764">
      <w:bodyDiv w:val="1"/>
      <w:marLeft w:val="0"/>
      <w:marRight w:val="0"/>
      <w:marTop w:val="0"/>
      <w:marBottom w:val="0"/>
      <w:divBdr>
        <w:top w:val="none" w:sz="0" w:space="0" w:color="auto"/>
        <w:left w:val="none" w:sz="0" w:space="0" w:color="auto"/>
        <w:bottom w:val="none" w:sz="0" w:space="0" w:color="auto"/>
        <w:right w:val="none" w:sz="0" w:space="0" w:color="auto"/>
      </w:divBdr>
    </w:div>
    <w:div w:id="1864249506">
      <w:bodyDiv w:val="1"/>
      <w:marLeft w:val="0"/>
      <w:marRight w:val="0"/>
      <w:marTop w:val="0"/>
      <w:marBottom w:val="0"/>
      <w:divBdr>
        <w:top w:val="none" w:sz="0" w:space="0" w:color="auto"/>
        <w:left w:val="none" w:sz="0" w:space="0" w:color="auto"/>
        <w:bottom w:val="none" w:sz="0" w:space="0" w:color="auto"/>
        <w:right w:val="none" w:sz="0" w:space="0" w:color="auto"/>
      </w:divBdr>
    </w:div>
    <w:div w:id="1972131470">
      <w:bodyDiv w:val="1"/>
      <w:marLeft w:val="0"/>
      <w:marRight w:val="0"/>
      <w:marTop w:val="0"/>
      <w:marBottom w:val="0"/>
      <w:divBdr>
        <w:top w:val="none" w:sz="0" w:space="0" w:color="auto"/>
        <w:left w:val="none" w:sz="0" w:space="0" w:color="auto"/>
        <w:bottom w:val="none" w:sz="0" w:space="0" w:color="auto"/>
        <w:right w:val="none" w:sz="0" w:space="0" w:color="auto"/>
      </w:divBdr>
    </w:div>
    <w:div w:id="20048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yperlink" Target="http://www.dfat.gov.au/" TargetMode="Externa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yperlink" Target="http://www.dfat.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ladlf.org/" TargetMode="External"/><Relationship Id="rId32" Type="http://schemas.openxmlformats.org/officeDocument/2006/relationships/header" Target="header8.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footer" Target="footer4.xm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www.ladlf.org/stories-of-impact" TargetMode="External"/><Relationship Id="rId1" Type="http://schemas.openxmlformats.org/officeDocument/2006/relationships/hyperlink" Target="https://dfat.gov.au/aid/who-we-work-with/ngos/ancp/Pages/project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93D136-7168-46AC-AB19-4EDCAE1EE05E}"/>
</file>

<file path=customXml/itemProps2.xml><?xml version="1.0" encoding="utf-8"?>
<ds:datastoreItem xmlns:ds="http://schemas.openxmlformats.org/officeDocument/2006/customXml" ds:itemID="{637ADF3D-A525-42EE-998B-10BA9D00C681}"/>
</file>

<file path=customXml/itemProps3.xml><?xml version="1.0" encoding="utf-8"?>
<ds:datastoreItem xmlns:ds="http://schemas.openxmlformats.org/officeDocument/2006/customXml" ds:itemID="{C5797B22-DC4A-44AB-8430-C6BB828536F5}"/>
</file>

<file path=customXml/itemProps4.xml><?xml version="1.0" encoding="utf-8"?>
<ds:datastoreItem xmlns:ds="http://schemas.openxmlformats.org/officeDocument/2006/customXml" ds:itemID="{98C4BA17-6779-4DFE-9F2E-5FE518AB699D}"/>
</file>

<file path=docProps/app.xml><?xml version="1.0" encoding="utf-8"?>
<Properties xmlns="http://schemas.openxmlformats.org/officeDocument/2006/extended-properties" xmlns:vt="http://schemas.openxmlformats.org/officeDocument/2006/docPropsVTypes">
  <Template>Normal.dotm</Template>
  <TotalTime>0</TotalTime>
  <Pages>15</Pages>
  <Words>5870</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Laos Aid Program Performance Report 2017-18</vt:lpstr>
    </vt:vector>
  </TitlesOfParts>
  <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Laos Aid Program Performance Report 2017-18</dc:title>
  <dc:creator/>
  <cp:lastModifiedBy/>
  <cp:revision>1</cp:revision>
  <dcterms:created xsi:type="dcterms:W3CDTF">2018-09-28T01:05:00Z</dcterms:created>
  <dcterms:modified xsi:type="dcterms:W3CDTF">2018-09-28T01:06:00Z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84f0dda6-4ddc-4dac-ab4d-eed0fb19c4f5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1198000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